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hint="eastAsia" w:ascii="宋体" w:hAnsi="宋体" w:eastAsia="宋体" w:cs="宋体"/>
          <w:sz w:val="28"/>
          <w:szCs w:val="28"/>
        </w:rPr>
      </w:pPr>
    </w:p>
    <w:p>
      <w:pPr>
        <w:jc w:val="center"/>
        <w:rPr>
          <w:rFonts w:ascii="阿里巴巴普惠体 2.0 95 ExtraBold" w:hAnsi="阿里巴巴普惠体 2.0 95 ExtraBold" w:eastAsia="阿里巴巴普惠体 2.0 95 ExtraBold" w:cs="阿里巴巴普惠体 2.0 95 ExtraBold"/>
          <w:b/>
          <w:bCs/>
          <w:sz w:val="44"/>
          <w:szCs w:val="44"/>
        </w:rPr>
      </w:pPr>
      <w:r>
        <w:rPr>
          <w:rFonts w:hint="eastAsia" w:ascii="阿里巴巴普惠体 2.0 95 ExtraBold" w:hAnsi="阿里巴巴普惠体 2.0 95 ExtraBold" w:eastAsia="阿里巴巴普惠体 2.0 95 ExtraBold" w:cs="阿里巴巴普惠体 2.0 95 ExtraBold"/>
          <w:b/>
          <w:bCs/>
          <w:sz w:val="44"/>
          <w:szCs w:val="44"/>
        </w:rPr>
        <w:t>铜陵市公共资源交易产权交易</w:t>
      </w:r>
    </w:p>
    <w:p>
      <w:pPr>
        <w:jc w:val="center"/>
        <w:rPr>
          <w:rFonts w:hint="eastAsia" w:ascii="阿里巴巴普惠体 2.0 95 ExtraBold" w:hAnsi="阿里巴巴普惠体 2.0 95 ExtraBold" w:eastAsia="阿里巴巴普惠体 2.0 95 ExtraBold" w:cs="阿里巴巴普惠体 2.0 95 ExtraBold"/>
          <w:b/>
          <w:bCs/>
          <w:sz w:val="44"/>
          <w:szCs w:val="44"/>
        </w:rPr>
      </w:pPr>
      <w:r>
        <w:rPr>
          <w:rFonts w:hint="eastAsia" w:ascii="阿里巴巴普惠体 2.0 95 ExtraBold" w:hAnsi="阿里巴巴普惠体 2.0 95 ExtraBold" w:eastAsia="阿里巴巴普惠体 2.0 95 ExtraBold" w:cs="阿里巴巴普惠体 2.0 95 ExtraBold"/>
          <w:b/>
          <w:bCs/>
          <w:sz w:val="44"/>
          <w:szCs w:val="44"/>
        </w:rPr>
        <w:t>竞买人操作手册</w:t>
      </w: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阿里巴巴普惠体 2.0 95 ExtraBold" w:hAnsi="阿里巴巴普惠体 2.0 95 ExtraBold" w:eastAsia="阿里巴巴普惠体 2.0 95 ExtraBold" w:cs="阿里巴巴普惠体 2.0 95 ExtraBold"/>
          <w:sz w:val="28"/>
          <w:szCs w:val="28"/>
        </w:rPr>
      </w:pPr>
      <w:r>
        <w:rPr>
          <w:rFonts w:hint="eastAsia" w:ascii="阿里巴巴普惠体 2.0 95 ExtraBold" w:hAnsi="阿里巴巴普惠体 2.0 95 ExtraBold" w:eastAsia="阿里巴巴普惠体 2.0 95 ExtraBold" w:cs="阿里巴巴普惠体 2.0 95 ExtraBold"/>
          <w:sz w:val="28"/>
          <w:szCs w:val="28"/>
        </w:rPr>
        <w:t>2</w:t>
      </w:r>
      <w:r>
        <w:rPr>
          <w:rFonts w:ascii="阿里巴巴普惠体 2.0 95 ExtraBold" w:hAnsi="阿里巴巴普惠体 2.0 95 ExtraBold" w:eastAsia="阿里巴巴普惠体 2.0 95 ExtraBold" w:cs="阿里巴巴普惠体 2.0 95 ExtraBold"/>
          <w:sz w:val="28"/>
          <w:szCs w:val="28"/>
        </w:rPr>
        <w:t>022</w:t>
      </w:r>
      <w:r>
        <w:rPr>
          <w:rFonts w:hint="eastAsia" w:ascii="阿里巴巴普惠体 2.0 95 ExtraBold" w:hAnsi="阿里巴巴普惠体 2.0 95 ExtraBold" w:eastAsia="阿里巴巴普惠体 2.0 95 ExtraBold" w:cs="阿里巴巴普惠体 2.0 95 ExtraBold"/>
          <w:sz w:val="28"/>
          <w:szCs w:val="28"/>
        </w:rPr>
        <w:t>年1</w:t>
      </w:r>
      <w:r>
        <w:rPr>
          <w:rFonts w:ascii="阿里巴巴普惠体 2.0 95 ExtraBold" w:hAnsi="阿里巴巴普惠体 2.0 95 ExtraBold" w:eastAsia="阿里巴巴普惠体 2.0 95 ExtraBold" w:cs="阿里巴巴普惠体 2.0 95 ExtraBold"/>
          <w:sz w:val="28"/>
          <w:szCs w:val="28"/>
        </w:rPr>
        <w:t>2</w:t>
      </w:r>
      <w:r>
        <w:rPr>
          <w:rFonts w:hint="eastAsia" w:ascii="阿里巴巴普惠体 2.0 95 ExtraBold" w:hAnsi="阿里巴巴普惠体 2.0 95 ExtraBold" w:eastAsia="阿里巴巴普惠体 2.0 95 ExtraBold" w:cs="阿里巴巴普惠体 2.0 95 ExtraBold"/>
          <w:sz w:val="28"/>
          <w:szCs w:val="28"/>
        </w:rPr>
        <w:t>月</w:t>
      </w:r>
    </w:p>
    <w:p>
      <w:pPr>
        <w:jc w:val="center"/>
        <w:rPr>
          <w:rFonts w:ascii="宋体" w:hAnsi="宋体" w:eastAsia="宋体" w:cs="宋体"/>
          <w:sz w:val="28"/>
          <w:szCs w:val="28"/>
        </w:rPr>
      </w:pPr>
    </w:p>
    <w:p>
      <w:pPr>
        <w:jc w:val="center"/>
        <w:rPr>
          <w:rFonts w:ascii="宋体" w:hAnsi="宋体" w:eastAsia="宋体" w:cs="宋体"/>
          <w:sz w:val="28"/>
          <w:szCs w:val="28"/>
        </w:rPr>
      </w:pPr>
    </w:p>
    <w:sdt>
      <w:sdtPr>
        <w:rPr>
          <w:lang w:val="zh-CN"/>
        </w:rPr>
        <w:id w:val="11427587"/>
        <w:docPartObj>
          <w:docPartGallery w:val="Table of Contents"/>
          <w:docPartUnique/>
        </w:docPartObj>
      </w:sdtPr>
      <w:sdtEndPr>
        <w:rPr>
          <w:rFonts w:cs="Times New Roman" w:asciiTheme="minorHAnsi" w:hAnsiTheme="minorHAnsi" w:eastAsiaTheme="minorEastAsia"/>
          <w:b/>
          <w:bCs/>
          <w:color w:val="auto"/>
          <w:sz w:val="24"/>
          <w:szCs w:val="24"/>
          <w:lang w:val="zh-CN"/>
        </w:rPr>
      </w:sdtEndPr>
      <w:sdtContent>
        <w:p>
          <w:pPr>
            <w:pStyle w:val="13"/>
            <w:jc w:val="center"/>
            <w:rPr>
              <w:b/>
              <w:bCs/>
              <w:color w:val="auto"/>
            </w:rPr>
          </w:pPr>
          <w:r>
            <w:rPr>
              <w:b/>
              <w:bCs/>
              <w:color w:val="auto"/>
              <w:lang w:val="zh-CN"/>
            </w:rPr>
            <w:t>目录</w:t>
          </w:r>
        </w:p>
        <w:p>
          <w:pPr>
            <w:pStyle w:val="4"/>
            <w:tabs>
              <w:tab w:val="right" w:leader="dot" w:pos="8296"/>
            </w:tabs>
            <w:rPr>
              <w:rFonts w:cstheme="minorBidi"/>
              <w:kern w:val="2"/>
              <w:sz w:val="21"/>
            </w:rPr>
          </w:pPr>
          <w:r>
            <w:fldChar w:fldCharType="begin"/>
          </w:r>
          <w:r>
            <w:instrText xml:space="preserve"> TOC \o "1-3" \h \z \u </w:instrText>
          </w:r>
          <w:r>
            <w:fldChar w:fldCharType="separate"/>
          </w:r>
          <w:r>
            <w:fldChar w:fldCharType="begin"/>
          </w:r>
          <w:r>
            <w:instrText xml:space="preserve"> HYPERLINK \l "_Toc123205434" </w:instrText>
          </w:r>
          <w:r>
            <w:fldChar w:fldCharType="separate"/>
          </w:r>
          <w:r>
            <w:rPr>
              <w:rStyle w:val="9"/>
              <w:rFonts w:ascii="阿里巴巴普惠体 2.0 95 ExtraBold" w:hAnsi="阿里巴巴普惠体 2.0 95 ExtraBold" w:eastAsia="阿里巴巴普惠体 2.0 95 ExtraBold" w:cs="阿里巴巴普惠体 2.0 95 ExtraBold"/>
            </w:rPr>
            <w:t>一、登录操作</w:t>
          </w:r>
          <w:r>
            <w:tab/>
          </w:r>
          <w:r>
            <w:fldChar w:fldCharType="begin"/>
          </w:r>
          <w:r>
            <w:instrText xml:space="preserve"> PAGEREF _Toc123205434 \h </w:instrText>
          </w:r>
          <w:r>
            <w:fldChar w:fldCharType="separate"/>
          </w:r>
          <w:r>
            <w:t>3</w:t>
          </w:r>
          <w:r>
            <w:fldChar w:fldCharType="end"/>
          </w:r>
          <w:r>
            <w:fldChar w:fldCharType="end"/>
          </w:r>
        </w:p>
        <w:p>
          <w:pPr>
            <w:pStyle w:val="4"/>
            <w:tabs>
              <w:tab w:val="right" w:leader="dot" w:pos="8296"/>
            </w:tabs>
            <w:rPr>
              <w:rFonts w:cstheme="minorBidi"/>
              <w:kern w:val="2"/>
              <w:sz w:val="21"/>
            </w:rPr>
          </w:pPr>
          <w:r>
            <w:fldChar w:fldCharType="begin"/>
          </w:r>
          <w:r>
            <w:instrText xml:space="preserve"> HYPERLINK \l "_Toc123205435" </w:instrText>
          </w:r>
          <w:r>
            <w:fldChar w:fldCharType="separate"/>
          </w:r>
          <w:r>
            <w:rPr>
              <w:rStyle w:val="9"/>
              <w:rFonts w:ascii="阿里巴巴普惠体 2.0 95 ExtraBold" w:hAnsi="阿里巴巴普惠体 2.0 95 ExtraBold" w:eastAsia="阿里巴巴普惠体 2.0 95 ExtraBold" w:cs="阿里巴巴普惠体 2.0 95 ExtraBold"/>
            </w:rPr>
            <w:t>二、自然人账户注册</w:t>
          </w:r>
          <w:r>
            <w:tab/>
          </w:r>
          <w:r>
            <w:fldChar w:fldCharType="begin"/>
          </w:r>
          <w:r>
            <w:instrText xml:space="preserve"> PAGEREF _Toc123205435 \h </w:instrText>
          </w:r>
          <w:r>
            <w:fldChar w:fldCharType="separate"/>
          </w:r>
          <w:r>
            <w:t>4</w:t>
          </w:r>
          <w:r>
            <w:fldChar w:fldCharType="end"/>
          </w:r>
          <w:r>
            <w:fldChar w:fldCharType="end"/>
          </w:r>
        </w:p>
        <w:p>
          <w:pPr>
            <w:pStyle w:val="4"/>
            <w:tabs>
              <w:tab w:val="right" w:leader="dot" w:pos="8296"/>
            </w:tabs>
            <w:rPr>
              <w:rFonts w:cstheme="minorBidi"/>
              <w:kern w:val="2"/>
              <w:sz w:val="21"/>
            </w:rPr>
          </w:pPr>
          <w:r>
            <w:fldChar w:fldCharType="begin"/>
          </w:r>
          <w:r>
            <w:instrText xml:space="preserve"> HYPERLINK \l "_Toc123205436" </w:instrText>
          </w:r>
          <w:r>
            <w:fldChar w:fldCharType="separate"/>
          </w:r>
          <w:r>
            <w:rPr>
              <w:rStyle w:val="9"/>
              <w:rFonts w:ascii="阿里巴巴普惠体 2.0 95 ExtraBold" w:hAnsi="阿里巴巴普惠体 2.0 95 ExtraBold" w:eastAsia="阿里巴巴普惠体 2.0 95 ExtraBold" w:cs="阿里巴巴普惠体 2.0 95 ExtraBold"/>
            </w:rPr>
            <w:t>三、参与产权交易项目</w:t>
          </w:r>
          <w:r>
            <w:tab/>
          </w:r>
          <w:r>
            <w:fldChar w:fldCharType="begin"/>
          </w:r>
          <w:r>
            <w:instrText xml:space="preserve"> PAGEREF _Toc123205436 \h </w:instrText>
          </w:r>
          <w:r>
            <w:fldChar w:fldCharType="separate"/>
          </w:r>
          <w:r>
            <w:t>6</w:t>
          </w:r>
          <w:r>
            <w:fldChar w:fldCharType="end"/>
          </w:r>
          <w:r>
            <w:fldChar w:fldCharType="end"/>
          </w:r>
        </w:p>
        <w:p>
          <w:pPr>
            <w:pStyle w:val="4"/>
            <w:tabs>
              <w:tab w:val="right" w:leader="dot" w:pos="8296"/>
            </w:tabs>
            <w:rPr>
              <w:rFonts w:cstheme="minorBidi"/>
              <w:kern w:val="2"/>
              <w:sz w:val="21"/>
            </w:rPr>
          </w:pPr>
          <w:r>
            <w:fldChar w:fldCharType="begin"/>
          </w:r>
          <w:r>
            <w:instrText xml:space="preserve"> HYPERLINK \l "_Toc123205437" </w:instrText>
          </w:r>
          <w:r>
            <w:fldChar w:fldCharType="separate"/>
          </w:r>
          <w:r>
            <w:rPr>
              <w:rStyle w:val="9"/>
              <w:rFonts w:ascii="阿里巴巴普惠体 2.0 95 ExtraBold" w:hAnsi="阿里巴巴普惠体 2.0 95 ExtraBold" w:eastAsia="阿里巴巴普惠体 2.0 95 ExtraBold" w:cs="阿里巴巴普惠体 2.0 95 ExtraBold"/>
            </w:rPr>
            <w:t>四、注意事项</w:t>
          </w:r>
          <w:r>
            <w:tab/>
          </w:r>
          <w:r>
            <w:fldChar w:fldCharType="begin"/>
          </w:r>
          <w:r>
            <w:instrText xml:space="preserve"> PAGEREF _Toc123205437 \h </w:instrText>
          </w:r>
          <w:r>
            <w:fldChar w:fldCharType="separate"/>
          </w:r>
          <w:r>
            <w:t>8</w:t>
          </w:r>
          <w:r>
            <w:fldChar w:fldCharType="end"/>
          </w:r>
          <w:r>
            <w:fldChar w:fldCharType="end"/>
          </w:r>
        </w:p>
        <w:p>
          <w:r>
            <w:rPr>
              <w:b/>
              <w:bCs/>
              <w:lang w:val="zh-CN"/>
            </w:rPr>
            <w:fldChar w:fldCharType="end"/>
          </w:r>
        </w:p>
      </w:sdtContent>
    </w:sdt>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hint="eastAsia"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pStyle w:val="2"/>
        <w:rPr>
          <w:rFonts w:hint="eastAsia" w:ascii="阿里巴巴普惠体 2.0 95 ExtraBold" w:hAnsi="阿里巴巴普惠体 2.0 95 ExtraBold" w:eastAsia="阿里巴巴普惠体 2.0 95 ExtraBold" w:cs="阿里巴巴普惠体 2.0 95 ExtraBold"/>
          <w:sz w:val="30"/>
          <w:szCs w:val="30"/>
        </w:rPr>
      </w:pPr>
      <w:bookmarkStart w:id="0" w:name="_Toc123205434"/>
      <w:r>
        <w:rPr>
          <w:rFonts w:hint="eastAsia" w:ascii="阿里巴巴普惠体 2.0 95 ExtraBold" w:hAnsi="阿里巴巴普惠体 2.0 95 ExtraBold" w:eastAsia="阿里巴巴普惠体 2.0 95 ExtraBold" w:cs="阿里巴巴普惠体 2.0 95 ExtraBold"/>
          <w:sz w:val="30"/>
          <w:szCs w:val="30"/>
        </w:rPr>
        <w:t>一、登录操作</w:t>
      </w:r>
      <w:bookmarkEnd w:id="0"/>
    </w:p>
    <w:p>
      <w:pPr>
        <w:ind w:left="840" w:hanging="840" w:hangingChars="300"/>
        <w:rPr>
          <w:rFonts w:ascii="仿宋" w:hAnsi="仿宋" w:eastAsia="仿宋" w:cs="宋体"/>
        </w:rPr>
      </w:pPr>
      <w:r>
        <w:rPr>
          <w:rFonts w:hint="eastAsia" w:ascii="仿宋" w:hAnsi="仿宋" w:eastAsia="仿宋" w:cs="宋体"/>
          <w:sz w:val="28"/>
          <w:szCs w:val="28"/>
        </w:rPr>
        <w:t>登录铜陵市公共资源产权交易系统</w:t>
      </w:r>
      <w:r>
        <w:fldChar w:fldCharType="begin"/>
      </w:r>
      <w:r>
        <w:instrText xml:space="preserve"> HYPERLINK "http://60.173.1.248:8181/TPBidderNew/memberLoginforCQ" </w:instrText>
      </w:r>
      <w:r>
        <w:fldChar w:fldCharType="separate"/>
      </w:r>
      <w:r>
        <w:rPr>
          <w:rStyle w:val="9"/>
          <w:rFonts w:ascii="仿宋" w:hAnsi="仿宋" w:eastAsia="仿宋" w:cs="宋体"/>
          <w:b/>
          <w:bCs/>
        </w:rPr>
        <w:t>http://60.173.1.248:8181/TPBidderNew/memberLoginforCQ</w:t>
      </w:r>
      <w:r>
        <w:rPr>
          <w:rStyle w:val="9"/>
          <w:rFonts w:ascii="仿宋" w:hAnsi="仿宋" w:eastAsia="仿宋" w:cs="宋体"/>
          <w:b/>
          <w:bCs/>
        </w:rPr>
        <w:fldChar w:fldCharType="end"/>
      </w:r>
    </w:p>
    <w:p>
      <w:pPr>
        <w:rPr>
          <w:rFonts w:hint="eastAsia" w:ascii="仿宋" w:hAnsi="仿宋" w:eastAsia="仿宋" w:cs="宋体"/>
          <w:sz w:val="28"/>
          <w:szCs w:val="28"/>
        </w:rPr>
      </w:pPr>
      <w:r>
        <w:rPr>
          <w:rFonts w:hint="eastAsia" w:ascii="仿宋" w:hAnsi="仿宋" w:eastAsia="仿宋" w:cs="宋体"/>
          <w:sz w:val="28"/>
          <w:szCs w:val="28"/>
        </w:rPr>
        <w:t>选择自然人身份（账户登录）或企业身份（C</w:t>
      </w:r>
      <w:r>
        <w:rPr>
          <w:rFonts w:ascii="仿宋" w:hAnsi="仿宋" w:eastAsia="仿宋" w:cs="宋体"/>
          <w:sz w:val="28"/>
          <w:szCs w:val="28"/>
        </w:rPr>
        <w:t>A</w:t>
      </w:r>
      <w:r>
        <w:rPr>
          <w:rFonts w:hint="eastAsia" w:ascii="仿宋" w:hAnsi="仿宋" w:eastAsia="仿宋" w:cs="宋体"/>
          <w:sz w:val="28"/>
          <w:szCs w:val="28"/>
        </w:rPr>
        <w:t>锁登录）即可</w:t>
      </w:r>
    </w:p>
    <w:p>
      <w:pPr>
        <w:rPr>
          <w:rFonts w:ascii="仿宋" w:hAnsi="仿宋" w:eastAsia="仿宋" w:cs="宋体"/>
          <w:sz w:val="28"/>
          <w:szCs w:val="28"/>
        </w:rPr>
      </w:pPr>
      <w:r>
        <w:rPr>
          <w:rFonts w:ascii="仿宋" w:hAnsi="仿宋" w:eastAsia="仿宋"/>
        </w:rPr>
        <w:drawing>
          <wp:inline distT="0" distB="0" distL="0" distR="0">
            <wp:extent cx="5274310" cy="270192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2701925"/>
                    </a:xfrm>
                    <a:prstGeom prst="rect">
                      <a:avLst/>
                    </a:prstGeom>
                  </pic:spPr>
                </pic:pic>
              </a:graphicData>
            </a:graphic>
          </wp:inline>
        </w:drawing>
      </w:r>
    </w:p>
    <w:p>
      <w:pP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注意：</w:t>
      </w:r>
    </w:p>
    <w:p>
      <w:pPr>
        <w:numPr>
          <w:ilvl w:val="0"/>
          <w:numId w:val="1"/>
        </w:numPr>
        <w:ind w:left="560" w:leftChars="0" w:firstLine="0" w:firstLineChars="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自然人身份可通过手机直接注册账号，并登录铜陵市公共资源交易系统；</w:t>
      </w:r>
    </w:p>
    <w:p>
      <w:pPr>
        <w:numPr>
          <w:ilvl w:val="0"/>
          <w:numId w:val="1"/>
        </w:numPr>
        <w:ind w:left="560" w:leftChars="0" w:firstLine="0" w:firstLineChars="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企业身份必须办理CA锁方可登录系统；</w:t>
      </w:r>
    </w:p>
    <w:p>
      <w:pPr>
        <w:numPr>
          <w:numId w:val="0"/>
        </w:numPr>
        <w:ind w:left="560" w:leftChars="0"/>
        <w:rPr>
          <w:rFonts w:hint="default" w:ascii="仿宋" w:hAnsi="仿宋" w:eastAsia="仿宋" w:cs="宋体"/>
          <w:sz w:val="28"/>
          <w:szCs w:val="28"/>
          <w:lang w:val="en-US" w:eastAsia="zh-CN"/>
        </w:rPr>
      </w:pPr>
    </w:p>
    <w:p>
      <w:pPr>
        <w:rPr>
          <w:rFonts w:ascii="仿宋" w:hAnsi="仿宋" w:eastAsia="仿宋" w:cs="宋体"/>
          <w:sz w:val="28"/>
          <w:szCs w:val="28"/>
        </w:rPr>
      </w:pPr>
    </w:p>
    <w:p>
      <w:pPr>
        <w:rPr>
          <w:rFonts w:ascii="仿宋" w:hAnsi="仿宋" w:eastAsia="仿宋" w:cs="宋体"/>
          <w:sz w:val="28"/>
          <w:szCs w:val="28"/>
        </w:rPr>
      </w:pPr>
    </w:p>
    <w:p>
      <w:pPr>
        <w:rPr>
          <w:rFonts w:ascii="仿宋" w:hAnsi="仿宋" w:eastAsia="仿宋" w:cs="宋体"/>
          <w:sz w:val="28"/>
          <w:szCs w:val="28"/>
        </w:rPr>
      </w:pPr>
    </w:p>
    <w:p>
      <w:pPr>
        <w:rPr>
          <w:rFonts w:ascii="仿宋" w:hAnsi="仿宋" w:eastAsia="仿宋" w:cs="宋体"/>
          <w:sz w:val="28"/>
          <w:szCs w:val="28"/>
        </w:rPr>
      </w:pPr>
    </w:p>
    <w:p>
      <w:pPr>
        <w:rPr>
          <w:rFonts w:ascii="仿宋" w:hAnsi="仿宋" w:eastAsia="仿宋" w:cs="宋体"/>
          <w:sz w:val="28"/>
          <w:szCs w:val="28"/>
        </w:rPr>
      </w:pPr>
    </w:p>
    <w:p>
      <w:pPr>
        <w:rPr>
          <w:rFonts w:hint="eastAsia" w:ascii="仿宋" w:hAnsi="仿宋" w:eastAsia="仿宋" w:cs="宋体"/>
          <w:sz w:val="28"/>
          <w:szCs w:val="28"/>
        </w:rPr>
      </w:pPr>
    </w:p>
    <w:p>
      <w:pPr>
        <w:pStyle w:val="2"/>
        <w:numPr>
          <w:ilvl w:val="0"/>
          <w:numId w:val="2"/>
        </w:numPr>
        <w:rPr>
          <w:rFonts w:hint="eastAsia" w:ascii="阿里巴巴普惠体 2.0 95 ExtraBold" w:hAnsi="阿里巴巴普惠体 2.0 95 ExtraBold" w:eastAsia="阿里巴巴普惠体 2.0 95 ExtraBold" w:cs="阿里巴巴普惠体 2.0 95 ExtraBold"/>
          <w:sz w:val="30"/>
          <w:szCs w:val="30"/>
        </w:rPr>
      </w:pPr>
      <w:bookmarkStart w:id="1" w:name="_Toc123205435"/>
      <w:r>
        <w:rPr>
          <w:rFonts w:hint="eastAsia" w:ascii="阿里巴巴普惠体 2.0 95 ExtraBold" w:hAnsi="阿里巴巴普惠体 2.0 95 ExtraBold" w:eastAsia="阿里巴巴普惠体 2.0 95 ExtraBold" w:cs="阿里巴巴普惠体 2.0 95 ExtraBold"/>
          <w:sz w:val="30"/>
          <w:szCs w:val="30"/>
          <w:lang w:val="en-US" w:eastAsia="zh-CN"/>
        </w:rPr>
        <w:t>企业法人注册</w:t>
      </w:r>
    </w:p>
    <w:p>
      <w:pPr>
        <w:numPr>
          <w:ilvl w:val="0"/>
          <w:numId w:val="1"/>
        </w:numPr>
        <w:ind w:left="560" w:leftChars="0" w:firstLine="0" w:firstLineChars="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企业身份必须办理CA锁方可登录系统，</w:t>
      </w:r>
    </w:p>
    <w:p>
      <w:pPr>
        <w:numPr>
          <w:ilvl w:val="0"/>
          <w:numId w:val="0"/>
        </w:numPr>
        <w:ind w:left="560" w:leftChars="0"/>
        <w:rPr>
          <w:rStyle w:val="9"/>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（1）安徽CA办理地址：</w:t>
      </w:r>
      <w:r>
        <w:rPr>
          <w:rFonts w:hint="eastAsia" w:ascii="仿宋" w:hAnsi="仿宋" w:eastAsia="仿宋" w:cs="宋体"/>
          <w:color w:val="auto"/>
          <w:sz w:val="28"/>
          <w:szCs w:val="28"/>
          <w:u w:val="none"/>
          <w:lang w:val="en-US" w:eastAsia="zh-CN"/>
        </w:rPr>
        <w:fldChar w:fldCharType="begin"/>
      </w:r>
      <w:r>
        <w:rPr>
          <w:rFonts w:hint="eastAsia" w:ascii="仿宋" w:hAnsi="仿宋" w:eastAsia="仿宋" w:cs="宋体"/>
          <w:color w:val="auto"/>
          <w:sz w:val="28"/>
          <w:szCs w:val="28"/>
          <w:u w:val="none"/>
          <w:lang w:val="en-US" w:eastAsia="zh-CN"/>
        </w:rPr>
        <w:instrText xml:space="preserve"> HYPERLINK "http://online.aheca.cn/ocss/portal/self-service；" </w:instrText>
      </w:r>
      <w:r>
        <w:rPr>
          <w:rFonts w:hint="eastAsia" w:ascii="仿宋" w:hAnsi="仿宋" w:eastAsia="仿宋" w:cs="宋体"/>
          <w:color w:val="auto"/>
          <w:sz w:val="28"/>
          <w:szCs w:val="28"/>
          <w:u w:val="none"/>
          <w:lang w:val="en-US" w:eastAsia="zh-CN"/>
        </w:rPr>
        <w:fldChar w:fldCharType="separate"/>
      </w:r>
      <w:r>
        <w:rPr>
          <w:rStyle w:val="9"/>
          <w:rFonts w:hint="eastAsia" w:ascii="仿宋" w:hAnsi="仿宋" w:eastAsia="仿宋" w:cs="宋体"/>
          <w:sz w:val="28"/>
          <w:szCs w:val="28"/>
          <w:lang w:val="en-US" w:eastAsia="zh-CN"/>
        </w:rPr>
        <w:t>http://online.aheca.cn/ocss/portal/self-service；</w:t>
      </w:r>
    </w:p>
    <w:p>
      <w:pPr>
        <w:numPr>
          <w:ilvl w:val="0"/>
          <w:numId w:val="0"/>
        </w:numPr>
        <w:ind w:left="560" w:leftChars="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安徽CA办理咨询电话：0562-5885810、4008804959；</w:t>
      </w:r>
    </w:p>
    <w:p>
      <w:pPr>
        <w:numPr>
          <w:ilvl w:val="0"/>
          <w:numId w:val="0"/>
        </w:numPr>
        <w:ind w:left="560" w:leftChars="0"/>
        <w:rPr>
          <w:rFonts w:hint="eastAsia" w:ascii="仿宋" w:hAnsi="仿宋" w:eastAsia="仿宋" w:cs="宋体"/>
          <w:sz w:val="28"/>
          <w:szCs w:val="28"/>
          <w:lang w:val="en-US" w:eastAsia="zh-CN"/>
        </w:rPr>
      </w:pPr>
      <w:r>
        <w:rPr>
          <w:rFonts w:hint="eastAsia" w:ascii="仿宋" w:hAnsi="仿宋" w:eastAsia="仿宋" w:cs="宋体"/>
          <w:color w:val="auto"/>
          <w:sz w:val="28"/>
          <w:szCs w:val="28"/>
          <w:u w:val="none"/>
          <w:lang w:val="en-US" w:eastAsia="zh-CN"/>
        </w:rPr>
        <w:fldChar w:fldCharType="end"/>
      </w:r>
      <w:r>
        <w:rPr>
          <w:rFonts w:hint="eastAsia" w:ascii="仿宋" w:hAnsi="仿宋" w:eastAsia="仿宋" w:cs="宋体"/>
          <w:color w:val="auto"/>
          <w:sz w:val="28"/>
          <w:szCs w:val="28"/>
          <w:u w:val="none"/>
          <w:lang w:val="en-US" w:eastAsia="zh-CN"/>
        </w:rPr>
        <w:t>（2）</w:t>
      </w:r>
      <w:r>
        <w:rPr>
          <w:rFonts w:hint="eastAsia" w:ascii="仿宋" w:hAnsi="仿宋" w:eastAsia="仿宋" w:cs="宋体"/>
          <w:sz w:val="28"/>
          <w:szCs w:val="28"/>
          <w:lang w:val="en-US" w:eastAsia="zh-CN"/>
        </w:rPr>
        <w:t>江苏翔晟CA办理地址：</w:t>
      </w:r>
    </w:p>
    <w:p>
      <w:pPr>
        <w:numPr>
          <w:ilvl w:val="0"/>
          <w:numId w:val="0"/>
        </w:numPr>
        <w:ind w:left="560" w:leftChars="0"/>
        <w:rPr>
          <w:rFonts w:hint="eastAsia" w:ascii="仿宋" w:hAnsi="仿宋" w:eastAsia="仿宋" w:cs="宋体"/>
          <w:sz w:val="28"/>
          <w:szCs w:val="28"/>
          <w:lang w:val="en-US" w:eastAsia="zh-CN"/>
        </w:rPr>
      </w:pPr>
      <w:r>
        <w:rPr>
          <w:rFonts w:hint="default" w:ascii="仿宋" w:hAnsi="仿宋" w:eastAsia="仿宋" w:cs="宋体"/>
          <w:sz w:val="28"/>
          <w:szCs w:val="28"/>
          <w:lang w:val="en-US" w:eastAsia="zh-CN"/>
        </w:rPr>
        <w:fldChar w:fldCharType="begin"/>
      </w:r>
      <w:r>
        <w:rPr>
          <w:rFonts w:hint="default" w:ascii="仿宋" w:hAnsi="仿宋" w:eastAsia="仿宋" w:cs="宋体"/>
          <w:sz w:val="28"/>
          <w:szCs w:val="28"/>
          <w:lang w:val="en-US" w:eastAsia="zh-CN"/>
        </w:rPr>
        <w:instrText xml:space="preserve"> HYPERLINK "http://www.share-sun.com/anhui/index.html" </w:instrText>
      </w:r>
      <w:r>
        <w:rPr>
          <w:rFonts w:hint="default" w:ascii="仿宋" w:hAnsi="仿宋" w:eastAsia="仿宋" w:cs="宋体"/>
          <w:sz w:val="28"/>
          <w:szCs w:val="28"/>
          <w:lang w:val="en-US" w:eastAsia="zh-CN"/>
        </w:rPr>
        <w:fldChar w:fldCharType="separate"/>
      </w:r>
      <w:r>
        <w:rPr>
          <w:rStyle w:val="9"/>
          <w:rFonts w:hint="default" w:ascii="仿宋" w:hAnsi="仿宋" w:eastAsia="仿宋" w:cs="宋体"/>
          <w:sz w:val="28"/>
          <w:szCs w:val="28"/>
          <w:lang w:val="en-US" w:eastAsia="zh-CN"/>
        </w:rPr>
        <w:t>http://www.share-sun.com/anhui/index.html</w:t>
      </w:r>
      <w:r>
        <w:rPr>
          <w:rFonts w:hint="default" w:ascii="仿宋" w:hAnsi="仿宋" w:eastAsia="仿宋" w:cs="宋体"/>
          <w:sz w:val="28"/>
          <w:szCs w:val="28"/>
          <w:lang w:val="en-US" w:eastAsia="zh-CN"/>
        </w:rPr>
        <w:fldChar w:fldCharType="end"/>
      </w:r>
      <w:r>
        <w:rPr>
          <w:rFonts w:hint="eastAsia" w:ascii="仿宋" w:hAnsi="仿宋" w:eastAsia="仿宋" w:cs="宋体"/>
          <w:sz w:val="28"/>
          <w:szCs w:val="28"/>
          <w:lang w:val="en-US" w:eastAsia="zh-CN"/>
        </w:rPr>
        <w:t>；</w:t>
      </w:r>
    </w:p>
    <w:p>
      <w:pPr>
        <w:numPr>
          <w:ilvl w:val="0"/>
          <w:numId w:val="0"/>
        </w:numPr>
        <w:ind w:left="560" w:leftChars="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江苏翔晟CA办理咨询电话：0562-5885809、025-66085508；</w:t>
      </w:r>
    </w:p>
    <w:p>
      <w:pPr>
        <w:numPr>
          <w:ilvl w:val="0"/>
          <w:numId w:val="3"/>
        </w:numPr>
        <w:ind w:left="560" w:leftChars="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企业入库办理和信息完善网址：</w:t>
      </w:r>
    </w:p>
    <w:p>
      <w:pPr>
        <w:numPr>
          <w:ilvl w:val="0"/>
          <w:numId w:val="0"/>
        </w:numPr>
        <w:ind w:firstLine="280" w:firstLineChars="100"/>
        <w:rPr>
          <w:rFonts w:hint="default" w:ascii="仿宋" w:hAnsi="仿宋" w:eastAsia="仿宋" w:cs="宋体"/>
          <w:sz w:val="28"/>
          <w:szCs w:val="28"/>
          <w:lang w:val="en-US" w:eastAsia="zh-CN"/>
        </w:rPr>
      </w:pPr>
      <w:r>
        <w:rPr>
          <w:rFonts w:hint="default" w:ascii="仿宋" w:hAnsi="仿宋" w:eastAsia="仿宋" w:cs="宋体"/>
          <w:sz w:val="28"/>
          <w:szCs w:val="28"/>
          <w:lang w:val="en-US" w:eastAsia="zh-CN"/>
        </w:rPr>
        <w:fldChar w:fldCharType="begin"/>
      </w:r>
      <w:r>
        <w:rPr>
          <w:rFonts w:hint="default" w:ascii="仿宋" w:hAnsi="仿宋" w:eastAsia="仿宋" w:cs="宋体"/>
          <w:sz w:val="28"/>
          <w:szCs w:val="28"/>
          <w:lang w:val="en-US" w:eastAsia="zh-CN"/>
        </w:rPr>
        <w:instrText xml:space="preserve"> HYPERLINK "http://60.173.1.248:8181/TPBidderNew/memberLogin" </w:instrText>
      </w:r>
      <w:r>
        <w:rPr>
          <w:rFonts w:hint="default" w:ascii="仿宋" w:hAnsi="仿宋" w:eastAsia="仿宋" w:cs="宋体"/>
          <w:sz w:val="28"/>
          <w:szCs w:val="28"/>
          <w:lang w:val="en-US" w:eastAsia="zh-CN"/>
        </w:rPr>
        <w:fldChar w:fldCharType="separate"/>
      </w:r>
      <w:r>
        <w:rPr>
          <w:rStyle w:val="9"/>
          <w:rFonts w:hint="default" w:ascii="仿宋" w:hAnsi="仿宋" w:eastAsia="仿宋" w:cs="宋体"/>
          <w:sz w:val="28"/>
          <w:szCs w:val="28"/>
          <w:lang w:val="en-US" w:eastAsia="zh-CN"/>
        </w:rPr>
        <w:t>http://60.173.1.248:8181/TPBidderNew/memberLogin</w:t>
      </w:r>
      <w:r>
        <w:rPr>
          <w:rFonts w:hint="default" w:ascii="仿宋" w:hAnsi="仿宋" w:eastAsia="仿宋" w:cs="宋体"/>
          <w:sz w:val="28"/>
          <w:szCs w:val="28"/>
          <w:lang w:val="en-US" w:eastAsia="zh-CN"/>
        </w:rPr>
        <w:fldChar w:fldCharType="end"/>
      </w:r>
    </w:p>
    <w:p>
      <w:pPr>
        <w:numPr>
          <w:ilvl w:val="0"/>
          <w:numId w:val="0"/>
        </w:numPr>
        <w:ind w:firstLine="280" w:firstLineChars="10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 xml:space="preserve">  （4）</w:t>
      </w:r>
    </w:p>
    <w:p>
      <w:pPr>
        <w:rPr>
          <w:rFonts w:hint="eastAsia"/>
        </w:rPr>
      </w:pPr>
    </w:p>
    <w:p>
      <w:pPr>
        <w:pStyle w:val="2"/>
        <w:numPr>
          <w:ilvl w:val="0"/>
          <w:numId w:val="2"/>
        </w:numPr>
        <w:rPr>
          <w:rFonts w:hint="eastAsia" w:ascii="阿里巴巴普惠体 2.0 95 ExtraBold" w:hAnsi="阿里巴巴普惠体 2.0 95 ExtraBold" w:eastAsia="阿里巴巴普惠体 2.0 95 ExtraBold" w:cs="阿里巴巴普惠体 2.0 95 ExtraBold"/>
          <w:sz w:val="30"/>
          <w:szCs w:val="30"/>
        </w:rPr>
      </w:pPr>
      <w:r>
        <w:rPr>
          <w:rFonts w:hint="eastAsia" w:ascii="阿里巴巴普惠体 2.0 95 ExtraBold" w:hAnsi="阿里巴巴普惠体 2.0 95 ExtraBold" w:eastAsia="阿里巴巴普惠体 2.0 95 ExtraBold" w:cs="阿里巴巴普惠体 2.0 95 ExtraBold"/>
          <w:sz w:val="30"/>
          <w:szCs w:val="30"/>
        </w:rPr>
        <w:t>自然人账户注册</w:t>
      </w:r>
      <w:bookmarkEnd w:id="1"/>
    </w:p>
    <w:p>
      <w:pPr>
        <w:numPr>
          <w:numId w:val="0"/>
        </w:numPr>
      </w:pPr>
    </w:p>
    <w:p>
      <w:pPr>
        <w:ind w:firstLine="280" w:firstLineChars="100"/>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rPr>
        <w:t>1</w:t>
      </w:r>
      <w:r>
        <w:rPr>
          <w:rFonts w:hint="eastAsia" w:ascii="仿宋" w:hAnsi="仿宋" w:eastAsia="仿宋" w:cs="宋体"/>
          <w:sz w:val="28"/>
          <w:szCs w:val="28"/>
          <w:lang w:eastAsia="zh-CN"/>
        </w:rPr>
        <w:t>）</w:t>
      </w:r>
      <w:r>
        <w:rPr>
          <w:rFonts w:hint="eastAsia" w:ascii="仿宋" w:hAnsi="仿宋" w:eastAsia="仿宋" w:cs="宋体"/>
          <w:sz w:val="28"/>
          <w:szCs w:val="28"/>
        </w:rPr>
        <w:t>若无自然人账户，需先进行新注册操作（如下图），选择“自然人账号注册”。</w:t>
      </w:r>
    </w:p>
    <w:p>
      <w:pPr>
        <w:rPr>
          <w:rFonts w:hint="eastAsia" w:ascii="仿宋" w:hAnsi="仿宋" w:eastAsia="仿宋" w:cs="宋体"/>
          <w:sz w:val="28"/>
          <w:szCs w:val="28"/>
        </w:rPr>
      </w:pPr>
      <w:r>
        <w:drawing>
          <wp:inline distT="0" distB="0" distL="0" distR="0">
            <wp:extent cx="5274310" cy="255587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2555875"/>
                    </a:xfrm>
                    <a:prstGeom prst="rect">
                      <a:avLst/>
                    </a:prstGeom>
                  </pic:spPr>
                </pic:pic>
              </a:graphicData>
            </a:graphic>
          </wp:inline>
        </w:drawing>
      </w:r>
    </w:p>
    <w:p>
      <w:pPr>
        <w:rPr>
          <w:rFonts w:hint="eastAsia" w:ascii="仿宋" w:hAnsi="仿宋" w:eastAsia="仿宋" w:cs="宋体"/>
          <w:sz w:val="28"/>
          <w:szCs w:val="28"/>
        </w:rPr>
      </w:pPr>
    </w:p>
    <w:p>
      <w:pPr>
        <w:numPr>
          <w:ilvl w:val="0"/>
          <w:numId w:val="4"/>
        </w:numPr>
        <w:rPr>
          <w:rFonts w:ascii="仿宋" w:hAnsi="仿宋" w:eastAsia="仿宋" w:cs="宋体"/>
          <w:sz w:val="28"/>
          <w:szCs w:val="28"/>
        </w:rPr>
      </w:pPr>
      <w:r>
        <w:rPr>
          <w:rFonts w:hint="eastAsia" w:ascii="仿宋" w:hAnsi="仿宋" w:eastAsia="仿宋" w:cs="宋体"/>
          <w:sz w:val="28"/>
          <w:szCs w:val="28"/>
        </w:rPr>
        <w:t>按照页面中的要求进行填写注册信息，填写完成后点击“立即注册”（请妥善保管注册的账户名与密码）</w:t>
      </w:r>
    </w:p>
    <w:p>
      <w:pPr>
        <w:rPr>
          <w:rFonts w:ascii="仿宋" w:hAnsi="仿宋" w:eastAsia="仿宋"/>
        </w:rPr>
      </w:pPr>
      <w:r>
        <w:drawing>
          <wp:inline distT="0" distB="0" distL="0" distR="0">
            <wp:extent cx="5274310" cy="362204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stretch>
                      <a:fillRect/>
                    </a:stretch>
                  </pic:blipFill>
                  <pic:spPr>
                    <a:xfrm>
                      <a:off x="0" y="0"/>
                      <a:ext cx="5274310" cy="3622040"/>
                    </a:xfrm>
                    <a:prstGeom prst="rect">
                      <a:avLst/>
                    </a:prstGeom>
                  </pic:spPr>
                </pic:pic>
              </a:graphicData>
            </a:graphic>
          </wp:inline>
        </w:drawing>
      </w:r>
    </w:p>
    <w:p>
      <w:pPr>
        <w:numPr>
          <w:ilvl w:val="0"/>
          <w:numId w:val="4"/>
        </w:numPr>
        <w:rPr>
          <w:rFonts w:ascii="仿宋" w:hAnsi="仿宋" w:eastAsia="仿宋"/>
        </w:rPr>
      </w:pPr>
      <w:r>
        <w:rPr>
          <w:rFonts w:hint="eastAsia" w:ascii="仿宋" w:hAnsi="仿宋" w:eastAsia="仿宋"/>
        </w:rPr>
        <w:t>注册成功后会自动跳转登录系统</w:t>
      </w:r>
    </w:p>
    <w:p>
      <w:pPr>
        <w:numPr>
          <w:ilvl w:val="0"/>
          <w:numId w:val="4"/>
        </w:numPr>
        <w:rPr>
          <w:rFonts w:ascii="仿宋" w:hAnsi="仿宋" w:eastAsia="仿宋"/>
        </w:rPr>
      </w:pPr>
      <w:r>
        <w:rPr>
          <w:rFonts w:hint="eastAsia" w:ascii="仿宋" w:hAnsi="仿宋" w:eastAsia="仿宋"/>
        </w:rPr>
        <w:t>初次登录系统需要完善信息，点击修改信息，然后按要求填写信息后提交审核</w:t>
      </w:r>
      <w:r>
        <w:rPr>
          <w:rFonts w:hint="eastAsia" w:ascii="仿宋" w:hAnsi="仿宋" w:eastAsia="仿宋"/>
          <w:b/>
          <w:bCs/>
        </w:rPr>
        <w:t>（提交后系统自动审核通过）</w:t>
      </w:r>
    </w:p>
    <w:p>
      <w:pPr>
        <w:rPr>
          <w:rFonts w:ascii="仿宋" w:hAnsi="仿宋" w:eastAsia="仿宋"/>
        </w:rPr>
      </w:pPr>
      <w:r>
        <w:rPr>
          <w:rFonts w:ascii="仿宋" w:hAnsi="仿宋" w:eastAsia="仿宋"/>
        </w:rPr>
        <w:drawing>
          <wp:inline distT="0" distB="0" distL="114300" distR="114300">
            <wp:extent cx="5269230" cy="3034665"/>
            <wp:effectExtent l="0" t="0" r="3810" b="133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5269230" cy="3034665"/>
                    </a:xfrm>
                    <a:prstGeom prst="rect">
                      <a:avLst/>
                    </a:prstGeom>
                    <a:noFill/>
                    <a:ln>
                      <a:noFill/>
                    </a:ln>
                  </pic:spPr>
                </pic:pic>
              </a:graphicData>
            </a:graphic>
          </wp:inline>
        </w:drawing>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hint="eastAsia" w:ascii="仿宋" w:hAnsi="仿宋" w:eastAsia="仿宋"/>
        </w:rPr>
      </w:pPr>
    </w:p>
    <w:p>
      <w:pPr>
        <w:pStyle w:val="2"/>
        <w:numPr>
          <w:ilvl w:val="0"/>
          <w:numId w:val="5"/>
        </w:numPr>
        <w:rPr>
          <w:rFonts w:hint="eastAsia" w:ascii="阿里巴巴普惠体 2.0 95 ExtraBold" w:hAnsi="阿里巴巴普惠体 2.0 95 ExtraBold" w:eastAsia="阿里巴巴普惠体 2.0 95 ExtraBold" w:cs="阿里巴巴普惠体 2.0 95 ExtraBold"/>
          <w:sz w:val="30"/>
          <w:szCs w:val="30"/>
        </w:rPr>
      </w:pPr>
      <w:bookmarkStart w:id="2" w:name="_Toc123205436"/>
      <w:r>
        <w:rPr>
          <w:rFonts w:hint="eastAsia" w:ascii="阿里巴巴普惠体 2.0 95 ExtraBold" w:hAnsi="阿里巴巴普惠体 2.0 95 ExtraBold" w:eastAsia="阿里巴巴普惠体 2.0 95 ExtraBold" w:cs="阿里巴巴普惠体 2.0 95 ExtraBold"/>
          <w:sz w:val="30"/>
          <w:szCs w:val="30"/>
        </w:rPr>
        <w:t>参与产权交易项目</w:t>
      </w:r>
      <w:bookmarkEnd w:id="2"/>
    </w:p>
    <w:p>
      <w:pPr>
        <w:rPr>
          <w:rFonts w:ascii="仿宋" w:hAnsi="仿宋" w:eastAsia="仿宋"/>
        </w:rPr>
      </w:pPr>
    </w:p>
    <w:p>
      <w:pPr>
        <w:rPr>
          <w:rFonts w:hint="default" w:ascii="仿宋" w:hAnsi="仿宋" w:eastAsia="仿宋"/>
          <w:lang w:val="en-US" w:eastAsia="zh-CN"/>
        </w:rPr>
      </w:pPr>
      <w:r>
        <w:rPr>
          <w:rFonts w:hint="eastAsia" w:ascii="仿宋" w:hAnsi="仿宋" w:eastAsia="仿宋"/>
        </w:rPr>
        <w:t>1、</w:t>
      </w:r>
      <w:r>
        <w:rPr>
          <w:rFonts w:hint="eastAsia" w:ascii="仿宋" w:hAnsi="仿宋" w:eastAsia="仿宋"/>
          <w:lang w:val="en-US" w:eastAsia="zh-CN"/>
        </w:rPr>
        <w:t>查看项目</w:t>
      </w:r>
    </w:p>
    <w:p>
      <w:pPr>
        <w:rPr>
          <w:rFonts w:ascii="仿宋" w:hAnsi="仿宋" w:eastAsia="仿宋"/>
        </w:rPr>
      </w:pPr>
      <w:r>
        <w:rPr>
          <w:rFonts w:hint="eastAsia" w:ascii="仿宋" w:hAnsi="仿宋" w:eastAsia="仿宋"/>
        </w:rPr>
        <w:t>完成登录操作以后，进入系统选择右侧“招标公告”可以查看到当前正在进行中的产权交易项目，查找需要参与的项目；</w:t>
      </w:r>
    </w:p>
    <w:p>
      <w:pPr>
        <w:rPr>
          <w:rFonts w:ascii="仿宋" w:hAnsi="仿宋" w:eastAsia="仿宋"/>
        </w:rPr>
      </w:pPr>
      <w:r>
        <w:rPr>
          <w:rFonts w:ascii="仿宋" w:hAnsi="仿宋" w:eastAsia="仿宋"/>
        </w:rPr>
        <w:drawing>
          <wp:inline distT="0" distB="0" distL="114300" distR="114300">
            <wp:extent cx="5268595" cy="2091055"/>
            <wp:effectExtent l="0" t="0" r="4445" b="1206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5268595" cy="2091055"/>
                    </a:xfrm>
                    <a:prstGeom prst="rect">
                      <a:avLst/>
                    </a:prstGeom>
                    <a:noFill/>
                    <a:ln>
                      <a:noFill/>
                    </a:ln>
                  </pic:spPr>
                </pic:pic>
              </a:graphicData>
            </a:graphic>
          </wp:inline>
        </w:drawing>
      </w:r>
    </w:p>
    <w:p>
      <w:pPr>
        <w:rPr>
          <w:rFonts w:ascii="仿宋" w:hAnsi="仿宋" w:eastAsia="仿宋"/>
        </w:rPr>
      </w:pPr>
    </w:p>
    <w:p>
      <w:pPr>
        <w:rPr>
          <w:rFonts w:hint="eastAsia" w:ascii="仿宋" w:hAnsi="仿宋" w:eastAsia="仿宋"/>
        </w:rPr>
      </w:pPr>
    </w:p>
    <w:p>
      <w:pPr>
        <w:pStyle w:val="11"/>
        <w:numPr>
          <w:ilvl w:val="0"/>
          <w:numId w:val="6"/>
        </w:numPr>
        <w:ind w:firstLineChars="0"/>
        <w:rPr>
          <w:rFonts w:ascii="仿宋" w:hAnsi="仿宋" w:eastAsia="仿宋"/>
        </w:rPr>
      </w:pPr>
      <w:r>
        <w:rPr>
          <w:rFonts w:hint="eastAsia" w:ascii="仿宋" w:hAnsi="仿宋" w:eastAsia="仿宋"/>
          <w:lang w:val="en-US" w:eastAsia="zh-CN"/>
        </w:rPr>
        <w:t>项目报名</w:t>
      </w:r>
    </w:p>
    <w:p>
      <w:pPr>
        <w:pStyle w:val="11"/>
        <w:numPr>
          <w:numId w:val="0"/>
        </w:numPr>
        <w:ind w:leftChars="0"/>
        <w:rPr>
          <w:rFonts w:ascii="仿宋" w:hAnsi="仿宋" w:eastAsia="仿宋"/>
        </w:rPr>
      </w:pPr>
      <w:r>
        <w:rPr>
          <w:rFonts w:hint="eastAsia" w:ascii="仿宋" w:hAnsi="仿宋" w:eastAsia="仿宋"/>
        </w:rPr>
        <w:t>选择需要参与的项目后，鼠标移到项目上选择公告详情，点击进入项目。</w:t>
      </w:r>
    </w:p>
    <w:p>
      <w:pPr>
        <w:rPr>
          <w:rFonts w:hint="eastAsia" w:ascii="仿宋" w:hAnsi="仿宋" w:eastAsia="仿宋"/>
        </w:rPr>
      </w:pPr>
      <w:r>
        <w:rPr>
          <w:rFonts w:hint="eastAsia" w:ascii="仿宋" w:hAnsi="仿宋" w:eastAsia="仿宋"/>
        </w:rPr>
        <w:t>进入项目工作台界面（如下图）</w:t>
      </w:r>
    </w:p>
    <w:p>
      <w:pPr>
        <w:rPr>
          <w:rFonts w:ascii="仿宋" w:hAnsi="仿宋" w:eastAsia="仿宋"/>
        </w:rPr>
      </w:pPr>
      <w:r>
        <w:rPr>
          <w:rFonts w:ascii="仿宋" w:hAnsi="仿宋" w:eastAsia="仿宋"/>
        </w:rPr>
        <w:drawing>
          <wp:inline distT="0" distB="0" distL="114300" distR="114300">
            <wp:extent cx="5273040" cy="2275205"/>
            <wp:effectExtent l="0" t="0" r="0" b="1079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5273040" cy="2275205"/>
                    </a:xfrm>
                    <a:prstGeom prst="rect">
                      <a:avLst/>
                    </a:prstGeom>
                    <a:noFill/>
                    <a:ln>
                      <a:noFill/>
                    </a:ln>
                  </pic:spPr>
                </pic:pic>
              </a:graphicData>
            </a:graphic>
          </wp:inline>
        </w:drawing>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hint="eastAsia" w:ascii="仿宋" w:hAnsi="仿宋" w:eastAsia="仿宋"/>
        </w:rPr>
      </w:pPr>
    </w:p>
    <w:p>
      <w:pPr>
        <w:pStyle w:val="11"/>
        <w:numPr>
          <w:ilvl w:val="0"/>
          <w:numId w:val="6"/>
        </w:numPr>
        <w:ind w:firstLineChars="0"/>
        <w:rPr>
          <w:rFonts w:ascii="仿宋" w:hAnsi="仿宋" w:eastAsia="仿宋"/>
        </w:rPr>
      </w:pPr>
      <w:r>
        <w:rPr>
          <w:rFonts w:hint="eastAsia" w:ascii="仿宋" w:hAnsi="仿宋" w:eastAsia="仿宋"/>
          <w:lang w:val="en-US" w:eastAsia="zh-CN"/>
        </w:rPr>
        <w:t>报名登记</w:t>
      </w:r>
    </w:p>
    <w:p>
      <w:pPr>
        <w:pStyle w:val="11"/>
        <w:numPr>
          <w:numId w:val="0"/>
        </w:numPr>
        <w:ind w:leftChars="0"/>
        <w:rPr>
          <w:rFonts w:ascii="仿宋" w:hAnsi="仿宋" w:eastAsia="仿宋"/>
        </w:rPr>
      </w:pPr>
      <w:r>
        <w:rPr>
          <w:rFonts w:hint="eastAsia" w:ascii="仿宋" w:hAnsi="仿宋" w:eastAsia="仿宋"/>
        </w:rPr>
        <w:t>参与项目第一步点击“项目登记”（如下图），按要求填写相关信息，并上传项目所需的资料审核文件（文件需为P</w:t>
      </w:r>
      <w:r>
        <w:rPr>
          <w:rFonts w:ascii="仿宋" w:hAnsi="仿宋" w:eastAsia="仿宋"/>
        </w:rPr>
        <w:t>DF</w:t>
      </w:r>
      <w:r>
        <w:rPr>
          <w:rFonts w:hint="eastAsia" w:ascii="仿宋" w:hAnsi="仿宋" w:eastAsia="仿宋"/>
        </w:rPr>
        <w:t>文件），填写完成后提交。提交完成后可联系代理机构人员进行资格审核，完成后即报名成功。</w:t>
      </w:r>
    </w:p>
    <w:p>
      <w:pPr>
        <w:rPr>
          <w:rFonts w:hint="eastAsia" w:ascii="仿宋" w:hAnsi="仿宋" w:eastAsia="仿宋"/>
        </w:rPr>
      </w:pPr>
    </w:p>
    <w:p>
      <w:pPr>
        <w:rPr>
          <w:rFonts w:ascii="仿宋" w:hAnsi="仿宋" w:eastAsia="仿宋"/>
        </w:rPr>
      </w:pPr>
      <w:r>
        <w:rPr>
          <w:rFonts w:ascii="仿宋" w:hAnsi="仿宋" w:eastAsia="仿宋"/>
        </w:rPr>
        <w:drawing>
          <wp:inline distT="0" distB="0" distL="114300" distR="114300">
            <wp:extent cx="5285105" cy="2334895"/>
            <wp:effectExtent l="0" t="0" r="0" b="825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0"/>
                    <a:stretch>
                      <a:fillRect/>
                    </a:stretch>
                  </pic:blipFill>
                  <pic:spPr>
                    <a:xfrm>
                      <a:off x="0" y="0"/>
                      <a:ext cx="5287047" cy="2336122"/>
                    </a:xfrm>
                    <a:prstGeom prst="rect">
                      <a:avLst/>
                    </a:prstGeom>
                    <a:noFill/>
                    <a:ln>
                      <a:noFill/>
                    </a:ln>
                  </pic:spPr>
                </pic:pic>
              </a:graphicData>
            </a:graphic>
          </wp:inline>
        </w:drawing>
      </w:r>
    </w:p>
    <w:p>
      <w:pPr>
        <w:rPr>
          <w:rFonts w:hint="eastAsia" w:ascii="仿宋" w:hAnsi="仿宋" w:eastAsia="仿宋"/>
        </w:rPr>
      </w:pPr>
    </w:p>
    <w:p>
      <w:pPr>
        <w:rPr>
          <w:rFonts w:hint="eastAsia" w:ascii="仿宋" w:hAnsi="仿宋" w:eastAsia="仿宋"/>
        </w:rPr>
      </w:pPr>
    </w:p>
    <w:p>
      <w:pPr>
        <w:pStyle w:val="11"/>
        <w:numPr>
          <w:ilvl w:val="0"/>
          <w:numId w:val="6"/>
        </w:numPr>
        <w:ind w:firstLineChars="0"/>
        <w:rPr>
          <w:rFonts w:hint="eastAsia" w:ascii="仿宋" w:hAnsi="仿宋" w:eastAsia="仿宋"/>
          <w:b/>
          <w:bCs/>
          <w:color w:val="FF0000"/>
        </w:rPr>
      </w:pPr>
      <w:r>
        <w:rPr>
          <w:rFonts w:hint="eastAsia" w:ascii="仿宋" w:hAnsi="仿宋" w:eastAsia="仿宋"/>
          <w:b/>
          <w:bCs/>
          <w:color w:val="FF0000"/>
          <w:lang w:val="en-US" w:eastAsia="zh-CN"/>
        </w:rPr>
        <w:t>保证金查询</w:t>
      </w:r>
    </w:p>
    <w:p>
      <w:pPr>
        <w:pStyle w:val="11"/>
        <w:numPr>
          <w:numId w:val="0"/>
        </w:numPr>
        <w:ind w:leftChars="0"/>
        <w:rPr>
          <w:rFonts w:hint="eastAsia" w:ascii="仿宋" w:hAnsi="仿宋" w:eastAsia="仿宋"/>
          <w:b/>
          <w:bCs/>
          <w:color w:val="FF0000"/>
        </w:rPr>
      </w:pPr>
      <w:r>
        <w:rPr>
          <w:rFonts w:hint="eastAsia" w:ascii="仿宋" w:hAnsi="仿宋" w:eastAsia="仿宋"/>
        </w:rPr>
        <w:t>参与项目第二步，在代理机构资格审查通过后点击“保证金查询”（如下图），按照页面的展示的或者该项目的产权交易公告中所描述的保证金账户，进行保证金缴纳</w:t>
      </w:r>
      <w:r>
        <w:rPr>
          <w:rFonts w:hint="eastAsia" w:ascii="仿宋" w:hAnsi="仿宋" w:eastAsia="仿宋"/>
          <w:b/>
          <w:bCs/>
          <w:color w:val="FF0000"/>
        </w:rPr>
        <w:t>（保证金需以电汇或转账方式交纳保证金，不接受微信、支付宝、现金等交款方式）。</w:t>
      </w:r>
    </w:p>
    <w:p>
      <w:pPr>
        <w:rPr>
          <w:rFonts w:ascii="仿宋" w:hAnsi="仿宋" w:eastAsia="仿宋"/>
        </w:rPr>
      </w:pPr>
      <w:r>
        <w:drawing>
          <wp:inline distT="0" distB="0" distL="0" distR="0">
            <wp:extent cx="5274310" cy="1424940"/>
            <wp:effectExtent l="0" t="0" r="2540"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a:stretch>
                      <a:fillRect/>
                    </a:stretch>
                  </pic:blipFill>
                  <pic:spPr>
                    <a:xfrm>
                      <a:off x="0" y="0"/>
                      <a:ext cx="5274310" cy="1424940"/>
                    </a:xfrm>
                    <a:prstGeom prst="rect">
                      <a:avLst/>
                    </a:prstGeom>
                  </pic:spPr>
                </pic:pic>
              </a:graphicData>
            </a:graphic>
          </wp:inline>
        </w:drawing>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hint="eastAsia" w:ascii="仿宋" w:hAnsi="仿宋" w:eastAsia="仿宋"/>
        </w:rPr>
      </w:pPr>
    </w:p>
    <w:p>
      <w:pPr>
        <w:pStyle w:val="11"/>
        <w:numPr>
          <w:ilvl w:val="0"/>
          <w:numId w:val="6"/>
        </w:numPr>
        <w:ind w:firstLineChars="0"/>
        <w:rPr>
          <w:rFonts w:ascii="仿宋" w:hAnsi="仿宋" w:eastAsia="仿宋"/>
        </w:rPr>
      </w:pPr>
      <w:r>
        <w:rPr>
          <w:rFonts w:hint="eastAsia" w:ascii="仿宋" w:hAnsi="仿宋" w:eastAsia="仿宋"/>
          <w:lang w:val="en-US" w:eastAsia="zh-CN"/>
        </w:rPr>
        <w:t>确认保证金到账</w:t>
      </w:r>
      <w:bookmarkStart w:id="4" w:name="_GoBack"/>
      <w:bookmarkEnd w:id="4"/>
    </w:p>
    <w:p>
      <w:pPr>
        <w:pStyle w:val="11"/>
        <w:numPr>
          <w:numId w:val="0"/>
        </w:numPr>
        <w:ind w:leftChars="0"/>
        <w:rPr>
          <w:rFonts w:ascii="仿宋" w:hAnsi="仿宋" w:eastAsia="仿宋"/>
        </w:rPr>
      </w:pPr>
      <w:r>
        <w:rPr>
          <w:rFonts w:hint="eastAsia" w:ascii="仿宋" w:hAnsi="仿宋" w:eastAsia="仿宋"/>
        </w:rPr>
        <w:t>参与项目第三步，在保证金缴纳完成后，再次进入“保证金查询”功能，进行查询，确认是否已到账，确认到账后在竞价项目开始当天可以再次登录系统点击“进入竞价系统”即可正常参与竞价。</w:t>
      </w:r>
    </w:p>
    <w:p>
      <w:pPr>
        <w:rPr>
          <w:rFonts w:hint="eastAsia" w:ascii="仿宋" w:hAnsi="仿宋" w:eastAsia="仿宋"/>
        </w:rPr>
      </w:pPr>
    </w:p>
    <w:p>
      <w:pPr>
        <w:rPr>
          <w:rFonts w:ascii="仿宋" w:hAnsi="仿宋" w:eastAsia="仿宋"/>
        </w:rPr>
      </w:pPr>
      <w:r>
        <w:rPr>
          <w:rFonts w:ascii="仿宋" w:hAnsi="仿宋" w:eastAsia="仿宋"/>
        </w:rPr>
        <w:drawing>
          <wp:inline distT="0" distB="0" distL="114300" distR="114300">
            <wp:extent cx="5273040" cy="2275205"/>
            <wp:effectExtent l="0" t="0" r="0" b="1079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9"/>
                    <a:stretch>
                      <a:fillRect/>
                    </a:stretch>
                  </pic:blipFill>
                  <pic:spPr>
                    <a:xfrm>
                      <a:off x="0" y="0"/>
                      <a:ext cx="5273040" cy="2275205"/>
                    </a:xfrm>
                    <a:prstGeom prst="rect">
                      <a:avLst/>
                    </a:prstGeom>
                    <a:noFill/>
                    <a:ln>
                      <a:noFill/>
                    </a:ln>
                  </pic:spPr>
                </pic:pic>
              </a:graphicData>
            </a:graphic>
          </wp:inline>
        </w:drawing>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pStyle w:val="2"/>
        <w:numPr>
          <w:ilvl w:val="0"/>
          <w:numId w:val="5"/>
        </w:numPr>
        <w:rPr>
          <w:rFonts w:hint="eastAsia" w:ascii="阿里巴巴普惠体 2.0 95 ExtraBold" w:hAnsi="阿里巴巴普惠体 2.0 95 ExtraBold" w:eastAsia="阿里巴巴普惠体 2.0 95 ExtraBold" w:cs="阿里巴巴普惠体 2.0 95 ExtraBold"/>
          <w:sz w:val="30"/>
          <w:szCs w:val="30"/>
        </w:rPr>
      </w:pPr>
      <w:bookmarkStart w:id="3" w:name="_Toc123205437"/>
      <w:r>
        <w:rPr>
          <w:rFonts w:hint="eastAsia" w:ascii="阿里巴巴普惠体 2.0 95 ExtraBold" w:hAnsi="阿里巴巴普惠体 2.0 95 ExtraBold" w:eastAsia="阿里巴巴普惠体 2.0 95 ExtraBold" w:cs="阿里巴巴普惠体 2.0 95 ExtraBold"/>
          <w:sz w:val="30"/>
          <w:szCs w:val="30"/>
        </w:rPr>
        <w:t>注意事项</w:t>
      </w:r>
      <w:bookmarkEnd w:id="3"/>
    </w:p>
    <w:p>
      <w:pPr>
        <w:ind w:firstLine="241" w:firstLineChars="100"/>
        <w:rPr>
          <w:rFonts w:hint="eastAsia" w:ascii="仿宋" w:hAnsi="仿宋" w:eastAsia="仿宋"/>
          <w:b/>
          <w:bCs/>
          <w:color w:val="FF0000"/>
        </w:rPr>
      </w:pPr>
      <w:r>
        <w:rPr>
          <w:rFonts w:hint="eastAsia" w:ascii="仿宋" w:hAnsi="仿宋" w:eastAsia="仿宋"/>
          <w:b/>
          <w:bCs/>
          <w:color w:val="FF0000"/>
        </w:rPr>
        <w:t>进入竞价系统需要电脑终端安装“谷歌浏览器（</w:t>
      </w:r>
      <w:r>
        <w:rPr>
          <w:rFonts w:ascii="仿宋" w:hAnsi="仿宋" w:eastAsia="仿宋"/>
          <w:b/>
          <w:bCs/>
          <w:color w:val="FF0000"/>
        </w:rPr>
        <w:t>Google Chrome</w:t>
      </w:r>
      <w:r>
        <w:rPr>
          <w:rFonts w:hint="eastAsia" w:ascii="仿宋" w:hAnsi="仿宋" w:eastAsia="仿宋"/>
          <w:b/>
          <w:bCs/>
          <w:color w:val="FF0000"/>
        </w:rPr>
        <w:t>）”方可以正常使用电子竞价系统参与竞价。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阿里巴巴普惠体 2.0 95 ExtraBold">
    <w:altName w:val="宋体"/>
    <w:panose1 w:val="00020600040101010101"/>
    <w:charset w:val="86"/>
    <w:family w:val="roman"/>
    <w:pitch w:val="default"/>
    <w:sig w:usb0="00000000" w:usb1="00000000" w:usb2="0000001E"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1CE24"/>
    <w:multiLevelType w:val="singleLevel"/>
    <w:tmpl w:val="B321CE24"/>
    <w:lvl w:ilvl="0" w:tentative="0">
      <w:start w:val="2"/>
      <w:numFmt w:val="decimal"/>
      <w:suff w:val="nothing"/>
      <w:lvlText w:val="%1、"/>
      <w:lvlJc w:val="left"/>
    </w:lvl>
  </w:abstractNum>
  <w:abstractNum w:abstractNumId="1">
    <w:nsid w:val="DB756C02"/>
    <w:multiLevelType w:val="singleLevel"/>
    <w:tmpl w:val="DB756C02"/>
    <w:lvl w:ilvl="0" w:tentative="0">
      <w:start w:val="1"/>
      <w:numFmt w:val="decimal"/>
      <w:suff w:val="nothing"/>
      <w:lvlText w:val="%1、"/>
      <w:lvlJc w:val="left"/>
      <w:pPr>
        <w:ind w:left="560" w:leftChars="0" w:firstLine="0" w:firstLineChars="0"/>
      </w:pPr>
    </w:lvl>
  </w:abstractNum>
  <w:abstractNum w:abstractNumId="2">
    <w:nsid w:val="F995F90D"/>
    <w:multiLevelType w:val="singleLevel"/>
    <w:tmpl w:val="F995F90D"/>
    <w:lvl w:ilvl="0" w:tentative="0">
      <w:start w:val="3"/>
      <w:numFmt w:val="decimal"/>
      <w:suff w:val="nothing"/>
      <w:lvlText w:val="（%1）"/>
      <w:lvlJc w:val="left"/>
    </w:lvl>
  </w:abstractNum>
  <w:abstractNum w:abstractNumId="3">
    <w:nsid w:val="1CC15751"/>
    <w:multiLevelType w:val="multilevel"/>
    <w:tmpl w:val="1CC15751"/>
    <w:lvl w:ilvl="0" w:tentative="0">
      <w:start w:val="2"/>
      <w:numFmt w:val="decimal"/>
      <w:lvlText w:val="%1、"/>
      <w:lvlJc w:val="left"/>
      <w:pPr>
        <w:ind w:left="360" w:hanging="360"/>
      </w:pPr>
      <w:rPr>
        <w:rFonts w:hint="default"/>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BD7D69"/>
    <w:multiLevelType w:val="multilevel"/>
    <w:tmpl w:val="1EBD7D69"/>
    <w:lvl w:ilvl="0" w:tentative="0">
      <w:start w:val="3"/>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EAB1DA0"/>
    <w:multiLevelType w:val="singleLevel"/>
    <w:tmpl w:val="3EAB1DA0"/>
    <w:lvl w:ilvl="0" w:tentative="0">
      <w:start w:val="2"/>
      <w:numFmt w:val="chineseCounting"/>
      <w:suff w:val="nothing"/>
      <w:lvlText w:val="%1、"/>
      <w:lvlJc w:val="left"/>
      <w:rPr>
        <w:rFonts w:hint="eastAsia"/>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ZjkwM2IxMjc5ZDM2YTA4MDY4MWEwMWU5OTk1ZDEifQ=="/>
  </w:docVars>
  <w:rsids>
    <w:rsidRoot w:val="07EC0DBF"/>
    <w:rsid w:val="00426A40"/>
    <w:rsid w:val="005F0617"/>
    <w:rsid w:val="0080766F"/>
    <w:rsid w:val="00B27B94"/>
    <w:rsid w:val="00B76D7B"/>
    <w:rsid w:val="00CC12B1"/>
    <w:rsid w:val="00D37242"/>
    <w:rsid w:val="07EC0DBF"/>
    <w:rsid w:val="28F82995"/>
    <w:rsid w:val="61862E97"/>
    <w:rsid w:val="638145A7"/>
    <w:rsid w:val="66D2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toc 3"/>
    <w:basedOn w:val="1"/>
    <w:next w:val="1"/>
    <w:unhideWhenUsed/>
    <w:qFormat/>
    <w:uiPriority w:val="39"/>
    <w:pPr>
      <w:spacing w:after="100" w:line="259" w:lineRule="auto"/>
      <w:ind w:left="440"/>
    </w:pPr>
    <w:rPr>
      <w:sz w:val="22"/>
      <w:szCs w:val="22"/>
    </w:rPr>
  </w:style>
  <w:style w:type="paragraph" w:styleId="4">
    <w:name w:val="toc 1"/>
    <w:basedOn w:val="1"/>
    <w:next w:val="1"/>
    <w:unhideWhenUsed/>
    <w:qFormat/>
    <w:uiPriority w:val="39"/>
    <w:pPr>
      <w:spacing w:after="100" w:line="259" w:lineRule="auto"/>
    </w:pPr>
    <w:rPr>
      <w:sz w:val="22"/>
      <w:szCs w:val="22"/>
    </w:rPr>
  </w:style>
  <w:style w:type="paragraph" w:styleId="5">
    <w:name w:val="toc 2"/>
    <w:basedOn w:val="1"/>
    <w:next w:val="1"/>
    <w:unhideWhenUsed/>
    <w:qFormat/>
    <w:uiPriority w:val="39"/>
    <w:pPr>
      <w:spacing w:after="100" w:line="259" w:lineRule="auto"/>
      <w:ind w:left="220"/>
    </w:pPr>
    <w:rPr>
      <w:sz w:val="22"/>
      <w:szCs w:val="22"/>
    </w:rPr>
  </w:style>
  <w:style w:type="character" w:styleId="8">
    <w:name w:val="FollowedHyperlink"/>
    <w:basedOn w:val="7"/>
    <w:uiPriority w:val="0"/>
    <w:rPr>
      <w:color w:val="954F72" w:themeColor="followedHyperlink"/>
      <w:u w:val="single"/>
      <w14:textFill>
        <w14:solidFill>
          <w14:schemeClr w14:val="folHlink"/>
        </w14:solidFill>
      </w14:textFill>
    </w:rPr>
  </w:style>
  <w:style w:type="character" w:styleId="9">
    <w:name w:val="Hyperlink"/>
    <w:basedOn w:val="7"/>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uiPriority w:val="99"/>
    <w:rPr>
      <w:color w:val="605E5C"/>
      <w:shd w:val="clear" w:color="auto" w:fill="E1DFDD"/>
    </w:rPr>
  </w:style>
  <w:style w:type="paragraph" w:styleId="11">
    <w:name w:val="List Paragraph"/>
    <w:basedOn w:val="1"/>
    <w:qFormat/>
    <w:uiPriority w:val="99"/>
    <w:pPr>
      <w:ind w:firstLine="420" w:firstLineChars="200"/>
    </w:pPr>
  </w:style>
  <w:style w:type="character" w:customStyle="1" w:styleId="12">
    <w:name w:val="标题 1 字符"/>
    <w:basedOn w:val="7"/>
    <w:link w:val="2"/>
    <w:qFormat/>
    <w:uiPriority w:val="0"/>
    <w:rPr>
      <w:rFonts w:asciiTheme="minorHAnsi" w:hAnsiTheme="minorHAnsi" w:eastAsiaTheme="minorEastAsia"/>
      <w:b/>
      <w:bCs/>
      <w:kern w:val="44"/>
      <w:sz w:val="44"/>
      <w:szCs w:val="44"/>
    </w:rPr>
  </w:style>
  <w:style w:type="paragraph" w:customStyle="1" w:styleId="13">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FF695-78C1-4C6B-8424-295508263E79}">
  <ds:schemaRefs/>
</ds:datastoreItem>
</file>

<file path=docProps/app.xml><?xml version="1.0" encoding="utf-8"?>
<Properties xmlns="http://schemas.openxmlformats.org/officeDocument/2006/extended-properties" xmlns:vt="http://schemas.openxmlformats.org/officeDocument/2006/docPropsVTypes">
  <Template>Normal.dotm</Template>
  <Pages>8</Pages>
  <Words>708</Words>
  <Characters>777</Characters>
  <Lines>8</Lines>
  <Paragraphs>2</Paragraphs>
  <TotalTime>9</TotalTime>
  <ScaleCrop>false</ScaleCrop>
  <LinksUpToDate>false</LinksUpToDate>
  <CharactersWithSpaces>790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2022-10-18T01:52:00Z</dcterms:created>
  <dc:creator>空白成回忆</dc:creator>
  <cp:lastModifiedBy>吴旭</cp:lastModifiedBy>
  <dcterms:modified xsi:type="dcterms:W3CDTF">2022-12-29T07:13:42Z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BAC4549B82A0472F84443C0EA6E3B0F8</vt:lpwstr>
  </property>
</Properties>
</file>