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3C92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000000"/>
          <w:spacing w:val="3"/>
          <w:kern w:val="0"/>
          <w:sz w:val="43"/>
          <w:szCs w:val="43"/>
          <w:highlight w:val="none"/>
          <w:lang w:eastAsia="zh-CN"/>
        </w:rPr>
      </w:pPr>
    </w:p>
    <w:p w14:paraId="1E0123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36"/>
          <w:szCs w:val="36"/>
          <w:highlight w:val="none"/>
          <w:lang w:eastAsia="zh-CN"/>
        </w:rPr>
      </w:pPr>
      <w:r>
        <w:rPr>
          <w:rFonts w:hint="eastAsia" w:ascii="宋体" w:hAnsi="宋体" w:cs="宋体"/>
          <w:b/>
          <w:bCs/>
          <w:color w:val="000000"/>
          <w:spacing w:val="3"/>
          <w:kern w:val="0"/>
          <w:sz w:val="36"/>
          <w:szCs w:val="36"/>
          <w:highlight w:val="none"/>
          <w:lang w:eastAsia="zh-CN"/>
        </w:rPr>
        <w:t>铜陵狮子山高新区污水处理厂二期配套工程监理</w:t>
      </w:r>
    </w:p>
    <w:p w14:paraId="36F40D10">
      <w:pPr>
        <w:adjustRightInd w:val="0"/>
        <w:spacing w:before="48" w:beforeLines="20" w:after="48" w:afterLines="20" w:line="360" w:lineRule="auto"/>
        <w:jc w:val="center"/>
        <w:rPr>
          <w:rFonts w:hint="eastAsia" w:ascii="宋体" w:hAnsi="宋体" w:eastAsia="宋体"/>
          <w:b/>
          <w:bCs/>
          <w:color w:val="auto"/>
          <w:kern w:val="0"/>
          <w:sz w:val="32"/>
          <w:szCs w:val="32"/>
          <w:highlight w:val="none"/>
          <w:lang w:bidi="ar"/>
        </w:rPr>
      </w:pPr>
    </w:p>
    <w:p w14:paraId="4FB7BC86">
      <w:pPr>
        <w:adjustRightInd w:val="0"/>
        <w:spacing w:before="480" w:beforeLines="200" w:after="48" w:afterLines="20" w:line="360" w:lineRule="auto"/>
        <w:jc w:val="center"/>
        <w:rPr>
          <w:rFonts w:hint="eastAsia" w:ascii="宋体" w:hAnsi="宋体" w:eastAsia="宋体"/>
          <w:b/>
          <w:bCs/>
          <w:color w:val="auto"/>
          <w:kern w:val="0"/>
          <w:sz w:val="84"/>
          <w:szCs w:val="84"/>
          <w:highlight w:val="none"/>
        </w:rPr>
      </w:pPr>
      <w:r>
        <w:rPr>
          <w:rFonts w:hint="eastAsia" w:ascii="宋体" w:hAnsi="宋体" w:eastAsia="宋体" w:cs="宋体"/>
          <w:b/>
          <w:bCs/>
          <w:color w:val="auto"/>
          <w:kern w:val="0"/>
          <w:sz w:val="84"/>
          <w:szCs w:val="84"/>
          <w:highlight w:val="none"/>
          <w:lang w:bidi="ar"/>
        </w:rPr>
        <w:t>招</w:t>
      </w:r>
      <w:r>
        <w:rPr>
          <w:rFonts w:hint="eastAsia" w:ascii="宋体" w:hAnsi="宋体" w:eastAsia="宋体"/>
          <w:b/>
          <w:bCs/>
          <w:color w:val="auto"/>
          <w:kern w:val="0"/>
          <w:sz w:val="84"/>
          <w:szCs w:val="84"/>
          <w:highlight w:val="none"/>
          <w:lang w:bidi="ar"/>
        </w:rPr>
        <w:t xml:space="preserve"> </w:t>
      </w:r>
      <w:r>
        <w:rPr>
          <w:rFonts w:hint="eastAsia" w:ascii="宋体" w:hAnsi="宋体" w:eastAsia="宋体" w:cs="宋体"/>
          <w:b/>
          <w:bCs/>
          <w:color w:val="auto"/>
          <w:kern w:val="0"/>
          <w:sz w:val="84"/>
          <w:szCs w:val="84"/>
          <w:highlight w:val="none"/>
          <w:lang w:bidi="ar"/>
        </w:rPr>
        <w:t>标</w:t>
      </w:r>
      <w:r>
        <w:rPr>
          <w:rFonts w:hint="eastAsia" w:ascii="宋体" w:hAnsi="宋体" w:eastAsia="宋体"/>
          <w:b/>
          <w:bCs/>
          <w:color w:val="auto"/>
          <w:kern w:val="0"/>
          <w:sz w:val="84"/>
          <w:szCs w:val="84"/>
          <w:highlight w:val="none"/>
          <w:lang w:bidi="ar"/>
        </w:rPr>
        <w:t xml:space="preserve"> </w:t>
      </w:r>
      <w:r>
        <w:rPr>
          <w:rFonts w:hint="eastAsia" w:ascii="宋体" w:hAnsi="宋体" w:eastAsia="宋体" w:cs="宋体"/>
          <w:b/>
          <w:bCs/>
          <w:color w:val="auto"/>
          <w:kern w:val="0"/>
          <w:sz w:val="84"/>
          <w:szCs w:val="84"/>
          <w:highlight w:val="none"/>
          <w:lang w:bidi="ar"/>
        </w:rPr>
        <w:t>文</w:t>
      </w:r>
      <w:r>
        <w:rPr>
          <w:rFonts w:hint="eastAsia" w:ascii="宋体" w:hAnsi="宋体" w:eastAsia="宋体"/>
          <w:b/>
          <w:bCs/>
          <w:color w:val="auto"/>
          <w:kern w:val="0"/>
          <w:sz w:val="84"/>
          <w:szCs w:val="84"/>
          <w:highlight w:val="none"/>
          <w:lang w:bidi="ar"/>
        </w:rPr>
        <w:t xml:space="preserve"> </w:t>
      </w:r>
      <w:r>
        <w:rPr>
          <w:rFonts w:hint="eastAsia" w:ascii="宋体" w:hAnsi="宋体" w:eastAsia="宋体" w:cs="宋体"/>
          <w:b/>
          <w:bCs/>
          <w:color w:val="auto"/>
          <w:kern w:val="0"/>
          <w:sz w:val="84"/>
          <w:szCs w:val="84"/>
          <w:highlight w:val="none"/>
          <w:lang w:bidi="ar"/>
        </w:rPr>
        <w:t>件</w:t>
      </w:r>
    </w:p>
    <w:p w14:paraId="47650F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default"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t>招标编号：</w:t>
      </w:r>
      <w:r>
        <w:rPr>
          <w:rFonts w:hint="eastAsia" w:ascii="宋体" w:hAnsi="宋体" w:cs="Times New Roman"/>
          <w:b/>
          <w:color w:val="000000"/>
          <w:kern w:val="0"/>
          <w:sz w:val="30"/>
          <w:szCs w:val="30"/>
          <w:highlight w:val="none"/>
          <w:lang w:eastAsia="zh-CN"/>
        </w:rPr>
        <w:t>秉弘招标【2025】096号</w:t>
      </w:r>
    </w:p>
    <w:p w14:paraId="52B8221C">
      <w:pPr>
        <w:adjustRightInd w:val="0"/>
        <w:spacing w:before="48" w:beforeLines="20" w:after="48" w:afterLines="20" w:line="360" w:lineRule="auto"/>
        <w:jc w:val="center"/>
        <w:rPr>
          <w:rFonts w:hint="eastAsia" w:ascii="宋体" w:hAnsi="宋体" w:eastAsia="宋体"/>
          <w:b/>
          <w:color w:val="auto"/>
          <w:kern w:val="0"/>
          <w:sz w:val="30"/>
          <w:szCs w:val="30"/>
          <w:highlight w:val="none"/>
          <w:lang w:eastAsia="zh-CN"/>
        </w:rPr>
      </w:pPr>
      <w:r>
        <w:rPr>
          <w:rFonts w:hint="eastAsia" w:ascii="宋体" w:hAnsi="宋体" w:eastAsia="宋体" w:cs="宋体"/>
          <w:b/>
          <w:color w:val="auto"/>
          <w:kern w:val="0"/>
          <w:sz w:val="30"/>
          <w:szCs w:val="30"/>
          <w:highlight w:val="none"/>
          <w:lang w:val="en-US" w:eastAsia="zh-CN" w:bidi="ar"/>
        </w:rPr>
        <w:t xml:space="preserve"> </w:t>
      </w:r>
    </w:p>
    <w:p w14:paraId="4ADB7A8C">
      <w:pPr>
        <w:widowControl/>
        <w:spacing w:line="360" w:lineRule="auto"/>
        <w:ind w:firstLine="420"/>
        <w:jc w:val="center"/>
        <w:rPr>
          <w:rFonts w:hint="eastAsia" w:ascii="宋体" w:hAnsi="宋体" w:eastAsia="宋体"/>
          <w:bCs/>
          <w:color w:val="auto"/>
          <w:kern w:val="0"/>
          <w:sz w:val="30"/>
          <w:szCs w:val="30"/>
          <w:highlight w:val="none"/>
        </w:rPr>
      </w:pPr>
      <w:r>
        <w:rPr>
          <w:rFonts w:hint="eastAsia" w:ascii="宋体" w:hAnsi="宋体" w:eastAsia="宋体"/>
          <w:bCs/>
          <w:color w:val="auto"/>
          <w:kern w:val="0"/>
          <w:sz w:val="30"/>
          <w:szCs w:val="30"/>
          <w:highlight w:val="none"/>
          <w:lang w:bidi="ar"/>
        </w:rPr>
        <w:t xml:space="preserve"> </w:t>
      </w:r>
    </w:p>
    <w:p w14:paraId="015EC28C">
      <w:pPr>
        <w:widowControl/>
        <w:spacing w:line="360" w:lineRule="auto"/>
        <w:ind w:firstLine="1795" w:firstLineChars="596"/>
        <w:rPr>
          <w:rFonts w:hint="eastAsia" w:ascii="宋体" w:hAnsi="宋体" w:eastAsia="宋体"/>
          <w:b/>
          <w:color w:val="auto"/>
          <w:kern w:val="0"/>
          <w:sz w:val="30"/>
          <w:szCs w:val="30"/>
          <w:highlight w:val="none"/>
        </w:rPr>
      </w:pPr>
      <w:r>
        <w:rPr>
          <w:rFonts w:hint="eastAsia" w:ascii="宋体" w:hAnsi="宋体" w:eastAsia="宋体"/>
          <w:b/>
          <w:color w:val="auto"/>
          <w:kern w:val="0"/>
          <w:sz w:val="30"/>
          <w:szCs w:val="30"/>
          <w:highlight w:val="none"/>
          <w:lang w:bidi="ar"/>
        </w:rPr>
        <w:t xml:space="preserve"> </w:t>
      </w:r>
    </w:p>
    <w:p w14:paraId="451D4A5E">
      <w:pPr>
        <w:widowControl/>
        <w:spacing w:line="360" w:lineRule="auto"/>
        <w:ind w:firstLine="1795" w:firstLineChars="596"/>
        <w:rPr>
          <w:rFonts w:hint="eastAsia" w:ascii="宋体" w:hAnsi="宋体" w:eastAsia="宋体"/>
          <w:b/>
          <w:color w:val="auto"/>
          <w:kern w:val="0"/>
          <w:sz w:val="30"/>
          <w:szCs w:val="30"/>
          <w:highlight w:val="none"/>
          <w:lang w:bidi="ar"/>
        </w:rPr>
      </w:pPr>
      <w:r>
        <w:rPr>
          <w:rFonts w:hint="eastAsia" w:ascii="宋体" w:hAnsi="宋体" w:eastAsia="宋体"/>
          <w:b/>
          <w:color w:val="auto"/>
          <w:kern w:val="0"/>
          <w:sz w:val="30"/>
          <w:szCs w:val="30"/>
          <w:highlight w:val="none"/>
          <w:lang w:bidi="ar"/>
        </w:rPr>
        <w:t xml:space="preserve">   </w:t>
      </w:r>
    </w:p>
    <w:p w14:paraId="65B959C7">
      <w:pPr>
        <w:widowControl/>
        <w:spacing w:line="360" w:lineRule="auto"/>
        <w:rPr>
          <w:rFonts w:hint="eastAsia" w:ascii="宋体" w:hAnsi="宋体" w:eastAsia="宋体"/>
          <w:b/>
          <w:color w:val="auto"/>
          <w:kern w:val="0"/>
          <w:sz w:val="30"/>
          <w:szCs w:val="30"/>
          <w:highlight w:val="none"/>
          <w:lang w:bidi="ar"/>
        </w:rPr>
      </w:pPr>
    </w:p>
    <w:p w14:paraId="034890FF">
      <w:pPr>
        <w:spacing w:line="360" w:lineRule="auto"/>
        <w:jc w:val="center"/>
        <w:rPr>
          <w:rFonts w:hint="eastAsia" w:ascii="宋体" w:hAnsi="宋体" w:eastAsia="宋体"/>
          <w:b/>
          <w:bCs/>
          <w:color w:val="auto"/>
          <w:kern w:val="0"/>
          <w:sz w:val="32"/>
          <w:szCs w:val="32"/>
          <w:highlight w:val="none"/>
          <w:lang w:eastAsia="zh-CN"/>
        </w:rPr>
      </w:pPr>
      <w:r>
        <w:rPr>
          <w:rFonts w:hint="eastAsia" w:ascii="宋体" w:hAnsi="宋体" w:eastAsia="宋体" w:cs="宋体"/>
          <w:b/>
          <w:bCs/>
          <w:color w:val="auto"/>
          <w:spacing w:val="70"/>
          <w:kern w:val="0"/>
          <w:sz w:val="32"/>
          <w:szCs w:val="32"/>
          <w:highlight w:val="none"/>
          <w:lang w:bidi="ar"/>
        </w:rPr>
        <w:t>招</w:t>
      </w:r>
      <w:r>
        <w:rPr>
          <w:rFonts w:hint="eastAsia" w:ascii="宋体" w:hAnsi="宋体" w:eastAsia="宋体" w:cs="宋体"/>
          <w:b/>
          <w:bCs/>
          <w:color w:val="auto"/>
          <w:spacing w:val="70"/>
          <w:kern w:val="0"/>
          <w:sz w:val="32"/>
          <w:szCs w:val="32"/>
          <w:highlight w:val="none"/>
          <w:lang w:val="en-US" w:eastAsia="zh-CN" w:bidi="ar"/>
        </w:rPr>
        <w:t xml:space="preserve"> </w:t>
      </w:r>
      <w:r>
        <w:rPr>
          <w:rFonts w:hint="eastAsia" w:ascii="宋体" w:hAnsi="宋体" w:eastAsia="宋体" w:cs="宋体"/>
          <w:b/>
          <w:bCs/>
          <w:color w:val="auto"/>
          <w:spacing w:val="70"/>
          <w:kern w:val="0"/>
          <w:sz w:val="32"/>
          <w:szCs w:val="32"/>
          <w:highlight w:val="none"/>
          <w:lang w:bidi="ar"/>
        </w:rPr>
        <w:t>标</w:t>
      </w:r>
      <w:r>
        <w:rPr>
          <w:rFonts w:hint="eastAsia" w:ascii="宋体" w:hAnsi="宋体" w:eastAsia="宋体" w:cs="宋体"/>
          <w:b/>
          <w:bCs/>
          <w:color w:val="auto"/>
          <w:spacing w:val="70"/>
          <w:kern w:val="0"/>
          <w:sz w:val="32"/>
          <w:szCs w:val="32"/>
          <w:highlight w:val="none"/>
          <w:lang w:val="en-US" w:eastAsia="zh-CN" w:bidi="ar"/>
        </w:rPr>
        <w:t xml:space="preserve"> </w:t>
      </w:r>
      <w:r>
        <w:rPr>
          <w:rFonts w:hint="eastAsia" w:ascii="宋体" w:hAnsi="宋体" w:eastAsia="宋体" w:cs="宋体"/>
          <w:b/>
          <w:bCs/>
          <w:color w:val="auto"/>
          <w:spacing w:val="70"/>
          <w:kern w:val="0"/>
          <w:sz w:val="32"/>
          <w:szCs w:val="32"/>
          <w:highlight w:val="none"/>
          <w:lang w:eastAsia="zh-CN" w:bidi="ar"/>
        </w:rPr>
        <w:t>人</w:t>
      </w:r>
      <w:r>
        <w:rPr>
          <w:rFonts w:hint="eastAsia" w:ascii="宋体" w:hAnsi="宋体" w:eastAsia="宋体" w:cs="宋体"/>
          <w:b/>
          <w:bCs/>
          <w:color w:val="auto"/>
          <w:kern w:val="0"/>
          <w:sz w:val="32"/>
          <w:szCs w:val="32"/>
          <w:highlight w:val="none"/>
          <w:lang w:bidi="ar"/>
        </w:rPr>
        <w:t>：</w:t>
      </w:r>
      <w:r>
        <w:rPr>
          <w:rFonts w:hint="eastAsia" w:ascii="宋体" w:hAnsi="宋体" w:eastAsia="宋体" w:cs="宋体"/>
          <w:b/>
          <w:bCs/>
          <w:color w:val="auto"/>
          <w:kern w:val="0"/>
          <w:sz w:val="32"/>
          <w:szCs w:val="32"/>
          <w:highlight w:val="none"/>
          <w:lang w:val="en-US" w:eastAsia="zh-CN" w:bidi="ar"/>
        </w:rPr>
        <w:t>铜陵高新产业园发展有限公司</w:t>
      </w:r>
    </w:p>
    <w:p w14:paraId="6F4CC31F">
      <w:pPr>
        <w:spacing w:line="360" w:lineRule="auto"/>
        <w:ind w:firstLine="1285" w:firstLineChars="400"/>
        <w:jc w:val="center"/>
        <w:rPr>
          <w:rFonts w:hint="eastAsia" w:ascii="宋体" w:hAnsi="宋体" w:eastAsia="宋体"/>
          <w:b/>
          <w:bCs/>
          <w:color w:val="auto"/>
          <w:kern w:val="0"/>
          <w:sz w:val="32"/>
          <w:szCs w:val="32"/>
          <w:highlight w:val="none"/>
        </w:rPr>
      </w:pPr>
    </w:p>
    <w:p w14:paraId="482F47B8">
      <w:pPr>
        <w:spacing w:line="360" w:lineRule="auto"/>
        <w:jc w:val="center"/>
        <w:rPr>
          <w:rFonts w:hint="eastAsia" w:ascii="宋体" w:hAnsi="宋体" w:eastAsia="宋体"/>
          <w:b/>
          <w:bCs/>
          <w:color w:val="auto"/>
          <w:kern w:val="0"/>
          <w:sz w:val="32"/>
          <w:szCs w:val="32"/>
          <w:highlight w:val="none"/>
        </w:rPr>
      </w:pPr>
      <w:r>
        <w:rPr>
          <w:rFonts w:hint="eastAsia" w:ascii="宋体" w:hAnsi="宋体" w:eastAsia="宋体" w:cs="宋体"/>
          <w:b/>
          <w:bCs/>
          <w:color w:val="auto"/>
          <w:kern w:val="0"/>
          <w:sz w:val="32"/>
          <w:szCs w:val="32"/>
          <w:highlight w:val="none"/>
          <w:lang w:bidi="ar"/>
        </w:rPr>
        <w:t>招标代理机构：</w:t>
      </w:r>
      <w:r>
        <w:rPr>
          <w:rFonts w:hint="eastAsia" w:ascii="宋体" w:hAnsi="宋体" w:eastAsia="宋体" w:cs="宋体"/>
          <w:b/>
          <w:bCs/>
          <w:color w:val="auto"/>
          <w:kern w:val="0"/>
          <w:sz w:val="32"/>
          <w:szCs w:val="32"/>
          <w:highlight w:val="none"/>
          <w:lang w:val="en-US" w:eastAsia="zh-CN" w:bidi="ar"/>
        </w:rPr>
        <w:t>安徽秉弘工程项目咨询有限公司</w:t>
      </w:r>
    </w:p>
    <w:p w14:paraId="5D91F171">
      <w:pPr>
        <w:adjustRightInd w:val="0"/>
        <w:snapToGrid w:val="0"/>
        <w:spacing w:line="360" w:lineRule="auto"/>
        <w:ind w:firstLine="437"/>
        <w:jc w:val="center"/>
        <w:rPr>
          <w:rFonts w:hint="eastAsia" w:ascii="宋体" w:hAnsi="宋体" w:eastAsia="宋体" w:cs="宋体"/>
          <w:b/>
          <w:bCs/>
          <w:color w:val="auto"/>
          <w:kern w:val="0"/>
          <w:sz w:val="32"/>
          <w:szCs w:val="32"/>
          <w:highlight w:val="none"/>
          <w:lang w:bidi="ar"/>
        </w:rPr>
      </w:pPr>
    </w:p>
    <w:p w14:paraId="2720AD4D">
      <w:pPr>
        <w:adjustRightInd w:val="0"/>
        <w:snapToGrid w:val="0"/>
        <w:spacing w:line="360" w:lineRule="auto"/>
        <w:ind w:firstLine="437"/>
        <w:jc w:val="center"/>
        <w:rPr>
          <w:rFonts w:hint="eastAsia" w:ascii="宋体" w:hAnsi="宋体" w:eastAsia="宋体" w:cs="宋体"/>
          <w:b/>
          <w:bCs/>
          <w:color w:val="auto"/>
          <w:kern w:val="0"/>
          <w:sz w:val="32"/>
          <w:szCs w:val="32"/>
          <w:highlight w:val="none"/>
          <w:lang w:bidi="ar"/>
        </w:rPr>
      </w:pPr>
      <w:r>
        <w:rPr>
          <w:rFonts w:hint="eastAsia" w:ascii="宋体" w:hAnsi="宋体" w:eastAsia="宋体" w:cs="宋体"/>
          <w:b/>
          <w:bCs/>
          <w:color w:val="auto"/>
          <w:kern w:val="0"/>
          <w:sz w:val="32"/>
          <w:szCs w:val="32"/>
          <w:highlight w:val="none"/>
          <w:lang w:bidi="ar"/>
        </w:rPr>
        <w:t>202</w:t>
      </w:r>
      <w:r>
        <w:rPr>
          <w:rFonts w:hint="eastAsia" w:ascii="宋体" w:hAnsi="宋体" w:eastAsia="宋体" w:cs="宋体"/>
          <w:b/>
          <w:bCs/>
          <w:color w:val="auto"/>
          <w:kern w:val="0"/>
          <w:sz w:val="32"/>
          <w:szCs w:val="32"/>
          <w:highlight w:val="none"/>
          <w:lang w:val="en-US" w:eastAsia="zh-CN" w:bidi="ar"/>
        </w:rPr>
        <w:t>5</w:t>
      </w:r>
      <w:r>
        <w:rPr>
          <w:rFonts w:hint="eastAsia" w:ascii="宋体" w:hAnsi="宋体" w:eastAsia="宋体" w:cs="宋体"/>
          <w:b/>
          <w:bCs/>
          <w:color w:val="auto"/>
          <w:kern w:val="0"/>
          <w:sz w:val="32"/>
          <w:szCs w:val="32"/>
          <w:highlight w:val="none"/>
          <w:lang w:bidi="ar"/>
        </w:rPr>
        <w:t>年</w:t>
      </w:r>
      <w:r>
        <w:rPr>
          <w:rFonts w:hint="eastAsia" w:ascii="宋体" w:hAnsi="宋体" w:cs="宋体"/>
          <w:b/>
          <w:bCs/>
          <w:color w:val="auto"/>
          <w:kern w:val="0"/>
          <w:sz w:val="32"/>
          <w:szCs w:val="32"/>
          <w:highlight w:val="none"/>
          <w:lang w:val="en-US" w:eastAsia="zh-CN" w:bidi="ar"/>
        </w:rPr>
        <w:t>9</w:t>
      </w:r>
      <w:r>
        <w:rPr>
          <w:rFonts w:hint="eastAsia" w:ascii="宋体" w:hAnsi="宋体" w:eastAsia="宋体" w:cs="宋体"/>
          <w:b/>
          <w:bCs/>
          <w:color w:val="auto"/>
          <w:kern w:val="0"/>
          <w:sz w:val="32"/>
          <w:szCs w:val="32"/>
          <w:highlight w:val="none"/>
          <w:lang w:bidi="ar"/>
        </w:rPr>
        <w:t>月</w:t>
      </w:r>
    </w:p>
    <w:p w14:paraId="6218DC21">
      <w:pPr>
        <w:widowControl/>
        <w:spacing w:line="360" w:lineRule="auto"/>
        <w:jc w:val="left"/>
        <w:rPr>
          <w:rFonts w:asciiTheme="minorEastAsia" w:hAnsiTheme="minorEastAsia" w:eastAsiaTheme="minorEastAsia"/>
          <w:color w:val="auto"/>
          <w:sz w:val="36"/>
          <w:szCs w:val="36"/>
          <w:highlight w:val="none"/>
        </w:rPr>
      </w:pPr>
    </w:p>
    <w:p w14:paraId="542D5963">
      <w:pPr>
        <w:rPr>
          <w:rFonts w:hint="eastAsia" w:cs="宋体" w:asciiTheme="minorEastAsia" w:hAnsiTheme="minorEastAsia" w:eastAsiaTheme="minorEastAsia"/>
          <w:b/>
          <w:bCs/>
          <w:color w:val="auto"/>
          <w:sz w:val="44"/>
          <w:szCs w:val="44"/>
          <w:highlight w:val="none"/>
        </w:rPr>
      </w:pPr>
      <w:r>
        <w:rPr>
          <w:rFonts w:hint="eastAsia" w:cs="宋体" w:asciiTheme="minorEastAsia" w:hAnsiTheme="minorEastAsia" w:eastAsiaTheme="minorEastAsia"/>
          <w:b/>
          <w:bCs/>
          <w:color w:val="auto"/>
          <w:sz w:val="44"/>
          <w:szCs w:val="44"/>
          <w:highlight w:val="none"/>
        </w:rPr>
        <w:br w:type="page"/>
      </w:r>
    </w:p>
    <w:p w14:paraId="4286C74E">
      <w:pPr>
        <w:spacing w:line="360" w:lineRule="auto"/>
        <w:jc w:val="center"/>
        <w:rPr>
          <w:rFonts w:hint="eastAsia" w:cs="宋体" w:asciiTheme="minorEastAsia" w:hAnsiTheme="minorEastAsia" w:eastAsiaTheme="minorEastAsia"/>
          <w:b/>
          <w:bCs/>
          <w:color w:val="auto"/>
          <w:sz w:val="44"/>
          <w:szCs w:val="44"/>
          <w:highlight w:val="none"/>
        </w:rPr>
      </w:pPr>
    </w:p>
    <w:p w14:paraId="66DAFB0E">
      <w:pPr>
        <w:spacing w:line="360" w:lineRule="auto"/>
        <w:jc w:val="center"/>
        <w:rPr>
          <w:rFonts w:cs="宋体" w:asciiTheme="minorEastAsia" w:hAnsiTheme="minorEastAsia" w:eastAsiaTheme="minorEastAsia"/>
          <w:b/>
          <w:bCs/>
          <w:color w:val="auto"/>
          <w:sz w:val="44"/>
          <w:szCs w:val="44"/>
          <w:highlight w:val="none"/>
        </w:rPr>
      </w:pPr>
      <w:r>
        <w:rPr>
          <w:rFonts w:hint="eastAsia" w:cs="宋体" w:asciiTheme="minorEastAsia" w:hAnsiTheme="minorEastAsia" w:eastAsiaTheme="minorEastAsia"/>
          <w:b/>
          <w:bCs/>
          <w:color w:val="auto"/>
          <w:sz w:val="44"/>
          <w:szCs w:val="44"/>
          <w:highlight w:val="none"/>
        </w:rPr>
        <w:t>目</w:t>
      </w:r>
      <w:r>
        <w:rPr>
          <w:rFonts w:hint="eastAsia" w:cs="宋体" w:asciiTheme="minorEastAsia" w:hAnsiTheme="minorEastAsia" w:eastAsiaTheme="minorEastAsia"/>
          <w:b/>
          <w:bCs/>
          <w:color w:val="auto"/>
          <w:sz w:val="44"/>
          <w:szCs w:val="44"/>
          <w:highlight w:val="none"/>
          <w:lang w:val="en-US" w:eastAsia="zh-CN"/>
        </w:rPr>
        <w:t xml:space="preserve">  </w:t>
      </w:r>
      <w:r>
        <w:rPr>
          <w:rFonts w:hint="eastAsia" w:cs="宋体" w:asciiTheme="minorEastAsia" w:hAnsiTheme="minorEastAsia" w:eastAsiaTheme="minorEastAsia"/>
          <w:b/>
          <w:bCs/>
          <w:color w:val="auto"/>
          <w:sz w:val="44"/>
          <w:szCs w:val="44"/>
          <w:highlight w:val="none"/>
        </w:rPr>
        <w:t>录</w:t>
      </w:r>
    </w:p>
    <w:p w14:paraId="7E3172D8">
      <w:pPr>
        <w:spacing w:line="360" w:lineRule="auto"/>
        <w:jc w:val="center"/>
        <w:rPr>
          <w:rFonts w:cs="宋体" w:asciiTheme="minorEastAsia" w:hAnsiTheme="minorEastAsia" w:eastAsiaTheme="minorEastAsia"/>
          <w:color w:val="auto"/>
          <w:sz w:val="30"/>
          <w:highlight w:val="none"/>
        </w:rPr>
      </w:pPr>
    </w:p>
    <w:p w14:paraId="4C8D6F98">
      <w:pPr>
        <w:spacing w:line="360" w:lineRule="auto"/>
        <w:jc w:val="left"/>
        <w:rPr>
          <w:rFonts w:cs="宋体" w:asciiTheme="minorEastAsia" w:hAnsiTheme="minorEastAsia" w:eastAsiaTheme="minorEastAsia"/>
          <w:color w:val="auto"/>
          <w:sz w:val="30"/>
          <w:szCs w:val="30"/>
          <w:highlight w:val="none"/>
        </w:rPr>
      </w:pPr>
    </w:p>
    <w:p w14:paraId="05EF54F5">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Chars="0"/>
        <w:jc w:val="left"/>
        <w:textAlignment w:val="auto"/>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sz w:val="30"/>
          <w:szCs w:val="30"/>
          <w:highlight w:val="none"/>
          <w:lang w:val="en-US" w:eastAsia="zh-CN"/>
        </w:rPr>
        <w:t>第一章    招标公告</w:t>
      </w:r>
    </w:p>
    <w:p w14:paraId="309DFF10">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Chars="0"/>
        <w:jc w:val="left"/>
        <w:textAlignment w:val="auto"/>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sz w:val="30"/>
          <w:szCs w:val="30"/>
          <w:highlight w:val="none"/>
          <w:lang w:val="en-US" w:eastAsia="zh-CN"/>
        </w:rPr>
        <w:t xml:space="preserve">第二章    </w:t>
      </w:r>
      <w:r>
        <w:rPr>
          <w:rFonts w:hint="eastAsia" w:ascii="华文中宋" w:hAnsi="华文中宋" w:eastAsia="华文中宋" w:cs="华文中宋"/>
          <w:color w:val="auto"/>
          <w:sz w:val="30"/>
          <w:szCs w:val="30"/>
          <w:highlight w:val="none"/>
        </w:rPr>
        <w:t>投标须知前附表</w:t>
      </w:r>
    </w:p>
    <w:p w14:paraId="2484589E">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Chars="0"/>
        <w:jc w:val="left"/>
        <w:textAlignment w:val="auto"/>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sz w:val="30"/>
          <w:szCs w:val="30"/>
          <w:highlight w:val="none"/>
          <w:lang w:eastAsia="zh-CN"/>
        </w:rPr>
        <w:t>第三章</w:t>
      </w:r>
      <w:r>
        <w:rPr>
          <w:rFonts w:hint="eastAsia" w:ascii="华文中宋" w:hAnsi="华文中宋" w:eastAsia="华文中宋" w:cs="华文中宋"/>
          <w:color w:val="auto"/>
          <w:sz w:val="30"/>
          <w:szCs w:val="30"/>
          <w:highlight w:val="none"/>
          <w:lang w:val="en-US" w:eastAsia="zh-CN"/>
        </w:rPr>
        <w:t xml:space="preserve">    </w:t>
      </w:r>
      <w:r>
        <w:rPr>
          <w:rFonts w:hint="eastAsia" w:ascii="华文中宋" w:hAnsi="华文中宋" w:eastAsia="华文中宋" w:cs="华文中宋"/>
          <w:color w:val="auto"/>
          <w:sz w:val="30"/>
          <w:szCs w:val="30"/>
          <w:highlight w:val="none"/>
        </w:rPr>
        <w:t>评标办法（综合评估法）</w:t>
      </w:r>
    </w:p>
    <w:p w14:paraId="259247C7">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Chars="0"/>
        <w:jc w:val="left"/>
        <w:textAlignment w:val="auto"/>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sz w:val="30"/>
          <w:szCs w:val="30"/>
          <w:highlight w:val="none"/>
          <w:lang w:val="en-US" w:eastAsia="zh-CN"/>
        </w:rPr>
        <w:t>第四章    工程综合说明</w:t>
      </w:r>
    </w:p>
    <w:p w14:paraId="7D37A9BC">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Chars="0"/>
        <w:jc w:val="left"/>
        <w:textAlignment w:val="auto"/>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sz w:val="30"/>
          <w:szCs w:val="30"/>
          <w:highlight w:val="none"/>
          <w:lang w:val="en-US" w:eastAsia="zh-CN"/>
        </w:rPr>
        <w:t>第五章    合同条款</w:t>
      </w:r>
    </w:p>
    <w:p w14:paraId="74D7135D">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Chars="0"/>
        <w:jc w:val="left"/>
        <w:textAlignment w:val="auto"/>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sz w:val="30"/>
          <w:szCs w:val="30"/>
          <w:highlight w:val="none"/>
          <w:lang w:eastAsia="zh-CN"/>
        </w:rPr>
        <w:t>第六章</w:t>
      </w:r>
      <w:r>
        <w:rPr>
          <w:rFonts w:hint="eastAsia" w:ascii="华文中宋" w:hAnsi="华文中宋" w:eastAsia="华文中宋" w:cs="华文中宋"/>
          <w:color w:val="auto"/>
          <w:sz w:val="30"/>
          <w:szCs w:val="30"/>
          <w:highlight w:val="none"/>
          <w:lang w:val="en-US" w:eastAsia="zh-CN"/>
        </w:rPr>
        <w:t xml:space="preserve">    </w:t>
      </w:r>
      <w:r>
        <w:rPr>
          <w:rFonts w:hint="eastAsia" w:ascii="华文中宋" w:hAnsi="华文中宋" w:eastAsia="华文中宋" w:cs="华文中宋"/>
          <w:color w:val="auto"/>
          <w:sz w:val="30"/>
          <w:szCs w:val="30"/>
          <w:highlight w:val="none"/>
        </w:rPr>
        <w:t>投标文件格式</w:t>
      </w:r>
    </w:p>
    <w:p w14:paraId="7F646B9F">
      <w:pPr>
        <w:keepNext w:val="0"/>
        <w:keepLines w:val="0"/>
        <w:pageBreakBefore w:val="0"/>
        <w:widowControl w:val="0"/>
        <w:kinsoku/>
        <w:wordWrap/>
        <w:overflowPunct/>
        <w:topLinePunct w:val="0"/>
        <w:autoSpaceDE/>
        <w:autoSpaceDN/>
        <w:bidi w:val="0"/>
        <w:adjustRightInd/>
        <w:snapToGrid w:val="0"/>
        <w:spacing w:line="360" w:lineRule="auto"/>
        <w:ind w:left="0" w:firstLine="437"/>
        <w:jc w:val="center"/>
        <w:textAlignment w:val="auto"/>
        <w:rPr>
          <w:rFonts w:hint="eastAsia" w:ascii="宋体" w:hAnsi="宋体" w:eastAsia="宋体" w:cs="宋体"/>
          <w:b/>
          <w:bCs/>
          <w:color w:val="auto"/>
          <w:kern w:val="0"/>
          <w:sz w:val="32"/>
          <w:szCs w:val="32"/>
          <w:highlight w:val="none"/>
        </w:rPr>
        <w:sectPr>
          <w:headerReference r:id="rId3" w:type="default"/>
          <w:footerReference r:id="rId4" w:type="default"/>
          <w:footerReference r:id="rId5" w:type="even"/>
          <w:pgSz w:w="11906" w:h="16838"/>
          <w:pgMar w:top="1417" w:right="1417" w:bottom="1417" w:left="1417" w:header="794" w:footer="567" w:gutter="0"/>
          <w:pgNumType w:start="1"/>
          <w:cols w:space="0" w:num="1"/>
          <w:docGrid w:type="lines" w:linePitch="312" w:charSpace="0"/>
        </w:sectPr>
      </w:pPr>
    </w:p>
    <w:p w14:paraId="531EE032">
      <w:pPr>
        <w:keepNext w:val="0"/>
        <w:keepLines w:val="0"/>
        <w:pageBreakBefore w:val="0"/>
        <w:widowControl w:val="0"/>
        <w:kinsoku/>
        <w:wordWrap/>
        <w:overflowPunct/>
        <w:topLinePunct w:val="0"/>
        <w:autoSpaceDE/>
        <w:autoSpaceDN/>
        <w:bidi w:val="0"/>
        <w:adjustRightInd/>
        <w:snapToGrid w:val="0"/>
        <w:spacing w:line="360" w:lineRule="auto"/>
        <w:ind w:left="0" w:firstLine="437"/>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2"/>
          <w:szCs w:val="32"/>
          <w:highlight w:val="none"/>
        </w:rPr>
        <w:t>第一章  招标公告</w:t>
      </w:r>
    </w:p>
    <w:p w14:paraId="63D9167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kern w:val="0"/>
          <w:sz w:val="24"/>
          <w:highlight w:val="none"/>
        </w:rPr>
      </w:pPr>
      <w:bookmarkStart w:id="0" w:name="_Toc32477"/>
      <w:bookmarkStart w:id="1" w:name="_Toc5952"/>
      <w:r>
        <w:rPr>
          <w:rFonts w:hint="eastAsia" w:ascii="宋体" w:hAnsi="宋体" w:cs="宋体"/>
          <w:b/>
          <w:bCs/>
          <w:color w:val="auto"/>
          <w:kern w:val="0"/>
          <w:sz w:val="24"/>
          <w:highlight w:val="none"/>
          <w:u w:val="single"/>
          <w:lang w:eastAsia="zh-CN"/>
        </w:rPr>
        <w:t>铜陵狮子山高新区污水处理厂二期配套工程监理</w:t>
      </w:r>
      <w:r>
        <w:rPr>
          <w:rFonts w:hint="eastAsia" w:ascii="宋体" w:hAnsi="宋体" w:eastAsia="宋体" w:cs="宋体"/>
          <w:b/>
          <w:bCs/>
          <w:color w:val="auto"/>
          <w:kern w:val="0"/>
          <w:sz w:val="24"/>
          <w:highlight w:val="none"/>
        </w:rPr>
        <w:t>招标公告</w:t>
      </w:r>
      <w:bookmarkEnd w:id="0"/>
      <w:bookmarkEnd w:id="1"/>
    </w:p>
    <w:p w14:paraId="68E549F8">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宋体" w:hAnsi="宋体" w:eastAsia="宋体" w:cs="宋体"/>
          <w:b/>
          <w:bCs/>
          <w:color w:val="auto"/>
          <w:kern w:val="0"/>
          <w:sz w:val="24"/>
          <w:highlight w:val="none"/>
        </w:rPr>
      </w:pPr>
      <w:bookmarkStart w:id="2" w:name="_Toc123725372"/>
      <w:r>
        <w:rPr>
          <w:rFonts w:hint="eastAsia" w:ascii="宋体" w:hAnsi="宋体" w:eastAsia="宋体" w:cs="宋体"/>
          <w:b/>
          <w:bCs/>
          <w:color w:val="auto"/>
          <w:kern w:val="0"/>
          <w:sz w:val="24"/>
          <w:highlight w:val="none"/>
        </w:rPr>
        <w:t>1. 招标条件</w:t>
      </w:r>
      <w:bookmarkEnd w:id="2"/>
    </w:p>
    <w:p w14:paraId="19F0B1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single"/>
          <w:lang w:eastAsia="zh-CN"/>
        </w:rPr>
      </w:pPr>
      <w:r>
        <w:rPr>
          <w:rFonts w:hint="eastAsia" w:ascii="宋体" w:hAnsi="宋体" w:eastAsia="宋体" w:cs="宋体"/>
          <w:bCs/>
          <w:color w:val="auto"/>
          <w:kern w:val="0"/>
          <w:sz w:val="24"/>
          <w:highlight w:val="none"/>
          <w:u w:val="none"/>
          <w:lang w:eastAsia="zh-CN"/>
        </w:rPr>
        <w:t>1.1 项目名称：</w:t>
      </w:r>
      <w:r>
        <w:rPr>
          <w:rFonts w:hint="eastAsia" w:ascii="宋体" w:hAnsi="宋体" w:cs="宋体"/>
          <w:bCs/>
          <w:color w:val="auto"/>
          <w:kern w:val="0"/>
          <w:sz w:val="24"/>
          <w:highlight w:val="none"/>
          <w:u w:val="single"/>
          <w:lang w:eastAsia="zh-CN"/>
        </w:rPr>
        <w:t>铜陵狮子山高新区污水处理厂二期配套工程监理</w:t>
      </w:r>
      <w:r>
        <w:rPr>
          <w:rFonts w:hint="eastAsia" w:ascii="宋体" w:hAnsi="宋体" w:eastAsia="宋体" w:cs="宋体"/>
          <w:bCs/>
          <w:color w:val="auto"/>
          <w:kern w:val="0"/>
          <w:sz w:val="24"/>
          <w:highlight w:val="none"/>
          <w:u w:val="single"/>
          <w:lang w:eastAsia="zh-CN"/>
        </w:rPr>
        <w:t>；</w:t>
      </w:r>
    </w:p>
    <w:p w14:paraId="25CF7F4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single"/>
          <w:lang w:eastAsia="zh-CN"/>
        </w:rPr>
      </w:pPr>
      <w:bookmarkStart w:id="3" w:name="_Toc123725373"/>
      <w:r>
        <w:rPr>
          <w:rFonts w:hint="eastAsia" w:ascii="宋体" w:hAnsi="宋体" w:eastAsia="宋体" w:cs="宋体"/>
          <w:bCs/>
          <w:color w:val="auto"/>
          <w:kern w:val="0"/>
          <w:sz w:val="24"/>
          <w:highlight w:val="none"/>
          <w:u w:val="none"/>
          <w:lang w:val="en-US" w:eastAsia="zh-CN"/>
        </w:rPr>
        <w:t>1.</w:t>
      </w:r>
      <w:r>
        <w:rPr>
          <w:rFonts w:hint="eastAsia" w:ascii="宋体" w:hAnsi="宋体" w:eastAsia="宋体" w:cs="宋体"/>
          <w:bCs/>
          <w:color w:val="auto"/>
          <w:kern w:val="0"/>
          <w:sz w:val="24"/>
          <w:highlight w:val="none"/>
          <w:u w:val="none"/>
          <w:lang w:eastAsia="zh-CN"/>
        </w:rPr>
        <w:t>2</w:t>
      </w:r>
      <w:r>
        <w:rPr>
          <w:rFonts w:hint="eastAsia" w:ascii="宋体" w:hAnsi="宋体" w:eastAsia="宋体" w:cs="宋体"/>
          <w:bCs/>
          <w:color w:val="auto"/>
          <w:kern w:val="0"/>
          <w:sz w:val="24"/>
          <w:highlight w:val="none"/>
          <w:u w:val="none"/>
          <w:lang w:val="en-US" w:eastAsia="zh-CN"/>
        </w:rPr>
        <w:t xml:space="preserve"> </w:t>
      </w:r>
      <w:r>
        <w:rPr>
          <w:rFonts w:hint="eastAsia" w:ascii="宋体" w:hAnsi="宋体" w:eastAsia="宋体" w:cs="宋体"/>
          <w:bCs/>
          <w:color w:val="auto"/>
          <w:kern w:val="0"/>
          <w:sz w:val="24"/>
          <w:highlight w:val="none"/>
          <w:u w:val="none"/>
          <w:lang w:eastAsia="zh-CN"/>
        </w:rPr>
        <w:t>项目审批机关名称：</w:t>
      </w:r>
      <w:r>
        <w:rPr>
          <w:rFonts w:hint="eastAsia" w:ascii="宋体" w:hAnsi="宋体" w:eastAsia="宋体" w:cs="宋体"/>
          <w:bCs/>
          <w:color w:val="auto"/>
          <w:kern w:val="0"/>
          <w:sz w:val="24"/>
          <w:highlight w:val="none"/>
          <w:u w:val="single"/>
          <w:lang w:eastAsia="zh-CN"/>
        </w:rPr>
        <w:t>铜陵市铜官区发展和改革委员会</w:t>
      </w:r>
    </w:p>
    <w:p w14:paraId="4F96CD6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eastAsia="zh-CN"/>
        </w:rPr>
      </w:pPr>
      <w:r>
        <w:rPr>
          <w:rFonts w:hint="eastAsia" w:ascii="宋体" w:hAnsi="宋体" w:eastAsia="宋体" w:cs="宋体"/>
          <w:bCs/>
          <w:color w:val="auto"/>
          <w:kern w:val="0"/>
          <w:sz w:val="24"/>
          <w:highlight w:val="none"/>
          <w:u w:val="none"/>
          <w:lang w:val="en-US" w:eastAsia="zh-CN"/>
        </w:rPr>
        <w:t>1.</w:t>
      </w:r>
      <w:r>
        <w:rPr>
          <w:rFonts w:hint="eastAsia" w:ascii="宋体" w:hAnsi="宋体" w:eastAsia="宋体" w:cs="宋体"/>
          <w:bCs/>
          <w:color w:val="auto"/>
          <w:kern w:val="0"/>
          <w:sz w:val="24"/>
          <w:highlight w:val="none"/>
          <w:u w:val="none"/>
          <w:lang w:eastAsia="zh-CN"/>
        </w:rPr>
        <w:t>3</w:t>
      </w:r>
      <w:r>
        <w:rPr>
          <w:rFonts w:hint="eastAsia" w:ascii="宋体" w:hAnsi="宋体" w:eastAsia="宋体" w:cs="宋体"/>
          <w:bCs/>
          <w:color w:val="auto"/>
          <w:kern w:val="0"/>
          <w:sz w:val="24"/>
          <w:highlight w:val="none"/>
          <w:u w:val="none"/>
          <w:lang w:val="en-US" w:eastAsia="zh-CN"/>
        </w:rPr>
        <w:t xml:space="preserve"> 批文名称及编号：</w:t>
      </w:r>
      <w:r>
        <w:rPr>
          <w:rFonts w:hint="eastAsia" w:ascii="宋体" w:hAnsi="宋体" w:eastAsia="宋体" w:cs="宋体"/>
          <w:i w:val="0"/>
          <w:iCs w:val="0"/>
          <w:caps w:val="0"/>
          <w:color w:val="auto"/>
          <w:spacing w:val="0"/>
          <w:kern w:val="0"/>
          <w:sz w:val="24"/>
          <w:szCs w:val="24"/>
          <w:highlight w:val="none"/>
          <w:u w:val="single"/>
          <w:shd w:val="clear" w:fill="FFFFFF"/>
          <w:lang w:eastAsia="zh-CN"/>
        </w:rPr>
        <w:t>《关于铜陵狮子山高新区污水处理厂二期工程项目可行性研究报告的批复》（区发改审〔2024〕17号）</w:t>
      </w:r>
    </w:p>
    <w:p w14:paraId="310BB89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single"/>
          <w:lang w:eastAsia="zh-CN"/>
        </w:rPr>
      </w:pPr>
      <w:r>
        <w:rPr>
          <w:rFonts w:hint="eastAsia" w:ascii="宋体" w:hAnsi="宋体" w:eastAsia="宋体" w:cs="宋体"/>
          <w:bCs/>
          <w:color w:val="auto"/>
          <w:kern w:val="0"/>
          <w:sz w:val="24"/>
          <w:highlight w:val="none"/>
          <w:u w:val="none"/>
          <w:lang w:val="en-US" w:eastAsia="zh-CN"/>
        </w:rPr>
        <w:t>1.</w:t>
      </w:r>
      <w:r>
        <w:rPr>
          <w:rFonts w:hint="eastAsia" w:ascii="宋体" w:hAnsi="宋体" w:eastAsia="宋体" w:cs="宋体"/>
          <w:bCs/>
          <w:color w:val="auto"/>
          <w:kern w:val="0"/>
          <w:sz w:val="24"/>
          <w:highlight w:val="none"/>
          <w:u w:val="none"/>
          <w:lang w:eastAsia="zh-CN"/>
        </w:rPr>
        <w:t>4</w:t>
      </w:r>
      <w:r>
        <w:rPr>
          <w:rFonts w:hint="eastAsia" w:ascii="宋体" w:hAnsi="宋体" w:eastAsia="宋体" w:cs="宋体"/>
          <w:bCs/>
          <w:color w:val="auto"/>
          <w:kern w:val="0"/>
          <w:sz w:val="24"/>
          <w:highlight w:val="none"/>
          <w:u w:val="none"/>
          <w:lang w:val="en-US" w:eastAsia="zh-CN"/>
        </w:rPr>
        <w:t xml:space="preserve"> </w:t>
      </w:r>
      <w:r>
        <w:rPr>
          <w:rFonts w:hint="eastAsia" w:ascii="宋体" w:hAnsi="宋体" w:eastAsia="宋体" w:cs="宋体"/>
          <w:bCs/>
          <w:color w:val="auto"/>
          <w:kern w:val="0"/>
          <w:sz w:val="24"/>
          <w:highlight w:val="none"/>
          <w:u w:val="none"/>
          <w:lang w:eastAsia="zh-CN"/>
        </w:rPr>
        <w:t>资金来源：</w:t>
      </w:r>
      <w:r>
        <w:rPr>
          <w:rFonts w:hint="eastAsia" w:ascii="宋体" w:hAnsi="宋体" w:cs="宋体"/>
          <w:bCs/>
          <w:color w:val="auto"/>
          <w:kern w:val="0"/>
          <w:sz w:val="24"/>
          <w:highlight w:val="none"/>
          <w:u w:val="single"/>
          <w:lang w:eastAsia="zh-CN"/>
        </w:rPr>
        <w:t>自筹资金</w:t>
      </w:r>
    </w:p>
    <w:p w14:paraId="71EFD4C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kern w:val="0"/>
          <w:sz w:val="24"/>
          <w:highlight w:val="none"/>
          <w:u w:val="single"/>
        </w:rPr>
      </w:pPr>
      <w:r>
        <w:rPr>
          <w:rFonts w:hint="eastAsia" w:ascii="宋体" w:hAnsi="宋体" w:eastAsia="宋体" w:cs="宋体"/>
          <w:bCs/>
          <w:snapToGrid w:val="0"/>
          <w:color w:val="auto"/>
          <w:kern w:val="0"/>
          <w:sz w:val="24"/>
          <w:szCs w:val="21"/>
          <w:highlight w:val="none"/>
        </w:rPr>
        <w:t>1.</w:t>
      </w:r>
      <w:r>
        <w:rPr>
          <w:rFonts w:hint="eastAsia" w:ascii="宋体" w:hAnsi="宋体" w:eastAsia="宋体" w:cs="宋体"/>
          <w:bCs/>
          <w:snapToGrid w:val="0"/>
          <w:color w:val="auto"/>
          <w:kern w:val="0"/>
          <w:sz w:val="24"/>
          <w:szCs w:val="21"/>
          <w:highlight w:val="none"/>
          <w:lang w:val="en-US" w:eastAsia="zh-CN"/>
        </w:rPr>
        <w:t>5</w:t>
      </w:r>
      <w:r>
        <w:rPr>
          <w:rFonts w:hint="eastAsia" w:ascii="宋体" w:hAnsi="宋体" w:eastAsia="宋体" w:cs="宋体"/>
          <w:bCs/>
          <w:snapToGrid w:val="0"/>
          <w:color w:val="auto"/>
          <w:kern w:val="0"/>
          <w:sz w:val="24"/>
          <w:szCs w:val="21"/>
          <w:highlight w:val="none"/>
        </w:rPr>
        <w:t xml:space="preserve"> 项目出资比例：</w:t>
      </w:r>
      <w:r>
        <w:rPr>
          <w:rFonts w:hint="eastAsia" w:ascii="宋体" w:hAnsi="宋体" w:eastAsia="宋体" w:cs="宋体"/>
          <w:color w:val="auto"/>
          <w:kern w:val="0"/>
          <w:sz w:val="24"/>
          <w:highlight w:val="none"/>
          <w:u w:val="single"/>
        </w:rPr>
        <w:t>100%</w:t>
      </w:r>
    </w:p>
    <w:p w14:paraId="331B025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u w:val="none"/>
          <w:lang w:val="en-US" w:eastAsia="zh-CN"/>
        </w:rPr>
        <w:t>1.6 招标人：</w:t>
      </w:r>
      <w:r>
        <w:rPr>
          <w:rFonts w:hint="eastAsia" w:ascii="宋体" w:hAnsi="宋体" w:eastAsia="宋体" w:cs="宋体"/>
          <w:bCs/>
          <w:color w:val="auto"/>
          <w:kern w:val="0"/>
          <w:sz w:val="24"/>
          <w:highlight w:val="none"/>
          <w:u w:val="single"/>
          <w:lang w:val="en-US" w:eastAsia="zh-CN"/>
        </w:rPr>
        <w:t>铜陵高新产业园发展有限公司</w:t>
      </w:r>
    </w:p>
    <w:p w14:paraId="5EA3BB7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u w:val="none"/>
          <w:lang w:val="en-US" w:eastAsia="zh-CN"/>
        </w:rPr>
        <w:t>1.7 招标代理机构：</w:t>
      </w:r>
      <w:r>
        <w:rPr>
          <w:rFonts w:hint="eastAsia" w:ascii="宋体" w:hAnsi="宋体" w:eastAsia="宋体" w:cs="宋体"/>
          <w:bCs/>
          <w:color w:val="auto"/>
          <w:kern w:val="0"/>
          <w:sz w:val="24"/>
          <w:highlight w:val="none"/>
          <w:u w:val="single"/>
          <w:lang w:val="en-US" w:eastAsia="zh-CN"/>
        </w:rPr>
        <w:t>安徽秉弘工程项目咨询有限公司</w:t>
      </w:r>
    </w:p>
    <w:p w14:paraId="52642B6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u w:val="none"/>
          <w:lang w:val="en-US" w:eastAsia="zh-CN"/>
        </w:rPr>
        <w:t>1.8 招标方式：</w:t>
      </w:r>
      <w:r>
        <w:rPr>
          <w:rFonts w:hint="eastAsia" w:ascii="宋体" w:hAnsi="宋体" w:eastAsia="宋体" w:cs="宋体"/>
          <w:bCs/>
          <w:color w:val="auto"/>
          <w:kern w:val="0"/>
          <w:sz w:val="24"/>
          <w:highlight w:val="none"/>
          <w:u w:val="single"/>
          <w:lang w:val="en-US" w:eastAsia="zh-CN"/>
        </w:rPr>
        <w:t>公开招标</w:t>
      </w:r>
    </w:p>
    <w:p w14:paraId="31486F4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u w:val="none"/>
          <w:lang w:val="en-US" w:eastAsia="zh-CN"/>
        </w:rPr>
        <w:t>1.9评标办法：</w:t>
      </w:r>
      <w:r>
        <w:rPr>
          <w:rFonts w:hint="eastAsia" w:ascii="宋体" w:hAnsi="宋体" w:eastAsia="宋体" w:cs="宋体"/>
          <w:bCs/>
          <w:color w:val="auto"/>
          <w:kern w:val="0"/>
          <w:sz w:val="24"/>
          <w:highlight w:val="none"/>
          <w:u w:val="single"/>
          <w:lang w:val="en-US" w:eastAsia="zh-CN"/>
        </w:rPr>
        <w:t>综合评估法 </w:t>
      </w:r>
    </w:p>
    <w:p w14:paraId="764670D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u w:val="none"/>
          <w:lang w:val="en-US" w:eastAsia="zh-CN"/>
        </w:rPr>
        <w:t>1.10定标方法：</w:t>
      </w:r>
      <w:r>
        <w:rPr>
          <w:rFonts w:hint="eastAsia" w:ascii="宋体" w:hAnsi="宋体" w:eastAsia="宋体" w:cs="宋体"/>
          <w:bCs/>
          <w:color w:val="auto"/>
          <w:kern w:val="0"/>
          <w:sz w:val="24"/>
          <w:highlight w:val="none"/>
          <w:u w:val="single"/>
          <w:lang w:val="en-US" w:eastAsia="zh-CN"/>
        </w:rPr>
        <w:t>本次招标不采用评定分离</w:t>
      </w:r>
    </w:p>
    <w:p w14:paraId="35ECE43C">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 项目概况与招标范围</w:t>
      </w:r>
      <w:bookmarkEnd w:id="3"/>
    </w:p>
    <w:p w14:paraId="72CEEC6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val="en-US" w:eastAsia="zh-CN"/>
        </w:rPr>
      </w:pPr>
      <w:bookmarkStart w:id="4" w:name="_Toc123725374"/>
      <w:r>
        <w:rPr>
          <w:rFonts w:hint="eastAsia" w:ascii="宋体" w:hAnsi="宋体" w:eastAsia="宋体" w:cs="宋体"/>
          <w:bCs/>
          <w:color w:val="auto"/>
          <w:kern w:val="0"/>
          <w:sz w:val="24"/>
          <w:highlight w:val="none"/>
          <w:u w:val="none"/>
          <w:lang w:val="en-US" w:eastAsia="zh-CN"/>
        </w:rPr>
        <w:t>2.1 招标项目名称：</w:t>
      </w:r>
      <w:r>
        <w:rPr>
          <w:rFonts w:hint="eastAsia" w:ascii="宋体" w:hAnsi="宋体" w:cs="宋体"/>
          <w:bCs/>
          <w:color w:val="auto"/>
          <w:kern w:val="0"/>
          <w:sz w:val="24"/>
          <w:highlight w:val="none"/>
          <w:u w:val="single"/>
          <w:lang w:val="en-US" w:eastAsia="zh-CN"/>
        </w:rPr>
        <w:t>铜陵狮子山高新区污水处理厂二期配套工程监理</w:t>
      </w:r>
    </w:p>
    <w:p w14:paraId="70C1B76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2.2 招标项目编号：</w:t>
      </w:r>
      <w:r>
        <w:rPr>
          <w:rFonts w:hint="eastAsia" w:ascii="宋体" w:hAnsi="宋体" w:cs="宋体"/>
          <w:color w:val="auto"/>
          <w:spacing w:val="-1"/>
          <w:kern w:val="0"/>
          <w:sz w:val="24"/>
          <w:szCs w:val="24"/>
          <w:highlight w:val="none"/>
          <w:u w:val="single" w:color="auto"/>
          <w:lang w:eastAsia="zh-CN"/>
        </w:rPr>
        <w:t>秉弘招标【2025】096号</w:t>
      </w:r>
    </w:p>
    <w:p w14:paraId="10CDA5D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2.3 标段划分：</w:t>
      </w:r>
      <w:r>
        <w:rPr>
          <w:rFonts w:hint="eastAsia" w:ascii="宋体" w:hAnsi="宋体" w:cs="宋体"/>
          <w:bCs/>
          <w:color w:val="auto"/>
          <w:kern w:val="0"/>
          <w:sz w:val="24"/>
          <w:highlight w:val="none"/>
          <w:u w:val="single"/>
          <w:lang w:val="en-US" w:eastAsia="zh-CN"/>
        </w:rPr>
        <w:t>两</w:t>
      </w:r>
      <w:r>
        <w:rPr>
          <w:rFonts w:hint="eastAsia" w:ascii="宋体" w:hAnsi="宋体" w:eastAsia="宋体" w:cs="宋体"/>
          <w:bCs/>
          <w:color w:val="auto"/>
          <w:kern w:val="0"/>
          <w:sz w:val="24"/>
          <w:highlight w:val="none"/>
          <w:u w:val="single"/>
          <w:lang w:val="en-US" w:eastAsia="zh-CN"/>
        </w:rPr>
        <w:t>个标段</w:t>
      </w:r>
    </w:p>
    <w:p w14:paraId="4C808E8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2.4 招标项目标段编号：</w:t>
      </w:r>
      <w:r>
        <w:rPr>
          <w:rFonts w:hint="eastAsia" w:ascii="宋体" w:hAnsi="宋体" w:cs="宋体"/>
          <w:color w:val="auto"/>
          <w:spacing w:val="-1"/>
          <w:kern w:val="0"/>
          <w:sz w:val="24"/>
          <w:szCs w:val="24"/>
          <w:highlight w:val="none"/>
          <w:u w:val="single" w:color="auto"/>
          <w:lang w:eastAsia="zh-CN"/>
        </w:rPr>
        <w:t>秉弘招标【2025】096号</w:t>
      </w:r>
    </w:p>
    <w:p w14:paraId="5DA6354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2.5 建设地点：</w:t>
      </w:r>
      <w:r>
        <w:rPr>
          <w:rFonts w:hint="eastAsia" w:ascii="宋体" w:hAnsi="宋体" w:eastAsia="宋体" w:cs="宋体"/>
          <w:bCs/>
          <w:color w:val="auto"/>
          <w:kern w:val="0"/>
          <w:sz w:val="24"/>
          <w:highlight w:val="none"/>
          <w:u w:val="single"/>
          <w:lang w:val="en-US" w:eastAsia="zh-CN"/>
        </w:rPr>
        <w:t>位于</w:t>
      </w:r>
      <w:r>
        <w:rPr>
          <w:rFonts w:hint="eastAsia" w:ascii="宋体" w:hAnsi="宋体" w:cs="宋体"/>
          <w:color w:val="auto"/>
          <w:sz w:val="24"/>
          <w:szCs w:val="24"/>
          <w:highlight w:val="none"/>
          <w:u w:val="single"/>
          <w:shd w:val="clear" w:color="auto" w:fill="FFFFFF"/>
        </w:rPr>
        <w:t>安徽省铜陵狮子山高新技术产业开发区内</w:t>
      </w:r>
    </w:p>
    <w:p w14:paraId="27B7089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2.6 建设规模：</w:t>
      </w:r>
      <w:r>
        <w:rPr>
          <w:rFonts w:hint="eastAsia" w:ascii="宋体" w:hAnsi="宋体" w:eastAsia="宋体" w:cs="宋体"/>
          <w:i w:val="0"/>
          <w:iCs w:val="0"/>
          <w:caps w:val="0"/>
          <w:color w:val="auto"/>
          <w:spacing w:val="0"/>
          <w:sz w:val="24"/>
          <w:szCs w:val="24"/>
          <w:u w:val="single"/>
          <w:shd w:val="clear" w:fill="FFFFFF"/>
          <w:vertAlign w:val="baseline"/>
          <w:lang w:val="en-US" w:eastAsia="zh-CN"/>
        </w:rPr>
        <w:t>一标段：铜陵狮子山高新区污水处理厂二期配套道路及排水系统工程，道路标准横断面宽度18米，全长约1500</w:t>
      </w: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米，同时配套建设箱涵</w:t>
      </w:r>
      <w:r>
        <w:rPr>
          <w:rFonts w:hint="eastAsia" w:ascii="宋体" w:hAnsi="宋体" w:cs="宋体"/>
          <w:b/>
          <w:bCs/>
          <w:i w:val="0"/>
          <w:iCs w:val="0"/>
          <w:caps w:val="0"/>
          <w:color w:val="auto"/>
          <w:spacing w:val="0"/>
          <w:sz w:val="24"/>
          <w:szCs w:val="24"/>
          <w:highlight w:val="none"/>
          <w:u w:val="single"/>
          <w:shd w:val="clear" w:fill="FFFFFF"/>
          <w:vertAlign w:val="baseline"/>
          <w:lang w:val="en-US" w:eastAsia="zh-CN"/>
        </w:rPr>
        <w:t>（最大管径约4m）</w:t>
      </w: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、明渠、排水、照明、绿化、交通及其他辅助工程，监理服务费最高投标限价为50万元；</w:t>
      </w:r>
    </w:p>
    <w:p w14:paraId="1EFA37D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single"/>
          <w:lang w:val="en-US" w:eastAsia="zh-CN"/>
        </w:rPr>
      </w:pPr>
      <w:r>
        <w:rPr>
          <w:rFonts w:hint="eastAsia" w:ascii="宋体" w:hAnsi="宋体" w:cs="宋体"/>
          <w:bCs/>
          <w:color w:val="auto"/>
          <w:kern w:val="0"/>
          <w:sz w:val="24"/>
          <w:highlight w:val="none"/>
          <w:u w:val="single"/>
          <w:lang w:val="en-US" w:eastAsia="zh-CN"/>
        </w:rPr>
        <w:t>二标段：铜陵狮子山高新区污水处理厂二期配套排水防涝泵站提升工程</w:t>
      </w:r>
      <w:r>
        <w:rPr>
          <w:rFonts w:hint="eastAsia" w:ascii="宋体" w:hAnsi="宋体" w:eastAsia="宋体" w:cs="宋体"/>
          <w:bCs/>
          <w:color w:val="auto"/>
          <w:kern w:val="0"/>
          <w:sz w:val="24"/>
          <w:highlight w:val="none"/>
          <w:u w:val="single"/>
          <w:lang w:val="en-US" w:eastAsia="zh-CN"/>
        </w:rPr>
        <w:t>，</w:t>
      </w:r>
      <w:r>
        <w:rPr>
          <w:rFonts w:hint="eastAsia" w:ascii="宋体" w:hAnsi="宋体" w:eastAsia="宋体" w:cs="宋体"/>
          <w:i w:val="0"/>
          <w:iCs w:val="0"/>
          <w:caps w:val="0"/>
          <w:color w:val="auto"/>
          <w:spacing w:val="0"/>
          <w:sz w:val="24"/>
          <w:szCs w:val="24"/>
          <w:u w:val="single"/>
          <w:shd w:val="clear" w:fill="FFFFFF"/>
          <w:vertAlign w:val="baseline"/>
        </w:rPr>
        <w:t>主要建设内容为:总建筑面积571.25m</w:t>
      </w:r>
      <w:r>
        <w:rPr>
          <w:rFonts w:hint="eastAsia" w:ascii="宋体" w:hAnsi="宋体" w:eastAsia="宋体" w:cs="宋体"/>
          <w:i w:val="0"/>
          <w:iCs w:val="0"/>
          <w:caps w:val="0"/>
          <w:color w:val="auto"/>
          <w:spacing w:val="0"/>
          <w:sz w:val="24"/>
          <w:szCs w:val="24"/>
          <w:u w:val="single"/>
          <w:shd w:val="clear" w:fill="FFFFFF"/>
          <w:vertAlign w:val="superscript"/>
        </w:rPr>
        <w:t>2</w:t>
      </w:r>
      <w:r>
        <w:rPr>
          <w:rFonts w:hint="eastAsia" w:ascii="宋体" w:hAnsi="宋体" w:eastAsia="宋体" w:cs="宋体"/>
          <w:i w:val="0"/>
          <w:iCs w:val="0"/>
          <w:caps w:val="0"/>
          <w:color w:val="auto"/>
          <w:spacing w:val="0"/>
          <w:sz w:val="24"/>
          <w:szCs w:val="24"/>
          <w:u w:val="single"/>
          <w:shd w:val="clear" w:fill="FFFFFF"/>
          <w:vertAlign w:val="baseline"/>
        </w:rPr>
        <w:t>，新建泵房</w:t>
      </w:r>
      <w:r>
        <w:rPr>
          <w:rFonts w:hint="eastAsia" w:ascii="宋体" w:hAnsi="宋体" w:eastAsia="宋体" w:cs="宋体"/>
          <w:b/>
          <w:bCs/>
          <w:i w:val="0"/>
          <w:iCs w:val="0"/>
          <w:caps w:val="0"/>
          <w:color w:val="auto"/>
          <w:spacing w:val="0"/>
          <w:sz w:val="24"/>
          <w:szCs w:val="24"/>
          <w:u w:val="single"/>
          <w:shd w:val="clear" w:fill="FFFFFF"/>
          <w:vertAlign w:val="baseline"/>
        </w:rPr>
        <w:t>(泵站设计流量为15.8m³/s)</w:t>
      </w:r>
      <w:r>
        <w:rPr>
          <w:rFonts w:hint="eastAsia" w:ascii="宋体" w:hAnsi="宋体" w:eastAsia="宋体" w:cs="宋体"/>
          <w:i w:val="0"/>
          <w:iCs w:val="0"/>
          <w:caps w:val="0"/>
          <w:color w:val="auto"/>
          <w:spacing w:val="0"/>
          <w:sz w:val="24"/>
          <w:szCs w:val="24"/>
          <w:u w:val="single"/>
          <w:shd w:val="clear" w:fill="FFFFFF"/>
          <w:vertAlign w:val="baseline"/>
        </w:rPr>
        <w:t>、辅助用房、配套出水口及连通涵、围墙、污水管网、土方开挖、回填及外运、室外照明及设备安装等工程</w:t>
      </w:r>
      <w:r>
        <w:rPr>
          <w:rFonts w:hint="eastAsia" w:ascii="宋体" w:hAnsi="宋体" w:eastAsia="宋体" w:cs="宋体"/>
          <w:bCs/>
          <w:color w:val="auto"/>
          <w:kern w:val="0"/>
          <w:sz w:val="24"/>
          <w:highlight w:val="none"/>
          <w:u w:val="single"/>
          <w:lang w:val="en-US" w:eastAsia="zh-CN"/>
        </w:rPr>
        <w:t>，监理服务费最高投标限价为</w:t>
      </w:r>
      <w:r>
        <w:rPr>
          <w:rFonts w:hint="eastAsia" w:ascii="宋体" w:hAnsi="宋体" w:eastAsia="宋体" w:cs="宋体"/>
          <w:i w:val="0"/>
          <w:iCs w:val="0"/>
          <w:caps w:val="0"/>
          <w:color w:val="auto"/>
          <w:spacing w:val="0"/>
          <w:sz w:val="24"/>
          <w:szCs w:val="24"/>
          <w:u w:val="single"/>
          <w:shd w:val="clear" w:fill="FFFFFF"/>
          <w:vertAlign w:val="baseline"/>
          <w:lang w:val="en-US" w:eastAsia="zh-CN"/>
        </w:rPr>
        <w:t>35万元；</w:t>
      </w:r>
    </w:p>
    <w:p w14:paraId="737A79D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2.7 监理服务期：</w:t>
      </w:r>
      <w:r>
        <w:rPr>
          <w:rFonts w:hint="eastAsia" w:ascii="宋体" w:hAnsi="宋体" w:eastAsia="宋体" w:cs="宋体"/>
          <w:bCs/>
          <w:color w:val="auto"/>
          <w:kern w:val="0"/>
          <w:sz w:val="24"/>
          <w:highlight w:val="none"/>
          <w:u w:val="single"/>
          <w:lang w:val="en-US" w:eastAsia="zh-CN"/>
        </w:rPr>
        <w:t>自合同生效之日起至缺陷责任期结束并交付之日止（</w:t>
      </w:r>
      <w:r>
        <w:rPr>
          <w:rFonts w:hint="eastAsia" w:ascii="宋体" w:hAnsi="宋体" w:cs="宋体"/>
          <w:bCs/>
          <w:color w:val="auto"/>
          <w:kern w:val="0"/>
          <w:sz w:val="24"/>
          <w:highlight w:val="none"/>
          <w:u w:val="single"/>
          <w:lang w:val="en-US" w:eastAsia="zh-CN"/>
        </w:rPr>
        <w:t>一标段</w:t>
      </w:r>
      <w:r>
        <w:rPr>
          <w:rFonts w:hint="eastAsia" w:ascii="宋体" w:hAnsi="宋体" w:eastAsia="宋体" w:cs="宋体"/>
          <w:bCs/>
          <w:color w:val="auto"/>
          <w:kern w:val="0"/>
          <w:sz w:val="24"/>
          <w:highlight w:val="none"/>
          <w:u w:val="single"/>
          <w:lang w:val="en-US" w:eastAsia="zh-CN"/>
        </w:rPr>
        <w:t>工程施工计划工期</w:t>
      </w:r>
      <w:r>
        <w:rPr>
          <w:rFonts w:hint="eastAsia" w:ascii="宋体" w:hAnsi="宋体" w:eastAsia="宋体" w:cs="宋体"/>
          <w:i w:val="0"/>
          <w:iCs w:val="0"/>
          <w:caps w:val="0"/>
          <w:color w:val="auto"/>
          <w:spacing w:val="0"/>
          <w:kern w:val="0"/>
          <w:sz w:val="24"/>
          <w:szCs w:val="24"/>
          <w:u w:val="single"/>
          <w:shd w:val="clear" w:fill="FFFFFF"/>
        </w:rPr>
        <w:t>2</w:t>
      </w:r>
      <w:r>
        <w:rPr>
          <w:rFonts w:hint="eastAsia" w:ascii="宋体" w:hAnsi="宋体" w:cs="宋体"/>
          <w:i w:val="0"/>
          <w:iCs w:val="0"/>
          <w:caps w:val="0"/>
          <w:color w:val="auto"/>
          <w:spacing w:val="0"/>
          <w:kern w:val="0"/>
          <w:sz w:val="24"/>
          <w:szCs w:val="24"/>
          <w:u w:val="single"/>
          <w:shd w:val="clear" w:fill="FFFFFF"/>
          <w:lang w:val="en-US" w:eastAsia="zh-CN"/>
        </w:rPr>
        <w:t>4</w:t>
      </w:r>
      <w:r>
        <w:rPr>
          <w:rFonts w:hint="eastAsia" w:ascii="宋体" w:hAnsi="宋体" w:eastAsia="宋体" w:cs="宋体"/>
          <w:i w:val="0"/>
          <w:iCs w:val="0"/>
          <w:caps w:val="0"/>
          <w:color w:val="auto"/>
          <w:spacing w:val="0"/>
          <w:kern w:val="0"/>
          <w:sz w:val="24"/>
          <w:szCs w:val="24"/>
          <w:u w:val="single"/>
          <w:shd w:val="clear" w:fill="FFFFFF"/>
        </w:rPr>
        <w:t>0日历天</w:t>
      </w:r>
      <w:r>
        <w:rPr>
          <w:rFonts w:hint="eastAsia" w:ascii="宋体" w:hAnsi="宋体" w:cs="宋体"/>
          <w:i w:val="0"/>
          <w:iCs w:val="0"/>
          <w:caps w:val="0"/>
          <w:color w:val="auto"/>
          <w:spacing w:val="0"/>
          <w:kern w:val="0"/>
          <w:sz w:val="24"/>
          <w:szCs w:val="24"/>
          <w:u w:val="single"/>
          <w:shd w:val="clear" w:fill="FFFFFF"/>
          <w:lang w:eastAsia="zh-CN"/>
        </w:rPr>
        <w:t>、</w:t>
      </w:r>
      <w:r>
        <w:rPr>
          <w:rFonts w:hint="eastAsia" w:ascii="宋体" w:hAnsi="宋体" w:cs="宋体"/>
          <w:bCs/>
          <w:color w:val="auto"/>
          <w:kern w:val="0"/>
          <w:sz w:val="24"/>
          <w:highlight w:val="none"/>
          <w:u w:val="single"/>
          <w:lang w:val="en-US" w:eastAsia="zh-CN"/>
        </w:rPr>
        <w:t>二标段</w:t>
      </w:r>
      <w:r>
        <w:rPr>
          <w:rFonts w:hint="eastAsia" w:ascii="宋体" w:hAnsi="宋体" w:eastAsia="宋体" w:cs="宋体"/>
          <w:bCs/>
          <w:color w:val="auto"/>
          <w:kern w:val="0"/>
          <w:sz w:val="24"/>
          <w:highlight w:val="none"/>
          <w:u w:val="single"/>
          <w:lang w:val="en-US" w:eastAsia="zh-CN"/>
        </w:rPr>
        <w:t>工程施工计划工期</w:t>
      </w:r>
      <w:r>
        <w:rPr>
          <w:rFonts w:hint="eastAsia" w:ascii="宋体" w:hAnsi="宋体" w:eastAsia="宋体" w:cs="宋体"/>
          <w:i w:val="0"/>
          <w:iCs w:val="0"/>
          <w:caps w:val="0"/>
          <w:color w:val="auto"/>
          <w:spacing w:val="0"/>
          <w:kern w:val="0"/>
          <w:sz w:val="24"/>
          <w:szCs w:val="24"/>
          <w:u w:val="single"/>
          <w:shd w:val="clear" w:fill="FFFFFF"/>
        </w:rPr>
        <w:t>2</w:t>
      </w:r>
      <w:r>
        <w:rPr>
          <w:rFonts w:hint="eastAsia" w:ascii="宋体" w:hAnsi="宋体" w:cs="宋体"/>
          <w:i w:val="0"/>
          <w:iCs w:val="0"/>
          <w:caps w:val="0"/>
          <w:color w:val="auto"/>
          <w:spacing w:val="0"/>
          <w:kern w:val="0"/>
          <w:sz w:val="24"/>
          <w:szCs w:val="24"/>
          <w:u w:val="single"/>
          <w:shd w:val="clear" w:fill="FFFFFF"/>
          <w:lang w:val="en-US" w:eastAsia="zh-CN"/>
        </w:rPr>
        <w:t>10</w:t>
      </w:r>
      <w:r>
        <w:rPr>
          <w:rFonts w:hint="eastAsia" w:ascii="宋体" w:hAnsi="宋体" w:eastAsia="宋体" w:cs="宋体"/>
          <w:i w:val="0"/>
          <w:iCs w:val="0"/>
          <w:caps w:val="0"/>
          <w:color w:val="auto"/>
          <w:spacing w:val="0"/>
          <w:kern w:val="0"/>
          <w:sz w:val="24"/>
          <w:szCs w:val="24"/>
          <w:u w:val="single"/>
          <w:shd w:val="clear" w:fill="FFFFFF"/>
        </w:rPr>
        <w:t>日历天</w:t>
      </w:r>
      <w:r>
        <w:rPr>
          <w:rFonts w:hint="eastAsia" w:ascii="宋体" w:hAnsi="宋体" w:eastAsia="宋体" w:cs="宋体"/>
          <w:bCs/>
          <w:color w:val="auto"/>
          <w:kern w:val="0"/>
          <w:sz w:val="24"/>
          <w:highlight w:val="none"/>
          <w:u w:val="single"/>
          <w:lang w:val="en-US" w:eastAsia="zh-CN"/>
        </w:rPr>
        <w:t>，缺陷责任期</w:t>
      </w:r>
      <w:r>
        <w:rPr>
          <w:rFonts w:hint="eastAsia" w:ascii="宋体" w:hAnsi="宋体" w:cs="宋体"/>
          <w:bCs/>
          <w:color w:val="auto"/>
          <w:kern w:val="0"/>
          <w:sz w:val="24"/>
          <w:highlight w:val="none"/>
          <w:u w:val="single"/>
          <w:lang w:val="en-US" w:eastAsia="zh-CN"/>
        </w:rPr>
        <w:t>均为</w:t>
      </w:r>
      <w:r>
        <w:rPr>
          <w:rFonts w:hint="eastAsia" w:ascii="宋体" w:hAnsi="宋体" w:eastAsia="宋体" w:cs="宋体"/>
          <w:bCs/>
          <w:color w:val="auto"/>
          <w:kern w:val="0"/>
          <w:sz w:val="24"/>
          <w:highlight w:val="none"/>
          <w:u w:val="single"/>
          <w:lang w:val="en-US" w:eastAsia="zh-CN"/>
        </w:rPr>
        <w:t>24个月）；</w:t>
      </w:r>
    </w:p>
    <w:p w14:paraId="016ACA1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2.8 本项目最高投标限价：</w:t>
      </w:r>
      <w:r>
        <w:rPr>
          <w:rFonts w:hint="eastAsia" w:ascii="宋体" w:hAnsi="宋体" w:cs="宋体"/>
          <w:bCs/>
          <w:color w:val="auto"/>
          <w:kern w:val="0"/>
          <w:sz w:val="24"/>
          <w:highlight w:val="none"/>
          <w:u w:val="single"/>
          <w:lang w:val="en-US" w:eastAsia="zh-CN"/>
        </w:rPr>
        <w:t>85万元（一标段最高投标限价为50万元、二标段最高投标限价为35万元）；</w:t>
      </w:r>
    </w:p>
    <w:p w14:paraId="36DA8D9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2.9 招标范围：</w:t>
      </w:r>
      <w:r>
        <w:rPr>
          <w:rFonts w:hint="eastAsia" w:ascii="宋体" w:hAnsi="宋体" w:eastAsia="宋体" w:cs="宋体"/>
          <w:bCs/>
          <w:snapToGrid w:val="0"/>
          <w:color w:val="auto"/>
          <w:kern w:val="0"/>
          <w:sz w:val="24"/>
          <w:szCs w:val="21"/>
          <w:highlight w:val="none"/>
          <w:u w:val="single"/>
          <w:lang w:val="en-US" w:eastAsia="zh-CN" w:bidi="ar"/>
        </w:rPr>
        <w:t>工程施工、设备采购安装及缺陷责任期等全过程监理（包括但不限于项目施工等阶段的管理及协调配合相关监理服务，施工阶段的质量、进度、费用控制和安全、合同、信息管理以及组织协调等其它监理服务，缺陷责任期相关服务以及招标文件中所载明的内容及业主安排的其他事项）；</w:t>
      </w:r>
    </w:p>
    <w:p w14:paraId="6A5EF38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宋体" w:hAnsi="宋体" w:eastAsia="宋体" w:cs="宋体"/>
          <w:bCs/>
          <w:color w:val="auto"/>
          <w:kern w:val="0"/>
          <w:sz w:val="24"/>
          <w:highlight w:val="none"/>
          <w:u w:val="none"/>
          <w:lang w:val="en-US" w:eastAsia="zh-CN"/>
        </w:rPr>
      </w:pPr>
      <w:r>
        <w:rPr>
          <w:rFonts w:hint="eastAsia" w:ascii="宋体" w:hAnsi="宋体" w:eastAsia="宋体" w:cs="宋体"/>
          <w:bCs/>
          <w:color w:val="auto"/>
          <w:kern w:val="0"/>
          <w:sz w:val="24"/>
          <w:highlight w:val="none"/>
          <w:u w:val="none"/>
          <w:lang w:val="en-US" w:eastAsia="zh-CN"/>
        </w:rPr>
        <w:t>2.</w:t>
      </w:r>
      <w:r>
        <w:rPr>
          <w:rFonts w:hint="eastAsia" w:ascii="宋体" w:hAnsi="宋体" w:cs="宋体"/>
          <w:bCs/>
          <w:color w:val="auto"/>
          <w:kern w:val="0"/>
          <w:sz w:val="24"/>
          <w:highlight w:val="none"/>
          <w:u w:val="none"/>
          <w:lang w:val="en-US" w:eastAsia="zh-CN"/>
        </w:rPr>
        <w:t>10</w:t>
      </w:r>
      <w:r>
        <w:rPr>
          <w:rFonts w:hint="eastAsia" w:ascii="宋体" w:hAnsi="宋体" w:eastAsia="宋体" w:cs="宋体"/>
          <w:bCs/>
          <w:color w:val="auto"/>
          <w:kern w:val="0"/>
          <w:sz w:val="24"/>
          <w:highlight w:val="none"/>
          <w:u w:val="none"/>
          <w:lang w:val="en-US" w:eastAsia="zh-CN"/>
        </w:rPr>
        <w:t xml:space="preserve"> 项目类别：</w:t>
      </w:r>
      <w:r>
        <w:rPr>
          <w:rFonts w:hint="eastAsia" w:ascii="宋体" w:hAnsi="宋体" w:eastAsia="宋体" w:cs="宋体"/>
          <w:b w:val="0"/>
          <w:bCs/>
          <w:snapToGrid w:val="0"/>
          <w:color w:val="auto"/>
          <w:kern w:val="0"/>
          <w:sz w:val="24"/>
          <w:szCs w:val="21"/>
          <w:highlight w:val="none"/>
          <w:u w:val="single"/>
          <w:lang w:val="en-US" w:eastAsia="zh-CN" w:bidi="ar"/>
        </w:rPr>
        <w:t>工程监理</w:t>
      </w:r>
      <w:r>
        <w:rPr>
          <w:rFonts w:hint="eastAsia" w:ascii="宋体" w:hAnsi="宋体" w:cs="宋体"/>
          <w:b w:val="0"/>
          <w:bCs/>
          <w:snapToGrid w:val="0"/>
          <w:color w:val="auto"/>
          <w:kern w:val="0"/>
          <w:sz w:val="24"/>
          <w:szCs w:val="21"/>
          <w:highlight w:val="none"/>
          <w:u w:val="single"/>
          <w:lang w:val="en-US" w:eastAsia="zh-CN" w:bidi="ar"/>
        </w:rPr>
        <w:t>服务</w:t>
      </w:r>
      <w:r>
        <w:rPr>
          <w:rFonts w:hint="eastAsia" w:ascii="宋体" w:hAnsi="宋体" w:eastAsia="宋体" w:cs="宋体"/>
          <w:bCs/>
          <w:snapToGrid w:val="0"/>
          <w:color w:val="auto"/>
          <w:kern w:val="0"/>
          <w:sz w:val="24"/>
          <w:szCs w:val="21"/>
          <w:highlight w:val="none"/>
          <w:u w:val="single"/>
          <w:lang w:val="en-US" w:eastAsia="zh-CN" w:bidi="ar"/>
        </w:rPr>
        <w:t>。</w:t>
      </w:r>
    </w:p>
    <w:p w14:paraId="1F104641">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3. 投标人资格要求</w:t>
      </w:r>
      <w:bookmarkEnd w:id="4"/>
      <w:r>
        <w:rPr>
          <w:rFonts w:hint="eastAsia" w:ascii="宋体" w:hAnsi="宋体" w:cs="宋体"/>
          <w:b/>
          <w:bCs/>
          <w:color w:val="auto"/>
          <w:kern w:val="0"/>
          <w:sz w:val="24"/>
          <w:highlight w:val="none"/>
          <w:lang w:eastAsia="zh-CN"/>
        </w:rPr>
        <w:t>（适用于两个标段）</w:t>
      </w:r>
    </w:p>
    <w:p w14:paraId="23C957C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lang w:val="en-US" w:eastAsia="zh-CN"/>
        </w:rPr>
      </w:pPr>
      <w:r>
        <w:rPr>
          <w:rFonts w:hint="eastAsia" w:ascii="宋体" w:hAnsi="宋体" w:eastAsia="宋体" w:cs="宋体"/>
          <w:bCs/>
          <w:snapToGrid w:val="0"/>
          <w:color w:val="auto"/>
          <w:kern w:val="0"/>
          <w:sz w:val="24"/>
          <w:szCs w:val="21"/>
          <w:highlight w:val="none"/>
          <w:lang w:val="en-US" w:eastAsia="zh-CN"/>
        </w:rPr>
        <w:t>3.1 投标人资质要求：</w:t>
      </w:r>
      <w:r>
        <w:rPr>
          <w:rFonts w:hint="eastAsia" w:ascii="宋体" w:hAnsi="宋体" w:eastAsia="宋体" w:cs="宋体"/>
          <w:bCs/>
          <w:snapToGrid w:val="0"/>
          <w:color w:val="auto"/>
          <w:kern w:val="0"/>
          <w:sz w:val="24"/>
          <w:szCs w:val="21"/>
          <w:highlight w:val="none"/>
          <w:u w:val="none"/>
          <w:lang w:val="en-US" w:eastAsia="zh-CN"/>
        </w:rPr>
        <w:t>投标人须具备有效的工程监理综合资质或市政公用工程专业</w:t>
      </w:r>
      <w:r>
        <w:rPr>
          <w:rFonts w:hint="eastAsia" w:ascii="宋体" w:hAnsi="宋体" w:cs="宋体"/>
          <w:bCs/>
          <w:snapToGrid w:val="0"/>
          <w:color w:val="auto"/>
          <w:kern w:val="0"/>
          <w:sz w:val="24"/>
          <w:szCs w:val="21"/>
          <w:highlight w:val="none"/>
          <w:u w:val="none"/>
          <w:lang w:val="en-US" w:eastAsia="zh-CN"/>
        </w:rPr>
        <w:t>监理甲级</w:t>
      </w:r>
      <w:r>
        <w:rPr>
          <w:rFonts w:hint="eastAsia" w:ascii="宋体" w:hAnsi="宋体" w:eastAsia="宋体" w:cs="宋体"/>
          <w:bCs/>
          <w:snapToGrid w:val="0"/>
          <w:color w:val="auto"/>
          <w:kern w:val="0"/>
          <w:sz w:val="24"/>
          <w:szCs w:val="21"/>
          <w:highlight w:val="none"/>
          <w:u w:val="none"/>
          <w:lang w:val="en-US" w:eastAsia="zh-CN"/>
        </w:rPr>
        <w:t>资质。</w:t>
      </w:r>
    </w:p>
    <w:p w14:paraId="3E1225E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lang w:eastAsia="zh-CN"/>
        </w:rPr>
      </w:pPr>
      <w:r>
        <w:rPr>
          <w:rFonts w:hint="eastAsia" w:ascii="宋体" w:hAnsi="宋体" w:eastAsia="宋体" w:cs="宋体"/>
          <w:bCs/>
          <w:snapToGrid w:val="0"/>
          <w:color w:val="auto"/>
          <w:kern w:val="0"/>
          <w:sz w:val="24"/>
          <w:szCs w:val="21"/>
          <w:highlight w:val="none"/>
          <w:lang w:val="en-US" w:eastAsia="zh-CN"/>
        </w:rPr>
        <w:t xml:space="preserve">3.2 </w:t>
      </w:r>
      <w:r>
        <w:rPr>
          <w:rFonts w:hint="eastAsia" w:ascii="宋体" w:hAnsi="宋体" w:eastAsia="宋体" w:cs="宋体"/>
          <w:bCs/>
          <w:snapToGrid w:val="0"/>
          <w:color w:val="auto"/>
          <w:kern w:val="0"/>
          <w:sz w:val="24"/>
          <w:szCs w:val="21"/>
          <w:highlight w:val="none"/>
        </w:rPr>
        <w:t>投标人业绩要求：</w:t>
      </w:r>
      <w:r>
        <w:rPr>
          <w:rFonts w:hint="eastAsia" w:ascii="宋体" w:hAnsi="宋体" w:eastAsia="宋体" w:cs="宋体"/>
          <w:bCs/>
          <w:snapToGrid w:val="0"/>
          <w:color w:val="auto"/>
          <w:kern w:val="0"/>
          <w:sz w:val="24"/>
          <w:szCs w:val="21"/>
          <w:highlight w:val="none"/>
          <w:lang w:eastAsia="zh-CN"/>
        </w:rPr>
        <w:t>无</w:t>
      </w:r>
    </w:p>
    <w:p w14:paraId="12AF0C8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lang w:eastAsia="zh-CN"/>
        </w:rPr>
      </w:pPr>
      <w:r>
        <w:rPr>
          <w:rFonts w:hint="eastAsia" w:ascii="宋体" w:hAnsi="宋体" w:eastAsia="宋体" w:cs="宋体"/>
          <w:bCs/>
          <w:snapToGrid w:val="0"/>
          <w:color w:val="auto"/>
          <w:kern w:val="0"/>
          <w:sz w:val="24"/>
          <w:szCs w:val="21"/>
          <w:highlight w:val="none"/>
        </w:rPr>
        <w:t>3.3</w:t>
      </w:r>
      <w:r>
        <w:rPr>
          <w:rFonts w:hint="eastAsia" w:ascii="宋体" w:hAnsi="宋体" w:eastAsia="宋体" w:cs="宋体"/>
          <w:bCs/>
          <w:snapToGrid w:val="0"/>
          <w:color w:val="auto"/>
          <w:kern w:val="0"/>
          <w:sz w:val="24"/>
          <w:szCs w:val="21"/>
          <w:highlight w:val="none"/>
          <w:lang w:val="en-US" w:eastAsia="zh-CN"/>
        </w:rPr>
        <w:t xml:space="preserve"> </w:t>
      </w:r>
      <w:r>
        <w:rPr>
          <w:rFonts w:hint="eastAsia" w:ascii="宋体" w:hAnsi="宋体" w:eastAsia="宋体" w:cs="宋体"/>
          <w:bCs/>
          <w:snapToGrid w:val="0"/>
          <w:color w:val="auto"/>
          <w:kern w:val="0"/>
          <w:sz w:val="24"/>
          <w:szCs w:val="21"/>
          <w:highlight w:val="none"/>
          <w:lang w:val="en-US" w:eastAsia="en-US"/>
        </w:rPr>
        <w:t>项目总监理工程师资质：</w:t>
      </w:r>
      <w:r>
        <w:rPr>
          <w:rFonts w:hint="eastAsia" w:ascii="宋体" w:hAnsi="宋体" w:eastAsia="宋体" w:cs="宋体"/>
          <w:bCs/>
          <w:snapToGrid w:val="0"/>
          <w:color w:val="auto"/>
          <w:kern w:val="0"/>
          <w:sz w:val="24"/>
          <w:szCs w:val="21"/>
          <w:highlight w:val="none"/>
        </w:rPr>
        <w:t>投标人拟委任项目</w:t>
      </w:r>
      <w:r>
        <w:rPr>
          <w:rFonts w:hint="eastAsia" w:ascii="宋体" w:hAnsi="宋体" w:eastAsia="宋体" w:cs="Times New Roman"/>
          <w:color w:val="auto"/>
          <w:kern w:val="0"/>
          <w:sz w:val="24"/>
          <w:szCs w:val="24"/>
          <w:highlight w:val="none"/>
        </w:rPr>
        <w:t>总监</w:t>
      </w:r>
      <w:r>
        <w:rPr>
          <w:rFonts w:hint="eastAsia" w:ascii="宋体" w:hAnsi="宋体" w:eastAsia="宋体" w:cs="Times New Roman"/>
          <w:color w:val="auto"/>
          <w:kern w:val="0"/>
          <w:sz w:val="24"/>
          <w:szCs w:val="24"/>
          <w:highlight w:val="none"/>
          <w:lang w:eastAsia="zh-CN"/>
        </w:rPr>
        <w:t>理工程师</w:t>
      </w:r>
      <w:r>
        <w:rPr>
          <w:rFonts w:hint="eastAsia" w:ascii="宋体" w:hAnsi="宋体" w:eastAsia="宋体" w:cs="Times New Roman"/>
          <w:color w:val="auto"/>
          <w:kern w:val="0"/>
          <w:sz w:val="24"/>
          <w:szCs w:val="24"/>
          <w:highlight w:val="none"/>
        </w:rPr>
        <w:t>须</w:t>
      </w:r>
      <w:r>
        <w:rPr>
          <w:rFonts w:hint="eastAsia" w:ascii="宋体" w:hAnsi="宋体" w:eastAsia="宋体" w:cs="宋体"/>
          <w:color w:val="auto"/>
          <w:kern w:val="0"/>
          <w:sz w:val="24"/>
          <w:highlight w:val="none"/>
        </w:rPr>
        <w:t>具备</w:t>
      </w:r>
      <w:r>
        <w:rPr>
          <w:rFonts w:hint="eastAsia" w:ascii="宋体" w:hAnsi="宋体" w:eastAsia="宋体" w:cs="宋体"/>
          <w:color w:val="auto"/>
          <w:kern w:val="0"/>
          <w:sz w:val="24"/>
          <w:highlight w:val="none"/>
          <w:lang w:eastAsia="zh-CN"/>
        </w:rPr>
        <w:t>有效的</w:t>
      </w:r>
      <w:r>
        <w:rPr>
          <w:rFonts w:hint="eastAsia" w:ascii="宋体" w:hAnsi="宋体" w:eastAsia="宋体" w:cs="宋体"/>
          <w:color w:val="auto"/>
          <w:kern w:val="0"/>
          <w:sz w:val="24"/>
          <w:highlight w:val="none"/>
          <w:lang w:val="en-US" w:eastAsia="zh-CN"/>
        </w:rPr>
        <w:t>市政公用工程专业</w:t>
      </w:r>
      <w:r>
        <w:rPr>
          <w:rFonts w:hint="eastAsia" w:ascii="宋体" w:hAnsi="宋体" w:eastAsia="宋体" w:cs="宋体"/>
          <w:color w:val="auto"/>
          <w:kern w:val="0"/>
          <w:sz w:val="24"/>
          <w:highlight w:val="none"/>
        </w:rPr>
        <w:t>国家注册监理工程师资格</w:t>
      </w:r>
      <w:r>
        <w:rPr>
          <w:rFonts w:hint="eastAsia" w:ascii="宋体" w:hAnsi="宋体" w:eastAsia="宋体" w:cs="宋体"/>
          <w:bCs/>
          <w:snapToGrid w:val="0"/>
          <w:color w:val="auto"/>
          <w:kern w:val="0"/>
          <w:sz w:val="24"/>
          <w:szCs w:val="21"/>
          <w:highlight w:val="none"/>
        </w:rPr>
        <w:t>。</w:t>
      </w:r>
    </w:p>
    <w:p w14:paraId="431C10B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lang w:eastAsia="zh-CN"/>
        </w:rPr>
      </w:pPr>
      <w:r>
        <w:rPr>
          <w:rFonts w:hint="eastAsia" w:ascii="宋体" w:hAnsi="宋体" w:eastAsia="宋体" w:cs="宋体"/>
          <w:bCs/>
          <w:snapToGrid w:val="0"/>
          <w:color w:val="auto"/>
          <w:kern w:val="0"/>
          <w:sz w:val="24"/>
          <w:szCs w:val="21"/>
          <w:highlight w:val="none"/>
        </w:rPr>
        <w:t>3.4 项目总监理工程师业绩要求：</w:t>
      </w:r>
      <w:r>
        <w:rPr>
          <w:rFonts w:hint="eastAsia" w:ascii="宋体" w:hAnsi="宋体" w:eastAsia="宋体" w:cs="宋体"/>
          <w:bCs/>
          <w:snapToGrid w:val="0"/>
          <w:color w:val="auto"/>
          <w:kern w:val="0"/>
          <w:sz w:val="24"/>
          <w:szCs w:val="21"/>
          <w:highlight w:val="none"/>
          <w:lang w:eastAsia="zh-CN"/>
        </w:rPr>
        <w:t>无</w:t>
      </w:r>
    </w:p>
    <w:p w14:paraId="29D230EA">
      <w:pPr>
        <w:keepNext w:val="0"/>
        <w:keepLines w:val="0"/>
        <w:pageBreakBefore w:val="0"/>
        <w:widowControl w:val="0"/>
        <w:tabs>
          <w:tab w:val="center" w:pos="4470"/>
        </w:tabs>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3.5 投标人财务要求：</w:t>
      </w:r>
      <w:r>
        <w:rPr>
          <w:rFonts w:hint="eastAsia" w:ascii="宋体" w:hAnsi="宋体" w:eastAsia="宋体" w:cs="宋体"/>
          <w:bCs/>
          <w:snapToGrid w:val="0"/>
          <w:color w:val="auto"/>
          <w:kern w:val="0"/>
          <w:sz w:val="24"/>
          <w:szCs w:val="21"/>
          <w:highlight w:val="none"/>
          <w:u w:val="none"/>
          <w:lang w:eastAsia="zh-CN"/>
        </w:rPr>
        <w:t>无</w:t>
      </w:r>
      <w:r>
        <w:rPr>
          <w:rFonts w:hint="eastAsia" w:ascii="宋体" w:hAnsi="宋体" w:eastAsia="宋体" w:cs="宋体"/>
          <w:bCs/>
          <w:snapToGrid w:val="0"/>
          <w:color w:val="auto"/>
          <w:kern w:val="0"/>
          <w:sz w:val="24"/>
          <w:szCs w:val="21"/>
          <w:highlight w:val="none"/>
        </w:rPr>
        <w:t>。</w:t>
      </w:r>
      <w:r>
        <w:rPr>
          <w:rFonts w:hint="eastAsia" w:ascii="宋体" w:hAnsi="宋体" w:eastAsia="宋体" w:cs="宋体"/>
          <w:bCs/>
          <w:snapToGrid w:val="0"/>
          <w:color w:val="auto"/>
          <w:kern w:val="0"/>
          <w:sz w:val="24"/>
          <w:szCs w:val="21"/>
          <w:highlight w:val="none"/>
        </w:rPr>
        <w:tab/>
      </w:r>
    </w:p>
    <w:p w14:paraId="1F2A33B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3.6 本次招标</w:t>
      </w:r>
      <w:r>
        <w:rPr>
          <w:rFonts w:hint="eastAsia" w:ascii="宋体" w:hAnsi="宋体" w:eastAsia="宋体" w:cs="宋体"/>
          <w:bCs/>
          <w:snapToGrid w:val="0"/>
          <w:color w:val="auto"/>
          <w:kern w:val="0"/>
          <w:sz w:val="24"/>
          <w:szCs w:val="21"/>
          <w:highlight w:val="none"/>
          <w:u w:val="single"/>
        </w:rPr>
        <w:t>不接受</w:t>
      </w:r>
      <w:r>
        <w:rPr>
          <w:rFonts w:hint="eastAsia" w:ascii="宋体" w:hAnsi="宋体" w:eastAsia="宋体" w:cs="宋体"/>
          <w:bCs/>
          <w:snapToGrid w:val="0"/>
          <w:color w:val="auto"/>
          <w:kern w:val="0"/>
          <w:sz w:val="24"/>
          <w:szCs w:val="21"/>
          <w:highlight w:val="none"/>
        </w:rPr>
        <w:t>联合体投标。</w:t>
      </w:r>
    </w:p>
    <w:p w14:paraId="42977C0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Cs/>
          <w:snapToGrid w:val="0"/>
          <w:color w:val="auto"/>
          <w:kern w:val="0"/>
          <w:sz w:val="24"/>
          <w:szCs w:val="21"/>
          <w:highlight w:val="none"/>
        </w:rPr>
        <w:t>3.7 各投标人均可就本招标项目上述标段中的</w:t>
      </w:r>
      <w:r>
        <w:rPr>
          <w:rFonts w:hint="eastAsia" w:ascii="宋体" w:hAnsi="宋体" w:eastAsia="宋体" w:cs="宋体"/>
          <w:bCs/>
          <w:snapToGrid w:val="0"/>
          <w:color w:val="auto"/>
          <w:kern w:val="0"/>
          <w:sz w:val="24"/>
          <w:szCs w:val="21"/>
          <w:highlight w:val="none"/>
          <w:u w:val="single"/>
        </w:rPr>
        <w:t xml:space="preserve"> </w:t>
      </w:r>
      <w:r>
        <w:rPr>
          <w:rFonts w:hint="eastAsia" w:ascii="宋体" w:hAnsi="宋体" w:cs="宋体"/>
          <w:color w:val="auto"/>
          <w:kern w:val="0"/>
          <w:sz w:val="24"/>
          <w:highlight w:val="none"/>
          <w:u w:val="single"/>
          <w:lang w:eastAsia="zh-CN"/>
        </w:rPr>
        <w:t>两</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snapToGrid w:val="0"/>
          <w:color w:val="auto"/>
          <w:kern w:val="0"/>
          <w:sz w:val="24"/>
          <w:szCs w:val="21"/>
          <w:highlight w:val="none"/>
        </w:rPr>
        <w:t>个标段投标，但最多允许中标</w:t>
      </w:r>
      <w:r>
        <w:rPr>
          <w:rFonts w:hint="eastAsia" w:ascii="宋体" w:hAnsi="宋体" w:eastAsia="宋体" w:cs="宋体"/>
          <w:bCs/>
          <w:snapToGrid w:val="0"/>
          <w:color w:val="auto"/>
          <w:kern w:val="0"/>
          <w:sz w:val="24"/>
          <w:szCs w:val="21"/>
          <w:highlight w:val="none"/>
          <w:u w:val="single"/>
          <w:lang w:val="en-US" w:eastAsia="zh-CN"/>
        </w:rPr>
        <w:t xml:space="preserve"> </w:t>
      </w:r>
      <w:r>
        <w:rPr>
          <w:rFonts w:hint="eastAsia" w:ascii="宋体" w:hAnsi="宋体" w:eastAsia="宋体" w:cs="宋体"/>
          <w:bCs/>
          <w:snapToGrid w:val="0"/>
          <w:color w:val="auto"/>
          <w:kern w:val="0"/>
          <w:sz w:val="24"/>
          <w:szCs w:val="21"/>
          <w:highlight w:val="none"/>
          <w:u w:val="single"/>
        </w:rPr>
        <w:t>一</w:t>
      </w:r>
      <w:r>
        <w:rPr>
          <w:rFonts w:hint="eastAsia" w:ascii="宋体" w:hAnsi="宋体" w:eastAsia="宋体" w:cs="宋体"/>
          <w:bCs/>
          <w:snapToGrid w:val="0"/>
          <w:color w:val="auto"/>
          <w:kern w:val="0"/>
          <w:sz w:val="24"/>
          <w:szCs w:val="21"/>
          <w:highlight w:val="none"/>
          <w:u w:val="single"/>
          <w:lang w:val="en-US" w:eastAsia="zh-CN"/>
        </w:rPr>
        <w:t xml:space="preserve"> </w:t>
      </w:r>
      <w:r>
        <w:rPr>
          <w:rFonts w:hint="eastAsia" w:ascii="宋体" w:hAnsi="宋体" w:eastAsia="宋体" w:cs="宋体"/>
          <w:bCs/>
          <w:snapToGrid w:val="0"/>
          <w:color w:val="auto"/>
          <w:kern w:val="0"/>
          <w:sz w:val="24"/>
          <w:szCs w:val="21"/>
          <w:highlight w:val="none"/>
        </w:rPr>
        <w:t>个标段。</w:t>
      </w:r>
    </w:p>
    <w:p w14:paraId="75EDD84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3.8本项目</w:t>
      </w:r>
      <w:r>
        <w:rPr>
          <w:rFonts w:hint="eastAsia" w:ascii="宋体" w:hAnsi="宋体" w:eastAsia="宋体" w:cs="宋体"/>
          <w:bCs/>
          <w:snapToGrid w:val="0"/>
          <w:color w:val="auto"/>
          <w:kern w:val="0"/>
          <w:sz w:val="24"/>
          <w:szCs w:val="21"/>
          <w:highlight w:val="none"/>
          <w:u w:val="single"/>
        </w:rPr>
        <w:t xml:space="preserve"> 非 </w:t>
      </w:r>
      <w:r>
        <w:rPr>
          <w:rFonts w:hint="eastAsia" w:ascii="宋体" w:hAnsi="宋体" w:eastAsia="宋体" w:cs="宋体"/>
          <w:bCs/>
          <w:snapToGrid w:val="0"/>
          <w:color w:val="auto"/>
          <w:kern w:val="0"/>
          <w:sz w:val="24"/>
          <w:szCs w:val="21"/>
          <w:highlight w:val="none"/>
        </w:rPr>
        <w:t>专门面向中小企业招标。</w:t>
      </w:r>
    </w:p>
    <w:p w14:paraId="76E6263D">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宋体" w:hAnsi="宋体" w:eastAsia="宋体" w:cs="宋体"/>
          <w:b/>
          <w:bCs/>
          <w:color w:val="auto"/>
          <w:kern w:val="0"/>
          <w:sz w:val="24"/>
          <w:highlight w:val="none"/>
        </w:rPr>
      </w:pPr>
      <w:bookmarkStart w:id="5" w:name="_Toc123725375"/>
      <w:r>
        <w:rPr>
          <w:rFonts w:hint="eastAsia" w:ascii="宋体" w:hAnsi="宋体" w:eastAsia="宋体" w:cs="宋体"/>
          <w:b/>
          <w:bCs/>
          <w:color w:val="auto"/>
          <w:kern w:val="0"/>
          <w:sz w:val="24"/>
          <w:highlight w:val="none"/>
        </w:rPr>
        <w:t>4. 招标文件的获取</w:t>
      </w:r>
      <w:bookmarkEnd w:id="5"/>
    </w:p>
    <w:p w14:paraId="0296913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4.1 获取时间：</w:t>
      </w:r>
      <w:r>
        <w:rPr>
          <w:rFonts w:hint="eastAsia" w:ascii="宋体" w:hAnsi="宋体" w:eastAsia="宋体" w:cs="宋体"/>
          <w:color w:val="auto"/>
          <w:kern w:val="0"/>
          <w:sz w:val="24"/>
          <w:highlight w:val="none"/>
        </w:rPr>
        <w:t>起始为公告挂网时间，终止为开标时间</w:t>
      </w:r>
      <w:r>
        <w:rPr>
          <w:rFonts w:hint="eastAsia" w:ascii="宋体" w:hAnsi="宋体" w:eastAsia="宋体" w:cs="宋体"/>
          <w:bCs/>
          <w:snapToGrid w:val="0"/>
          <w:color w:val="auto"/>
          <w:kern w:val="0"/>
          <w:sz w:val="24"/>
          <w:szCs w:val="21"/>
          <w:highlight w:val="none"/>
        </w:rPr>
        <w:t>。</w:t>
      </w:r>
    </w:p>
    <w:p w14:paraId="3A3DD79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4.2 获取方式：</w:t>
      </w:r>
    </w:p>
    <w:p w14:paraId="61B065C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lang w:eastAsia="zh-CN"/>
        </w:rPr>
        <w:t>（</w:t>
      </w:r>
      <w:r>
        <w:rPr>
          <w:rFonts w:hint="eastAsia" w:ascii="宋体" w:hAnsi="宋体" w:eastAsia="宋体" w:cs="宋体"/>
          <w:bCs/>
          <w:snapToGrid w:val="0"/>
          <w:color w:val="auto"/>
          <w:kern w:val="0"/>
          <w:sz w:val="24"/>
          <w:szCs w:val="21"/>
          <w:highlight w:val="none"/>
          <w:lang w:val="en-US" w:eastAsia="zh-CN"/>
        </w:rPr>
        <w:t>1</w:t>
      </w:r>
      <w:r>
        <w:rPr>
          <w:rFonts w:hint="eastAsia" w:ascii="宋体" w:hAnsi="宋体" w:eastAsia="宋体" w:cs="宋体"/>
          <w:bCs/>
          <w:snapToGrid w:val="0"/>
          <w:color w:val="auto"/>
          <w:kern w:val="0"/>
          <w:sz w:val="24"/>
          <w:szCs w:val="21"/>
          <w:highlight w:val="none"/>
          <w:lang w:eastAsia="zh-CN"/>
        </w:rPr>
        <w:t>）</w:t>
      </w:r>
      <w:r>
        <w:rPr>
          <w:rFonts w:hint="eastAsia" w:ascii="宋体" w:hAnsi="宋体" w:eastAsia="宋体" w:cs="宋体"/>
          <w:bCs/>
          <w:snapToGrid w:val="0"/>
          <w:color w:val="auto"/>
          <w:kern w:val="0"/>
          <w:sz w:val="24"/>
          <w:szCs w:val="21"/>
          <w:highlight w:val="none"/>
        </w:rPr>
        <w:t>不需要报名，在铜陵市公共资源交易中心网站（非进场交易栏)自行下载招标文件。</w:t>
      </w:r>
    </w:p>
    <w:p w14:paraId="5814C9C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w:t>
      </w:r>
      <w:r>
        <w:rPr>
          <w:rFonts w:hint="eastAsia" w:ascii="宋体" w:hAnsi="宋体" w:eastAsia="宋体" w:cs="宋体"/>
          <w:bCs/>
          <w:snapToGrid w:val="0"/>
          <w:color w:val="auto"/>
          <w:kern w:val="0"/>
          <w:sz w:val="24"/>
          <w:szCs w:val="21"/>
          <w:highlight w:val="none"/>
          <w:lang w:val="en-US" w:eastAsia="zh-CN"/>
        </w:rPr>
        <w:t>2</w:t>
      </w:r>
      <w:r>
        <w:rPr>
          <w:rFonts w:hint="eastAsia" w:ascii="宋体" w:hAnsi="宋体" w:eastAsia="宋体" w:cs="宋体"/>
          <w:bCs/>
          <w:snapToGrid w:val="0"/>
          <w:color w:val="auto"/>
          <w:kern w:val="0"/>
          <w:sz w:val="24"/>
          <w:szCs w:val="21"/>
          <w:highlight w:val="none"/>
        </w:rPr>
        <w:t>）招标文件费用支付方式：</w:t>
      </w:r>
      <w:r>
        <w:rPr>
          <w:rFonts w:hint="eastAsia" w:ascii="宋体" w:hAnsi="宋体" w:eastAsia="宋体" w:cs="宋体"/>
          <w:bCs/>
          <w:snapToGrid w:val="0"/>
          <w:color w:val="auto"/>
          <w:kern w:val="0"/>
          <w:sz w:val="24"/>
          <w:szCs w:val="21"/>
          <w:highlight w:val="none"/>
          <w:u w:val="single"/>
        </w:rPr>
        <w:t xml:space="preserve">  /  </w:t>
      </w:r>
      <w:r>
        <w:rPr>
          <w:rFonts w:hint="eastAsia" w:ascii="宋体" w:hAnsi="宋体" w:eastAsia="宋体" w:cs="宋体"/>
          <w:bCs/>
          <w:snapToGrid w:val="0"/>
          <w:color w:val="auto"/>
          <w:kern w:val="0"/>
          <w:sz w:val="24"/>
          <w:szCs w:val="21"/>
          <w:highlight w:val="none"/>
        </w:rPr>
        <w:t>。</w:t>
      </w:r>
    </w:p>
    <w:p w14:paraId="622C998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4.3 招标文件价格：0元。</w:t>
      </w:r>
    </w:p>
    <w:p w14:paraId="1C3CCA0B">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宋体" w:hAnsi="宋体" w:eastAsia="宋体" w:cs="宋体"/>
          <w:b/>
          <w:bCs/>
          <w:color w:val="auto"/>
          <w:kern w:val="0"/>
          <w:sz w:val="24"/>
          <w:highlight w:val="none"/>
        </w:rPr>
      </w:pPr>
      <w:bookmarkStart w:id="6" w:name="_Toc123725376"/>
      <w:r>
        <w:rPr>
          <w:rFonts w:hint="eastAsia" w:ascii="宋体" w:hAnsi="宋体" w:eastAsia="宋体" w:cs="宋体"/>
          <w:b/>
          <w:bCs/>
          <w:color w:val="auto"/>
          <w:kern w:val="0"/>
          <w:sz w:val="24"/>
          <w:highlight w:val="none"/>
        </w:rPr>
        <w:t>5. 投标文件的递交</w:t>
      </w:r>
      <w:bookmarkEnd w:id="6"/>
    </w:p>
    <w:p w14:paraId="0132BBE1">
      <w:pPr>
        <w:spacing w:line="500" w:lineRule="exact"/>
        <w:ind w:firstLine="480" w:firstLineChars="200"/>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投标文件递交的截止时间(投标截止时间，下同)为</w:t>
      </w:r>
      <w:r>
        <w:rPr>
          <w:rFonts w:hint="eastAsia" w:ascii="宋体" w:hAnsi="宋体" w:eastAsia="宋体" w:cs="Segoe UI"/>
          <w:color w:val="auto"/>
          <w:kern w:val="0"/>
          <w:sz w:val="24"/>
          <w:highlight w:val="none"/>
          <w:u w:val="single"/>
          <w:shd w:val="clear" w:color="auto" w:fill="FFFFFF"/>
          <w:lang w:val="en-US" w:eastAsia="zh-CN"/>
        </w:rPr>
        <w:t>2025年</w:t>
      </w:r>
      <w:r>
        <w:rPr>
          <w:rFonts w:hint="eastAsia" w:ascii="宋体" w:hAnsi="宋体" w:cs="Segoe UI"/>
          <w:color w:val="auto"/>
          <w:kern w:val="0"/>
          <w:sz w:val="24"/>
          <w:highlight w:val="none"/>
          <w:u w:val="single"/>
          <w:shd w:val="clear" w:color="auto" w:fill="FFFFFF"/>
          <w:lang w:val="en-US" w:eastAsia="zh-CN"/>
        </w:rPr>
        <w:t>09</w:t>
      </w:r>
      <w:r>
        <w:rPr>
          <w:rFonts w:hint="eastAsia" w:ascii="宋体" w:hAnsi="宋体" w:eastAsia="宋体" w:cs="Segoe UI"/>
          <w:color w:val="auto"/>
          <w:kern w:val="0"/>
          <w:sz w:val="24"/>
          <w:highlight w:val="none"/>
          <w:u w:val="single"/>
          <w:shd w:val="clear" w:color="auto" w:fill="FFFFFF"/>
          <w:lang w:val="en-US" w:eastAsia="zh-CN"/>
        </w:rPr>
        <w:t>月</w:t>
      </w:r>
      <w:r>
        <w:rPr>
          <w:rFonts w:hint="eastAsia" w:ascii="宋体" w:hAnsi="宋体" w:cs="Segoe UI"/>
          <w:color w:val="auto"/>
          <w:kern w:val="0"/>
          <w:sz w:val="24"/>
          <w:highlight w:val="none"/>
          <w:u w:val="single"/>
          <w:shd w:val="clear" w:color="auto" w:fill="FFFFFF"/>
          <w:lang w:val="en-US" w:eastAsia="zh-CN"/>
        </w:rPr>
        <w:t>08</w:t>
      </w:r>
      <w:r>
        <w:rPr>
          <w:rFonts w:hint="eastAsia" w:ascii="宋体" w:hAnsi="宋体" w:eastAsia="宋体" w:cs="Segoe UI"/>
          <w:color w:val="auto"/>
          <w:kern w:val="0"/>
          <w:sz w:val="24"/>
          <w:highlight w:val="none"/>
          <w:u w:val="single"/>
          <w:shd w:val="clear" w:color="auto" w:fill="FFFFFF"/>
          <w:lang w:val="en-US" w:eastAsia="zh-CN"/>
        </w:rPr>
        <w:t>日</w:t>
      </w:r>
      <w:r>
        <w:rPr>
          <w:rFonts w:hint="eastAsia" w:ascii="宋体" w:hAnsi="宋体" w:cs="Segoe UI"/>
          <w:color w:val="auto"/>
          <w:kern w:val="0"/>
          <w:sz w:val="24"/>
          <w:highlight w:val="none"/>
          <w:u w:val="single"/>
          <w:shd w:val="clear" w:color="auto" w:fill="FFFFFF"/>
          <w:lang w:val="en-US" w:eastAsia="zh-CN"/>
        </w:rPr>
        <w:t>15</w:t>
      </w:r>
      <w:r>
        <w:rPr>
          <w:rFonts w:hint="eastAsia" w:ascii="宋体" w:hAnsi="宋体" w:eastAsia="宋体" w:cs="Segoe UI"/>
          <w:color w:val="auto"/>
          <w:kern w:val="0"/>
          <w:sz w:val="24"/>
          <w:highlight w:val="none"/>
          <w:u w:val="single"/>
          <w:shd w:val="clear" w:color="auto" w:fill="FFFFFF"/>
          <w:lang w:val="en-US" w:eastAsia="zh-CN"/>
        </w:rPr>
        <w:t>时</w:t>
      </w:r>
      <w:r>
        <w:rPr>
          <w:rFonts w:hint="eastAsia" w:ascii="宋体" w:hAnsi="宋体" w:cs="Segoe UI"/>
          <w:color w:val="auto"/>
          <w:kern w:val="0"/>
          <w:sz w:val="24"/>
          <w:highlight w:val="none"/>
          <w:u w:val="single"/>
          <w:shd w:val="clear" w:color="auto" w:fill="FFFFFF"/>
          <w:lang w:val="en-US" w:eastAsia="zh-CN"/>
        </w:rPr>
        <w:t>00</w:t>
      </w:r>
      <w:r>
        <w:rPr>
          <w:rFonts w:hint="eastAsia" w:ascii="宋体" w:hAnsi="宋体" w:eastAsia="宋体" w:cs="Segoe UI"/>
          <w:color w:val="auto"/>
          <w:kern w:val="0"/>
          <w:sz w:val="24"/>
          <w:highlight w:val="none"/>
          <w:u w:val="single"/>
          <w:shd w:val="clear" w:color="auto" w:fill="FFFFFF"/>
          <w:lang w:val="en-US" w:eastAsia="zh-CN"/>
        </w:rPr>
        <w:t>分</w:t>
      </w:r>
      <w:r>
        <w:rPr>
          <w:rFonts w:hint="eastAsia" w:ascii="宋体" w:hAnsi="宋体" w:eastAsia="宋体" w:cs="宋体"/>
          <w:bCs/>
          <w:snapToGrid w:val="0"/>
          <w:color w:val="auto"/>
          <w:kern w:val="0"/>
          <w:sz w:val="24"/>
          <w:szCs w:val="21"/>
          <w:highlight w:val="none"/>
        </w:rPr>
        <w:t>，</w:t>
      </w:r>
      <w:r>
        <w:rPr>
          <w:rFonts w:hint="eastAsia" w:ascii="宋体" w:hAnsi="宋体" w:eastAsia="宋体" w:cs="宋体"/>
          <w:bCs/>
          <w:snapToGrid w:val="0"/>
          <w:color w:val="auto"/>
          <w:kern w:val="0"/>
          <w:sz w:val="24"/>
        </w:rPr>
        <w:t>投标人应在投标截止时间前在</w:t>
      </w:r>
      <w:r>
        <w:rPr>
          <w:rFonts w:hint="eastAsia" w:ascii="宋体" w:hAnsi="宋体" w:eastAsia="宋体" w:cs="宋体"/>
          <w:bCs/>
          <w:snapToGrid w:val="0"/>
          <w:color w:val="auto"/>
          <w:kern w:val="0"/>
          <w:sz w:val="24"/>
          <w:u w:val="none"/>
          <w:lang w:eastAsia="zh-CN"/>
        </w:rPr>
        <w:t>铜陵市北斗星城B1栋1303室</w:t>
      </w:r>
      <w:r>
        <w:rPr>
          <w:rFonts w:hint="eastAsia" w:ascii="宋体" w:hAnsi="宋体" w:eastAsia="宋体" w:cs="宋体"/>
          <w:bCs/>
          <w:snapToGrid w:val="0"/>
          <w:color w:val="auto"/>
          <w:kern w:val="0"/>
          <w:sz w:val="24"/>
        </w:rPr>
        <w:t>现场提交投标文件。</w:t>
      </w:r>
    </w:p>
    <w:p w14:paraId="1778C009">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宋体" w:hAnsi="宋体" w:eastAsia="宋体" w:cs="宋体"/>
          <w:b/>
          <w:bCs/>
          <w:color w:val="auto"/>
          <w:kern w:val="0"/>
          <w:sz w:val="24"/>
          <w:highlight w:val="none"/>
        </w:rPr>
      </w:pPr>
      <w:bookmarkStart w:id="7" w:name="_Toc123725377"/>
      <w:r>
        <w:rPr>
          <w:rFonts w:hint="eastAsia" w:ascii="宋体" w:hAnsi="宋体" w:eastAsia="宋体" w:cs="宋体"/>
          <w:b/>
          <w:bCs/>
          <w:color w:val="auto"/>
          <w:kern w:val="0"/>
          <w:sz w:val="24"/>
          <w:highlight w:val="none"/>
        </w:rPr>
        <w:t>6. 开标时间及地点</w:t>
      </w:r>
      <w:bookmarkEnd w:id="7"/>
    </w:p>
    <w:p w14:paraId="04042BA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6.1 开标时间：</w:t>
      </w:r>
      <w:r>
        <w:rPr>
          <w:rFonts w:hint="eastAsia" w:ascii="宋体" w:hAnsi="宋体" w:eastAsia="宋体" w:cs="Segoe UI"/>
          <w:color w:val="auto"/>
          <w:kern w:val="0"/>
          <w:sz w:val="24"/>
          <w:highlight w:val="none"/>
          <w:u w:val="single"/>
          <w:shd w:val="clear" w:color="auto" w:fill="FFFFFF"/>
          <w:lang w:val="en-US" w:eastAsia="zh-CN"/>
        </w:rPr>
        <w:t>2025年</w:t>
      </w:r>
      <w:r>
        <w:rPr>
          <w:rFonts w:hint="eastAsia" w:ascii="宋体" w:hAnsi="宋体" w:cs="Segoe UI"/>
          <w:color w:val="auto"/>
          <w:kern w:val="0"/>
          <w:sz w:val="24"/>
          <w:highlight w:val="none"/>
          <w:u w:val="single"/>
          <w:shd w:val="clear" w:color="auto" w:fill="FFFFFF"/>
          <w:lang w:val="en-US" w:eastAsia="zh-CN"/>
        </w:rPr>
        <w:t>09</w:t>
      </w:r>
      <w:r>
        <w:rPr>
          <w:rFonts w:hint="eastAsia" w:ascii="宋体" w:hAnsi="宋体" w:eastAsia="宋体" w:cs="Segoe UI"/>
          <w:color w:val="auto"/>
          <w:kern w:val="0"/>
          <w:sz w:val="24"/>
          <w:highlight w:val="none"/>
          <w:u w:val="single"/>
          <w:shd w:val="clear" w:color="auto" w:fill="FFFFFF"/>
          <w:lang w:val="en-US" w:eastAsia="zh-CN"/>
        </w:rPr>
        <w:t>月</w:t>
      </w:r>
      <w:r>
        <w:rPr>
          <w:rFonts w:hint="eastAsia" w:ascii="宋体" w:hAnsi="宋体" w:cs="Segoe UI"/>
          <w:color w:val="auto"/>
          <w:kern w:val="0"/>
          <w:sz w:val="24"/>
          <w:highlight w:val="none"/>
          <w:u w:val="single"/>
          <w:shd w:val="clear" w:color="auto" w:fill="FFFFFF"/>
          <w:lang w:val="en-US" w:eastAsia="zh-CN"/>
        </w:rPr>
        <w:t>08</w:t>
      </w:r>
      <w:r>
        <w:rPr>
          <w:rFonts w:hint="eastAsia" w:ascii="宋体" w:hAnsi="宋体" w:eastAsia="宋体" w:cs="Segoe UI"/>
          <w:color w:val="auto"/>
          <w:kern w:val="0"/>
          <w:sz w:val="24"/>
          <w:highlight w:val="none"/>
          <w:u w:val="single"/>
          <w:shd w:val="clear" w:color="auto" w:fill="FFFFFF"/>
          <w:lang w:val="en-US" w:eastAsia="zh-CN"/>
        </w:rPr>
        <w:t>日</w:t>
      </w:r>
      <w:r>
        <w:rPr>
          <w:rFonts w:hint="eastAsia" w:ascii="宋体" w:hAnsi="宋体" w:cs="Segoe UI"/>
          <w:color w:val="auto"/>
          <w:kern w:val="0"/>
          <w:sz w:val="24"/>
          <w:highlight w:val="none"/>
          <w:u w:val="single"/>
          <w:shd w:val="clear" w:color="auto" w:fill="FFFFFF"/>
          <w:lang w:val="en-US" w:eastAsia="zh-CN"/>
        </w:rPr>
        <w:t>15</w:t>
      </w:r>
      <w:r>
        <w:rPr>
          <w:rFonts w:hint="eastAsia" w:ascii="宋体" w:hAnsi="宋体" w:eastAsia="宋体" w:cs="Segoe UI"/>
          <w:color w:val="auto"/>
          <w:kern w:val="0"/>
          <w:sz w:val="24"/>
          <w:highlight w:val="none"/>
          <w:u w:val="single"/>
          <w:shd w:val="clear" w:color="auto" w:fill="FFFFFF"/>
          <w:lang w:val="en-US" w:eastAsia="zh-CN"/>
        </w:rPr>
        <w:t>时</w:t>
      </w:r>
      <w:r>
        <w:rPr>
          <w:rFonts w:hint="eastAsia" w:ascii="宋体" w:hAnsi="宋体" w:cs="Segoe UI"/>
          <w:color w:val="auto"/>
          <w:kern w:val="0"/>
          <w:sz w:val="24"/>
          <w:highlight w:val="none"/>
          <w:u w:val="single"/>
          <w:shd w:val="clear" w:color="auto" w:fill="FFFFFF"/>
          <w:lang w:val="en-US" w:eastAsia="zh-CN"/>
        </w:rPr>
        <w:t>00</w:t>
      </w:r>
      <w:r>
        <w:rPr>
          <w:rFonts w:hint="eastAsia" w:ascii="宋体" w:hAnsi="宋体" w:eastAsia="宋体" w:cs="Segoe UI"/>
          <w:color w:val="auto"/>
          <w:kern w:val="0"/>
          <w:sz w:val="24"/>
          <w:highlight w:val="none"/>
          <w:u w:val="single"/>
          <w:shd w:val="clear" w:color="auto" w:fill="FFFFFF"/>
          <w:lang w:val="en-US" w:eastAsia="zh-CN"/>
        </w:rPr>
        <w:t>分</w:t>
      </w:r>
      <w:r>
        <w:rPr>
          <w:rFonts w:hint="eastAsia" w:ascii="宋体" w:hAnsi="宋体" w:eastAsia="宋体" w:cs="宋体"/>
          <w:bCs/>
          <w:snapToGrid w:val="0"/>
          <w:color w:val="auto"/>
          <w:kern w:val="0"/>
          <w:sz w:val="24"/>
          <w:szCs w:val="21"/>
          <w:highlight w:val="none"/>
        </w:rPr>
        <w:t>。</w:t>
      </w:r>
    </w:p>
    <w:p w14:paraId="18EB2CD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6.2 开标地点：</w:t>
      </w:r>
      <w:r>
        <w:rPr>
          <w:rFonts w:hint="eastAsia" w:ascii="宋体" w:hAnsi="宋体" w:eastAsia="宋体" w:cs="宋体"/>
          <w:bCs/>
          <w:snapToGrid w:val="0"/>
          <w:color w:val="auto"/>
          <w:kern w:val="0"/>
          <w:sz w:val="24"/>
          <w:u w:val="single"/>
          <w:lang w:eastAsia="zh-CN"/>
        </w:rPr>
        <w:t>铜陵市北斗星城B1栋1303室</w:t>
      </w:r>
      <w:r>
        <w:rPr>
          <w:rFonts w:hint="eastAsia" w:ascii="宋体" w:hAnsi="宋体" w:eastAsia="宋体" w:cs="宋体"/>
          <w:bCs/>
          <w:snapToGrid w:val="0"/>
          <w:color w:val="auto"/>
          <w:kern w:val="0"/>
          <w:sz w:val="24"/>
          <w:szCs w:val="21"/>
          <w:highlight w:val="none"/>
        </w:rPr>
        <w:t>。</w:t>
      </w:r>
    </w:p>
    <w:p w14:paraId="0EF90A11">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宋体" w:hAnsi="宋体" w:eastAsia="宋体" w:cs="宋体"/>
          <w:b/>
          <w:bCs/>
          <w:color w:val="auto"/>
          <w:kern w:val="0"/>
          <w:sz w:val="24"/>
          <w:highlight w:val="none"/>
        </w:rPr>
      </w:pPr>
      <w:bookmarkStart w:id="8" w:name="_Toc123725378"/>
      <w:r>
        <w:rPr>
          <w:rFonts w:hint="eastAsia" w:ascii="宋体" w:hAnsi="宋体" w:eastAsia="宋体" w:cs="宋体"/>
          <w:b/>
          <w:bCs/>
          <w:color w:val="auto"/>
          <w:kern w:val="0"/>
          <w:sz w:val="24"/>
          <w:highlight w:val="none"/>
        </w:rPr>
        <w:t>7. 发布公告的媒介</w:t>
      </w:r>
      <w:bookmarkEnd w:id="8"/>
    </w:p>
    <w:p w14:paraId="3A5C758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本次招标公告在</w:t>
      </w:r>
      <w:r>
        <w:rPr>
          <w:rFonts w:hint="eastAsia" w:ascii="宋体" w:hAnsi="宋体" w:eastAsia="宋体" w:cs="宋体"/>
          <w:color w:val="auto"/>
          <w:kern w:val="0"/>
          <w:sz w:val="24"/>
          <w:highlight w:val="none"/>
          <w:u w:val="single"/>
        </w:rPr>
        <w:t>铜陵市公共资源交易中心网站（非进场交易栏)</w:t>
      </w:r>
      <w:r>
        <w:rPr>
          <w:rFonts w:hint="eastAsia" w:ascii="宋体" w:hAnsi="宋体" w:eastAsia="宋体" w:cs="宋体"/>
          <w:color w:val="auto"/>
          <w:kern w:val="0"/>
          <w:sz w:val="24"/>
          <w:highlight w:val="none"/>
        </w:rPr>
        <w:t>上发布。</w:t>
      </w:r>
    </w:p>
    <w:p w14:paraId="466F11ED">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宋体" w:hAnsi="宋体" w:eastAsia="宋体" w:cs="宋体"/>
          <w:b/>
          <w:bCs/>
          <w:color w:val="auto"/>
          <w:kern w:val="0"/>
          <w:sz w:val="24"/>
          <w:highlight w:val="none"/>
        </w:rPr>
      </w:pPr>
      <w:bookmarkStart w:id="9" w:name="_Toc123725379"/>
      <w:r>
        <w:rPr>
          <w:rFonts w:hint="eastAsia" w:ascii="宋体" w:hAnsi="宋体" w:eastAsia="宋体" w:cs="宋体"/>
          <w:b/>
          <w:bCs/>
          <w:color w:val="auto"/>
          <w:kern w:val="0"/>
          <w:sz w:val="24"/>
          <w:highlight w:val="none"/>
        </w:rPr>
        <w:t>8.联系方式</w:t>
      </w:r>
      <w:bookmarkEnd w:id="9"/>
    </w:p>
    <w:p w14:paraId="1A42C99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对本项目存在异议或质疑的可在公示期内通过以下联系方式向招标人或代理机构提出。</w:t>
      </w:r>
    </w:p>
    <w:p w14:paraId="30EEED1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8.1 招标人</w:t>
      </w:r>
    </w:p>
    <w:p w14:paraId="7A6D10C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招</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标</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u w:val="single"/>
          <w:lang w:val="en-US" w:eastAsia="zh-CN"/>
        </w:rPr>
        <w:t xml:space="preserve">铜陵高新产业园发展有限公司    </w:t>
      </w:r>
      <w:r>
        <w:rPr>
          <w:rFonts w:hint="eastAsia" w:ascii="宋体" w:hAnsi="宋体" w:eastAsia="宋体" w:cs="宋体"/>
          <w:color w:val="auto"/>
          <w:kern w:val="0"/>
          <w:sz w:val="24"/>
          <w:highlight w:val="none"/>
          <w:lang w:val="en-US" w:eastAsia="zh-CN"/>
        </w:rPr>
        <w:t xml:space="preserve">   </w:t>
      </w:r>
    </w:p>
    <w:p w14:paraId="7FA246A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  址 ：</w:t>
      </w:r>
      <w:r>
        <w:rPr>
          <w:rFonts w:hint="eastAsia" w:ascii="宋体" w:hAnsi="宋体" w:eastAsia="宋体" w:cs="宋体"/>
          <w:color w:val="auto"/>
          <w:kern w:val="0"/>
          <w:sz w:val="24"/>
          <w:highlight w:val="none"/>
          <w:u w:val="single"/>
          <w:lang w:val="en-US" w:eastAsia="zh-CN"/>
        </w:rPr>
        <w:t>铜陵市铜官区铜井东路2508号狮子山高新区管委会大楼11层</w:t>
      </w:r>
      <w:r>
        <w:rPr>
          <w:rFonts w:hint="eastAsia" w:ascii="宋体" w:hAnsi="宋体" w:eastAsia="宋体" w:cs="宋体"/>
          <w:color w:val="auto"/>
          <w:kern w:val="0"/>
          <w:sz w:val="24"/>
          <w:highlight w:val="none"/>
          <w:lang w:val="en-US" w:eastAsia="zh-CN"/>
        </w:rPr>
        <w:t xml:space="preserve">  </w:t>
      </w:r>
    </w:p>
    <w:p w14:paraId="477C648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    编：</w:t>
      </w:r>
      <w:r>
        <w:rPr>
          <w:rFonts w:hint="eastAsia" w:ascii="宋体" w:hAnsi="宋体" w:eastAsia="宋体" w:cs="宋体"/>
          <w:color w:val="auto"/>
          <w:kern w:val="0"/>
          <w:sz w:val="24"/>
          <w:highlight w:val="none"/>
          <w:u w:val="single"/>
        </w:rPr>
        <w:t>244000</w:t>
      </w:r>
    </w:p>
    <w:p w14:paraId="007E5A3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 系 人：</w:t>
      </w:r>
      <w:r>
        <w:rPr>
          <w:rFonts w:hint="eastAsia" w:ascii="宋体" w:hAnsi="宋体" w:eastAsia="宋体" w:cs="宋体"/>
          <w:color w:val="auto"/>
          <w:kern w:val="0"/>
          <w:sz w:val="24"/>
          <w:highlight w:val="none"/>
          <w:u w:val="single"/>
          <w:lang w:eastAsia="zh-CN"/>
        </w:rPr>
        <w:t>王先生</w:t>
      </w:r>
    </w:p>
    <w:p w14:paraId="75AF6BE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rPr>
        <w:t>电    话：</w:t>
      </w:r>
      <w:r>
        <w:rPr>
          <w:rFonts w:hint="eastAsia" w:ascii="宋体" w:hAnsi="宋体" w:eastAsia="宋体" w:cs="宋体"/>
          <w:color w:val="auto"/>
          <w:kern w:val="0"/>
          <w:sz w:val="24"/>
          <w:highlight w:val="none"/>
          <w:u w:val="single"/>
          <w:lang w:eastAsia="zh-CN"/>
        </w:rPr>
        <w:t>0562-6825006</w:t>
      </w:r>
    </w:p>
    <w:p w14:paraId="5CA6CDF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rPr>
      </w:pPr>
      <w:r>
        <w:rPr>
          <w:rFonts w:hint="eastAsia" w:ascii="宋体" w:hAnsi="宋体" w:eastAsia="宋体" w:cs="宋体"/>
          <w:bCs/>
          <w:snapToGrid w:val="0"/>
          <w:color w:val="auto"/>
          <w:kern w:val="0"/>
          <w:sz w:val="24"/>
          <w:szCs w:val="21"/>
          <w:highlight w:val="none"/>
        </w:rPr>
        <w:t>8.2 招标代理机构</w:t>
      </w:r>
    </w:p>
    <w:p w14:paraId="10814B26">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firstLine="480" w:firstLineChars="200"/>
        <w:textAlignment w:val="baseline"/>
        <w:outlineLvl w:val="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招标代理机构：</w:t>
      </w:r>
      <w:bookmarkStart w:id="10" w:name="_Toc32062"/>
      <w:bookmarkStart w:id="11" w:name="_Toc31612"/>
      <w:r>
        <w:rPr>
          <w:rFonts w:hint="eastAsia" w:ascii="宋体" w:hAnsi="宋体" w:eastAsia="宋体" w:cs="宋体"/>
          <w:color w:val="auto"/>
          <w:kern w:val="0"/>
          <w:sz w:val="24"/>
          <w:highlight w:val="none"/>
          <w:u w:val="single"/>
          <w:lang w:val="en-US" w:eastAsia="zh-CN"/>
        </w:rPr>
        <w:t>安徽秉弘工程项目咨询有限公司</w:t>
      </w:r>
    </w:p>
    <w:p w14:paraId="55570A8F">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firstLine="480" w:firstLineChars="200"/>
        <w:textAlignment w:val="baseline"/>
        <w:outlineLvl w:val="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  址：</w:t>
      </w:r>
      <w:r>
        <w:rPr>
          <w:rFonts w:hint="eastAsia" w:ascii="宋体" w:hAnsi="宋体" w:eastAsia="宋体" w:cs="宋体"/>
          <w:color w:val="auto"/>
          <w:kern w:val="0"/>
          <w:sz w:val="24"/>
          <w:highlight w:val="none"/>
          <w:u w:val="single"/>
          <w:lang w:val="en-US" w:eastAsia="zh-CN"/>
        </w:rPr>
        <w:t>铜陵市北斗星城B1座1303室</w:t>
      </w:r>
    </w:p>
    <w:p w14:paraId="48BE4F94">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firstLine="480" w:firstLineChars="200"/>
        <w:textAlignment w:val="baseline"/>
        <w:outlineLvl w:val="0"/>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lang w:val="en-US" w:eastAsia="zh-CN"/>
        </w:rPr>
        <w:t>邮  编：</w:t>
      </w:r>
      <w:r>
        <w:rPr>
          <w:rFonts w:hint="eastAsia" w:ascii="宋体" w:hAnsi="宋体" w:eastAsia="宋体" w:cs="宋体"/>
          <w:color w:val="auto"/>
          <w:kern w:val="0"/>
          <w:sz w:val="24"/>
          <w:highlight w:val="none"/>
          <w:u w:val="single"/>
          <w:lang w:val="en-US" w:eastAsia="zh-CN"/>
        </w:rPr>
        <w:t xml:space="preserve"> 244000</w:t>
      </w:r>
    </w:p>
    <w:p w14:paraId="477049C6">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firstLine="480" w:firstLineChars="200"/>
        <w:textAlignment w:val="baseline"/>
        <w:outlineLvl w:val="0"/>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lang w:val="en-US" w:eastAsia="zh-CN"/>
        </w:rPr>
        <w:t>联系人：</w:t>
      </w:r>
      <w:r>
        <w:rPr>
          <w:rFonts w:hint="eastAsia" w:ascii="宋体" w:hAnsi="宋体" w:eastAsia="宋体" w:cs="宋体"/>
          <w:color w:val="auto"/>
          <w:kern w:val="0"/>
          <w:sz w:val="24"/>
          <w:highlight w:val="none"/>
          <w:u w:val="single"/>
          <w:lang w:val="en-US" w:eastAsia="zh-CN"/>
        </w:rPr>
        <w:t>吴女士</w:t>
      </w:r>
    </w:p>
    <w:p w14:paraId="17A157EE">
      <w:pPr>
        <w:keepNext w:val="0"/>
        <w:keepLines w:val="0"/>
        <w:pageBreakBefore w:val="0"/>
        <w:widowControl w:val="0"/>
        <w:kinsoku w:val="0"/>
        <w:wordWrap/>
        <w:overflowPunct/>
        <w:topLinePunct w:val="0"/>
        <w:autoSpaceDE w:val="0"/>
        <w:autoSpaceDN w:val="0"/>
        <w:bidi w:val="0"/>
        <w:adjustRightInd/>
        <w:snapToGrid/>
        <w:spacing w:line="500" w:lineRule="exact"/>
        <w:ind w:left="0" w:leftChars="0" w:right="0" w:firstLine="480" w:firstLineChars="200"/>
        <w:textAlignment w:val="baseline"/>
        <w:outlineLvl w:val="0"/>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lang w:val="en-US" w:eastAsia="zh-CN"/>
        </w:rPr>
        <w:t>电  话：</w:t>
      </w:r>
      <w:r>
        <w:rPr>
          <w:rFonts w:hint="eastAsia" w:ascii="宋体" w:hAnsi="宋体" w:eastAsia="宋体" w:cs="宋体"/>
          <w:color w:val="auto"/>
          <w:kern w:val="0"/>
          <w:sz w:val="24"/>
          <w:highlight w:val="none"/>
          <w:u w:val="single"/>
          <w:lang w:val="en-US" w:eastAsia="zh-CN"/>
        </w:rPr>
        <w:t>19154012556</w:t>
      </w:r>
    </w:p>
    <w:bookmarkEnd w:id="10"/>
    <w:p w14:paraId="4A1CDDB4">
      <w:pPr>
        <w:keepNext w:val="0"/>
        <w:keepLines w:val="0"/>
        <w:pageBreakBefore w:val="0"/>
        <w:widowControl w:val="0"/>
        <w:kinsoku/>
        <w:wordWrap/>
        <w:overflowPunct/>
        <w:topLinePunct w:val="0"/>
        <w:autoSpaceDE/>
        <w:autoSpaceDN/>
        <w:bidi w:val="0"/>
        <w:adjustRightInd/>
        <w:snapToGrid/>
        <w:spacing w:line="540" w:lineRule="exact"/>
        <w:ind w:left="0" w:leftChars="0" w:firstLine="482" w:firstLineChars="200"/>
        <w:jc w:val="both"/>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9.其他事项说明</w:t>
      </w:r>
      <w:bookmarkEnd w:id="11"/>
    </w:p>
    <w:p w14:paraId="5A9FE34F">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lang w:val="en-US" w:eastAsia="zh-CN"/>
        </w:rPr>
      </w:pPr>
      <w:bookmarkStart w:id="12" w:name="_Toc16954"/>
      <w:r>
        <w:rPr>
          <w:rFonts w:hint="eastAsia" w:ascii="宋体" w:hAnsi="宋体" w:eastAsia="宋体" w:cs="宋体"/>
          <w:bCs/>
          <w:snapToGrid w:val="0"/>
          <w:color w:val="auto"/>
          <w:kern w:val="0"/>
          <w:sz w:val="24"/>
          <w:szCs w:val="21"/>
          <w:highlight w:val="none"/>
          <w:lang w:val="en-US" w:eastAsia="zh-CN"/>
        </w:rPr>
        <w:t>9.1投标人不得存在的其他关联情形、不得存在的其他不良状况或不良信用记录详见投标人须知前附表。</w:t>
      </w:r>
    </w:p>
    <w:p w14:paraId="7A1CC2F0">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both"/>
        <w:textAlignment w:val="auto"/>
        <w:outlineLvl w:val="9"/>
        <w:rPr>
          <w:rFonts w:hint="eastAsia" w:ascii="宋体" w:hAnsi="宋体" w:eastAsia="宋体" w:cs="宋体"/>
          <w:bCs/>
          <w:snapToGrid w:val="0"/>
          <w:color w:val="auto"/>
          <w:kern w:val="0"/>
          <w:sz w:val="24"/>
          <w:szCs w:val="21"/>
          <w:highlight w:val="none"/>
          <w:lang w:val="en-US" w:eastAsia="zh-CN"/>
        </w:rPr>
      </w:pPr>
      <w:r>
        <w:rPr>
          <w:rFonts w:hint="eastAsia" w:ascii="宋体" w:hAnsi="宋体" w:eastAsia="宋体" w:cs="宋体"/>
          <w:bCs/>
          <w:snapToGrid w:val="0"/>
          <w:color w:val="auto"/>
          <w:kern w:val="0"/>
          <w:sz w:val="24"/>
          <w:szCs w:val="21"/>
          <w:highlight w:val="none"/>
          <w:lang w:val="en-US" w:eastAsia="zh-CN"/>
        </w:rPr>
        <w:t>9.2本项目无投标保证金。</w:t>
      </w:r>
    </w:p>
    <w:p w14:paraId="675CC4CA">
      <w:pPr>
        <w:rPr>
          <w:rFonts w:hint="eastAsia" w:ascii="宋体" w:hAnsi="宋体" w:eastAsia="宋体" w:cs="宋体"/>
          <w:bCs/>
          <w:snapToGrid w:val="0"/>
          <w:color w:val="auto"/>
          <w:kern w:val="0"/>
          <w:sz w:val="24"/>
          <w:szCs w:val="21"/>
          <w:highlight w:val="none"/>
          <w:lang w:val="en-US" w:eastAsia="zh-CN"/>
        </w:rPr>
      </w:pPr>
      <w:r>
        <w:rPr>
          <w:rFonts w:hint="eastAsia" w:ascii="宋体" w:hAnsi="宋体" w:eastAsia="宋体" w:cs="宋体"/>
          <w:bCs/>
          <w:snapToGrid w:val="0"/>
          <w:color w:val="auto"/>
          <w:kern w:val="0"/>
          <w:sz w:val="24"/>
          <w:szCs w:val="21"/>
          <w:highlight w:val="none"/>
          <w:lang w:val="en-US" w:eastAsia="zh-CN"/>
        </w:rPr>
        <w:br w:type="page"/>
      </w:r>
    </w:p>
    <w:bookmarkEnd w:id="12"/>
    <w:p w14:paraId="719C6855">
      <w:pPr>
        <w:spacing w:line="360" w:lineRule="auto"/>
        <w:jc w:val="center"/>
        <w:rPr>
          <w:rFonts w:cs="宋体" w:asciiTheme="minorEastAsia" w:hAnsiTheme="minorEastAsia" w:eastAsiaTheme="minorEastAsia"/>
          <w:b/>
          <w:color w:val="auto"/>
          <w:sz w:val="30"/>
          <w:highlight w:val="none"/>
        </w:rPr>
      </w:pPr>
      <w:r>
        <w:rPr>
          <w:rFonts w:hint="eastAsia" w:cs="宋体" w:asciiTheme="minorEastAsia" w:hAnsiTheme="minorEastAsia" w:eastAsiaTheme="minorEastAsia"/>
          <w:b/>
          <w:color w:val="auto"/>
          <w:sz w:val="30"/>
          <w:highlight w:val="none"/>
          <w:lang w:val="en-US" w:eastAsia="zh-CN"/>
        </w:rPr>
        <w:t xml:space="preserve">第二章  </w:t>
      </w:r>
      <w:r>
        <w:rPr>
          <w:rFonts w:hint="eastAsia" w:cs="宋体" w:asciiTheme="minorEastAsia" w:hAnsiTheme="minorEastAsia" w:eastAsiaTheme="minorEastAsia"/>
          <w:b/>
          <w:color w:val="auto"/>
          <w:sz w:val="30"/>
          <w:highlight w:val="none"/>
        </w:rPr>
        <w:t>投标须知前附表</w:t>
      </w:r>
    </w:p>
    <w:tbl>
      <w:tblPr>
        <w:tblStyle w:val="21"/>
        <w:tblW w:w="10017" w:type="dxa"/>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338"/>
        <w:gridCol w:w="6480"/>
      </w:tblGrid>
      <w:tr w14:paraId="4987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4BBEBAAA">
            <w:pPr>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2338" w:type="dxa"/>
            <w:noWrap w:val="0"/>
            <w:vAlign w:val="center"/>
          </w:tcPr>
          <w:p w14:paraId="76C972ED">
            <w:pPr>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条款名称</w:t>
            </w:r>
          </w:p>
        </w:tc>
        <w:tc>
          <w:tcPr>
            <w:tcW w:w="6480" w:type="dxa"/>
            <w:noWrap w:val="0"/>
            <w:vAlign w:val="center"/>
          </w:tcPr>
          <w:p w14:paraId="611DD391">
            <w:pPr>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编列内容</w:t>
            </w:r>
          </w:p>
        </w:tc>
      </w:tr>
      <w:tr w14:paraId="71D3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3D52707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p>
        </w:tc>
        <w:tc>
          <w:tcPr>
            <w:tcW w:w="2338" w:type="dxa"/>
            <w:noWrap w:val="0"/>
            <w:vAlign w:val="center"/>
          </w:tcPr>
          <w:p w14:paraId="749EAB64">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p>
        </w:tc>
        <w:tc>
          <w:tcPr>
            <w:tcW w:w="6480" w:type="dxa"/>
            <w:noWrap w:val="0"/>
            <w:vAlign w:val="top"/>
          </w:tcPr>
          <w:p w14:paraId="70967A40">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40DC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3785C886">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p>
        </w:tc>
        <w:tc>
          <w:tcPr>
            <w:tcW w:w="2338" w:type="dxa"/>
            <w:noWrap w:val="0"/>
            <w:vAlign w:val="center"/>
          </w:tcPr>
          <w:p w14:paraId="4ECD9AB7">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招标代理机构</w:t>
            </w:r>
          </w:p>
        </w:tc>
        <w:tc>
          <w:tcPr>
            <w:tcW w:w="6480" w:type="dxa"/>
            <w:noWrap w:val="0"/>
            <w:vAlign w:val="top"/>
          </w:tcPr>
          <w:p w14:paraId="43083646">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1416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718C6596">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p>
        </w:tc>
        <w:tc>
          <w:tcPr>
            <w:tcW w:w="2338" w:type="dxa"/>
            <w:noWrap w:val="0"/>
            <w:vAlign w:val="center"/>
          </w:tcPr>
          <w:p w14:paraId="3C4C1FA0">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480" w:type="dxa"/>
            <w:noWrap w:val="0"/>
            <w:vAlign w:val="top"/>
          </w:tcPr>
          <w:p w14:paraId="5C3F5766">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6758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7C27B422">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w:t>
            </w:r>
          </w:p>
        </w:tc>
        <w:tc>
          <w:tcPr>
            <w:tcW w:w="2338" w:type="dxa"/>
            <w:noWrap w:val="0"/>
            <w:vAlign w:val="center"/>
          </w:tcPr>
          <w:p w14:paraId="74FF2C0C">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建设地点</w:t>
            </w:r>
          </w:p>
        </w:tc>
        <w:tc>
          <w:tcPr>
            <w:tcW w:w="6480" w:type="dxa"/>
            <w:noWrap w:val="0"/>
            <w:vAlign w:val="top"/>
          </w:tcPr>
          <w:p w14:paraId="5513C3F7">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5F72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37366899">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2338" w:type="dxa"/>
            <w:noWrap w:val="0"/>
            <w:vAlign w:val="center"/>
          </w:tcPr>
          <w:p w14:paraId="63FC6A2B">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建设资金</w:t>
            </w:r>
          </w:p>
        </w:tc>
        <w:tc>
          <w:tcPr>
            <w:tcW w:w="6480" w:type="dxa"/>
            <w:noWrap w:val="0"/>
            <w:vAlign w:val="top"/>
          </w:tcPr>
          <w:p w14:paraId="2005ADF5">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375E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007A4B5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2338" w:type="dxa"/>
            <w:noWrap w:val="0"/>
            <w:vAlign w:val="center"/>
          </w:tcPr>
          <w:p w14:paraId="75BC94E7">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招标范围</w:t>
            </w:r>
          </w:p>
        </w:tc>
        <w:tc>
          <w:tcPr>
            <w:tcW w:w="6480" w:type="dxa"/>
            <w:noWrap w:val="0"/>
            <w:vAlign w:val="top"/>
          </w:tcPr>
          <w:p w14:paraId="60C2875C">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0E58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1C842598">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w:t>
            </w:r>
          </w:p>
        </w:tc>
        <w:tc>
          <w:tcPr>
            <w:tcW w:w="2338" w:type="dxa"/>
            <w:noWrap w:val="0"/>
            <w:vAlign w:val="center"/>
          </w:tcPr>
          <w:p w14:paraId="6164DC1A">
            <w:pPr>
              <w:snapToGrid w:val="0"/>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服务期</w:t>
            </w:r>
          </w:p>
        </w:tc>
        <w:tc>
          <w:tcPr>
            <w:tcW w:w="6480" w:type="dxa"/>
            <w:noWrap w:val="0"/>
            <w:vAlign w:val="top"/>
          </w:tcPr>
          <w:p w14:paraId="03FD9205">
            <w:pPr>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65F0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362EC941">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w:t>
            </w:r>
          </w:p>
        </w:tc>
        <w:tc>
          <w:tcPr>
            <w:tcW w:w="2338" w:type="dxa"/>
            <w:noWrap w:val="0"/>
            <w:vAlign w:val="center"/>
          </w:tcPr>
          <w:p w14:paraId="3DC0A7B1">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6480" w:type="dxa"/>
            <w:noWrap w:val="0"/>
            <w:vAlign w:val="top"/>
          </w:tcPr>
          <w:p w14:paraId="1D6536BB">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7482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3E50E67A">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2338" w:type="dxa"/>
            <w:noWrap w:val="0"/>
            <w:vAlign w:val="center"/>
          </w:tcPr>
          <w:p w14:paraId="52FCE351">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投标人资格要求</w:t>
            </w:r>
          </w:p>
        </w:tc>
        <w:tc>
          <w:tcPr>
            <w:tcW w:w="6480" w:type="dxa"/>
            <w:noWrap w:val="0"/>
            <w:vAlign w:val="center"/>
          </w:tcPr>
          <w:p w14:paraId="0E220627">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（1）资质条件：见附录1</w:t>
            </w:r>
          </w:p>
          <w:p w14:paraId="2FEBA0C4">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（2）业绩要求：见附录2</w:t>
            </w:r>
          </w:p>
          <w:p w14:paraId="189608D0">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项目总监理工程师</w:t>
            </w:r>
            <w:r>
              <w:rPr>
                <w:rFonts w:hint="eastAsia" w:asciiTheme="minorEastAsia" w:hAnsiTheme="minorEastAsia" w:eastAsiaTheme="minorEastAsia" w:cstheme="minorEastAsia"/>
                <w:color w:val="auto"/>
                <w:sz w:val="24"/>
                <w:szCs w:val="24"/>
                <w:highlight w:val="none"/>
              </w:rPr>
              <w:t xml:space="preserve">资格：见附录3 </w:t>
            </w:r>
          </w:p>
          <w:p w14:paraId="585705FF">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（4）其他人员最低要求：见附录4</w:t>
            </w:r>
          </w:p>
        </w:tc>
      </w:tr>
      <w:tr w14:paraId="4D81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21C68C13">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2338" w:type="dxa"/>
            <w:noWrap w:val="0"/>
            <w:vAlign w:val="center"/>
          </w:tcPr>
          <w:p w14:paraId="724CBF64">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是否接受联合体投标</w:t>
            </w:r>
          </w:p>
        </w:tc>
        <w:tc>
          <w:tcPr>
            <w:tcW w:w="6480" w:type="dxa"/>
            <w:noWrap w:val="0"/>
            <w:vAlign w:val="center"/>
          </w:tcPr>
          <w:p w14:paraId="5CA66D5A">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见招标公告</w:t>
            </w:r>
          </w:p>
        </w:tc>
      </w:tr>
      <w:tr w14:paraId="333F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D661E60">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2338" w:type="dxa"/>
            <w:noWrap w:val="0"/>
            <w:vAlign w:val="center"/>
          </w:tcPr>
          <w:p w14:paraId="72452148">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投标人不得存在的其他关联情形</w:t>
            </w:r>
          </w:p>
        </w:tc>
        <w:tc>
          <w:tcPr>
            <w:tcW w:w="6480" w:type="dxa"/>
            <w:noWrap w:val="0"/>
            <w:vAlign w:val="center"/>
          </w:tcPr>
          <w:p w14:paraId="4F14273C">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法律法规规定的不得存在的关联情形</w:t>
            </w:r>
          </w:p>
        </w:tc>
      </w:tr>
      <w:tr w14:paraId="3C8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74049190">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w:t>
            </w:r>
          </w:p>
        </w:tc>
        <w:tc>
          <w:tcPr>
            <w:tcW w:w="2338" w:type="dxa"/>
            <w:noWrap w:val="0"/>
            <w:vAlign w:val="center"/>
          </w:tcPr>
          <w:p w14:paraId="22CB79F9">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投标人不得存在的其他不良状况或不良信用记录</w:t>
            </w:r>
          </w:p>
        </w:tc>
        <w:tc>
          <w:tcPr>
            <w:tcW w:w="6480" w:type="dxa"/>
            <w:noWrap w:val="0"/>
            <w:vAlign w:val="center"/>
          </w:tcPr>
          <w:p w14:paraId="61F903DC">
            <w:pPr>
              <w:keepNext w:val="0"/>
              <w:keepLines w:val="0"/>
              <w:pageBreakBefore w:val="0"/>
              <w:topLinePunct w:val="0"/>
              <w:bidi w:val="0"/>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有下列失信行为之一的，不得参与投标，不得推荐为中标候选人：</w:t>
            </w:r>
          </w:p>
          <w:p w14:paraId="612ED141">
            <w:pPr>
              <w:keepNext w:val="0"/>
              <w:keepLines w:val="0"/>
              <w:pageBreakBefore w:val="0"/>
              <w:topLinePunct w:val="0"/>
              <w:bidi w:val="0"/>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（1）被铜陵市住建局纳入“黑名单”管理的；</w:t>
            </w:r>
          </w:p>
          <w:p w14:paraId="2DB7B517">
            <w:pPr>
              <w:keepNext w:val="0"/>
              <w:keepLines w:val="0"/>
              <w:pageBreakBefore w:val="0"/>
              <w:topLinePunct w:val="0"/>
              <w:bidi w:val="0"/>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）如本项目为重新招标，在之前投标中放弃中标资格的；</w:t>
            </w:r>
          </w:p>
          <w:p w14:paraId="297CB178">
            <w:pPr>
              <w:keepNext w:val="0"/>
              <w:keepLines w:val="0"/>
              <w:pageBreakBefore w:val="0"/>
              <w:topLinePunct w:val="0"/>
              <w:bidi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）近5年在履行招标人及其所属单位的建设工程合同时，发生过重大实质性违约且未及时采取合理补救措施的。</w:t>
            </w:r>
          </w:p>
        </w:tc>
      </w:tr>
      <w:tr w14:paraId="461A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99" w:type="dxa"/>
            <w:noWrap w:val="0"/>
            <w:vAlign w:val="center"/>
          </w:tcPr>
          <w:p w14:paraId="31977A5A">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w:t>
            </w:r>
          </w:p>
        </w:tc>
        <w:tc>
          <w:tcPr>
            <w:tcW w:w="2338" w:type="dxa"/>
            <w:noWrap w:val="0"/>
            <w:vAlign w:val="center"/>
          </w:tcPr>
          <w:p w14:paraId="16D4D169">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踏勘现场</w:t>
            </w:r>
          </w:p>
        </w:tc>
        <w:tc>
          <w:tcPr>
            <w:tcW w:w="6480" w:type="dxa"/>
            <w:noWrap w:val="0"/>
            <w:vAlign w:val="center"/>
          </w:tcPr>
          <w:p w14:paraId="49576948">
            <w:pPr>
              <w:adjustRightInd w:val="0"/>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招标人不组织踏勘现场，投标人应自行对现场和周围环境进行勘察，以获取编制投标文件所需的资料。如需要招标文件以外的招标人现有的相关技术资料可按招标公告中的联系人及联系方式联系招标人索取，投标人应自行核实资料的完整性和准确性。</w:t>
            </w:r>
          </w:p>
        </w:tc>
      </w:tr>
      <w:tr w14:paraId="34E2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0162C9E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1.10.1</w:t>
            </w:r>
          </w:p>
        </w:tc>
        <w:tc>
          <w:tcPr>
            <w:tcW w:w="2338" w:type="dxa"/>
            <w:noWrap w:val="0"/>
            <w:vAlign w:val="center"/>
          </w:tcPr>
          <w:p w14:paraId="34CBEDC7">
            <w:pPr>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投标预备会</w:t>
            </w:r>
          </w:p>
        </w:tc>
        <w:tc>
          <w:tcPr>
            <w:tcW w:w="6480" w:type="dxa"/>
            <w:noWrap w:val="0"/>
            <w:vAlign w:val="center"/>
          </w:tcPr>
          <w:p w14:paraId="524D9EA2">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不召开</w:t>
            </w:r>
          </w:p>
          <w:p w14:paraId="779BA291">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□召开，召开时间：</w:t>
            </w:r>
            <w:r>
              <w:rPr>
                <w:rFonts w:hint="eastAsia" w:asciiTheme="minorEastAsia" w:hAnsiTheme="minorEastAsia" w:eastAsiaTheme="minorEastAsia" w:cstheme="minorEastAsia"/>
                <w:color w:val="auto"/>
                <w:sz w:val="24"/>
                <w:szCs w:val="24"/>
                <w:highlight w:val="none"/>
                <w:u w:val="single"/>
              </w:rPr>
              <w:t xml:space="preserve">      /     </w:t>
            </w:r>
          </w:p>
          <w:p w14:paraId="50522468">
            <w:pPr>
              <w:adjustRightInd w:val="0"/>
              <w:snapToGrid w:val="0"/>
              <w:spacing w:line="360" w:lineRule="auto"/>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召开地点：</w:t>
            </w:r>
            <w:r>
              <w:rPr>
                <w:rFonts w:hint="eastAsia" w:asciiTheme="minorEastAsia" w:hAnsiTheme="minorEastAsia" w:eastAsiaTheme="minorEastAsia" w:cstheme="minorEastAsia"/>
                <w:color w:val="auto"/>
                <w:sz w:val="24"/>
                <w:szCs w:val="24"/>
                <w:highlight w:val="none"/>
                <w:u w:val="single"/>
              </w:rPr>
              <w:t xml:space="preserve">     /      </w:t>
            </w:r>
          </w:p>
        </w:tc>
      </w:tr>
      <w:tr w14:paraId="0DB4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F1597DE">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w:t>
            </w:r>
          </w:p>
        </w:tc>
        <w:tc>
          <w:tcPr>
            <w:tcW w:w="2338" w:type="dxa"/>
            <w:noWrap w:val="0"/>
            <w:vAlign w:val="center"/>
          </w:tcPr>
          <w:p w14:paraId="7C6FC548">
            <w:pPr>
              <w:snapToGrid w:val="0"/>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构成招标文件的其它材料</w:t>
            </w:r>
          </w:p>
        </w:tc>
        <w:tc>
          <w:tcPr>
            <w:tcW w:w="6480" w:type="dxa"/>
            <w:noWrap w:val="0"/>
            <w:vAlign w:val="center"/>
          </w:tcPr>
          <w:p w14:paraId="4160B5FB">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补充公告（如有）。</w:t>
            </w:r>
          </w:p>
        </w:tc>
      </w:tr>
      <w:tr w14:paraId="14EC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185FA282">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2338" w:type="dxa"/>
            <w:noWrap w:val="0"/>
            <w:vAlign w:val="center"/>
          </w:tcPr>
          <w:p w14:paraId="0771A419">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投标人要求澄清招标文件</w:t>
            </w:r>
          </w:p>
        </w:tc>
        <w:tc>
          <w:tcPr>
            <w:tcW w:w="6480" w:type="dxa"/>
            <w:noWrap w:val="0"/>
            <w:vAlign w:val="center"/>
          </w:tcPr>
          <w:p w14:paraId="40D8F2BD">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u w:val="single"/>
              </w:rPr>
              <w:t>投标截止3日前</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逾期不予受理</w:t>
            </w:r>
            <w:r>
              <w:rPr>
                <w:rFonts w:hint="eastAsia" w:asciiTheme="minorEastAsia" w:hAnsiTheme="minorEastAsia" w:eastAsiaTheme="minorEastAsia" w:cstheme="minorEastAsia"/>
                <w:bCs/>
                <w:snapToGrid w:val="0"/>
                <w:color w:val="auto"/>
                <w:sz w:val="24"/>
                <w:szCs w:val="24"/>
                <w:highlight w:val="none"/>
              </w:rPr>
              <w:t>。</w:t>
            </w:r>
          </w:p>
          <w:p w14:paraId="01491E97">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形式：相关澄清要求应通过</w:t>
            </w:r>
            <w:r>
              <w:rPr>
                <w:rFonts w:hint="eastAsia" w:asciiTheme="minorEastAsia" w:hAnsiTheme="minorEastAsia" w:eastAsiaTheme="minorEastAsia" w:cstheme="minorEastAsia"/>
                <w:bCs/>
                <w:snapToGrid w:val="0"/>
                <w:color w:val="auto"/>
                <w:sz w:val="24"/>
                <w:szCs w:val="24"/>
                <w:highlight w:val="none"/>
                <w:u w:val="single"/>
              </w:rPr>
              <w:t xml:space="preserve"> 书面形式</w:t>
            </w:r>
            <w:r>
              <w:rPr>
                <w:rFonts w:hint="eastAsia" w:asciiTheme="minorEastAsia" w:hAnsiTheme="minorEastAsia" w:eastAsiaTheme="minorEastAsia" w:cstheme="minorEastAsia"/>
                <w:bCs/>
                <w:snapToGrid w:val="0"/>
                <w:color w:val="auto"/>
                <w:sz w:val="24"/>
                <w:szCs w:val="24"/>
                <w:highlight w:val="none"/>
                <w:u w:val="single"/>
                <w:lang w:val="en-US" w:eastAsia="zh-CN"/>
              </w:rPr>
              <w:t xml:space="preserve"> </w:t>
            </w:r>
            <w:r>
              <w:rPr>
                <w:rFonts w:hint="eastAsia" w:asciiTheme="minorEastAsia" w:hAnsiTheme="minorEastAsia" w:eastAsiaTheme="minorEastAsia" w:cstheme="minorEastAsia"/>
                <w:bCs/>
                <w:snapToGrid w:val="0"/>
                <w:color w:val="auto"/>
                <w:sz w:val="24"/>
                <w:szCs w:val="24"/>
                <w:highlight w:val="none"/>
              </w:rPr>
              <w:t>提交。</w:t>
            </w:r>
          </w:p>
        </w:tc>
      </w:tr>
      <w:tr w14:paraId="582C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483BDECC">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w:t>
            </w:r>
          </w:p>
        </w:tc>
        <w:tc>
          <w:tcPr>
            <w:tcW w:w="2338" w:type="dxa"/>
            <w:noWrap w:val="0"/>
            <w:vAlign w:val="center"/>
          </w:tcPr>
          <w:p w14:paraId="1CC0B852">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招标文件澄清发出的形式</w:t>
            </w:r>
          </w:p>
        </w:tc>
        <w:tc>
          <w:tcPr>
            <w:tcW w:w="6480" w:type="dxa"/>
            <w:noWrap w:val="0"/>
            <w:vAlign w:val="center"/>
          </w:tcPr>
          <w:p w14:paraId="4D81460E">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通过</w:t>
            </w:r>
            <w:r>
              <w:rPr>
                <w:rFonts w:hint="eastAsia" w:asciiTheme="minorEastAsia" w:hAnsiTheme="minorEastAsia" w:eastAsiaTheme="minorEastAsia" w:cstheme="minorEastAsia"/>
                <w:bCs/>
                <w:snapToGrid w:val="0"/>
                <w:color w:val="auto"/>
                <w:sz w:val="24"/>
                <w:szCs w:val="24"/>
                <w:highlight w:val="none"/>
                <w:u w:val="single"/>
              </w:rPr>
              <w:t>书面形式</w:t>
            </w:r>
            <w:r>
              <w:rPr>
                <w:rFonts w:hint="eastAsia" w:asciiTheme="minorEastAsia" w:hAnsiTheme="minorEastAsia" w:eastAsiaTheme="minorEastAsia" w:cstheme="minorEastAsia"/>
                <w:bCs/>
                <w:snapToGrid w:val="0"/>
                <w:color w:val="auto"/>
                <w:sz w:val="24"/>
                <w:szCs w:val="24"/>
                <w:highlight w:val="none"/>
              </w:rPr>
              <w:t>提</w:t>
            </w:r>
            <w:r>
              <w:rPr>
                <w:rFonts w:hint="eastAsia" w:asciiTheme="minorEastAsia" w:hAnsiTheme="minorEastAsia" w:eastAsiaTheme="minorEastAsia" w:cstheme="minorEastAsia"/>
                <w:snapToGrid w:val="0"/>
                <w:color w:val="auto"/>
                <w:sz w:val="24"/>
                <w:szCs w:val="24"/>
                <w:highlight w:val="none"/>
              </w:rPr>
              <w:t>出</w:t>
            </w:r>
          </w:p>
        </w:tc>
      </w:tr>
      <w:tr w14:paraId="1A2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2C81901A">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w:t>
            </w:r>
          </w:p>
        </w:tc>
        <w:tc>
          <w:tcPr>
            <w:tcW w:w="2338" w:type="dxa"/>
            <w:noWrap w:val="0"/>
            <w:vAlign w:val="center"/>
          </w:tcPr>
          <w:p w14:paraId="06A9E646">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投标人确认收到招标文件澄清</w:t>
            </w:r>
          </w:p>
        </w:tc>
        <w:tc>
          <w:tcPr>
            <w:tcW w:w="6480" w:type="dxa"/>
            <w:noWrap w:val="0"/>
            <w:vAlign w:val="center"/>
          </w:tcPr>
          <w:p w14:paraId="10907D11">
            <w:pPr>
              <w:adjustRightInd w:val="0"/>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snapToGrid w:val="0"/>
                <w:color w:val="auto"/>
                <w:sz w:val="24"/>
                <w:szCs w:val="24"/>
                <w:highlight w:val="none"/>
              </w:rPr>
              <w:t>所有潜在投标人在投标截止时间前有义务在</w:t>
            </w:r>
            <w:r>
              <w:rPr>
                <w:rFonts w:hint="eastAsia" w:asciiTheme="minorEastAsia" w:hAnsiTheme="minorEastAsia" w:eastAsiaTheme="minorEastAsia" w:cstheme="minorEastAsia"/>
                <w:snapToGrid w:val="0"/>
                <w:color w:val="auto"/>
                <w:sz w:val="24"/>
                <w:szCs w:val="24"/>
                <w:highlight w:val="none"/>
              </w:rPr>
              <w:t>招标公告发布的网站</w:t>
            </w:r>
            <w:r>
              <w:rPr>
                <w:rFonts w:hint="eastAsia" w:asciiTheme="minorEastAsia" w:hAnsiTheme="minorEastAsia" w:eastAsiaTheme="minorEastAsia" w:cstheme="minorEastAsia"/>
                <w:bCs/>
                <w:snapToGrid w:val="0"/>
                <w:color w:val="auto"/>
                <w:sz w:val="24"/>
                <w:szCs w:val="24"/>
                <w:highlight w:val="none"/>
              </w:rPr>
              <w:t>自行查询，无需回复确认。</w:t>
            </w:r>
          </w:p>
        </w:tc>
      </w:tr>
      <w:tr w14:paraId="2036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608B3DAA">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w:t>
            </w:r>
          </w:p>
        </w:tc>
        <w:tc>
          <w:tcPr>
            <w:tcW w:w="2338" w:type="dxa"/>
            <w:noWrap w:val="0"/>
            <w:vAlign w:val="center"/>
          </w:tcPr>
          <w:p w14:paraId="51DB9B84">
            <w:pPr>
              <w:kinsoku w:val="0"/>
              <w:overflowPunct w:val="0"/>
              <w:autoSpaceDE w:val="0"/>
              <w:autoSpaceDN w:val="0"/>
              <w:adjustRightInd w:val="0"/>
              <w:snapToGrid w:val="0"/>
              <w:spacing w:line="360" w:lineRule="auto"/>
              <w:ind w:left="105" w:leftChars="50" w:right="105" w:rightChars="5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招标文件修改发出的形式</w:t>
            </w:r>
          </w:p>
        </w:tc>
        <w:tc>
          <w:tcPr>
            <w:tcW w:w="6480" w:type="dxa"/>
            <w:noWrap w:val="0"/>
            <w:vAlign w:val="center"/>
          </w:tcPr>
          <w:p w14:paraId="242DD013">
            <w:pPr>
              <w:autoSpaceDE w:val="0"/>
              <w:autoSpaceDN w:val="0"/>
              <w:adjustRightInd w:val="0"/>
              <w:snapToGrid w:val="0"/>
              <w:spacing w:line="360" w:lineRule="auto"/>
              <w:ind w:right="105" w:rightChars="50"/>
              <w:jc w:val="lef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通过招标公告发布的网站公布</w:t>
            </w:r>
          </w:p>
        </w:tc>
      </w:tr>
      <w:tr w14:paraId="7AD5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20FFA8E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w:t>
            </w:r>
          </w:p>
        </w:tc>
        <w:tc>
          <w:tcPr>
            <w:tcW w:w="2338" w:type="dxa"/>
            <w:noWrap w:val="0"/>
            <w:vAlign w:val="center"/>
          </w:tcPr>
          <w:p w14:paraId="5A2BB680">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投标人确认收到招标文件修改</w:t>
            </w:r>
          </w:p>
        </w:tc>
        <w:tc>
          <w:tcPr>
            <w:tcW w:w="6480" w:type="dxa"/>
            <w:noWrap w:val="0"/>
            <w:vAlign w:val="center"/>
          </w:tcPr>
          <w:p w14:paraId="436C26A1">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所有潜在投标人在投标截止时间前有义务在</w:t>
            </w:r>
            <w:r>
              <w:rPr>
                <w:rFonts w:hint="eastAsia" w:asciiTheme="minorEastAsia" w:hAnsiTheme="minorEastAsia" w:eastAsiaTheme="minorEastAsia" w:cstheme="minorEastAsia"/>
                <w:snapToGrid w:val="0"/>
                <w:color w:val="auto"/>
                <w:sz w:val="24"/>
                <w:szCs w:val="24"/>
                <w:highlight w:val="none"/>
              </w:rPr>
              <w:t>招标公告发布的网站</w:t>
            </w:r>
            <w:r>
              <w:rPr>
                <w:rFonts w:hint="eastAsia" w:asciiTheme="minorEastAsia" w:hAnsiTheme="minorEastAsia" w:eastAsiaTheme="minorEastAsia" w:cstheme="minorEastAsia"/>
                <w:bCs/>
                <w:snapToGrid w:val="0"/>
                <w:color w:val="auto"/>
                <w:sz w:val="24"/>
                <w:szCs w:val="24"/>
                <w:highlight w:val="none"/>
              </w:rPr>
              <w:t>自行查询，无需回复确认。</w:t>
            </w:r>
          </w:p>
        </w:tc>
      </w:tr>
      <w:tr w14:paraId="4F2E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2AF167D9">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w:t>
            </w:r>
          </w:p>
        </w:tc>
        <w:tc>
          <w:tcPr>
            <w:tcW w:w="2338" w:type="dxa"/>
            <w:noWrap w:val="0"/>
            <w:vAlign w:val="center"/>
          </w:tcPr>
          <w:p w14:paraId="1FA5238A">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对招标文件提出异议的最迟时间</w:t>
            </w:r>
          </w:p>
        </w:tc>
        <w:tc>
          <w:tcPr>
            <w:tcW w:w="6480" w:type="dxa"/>
            <w:noWrap w:val="0"/>
            <w:vAlign w:val="center"/>
          </w:tcPr>
          <w:p w14:paraId="20CCF8FE">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投标截止3日前。</w:t>
            </w:r>
          </w:p>
        </w:tc>
      </w:tr>
      <w:tr w14:paraId="58C4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6B36625E">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w:t>
            </w:r>
          </w:p>
        </w:tc>
        <w:tc>
          <w:tcPr>
            <w:tcW w:w="2338" w:type="dxa"/>
            <w:noWrap w:val="0"/>
            <w:vAlign w:val="center"/>
          </w:tcPr>
          <w:p w14:paraId="5CF51E9D">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对招标文件提出异议的方法</w:t>
            </w:r>
          </w:p>
        </w:tc>
        <w:tc>
          <w:tcPr>
            <w:tcW w:w="6480" w:type="dxa"/>
            <w:noWrap w:val="0"/>
            <w:vAlign w:val="center"/>
          </w:tcPr>
          <w:p w14:paraId="49D13EA5">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通过</w:t>
            </w:r>
            <w:r>
              <w:rPr>
                <w:rFonts w:hint="eastAsia" w:asciiTheme="minorEastAsia" w:hAnsiTheme="minorEastAsia" w:eastAsiaTheme="minorEastAsia" w:cstheme="minorEastAsia"/>
                <w:bCs/>
                <w:snapToGrid w:val="0"/>
                <w:color w:val="auto"/>
                <w:sz w:val="24"/>
                <w:szCs w:val="24"/>
                <w:highlight w:val="none"/>
                <w:u w:val="single"/>
              </w:rPr>
              <w:t>书面形式</w:t>
            </w:r>
            <w:r>
              <w:rPr>
                <w:rFonts w:hint="eastAsia" w:asciiTheme="minorEastAsia" w:hAnsiTheme="minorEastAsia" w:eastAsiaTheme="minorEastAsia" w:cstheme="minorEastAsia"/>
                <w:bCs/>
                <w:snapToGrid w:val="0"/>
                <w:color w:val="auto"/>
                <w:sz w:val="24"/>
                <w:szCs w:val="24"/>
                <w:highlight w:val="none"/>
              </w:rPr>
              <w:t>提</w:t>
            </w:r>
            <w:r>
              <w:rPr>
                <w:rFonts w:hint="eastAsia" w:asciiTheme="minorEastAsia" w:hAnsiTheme="minorEastAsia" w:eastAsiaTheme="minorEastAsia" w:cstheme="minorEastAsia"/>
                <w:snapToGrid w:val="0"/>
                <w:color w:val="auto"/>
                <w:sz w:val="24"/>
                <w:szCs w:val="24"/>
                <w:highlight w:val="none"/>
              </w:rPr>
              <w:t>出</w:t>
            </w:r>
          </w:p>
        </w:tc>
      </w:tr>
      <w:tr w14:paraId="3FAB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7E3C772">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w:t>
            </w:r>
          </w:p>
        </w:tc>
        <w:tc>
          <w:tcPr>
            <w:tcW w:w="2338" w:type="dxa"/>
            <w:noWrap w:val="0"/>
            <w:vAlign w:val="center"/>
          </w:tcPr>
          <w:p w14:paraId="1891AF37">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招标文件的澄清和异议回复</w:t>
            </w:r>
          </w:p>
        </w:tc>
        <w:tc>
          <w:tcPr>
            <w:tcW w:w="6480" w:type="dxa"/>
            <w:noWrap w:val="0"/>
            <w:vAlign w:val="center"/>
          </w:tcPr>
          <w:p w14:paraId="525AE8F8">
            <w:pPr>
              <w:autoSpaceDE w:val="0"/>
              <w:autoSpaceDN w:val="0"/>
              <w:adjustRightInd w:val="0"/>
              <w:snapToGrid w:val="0"/>
              <w:spacing w:line="360" w:lineRule="auto"/>
              <w:ind w:right="105" w:rightChars="50"/>
              <w:jc w:val="left"/>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通过招标公告发布的网站公布</w:t>
            </w:r>
          </w:p>
        </w:tc>
      </w:tr>
      <w:tr w14:paraId="478E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E33CDB8">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w:t>
            </w:r>
          </w:p>
        </w:tc>
        <w:tc>
          <w:tcPr>
            <w:tcW w:w="2338" w:type="dxa"/>
            <w:noWrap w:val="0"/>
            <w:vAlign w:val="center"/>
          </w:tcPr>
          <w:p w14:paraId="442A673B">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最高投标限价</w:t>
            </w:r>
          </w:p>
        </w:tc>
        <w:tc>
          <w:tcPr>
            <w:tcW w:w="6480" w:type="dxa"/>
            <w:noWrap w:val="0"/>
            <w:vAlign w:val="center"/>
          </w:tcPr>
          <w:p w14:paraId="3793F95B">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见招标公告</w:t>
            </w:r>
          </w:p>
        </w:tc>
      </w:tr>
      <w:tr w14:paraId="63F7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25560C08">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w:t>
            </w:r>
          </w:p>
        </w:tc>
        <w:tc>
          <w:tcPr>
            <w:tcW w:w="2338" w:type="dxa"/>
            <w:noWrap w:val="0"/>
            <w:vAlign w:val="center"/>
          </w:tcPr>
          <w:p w14:paraId="2B3C9865">
            <w:pPr>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投标报价其他要求</w:t>
            </w:r>
          </w:p>
        </w:tc>
        <w:tc>
          <w:tcPr>
            <w:tcW w:w="6480" w:type="dxa"/>
            <w:noWrap w:val="0"/>
            <w:vAlign w:val="center"/>
          </w:tcPr>
          <w:p w14:paraId="43DAEF3B">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按总价报价，结算按合同约定方式结算。</w:t>
            </w:r>
          </w:p>
        </w:tc>
      </w:tr>
      <w:tr w14:paraId="2BF4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15401C1C">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p>
        </w:tc>
        <w:tc>
          <w:tcPr>
            <w:tcW w:w="2338" w:type="dxa"/>
            <w:noWrap w:val="0"/>
            <w:vAlign w:val="center"/>
          </w:tcPr>
          <w:p w14:paraId="650D065D">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6480" w:type="dxa"/>
            <w:noWrap w:val="0"/>
            <w:vAlign w:val="center"/>
          </w:tcPr>
          <w:p w14:paraId="4C14E3FD">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自投标人递交投标文件截止之日起计算</w:t>
            </w:r>
            <w:r>
              <w:rPr>
                <w:rFonts w:hint="eastAsia" w:asciiTheme="minorEastAsia" w:hAnsiTheme="minorEastAsia" w:eastAsiaTheme="minorEastAsia" w:cstheme="minorEastAsia"/>
                <w:snapToGrid w:val="0"/>
                <w:color w:val="auto"/>
                <w:sz w:val="24"/>
                <w:szCs w:val="24"/>
                <w:highlight w:val="none"/>
                <w:u w:val="single"/>
              </w:rPr>
              <w:t xml:space="preserve"> 90 </w:t>
            </w:r>
            <w:r>
              <w:rPr>
                <w:rFonts w:hint="eastAsia" w:asciiTheme="minorEastAsia" w:hAnsiTheme="minorEastAsia" w:eastAsiaTheme="minorEastAsia" w:cstheme="minorEastAsia"/>
                <w:snapToGrid w:val="0"/>
                <w:color w:val="auto"/>
                <w:sz w:val="24"/>
                <w:szCs w:val="24"/>
                <w:highlight w:val="none"/>
              </w:rPr>
              <w:t>日</w:t>
            </w:r>
          </w:p>
        </w:tc>
      </w:tr>
      <w:tr w14:paraId="2894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7001B089">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w:t>
            </w:r>
          </w:p>
        </w:tc>
        <w:tc>
          <w:tcPr>
            <w:tcW w:w="2338" w:type="dxa"/>
            <w:noWrap w:val="0"/>
            <w:vAlign w:val="center"/>
          </w:tcPr>
          <w:p w14:paraId="2D6CA635">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6480" w:type="dxa"/>
            <w:noWrap w:val="0"/>
            <w:vAlign w:val="center"/>
          </w:tcPr>
          <w:p w14:paraId="470ED79A">
            <w:pPr>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snapToGrid w:val="0"/>
                <w:color w:val="auto"/>
                <w:sz w:val="24"/>
                <w:szCs w:val="24"/>
                <w:highlight w:val="none"/>
              </w:rPr>
              <w:t>无</w:t>
            </w:r>
          </w:p>
        </w:tc>
      </w:tr>
      <w:tr w14:paraId="6C14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7A75F1EB">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3.4.4</w:t>
            </w:r>
          </w:p>
        </w:tc>
        <w:tc>
          <w:tcPr>
            <w:tcW w:w="2338" w:type="dxa"/>
            <w:noWrap w:val="0"/>
            <w:vAlign w:val="center"/>
          </w:tcPr>
          <w:p w14:paraId="0CFB9FBE">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其他不予退还投标保证金的情形</w:t>
            </w:r>
          </w:p>
        </w:tc>
        <w:tc>
          <w:tcPr>
            <w:tcW w:w="6480" w:type="dxa"/>
            <w:noWrap w:val="0"/>
            <w:vAlign w:val="center"/>
          </w:tcPr>
          <w:p w14:paraId="59FD8A17">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投标人中标后因自身原因放弃中标资格的</w:t>
            </w:r>
          </w:p>
        </w:tc>
      </w:tr>
      <w:tr w14:paraId="0136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E92A0B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2338" w:type="dxa"/>
            <w:noWrap w:val="0"/>
            <w:vAlign w:val="center"/>
          </w:tcPr>
          <w:p w14:paraId="41353011">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备选投标方案</w:t>
            </w:r>
          </w:p>
        </w:tc>
        <w:tc>
          <w:tcPr>
            <w:tcW w:w="6480" w:type="dxa"/>
            <w:noWrap w:val="0"/>
            <w:vAlign w:val="center"/>
          </w:tcPr>
          <w:p w14:paraId="182C4887">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kern w:val="0"/>
                <w:sz w:val="24"/>
                <w:szCs w:val="24"/>
                <w:highlight w:val="none"/>
              </w:rPr>
              <w:t>不允许递交     □允许递交</w:t>
            </w:r>
          </w:p>
        </w:tc>
      </w:tr>
      <w:tr w14:paraId="6D1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F2840DE">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w:t>
            </w:r>
          </w:p>
        </w:tc>
        <w:tc>
          <w:tcPr>
            <w:tcW w:w="2338" w:type="dxa"/>
            <w:noWrap w:val="0"/>
            <w:vAlign w:val="center"/>
          </w:tcPr>
          <w:p w14:paraId="6694D0F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w:t>
            </w:r>
          </w:p>
        </w:tc>
        <w:tc>
          <w:tcPr>
            <w:tcW w:w="6480" w:type="dxa"/>
            <w:noWrap w:val="0"/>
            <w:vAlign w:val="center"/>
          </w:tcPr>
          <w:p w14:paraId="3BB66337">
            <w:pPr>
              <w:snapToGrid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投标时提供纸质投标文件正本一份</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副本一份</w:t>
            </w:r>
            <w:r>
              <w:rPr>
                <w:rFonts w:hint="eastAsia" w:asciiTheme="minorEastAsia" w:hAnsiTheme="minorEastAsia" w:eastAsiaTheme="minorEastAsia" w:cstheme="minorEastAsia"/>
                <w:b/>
                <w:bCs/>
                <w:color w:val="auto"/>
                <w:sz w:val="24"/>
                <w:szCs w:val="24"/>
                <w:highlight w:val="none"/>
              </w:rPr>
              <w:t>。</w:t>
            </w:r>
          </w:p>
          <w:p w14:paraId="45073261">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中标单位在领取中标通知书时需提供</w:t>
            </w:r>
            <w:r>
              <w:rPr>
                <w:rFonts w:hint="eastAsia" w:asciiTheme="minorEastAsia" w:hAnsiTheme="minorEastAsia" w:eastAsiaTheme="minorEastAsia" w:cstheme="minorEastAsia"/>
                <w:color w:val="auto"/>
                <w:sz w:val="24"/>
                <w:szCs w:val="24"/>
                <w:highlight w:val="none"/>
                <w:u w:val="single"/>
              </w:rPr>
              <w:t xml:space="preserve"> 3</w:t>
            </w:r>
            <w:r>
              <w:rPr>
                <w:rFonts w:hint="eastAsia" w:asciiTheme="minorEastAsia" w:hAnsiTheme="minorEastAsia" w:eastAsiaTheme="minorEastAsia" w:cstheme="minorEastAsia"/>
                <w:color w:val="auto"/>
                <w:sz w:val="24"/>
                <w:szCs w:val="24"/>
                <w:highlight w:val="none"/>
              </w:rPr>
              <w:t>份副本纸质投标文件及电子版投标文件一份。</w:t>
            </w:r>
          </w:p>
        </w:tc>
      </w:tr>
      <w:tr w14:paraId="5CAC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45FD06D0">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2338" w:type="dxa"/>
            <w:noWrap w:val="0"/>
            <w:vAlign w:val="center"/>
          </w:tcPr>
          <w:p w14:paraId="649A9646">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开标时间、地点</w:t>
            </w:r>
          </w:p>
        </w:tc>
        <w:tc>
          <w:tcPr>
            <w:tcW w:w="6480" w:type="dxa"/>
            <w:noWrap w:val="0"/>
            <w:vAlign w:val="center"/>
          </w:tcPr>
          <w:p w14:paraId="5EB74425">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开标时间：同投标截止时间</w:t>
            </w:r>
          </w:p>
          <w:p w14:paraId="1E22D60E">
            <w:pPr>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开标地点：同递交投标文件地点</w:t>
            </w:r>
          </w:p>
        </w:tc>
      </w:tr>
      <w:tr w14:paraId="4846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468D3A95">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w:t>
            </w:r>
          </w:p>
        </w:tc>
        <w:tc>
          <w:tcPr>
            <w:tcW w:w="2338" w:type="dxa"/>
            <w:noWrap w:val="0"/>
            <w:vAlign w:val="center"/>
          </w:tcPr>
          <w:p w14:paraId="170A7E94">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开标程序</w:t>
            </w:r>
          </w:p>
        </w:tc>
        <w:tc>
          <w:tcPr>
            <w:tcW w:w="6480" w:type="dxa"/>
            <w:noWrap w:val="0"/>
            <w:vAlign w:val="center"/>
          </w:tcPr>
          <w:p w14:paraId="36F90EE1">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开标</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投标人须知5.2 开标程序</w:t>
            </w:r>
            <w:r>
              <w:rPr>
                <w:rFonts w:hint="eastAsia" w:asciiTheme="minorEastAsia" w:hAnsiTheme="minorEastAsia" w:eastAsiaTheme="minorEastAsia" w:cstheme="minorEastAsia"/>
                <w:color w:val="auto"/>
                <w:sz w:val="24"/>
                <w:szCs w:val="24"/>
                <w:highlight w:val="none"/>
              </w:rPr>
              <w:t>执行。</w:t>
            </w:r>
          </w:p>
          <w:p w14:paraId="592FBCB8">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公布投标人名称、标段名称、投标报价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监理</w:t>
            </w:r>
            <w:r>
              <w:rPr>
                <w:rFonts w:hint="eastAsia" w:asciiTheme="minorEastAsia" w:hAnsiTheme="minorEastAsia" w:eastAsiaTheme="minorEastAsia" w:cstheme="minorEastAsia"/>
                <w:color w:val="auto"/>
                <w:sz w:val="24"/>
                <w:szCs w:val="24"/>
                <w:highlight w:val="none"/>
                <w:lang w:eastAsia="zh-CN"/>
              </w:rPr>
              <w:t>服务期</w:t>
            </w:r>
            <w:r>
              <w:rPr>
                <w:rFonts w:hint="eastAsia" w:asciiTheme="minorEastAsia" w:hAnsiTheme="minorEastAsia" w:eastAsiaTheme="minorEastAsia" w:cstheme="minorEastAsia"/>
                <w:color w:val="auto"/>
                <w:sz w:val="24"/>
                <w:szCs w:val="24"/>
                <w:highlight w:val="none"/>
              </w:rPr>
              <w:t>等招标文件要求公布的内容。</w:t>
            </w:r>
          </w:p>
          <w:p w14:paraId="0815FC53">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标段开标顺序：本项目按照一标段、二标段先后顺序依次进行开评标，每标段推荐1名中标候选人，各投标人可使用相同人力资源或不同人力资源同时投多个标段，但投标人按照开评标顺序，最多且只能被评标委员会评定为1个标段的第一中标候选人。投标人被评定为先评标标段的第一中标候选人后仍然参加后续标段的评审，但不得被推荐为后评标标段的中标候选人。</w:t>
            </w:r>
          </w:p>
          <w:p w14:paraId="6F8D67FF">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若投标人同时为两个标段或多个标段的第一中标候选人时，后开评标标段按此标段详细评分汇总表（</w:t>
            </w:r>
            <w:r>
              <w:rPr>
                <w:rFonts w:hint="eastAsia" w:asciiTheme="minorEastAsia" w:hAnsiTheme="minorEastAsia" w:eastAsiaTheme="minorEastAsia" w:cstheme="minorEastAsia"/>
                <w:color w:val="auto"/>
                <w:sz w:val="24"/>
                <w:szCs w:val="24"/>
                <w:highlight w:val="none"/>
                <w:lang w:eastAsia="zh-CN"/>
              </w:rPr>
              <w:t>得分</w:t>
            </w:r>
            <w:r>
              <w:rPr>
                <w:rFonts w:hint="eastAsia" w:asciiTheme="minorEastAsia" w:hAnsiTheme="minorEastAsia" w:eastAsiaTheme="minorEastAsia" w:cstheme="minorEastAsia"/>
                <w:color w:val="auto"/>
                <w:sz w:val="24"/>
                <w:szCs w:val="24"/>
                <w:highlight w:val="none"/>
              </w:rPr>
              <w:t>由高到低排序）依次选择得分次高的投标人为第一中标候选人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以此类推。</w:t>
            </w:r>
          </w:p>
          <w:p w14:paraId="6E3968C3">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评标结束后如某个标段存在异议、投诉等特殊情况造成中标人发生变化的情况，不影响其他标段排序。如某个标段的中标人发生变化，招标人依法对该标段进行重新招标。</w:t>
            </w:r>
          </w:p>
        </w:tc>
      </w:tr>
      <w:tr w14:paraId="1D5B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4E70D6FB">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w:t>
            </w:r>
          </w:p>
        </w:tc>
        <w:tc>
          <w:tcPr>
            <w:tcW w:w="2338" w:type="dxa"/>
            <w:noWrap w:val="0"/>
            <w:vAlign w:val="center"/>
          </w:tcPr>
          <w:p w14:paraId="4FD97193">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评标委员会的组建</w:t>
            </w:r>
          </w:p>
        </w:tc>
        <w:tc>
          <w:tcPr>
            <w:tcW w:w="6480" w:type="dxa"/>
            <w:noWrap w:val="0"/>
            <w:vAlign w:val="center"/>
          </w:tcPr>
          <w:p w14:paraId="3E0B7513">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依法组建</w:t>
            </w:r>
          </w:p>
        </w:tc>
      </w:tr>
      <w:tr w14:paraId="4E94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6FA1BF79">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6.3.2</w:t>
            </w:r>
          </w:p>
        </w:tc>
        <w:tc>
          <w:tcPr>
            <w:tcW w:w="2338" w:type="dxa"/>
            <w:noWrap w:val="0"/>
            <w:vAlign w:val="center"/>
          </w:tcPr>
          <w:p w14:paraId="62BE7ED0">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评标委员会推荐中标候选人的人数</w:t>
            </w:r>
          </w:p>
        </w:tc>
        <w:tc>
          <w:tcPr>
            <w:tcW w:w="6480" w:type="dxa"/>
            <w:noWrap w:val="0"/>
            <w:vAlign w:val="center"/>
          </w:tcPr>
          <w:p w14:paraId="7AC12BC2">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1名中标候选人</w:t>
            </w:r>
          </w:p>
        </w:tc>
      </w:tr>
      <w:tr w14:paraId="6B62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6C56FF61">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w:t>
            </w:r>
          </w:p>
        </w:tc>
        <w:tc>
          <w:tcPr>
            <w:tcW w:w="2338" w:type="dxa"/>
            <w:noWrap w:val="0"/>
            <w:vAlign w:val="center"/>
          </w:tcPr>
          <w:p w14:paraId="4A2976C7">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中标候选人公示</w:t>
            </w:r>
          </w:p>
        </w:tc>
        <w:tc>
          <w:tcPr>
            <w:tcW w:w="6480" w:type="dxa"/>
            <w:noWrap w:val="0"/>
            <w:vAlign w:val="center"/>
          </w:tcPr>
          <w:p w14:paraId="62F2B36C">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公示媒介：同招标公告发布媒介</w:t>
            </w:r>
          </w:p>
          <w:p w14:paraId="3D2A7D38">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公示期限：招标人原则上在收到评标报告之日的当天最长不超过3日内公示中标候选人。公示期不少于3日。</w:t>
            </w:r>
          </w:p>
          <w:p w14:paraId="4EA42C63">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公示内容：中标候选人除公示国家和省规定的内容外，评标报告中载明的经评审认定的中标候选人业绩情况、投标人未通过评审的具体原因也一并公示。</w:t>
            </w:r>
          </w:p>
        </w:tc>
      </w:tr>
      <w:tr w14:paraId="6BF5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1BBB25F0">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p>
        </w:tc>
        <w:tc>
          <w:tcPr>
            <w:tcW w:w="2338" w:type="dxa"/>
            <w:noWrap w:val="0"/>
            <w:vAlign w:val="center"/>
          </w:tcPr>
          <w:p w14:paraId="0D651B19">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评标结果异议</w:t>
            </w:r>
          </w:p>
        </w:tc>
        <w:tc>
          <w:tcPr>
            <w:tcW w:w="6480" w:type="dxa"/>
            <w:noWrap w:val="0"/>
            <w:vAlign w:val="center"/>
          </w:tcPr>
          <w:p w14:paraId="1582EAB0">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或其他利害关系人对评标结果有异议的，应在中标候选人公示期间提出，招标人将在收到异议之日起3日内作出答复。在异议及后期投诉调查过程中如发现投标人存在弄虚作假、串通投标等违法违规行为或不符合招标文件实质性要求的，无论其是否为中标候选人，均不对评标基准值重新计算。</w:t>
            </w:r>
          </w:p>
        </w:tc>
      </w:tr>
      <w:tr w14:paraId="1F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3D9078CE">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w:t>
            </w:r>
          </w:p>
        </w:tc>
        <w:tc>
          <w:tcPr>
            <w:tcW w:w="2338" w:type="dxa"/>
            <w:noWrap w:val="0"/>
            <w:vAlign w:val="center"/>
          </w:tcPr>
          <w:p w14:paraId="0A916DEF">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6480" w:type="dxa"/>
            <w:noWrap w:val="0"/>
            <w:vAlign w:val="center"/>
          </w:tcPr>
          <w:p w14:paraId="32CAA9B2">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是否授权评标委员会：</w:t>
            </w:r>
            <w:r>
              <w:rPr>
                <w:rFonts w:hint="eastAsia" w:asciiTheme="minorEastAsia" w:hAnsiTheme="minorEastAsia" w:eastAsiaTheme="minorEastAsia" w:cstheme="minorEastAsia"/>
                <w:bCs/>
                <w:snapToGrid w:val="0"/>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 xml:space="preserve">是  </w:t>
            </w: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否</w:t>
            </w:r>
          </w:p>
          <w:p w14:paraId="201A2A92">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不采用“评定分离”方式的项目，招标人原则上将在中标候选人公示结束后的次日确定中标人并公告中标结果，最长不超过3日。</w:t>
            </w:r>
          </w:p>
        </w:tc>
      </w:tr>
      <w:tr w14:paraId="2889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39966271">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w:t>
            </w:r>
          </w:p>
        </w:tc>
        <w:tc>
          <w:tcPr>
            <w:tcW w:w="2338" w:type="dxa"/>
            <w:noWrap w:val="0"/>
            <w:vAlign w:val="center"/>
          </w:tcPr>
          <w:p w14:paraId="1C2D4135">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中标通知书发出</w:t>
            </w:r>
          </w:p>
        </w:tc>
        <w:tc>
          <w:tcPr>
            <w:tcW w:w="6480" w:type="dxa"/>
            <w:noWrap w:val="0"/>
            <w:vAlign w:val="center"/>
          </w:tcPr>
          <w:p w14:paraId="6C745321">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公告中标结果的同时发放中标通知书。</w:t>
            </w:r>
          </w:p>
        </w:tc>
      </w:tr>
      <w:tr w14:paraId="1841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327FC678">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7.6</w:t>
            </w:r>
          </w:p>
        </w:tc>
        <w:tc>
          <w:tcPr>
            <w:tcW w:w="2338" w:type="dxa"/>
            <w:noWrap w:val="0"/>
            <w:vAlign w:val="center"/>
          </w:tcPr>
          <w:p w14:paraId="34C79A80">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中标结果</w:t>
            </w:r>
          </w:p>
          <w:p w14:paraId="509146A4">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公示</w:t>
            </w:r>
          </w:p>
        </w:tc>
        <w:tc>
          <w:tcPr>
            <w:tcW w:w="6480" w:type="dxa"/>
            <w:noWrap w:val="0"/>
            <w:vAlign w:val="center"/>
          </w:tcPr>
          <w:p w14:paraId="5BB994E8">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公示媒介：同招标公告发布媒介。</w:t>
            </w:r>
          </w:p>
          <w:p w14:paraId="16786289">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招标人原则上将在中标候选人公示结束后的次日确定中标人并公告中标结果，最长不超过3日。</w:t>
            </w:r>
          </w:p>
        </w:tc>
      </w:tr>
      <w:tr w14:paraId="332A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2C3A356A">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7.7.1</w:t>
            </w:r>
          </w:p>
        </w:tc>
        <w:tc>
          <w:tcPr>
            <w:tcW w:w="2338" w:type="dxa"/>
            <w:noWrap w:val="0"/>
            <w:vAlign w:val="center"/>
          </w:tcPr>
          <w:p w14:paraId="7703EC87">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480" w:type="dxa"/>
            <w:noWrap w:val="0"/>
            <w:vAlign w:val="center"/>
          </w:tcPr>
          <w:p w14:paraId="0BD5208E">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（1）形式：银行转账、银行电汇、银行保函、担保机构担保、保证保险均可</w:t>
            </w:r>
            <w:r>
              <w:rPr>
                <w:rFonts w:hint="eastAsia" w:asciiTheme="minorEastAsia" w:hAnsiTheme="minorEastAsia" w:eastAsiaTheme="minorEastAsia" w:cstheme="minorEastAsia"/>
                <w:color w:val="auto"/>
                <w:sz w:val="24"/>
                <w:szCs w:val="24"/>
                <w:highlight w:val="none"/>
                <w:lang w:eastAsia="zh-CN"/>
              </w:rPr>
              <w:t>；</w:t>
            </w:r>
          </w:p>
          <w:p w14:paraId="5EBBCD35">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（2）比例/金额：中标合同金额的2％。</w:t>
            </w:r>
          </w:p>
          <w:p w14:paraId="77A9D13E">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注：</w:t>
            </w:r>
            <w:r>
              <w:rPr>
                <w:rFonts w:hint="eastAsia" w:asciiTheme="minorEastAsia" w:hAnsiTheme="minorEastAsia" w:eastAsiaTheme="minorEastAsia" w:cstheme="minorEastAsia"/>
                <w:b/>
                <w:bCs/>
                <w:color w:val="auto"/>
                <w:sz w:val="24"/>
                <w:szCs w:val="24"/>
                <w:highlight w:val="none"/>
              </w:rPr>
              <w:t>若</w:t>
            </w:r>
            <w:r>
              <w:rPr>
                <w:rFonts w:hint="eastAsia" w:asciiTheme="minorEastAsia" w:hAnsiTheme="minorEastAsia" w:eastAsiaTheme="minorEastAsia" w:cstheme="minorEastAsia"/>
                <w:b/>
                <w:bCs/>
                <w:color w:val="auto"/>
                <w:sz w:val="24"/>
                <w:szCs w:val="24"/>
                <w:highlight w:val="none"/>
                <w:lang w:val="en-US" w:eastAsia="zh-CN"/>
              </w:rPr>
              <w:t>以</w:t>
            </w:r>
            <w:r>
              <w:rPr>
                <w:rFonts w:hint="eastAsia" w:asciiTheme="minorEastAsia" w:hAnsiTheme="minorEastAsia" w:eastAsiaTheme="minorEastAsia" w:cstheme="minorEastAsia"/>
                <w:b/>
                <w:bCs/>
                <w:color w:val="auto"/>
                <w:sz w:val="24"/>
                <w:szCs w:val="24"/>
                <w:highlight w:val="none"/>
              </w:rPr>
              <w:t>银行保函、担保机构担保、保证保险</w:t>
            </w:r>
            <w:r>
              <w:rPr>
                <w:rFonts w:hint="eastAsia" w:asciiTheme="minorEastAsia" w:hAnsiTheme="minorEastAsia" w:eastAsiaTheme="minorEastAsia" w:cstheme="minorEastAsia"/>
                <w:b/>
                <w:bCs/>
                <w:color w:val="auto"/>
                <w:sz w:val="24"/>
                <w:szCs w:val="24"/>
                <w:highlight w:val="none"/>
                <w:lang w:val="en-US" w:eastAsia="zh-CN"/>
              </w:rPr>
              <w:t>形式提交履约保证金的</w:t>
            </w:r>
            <w:r>
              <w:rPr>
                <w:rFonts w:hint="eastAsia" w:asciiTheme="minorEastAsia" w:hAnsiTheme="minorEastAsia" w:eastAsiaTheme="minorEastAsia" w:cstheme="minorEastAsia"/>
                <w:b/>
                <w:bCs/>
                <w:color w:val="auto"/>
                <w:sz w:val="24"/>
                <w:szCs w:val="24"/>
                <w:highlight w:val="none"/>
              </w:rPr>
              <w:t>，担保保证期限应与施工合同约定的期限保持一致。施工工期延期的，</w:t>
            </w:r>
            <w:r>
              <w:rPr>
                <w:rFonts w:hint="eastAsia" w:asciiTheme="minorEastAsia" w:hAnsiTheme="minorEastAsia" w:eastAsiaTheme="minorEastAsia" w:cstheme="minorEastAsia"/>
                <w:b/>
                <w:bCs/>
                <w:color w:val="auto"/>
                <w:sz w:val="24"/>
                <w:szCs w:val="24"/>
                <w:highlight w:val="none"/>
                <w:lang w:val="en-US" w:eastAsia="zh-CN"/>
              </w:rPr>
              <w:t>监理</w:t>
            </w:r>
            <w:r>
              <w:rPr>
                <w:rFonts w:hint="eastAsia" w:asciiTheme="minorEastAsia" w:hAnsiTheme="minorEastAsia" w:eastAsiaTheme="minorEastAsia" w:cstheme="minorEastAsia"/>
                <w:b/>
                <w:bCs/>
                <w:color w:val="auto"/>
                <w:sz w:val="24"/>
                <w:szCs w:val="24"/>
                <w:highlight w:val="none"/>
              </w:rPr>
              <w:t>单位无需办理保函延期手续。</w:t>
            </w:r>
          </w:p>
        </w:tc>
      </w:tr>
      <w:tr w14:paraId="1C2D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4245A9F1">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7.8</w:t>
            </w:r>
          </w:p>
        </w:tc>
        <w:tc>
          <w:tcPr>
            <w:tcW w:w="2338" w:type="dxa"/>
            <w:noWrap w:val="0"/>
            <w:vAlign w:val="center"/>
          </w:tcPr>
          <w:p w14:paraId="15ED277B">
            <w:pPr>
              <w:adjustRightInd w:val="0"/>
              <w:snapToGrid w:val="0"/>
              <w:spacing w:line="360" w:lineRule="auto"/>
              <w:jc w:val="center"/>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签订合同</w:t>
            </w:r>
          </w:p>
        </w:tc>
        <w:tc>
          <w:tcPr>
            <w:tcW w:w="6480" w:type="dxa"/>
            <w:noWrap w:val="0"/>
            <w:vAlign w:val="center"/>
          </w:tcPr>
          <w:p w14:paraId="5B717F6F">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中标通知书发出之日起</w:t>
            </w:r>
            <w:r>
              <w:rPr>
                <w:rFonts w:hint="eastAsia" w:asciiTheme="minorEastAsia" w:hAnsiTheme="minorEastAsia" w:eastAsiaTheme="minorEastAsia" w:cstheme="minorEastAsia"/>
                <w:bCs/>
                <w:snapToGrid w:val="0"/>
                <w:color w:val="auto"/>
                <w:sz w:val="24"/>
                <w:szCs w:val="24"/>
                <w:highlight w:val="none"/>
                <w:u w:val="single"/>
              </w:rPr>
              <w:t xml:space="preserve"> 5 </w:t>
            </w:r>
            <w:r>
              <w:rPr>
                <w:rFonts w:hint="eastAsia" w:asciiTheme="minorEastAsia" w:hAnsiTheme="minorEastAsia" w:eastAsiaTheme="minorEastAsia" w:cstheme="minorEastAsia"/>
                <w:bCs/>
                <w:snapToGrid w:val="0"/>
                <w:color w:val="auto"/>
                <w:sz w:val="24"/>
                <w:szCs w:val="24"/>
                <w:highlight w:val="none"/>
              </w:rPr>
              <w:t>日内，应委派代表与招标人联系并商讨书面合同签订事宜。中标人和招标人应在投标有效期内以及中标通知书发出之日起30日内，根据招标文件和中标人的投标文件订立书面合同</w:t>
            </w:r>
            <w:r>
              <w:rPr>
                <w:rFonts w:hint="eastAsia" w:asciiTheme="minorEastAsia" w:hAnsiTheme="minorEastAsia" w:eastAsiaTheme="minorEastAsia" w:cstheme="minorEastAsia"/>
                <w:bCs/>
                <w:snapToGrid w:val="0"/>
                <w:color w:val="auto"/>
                <w:sz w:val="24"/>
                <w:szCs w:val="24"/>
                <w:highlight w:val="none"/>
                <w:lang w:val="en-US" w:eastAsia="zh-CN"/>
              </w:rPr>
              <w:t>并及时缴纳保证金</w:t>
            </w:r>
            <w:r>
              <w:rPr>
                <w:rFonts w:hint="eastAsia" w:asciiTheme="minorEastAsia" w:hAnsiTheme="minorEastAsia" w:eastAsiaTheme="minorEastAsia" w:cstheme="minorEastAsia"/>
                <w:bCs/>
                <w:snapToGrid w:val="0"/>
                <w:color w:val="auto"/>
                <w:sz w:val="24"/>
                <w:szCs w:val="24"/>
                <w:highlight w:val="none"/>
              </w:rPr>
              <w:t>。</w:t>
            </w:r>
          </w:p>
        </w:tc>
      </w:tr>
      <w:tr w14:paraId="2E14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17" w:type="dxa"/>
            <w:gridSpan w:val="3"/>
            <w:noWrap w:val="0"/>
            <w:vAlign w:val="center"/>
          </w:tcPr>
          <w:p w14:paraId="1564C9CA">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 需要补充的其他内容</w:t>
            </w:r>
          </w:p>
        </w:tc>
      </w:tr>
      <w:tr w14:paraId="13D8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4123DFF0">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10.1.1</w:t>
            </w:r>
          </w:p>
        </w:tc>
        <w:tc>
          <w:tcPr>
            <w:tcW w:w="2338" w:type="dxa"/>
            <w:noWrap w:val="0"/>
            <w:vAlign w:val="center"/>
          </w:tcPr>
          <w:p w14:paraId="0731D025">
            <w:pPr>
              <w:adjustRightInd w:val="0"/>
              <w:snapToGrid w:val="0"/>
              <w:spacing w:line="360" w:lineRule="auto"/>
              <w:jc w:val="center"/>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图纸获取说明</w:t>
            </w:r>
          </w:p>
        </w:tc>
        <w:tc>
          <w:tcPr>
            <w:tcW w:w="6480" w:type="dxa"/>
            <w:noWrap w:val="0"/>
            <w:vAlign w:val="center"/>
          </w:tcPr>
          <w:p w14:paraId="62843AF1">
            <w:pPr>
              <w:autoSpaceDE w:val="0"/>
              <w:autoSpaceDN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14:paraId="3FB8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42765CE4">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10.1.2</w:t>
            </w:r>
          </w:p>
        </w:tc>
        <w:tc>
          <w:tcPr>
            <w:tcW w:w="2338" w:type="dxa"/>
            <w:noWrap w:val="0"/>
            <w:vAlign w:val="center"/>
          </w:tcPr>
          <w:p w14:paraId="149DAB47">
            <w:pPr>
              <w:adjustRightInd w:val="0"/>
              <w:snapToGrid w:val="0"/>
              <w:spacing w:line="360" w:lineRule="auto"/>
              <w:jc w:val="center"/>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获取与查看通知</w:t>
            </w:r>
          </w:p>
        </w:tc>
        <w:tc>
          <w:tcPr>
            <w:tcW w:w="6480" w:type="dxa"/>
            <w:noWrap w:val="0"/>
            <w:vAlign w:val="center"/>
          </w:tcPr>
          <w:p w14:paraId="5F6EAA2A">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本项目的澄清及修改等相关资料均通过招标公告发布网站公布，投标人应及时登录查看。</w:t>
            </w:r>
          </w:p>
        </w:tc>
      </w:tr>
      <w:tr w14:paraId="4299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A6E3028">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10.1.3</w:t>
            </w:r>
          </w:p>
        </w:tc>
        <w:tc>
          <w:tcPr>
            <w:tcW w:w="2338" w:type="dxa"/>
            <w:noWrap w:val="0"/>
            <w:vAlign w:val="center"/>
          </w:tcPr>
          <w:p w14:paraId="09D97B86">
            <w:pPr>
              <w:adjustRightInd w:val="0"/>
              <w:snapToGrid w:val="0"/>
              <w:spacing w:line="360" w:lineRule="auto"/>
              <w:jc w:val="center"/>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电子招标</w:t>
            </w:r>
          </w:p>
        </w:tc>
        <w:tc>
          <w:tcPr>
            <w:tcW w:w="6480" w:type="dxa"/>
            <w:noWrap w:val="0"/>
            <w:vAlign w:val="center"/>
          </w:tcPr>
          <w:p w14:paraId="7BE89780">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本项目</w:t>
            </w:r>
            <w:r>
              <w:rPr>
                <w:rFonts w:hint="eastAsia" w:asciiTheme="minorEastAsia" w:hAnsiTheme="minorEastAsia" w:eastAsiaTheme="minorEastAsia" w:cstheme="minorEastAsia"/>
                <w:b/>
                <w:snapToGrid w:val="0"/>
                <w:color w:val="auto"/>
                <w:sz w:val="24"/>
                <w:szCs w:val="24"/>
                <w:highlight w:val="none"/>
              </w:rPr>
              <w:t>不采用</w:t>
            </w:r>
            <w:r>
              <w:rPr>
                <w:rFonts w:hint="eastAsia" w:asciiTheme="minorEastAsia" w:hAnsiTheme="minorEastAsia" w:eastAsiaTheme="minorEastAsia" w:cstheme="minorEastAsia"/>
                <w:bCs/>
                <w:snapToGrid w:val="0"/>
                <w:color w:val="auto"/>
                <w:sz w:val="24"/>
                <w:szCs w:val="24"/>
                <w:highlight w:val="none"/>
              </w:rPr>
              <w:t>电子招标投标方式。</w:t>
            </w:r>
          </w:p>
        </w:tc>
      </w:tr>
      <w:tr w14:paraId="1376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17" w:type="dxa"/>
            <w:gridSpan w:val="3"/>
            <w:noWrap w:val="0"/>
            <w:vAlign w:val="center"/>
          </w:tcPr>
          <w:p w14:paraId="5BBA4CD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10.2投标文件的编制要求</w:t>
            </w:r>
          </w:p>
        </w:tc>
      </w:tr>
      <w:tr w14:paraId="2D01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9889F3E">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10.2.2</w:t>
            </w:r>
          </w:p>
        </w:tc>
        <w:tc>
          <w:tcPr>
            <w:tcW w:w="2338" w:type="dxa"/>
            <w:noWrap w:val="0"/>
            <w:vAlign w:val="center"/>
          </w:tcPr>
          <w:p w14:paraId="31F15097">
            <w:pPr>
              <w:adjustRightInd w:val="0"/>
              <w:snapToGrid w:val="0"/>
              <w:spacing w:line="360" w:lineRule="auto"/>
              <w:jc w:val="center"/>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相关政策要求</w:t>
            </w:r>
          </w:p>
        </w:tc>
        <w:tc>
          <w:tcPr>
            <w:tcW w:w="6480" w:type="dxa"/>
            <w:noWrap w:val="0"/>
            <w:vAlign w:val="center"/>
          </w:tcPr>
          <w:p w14:paraId="74D258D4">
            <w:pPr>
              <w:widowControl/>
              <w:adjustRightInd w:val="0"/>
              <w:snapToGrid w:val="0"/>
              <w:spacing w:line="360" w:lineRule="auto"/>
              <w:jc w:val="left"/>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关于履约保证金执行《关于加快推进房屋建筑和市政基础设施工程实行工程担保制度的通知》（建市[2020]84号文件）及安徽省住建厅《关于进一步推行房屋建筑和市政基础设施工程保函保险制度有关工作的通知》精神，全面推行保函、保证保险等方式，招标人不得限定各类保证金的形式为现金方式，不得强制预留工程款做为质量保证金。</w:t>
            </w:r>
          </w:p>
        </w:tc>
      </w:tr>
      <w:tr w14:paraId="6D64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6BC4A7CB">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w:t>
            </w:r>
          </w:p>
        </w:tc>
        <w:tc>
          <w:tcPr>
            <w:tcW w:w="2338" w:type="dxa"/>
            <w:noWrap w:val="0"/>
            <w:vAlign w:val="center"/>
          </w:tcPr>
          <w:p w14:paraId="06BD415A">
            <w:pPr>
              <w:adjustRightInd w:val="0"/>
              <w:snapToGrid w:val="0"/>
              <w:spacing w:line="360" w:lineRule="auto"/>
              <w:jc w:val="center"/>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评标过程中的澄清、说明或补正</w:t>
            </w:r>
          </w:p>
        </w:tc>
        <w:tc>
          <w:tcPr>
            <w:tcW w:w="6480" w:type="dxa"/>
            <w:noWrap w:val="0"/>
            <w:vAlign w:val="center"/>
          </w:tcPr>
          <w:p w14:paraId="7D198875">
            <w:pPr>
              <w:widowControl/>
              <w:adjustRightInd w:val="0"/>
              <w:snapToGrid w:val="0"/>
              <w:spacing w:line="360" w:lineRule="auto"/>
              <w:jc w:val="left"/>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专家质询、业绩奖项等客观得分通知、否决投标通知及投标人的答复均通过书面形式完成，请各投标人在10分钟内进行回复，逾期未回复的，视同放弃澄清的权利或认可该通知。</w:t>
            </w:r>
          </w:p>
        </w:tc>
      </w:tr>
      <w:tr w14:paraId="2720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0F3D247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w:t>
            </w:r>
          </w:p>
        </w:tc>
        <w:tc>
          <w:tcPr>
            <w:tcW w:w="2338" w:type="dxa"/>
            <w:noWrap w:val="0"/>
            <w:vAlign w:val="center"/>
          </w:tcPr>
          <w:p w14:paraId="2F8BA149">
            <w:pPr>
              <w:adjustRightInd w:val="0"/>
              <w:snapToGrid w:val="0"/>
              <w:spacing w:line="360" w:lineRule="auto"/>
              <w:jc w:val="center"/>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招标代理服务费</w:t>
            </w:r>
          </w:p>
        </w:tc>
        <w:tc>
          <w:tcPr>
            <w:tcW w:w="6480" w:type="dxa"/>
            <w:noWrap w:val="0"/>
            <w:vAlign w:val="center"/>
          </w:tcPr>
          <w:p w14:paraId="6946086C">
            <w:pPr>
              <w:widowControl/>
              <w:adjustRightInd w:val="0"/>
              <w:snapToGrid w:val="0"/>
              <w:spacing w:line="360" w:lineRule="auto"/>
              <w:jc w:val="left"/>
              <w:rPr>
                <w:rFonts w:hint="eastAsia" w:asciiTheme="minorEastAsia" w:hAnsiTheme="minorEastAsia" w:eastAsiaTheme="minorEastAsia" w:cstheme="minorEastAsia"/>
                <w:bCs/>
                <w:snapToGrid w:val="0"/>
                <w:color w:val="auto"/>
                <w:sz w:val="24"/>
                <w:szCs w:val="24"/>
                <w:highlight w:val="none"/>
                <w:u w:val="none"/>
              </w:rPr>
            </w:pPr>
            <w:r>
              <w:rPr>
                <w:rFonts w:hint="eastAsia" w:asciiTheme="minorEastAsia" w:hAnsiTheme="minorEastAsia" w:eastAsiaTheme="minorEastAsia" w:cstheme="minorEastAsia"/>
                <w:bCs/>
                <w:snapToGrid w:val="0"/>
                <w:color w:val="auto"/>
                <w:sz w:val="24"/>
                <w:szCs w:val="24"/>
                <w:highlight w:val="none"/>
                <w:u w:val="none"/>
              </w:rPr>
              <w:t>本项目</w:t>
            </w:r>
            <w:r>
              <w:rPr>
                <w:rFonts w:hint="eastAsia" w:asciiTheme="minorEastAsia" w:hAnsiTheme="minorEastAsia" w:eastAsiaTheme="minorEastAsia" w:cstheme="minorEastAsia"/>
                <w:bCs/>
                <w:snapToGrid w:val="0"/>
                <w:color w:val="auto"/>
                <w:sz w:val="24"/>
                <w:szCs w:val="24"/>
                <w:highlight w:val="none"/>
                <w:u w:val="none"/>
                <w:lang w:val="en-US" w:eastAsia="zh-CN"/>
              </w:rPr>
              <w:t>一标段招标代理</w:t>
            </w:r>
            <w:r>
              <w:rPr>
                <w:rFonts w:hint="eastAsia" w:asciiTheme="minorEastAsia" w:hAnsiTheme="minorEastAsia" w:eastAsiaTheme="minorEastAsia" w:cstheme="minorEastAsia"/>
                <w:bCs/>
                <w:snapToGrid w:val="0"/>
                <w:color w:val="auto"/>
                <w:sz w:val="24"/>
                <w:szCs w:val="24"/>
                <w:highlight w:val="none"/>
              </w:rPr>
              <w:t>服务</w:t>
            </w:r>
            <w:r>
              <w:rPr>
                <w:rFonts w:hint="eastAsia" w:asciiTheme="minorEastAsia" w:hAnsiTheme="minorEastAsia" w:eastAsiaTheme="minorEastAsia" w:cstheme="minorEastAsia"/>
                <w:bCs/>
                <w:snapToGrid w:val="0"/>
                <w:color w:val="auto"/>
                <w:sz w:val="24"/>
                <w:szCs w:val="24"/>
                <w:highlight w:val="none"/>
                <w:u w:val="none"/>
                <w:lang w:val="en-US" w:eastAsia="zh-CN"/>
              </w:rPr>
              <w:t>费5000元整、二标段招标代理</w:t>
            </w:r>
            <w:r>
              <w:rPr>
                <w:rFonts w:hint="eastAsia" w:asciiTheme="minorEastAsia" w:hAnsiTheme="minorEastAsia" w:eastAsiaTheme="minorEastAsia" w:cstheme="minorEastAsia"/>
                <w:bCs/>
                <w:snapToGrid w:val="0"/>
                <w:color w:val="auto"/>
                <w:sz w:val="24"/>
                <w:szCs w:val="24"/>
                <w:highlight w:val="none"/>
              </w:rPr>
              <w:t>服务</w:t>
            </w:r>
            <w:r>
              <w:rPr>
                <w:rFonts w:hint="eastAsia" w:asciiTheme="minorEastAsia" w:hAnsiTheme="minorEastAsia" w:eastAsiaTheme="minorEastAsia" w:cstheme="minorEastAsia"/>
                <w:bCs/>
                <w:snapToGrid w:val="0"/>
                <w:color w:val="auto"/>
                <w:sz w:val="24"/>
                <w:szCs w:val="24"/>
                <w:highlight w:val="none"/>
                <w:u w:val="none"/>
                <w:lang w:val="en-US" w:eastAsia="zh-CN"/>
              </w:rPr>
              <w:t>费3650元整。以上费用由中标人在领取中标通知书前一次性支付给招标代理单位，不再向招标人收取。</w:t>
            </w:r>
          </w:p>
        </w:tc>
      </w:tr>
      <w:tr w14:paraId="35BC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54B11613">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w:t>
            </w:r>
          </w:p>
        </w:tc>
        <w:tc>
          <w:tcPr>
            <w:tcW w:w="2338" w:type="dxa"/>
            <w:noWrap w:val="0"/>
            <w:vAlign w:val="center"/>
          </w:tcPr>
          <w:p w14:paraId="28C4640D">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其他</w:t>
            </w:r>
          </w:p>
        </w:tc>
        <w:tc>
          <w:tcPr>
            <w:tcW w:w="6480" w:type="dxa"/>
            <w:noWrap w:val="0"/>
            <w:vAlign w:val="center"/>
          </w:tcPr>
          <w:p w14:paraId="495666DA">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 xml:space="preserve">1.投标人一旦中标，在监理服务期内自行解决办公场所及食宿（不得在施工区域内），并配备必要的检测设备，一切费用由中标人自行承担，否则招标人有权扣除30%监理服务费。 </w:t>
            </w:r>
          </w:p>
          <w:p w14:paraId="0528F640">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2.拟派总监理工程师不得有异地（铜陵市以外地区）在监项目，协助办理施工许可证。</w:t>
            </w:r>
          </w:p>
          <w:p w14:paraId="2D14EB46">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3.自开工之日起，监理人员严格执行实名制考勤制度，节假日实行值班制度，确保项目总监到岗不少于22天。未经发包人同意不得擅离职守，如无故缺勤，发包人有权处2000元/人/天罚款。</w:t>
            </w:r>
          </w:p>
          <w:p w14:paraId="271284E2">
            <w:pPr>
              <w:adjustRightInd w:val="0"/>
              <w:snapToGrid w:val="0"/>
              <w:spacing w:line="360" w:lineRule="auto"/>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4.本工程监理服务费即签约合同价，监理服务费=中标价，</w:t>
            </w:r>
            <w:r>
              <w:rPr>
                <w:rFonts w:hint="eastAsia" w:asciiTheme="minorEastAsia" w:hAnsiTheme="minorEastAsia" w:eastAsiaTheme="minorEastAsia" w:cstheme="minorEastAsia"/>
                <w:bCs/>
                <w:snapToGrid w:val="0"/>
                <w:color w:val="auto"/>
                <w:sz w:val="24"/>
                <w:szCs w:val="24"/>
                <w:highlight w:val="none"/>
                <w:lang w:val="en-US" w:eastAsia="zh-CN"/>
              </w:rPr>
              <w:t>不因工程结算的调增（调减）或工期的顺延（缩短）而增加（减少）费用</w:t>
            </w:r>
            <w:r>
              <w:rPr>
                <w:rFonts w:hint="eastAsia" w:asciiTheme="minorEastAsia" w:hAnsiTheme="minorEastAsia" w:eastAsiaTheme="minorEastAsia" w:cstheme="minorEastAsia"/>
                <w:bCs/>
                <w:snapToGrid w:val="0"/>
                <w:color w:val="auto"/>
                <w:sz w:val="24"/>
                <w:szCs w:val="24"/>
                <w:highlight w:val="none"/>
              </w:rPr>
              <w:t>，请投标人合理考虑上述因素和人员到岗履职情况，作出监理费的合理报价。</w:t>
            </w:r>
          </w:p>
        </w:tc>
      </w:tr>
      <w:tr w14:paraId="5DCF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202EFCC1">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10.6</w:t>
            </w:r>
          </w:p>
        </w:tc>
        <w:tc>
          <w:tcPr>
            <w:tcW w:w="2338" w:type="dxa"/>
            <w:noWrap w:val="0"/>
            <w:vAlign w:val="center"/>
          </w:tcPr>
          <w:p w14:paraId="3824AD66">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同义词语</w:t>
            </w:r>
          </w:p>
        </w:tc>
        <w:tc>
          <w:tcPr>
            <w:tcW w:w="6480" w:type="dxa"/>
            <w:noWrap w:val="0"/>
            <w:vAlign w:val="center"/>
          </w:tcPr>
          <w:p w14:paraId="66AE5AAD">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构成招标文件组成部分的“通用合同条款”、“专用合同条款”、“技术标准和要求”和“工程量清单”等章节中 “发包人”和“承包人”，等同于招标投标阶段的“招标人”和“投标人/中标人”。</w:t>
            </w:r>
          </w:p>
        </w:tc>
      </w:tr>
      <w:tr w14:paraId="4A4D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9" w:type="dxa"/>
            <w:noWrap w:val="0"/>
            <w:vAlign w:val="center"/>
          </w:tcPr>
          <w:p w14:paraId="0DB0B962">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w:t>
            </w:r>
          </w:p>
        </w:tc>
        <w:tc>
          <w:tcPr>
            <w:tcW w:w="2338" w:type="dxa"/>
            <w:noWrap w:val="0"/>
            <w:vAlign w:val="center"/>
          </w:tcPr>
          <w:p w14:paraId="5F6B48B5">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解释权</w:t>
            </w:r>
          </w:p>
        </w:tc>
        <w:tc>
          <w:tcPr>
            <w:tcW w:w="6480" w:type="dxa"/>
            <w:noWrap w:val="0"/>
            <w:vAlign w:val="center"/>
          </w:tcPr>
          <w:p w14:paraId="5C7AE1BD">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(1)构成本招标文件的各个组成文件应互为解释，互为说明；</w:t>
            </w:r>
          </w:p>
          <w:p w14:paraId="7719E223">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(2)同一组成文件中就同一事项的规定或约定不一致的，以编排顺序在后者为准；</w:t>
            </w:r>
          </w:p>
          <w:p w14:paraId="402E95F7">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(3)如有不明确或不一致，构成合同文件组成内容的，以合同文件约定内容为准，且以专用合同条款约定的合同文件优先顺序解释；</w:t>
            </w:r>
          </w:p>
          <w:p w14:paraId="3290E6BC">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(4)除招标文件中有特别规定外，仅适用于招标投标阶段的规定，按评标办法、招标公告、投标人须知、投标文件格式的先后顺序解释；</w:t>
            </w:r>
          </w:p>
          <w:p w14:paraId="7CAD6C90">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(5)按本款前述规定仍不能形成结论的，由招标人或其委托的招标代理机构负责解释。</w:t>
            </w:r>
          </w:p>
        </w:tc>
      </w:tr>
      <w:tr w14:paraId="426B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noWrap w:val="0"/>
            <w:vAlign w:val="center"/>
          </w:tcPr>
          <w:p w14:paraId="48BC6189">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10.10</w:t>
            </w:r>
          </w:p>
        </w:tc>
        <w:tc>
          <w:tcPr>
            <w:tcW w:w="2338" w:type="dxa"/>
            <w:noWrap w:val="0"/>
            <w:vAlign w:val="center"/>
          </w:tcPr>
          <w:p w14:paraId="1DF0D6B2">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招标人补充的</w:t>
            </w:r>
          </w:p>
          <w:p w14:paraId="7405CE0B">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其他内容</w:t>
            </w:r>
          </w:p>
        </w:tc>
        <w:tc>
          <w:tcPr>
            <w:tcW w:w="6480" w:type="dxa"/>
            <w:noWrap w:val="0"/>
            <w:vAlign w:val="center"/>
          </w:tcPr>
          <w:p w14:paraId="2777CE22">
            <w:pPr>
              <w:pStyle w:val="37"/>
              <w:spacing w:line="360" w:lineRule="auto"/>
              <w:ind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本项目具体实施内容和服务时间以招标人要求为准，项目实施内容和服务时间根据实际情况可能增加或减少(具体以招标人最后实际确认的项目为准) ，投标人自行考虑风险，不得因项目延期或未完全实施对招标人要求索赔。</w:t>
            </w:r>
          </w:p>
        </w:tc>
      </w:tr>
    </w:tbl>
    <w:p w14:paraId="1B60AD66">
      <w:pPr>
        <w:pStyle w:val="7"/>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66BC23DB">
      <w:pPr>
        <w:pStyle w:val="3"/>
        <w:keepNext/>
        <w:keepLines/>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宋体" w:hAnsi="宋体" w:cs="宋体"/>
          <w:color w:val="auto"/>
          <w:sz w:val="28"/>
          <w:szCs w:val="28"/>
          <w:highlight w:val="none"/>
        </w:rPr>
      </w:pPr>
      <w:bookmarkStart w:id="13" w:name="_Toc13517"/>
      <w:bookmarkStart w:id="14" w:name="_Toc460660062"/>
      <w:bookmarkStart w:id="15" w:name="_Toc460226720"/>
      <w:bookmarkStart w:id="16" w:name="_Toc38879316"/>
      <w:bookmarkStart w:id="17" w:name="_Toc11078137"/>
      <w:bookmarkStart w:id="18" w:name="_Toc421916975"/>
      <w:bookmarkStart w:id="19" w:name="_Toc13709"/>
      <w:bookmarkStart w:id="20" w:name="_Toc19129"/>
      <w:bookmarkStart w:id="21" w:name="_Toc283798416"/>
      <w:bookmarkStart w:id="22" w:name="_Toc460226989"/>
      <w:bookmarkStart w:id="23" w:name="_Toc184635071"/>
      <w:r>
        <w:rPr>
          <w:rFonts w:hint="eastAsia" w:ascii="宋体" w:hAnsi="宋体" w:cs="宋体"/>
          <w:color w:val="auto"/>
          <w:sz w:val="28"/>
          <w:szCs w:val="28"/>
          <w:highlight w:val="none"/>
        </w:rPr>
        <w:t>附录</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 xml:space="preserve">  资格审查条件(资质最低条件)</w:t>
      </w:r>
      <w:bookmarkEnd w:id="13"/>
      <w:bookmarkEnd w:id="14"/>
      <w:bookmarkEnd w:id="15"/>
      <w:bookmarkEnd w:id="16"/>
      <w:bookmarkEnd w:id="17"/>
      <w:bookmarkEnd w:id="18"/>
      <w:bookmarkEnd w:id="19"/>
      <w:bookmarkEnd w:id="20"/>
      <w:bookmarkEnd w:id="21"/>
      <w:bookmarkEnd w:id="22"/>
    </w:p>
    <w:tbl>
      <w:tblPr>
        <w:tblStyle w:val="21"/>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1"/>
      </w:tblGrid>
      <w:tr w14:paraId="037B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9121" w:type="dxa"/>
            <w:tcBorders>
              <w:top w:val="single" w:color="auto" w:sz="4" w:space="0"/>
              <w:left w:val="single" w:color="auto" w:sz="4" w:space="0"/>
              <w:bottom w:val="single" w:color="auto" w:sz="4" w:space="0"/>
              <w:right w:val="single" w:color="auto" w:sz="4" w:space="0"/>
            </w:tcBorders>
            <w:noWrap w:val="0"/>
            <w:vAlign w:val="center"/>
          </w:tcPr>
          <w:p w14:paraId="46FECB7F">
            <w:pPr>
              <w:pStyle w:val="114"/>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资质证书及其他要求</w:t>
            </w:r>
          </w:p>
        </w:tc>
      </w:tr>
      <w:tr w14:paraId="194D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9121" w:type="dxa"/>
            <w:tcBorders>
              <w:top w:val="single" w:color="auto" w:sz="4" w:space="0"/>
              <w:left w:val="single" w:color="auto" w:sz="4" w:space="0"/>
              <w:bottom w:val="single" w:color="auto" w:sz="4" w:space="0"/>
              <w:right w:val="single" w:color="auto" w:sz="4" w:space="0"/>
            </w:tcBorders>
            <w:noWrap w:val="0"/>
            <w:vAlign w:val="top"/>
          </w:tcPr>
          <w:p w14:paraId="7FB8624A">
            <w:pPr>
              <w:pStyle w:val="114"/>
              <w:adjustRightInd w:val="0"/>
              <w:snapToGrid w:val="0"/>
              <w:spacing w:beforeLines="50" w:line="360" w:lineRule="auto"/>
              <w:ind w:firstLine="480" w:firstLineChars="200"/>
              <w:rPr>
                <w:rFonts w:hint="eastAsia"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1. 具备有效的营业执照。</w:t>
            </w:r>
          </w:p>
          <w:p w14:paraId="614A9ED6">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sz w:val="24"/>
                <w:szCs w:val="24"/>
                <w:highlight w:val="none"/>
              </w:rPr>
              <w:t>2. 具备有效的资质证书（见招标公告要求）。</w:t>
            </w:r>
          </w:p>
        </w:tc>
      </w:tr>
    </w:tbl>
    <w:p w14:paraId="0DA58645">
      <w:pPr>
        <w:pStyle w:val="114"/>
        <w:adjustRightInd w:val="0"/>
        <w:snapToGrid w:val="0"/>
        <w:spacing w:line="360" w:lineRule="auto"/>
        <w:rPr>
          <w:rFonts w:hint="eastAsia"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Cs/>
          <w:snapToGrid w:val="0"/>
          <w:color w:val="auto"/>
          <w:kern w:val="0"/>
          <w:sz w:val="24"/>
          <w:szCs w:val="24"/>
          <w:highlight w:val="none"/>
        </w:rPr>
        <w:t xml:space="preserve"> 注：投标人应提供营业执照、资质证书</w:t>
      </w:r>
      <w:bookmarkStart w:id="24" w:name="_Toc460226990"/>
      <w:bookmarkStart w:id="25" w:name="_Toc283798417"/>
      <w:bookmarkStart w:id="26" w:name="_Toc460660063"/>
      <w:bookmarkStart w:id="27" w:name="_Toc421916976"/>
      <w:bookmarkStart w:id="28" w:name="_Toc460226721"/>
      <w:r>
        <w:rPr>
          <w:rFonts w:hint="eastAsia" w:asciiTheme="minorEastAsia" w:hAnsiTheme="minorEastAsia" w:eastAsiaTheme="minorEastAsia" w:cstheme="minorEastAsia"/>
          <w:bCs/>
          <w:snapToGrid w:val="0"/>
          <w:color w:val="auto"/>
          <w:kern w:val="0"/>
          <w:sz w:val="24"/>
          <w:szCs w:val="24"/>
          <w:highlight w:val="none"/>
        </w:rPr>
        <w:t>，纸质证照和电子证照皆可。</w:t>
      </w:r>
    </w:p>
    <w:bookmarkEnd w:id="24"/>
    <w:bookmarkEnd w:id="25"/>
    <w:bookmarkEnd w:id="26"/>
    <w:bookmarkEnd w:id="27"/>
    <w:bookmarkEnd w:id="28"/>
    <w:p w14:paraId="46EED9B6">
      <w:pPr>
        <w:pStyle w:val="3"/>
        <w:keepNext/>
        <w:keepLines/>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宋体" w:hAnsi="宋体" w:cs="宋体"/>
          <w:color w:val="auto"/>
          <w:sz w:val="28"/>
          <w:szCs w:val="28"/>
          <w:highlight w:val="none"/>
        </w:rPr>
      </w:pPr>
      <w:bookmarkStart w:id="29" w:name="_Toc13996"/>
      <w:bookmarkStart w:id="30" w:name="_Toc460226722"/>
      <w:bookmarkStart w:id="31" w:name="_Toc460226991"/>
      <w:bookmarkStart w:id="32" w:name="_Toc421916977"/>
      <w:bookmarkStart w:id="33" w:name="_Toc460660064"/>
      <w:bookmarkStart w:id="34" w:name="_Toc38879318"/>
      <w:bookmarkStart w:id="35" w:name="_Toc283798418"/>
      <w:bookmarkStart w:id="36" w:name="_Toc19536"/>
      <w:bookmarkStart w:id="37" w:name="_Toc30036"/>
      <w:bookmarkStart w:id="38" w:name="_Toc11078139"/>
      <w:r>
        <w:rPr>
          <w:rFonts w:hint="eastAsia" w:ascii="宋体" w:hAnsi="宋体" w:cs="宋体"/>
          <w:color w:val="auto"/>
          <w:sz w:val="28"/>
          <w:szCs w:val="28"/>
          <w:highlight w:val="none"/>
        </w:rPr>
        <w:t>附录2  资格审查条件(业绩最低要求)</w:t>
      </w:r>
      <w:bookmarkEnd w:id="29"/>
      <w:bookmarkEnd w:id="30"/>
      <w:bookmarkEnd w:id="31"/>
      <w:bookmarkEnd w:id="32"/>
      <w:bookmarkEnd w:id="33"/>
      <w:bookmarkEnd w:id="34"/>
      <w:bookmarkEnd w:id="35"/>
      <w:bookmarkEnd w:id="36"/>
      <w:bookmarkEnd w:id="37"/>
      <w:bookmarkEnd w:id="38"/>
    </w:p>
    <w:tbl>
      <w:tblPr>
        <w:tblStyle w:val="21"/>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6"/>
      </w:tblGrid>
      <w:tr w14:paraId="251F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8566" w:type="dxa"/>
            <w:tcBorders>
              <w:top w:val="single" w:color="auto" w:sz="4" w:space="0"/>
              <w:left w:val="single" w:color="auto" w:sz="4" w:space="0"/>
              <w:bottom w:val="single" w:color="auto" w:sz="4" w:space="0"/>
              <w:right w:val="single" w:color="auto" w:sz="4" w:space="0"/>
            </w:tcBorders>
            <w:noWrap w:val="0"/>
            <w:vAlign w:val="center"/>
          </w:tcPr>
          <w:p w14:paraId="62473E59">
            <w:pPr>
              <w:pStyle w:val="114"/>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投标人业绩要求</w:t>
            </w:r>
          </w:p>
        </w:tc>
      </w:tr>
      <w:tr w14:paraId="5490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8566" w:type="dxa"/>
            <w:tcBorders>
              <w:top w:val="single" w:color="auto" w:sz="4" w:space="0"/>
              <w:left w:val="single" w:color="auto" w:sz="4" w:space="0"/>
              <w:bottom w:val="single" w:color="auto" w:sz="4" w:space="0"/>
              <w:right w:val="single" w:color="auto" w:sz="4" w:space="0"/>
            </w:tcBorders>
            <w:noWrap w:val="0"/>
            <w:vAlign w:val="center"/>
          </w:tcPr>
          <w:p w14:paraId="6A35B35C">
            <w:pPr>
              <w:adjustRightInd w:val="0"/>
              <w:snapToGrid w:val="0"/>
              <w:spacing w:line="360" w:lineRule="auto"/>
              <w:jc w:val="lef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无</w:t>
            </w:r>
          </w:p>
        </w:tc>
      </w:tr>
    </w:tbl>
    <w:p w14:paraId="70DD715F">
      <w:pPr>
        <w:pStyle w:val="3"/>
        <w:keepNext/>
        <w:keepLines/>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宋体" w:hAnsi="宋体" w:cs="宋体"/>
          <w:color w:val="auto"/>
          <w:sz w:val="28"/>
          <w:szCs w:val="28"/>
          <w:highlight w:val="none"/>
        </w:rPr>
      </w:pPr>
      <w:bookmarkStart w:id="39" w:name="_Toc421916978"/>
      <w:bookmarkStart w:id="40" w:name="_Toc11078141"/>
      <w:bookmarkStart w:id="41" w:name="_Toc460226992"/>
      <w:bookmarkStart w:id="42" w:name="_Toc30605"/>
      <w:bookmarkStart w:id="43" w:name="_Toc7647"/>
      <w:bookmarkStart w:id="44" w:name="_Toc38879320"/>
      <w:bookmarkStart w:id="45" w:name="_Toc460660065"/>
      <w:bookmarkStart w:id="46" w:name="_Toc460226723"/>
      <w:bookmarkStart w:id="47" w:name="_Toc26041"/>
    </w:p>
    <w:p w14:paraId="11968510">
      <w:pPr>
        <w:pStyle w:val="3"/>
        <w:keepNext/>
        <w:keepLines/>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附录3  资格审查条件（</w:t>
      </w:r>
      <w:r>
        <w:rPr>
          <w:rFonts w:hint="eastAsia" w:ascii="宋体" w:hAnsi="宋体" w:cs="宋体"/>
          <w:color w:val="auto"/>
          <w:sz w:val="28"/>
          <w:szCs w:val="28"/>
          <w:highlight w:val="none"/>
          <w:lang w:eastAsia="zh-CN"/>
        </w:rPr>
        <w:t>项目总监理工程师</w:t>
      </w:r>
      <w:r>
        <w:rPr>
          <w:rFonts w:hint="eastAsia" w:ascii="宋体" w:hAnsi="宋体" w:cs="宋体"/>
          <w:color w:val="auto"/>
          <w:sz w:val="28"/>
          <w:szCs w:val="28"/>
          <w:highlight w:val="none"/>
        </w:rPr>
        <w:t>最低要求）</w:t>
      </w:r>
      <w:bookmarkEnd w:id="39"/>
      <w:bookmarkEnd w:id="40"/>
      <w:bookmarkEnd w:id="41"/>
      <w:bookmarkEnd w:id="42"/>
      <w:bookmarkEnd w:id="43"/>
      <w:bookmarkEnd w:id="44"/>
      <w:bookmarkEnd w:id="45"/>
      <w:bookmarkEnd w:id="46"/>
      <w:bookmarkEnd w:id="47"/>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147"/>
      </w:tblGrid>
      <w:tr w14:paraId="3D1C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52" w:type="dxa"/>
            <w:tcBorders>
              <w:top w:val="single" w:color="auto" w:sz="4" w:space="0"/>
              <w:left w:val="single" w:color="auto" w:sz="4" w:space="0"/>
              <w:bottom w:val="single" w:color="auto" w:sz="4" w:space="0"/>
              <w:right w:val="single" w:color="auto" w:sz="4" w:space="0"/>
            </w:tcBorders>
            <w:noWrap w:val="0"/>
            <w:vAlign w:val="center"/>
          </w:tcPr>
          <w:p w14:paraId="74639507">
            <w:pPr>
              <w:pStyle w:val="114"/>
              <w:adjustRightInd w:val="0"/>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人  员</w:t>
            </w:r>
          </w:p>
        </w:tc>
        <w:tc>
          <w:tcPr>
            <w:tcW w:w="8147" w:type="dxa"/>
            <w:tcBorders>
              <w:top w:val="single" w:color="auto" w:sz="4" w:space="0"/>
              <w:left w:val="single" w:color="auto" w:sz="4" w:space="0"/>
              <w:bottom w:val="single" w:color="auto" w:sz="4" w:space="0"/>
              <w:right w:val="single" w:color="auto" w:sz="4" w:space="0"/>
            </w:tcBorders>
            <w:noWrap w:val="0"/>
            <w:vAlign w:val="center"/>
          </w:tcPr>
          <w:p w14:paraId="4829E134">
            <w:pPr>
              <w:pStyle w:val="114"/>
              <w:adjustRightInd w:val="0"/>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资格要求</w:t>
            </w:r>
          </w:p>
        </w:tc>
      </w:tr>
      <w:tr w14:paraId="6EF1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6" w:hRule="atLeast"/>
          <w:jc w:val="center"/>
        </w:trPr>
        <w:tc>
          <w:tcPr>
            <w:tcW w:w="1452" w:type="dxa"/>
            <w:tcBorders>
              <w:top w:val="single" w:color="auto" w:sz="4" w:space="0"/>
              <w:left w:val="single" w:color="auto" w:sz="4" w:space="0"/>
              <w:bottom w:val="single" w:color="auto" w:sz="4" w:space="0"/>
              <w:right w:val="single" w:color="auto" w:sz="4" w:space="0"/>
            </w:tcBorders>
            <w:noWrap w:val="0"/>
            <w:vAlign w:val="center"/>
          </w:tcPr>
          <w:p w14:paraId="66706BE1">
            <w:pPr>
              <w:pStyle w:val="114"/>
              <w:widowControl/>
              <w:adjustRightInd w:val="0"/>
              <w:snapToGrid w:val="0"/>
              <w:spacing w:line="360" w:lineRule="auto"/>
              <w:jc w:val="center"/>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snapToGrid w:val="0"/>
                <w:color w:val="auto"/>
                <w:kern w:val="0"/>
                <w:sz w:val="24"/>
                <w:szCs w:val="24"/>
                <w:highlight w:val="none"/>
                <w:lang w:eastAsia="zh-CN"/>
              </w:rPr>
              <w:t>项目总监理工程师</w:t>
            </w:r>
          </w:p>
        </w:tc>
        <w:tc>
          <w:tcPr>
            <w:tcW w:w="8147" w:type="dxa"/>
            <w:tcBorders>
              <w:top w:val="single" w:color="auto" w:sz="4" w:space="0"/>
              <w:left w:val="single" w:color="auto" w:sz="4" w:space="0"/>
              <w:bottom w:val="single" w:color="auto" w:sz="4" w:space="0"/>
              <w:right w:val="single" w:color="auto" w:sz="4" w:space="0"/>
            </w:tcBorders>
            <w:noWrap w:val="0"/>
            <w:vAlign w:val="center"/>
          </w:tcPr>
          <w:p w14:paraId="0D650159">
            <w:pPr>
              <w:pStyle w:val="114"/>
              <w:widowControl/>
              <w:adjustRightInd w:val="0"/>
              <w:snapToGrid w:val="0"/>
              <w:spacing w:line="360" w:lineRule="auto"/>
              <w:jc w:val="left"/>
              <w:rPr>
                <w:rFonts w:hint="eastAsia"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（1）</w:t>
            </w:r>
            <w:r>
              <w:rPr>
                <w:rFonts w:hint="eastAsia" w:asciiTheme="minorEastAsia" w:hAnsiTheme="minorEastAsia" w:eastAsiaTheme="minorEastAsia" w:cstheme="minorEastAsia"/>
                <w:bCs/>
                <w:snapToGrid w:val="0"/>
                <w:color w:val="auto"/>
                <w:kern w:val="0"/>
                <w:sz w:val="24"/>
                <w:szCs w:val="24"/>
                <w:highlight w:val="none"/>
                <w:lang w:eastAsia="zh-CN"/>
              </w:rPr>
              <w:t>项目总监理工程师</w:t>
            </w:r>
            <w:r>
              <w:rPr>
                <w:rFonts w:hint="eastAsia" w:asciiTheme="minorEastAsia" w:hAnsiTheme="minorEastAsia" w:eastAsiaTheme="minorEastAsia" w:cstheme="minorEastAsia"/>
                <w:bCs/>
                <w:snapToGrid w:val="0"/>
                <w:color w:val="auto"/>
                <w:kern w:val="0"/>
                <w:sz w:val="24"/>
                <w:szCs w:val="24"/>
                <w:highlight w:val="none"/>
              </w:rPr>
              <w:t>资格条件见招标公告要求，且必须是本单位人员</w:t>
            </w:r>
            <w:r>
              <w:rPr>
                <w:rFonts w:hint="eastAsia" w:asciiTheme="minorEastAsia" w:hAnsiTheme="minorEastAsia" w:eastAsiaTheme="minorEastAsia" w:cstheme="minorEastAsia"/>
                <w:b/>
                <w:bCs/>
                <w:snapToGrid w:val="0"/>
                <w:color w:val="auto"/>
                <w:kern w:val="0"/>
                <w:sz w:val="24"/>
                <w:szCs w:val="24"/>
                <w:highlight w:val="none"/>
              </w:rPr>
              <w:t>（招标公告中要求的注册证书注册单位应当与投标人名称一致，</w:t>
            </w:r>
            <w:r>
              <w:rPr>
                <w:rFonts w:hint="eastAsia" w:asciiTheme="minorEastAsia" w:hAnsiTheme="minorEastAsia" w:eastAsiaTheme="minorEastAsia" w:cstheme="minorEastAsia"/>
                <w:bCs/>
                <w:snapToGrid w:val="0"/>
                <w:color w:val="auto"/>
                <w:kern w:val="0"/>
                <w:sz w:val="24"/>
                <w:szCs w:val="24"/>
                <w:highlight w:val="none"/>
              </w:rPr>
              <w:t>提供</w:t>
            </w:r>
            <w:r>
              <w:rPr>
                <w:rFonts w:hint="eastAsia" w:asciiTheme="minorEastAsia" w:hAnsiTheme="minorEastAsia" w:eastAsiaTheme="minorEastAsia" w:cstheme="minorEastAsia"/>
                <w:bCs/>
                <w:snapToGrid w:val="0"/>
                <w:color w:val="auto"/>
                <w:kern w:val="0"/>
                <w:sz w:val="24"/>
                <w:szCs w:val="24"/>
                <w:highlight w:val="none"/>
                <w:lang w:val="en-US" w:eastAsia="zh-CN"/>
              </w:rPr>
              <w:t>证书及</w:t>
            </w:r>
            <w:r>
              <w:rPr>
                <w:rFonts w:hint="eastAsia" w:asciiTheme="minorEastAsia" w:hAnsiTheme="minorEastAsia" w:eastAsiaTheme="minorEastAsia" w:cstheme="minorEastAsia"/>
                <w:bCs/>
                <w:snapToGrid w:val="0"/>
                <w:color w:val="auto"/>
                <w:kern w:val="0"/>
                <w:sz w:val="24"/>
                <w:szCs w:val="24"/>
                <w:highlight w:val="none"/>
              </w:rPr>
              <w:t>投标人所属社保机构出具的拟委任的</w:t>
            </w:r>
            <w:r>
              <w:rPr>
                <w:rFonts w:hint="eastAsia" w:asciiTheme="minorEastAsia" w:hAnsiTheme="minorEastAsia" w:eastAsiaTheme="minorEastAsia" w:cstheme="minorEastAsia"/>
                <w:bCs/>
                <w:snapToGrid w:val="0"/>
                <w:color w:val="auto"/>
                <w:kern w:val="0"/>
                <w:sz w:val="24"/>
                <w:szCs w:val="24"/>
                <w:highlight w:val="none"/>
                <w:lang w:eastAsia="zh-CN"/>
              </w:rPr>
              <w:t>项目总监理工程师</w:t>
            </w:r>
            <w:r>
              <w:rPr>
                <w:rFonts w:hint="eastAsia" w:asciiTheme="minorEastAsia" w:hAnsiTheme="minorEastAsia" w:eastAsiaTheme="minorEastAsia" w:cstheme="minorEastAsia"/>
                <w:bCs/>
                <w:snapToGrid w:val="0"/>
                <w:color w:val="auto"/>
                <w:kern w:val="0"/>
                <w:sz w:val="24"/>
                <w:szCs w:val="24"/>
                <w:highlight w:val="none"/>
                <w:u w:val="single"/>
              </w:rPr>
              <w:t>近半年连续三个月</w:t>
            </w:r>
            <w:r>
              <w:rPr>
                <w:rFonts w:hint="eastAsia" w:asciiTheme="minorEastAsia" w:hAnsiTheme="minorEastAsia" w:eastAsiaTheme="minorEastAsia" w:cstheme="minorEastAsia"/>
                <w:bCs/>
                <w:snapToGrid w:val="0"/>
                <w:color w:val="auto"/>
                <w:kern w:val="0"/>
                <w:sz w:val="24"/>
                <w:szCs w:val="24"/>
                <w:highlight w:val="none"/>
              </w:rPr>
              <w:t>（社保时间要求）社保缴费证明或其他能够证明拟委任的</w:t>
            </w:r>
            <w:r>
              <w:rPr>
                <w:rFonts w:hint="eastAsia" w:asciiTheme="minorEastAsia" w:hAnsiTheme="minorEastAsia" w:eastAsiaTheme="minorEastAsia" w:cstheme="minorEastAsia"/>
                <w:bCs/>
                <w:snapToGrid w:val="0"/>
                <w:color w:val="auto"/>
                <w:kern w:val="0"/>
                <w:sz w:val="24"/>
                <w:szCs w:val="24"/>
                <w:highlight w:val="none"/>
                <w:lang w:eastAsia="zh-CN"/>
              </w:rPr>
              <w:t>项目总监理工程师</w:t>
            </w:r>
            <w:r>
              <w:rPr>
                <w:rFonts w:hint="eastAsia" w:asciiTheme="minorEastAsia" w:hAnsiTheme="minorEastAsia" w:eastAsiaTheme="minorEastAsia" w:cstheme="minorEastAsia"/>
                <w:bCs/>
                <w:snapToGrid w:val="0"/>
                <w:color w:val="auto"/>
                <w:kern w:val="0"/>
                <w:sz w:val="24"/>
                <w:szCs w:val="24"/>
                <w:highlight w:val="none"/>
              </w:rPr>
              <w:t>参加社保的有效证明材料，</w:t>
            </w:r>
            <w:r>
              <w:rPr>
                <w:rFonts w:hint="eastAsia" w:asciiTheme="minorEastAsia" w:hAnsiTheme="minorEastAsia" w:eastAsiaTheme="minorEastAsia" w:cstheme="minorEastAsia"/>
                <w:bCs/>
                <w:snapToGrid w:val="0"/>
                <w:color w:val="auto"/>
                <w:kern w:val="0"/>
                <w:sz w:val="24"/>
                <w:szCs w:val="24"/>
                <w:highlight w:val="none"/>
                <w:lang w:eastAsia="zh-CN"/>
              </w:rPr>
              <w:t>项目总监理工程师</w:t>
            </w:r>
            <w:r>
              <w:rPr>
                <w:rFonts w:hint="eastAsia" w:asciiTheme="minorEastAsia" w:hAnsiTheme="minorEastAsia" w:eastAsiaTheme="minorEastAsia" w:cstheme="minorEastAsia"/>
                <w:bCs/>
                <w:snapToGrid w:val="0"/>
                <w:color w:val="auto"/>
                <w:kern w:val="0"/>
                <w:sz w:val="24"/>
                <w:szCs w:val="24"/>
                <w:highlight w:val="none"/>
              </w:rPr>
              <w:t>的社会保险的缴纳单位应当是投标人或者投标人不具备独立法人资格的分支机构。</w:t>
            </w:r>
            <w:r>
              <w:rPr>
                <w:rFonts w:hint="eastAsia" w:asciiTheme="minorEastAsia" w:hAnsiTheme="minorEastAsia" w:eastAsiaTheme="minorEastAsia" w:cstheme="minorEastAsia"/>
                <w:bCs/>
                <w:snapToGrid w:val="0"/>
                <w:color w:val="auto"/>
                <w:kern w:val="0"/>
                <w:sz w:val="24"/>
                <w:szCs w:val="24"/>
                <w:highlight w:val="none"/>
                <w:u w:val="single"/>
              </w:rPr>
              <w:t>（退休人员须提供退休证明及</w:t>
            </w:r>
            <w:r>
              <w:rPr>
                <w:rFonts w:hint="eastAsia" w:asciiTheme="minorEastAsia" w:hAnsiTheme="minorEastAsia" w:eastAsiaTheme="minorEastAsia" w:cstheme="minorEastAsia"/>
                <w:bCs/>
                <w:snapToGrid w:val="0"/>
                <w:color w:val="auto"/>
                <w:kern w:val="0"/>
                <w:sz w:val="24"/>
                <w:szCs w:val="24"/>
                <w:highlight w:val="none"/>
                <w:u w:val="single"/>
                <w:lang w:val="en-US" w:eastAsia="zh-CN"/>
              </w:rPr>
              <w:t>劳务</w:t>
            </w:r>
            <w:r>
              <w:rPr>
                <w:rFonts w:hint="eastAsia" w:asciiTheme="minorEastAsia" w:hAnsiTheme="minorEastAsia" w:eastAsiaTheme="minorEastAsia" w:cstheme="minorEastAsia"/>
                <w:bCs/>
                <w:snapToGrid w:val="0"/>
                <w:color w:val="auto"/>
                <w:kern w:val="0"/>
                <w:sz w:val="24"/>
                <w:szCs w:val="24"/>
                <w:highlight w:val="none"/>
                <w:u w:val="single"/>
              </w:rPr>
              <w:t>合同）</w:t>
            </w:r>
          </w:p>
          <w:p w14:paraId="37FD27D2">
            <w:pPr>
              <w:widowControl/>
              <w:adjustRightInd w:val="0"/>
              <w:snapToGrid w:val="0"/>
              <w:spacing w:line="360" w:lineRule="auto"/>
              <w:jc w:val="left"/>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w:t>
            </w:r>
            <w:r>
              <w:rPr>
                <w:rFonts w:hint="eastAsia" w:asciiTheme="minorEastAsia" w:hAnsiTheme="minorEastAsia" w:eastAsiaTheme="minorEastAsia" w:cstheme="minorEastAsia"/>
                <w:bCs/>
                <w:snapToGrid w:val="0"/>
                <w:color w:val="auto"/>
                <w:sz w:val="24"/>
                <w:szCs w:val="24"/>
                <w:highlight w:val="none"/>
                <w:lang w:val="en-US" w:eastAsia="zh-CN"/>
              </w:rPr>
              <w:t>2</w:t>
            </w:r>
            <w:r>
              <w:rPr>
                <w:rFonts w:hint="eastAsia" w:asciiTheme="minorEastAsia" w:hAnsiTheme="minorEastAsia" w:eastAsiaTheme="minorEastAsia" w:cstheme="minorEastAsia"/>
                <w:bCs/>
                <w:snapToGrid w:val="0"/>
                <w:color w:val="auto"/>
                <w:sz w:val="24"/>
                <w:szCs w:val="24"/>
                <w:highlight w:val="none"/>
              </w:rPr>
              <w:t>）</w:t>
            </w:r>
            <w:r>
              <w:rPr>
                <w:rFonts w:hint="eastAsia" w:asciiTheme="minorEastAsia" w:hAnsiTheme="minorEastAsia" w:eastAsiaTheme="minorEastAsia" w:cstheme="minorEastAsia"/>
                <w:bCs/>
                <w:snapToGrid w:val="0"/>
                <w:color w:val="auto"/>
                <w:sz w:val="24"/>
                <w:szCs w:val="24"/>
                <w:highlight w:val="none"/>
                <w:lang w:eastAsia="zh-CN"/>
              </w:rPr>
              <w:t>项目总监理工程师</w:t>
            </w:r>
            <w:r>
              <w:rPr>
                <w:rFonts w:hint="eastAsia" w:asciiTheme="minorEastAsia" w:hAnsiTheme="minorEastAsia" w:eastAsiaTheme="minorEastAsia" w:cstheme="minorEastAsia"/>
                <w:bCs/>
                <w:snapToGrid w:val="0"/>
                <w:color w:val="auto"/>
                <w:kern w:val="0"/>
                <w:sz w:val="24"/>
                <w:szCs w:val="24"/>
                <w:highlight w:val="none"/>
              </w:rPr>
              <w:t>其他要求：</w:t>
            </w:r>
            <w:r>
              <w:rPr>
                <w:rFonts w:hint="eastAsia" w:asciiTheme="minorEastAsia" w:hAnsiTheme="minorEastAsia" w:eastAsiaTheme="minorEastAsia" w:cstheme="minorEastAsia"/>
                <w:bCs/>
                <w:color w:val="auto"/>
                <w:sz w:val="24"/>
                <w:szCs w:val="24"/>
                <w:highlight w:val="none"/>
                <w:lang w:eastAsia="zh-CN"/>
              </w:rPr>
              <w:t>必须严格按要求提供驻场服务。</w:t>
            </w:r>
          </w:p>
        </w:tc>
      </w:tr>
    </w:tbl>
    <w:p w14:paraId="709E9F7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sectPr>
          <w:footerReference r:id="rId6" w:type="default"/>
          <w:pgSz w:w="11906" w:h="16838"/>
          <w:pgMar w:top="1247" w:right="1417" w:bottom="1247" w:left="1417" w:header="794" w:footer="567" w:gutter="0"/>
          <w:pgNumType w:fmt="decimal" w:start="1"/>
          <w:cols w:space="0" w:num="1"/>
          <w:docGrid w:type="lines" w:linePitch="312" w:charSpace="0"/>
        </w:sectPr>
      </w:pPr>
    </w:p>
    <w:p w14:paraId="49EE58F1">
      <w:pPr>
        <w:pStyle w:val="3"/>
        <w:keepNext/>
        <w:keepLines/>
        <w:pageBreakBefore w:val="0"/>
        <w:widowControl/>
        <w:kinsoku/>
        <w:wordWrap/>
        <w:overflowPunct/>
        <w:topLinePunct w:val="0"/>
        <w:autoSpaceDE/>
        <w:autoSpaceDN/>
        <w:bidi w:val="0"/>
        <w:adjustRightInd/>
        <w:snapToGrid w:val="0"/>
        <w:spacing w:before="0" w:after="0" w:line="360" w:lineRule="auto"/>
        <w:jc w:val="center"/>
        <w:textAlignment w:val="auto"/>
        <w:rPr>
          <w:rFonts w:hint="eastAsia" w:ascii="宋体" w:hAnsi="宋体" w:cs="宋体"/>
          <w:color w:val="auto"/>
          <w:sz w:val="28"/>
          <w:szCs w:val="28"/>
          <w:highlight w:val="none"/>
        </w:rPr>
      </w:pPr>
      <w:bookmarkStart w:id="48" w:name="_Toc421916979"/>
      <w:bookmarkStart w:id="49" w:name="_Toc460226993"/>
      <w:bookmarkStart w:id="50" w:name="_Toc460226724"/>
      <w:bookmarkStart w:id="51" w:name="_Toc460660066"/>
      <w:bookmarkStart w:id="52" w:name="_Toc27231"/>
      <w:bookmarkStart w:id="53" w:name="_Toc4518"/>
      <w:bookmarkStart w:id="54" w:name="_Toc11078142"/>
      <w:bookmarkStart w:id="55" w:name="_Toc38879321"/>
      <w:bookmarkStart w:id="56" w:name="_Toc13266"/>
      <w:r>
        <w:rPr>
          <w:rFonts w:hint="eastAsia" w:ascii="宋体" w:hAnsi="宋体" w:cs="宋体"/>
          <w:color w:val="auto"/>
          <w:sz w:val="28"/>
          <w:szCs w:val="28"/>
          <w:highlight w:val="none"/>
        </w:rPr>
        <w:t xml:space="preserve">附录4  </w:t>
      </w:r>
      <w:bookmarkEnd w:id="48"/>
      <w:bookmarkEnd w:id="49"/>
      <w:bookmarkEnd w:id="50"/>
      <w:bookmarkEnd w:id="51"/>
      <w:r>
        <w:rPr>
          <w:rFonts w:hint="eastAsia" w:ascii="宋体" w:hAnsi="宋体" w:cs="宋体"/>
          <w:color w:val="auto"/>
          <w:sz w:val="28"/>
          <w:szCs w:val="28"/>
          <w:highlight w:val="none"/>
        </w:rPr>
        <w:t>资格审查条件（其他人员最低要求）</w:t>
      </w:r>
      <w:bookmarkEnd w:id="52"/>
      <w:bookmarkEnd w:id="53"/>
      <w:bookmarkEnd w:id="54"/>
      <w:bookmarkEnd w:id="55"/>
      <w:bookmarkEnd w:id="56"/>
    </w:p>
    <w:bookmarkEnd w:id="23"/>
    <w:p w14:paraId="79155AAE">
      <w:pPr>
        <w:spacing w:line="360" w:lineRule="auto"/>
        <w:ind w:left="170" w:firstLine="36" w:firstLineChars="15"/>
        <w:jc w:val="center"/>
        <w:rPr>
          <w:rFonts w:hint="eastAsia" w:ascii="宋体" w:hAnsi="宋体" w:eastAsia="宋体" w:cs="宋体"/>
          <w:color w:val="auto"/>
          <w:sz w:val="24"/>
          <w:szCs w:val="24"/>
          <w:highlight w:val="none"/>
        </w:rPr>
      </w:pPr>
      <w:bookmarkStart w:id="57" w:name="_Toc283798422"/>
      <w:bookmarkStart w:id="58" w:name="_Toc38879323"/>
      <w:bookmarkStart w:id="59" w:name="_Toc26945"/>
      <w:bookmarkStart w:id="60" w:name="_Toc25869"/>
      <w:bookmarkStart w:id="61" w:name="_Toc6193"/>
      <w:r>
        <w:rPr>
          <w:rFonts w:hint="eastAsia" w:ascii="宋体" w:hAnsi="宋体" w:eastAsia="宋体" w:cs="宋体"/>
          <w:color w:val="auto"/>
          <w:sz w:val="24"/>
          <w:szCs w:val="24"/>
          <w:highlight w:val="none"/>
        </w:rPr>
        <w:t>本工程</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监理机构人员及专业配备最低要求</w:t>
      </w:r>
    </w:p>
    <w:tbl>
      <w:tblPr>
        <w:tblStyle w:val="21"/>
        <w:tblW w:w="1432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2591"/>
        <w:gridCol w:w="2591"/>
        <w:gridCol w:w="2591"/>
        <w:gridCol w:w="2591"/>
        <w:gridCol w:w="2591"/>
      </w:tblGrid>
      <w:tr w14:paraId="3ABF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72" w:type="dxa"/>
            <w:vAlign w:val="center"/>
          </w:tcPr>
          <w:p w14:paraId="65C3C368">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2591" w:type="dxa"/>
            <w:vAlign w:val="center"/>
          </w:tcPr>
          <w:p w14:paraId="32EAE664">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w:t>
            </w:r>
          </w:p>
        </w:tc>
        <w:tc>
          <w:tcPr>
            <w:tcW w:w="2591" w:type="dxa"/>
            <w:vAlign w:val="center"/>
          </w:tcPr>
          <w:p w14:paraId="791DE84C">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专业监理工程师</w:t>
            </w:r>
          </w:p>
        </w:tc>
        <w:tc>
          <w:tcPr>
            <w:tcW w:w="2591" w:type="dxa"/>
            <w:vAlign w:val="center"/>
          </w:tcPr>
          <w:p w14:paraId="5EA4AD35">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监理员</w:t>
            </w:r>
          </w:p>
        </w:tc>
        <w:tc>
          <w:tcPr>
            <w:tcW w:w="2591" w:type="dxa"/>
            <w:vAlign w:val="center"/>
          </w:tcPr>
          <w:p w14:paraId="2F2D2162">
            <w:pPr>
              <w:widowControl/>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见证员（可兼任）</w:t>
            </w:r>
          </w:p>
        </w:tc>
        <w:tc>
          <w:tcPr>
            <w:tcW w:w="2591" w:type="dxa"/>
            <w:vAlign w:val="center"/>
          </w:tcPr>
          <w:p w14:paraId="42948760">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合计（总人次）</w:t>
            </w:r>
          </w:p>
        </w:tc>
      </w:tr>
      <w:tr w14:paraId="0834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72" w:type="dxa"/>
            <w:vAlign w:val="center"/>
          </w:tcPr>
          <w:p w14:paraId="5AA7017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人数</w:t>
            </w:r>
          </w:p>
        </w:tc>
        <w:tc>
          <w:tcPr>
            <w:tcW w:w="2591" w:type="dxa"/>
            <w:vAlign w:val="center"/>
          </w:tcPr>
          <w:p w14:paraId="1999D26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591" w:type="dxa"/>
            <w:vAlign w:val="center"/>
          </w:tcPr>
          <w:p w14:paraId="63F03F56">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2591" w:type="dxa"/>
            <w:vAlign w:val="center"/>
          </w:tcPr>
          <w:p w14:paraId="6F3E5E89">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2591" w:type="dxa"/>
            <w:vAlign w:val="center"/>
          </w:tcPr>
          <w:p w14:paraId="53C1635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p>
        </w:tc>
        <w:tc>
          <w:tcPr>
            <w:tcW w:w="2591" w:type="dxa"/>
            <w:vAlign w:val="center"/>
          </w:tcPr>
          <w:p w14:paraId="5E38F063">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r>
      <w:tr w14:paraId="5837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327" w:type="dxa"/>
            <w:gridSpan w:val="6"/>
          </w:tcPr>
          <w:p w14:paraId="6DCDCBE6">
            <w:pPr>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p w14:paraId="202A65E5">
            <w:pPr>
              <w:widowControl/>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1.总监理工程师必须具有有效的</w:t>
            </w:r>
            <w:r>
              <w:rPr>
                <w:rFonts w:hint="eastAsia" w:ascii="宋体" w:hAnsi="宋体" w:eastAsia="宋体" w:cs="宋体"/>
                <w:b/>
                <w:color w:val="auto"/>
                <w:kern w:val="0"/>
                <w:sz w:val="24"/>
                <w:szCs w:val="24"/>
                <w:highlight w:val="none"/>
                <w:lang w:val="en-US" w:eastAsia="zh-CN"/>
              </w:rPr>
              <w:t>市政公用</w:t>
            </w:r>
            <w:r>
              <w:rPr>
                <w:rFonts w:hint="eastAsia" w:ascii="宋体" w:hAnsi="宋体" w:eastAsia="宋体" w:cs="宋体"/>
                <w:b/>
                <w:color w:val="auto"/>
                <w:kern w:val="0"/>
                <w:sz w:val="24"/>
                <w:szCs w:val="24"/>
                <w:highlight w:val="none"/>
              </w:rPr>
              <w:t>工程专业国家注册监理工程师注册执业证书；</w:t>
            </w:r>
          </w:p>
          <w:p w14:paraId="2AB553F7">
            <w:pPr>
              <w:pStyle w:val="20"/>
              <w:spacing w:line="360" w:lineRule="auto"/>
              <w:ind w:firstLine="56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2.配备的专业监理工程师</w:t>
            </w:r>
            <w:r>
              <w:rPr>
                <w:rFonts w:hint="eastAsia" w:ascii="宋体" w:hAnsi="宋体" w:eastAsia="宋体" w:cs="宋体"/>
                <w:b/>
                <w:color w:val="auto"/>
                <w:kern w:val="0"/>
                <w:sz w:val="24"/>
                <w:szCs w:val="24"/>
                <w:highlight w:val="none"/>
                <w:lang w:val="en-US" w:eastAsia="zh-CN"/>
              </w:rPr>
              <w:t>须</w:t>
            </w:r>
            <w:r>
              <w:rPr>
                <w:rFonts w:hint="eastAsia" w:ascii="宋体" w:hAnsi="宋体" w:eastAsia="宋体" w:cs="宋体"/>
                <w:b/>
                <w:color w:val="auto"/>
                <w:kern w:val="0"/>
                <w:sz w:val="24"/>
                <w:szCs w:val="24"/>
                <w:highlight w:val="none"/>
              </w:rPr>
              <w:t>具有有效的</w:t>
            </w:r>
            <w:r>
              <w:rPr>
                <w:rFonts w:hint="eastAsia" w:ascii="宋体" w:hAnsi="宋体" w:eastAsia="宋体" w:cs="宋体"/>
                <w:b/>
                <w:color w:val="auto"/>
                <w:kern w:val="0"/>
                <w:sz w:val="24"/>
                <w:szCs w:val="24"/>
                <w:highlight w:val="none"/>
                <w:lang w:val="en-US" w:eastAsia="zh-CN"/>
              </w:rPr>
              <w:t>市政公用工程</w:t>
            </w:r>
            <w:r>
              <w:rPr>
                <w:rFonts w:hint="eastAsia" w:ascii="宋体" w:hAnsi="宋体" w:eastAsia="宋体" w:cs="宋体"/>
                <w:b/>
                <w:color w:val="auto"/>
                <w:kern w:val="0"/>
                <w:sz w:val="24"/>
                <w:szCs w:val="24"/>
                <w:highlight w:val="none"/>
              </w:rPr>
              <w:t>专业</w:t>
            </w:r>
            <w:r>
              <w:rPr>
                <w:rFonts w:hint="eastAsia" w:ascii="宋体" w:hAnsi="宋体" w:eastAsia="宋体" w:cs="宋体"/>
                <w:b/>
                <w:color w:val="auto"/>
                <w:kern w:val="0"/>
                <w:sz w:val="24"/>
                <w:szCs w:val="24"/>
                <w:highlight w:val="none"/>
                <w:lang w:val="en-US" w:eastAsia="zh-CN"/>
              </w:rPr>
              <w:t>《国家注册监理工程师注册执业证书》（或省级监理工程师证书）；</w:t>
            </w:r>
          </w:p>
          <w:p w14:paraId="339269AD">
            <w:pPr>
              <w:pStyle w:val="20"/>
              <w:spacing w:line="360" w:lineRule="auto"/>
              <w:ind w:firstLine="562"/>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3.以上人员涉及的费用均包含在此次报价中，包括不限于人员工资、保险、交通、住宿、餐食等。</w:t>
            </w:r>
          </w:p>
        </w:tc>
      </w:tr>
    </w:tbl>
    <w:p w14:paraId="4D208FFF">
      <w:pPr>
        <w:spacing w:line="360" w:lineRule="auto"/>
        <w:ind w:left="170" w:firstLine="36" w:firstLineChars="15"/>
        <w:jc w:val="center"/>
        <w:rPr>
          <w:rFonts w:hint="eastAsia" w:ascii="宋体" w:hAnsi="宋体" w:eastAsia="宋体" w:cs="宋体"/>
          <w:color w:val="auto"/>
          <w:sz w:val="24"/>
          <w:szCs w:val="24"/>
          <w:highlight w:val="none"/>
        </w:rPr>
      </w:pPr>
    </w:p>
    <w:p w14:paraId="68E5396C">
      <w:pPr>
        <w:spacing w:line="360" w:lineRule="auto"/>
        <w:ind w:left="170" w:firstLine="36" w:firstLineChars="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监理机构人员及专业配备最低要求</w:t>
      </w:r>
    </w:p>
    <w:tbl>
      <w:tblPr>
        <w:tblStyle w:val="21"/>
        <w:tblW w:w="1432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2591"/>
        <w:gridCol w:w="2591"/>
        <w:gridCol w:w="2591"/>
        <w:gridCol w:w="2591"/>
        <w:gridCol w:w="2591"/>
      </w:tblGrid>
      <w:tr w14:paraId="5668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72" w:type="dxa"/>
            <w:vAlign w:val="center"/>
          </w:tcPr>
          <w:p w14:paraId="690DD4A9">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2591" w:type="dxa"/>
            <w:vAlign w:val="center"/>
          </w:tcPr>
          <w:p w14:paraId="429D5EF4">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w:t>
            </w:r>
          </w:p>
        </w:tc>
        <w:tc>
          <w:tcPr>
            <w:tcW w:w="2591" w:type="dxa"/>
            <w:vAlign w:val="center"/>
          </w:tcPr>
          <w:p w14:paraId="1AB762B8">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专业监理工程师</w:t>
            </w:r>
          </w:p>
        </w:tc>
        <w:tc>
          <w:tcPr>
            <w:tcW w:w="2591" w:type="dxa"/>
            <w:vAlign w:val="center"/>
          </w:tcPr>
          <w:p w14:paraId="2BD62742">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监理员</w:t>
            </w:r>
          </w:p>
        </w:tc>
        <w:tc>
          <w:tcPr>
            <w:tcW w:w="2591" w:type="dxa"/>
            <w:vAlign w:val="center"/>
          </w:tcPr>
          <w:p w14:paraId="39E41874">
            <w:pPr>
              <w:widowControl/>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见证员（可兼任）</w:t>
            </w:r>
          </w:p>
        </w:tc>
        <w:tc>
          <w:tcPr>
            <w:tcW w:w="2591" w:type="dxa"/>
            <w:vAlign w:val="center"/>
          </w:tcPr>
          <w:p w14:paraId="2E03089B">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合计（总人次）</w:t>
            </w:r>
          </w:p>
        </w:tc>
      </w:tr>
      <w:tr w14:paraId="31E7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72" w:type="dxa"/>
            <w:vAlign w:val="center"/>
          </w:tcPr>
          <w:p w14:paraId="16B8DBE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人数</w:t>
            </w:r>
          </w:p>
        </w:tc>
        <w:tc>
          <w:tcPr>
            <w:tcW w:w="2591" w:type="dxa"/>
            <w:vAlign w:val="center"/>
          </w:tcPr>
          <w:p w14:paraId="52E11C4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591" w:type="dxa"/>
            <w:vAlign w:val="center"/>
          </w:tcPr>
          <w:p w14:paraId="3A58E78A">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2591" w:type="dxa"/>
            <w:vAlign w:val="center"/>
          </w:tcPr>
          <w:p w14:paraId="72EBEBF2">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2591" w:type="dxa"/>
            <w:vAlign w:val="center"/>
          </w:tcPr>
          <w:p w14:paraId="4789C7B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p>
        </w:tc>
        <w:tc>
          <w:tcPr>
            <w:tcW w:w="2591" w:type="dxa"/>
            <w:vAlign w:val="center"/>
          </w:tcPr>
          <w:p w14:paraId="0CDE1568">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r>
      <w:tr w14:paraId="0D65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327" w:type="dxa"/>
            <w:gridSpan w:val="6"/>
          </w:tcPr>
          <w:p w14:paraId="7EF69BC8">
            <w:pPr>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p w14:paraId="3465D704">
            <w:pPr>
              <w:widowControl/>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1.总监理工程师必须具有有效的</w:t>
            </w:r>
            <w:r>
              <w:rPr>
                <w:rFonts w:hint="eastAsia" w:ascii="宋体" w:hAnsi="宋体" w:eastAsia="宋体" w:cs="宋体"/>
                <w:b/>
                <w:color w:val="auto"/>
                <w:kern w:val="0"/>
                <w:sz w:val="24"/>
                <w:szCs w:val="24"/>
                <w:highlight w:val="none"/>
                <w:lang w:val="en-US" w:eastAsia="zh-CN"/>
              </w:rPr>
              <w:t>市政公用</w:t>
            </w:r>
            <w:r>
              <w:rPr>
                <w:rFonts w:hint="eastAsia" w:ascii="宋体" w:hAnsi="宋体" w:eastAsia="宋体" w:cs="宋体"/>
                <w:b/>
                <w:color w:val="auto"/>
                <w:kern w:val="0"/>
                <w:sz w:val="24"/>
                <w:szCs w:val="24"/>
                <w:highlight w:val="none"/>
              </w:rPr>
              <w:t>工程专业国家注册监理工程师注册执业证书；</w:t>
            </w:r>
          </w:p>
          <w:p w14:paraId="3B15BDE6">
            <w:pPr>
              <w:pStyle w:val="20"/>
              <w:spacing w:line="360" w:lineRule="auto"/>
              <w:ind w:firstLine="56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2.配备的专业监理工程师</w:t>
            </w:r>
            <w:r>
              <w:rPr>
                <w:rFonts w:hint="eastAsia" w:ascii="宋体" w:hAnsi="宋体" w:eastAsia="宋体" w:cs="宋体"/>
                <w:b/>
                <w:color w:val="auto"/>
                <w:kern w:val="0"/>
                <w:sz w:val="24"/>
                <w:szCs w:val="24"/>
                <w:highlight w:val="none"/>
                <w:lang w:val="en-US" w:eastAsia="zh-CN"/>
              </w:rPr>
              <w:t>须具有有效的机电安装工程专业《国家注册监理工程师注册执业证书》（或省级监理工程师证书）；</w:t>
            </w:r>
          </w:p>
          <w:p w14:paraId="168395F6">
            <w:pPr>
              <w:pStyle w:val="20"/>
              <w:spacing w:line="360" w:lineRule="auto"/>
              <w:ind w:firstLine="562"/>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3.以上人员涉及的费用均包含在此次报价中，包括不限于人员工资、保险、交通、住宿、餐食等。</w:t>
            </w:r>
          </w:p>
        </w:tc>
      </w:tr>
    </w:tbl>
    <w:p w14:paraId="0E54BCCB">
      <w:pPr>
        <w:pStyle w:val="115"/>
        <w:spacing w:line="360" w:lineRule="auto"/>
        <w:outlineLvl w:val="2"/>
        <w:rPr>
          <w:rFonts w:hint="eastAsia" w:asciiTheme="minorEastAsia" w:hAnsiTheme="minorEastAsia" w:eastAsiaTheme="minorEastAsia" w:cstheme="minorEastAsia"/>
          <w:b w:val="0"/>
          <w:bCs/>
          <w:color w:val="auto"/>
          <w:sz w:val="24"/>
          <w:szCs w:val="24"/>
          <w:highlight w:val="none"/>
        </w:rPr>
        <w:sectPr>
          <w:pgSz w:w="16838" w:h="11906" w:orient="landscape"/>
          <w:pgMar w:top="1417" w:right="1417" w:bottom="1417" w:left="1417" w:header="794" w:footer="567" w:gutter="0"/>
          <w:pgNumType w:fmt="decimal"/>
          <w:cols w:space="0" w:num="1"/>
          <w:docGrid w:type="lines" w:linePitch="312" w:charSpace="0"/>
        </w:sectPr>
      </w:pPr>
    </w:p>
    <w:p w14:paraId="3DD5D06E">
      <w:pPr>
        <w:pStyle w:val="115"/>
        <w:spacing w:line="360" w:lineRule="auto"/>
        <w:outlineLvl w:val="2"/>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投标人须知</w:t>
      </w:r>
      <w:bookmarkEnd w:id="57"/>
      <w:r>
        <w:rPr>
          <w:rFonts w:hint="eastAsia" w:asciiTheme="minorEastAsia" w:hAnsiTheme="minorEastAsia" w:eastAsiaTheme="minorEastAsia" w:cstheme="minorEastAsia"/>
          <w:b/>
          <w:bCs w:val="0"/>
          <w:color w:val="auto"/>
          <w:sz w:val="28"/>
          <w:szCs w:val="28"/>
          <w:highlight w:val="none"/>
        </w:rPr>
        <w:t>正文修改一览表</w:t>
      </w:r>
      <w:bookmarkEnd w:id="58"/>
      <w:bookmarkEnd w:id="59"/>
      <w:bookmarkEnd w:id="60"/>
      <w:bookmarkEnd w:id="61"/>
    </w:p>
    <w:p w14:paraId="5957B381">
      <w:pPr>
        <w:pStyle w:val="117"/>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投标人须知正文条款内容修改如下：</w:t>
      </w:r>
    </w:p>
    <w:p w14:paraId="6636A76E">
      <w:pPr>
        <w:pStyle w:val="117"/>
        <w:autoSpaceDE w:val="0"/>
        <w:autoSpaceDN w:val="0"/>
        <w:adjustRightInd w:val="0"/>
        <w:snapToGrid w:val="0"/>
        <w:spacing w:line="360" w:lineRule="auto"/>
        <w:ind w:firstLine="220" w:firstLineChars="100"/>
        <w:rPr>
          <w:rFonts w:hint="eastAsia" w:asciiTheme="minorEastAsia" w:hAnsiTheme="minorEastAsia" w:eastAsiaTheme="minorEastAsia" w:cstheme="minorEastAsia"/>
          <w:color w:val="auto"/>
          <w:spacing w:val="-10"/>
          <w:kern w:val="0"/>
          <w:sz w:val="24"/>
          <w:szCs w:val="24"/>
          <w:highlight w:val="none"/>
        </w:rPr>
      </w:pPr>
    </w:p>
    <w:tbl>
      <w:tblPr>
        <w:tblStyle w:val="2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3070"/>
        <w:gridCol w:w="4406"/>
      </w:tblGrid>
      <w:tr w14:paraId="1FBF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Borders>
              <w:top w:val="single" w:color="auto" w:sz="4" w:space="0"/>
              <w:left w:val="single" w:color="auto" w:sz="4" w:space="0"/>
              <w:bottom w:val="single" w:color="auto" w:sz="4" w:space="0"/>
              <w:right w:val="single" w:color="auto" w:sz="4" w:space="0"/>
            </w:tcBorders>
            <w:noWrap w:val="0"/>
            <w:vAlign w:val="center"/>
          </w:tcPr>
          <w:p w14:paraId="1740000C">
            <w:pPr>
              <w:pStyle w:val="117"/>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w:t>
            </w:r>
          </w:p>
          <w:p w14:paraId="101260D5">
            <w:pPr>
              <w:pStyle w:val="117"/>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编号</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5024338F">
            <w:pPr>
              <w:pStyle w:val="117"/>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示范文本中条款内容</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791DB53">
            <w:pPr>
              <w:pStyle w:val="117"/>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修改后条款内容</w:t>
            </w:r>
          </w:p>
        </w:tc>
      </w:tr>
      <w:tr w14:paraId="2BEB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noWrap w:val="0"/>
            <w:vAlign w:val="center"/>
          </w:tcPr>
          <w:p w14:paraId="713E1092">
            <w:pPr>
              <w:pStyle w:val="117"/>
              <w:spacing w:line="360" w:lineRule="auto"/>
              <w:jc w:val="center"/>
              <w:rPr>
                <w:rFonts w:hint="eastAsia" w:asciiTheme="minorEastAsia" w:hAnsiTheme="minorEastAsia" w:eastAsiaTheme="minorEastAsia" w:cstheme="minorEastAsia"/>
                <w:color w:val="auto"/>
                <w:sz w:val="24"/>
                <w:szCs w:val="24"/>
                <w:highlight w:val="none"/>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14:paraId="3BC9708C">
            <w:pPr>
              <w:pStyle w:val="117"/>
              <w:spacing w:line="360" w:lineRule="auto"/>
              <w:jc w:val="center"/>
              <w:rPr>
                <w:rFonts w:hint="eastAsia" w:asciiTheme="minorEastAsia" w:hAnsiTheme="minorEastAsia" w:eastAsiaTheme="minorEastAsia" w:cstheme="minorEastAsia"/>
                <w:color w:val="auto"/>
                <w:sz w:val="24"/>
                <w:szCs w:val="24"/>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0623122C">
            <w:pPr>
              <w:pStyle w:val="117"/>
              <w:spacing w:line="360" w:lineRule="auto"/>
              <w:jc w:val="left"/>
              <w:rPr>
                <w:rFonts w:hint="eastAsia" w:asciiTheme="minorEastAsia" w:hAnsiTheme="minorEastAsia" w:eastAsiaTheme="minorEastAsia" w:cstheme="minorEastAsia"/>
                <w:color w:val="auto"/>
                <w:sz w:val="24"/>
                <w:szCs w:val="24"/>
                <w:highlight w:val="none"/>
              </w:rPr>
            </w:pPr>
          </w:p>
        </w:tc>
      </w:tr>
      <w:tr w14:paraId="22FF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noWrap w:val="0"/>
            <w:vAlign w:val="center"/>
          </w:tcPr>
          <w:p w14:paraId="1528EEA5">
            <w:pPr>
              <w:spacing w:line="360" w:lineRule="auto"/>
              <w:jc w:val="center"/>
              <w:rPr>
                <w:rFonts w:hint="eastAsia" w:asciiTheme="minorEastAsia" w:hAnsiTheme="minorEastAsia" w:eastAsiaTheme="minorEastAsia" w:cstheme="minorEastAsia"/>
                <w:color w:val="auto"/>
                <w:sz w:val="24"/>
                <w:szCs w:val="24"/>
                <w:highlight w:val="none"/>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14:paraId="5E5A8C02">
            <w:pPr>
              <w:snapToGrid w:val="0"/>
              <w:spacing w:line="360" w:lineRule="auto"/>
              <w:rPr>
                <w:rFonts w:hint="eastAsia" w:asciiTheme="minorEastAsia" w:hAnsiTheme="minorEastAsia" w:eastAsiaTheme="minorEastAsia" w:cstheme="minorEastAsia"/>
                <w:color w:val="auto"/>
                <w:sz w:val="24"/>
                <w:szCs w:val="24"/>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04219412">
            <w:pPr>
              <w:spacing w:line="360" w:lineRule="auto"/>
              <w:jc w:val="left"/>
              <w:rPr>
                <w:rFonts w:hint="eastAsia" w:asciiTheme="minorEastAsia" w:hAnsiTheme="minorEastAsia" w:eastAsiaTheme="minorEastAsia" w:cstheme="minorEastAsia"/>
                <w:b/>
                <w:color w:val="auto"/>
                <w:sz w:val="24"/>
                <w:szCs w:val="24"/>
                <w:highlight w:val="none"/>
              </w:rPr>
            </w:pPr>
          </w:p>
        </w:tc>
      </w:tr>
      <w:tr w14:paraId="7A7A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noWrap w:val="0"/>
            <w:vAlign w:val="center"/>
          </w:tcPr>
          <w:p w14:paraId="199F41D0">
            <w:pPr>
              <w:spacing w:line="360" w:lineRule="auto"/>
              <w:jc w:val="center"/>
              <w:rPr>
                <w:rFonts w:hint="eastAsia" w:asciiTheme="minorEastAsia" w:hAnsiTheme="minorEastAsia" w:eastAsiaTheme="minorEastAsia" w:cstheme="minorEastAsia"/>
                <w:color w:val="auto"/>
                <w:sz w:val="24"/>
                <w:szCs w:val="24"/>
                <w:highlight w:val="none"/>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14:paraId="789BF9B6">
            <w:pPr>
              <w:snapToGrid w:val="0"/>
              <w:spacing w:line="360" w:lineRule="auto"/>
              <w:rPr>
                <w:rFonts w:hint="eastAsia" w:asciiTheme="minorEastAsia" w:hAnsiTheme="minorEastAsia" w:eastAsiaTheme="minorEastAsia" w:cstheme="minorEastAsia"/>
                <w:color w:val="auto"/>
                <w:sz w:val="24"/>
                <w:szCs w:val="24"/>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414467CF">
            <w:pPr>
              <w:spacing w:line="360" w:lineRule="auto"/>
              <w:jc w:val="left"/>
              <w:rPr>
                <w:rFonts w:hint="eastAsia" w:asciiTheme="minorEastAsia" w:hAnsiTheme="minorEastAsia" w:eastAsiaTheme="minorEastAsia" w:cstheme="minorEastAsia"/>
                <w:b/>
                <w:color w:val="auto"/>
                <w:sz w:val="24"/>
                <w:szCs w:val="24"/>
                <w:highlight w:val="none"/>
              </w:rPr>
            </w:pPr>
          </w:p>
        </w:tc>
      </w:tr>
      <w:tr w14:paraId="6764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noWrap w:val="0"/>
            <w:vAlign w:val="center"/>
          </w:tcPr>
          <w:p w14:paraId="62E198AE">
            <w:pPr>
              <w:pStyle w:val="117"/>
              <w:spacing w:line="360" w:lineRule="auto"/>
              <w:jc w:val="center"/>
              <w:rPr>
                <w:rFonts w:hint="eastAsia" w:asciiTheme="minorEastAsia" w:hAnsiTheme="minorEastAsia" w:eastAsiaTheme="minorEastAsia" w:cstheme="minorEastAsia"/>
                <w:color w:val="auto"/>
                <w:sz w:val="24"/>
                <w:szCs w:val="24"/>
                <w:highlight w:val="none"/>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14:paraId="75CCC705">
            <w:pPr>
              <w:pStyle w:val="117"/>
              <w:spacing w:line="360" w:lineRule="auto"/>
              <w:jc w:val="center"/>
              <w:rPr>
                <w:rFonts w:hint="eastAsia" w:asciiTheme="minorEastAsia" w:hAnsiTheme="minorEastAsia" w:eastAsiaTheme="minorEastAsia" w:cstheme="minorEastAsia"/>
                <w:color w:val="auto"/>
                <w:sz w:val="24"/>
                <w:szCs w:val="24"/>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19E48F0F">
            <w:pPr>
              <w:pStyle w:val="117"/>
              <w:spacing w:line="360" w:lineRule="auto"/>
              <w:jc w:val="center"/>
              <w:rPr>
                <w:rFonts w:hint="eastAsia" w:asciiTheme="minorEastAsia" w:hAnsiTheme="minorEastAsia" w:eastAsiaTheme="minorEastAsia" w:cstheme="minorEastAsia"/>
                <w:color w:val="auto"/>
                <w:sz w:val="24"/>
                <w:szCs w:val="24"/>
                <w:highlight w:val="none"/>
              </w:rPr>
            </w:pPr>
          </w:p>
        </w:tc>
      </w:tr>
      <w:tr w14:paraId="0148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noWrap w:val="0"/>
            <w:vAlign w:val="center"/>
          </w:tcPr>
          <w:p w14:paraId="025E7393">
            <w:pPr>
              <w:pStyle w:val="117"/>
              <w:spacing w:line="360" w:lineRule="auto"/>
              <w:jc w:val="center"/>
              <w:rPr>
                <w:rFonts w:hint="eastAsia" w:asciiTheme="minorEastAsia" w:hAnsiTheme="minorEastAsia" w:eastAsiaTheme="minorEastAsia" w:cstheme="minorEastAsia"/>
                <w:color w:val="auto"/>
                <w:sz w:val="24"/>
                <w:szCs w:val="24"/>
                <w:highlight w:val="none"/>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14:paraId="70926D30">
            <w:pPr>
              <w:pStyle w:val="117"/>
              <w:spacing w:line="360" w:lineRule="auto"/>
              <w:jc w:val="center"/>
              <w:rPr>
                <w:rFonts w:hint="eastAsia" w:asciiTheme="minorEastAsia" w:hAnsiTheme="minorEastAsia" w:eastAsiaTheme="minorEastAsia" w:cstheme="minorEastAsia"/>
                <w:b/>
                <w:color w:val="auto"/>
                <w:sz w:val="24"/>
                <w:szCs w:val="24"/>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73D806E4">
            <w:pPr>
              <w:pStyle w:val="117"/>
              <w:spacing w:line="360" w:lineRule="auto"/>
              <w:jc w:val="center"/>
              <w:rPr>
                <w:rFonts w:hint="eastAsia" w:asciiTheme="minorEastAsia" w:hAnsiTheme="minorEastAsia" w:eastAsiaTheme="minorEastAsia" w:cstheme="minorEastAsia"/>
                <w:b/>
                <w:color w:val="auto"/>
                <w:sz w:val="24"/>
                <w:szCs w:val="24"/>
                <w:highlight w:val="none"/>
              </w:rPr>
            </w:pPr>
          </w:p>
        </w:tc>
      </w:tr>
    </w:tbl>
    <w:p w14:paraId="42E1B305">
      <w:pPr>
        <w:rPr>
          <w:rFonts w:hint="eastAsia" w:cs="宋体" w:asciiTheme="minorEastAsia" w:hAnsiTheme="minorEastAsia" w:eastAsiaTheme="minorEastAsia"/>
          <w:b/>
          <w:color w:val="auto"/>
          <w:sz w:val="30"/>
          <w:szCs w:val="22"/>
          <w:highlight w:val="none"/>
        </w:rPr>
      </w:pPr>
    </w:p>
    <w:p w14:paraId="034409E0">
      <w:pPr>
        <w:rPr>
          <w:rFonts w:hint="eastAsia"/>
          <w:color w:val="auto"/>
          <w:highlight w:val="none"/>
        </w:rPr>
      </w:pPr>
      <w:r>
        <w:rPr>
          <w:rFonts w:hint="eastAsia" w:cs="宋体" w:asciiTheme="minorEastAsia" w:hAnsiTheme="minorEastAsia" w:eastAsiaTheme="minorEastAsia"/>
          <w:b/>
          <w:color w:val="auto"/>
          <w:sz w:val="30"/>
          <w:szCs w:val="22"/>
          <w:highlight w:val="none"/>
        </w:rPr>
        <w:br w:type="page"/>
      </w:r>
      <w:bookmarkStart w:id="62" w:name="_Toc5456"/>
      <w:r>
        <w:rPr>
          <w:rFonts w:hint="eastAsia"/>
          <w:b/>
          <w:bCs/>
          <w:color w:val="auto"/>
          <w:sz w:val="32"/>
          <w:szCs w:val="28"/>
          <w:highlight w:val="none"/>
        </w:rPr>
        <w:t>1 总则</w:t>
      </w:r>
      <w:bookmarkEnd w:id="62"/>
      <w:r>
        <w:rPr>
          <w:rFonts w:hint="eastAsia"/>
          <w:b/>
          <w:bCs/>
          <w:color w:val="auto"/>
          <w:sz w:val="32"/>
          <w:szCs w:val="28"/>
          <w:highlight w:val="none"/>
        </w:rPr>
        <w:tab/>
      </w:r>
    </w:p>
    <w:p w14:paraId="0B5A4A08">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63" w:name="_Toc398107838"/>
      <w:r>
        <w:rPr>
          <w:rFonts w:hint="eastAsia" w:asciiTheme="minorEastAsia" w:hAnsiTheme="minorEastAsia" w:eastAsiaTheme="minorEastAsia" w:cstheme="minorEastAsia"/>
          <w:color w:val="auto"/>
          <w:sz w:val="24"/>
          <w:szCs w:val="24"/>
          <w:highlight w:val="none"/>
        </w:rPr>
        <w:t>1.1 项目概况</w:t>
      </w:r>
      <w:bookmarkEnd w:id="63"/>
    </w:p>
    <w:p w14:paraId="68992D64">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 根据《中华人民共和国招标投标法》、《中华人民共和国招标投标法实施条例》等有关法律、法规和规章的规定，本招标项目已具备招标条件，现对本标段</w:t>
      </w:r>
      <w:r>
        <w:rPr>
          <w:rFonts w:hint="eastAsia" w:asciiTheme="minorEastAsia" w:hAnsiTheme="minorEastAsia" w:eastAsiaTheme="minorEastAsia" w:cstheme="minorEastAsia"/>
          <w:color w:val="auto"/>
          <w:kern w:val="0"/>
          <w:sz w:val="24"/>
          <w:szCs w:val="24"/>
          <w:highlight w:val="none"/>
          <w:lang w:val="en-US" w:eastAsia="zh-CN"/>
        </w:rPr>
        <w:t>施工监理</w:t>
      </w:r>
      <w:r>
        <w:rPr>
          <w:rFonts w:hint="eastAsia" w:asciiTheme="minorEastAsia" w:hAnsiTheme="minorEastAsia" w:eastAsiaTheme="minorEastAsia" w:cstheme="minorEastAsia"/>
          <w:color w:val="auto"/>
          <w:kern w:val="0"/>
          <w:sz w:val="24"/>
          <w:szCs w:val="24"/>
          <w:highlight w:val="none"/>
        </w:rPr>
        <w:t>及相关服务进行招标。</w:t>
      </w:r>
    </w:p>
    <w:p w14:paraId="06991368">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 本招标项目招标人：见投标人须知前附表。</w:t>
      </w:r>
    </w:p>
    <w:p w14:paraId="7F5C19BD">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 本标段招标代理机构：见投标人须知前附表。</w:t>
      </w:r>
    </w:p>
    <w:p w14:paraId="1B3A6C7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 本招标项目名称：见投标人须知前附表。</w:t>
      </w:r>
    </w:p>
    <w:p w14:paraId="5F35843C">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 本标段建设地点：见投标人须知前附表。</w:t>
      </w:r>
    </w:p>
    <w:p w14:paraId="3595BFDA">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64" w:name="_Toc398107839"/>
      <w:r>
        <w:rPr>
          <w:rFonts w:hint="eastAsia" w:asciiTheme="minorEastAsia" w:hAnsiTheme="minorEastAsia" w:eastAsiaTheme="minorEastAsia" w:cstheme="minorEastAsia"/>
          <w:color w:val="auto"/>
          <w:sz w:val="24"/>
          <w:szCs w:val="24"/>
          <w:highlight w:val="none"/>
        </w:rPr>
        <w:t>1.2 资金来源和落实情况</w:t>
      </w:r>
      <w:bookmarkEnd w:id="64"/>
    </w:p>
    <w:p w14:paraId="54A2672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1.2.1 本招标项目的资金来源：见投标人须知前附表。</w:t>
      </w:r>
    </w:p>
    <w:p w14:paraId="54FBBE12">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1.2.2 本招标项目的出资比例：见投标人须知前附表。</w:t>
      </w:r>
    </w:p>
    <w:p w14:paraId="13AF8566">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 本招标项目的资金落实情况：见投标人须知前附表。</w:t>
      </w:r>
    </w:p>
    <w:p w14:paraId="3AE7F884">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65" w:name="_Toc398107840"/>
      <w:r>
        <w:rPr>
          <w:rFonts w:hint="eastAsia" w:asciiTheme="minorEastAsia" w:hAnsiTheme="minorEastAsia" w:eastAsiaTheme="minorEastAsia" w:cstheme="minorEastAsia"/>
          <w:color w:val="auto"/>
          <w:sz w:val="24"/>
          <w:szCs w:val="24"/>
          <w:highlight w:val="none"/>
        </w:rPr>
        <w:t>1.3 招标范围、</w:t>
      </w:r>
      <w:r>
        <w:rPr>
          <w:rFonts w:hint="eastAsia" w:asciiTheme="minorEastAsia" w:hAnsiTheme="minorEastAsia" w:eastAsiaTheme="minorEastAsia" w:cstheme="minorEastAsia"/>
          <w:color w:val="auto"/>
          <w:kern w:val="0"/>
          <w:sz w:val="24"/>
          <w:szCs w:val="24"/>
          <w:highlight w:val="none"/>
          <w:lang w:val="en-US" w:eastAsia="zh-CN"/>
        </w:rPr>
        <w:t>监理</w:t>
      </w:r>
      <w:r>
        <w:rPr>
          <w:rFonts w:hint="eastAsia" w:asciiTheme="minorEastAsia" w:hAnsiTheme="minorEastAsia" w:eastAsiaTheme="minorEastAsia" w:cstheme="minorEastAsia"/>
          <w:color w:val="auto"/>
          <w:sz w:val="24"/>
          <w:szCs w:val="24"/>
          <w:highlight w:val="none"/>
        </w:rPr>
        <w:t>服务期限及质量要求</w:t>
      </w:r>
      <w:bookmarkEnd w:id="65"/>
    </w:p>
    <w:p w14:paraId="546529FC">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1.3.1 本次招标范围：见投标人须知前附表。</w:t>
      </w:r>
    </w:p>
    <w:p w14:paraId="34E1E9C8">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 本标段的</w:t>
      </w:r>
      <w:r>
        <w:rPr>
          <w:rFonts w:hint="eastAsia" w:asciiTheme="minorEastAsia" w:hAnsiTheme="minorEastAsia" w:eastAsiaTheme="minorEastAsia" w:cstheme="minorEastAsia"/>
          <w:color w:val="auto"/>
          <w:kern w:val="0"/>
          <w:sz w:val="24"/>
          <w:szCs w:val="24"/>
          <w:highlight w:val="none"/>
          <w:lang w:val="en-US" w:eastAsia="zh-CN"/>
        </w:rPr>
        <w:t>监理</w:t>
      </w:r>
      <w:r>
        <w:rPr>
          <w:rFonts w:hint="eastAsia" w:asciiTheme="minorEastAsia" w:hAnsiTheme="minorEastAsia" w:eastAsiaTheme="minorEastAsia" w:cstheme="minorEastAsia"/>
          <w:color w:val="auto"/>
          <w:kern w:val="0"/>
          <w:sz w:val="24"/>
          <w:szCs w:val="24"/>
          <w:highlight w:val="none"/>
        </w:rPr>
        <w:t>服务期限：见投标人须知前附表。</w:t>
      </w:r>
    </w:p>
    <w:p w14:paraId="317740A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1.3.3 本标段的质量要求：见投标人须知前附表。</w:t>
      </w:r>
    </w:p>
    <w:p w14:paraId="4DF91EBA">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66" w:name="_Toc398107841"/>
      <w:r>
        <w:rPr>
          <w:rFonts w:hint="eastAsia" w:asciiTheme="minorEastAsia" w:hAnsiTheme="minorEastAsia" w:eastAsiaTheme="minorEastAsia" w:cstheme="minorEastAsia"/>
          <w:color w:val="auto"/>
          <w:sz w:val="24"/>
          <w:szCs w:val="24"/>
          <w:highlight w:val="none"/>
        </w:rPr>
        <w:t>1.4 投标人资格要求</w:t>
      </w:r>
      <w:bookmarkEnd w:id="66"/>
    </w:p>
    <w:p w14:paraId="0049782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1.4.1 投标人应具备的资格要求见投标人须知前附表。</w:t>
      </w:r>
    </w:p>
    <w:p w14:paraId="4211A30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1.4.2 投标人须知前附表规定接受联合体投标的，除应符合本章第1.4.1项和投标人须知前附表的要求外，还应遵守以下规定：</w:t>
      </w:r>
    </w:p>
    <w:p w14:paraId="3CD381FB">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（1）联合体各方应按招标文件提供的格式签订联合体协议书，明确联合体牵头人和各方权利义务，并承诺就中标项目向招标人承担连带责任； </w:t>
      </w:r>
    </w:p>
    <w:p w14:paraId="6727A921">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（2）由同一专业的单位组成的联合体，按照资质等级较低的单位确定资质等级；</w:t>
      </w:r>
    </w:p>
    <w:p w14:paraId="57B3ACC1">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（3）联合体各方不得再以自己名义单独或参加其他联合体在同一标段中投标。</w:t>
      </w:r>
    </w:p>
    <w:p w14:paraId="608C5812">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65B12C0C">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（5）尽管委任了联合体牵头人，但联合体各成员在投标、签约与履行合同过程中，仍负有连带的和各自的法律责任。</w:t>
      </w:r>
    </w:p>
    <w:p w14:paraId="0A9CCE45">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1.4.3 投标人不得存在下列情形之一：</w:t>
      </w:r>
    </w:p>
    <w:p w14:paraId="693C3D1D">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（1）为招标人的附属机构（单位）； </w:t>
      </w:r>
    </w:p>
    <w:p w14:paraId="6AD90F4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（2）为本标段提供招标代理服务的；</w:t>
      </w:r>
    </w:p>
    <w:p w14:paraId="2F1CF22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（3）与本标段的招标代理机构存在单位负责人为同一人的；</w:t>
      </w:r>
    </w:p>
    <w:p w14:paraId="7C00A97B">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（4）与本标段的招标代理机构存在相互控股或参股的；</w:t>
      </w:r>
    </w:p>
    <w:p w14:paraId="4EEA258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（5）与本标段其他投标人存在单位负责人为同一人或者存在控股、管理关系的；</w:t>
      </w:r>
    </w:p>
    <w:p w14:paraId="12208FD1">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r>
        <w:rPr>
          <w:rFonts w:hint="eastAsia" w:asciiTheme="minorEastAsia" w:hAnsiTheme="minorEastAsia" w:eastAsiaTheme="minorEastAsia" w:cstheme="minorEastAsia"/>
          <w:snapToGrid w:val="0"/>
          <w:color w:val="auto"/>
          <w:sz w:val="24"/>
          <w:szCs w:val="24"/>
          <w:highlight w:val="none"/>
          <w:shd w:val="clear" w:color="auto" w:fill="FFFFFF"/>
          <w:lang w:val="zh-CN"/>
        </w:rPr>
        <w:t>法律法规或投标人须知前附表规定的其他情形。</w:t>
      </w:r>
    </w:p>
    <w:p w14:paraId="324067C1">
      <w:pPr>
        <w:tabs>
          <w:tab w:val="left" w:pos="3828"/>
        </w:tabs>
        <w:adjustRightInd w:val="0"/>
        <w:snapToGrid w:val="0"/>
        <w:spacing w:line="360" w:lineRule="auto"/>
        <w:ind w:firstLine="52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1.4.4 投标人（包括联合体各成员）不得存在下列不良状况或不良信用记录：</w:t>
      </w:r>
    </w:p>
    <w:p w14:paraId="275DF16D">
      <w:pPr>
        <w:tabs>
          <w:tab w:val="left" w:pos="1011"/>
        </w:tabs>
        <w:adjustRightInd w:val="0"/>
        <w:snapToGrid w:val="0"/>
        <w:spacing w:line="360"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（1）被县级及以上建设行政主管部门/房屋建筑和市政基础设施工程招标投标活动的监督部门暂停或取消本次招标项目工程所在地或公共资源交易平台所在地的投标资格，且处于有效期内；</w:t>
      </w:r>
    </w:p>
    <w:p w14:paraId="705549A7">
      <w:pPr>
        <w:tabs>
          <w:tab w:val="left" w:pos="1011"/>
        </w:tabs>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（2）在最近三年内（自投标截止之日向前追溯3年，下同）有重大工程质量事故或重大生产安全事故的（以相关行业主管部门的行政处罚决定或司法机关出具的有关法律文书为准）；</w:t>
      </w:r>
    </w:p>
    <w:p w14:paraId="1734E6D2">
      <w:pPr>
        <w:tabs>
          <w:tab w:val="left" w:pos="1046"/>
        </w:tabs>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（3）被责令停业，暂扣或吊销执照，或吊销资质证书；</w:t>
      </w:r>
    </w:p>
    <w:p w14:paraId="4940184F">
      <w:pPr>
        <w:tabs>
          <w:tab w:val="left" w:pos="1046"/>
        </w:tabs>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（4）进入清算程序，或被宣告破产，或其他丧失履约能力的情形；</w:t>
      </w:r>
    </w:p>
    <w:p w14:paraId="7DC115DF">
      <w:pPr>
        <w:tabs>
          <w:tab w:val="left" w:pos="1009"/>
        </w:tabs>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（5）在国家企业信用信息公示系统（http://www.gsxt.gov.cn/）中被列入严重违法失信企业名单；</w:t>
      </w:r>
    </w:p>
    <w:p w14:paraId="6551248D">
      <w:pPr>
        <w:tabs>
          <w:tab w:val="left" w:pos="1009"/>
        </w:tabs>
        <w:adjustRightInd w:val="0"/>
        <w:snapToGrid w:val="0"/>
        <w:spacing w:line="360"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（6）在“信用中国”网站（http://www.creditchina.gov.cn/）中被列入失信被执行人名单；</w:t>
      </w:r>
    </w:p>
    <w:p w14:paraId="0D112025">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（7）在“信用中国”网站（http://www.creditchina.gov.cn/）中被列入重大税收违法案件当事人名单；</w:t>
      </w:r>
    </w:p>
    <w:p w14:paraId="199A7872">
      <w:pPr>
        <w:tabs>
          <w:tab w:val="left" w:pos="1014"/>
        </w:tabs>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（8）在近三年内投标人或其法定代表人、拟委任的</w:t>
      </w:r>
      <w:r>
        <w:rPr>
          <w:rFonts w:hint="eastAsia" w:asciiTheme="minorEastAsia" w:hAnsiTheme="minorEastAsia" w:eastAsiaTheme="minorEastAsia" w:cstheme="minorEastAsia"/>
          <w:bCs/>
          <w:snapToGrid w:val="0"/>
          <w:color w:val="auto"/>
          <w:sz w:val="24"/>
          <w:szCs w:val="24"/>
          <w:highlight w:val="none"/>
          <w:lang w:eastAsia="zh-CN"/>
        </w:rPr>
        <w:t>项目总监理工程师</w:t>
      </w:r>
      <w:r>
        <w:rPr>
          <w:rFonts w:hint="eastAsia" w:asciiTheme="minorEastAsia" w:hAnsiTheme="minorEastAsia" w:eastAsiaTheme="minorEastAsia" w:cstheme="minorEastAsia"/>
          <w:bCs/>
          <w:snapToGrid w:val="0"/>
          <w:color w:val="auto"/>
          <w:sz w:val="24"/>
          <w:szCs w:val="24"/>
          <w:highlight w:val="none"/>
        </w:rPr>
        <w:t>有行贿犯罪行为的；</w:t>
      </w:r>
    </w:p>
    <w:p w14:paraId="2ED15C04">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（9）被人力资源社会保障行政部门列入拖欠农民工工资“失信名单”；</w:t>
      </w:r>
    </w:p>
    <w:p w14:paraId="1E462711">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color w:val="auto"/>
          <w:sz w:val="24"/>
          <w:szCs w:val="24"/>
          <w:highlight w:val="none"/>
        </w:rPr>
        <w:t>（10）法律法规或投标人须知前附表规定的其他情形。</w:t>
      </w:r>
    </w:p>
    <w:p w14:paraId="748013FC">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67" w:name="_Toc398107842"/>
      <w:r>
        <w:rPr>
          <w:rFonts w:hint="eastAsia" w:asciiTheme="minorEastAsia" w:hAnsiTheme="minorEastAsia" w:eastAsiaTheme="minorEastAsia" w:cstheme="minorEastAsia"/>
          <w:color w:val="auto"/>
          <w:sz w:val="24"/>
          <w:szCs w:val="24"/>
          <w:highlight w:val="none"/>
        </w:rPr>
        <w:t>1.5 费用承担</w:t>
      </w:r>
      <w:bookmarkEnd w:id="67"/>
    </w:p>
    <w:p w14:paraId="066CBB7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投标人准备和参加投标活动发生的费用自理。</w:t>
      </w:r>
    </w:p>
    <w:p w14:paraId="2E4E80DB">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68" w:name="_Toc398107843"/>
      <w:r>
        <w:rPr>
          <w:rFonts w:hint="eastAsia" w:asciiTheme="minorEastAsia" w:hAnsiTheme="minorEastAsia" w:eastAsiaTheme="minorEastAsia" w:cstheme="minorEastAsia"/>
          <w:color w:val="auto"/>
          <w:sz w:val="24"/>
          <w:szCs w:val="24"/>
          <w:highlight w:val="none"/>
        </w:rPr>
        <w:t>1.6 保密</w:t>
      </w:r>
      <w:bookmarkEnd w:id="68"/>
    </w:p>
    <w:p w14:paraId="2B7CABA5">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参与招标投标活动的各方应对招标文件和投标文件中的商业和技术等秘密保密，违者应对由此造成的后果承担法律责任。</w:t>
      </w:r>
    </w:p>
    <w:p w14:paraId="4A759D84">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69" w:name="_Toc398107844"/>
      <w:r>
        <w:rPr>
          <w:rFonts w:hint="eastAsia" w:asciiTheme="minorEastAsia" w:hAnsiTheme="minorEastAsia" w:eastAsiaTheme="minorEastAsia" w:cstheme="minorEastAsia"/>
          <w:color w:val="auto"/>
          <w:sz w:val="24"/>
          <w:szCs w:val="24"/>
          <w:highlight w:val="none"/>
        </w:rPr>
        <w:t>1.7 语言文字</w:t>
      </w:r>
      <w:bookmarkEnd w:id="69"/>
    </w:p>
    <w:p w14:paraId="5325367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除专用术语外，与招标投标有关的语言均使用简体中文。必要时专用术语应附有中文注释。</w:t>
      </w:r>
    </w:p>
    <w:p w14:paraId="21FAB335">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70" w:name="_Toc398107845"/>
      <w:r>
        <w:rPr>
          <w:rFonts w:hint="eastAsia" w:asciiTheme="minorEastAsia" w:hAnsiTheme="minorEastAsia" w:eastAsiaTheme="minorEastAsia" w:cstheme="minorEastAsia"/>
          <w:color w:val="auto"/>
          <w:sz w:val="24"/>
          <w:szCs w:val="24"/>
          <w:highlight w:val="none"/>
        </w:rPr>
        <w:t>1.8 计量单位</w:t>
      </w:r>
      <w:bookmarkEnd w:id="70"/>
    </w:p>
    <w:p w14:paraId="26AB7A7E">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所有计量均采用中华人民共和国法定计量单位。</w:t>
      </w:r>
    </w:p>
    <w:p w14:paraId="1A6C9186">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71" w:name="_Toc398107846"/>
      <w:r>
        <w:rPr>
          <w:rFonts w:hint="eastAsia" w:asciiTheme="minorEastAsia" w:hAnsiTheme="minorEastAsia" w:eastAsiaTheme="minorEastAsia" w:cstheme="minorEastAsia"/>
          <w:color w:val="auto"/>
          <w:sz w:val="24"/>
          <w:szCs w:val="24"/>
          <w:highlight w:val="none"/>
        </w:rPr>
        <w:t>1.9 踏勘现场</w:t>
      </w:r>
      <w:bookmarkEnd w:id="71"/>
    </w:p>
    <w:p w14:paraId="6E6ABB70">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1.9.1</w:t>
      </w:r>
      <w:r>
        <w:rPr>
          <w:rFonts w:hint="eastAsia" w:asciiTheme="minorEastAsia" w:hAnsiTheme="minorEastAsia" w:eastAsiaTheme="minorEastAsia" w:cstheme="minorEastAsia"/>
          <w:color w:val="auto"/>
          <w:sz w:val="24"/>
          <w:szCs w:val="24"/>
          <w:highlight w:val="none"/>
        </w:rPr>
        <w:t>投标人须知前附表规定组织踏勘现场的，招标人按投标人须知前附表规定的时间、地点组织投标人踏勘项目现场。</w:t>
      </w:r>
      <w:r>
        <w:rPr>
          <w:rFonts w:hint="eastAsia" w:asciiTheme="minorEastAsia" w:hAnsiTheme="minorEastAsia" w:eastAsiaTheme="minorEastAsia" w:cstheme="minorEastAsia"/>
          <w:bCs/>
          <w:snapToGrid w:val="0"/>
          <w:color w:val="auto"/>
          <w:sz w:val="24"/>
          <w:szCs w:val="24"/>
          <w:highlight w:val="none"/>
        </w:rPr>
        <w:t>部分投标人未按时参加踏勘现场的，不影响踏勘现场的正常进行。招标人不得组织单个或部分投标人踏勘项目现场。</w:t>
      </w:r>
    </w:p>
    <w:p w14:paraId="1BFE5176">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1.9.2 投标人踏勘现场发生的费用自理。</w:t>
      </w:r>
    </w:p>
    <w:p w14:paraId="7E8784BA">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1.9.3 除招标人的原因外，投标人自行负责在踏勘现场中所发生的人员伤亡和财产损失。</w:t>
      </w:r>
    </w:p>
    <w:p w14:paraId="699CE4B2">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1.9.4 招标人向投标人提供的有关施工现场的资料和数据是招标人现有的能使投标人利用的资料。招标人对投标人由此而做出的推论、理解和结论概不负责。</w:t>
      </w:r>
    </w:p>
    <w:p w14:paraId="725DB75F">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1.9.5 无论投标人是否到施工现场实地踏勘，中标后签订合同时和履约过程中，投标人不得以不完全了解现场情况等为由，提出任何形式的增加</w:t>
      </w:r>
      <w:r>
        <w:rPr>
          <w:rFonts w:hint="eastAsia" w:asciiTheme="minorEastAsia" w:hAnsiTheme="minorEastAsia" w:eastAsiaTheme="minorEastAsia" w:cstheme="minorEastAsia"/>
          <w:b w:val="0"/>
          <w:bCs w:val="0"/>
          <w:color w:val="auto"/>
          <w:kern w:val="0"/>
          <w:sz w:val="24"/>
          <w:szCs w:val="24"/>
          <w:highlight w:val="none"/>
          <w:lang w:val="en-US" w:eastAsia="zh-CN"/>
        </w:rPr>
        <w:t>监理服务</w:t>
      </w:r>
      <w:r>
        <w:rPr>
          <w:rFonts w:hint="eastAsia" w:asciiTheme="minorEastAsia" w:hAnsiTheme="minorEastAsia" w:eastAsiaTheme="minorEastAsia" w:cstheme="minorEastAsia"/>
          <w:b w:val="0"/>
          <w:bCs w:val="0"/>
          <w:color w:val="auto"/>
          <w:kern w:val="0"/>
          <w:sz w:val="24"/>
          <w:szCs w:val="24"/>
          <w:highlight w:val="none"/>
        </w:rPr>
        <w:t>费或索赔的要求。</w:t>
      </w:r>
    </w:p>
    <w:p w14:paraId="5ABD447F">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72" w:name="_Toc398107847"/>
      <w:r>
        <w:rPr>
          <w:rFonts w:hint="eastAsia" w:asciiTheme="minorEastAsia" w:hAnsiTheme="minorEastAsia" w:eastAsiaTheme="minorEastAsia" w:cstheme="minorEastAsia"/>
          <w:color w:val="auto"/>
          <w:sz w:val="24"/>
          <w:szCs w:val="24"/>
          <w:highlight w:val="none"/>
        </w:rPr>
        <w:t>1.10 投标预备会</w:t>
      </w:r>
      <w:bookmarkEnd w:id="72"/>
    </w:p>
    <w:p w14:paraId="349FEE7A">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1.10.1 </w:t>
      </w:r>
      <w:r>
        <w:rPr>
          <w:rFonts w:hint="eastAsia" w:asciiTheme="minorEastAsia" w:hAnsiTheme="minorEastAsia" w:eastAsiaTheme="minorEastAsia" w:cstheme="minorEastAsia"/>
          <w:color w:val="auto"/>
          <w:sz w:val="24"/>
          <w:szCs w:val="24"/>
          <w:highlight w:val="none"/>
        </w:rPr>
        <w:t>投标人须知前附表规定召开投标预备会的，招标人按投标人须知前附表规定的时间和地点召开投标预备会，澄清投标人提出的问题。</w:t>
      </w:r>
    </w:p>
    <w:p w14:paraId="1DA7EC7E">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1.10.2 投标人应在投标人须知前附表规定的时间前，以书面形式将提出的问题送达招标人，以便招标人在会议期间澄清。</w:t>
      </w:r>
    </w:p>
    <w:p w14:paraId="0540987D">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1.10.3 投标预备会后，招标人在投标人须知前附表规定的时间内，将对投标人所提问题的澄清，以书面方式通知所有购买招标文件的投标人。该澄清内容为招标文件的组成部分。</w:t>
      </w:r>
    </w:p>
    <w:p w14:paraId="416F27FD">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73" w:name="_Toc179632559"/>
      <w:r>
        <w:rPr>
          <w:rFonts w:hint="eastAsia" w:asciiTheme="minorEastAsia" w:hAnsiTheme="minorEastAsia" w:eastAsiaTheme="minorEastAsia" w:cstheme="minorEastAsia"/>
          <w:color w:val="auto"/>
          <w:sz w:val="24"/>
          <w:szCs w:val="24"/>
          <w:highlight w:val="none"/>
        </w:rPr>
        <w:t>1.11 响应和偏离</w:t>
      </w:r>
      <w:bookmarkEnd w:id="73"/>
    </w:p>
    <w:p w14:paraId="1A81FAED">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1.11.1 投标文件偏离招标文件某些要求，视为投标文件存在偏差。偏差包括重大偏差和细微偏差。</w:t>
      </w:r>
    </w:p>
    <w:p w14:paraId="6468153B">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1.11.2 投标文件应对招标文件的实质性要求和条件作出满足性或更有利于招标人的响应，否则，视为投标文件存在重大偏差，投标人的投标将被否决。</w:t>
      </w:r>
    </w:p>
    <w:p w14:paraId="5A2D39CA">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投标文件存在第三章“评标办法”中所列任一否决投标情形的，均属于存在重大偏差。</w:t>
      </w:r>
    </w:p>
    <w:p w14:paraId="3289ABC1">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1.11.3 投标文件中的下列偏差为细微偏差：</w:t>
      </w:r>
    </w:p>
    <w:p w14:paraId="19AFF34C">
      <w:pPr>
        <w:tabs>
          <w:tab w:val="left" w:pos="1014"/>
        </w:tabs>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3026323A">
      <w:pPr>
        <w:tabs>
          <w:tab w:val="left" w:pos="1014"/>
        </w:tabs>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（2）投标文件个别文字有遗漏错误等不影响投标文件实质性内容的偏差。</w:t>
      </w:r>
    </w:p>
    <w:p w14:paraId="7B60187A">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 xml:space="preserve">1.11.4 评标委员会对投标文件中的细微偏差按如下规定处理： </w:t>
      </w:r>
    </w:p>
    <w:p w14:paraId="7DE246D4">
      <w:pPr>
        <w:tabs>
          <w:tab w:val="left" w:pos="1011"/>
        </w:tabs>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（1）对于本章第1.11.3项（1）目所述的细微偏差，按照第三章“评标办法”的规定予以修正并要求投标人进行澄清；</w:t>
      </w:r>
    </w:p>
    <w:p w14:paraId="44AF10AC">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（2）对于本章第1.11.3项（2）目所述的细微偏差，可要求投标人对细微偏差进行澄清。</w:t>
      </w:r>
    </w:p>
    <w:p w14:paraId="1922BBBF">
      <w:pPr>
        <w:pStyle w:val="3"/>
        <w:snapToGrid w:val="0"/>
        <w:spacing w:line="360" w:lineRule="auto"/>
        <w:rPr>
          <w:rFonts w:hint="eastAsia" w:asciiTheme="minorEastAsia" w:hAnsiTheme="minorEastAsia" w:eastAsiaTheme="minorEastAsia" w:cstheme="minorEastAsia"/>
          <w:color w:val="auto"/>
          <w:sz w:val="24"/>
          <w:szCs w:val="24"/>
          <w:highlight w:val="none"/>
        </w:rPr>
      </w:pPr>
      <w:bookmarkStart w:id="74" w:name="_Toc21888"/>
      <w:bookmarkStart w:id="75" w:name="_Toc398107848"/>
      <w:r>
        <w:rPr>
          <w:rFonts w:hint="eastAsia" w:asciiTheme="minorEastAsia" w:hAnsiTheme="minorEastAsia" w:eastAsiaTheme="minorEastAsia" w:cstheme="minorEastAsia"/>
          <w:color w:val="auto"/>
          <w:sz w:val="24"/>
          <w:szCs w:val="24"/>
          <w:highlight w:val="none"/>
        </w:rPr>
        <w:t>2  招标文件</w:t>
      </w:r>
      <w:bookmarkEnd w:id="74"/>
      <w:bookmarkEnd w:id="75"/>
    </w:p>
    <w:p w14:paraId="1E084483">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76" w:name="_Toc398107849"/>
      <w:r>
        <w:rPr>
          <w:rFonts w:hint="eastAsia" w:asciiTheme="minorEastAsia" w:hAnsiTheme="minorEastAsia" w:eastAsiaTheme="minorEastAsia" w:cstheme="minorEastAsia"/>
          <w:color w:val="auto"/>
          <w:sz w:val="24"/>
          <w:szCs w:val="24"/>
          <w:highlight w:val="none"/>
        </w:rPr>
        <w:t>2.1 招标文件的组成</w:t>
      </w:r>
      <w:bookmarkEnd w:id="76"/>
    </w:p>
    <w:p w14:paraId="32AF66C0">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2.1.1 本招标文件包括：</w:t>
      </w:r>
    </w:p>
    <w:p w14:paraId="734F194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（1）招标公告；</w:t>
      </w:r>
    </w:p>
    <w:p w14:paraId="1FFDB70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（2）投标人须知；</w:t>
      </w:r>
    </w:p>
    <w:p w14:paraId="70E480E0">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（3）评标办法；</w:t>
      </w:r>
    </w:p>
    <w:p w14:paraId="41F27EE8">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（4）合同条款及格式；</w:t>
      </w:r>
    </w:p>
    <w:p w14:paraId="5FF9783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（5）技术资料和设计文件；</w:t>
      </w:r>
    </w:p>
    <w:p w14:paraId="6604AAF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（6）投标文件格式；</w:t>
      </w:r>
    </w:p>
    <w:p w14:paraId="54DE0C2A">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（7）投标人须知前附表规定的其他材料。</w:t>
      </w:r>
    </w:p>
    <w:p w14:paraId="0050A975">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2.1.2 根据本章第1.10款、第2.2款和第2.3款对招标文件所作的澄清、修改，构成招标文件的组成部分。当招标文件相互之间发生矛盾时，以后发出的文件为准。</w:t>
      </w:r>
    </w:p>
    <w:p w14:paraId="0CD56FAC">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77" w:name="_Toc398107850"/>
      <w:r>
        <w:rPr>
          <w:rFonts w:hint="eastAsia" w:asciiTheme="minorEastAsia" w:hAnsiTheme="minorEastAsia" w:eastAsiaTheme="minorEastAsia" w:cstheme="minorEastAsia"/>
          <w:color w:val="auto"/>
          <w:sz w:val="24"/>
          <w:szCs w:val="24"/>
          <w:highlight w:val="none"/>
        </w:rPr>
        <w:t>2.2 招标文件的澄清</w:t>
      </w:r>
      <w:bookmarkEnd w:id="77"/>
    </w:p>
    <w:p w14:paraId="4D908A51">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1CBED8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2.2.2 招标文件的澄清将以书面形式发给所有购买招标文件的投标人，但不指明澄清问题的来源。如果澄清的内容影响到投标文件的编制，且澄清发出的时间距投标截止时间不足3天，相应延长投标截止时间。</w:t>
      </w:r>
    </w:p>
    <w:p w14:paraId="0673EE40">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2.2.3 投标人在收到澄清后，</w:t>
      </w:r>
      <w:r>
        <w:rPr>
          <w:rFonts w:hint="eastAsia" w:asciiTheme="minorEastAsia" w:hAnsiTheme="minorEastAsia" w:eastAsiaTheme="minorEastAsia" w:cstheme="minorEastAsia"/>
          <w:bCs/>
          <w:snapToGrid w:val="0"/>
          <w:color w:val="auto"/>
          <w:sz w:val="24"/>
          <w:szCs w:val="24"/>
          <w:highlight w:val="none"/>
        </w:rPr>
        <w:t>应按投标人须知前附表规定的时间和形式通知招标人，确认已收到该澄清。</w:t>
      </w:r>
    </w:p>
    <w:p w14:paraId="07895F5D">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2.2.4 除非招标人认为确有必要答复，否则，招标人有权拒绝回复投标人在本章第2.2.1项规定的时间后提出的任何澄清要求。</w:t>
      </w:r>
    </w:p>
    <w:p w14:paraId="754B71AB">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78" w:name="_Toc398107851"/>
      <w:r>
        <w:rPr>
          <w:rFonts w:hint="eastAsia" w:asciiTheme="minorEastAsia" w:hAnsiTheme="minorEastAsia" w:eastAsiaTheme="minorEastAsia" w:cstheme="minorEastAsia"/>
          <w:color w:val="auto"/>
          <w:sz w:val="24"/>
          <w:szCs w:val="24"/>
          <w:highlight w:val="none"/>
        </w:rPr>
        <w:t>2.3 招标文件的修改和补充</w:t>
      </w:r>
      <w:bookmarkEnd w:id="78"/>
    </w:p>
    <w:p w14:paraId="5A354054">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2.3.1 在投标截止时间前，招标人可以书面形式对招标文件进行修改和补充，并通知所有已购买招标文件的投标人。如果修改和补充的内容影响到投标文件的编制，且修改和补充发出的时间距投标截止时间不足3天，相应延长投标截止时间。</w:t>
      </w:r>
    </w:p>
    <w:p w14:paraId="7B7AB09C">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2.3.2 投标人收到修改、补充内容后，必须以书面形式通知招标人，确认已收到该修改、补充。</w:t>
      </w:r>
    </w:p>
    <w:p w14:paraId="5F5C99EB">
      <w:pPr>
        <w:pStyle w:val="4"/>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招标文件的异议</w:t>
      </w:r>
    </w:p>
    <w:p w14:paraId="6A209575">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投标人或其他利害关系人对招标文件有异议的，应在投标截止时间3日前以书面形式提出，异议材料需按规定实行签章。招标人将在收到异议之日起3日内作出答复；作出答复前，将暂停招标投标活动。</w:t>
      </w:r>
    </w:p>
    <w:p w14:paraId="5C69102A">
      <w:pPr>
        <w:pStyle w:val="3"/>
        <w:snapToGrid w:val="0"/>
        <w:spacing w:line="360" w:lineRule="auto"/>
        <w:rPr>
          <w:rFonts w:hint="eastAsia" w:asciiTheme="minorEastAsia" w:hAnsiTheme="minorEastAsia" w:eastAsiaTheme="minorEastAsia" w:cstheme="minorEastAsia"/>
          <w:color w:val="auto"/>
          <w:sz w:val="24"/>
          <w:szCs w:val="24"/>
          <w:highlight w:val="none"/>
        </w:rPr>
      </w:pPr>
      <w:bookmarkStart w:id="79" w:name="_Toc398107852"/>
      <w:bookmarkStart w:id="80" w:name="_Toc2954"/>
      <w:r>
        <w:rPr>
          <w:rFonts w:hint="eastAsia" w:asciiTheme="minorEastAsia" w:hAnsiTheme="minorEastAsia" w:eastAsiaTheme="minorEastAsia" w:cstheme="minorEastAsia"/>
          <w:color w:val="auto"/>
          <w:sz w:val="24"/>
          <w:szCs w:val="24"/>
          <w:highlight w:val="none"/>
        </w:rPr>
        <w:t>3  投标文件</w:t>
      </w:r>
      <w:bookmarkEnd w:id="79"/>
      <w:bookmarkEnd w:id="80"/>
    </w:p>
    <w:p w14:paraId="6394CBBA">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81" w:name="_Toc398107853"/>
      <w:r>
        <w:rPr>
          <w:rFonts w:hint="eastAsia" w:asciiTheme="minorEastAsia" w:hAnsiTheme="minorEastAsia" w:eastAsiaTheme="minorEastAsia" w:cstheme="minorEastAsia"/>
          <w:color w:val="auto"/>
          <w:sz w:val="24"/>
          <w:szCs w:val="24"/>
          <w:highlight w:val="none"/>
        </w:rPr>
        <w:t>3.1 投标文件的组成</w:t>
      </w:r>
      <w:bookmarkEnd w:id="81"/>
    </w:p>
    <w:p w14:paraId="4244ECDB">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bookmarkStart w:id="82" w:name="_Toc13714"/>
      <w:bookmarkStart w:id="83" w:name="_Toc24988"/>
      <w:r>
        <w:rPr>
          <w:rFonts w:hint="eastAsia" w:asciiTheme="minorEastAsia" w:hAnsiTheme="minorEastAsia" w:eastAsiaTheme="minorEastAsia" w:cstheme="minorEastAsia"/>
          <w:color w:val="auto"/>
          <w:kern w:val="0"/>
          <w:sz w:val="24"/>
          <w:szCs w:val="24"/>
          <w:highlight w:val="none"/>
        </w:rPr>
        <w:t>3.1.1 投标文件的组成见投标人须知前附表。</w:t>
      </w:r>
    </w:p>
    <w:p w14:paraId="078A788D">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3.1.2 “投标文件格式”要求提供相关证明材料的复印件作为附件的，投标人应按要求在投标文件中提供相应材料，否则不予认可。</w:t>
      </w:r>
    </w:p>
    <w:p w14:paraId="162323C7">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84" w:name="_Toc398107854"/>
      <w:r>
        <w:rPr>
          <w:rFonts w:hint="eastAsia" w:asciiTheme="minorEastAsia" w:hAnsiTheme="minorEastAsia" w:eastAsiaTheme="minorEastAsia" w:cstheme="minorEastAsia"/>
          <w:color w:val="auto"/>
          <w:sz w:val="24"/>
          <w:szCs w:val="24"/>
          <w:highlight w:val="none"/>
        </w:rPr>
        <w:t>3.2 投标报价</w:t>
      </w:r>
      <w:bookmarkEnd w:id="82"/>
      <w:bookmarkEnd w:id="83"/>
      <w:bookmarkEnd w:id="84"/>
    </w:p>
    <w:p w14:paraId="44E329AC">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3.2.1 投标报价应包含在</w:t>
      </w:r>
      <w:r>
        <w:rPr>
          <w:rFonts w:hint="eastAsia" w:asciiTheme="minorEastAsia" w:hAnsiTheme="minorEastAsia" w:eastAsiaTheme="minorEastAsia" w:cstheme="minorEastAsia"/>
          <w:color w:val="auto"/>
          <w:kern w:val="0"/>
          <w:sz w:val="24"/>
          <w:szCs w:val="24"/>
          <w:highlight w:val="none"/>
          <w:lang w:eastAsia="zh-CN"/>
        </w:rPr>
        <w:t>监理</w:t>
      </w:r>
      <w:r>
        <w:rPr>
          <w:rFonts w:hint="eastAsia" w:asciiTheme="minorEastAsia" w:hAnsiTheme="minorEastAsia" w:eastAsiaTheme="minorEastAsia" w:cstheme="minorEastAsia"/>
          <w:color w:val="auto"/>
          <w:kern w:val="0"/>
          <w:sz w:val="24"/>
          <w:szCs w:val="24"/>
          <w:highlight w:val="none"/>
        </w:rPr>
        <w:t>服务期内完成本招标文件所列</w:t>
      </w:r>
      <w:r>
        <w:rPr>
          <w:rFonts w:hint="eastAsia" w:asciiTheme="minorEastAsia" w:hAnsiTheme="minorEastAsia" w:eastAsiaTheme="minorEastAsia" w:cstheme="minorEastAsia"/>
          <w:color w:val="auto"/>
          <w:kern w:val="0"/>
          <w:sz w:val="24"/>
          <w:szCs w:val="24"/>
          <w:highlight w:val="none"/>
          <w:lang w:eastAsia="zh-CN"/>
        </w:rPr>
        <w:t>监理</w:t>
      </w:r>
      <w:r>
        <w:rPr>
          <w:rFonts w:hint="eastAsia" w:asciiTheme="minorEastAsia" w:hAnsiTheme="minorEastAsia" w:eastAsiaTheme="minorEastAsia" w:cstheme="minorEastAsia"/>
          <w:color w:val="auto"/>
          <w:kern w:val="0"/>
          <w:sz w:val="24"/>
          <w:szCs w:val="24"/>
          <w:highlight w:val="none"/>
        </w:rPr>
        <w:t>范围全部</w:t>
      </w:r>
      <w:r>
        <w:rPr>
          <w:rFonts w:hint="eastAsia" w:asciiTheme="minorEastAsia" w:hAnsiTheme="minorEastAsia" w:eastAsiaTheme="minorEastAsia" w:cstheme="minorEastAsia"/>
          <w:color w:val="auto"/>
          <w:kern w:val="0"/>
          <w:sz w:val="24"/>
          <w:szCs w:val="24"/>
          <w:highlight w:val="none"/>
          <w:lang w:eastAsia="zh-CN"/>
        </w:rPr>
        <w:t>监理</w:t>
      </w:r>
      <w:r>
        <w:rPr>
          <w:rFonts w:hint="eastAsia" w:asciiTheme="minorEastAsia" w:hAnsiTheme="minorEastAsia" w:eastAsiaTheme="minorEastAsia" w:cstheme="minorEastAsia"/>
          <w:color w:val="auto"/>
          <w:kern w:val="0"/>
          <w:sz w:val="24"/>
          <w:szCs w:val="24"/>
          <w:highlight w:val="none"/>
        </w:rPr>
        <w:t>工作内容所需的所有费用，投标报价应包括国家规定的增值税税金。投标人应按“投标文件格式”的要求在投标函中进行报价并填写相应表格。</w:t>
      </w:r>
    </w:p>
    <w:p w14:paraId="59CFECE2">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 招标人设有最高投标限价的，投标人的投标报价不得超过最高投标限价，最高投标限价在投标人须知前附表中载明。</w:t>
      </w:r>
    </w:p>
    <w:p w14:paraId="61BD345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 投标人应充分了解本项目的总体情况以及影响投标报价的其他要素。</w:t>
      </w:r>
    </w:p>
    <w:p w14:paraId="601F60A2">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3.2.4 投标报价的其他要求见投标人须知前附表。</w:t>
      </w:r>
    </w:p>
    <w:p w14:paraId="0BD9811D">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85" w:name="_Toc398107855"/>
      <w:r>
        <w:rPr>
          <w:rFonts w:hint="eastAsia" w:asciiTheme="minorEastAsia" w:hAnsiTheme="minorEastAsia" w:eastAsiaTheme="minorEastAsia" w:cstheme="minorEastAsia"/>
          <w:color w:val="auto"/>
          <w:sz w:val="24"/>
          <w:szCs w:val="24"/>
          <w:highlight w:val="none"/>
        </w:rPr>
        <w:t>3.3 投标有效期</w:t>
      </w:r>
      <w:bookmarkEnd w:id="85"/>
    </w:p>
    <w:p w14:paraId="1C9B2800">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3.3.1 投标有效期从投标人提交投标文件截止之日起计算。在投标人须知前附表规定的投标有效期内，投标人不得要求撤销或修改其投标文件。</w:t>
      </w:r>
    </w:p>
    <w:p w14:paraId="5AD3957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197D2220">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86" w:name="_Toc398107856"/>
      <w:r>
        <w:rPr>
          <w:rFonts w:hint="eastAsia" w:asciiTheme="minorEastAsia" w:hAnsiTheme="minorEastAsia" w:eastAsiaTheme="minorEastAsia" w:cstheme="minorEastAsia"/>
          <w:color w:val="auto"/>
          <w:sz w:val="24"/>
          <w:szCs w:val="24"/>
          <w:highlight w:val="none"/>
        </w:rPr>
        <w:t>3.4 投标保证金</w:t>
      </w:r>
      <w:bookmarkEnd w:id="86"/>
      <w:r>
        <w:rPr>
          <w:rFonts w:hint="eastAsia" w:asciiTheme="minorEastAsia" w:hAnsiTheme="minorEastAsia" w:eastAsiaTheme="minorEastAsia" w:cstheme="minorEastAsia"/>
          <w:color w:val="auto"/>
          <w:sz w:val="24"/>
          <w:szCs w:val="24"/>
          <w:highlight w:val="none"/>
        </w:rPr>
        <w:t>（本项目无）</w:t>
      </w:r>
    </w:p>
    <w:p w14:paraId="18AB42D2">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87" w:name="_Toc179632570"/>
      <w:bookmarkStart w:id="88" w:name="_Toc152045552"/>
      <w:bookmarkStart w:id="89" w:name="_Toc144974520"/>
      <w:bookmarkStart w:id="90" w:name="_Toc152042328"/>
      <w:bookmarkStart w:id="91" w:name="_Toc398107858"/>
      <w:r>
        <w:rPr>
          <w:rFonts w:hint="eastAsia" w:asciiTheme="minorEastAsia" w:hAnsiTheme="minorEastAsia" w:eastAsiaTheme="minorEastAsia" w:cstheme="minorEastAsia"/>
          <w:color w:val="auto"/>
          <w:sz w:val="24"/>
          <w:szCs w:val="24"/>
          <w:highlight w:val="none"/>
        </w:rPr>
        <w:t>3.5 资格审查资料</w:t>
      </w:r>
      <w:bookmarkEnd w:id="87"/>
      <w:bookmarkEnd w:id="88"/>
      <w:bookmarkEnd w:id="89"/>
      <w:bookmarkEnd w:id="90"/>
    </w:p>
    <w:p w14:paraId="3DE28314">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3.5.1 投标人应按投标人须知前附表附录要求提供资格审查资料，内容及格式见“投标文件格式”要求。</w:t>
      </w:r>
    </w:p>
    <w:p w14:paraId="4D911053">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3.5.2 投标人须知前附表规定接受联合体投标的，资格审查资料应包括联合体各方相关情况。</w:t>
      </w:r>
    </w:p>
    <w:p w14:paraId="5D53DB7C">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3.5.3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Theme="minorEastAsia" w:hAnsiTheme="minorEastAsia" w:eastAsiaTheme="minorEastAsia" w:cstheme="minorEastAsia"/>
          <w:b/>
          <w:snapToGrid w:val="0"/>
          <w:color w:val="auto"/>
          <w:sz w:val="24"/>
          <w:szCs w:val="24"/>
          <w:highlight w:val="none"/>
        </w:rPr>
        <w:t>如果签订合同后发现中标人提供了虚假材料，招标人有权解除合同</w:t>
      </w:r>
      <w:r>
        <w:rPr>
          <w:rFonts w:hint="eastAsia" w:asciiTheme="minorEastAsia" w:hAnsiTheme="minorEastAsia" w:eastAsiaTheme="minorEastAsia" w:cstheme="minorEastAsia"/>
          <w:bCs/>
          <w:snapToGrid w:val="0"/>
          <w:color w:val="auto"/>
          <w:sz w:val="24"/>
          <w:szCs w:val="24"/>
          <w:highlight w:val="none"/>
        </w:rPr>
        <w:t>。同时招标人将投标人上述弄虚作假行为上报公共资源交易监督管理部门处理。</w:t>
      </w:r>
    </w:p>
    <w:p w14:paraId="3FE3A7DF">
      <w:pPr>
        <w:pStyle w:val="4"/>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备选投标方案</w:t>
      </w:r>
    </w:p>
    <w:p w14:paraId="7D439DCC">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3.6.1 除投标人须知前附表规定允许外，投标人不得递交备选投标方案，否则其投标将被否决。</w:t>
      </w:r>
    </w:p>
    <w:p w14:paraId="30C31091">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66811DF">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snapToGrid w:val="0"/>
          <w:color w:val="auto"/>
          <w:sz w:val="24"/>
          <w:szCs w:val="24"/>
          <w:highlight w:val="none"/>
        </w:rPr>
        <w:t>3.6.3 投标人提供两个或两个以上投标报价，或在投标文件中提供一个报价，但同时提供两个或两个以上</w:t>
      </w:r>
      <w:r>
        <w:rPr>
          <w:rFonts w:hint="eastAsia" w:asciiTheme="minorEastAsia" w:hAnsiTheme="minorEastAsia" w:eastAsiaTheme="minorEastAsia" w:cstheme="minorEastAsia"/>
          <w:bCs/>
          <w:snapToGrid w:val="0"/>
          <w:color w:val="auto"/>
          <w:sz w:val="24"/>
          <w:szCs w:val="24"/>
          <w:highlight w:val="none"/>
          <w:lang w:eastAsia="zh-CN"/>
        </w:rPr>
        <w:t>监理</w:t>
      </w:r>
      <w:r>
        <w:rPr>
          <w:rFonts w:hint="eastAsia" w:asciiTheme="minorEastAsia" w:hAnsiTheme="minorEastAsia" w:eastAsiaTheme="minorEastAsia" w:cstheme="minorEastAsia"/>
          <w:bCs/>
          <w:snapToGrid w:val="0"/>
          <w:color w:val="auto"/>
          <w:sz w:val="24"/>
          <w:szCs w:val="24"/>
          <w:highlight w:val="none"/>
        </w:rPr>
        <w:t>方案的，视为提供备选方案。</w:t>
      </w:r>
    </w:p>
    <w:p w14:paraId="1443BEC1">
      <w:pPr>
        <w:pStyle w:val="4"/>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投标文件的编制</w:t>
      </w:r>
      <w:bookmarkEnd w:id="91"/>
    </w:p>
    <w:p w14:paraId="293214D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 投标文件应按“投标文件格式”进行编写，如有必要，可以增加附页，作为投标文件的组成部分。其中，投标函附录在满足招标文件实质性要求的基础上，可以提出比招标文件要求更有利于招标人的承诺。</w:t>
      </w:r>
    </w:p>
    <w:p w14:paraId="3F3805C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3.7.2 </w:t>
      </w:r>
      <w:r>
        <w:rPr>
          <w:rFonts w:hint="eastAsia" w:asciiTheme="minorEastAsia" w:hAnsiTheme="minorEastAsia" w:eastAsiaTheme="minorEastAsia" w:cstheme="minorEastAsia"/>
          <w:snapToGrid w:val="0"/>
          <w:color w:val="auto"/>
          <w:sz w:val="24"/>
          <w:szCs w:val="24"/>
          <w:highlight w:val="none"/>
          <w:shd w:val="clear" w:color="auto" w:fill="FFFFFF"/>
        </w:rPr>
        <w:t>投标文件应当对招标文件有关工期、投标有效期、质量要求、技术标准和要求、招标范围等实质性内容作出响应。</w:t>
      </w:r>
    </w:p>
    <w:p w14:paraId="6C0BB49C">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92" w:name="_Toc398107859"/>
      <w:r>
        <w:rPr>
          <w:rFonts w:hint="eastAsia" w:asciiTheme="minorEastAsia" w:hAnsiTheme="minorEastAsia" w:eastAsiaTheme="minorEastAsia" w:cstheme="minorEastAsia"/>
          <w:color w:val="auto"/>
          <w:sz w:val="24"/>
          <w:szCs w:val="24"/>
          <w:highlight w:val="none"/>
        </w:rPr>
        <w:t>3.8 投标文件的份数和装订</w:t>
      </w:r>
      <w:bookmarkEnd w:id="92"/>
    </w:p>
    <w:p w14:paraId="3A343496">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3.8.1 投标文件正本一份, 副本份数见投标人须知前附表。正本和副本的封面上应清楚地标记“正本”或“副本”的字样。当副本和正本不一致时，以正本为准。</w:t>
      </w:r>
    </w:p>
    <w:p w14:paraId="016CB12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3.8.2 投标文件应当按本招标文件规定的正本与副本数量分别装订成册，并编制目录。</w:t>
      </w:r>
    </w:p>
    <w:p w14:paraId="6824AF69">
      <w:pPr>
        <w:pStyle w:val="3"/>
        <w:snapToGrid w:val="0"/>
        <w:spacing w:line="360" w:lineRule="auto"/>
        <w:rPr>
          <w:rFonts w:hint="eastAsia" w:asciiTheme="minorEastAsia" w:hAnsiTheme="minorEastAsia" w:eastAsiaTheme="minorEastAsia" w:cstheme="minorEastAsia"/>
          <w:color w:val="auto"/>
          <w:sz w:val="24"/>
          <w:szCs w:val="24"/>
          <w:highlight w:val="none"/>
        </w:rPr>
      </w:pPr>
      <w:bookmarkStart w:id="93" w:name="_Toc398107862"/>
      <w:bookmarkStart w:id="94" w:name="_Toc31378"/>
      <w:r>
        <w:rPr>
          <w:rFonts w:hint="eastAsia" w:asciiTheme="minorEastAsia" w:hAnsiTheme="minorEastAsia" w:eastAsiaTheme="minorEastAsia" w:cstheme="minorEastAsia"/>
          <w:color w:val="auto"/>
          <w:sz w:val="24"/>
          <w:szCs w:val="24"/>
          <w:highlight w:val="none"/>
        </w:rPr>
        <w:t>4  投标</w:t>
      </w:r>
      <w:bookmarkEnd w:id="93"/>
      <w:bookmarkEnd w:id="94"/>
    </w:p>
    <w:p w14:paraId="42E5AA04">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95" w:name="_Toc398107863"/>
      <w:r>
        <w:rPr>
          <w:rFonts w:hint="eastAsia" w:asciiTheme="minorEastAsia" w:hAnsiTheme="minorEastAsia" w:eastAsiaTheme="minorEastAsia" w:cstheme="minorEastAsia"/>
          <w:color w:val="auto"/>
          <w:sz w:val="24"/>
          <w:szCs w:val="24"/>
          <w:highlight w:val="none"/>
        </w:rPr>
        <w:t>4.1 投标文件的密封和标记</w:t>
      </w:r>
      <w:bookmarkEnd w:id="95"/>
    </w:p>
    <w:p w14:paraId="523BF231">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4.1.1 投标文件应当密封包装。封套的封口处加盖投标人单位章或由投标人的法定代人或其授权的代理人签字。</w:t>
      </w:r>
    </w:p>
    <w:p w14:paraId="55286FBB">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96" w:name="_Toc398107864"/>
      <w:r>
        <w:rPr>
          <w:rFonts w:hint="eastAsia" w:asciiTheme="minorEastAsia" w:hAnsiTheme="minorEastAsia" w:eastAsiaTheme="minorEastAsia" w:cstheme="minorEastAsia"/>
          <w:color w:val="auto"/>
          <w:sz w:val="24"/>
          <w:szCs w:val="24"/>
          <w:highlight w:val="none"/>
        </w:rPr>
        <w:t>4.2 投标文件的递交</w:t>
      </w:r>
      <w:bookmarkEnd w:id="96"/>
    </w:p>
    <w:p w14:paraId="19398D32">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4.2.1 投标人应当在第一章“招标公告”规定的投标截止时间前，将投标文件递交。</w:t>
      </w:r>
    </w:p>
    <w:p w14:paraId="1A7D7C74">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4.2.2 投标人递交投标文件的地点：见投标人须知前附表。</w:t>
      </w:r>
    </w:p>
    <w:p w14:paraId="4FE23B8C">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4.2.3 除投标人须知前附表另有规定外，投标人所递交的投标文件不予退还。</w:t>
      </w:r>
    </w:p>
    <w:p w14:paraId="0A9858B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4.2.4 投标人应当在投标截止时间前完成投标文件的递交。投标截止时间后送达的投标文件，应当拒收。</w:t>
      </w:r>
    </w:p>
    <w:p w14:paraId="15AF00A9">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97" w:name="_Toc152045558"/>
      <w:bookmarkStart w:id="98" w:name="_Toc179632576"/>
      <w:bookmarkStart w:id="99" w:name="_Toc152042334"/>
      <w:bookmarkStart w:id="100" w:name="_Toc144974526"/>
      <w:r>
        <w:rPr>
          <w:rFonts w:hint="eastAsia" w:asciiTheme="minorEastAsia" w:hAnsiTheme="minorEastAsia" w:eastAsiaTheme="minorEastAsia" w:cstheme="minorEastAsia"/>
          <w:color w:val="auto"/>
          <w:sz w:val="24"/>
          <w:szCs w:val="24"/>
          <w:highlight w:val="none"/>
        </w:rPr>
        <w:t>4.3 投标文件的修改与撤回</w:t>
      </w:r>
      <w:bookmarkEnd w:id="97"/>
      <w:bookmarkEnd w:id="98"/>
      <w:bookmarkEnd w:id="99"/>
      <w:bookmarkEnd w:id="100"/>
    </w:p>
    <w:p w14:paraId="2CF7008F">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4.3.1 在本章第4.2.1项规定的投标截止时间前，投标人可以修改或撤回已递交的投标文件。</w:t>
      </w:r>
    </w:p>
    <w:p w14:paraId="196CF68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4.3.2 投标人修改或撤回已递交的投标文件的，应当以书面形式通知招标人。书面通知应按照本章第3.7.3项的要求签字或盖章。招标人收到书面通知后，向投标人出具签收凭证。</w:t>
      </w:r>
    </w:p>
    <w:p w14:paraId="084A48B4">
      <w:pPr>
        <w:pStyle w:val="3"/>
        <w:snapToGrid w:val="0"/>
        <w:spacing w:line="360" w:lineRule="auto"/>
        <w:rPr>
          <w:rFonts w:hint="eastAsia" w:asciiTheme="minorEastAsia" w:hAnsiTheme="minorEastAsia" w:eastAsiaTheme="minorEastAsia" w:cstheme="minorEastAsia"/>
          <w:color w:val="auto"/>
          <w:sz w:val="24"/>
          <w:szCs w:val="24"/>
          <w:highlight w:val="none"/>
        </w:rPr>
      </w:pPr>
      <w:bookmarkStart w:id="101" w:name="_Toc23350"/>
      <w:bookmarkStart w:id="102" w:name="_Toc398107867"/>
      <w:r>
        <w:rPr>
          <w:rFonts w:hint="eastAsia" w:asciiTheme="minorEastAsia" w:hAnsiTheme="minorEastAsia" w:eastAsiaTheme="minorEastAsia" w:cstheme="minorEastAsia"/>
          <w:color w:val="auto"/>
          <w:sz w:val="24"/>
          <w:szCs w:val="24"/>
          <w:highlight w:val="none"/>
        </w:rPr>
        <w:t>5  开标</w:t>
      </w:r>
      <w:bookmarkEnd w:id="101"/>
      <w:bookmarkEnd w:id="102"/>
    </w:p>
    <w:p w14:paraId="562E76D2">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03" w:name="_Toc398107868"/>
      <w:r>
        <w:rPr>
          <w:rFonts w:hint="eastAsia" w:asciiTheme="minorEastAsia" w:hAnsiTheme="minorEastAsia" w:eastAsiaTheme="minorEastAsia" w:cstheme="minorEastAsia"/>
          <w:color w:val="auto"/>
          <w:sz w:val="24"/>
          <w:szCs w:val="24"/>
          <w:highlight w:val="none"/>
        </w:rPr>
        <w:t>5.1 开标时间、地点和人员</w:t>
      </w:r>
      <w:bookmarkEnd w:id="103"/>
    </w:p>
    <w:p w14:paraId="6019F518">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招标人在本章第4.2.1项规定的投标截止时间（开标时间）公开开标，所有投标人的法定代表人或其委托代理人应当准时参加。</w:t>
      </w:r>
    </w:p>
    <w:p w14:paraId="47E3FE8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投标人若未派法定代表人或其委托代理人出席开标活动，视为该投标人默认开标结果。</w:t>
      </w:r>
    </w:p>
    <w:p w14:paraId="0E59C895">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04" w:name="_Toc398107869"/>
      <w:r>
        <w:rPr>
          <w:rFonts w:hint="eastAsia" w:asciiTheme="minorEastAsia" w:hAnsiTheme="minorEastAsia" w:eastAsiaTheme="minorEastAsia" w:cstheme="minorEastAsia"/>
          <w:color w:val="auto"/>
          <w:sz w:val="24"/>
          <w:szCs w:val="24"/>
          <w:highlight w:val="none"/>
        </w:rPr>
        <w:t>5.2 开标程序</w:t>
      </w:r>
      <w:bookmarkEnd w:id="104"/>
    </w:p>
    <w:p w14:paraId="5D3D9E25">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5.2.1除投标人须知前附表另有规定外，主持人按下列程序进行开标：</w:t>
      </w:r>
    </w:p>
    <w:p w14:paraId="4746D53A">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（1）公布在投标截止时间前完成投标文件递交的投标人名称；</w:t>
      </w:r>
    </w:p>
    <w:p w14:paraId="672E3165">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（2）由投标人推选的代表检查投标文件的密封情况；</w:t>
      </w:r>
    </w:p>
    <w:p w14:paraId="394829D0">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（3）按投标人须知前附表规定公布投标人名称、投标报价及其他内容；</w:t>
      </w:r>
    </w:p>
    <w:p w14:paraId="03CBA5F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（4）开标结束。</w:t>
      </w:r>
    </w:p>
    <w:p w14:paraId="7C989F0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 xml:space="preserve"> 投标人对开标有异议的，应当在开标过程中提出；招标人当场对异议作出答复，并记入开标记录。                                                                                                                                                                                                                                                                                                                                                                                                                                                                                                                                                                                                                                                                                                                                                                                                                                                                                                                                                                                                                                                                                                                                                                                                                                                                             </w:t>
      </w:r>
    </w:p>
    <w:p w14:paraId="0EE9D9BB">
      <w:pPr>
        <w:pStyle w:val="3"/>
        <w:snapToGrid w:val="0"/>
        <w:spacing w:line="360" w:lineRule="auto"/>
        <w:rPr>
          <w:rFonts w:hint="eastAsia" w:asciiTheme="minorEastAsia" w:hAnsiTheme="minorEastAsia" w:eastAsiaTheme="minorEastAsia" w:cstheme="minorEastAsia"/>
          <w:color w:val="auto"/>
          <w:sz w:val="24"/>
          <w:szCs w:val="24"/>
          <w:highlight w:val="none"/>
        </w:rPr>
      </w:pPr>
      <w:bookmarkStart w:id="105" w:name="_Toc19589"/>
      <w:bookmarkStart w:id="106" w:name="_Toc398107870"/>
      <w:r>
        <w:rPr>
          <w:rFonts w:hint="eastAsia" w:asciiTheme="minorEastAsia" w:hAnsiTheme="minorEastAsia" w:eastAsiaTheme="minorEastAsia" w:cstheme="minorEastAsia"/>
          <w:color w:val="auto"/>
          <w:sz w:val="24"/>
          <w:szCs w:val="24"/>
          <w:highlight w:val="none"/>
        </w:rPr>
        <w:t>6  评标</w:t>
      </w:r>
      <w:bookmarkEnd w:id="105"/>
      <w:bookmarkEnd w:id="106"/>
    </w:p>
    <w:p w14:paraId="7D749B04">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bookmarkStart w:id="107" w:name="_Toc152042339"/>
      <w:bookmarkStart w:id="108" w:name="_Toc152045563"/>
      <w:bookmarkStart w:id="109" w:name="_Toc179632581"/>
      <w:bookmarkStart w:id="110" w:name="_Toc144974531"/>
      <w:bookmarkStart w:id="111" w:name="_Toc398107874"/>
      <w:r>
        <w:rPr>
          <w:rFonts w:hint="eastAsia" w:asciiTheme="minorEastAsia" w:hAnsiTheme="minorEastAsia" w:eastAsiaTheme="minorEastAsia" w:cstheme="minorEastAsia"/>
          <w:bCs/>
          <w:color w:val="auto"/>
          <w:kern w:val="0"/>
          <w:sz w:val="24"/>
          <w:szCs w:val="24"/>
          <w:highlight w:val="none"/>
        </w:rPr>
        <w:t>6.1 评标委员会</w:t>
      </w:r>
      <w:bookmarkEnd w:id="107"/>
      <w:bookmarkEnd w:id="108"/>
      <w:bookmarkEnd w:id="109"/>
      <w:bookmarkEnd w:id="110"/>
    </w:p>
    <w:p w14:paraId="7DE9234A">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E24566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6.1.2 评标委员会成员有下列情形之一的，应当主动提出回避：</w:t>
      </w:r>
    </w:p>
    <w:p w14:paraId="70FE91A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（1）投标人或投标人的主要负责人的近亲属； </w:t>
      </w:r>
    </w:p>
    <w:p w14:paraId="6A3F60BB">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（2）项目主管部门或者行政监督部门的人员；</w:t>
      </w:r>
    </w:p>
    <w:p w14:paraId="348B068D">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（3）与投标人有经济利益关系，可能影响对投标公正评审的；</w:t>
      </w:r>
    </w:p>
    <w:p w14:paraId="0E0F848F">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（4）曾因在招标、评标以及其他与招标投标有关活动中从事违法行为而受过行政处罚或刑事处罚的；</w:t>
      </w:r>
    </w:p>
    <w:p w14:paraId="7A2C8166">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（5）与投标人有其他利害关系。</w:t>
      </w:r>
    </w:p>
    <w:p w14:paraId="60F36CCD">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14F6790D">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bookmarkStart w:id="112" w:name="_Toc144974532"/>
      <w:bookmarkStart w:id="113" w:name="_Toc179632582"/>
      <w:bookmarkStart w:id="114" w:name="_Toc152042340"/>
      <w:bookmarkStart w:id="115" w:name="_Toc152045564"/>
      <w:r>
        <w:rPr>
          <w:rFonts w:hint="eastAsia" w:asciiTheme="minorEastAsia" w:hAnsiTheme="minorEastAsia" w:eastAsiaTheme="minorEastAsia" w:cstheme="minorEastAsia"/>
          <w:bCs/>
          <w:color w:val="auto"/>
          <w:kern w:val="0"/>
          <w:sz w:val="24"/>
          <w:szCs w:val="24"/>
          <w:highlight w:val="none"/>
        </w:rPr>
        <w:t>6.2 评标原则</w:t>
      </w:r>
      <w:bookmarkEnd w:id="112"/>
      <w:bookmarkEnd w:id="113"/>
      <w:bookmarkEnd w:id="114"/>
      <w:bookmarkEnd w:id="115"/>
    </w:p>
    <w:p w14:paraId="76F70720">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评标活动遵循公平、公正、科学和择优的原则。</w:t>
      </w:r>
    </w:p>
    <w:p w14:paraId="6C2A798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bookmarkStart w:id="116" w:name="_Toc179632583"/>
      <w:bookmarkStart w:id="117" w:name="_Toc152045565"/>
      <w:bookmarkStart w:id="118" w:name="_Toc152042341"/>
      <w:bookmarkStart w:id="119" w:name="_Toc144974533"/>
      <w:r>
        <w:rPr>
          <w:rFonts w:hint="eastAsia" w:asciiTheme="minorEastAsia" w:hAnsiTheme="minorEastAsia" w:eastAsiaTheme="minorEastAsia" w:cstheme="minorEastAsia"/>
          <w:bCs/>
          <w:color w:val="auto"/>
          <w:kern w:val="0"/>
          <w:sz w:val="24"/>
          <w:szCs w:val="24"/>
          <w:highlight w:val="none"/>
        </w:rPr>
        <w:t>6.3 评标</w:t>
      </w:r>
      <w:bookmarkEnd w:id="116"/>
      <w:bookmarkEnd w:id="117"/>
      <w:bookmarkEnd w:id="118"/>
      <w:bookmarkEnd w:id="119"/>
    </w:p>
    <w:p w14:paraId="374FD2A9">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6.3.1 评标委员会按照第三章“评标办法”规定的方法、评审因素、标准和程序对投标文件进行评审。第三章“评标办法”没有规定的方法、评审因素和标准，不作为评标依据。</w:t>
      </w:r>
    </w:p>
    <w:p w14:paraId="19F212D2">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6.3.2 评标完成后，评标委员会应向招标人提交书面评标报告和中标候选人名单。评标委员会推荐中标候选人的人数见投标人须知前附表。</w:t>
      </w:r>
    </w:p>
    <w:bookmarkEnd w:id="111"/>
    <w:p w14:paraId="309C47FC">
      <w:pPr>
        <w:pStyle w:val="3"/>
        <w:adjustRightInd w:val="0"/>
        <w:snapToGrid w:val="0"/>
        <w:spacing w:before="0" w:after="0" w:line="360" w:lineRule="auto"/>
        <w:rPr>
          <w:rFonts w:hint="eastAsia" w:asciiTheme="minorEastAsia" w:hAnsiTheme="minorEastAsia" w:eastAsiaTheme="minorEastAsia" w:cstheme="minorEastAsia"/>
          <w:color w:val="auto"/>
          <w:sz w:val="24"/>
          <w:szCs w:val="24"/>
          <w:highlight w:val="none"/>
        </w:rPr>
      </w:pPr>
      <w:bookmarkStart w:id="120" w:name="_Toc152042342"/>
      <w:bookmarkStart w:id="121" w:name="_Toc179632584"/>
      <w:bookmarkStart w:id="122" w:name="_Toc152045566"/>
      <w:bookmarkStart w:id="123" w:name="_Toc144974534"/>
      <w:bookmarkStart w:id="124" w:name="_Toc10646"/>
      <w:bookmarkStart w:id="125" w:name="_Toc20048"/>
      <w:bookmarkStart w:id="126" w:name="_Toc38879330"/>
      <w:r>
        <w:rPr>
          <w:rFonts w:hint="eastAsia" w:asciiTheme="minorEastAsia" w:hAnsiTheme="minorEastAsia" w:eastAsiaTheme="minorEastAsia" w:cstheme="minorEastAsia"/>
          <w:color w:val="auto"/>
          <w:sz w:val="24"/>
          <w:szCs w:val="24"/>
          <w:highlight w:val="none"/>
        </w:rPr>
        <w:t>7. 合同授予</w:t>
      </w:r>
      <w:bookmarkEnd w:id="120"/>
      <w:bookmarkEnd w:id="121"/>
      <w:bookmarkEnd w:id="122"/>
      <w:bookmarkEnd w:id="123"/>
      <w:bookmarkEnd w:id="124"/>
      <w:bookmarkEnd w:id="125"/>
      <w:bookmarkEnd w:id="126"/>
    </w:p>
    <w:p w14:paraId="52CE8864">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27" w:name="_Toc144974535"/>
      <w:bookmarkStart w:id="128" w:name="_Toc179632585"/>
      <w:bookmarkStart w:id="129" w:name="_Toc152042343"/>
      <w:bookmarkStart w:id="130" w:name="_Toc152045567"/>
      <w:r>
        <w:rPr>
          <w:rFonts w:hint="eastAsia" w:asciiTheme="minorEastAsia" w:hAnsiTheme="minorEastAsia" w:eastAsiaTheme="minorEastAsia" w:cstheme="minorEastAsia"/>
          <w:color w:val="auto"/>
          <w:sz w:val="24"/>
          <w:szCs w:val="24"/>
          <w:highlight w:val="none"/>
        </w:rPr>
        <w:t>7.1 中标候选人公示</w:t>
      </w:r>
    </w:p>
    <w:p w14:paraId="7B249C6A">
      <w:pPr>
        <w:adjustRightInd w:val="0"/>
        <w:snapToGrid w:val="0"/>
        <w:spacing w:line="360" w:lineRule="auto"/>
        <w:ind w:firstLine="484" w:firstLineChars="202"/>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招标人在收到评标报告之日起3日内，按照投标人须知前附表规定的公示媒介和期限依法公示中标候选人，公示期不得少于3日。</w:t>
      </w:r>
    </w:p>
    <w:p w14:paraId="741C7112">
      <w:pPr>
        <w:pStyle w:val="4"/>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评标结果异议</w:t>
      </w:r>
    </w:p>
    <w:p w14:paraId="5FA1DA7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投标人或其他利害关系人对评标结果有异议的，应在中标候选人公示期间提出。招标人将在收到异议之日起3日内作出答复；作出答复前，将暂停招标投标活动。</w:t>
      </w:r>
    </w:p>
    <w:p w14:paraId="7EC539E1">
      <w:pPr>
        <w:pStyle w:val="4"/>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 中标候选人履约能力审查</w:t>
      </w:r>
    </w:p>
    <w:p w14:paraId="07AE9BDF">
      <w:pPr>
        <w:adjustRightInd w:val="0"/>
        <w:snapToGrid w:val="0"/>
        <w:spacing w:line="360" w:lineRule="auto"/>
        <w:ind w:firstLine="484" w:firstLineChars="202"/>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265F5EC8">
      <w:pPr>
        <w:pStyle w:val="4"/>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 定标</w:t>
      </w:r>
    </w:p>
    <w:p w14:paraId="59913C2C">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bookmarkEnd w:id="127"/>
    <w:bookmarkEnd w:id="128"/>
    <w:bookmarkEnd w:id="129"/>
    <w:bookmarkEnd w:id="130"/>
    <w:p w14:paraId="6E38216F">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31" w:name="_Toc152042344"/>
      <w:bookmarkStart w:id="132" w:name="_Toc179632586"/>
      <w:bookmarkStart w:id="133" w:name="_Toc152045568"/>
      <w:bookmarkStart w:id="134" w:name="_Toc144974536"/>
      <w:r>
        <w:rPr>
          <w:rFonts w:hint="eastAsia" w:asciiTheme="minorEastAsia" w:hAnsiTheme="minorEastAsia" w:eastAsiaTheme="minorEastAsia" w:cstheme="minorEastAsia"/>
          <w:color w:val="auto"/>
          <w:sz w:val="24"/>
          <w:szCs w:val="24"/>
          <w:highlight w:val="none"/>
        </w:rPr>
        <w:t>7.5 中标通知</w:t>
      </w:r>
      <w:bookmarkEnd w:id="131"/>
      <w:bookmarkEnd w:id="132"/>
      <w:bookmarkEnd w:id="133"/>
      <w:bookmarkEnd w:id="134"/>
    </w:p>
    <w:p w14:paraId="26F1C9F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在本章第3.3款规定的投标有效期内，招标人以投标人须知前附表规定的形式向中标人发出中标通知书，同时将中标结果通知未中标的投标人。</w:t>
      </w:r>
    </w:p>
    <w:p w14:paraId="7C6CC3E3">
      <w:pPr>
        <w:pStyle w:val="4"/>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7.6 中标结果公示</w:t>
      </w:r>
    </w:p>
    <w:p w14:paraId="1D42AC55">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招标人在确定中标人之日起3日内，按照投标人须知前附表规定的公示媒介和期限依法公示中标结果。</w:t>
      </w:r>
    </w:p>
    <w:p w14:paraId="727718D1">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35" w:name="_Toc144974537"/>
      <w:bookmarkStart w:id="136" w:name="_Toc179632587"/>
      <w:bookmarkStart w:id="137" w:name="_Toc152045569"/>
      <w:bookmarkStart w:id="138" w:name="_Toc152042345"/>
      <w:r>
        <w:rPr>
          <w:rFonts w:hint="eastAsia" w:asciiTheme="minorEastAsia" w:hAnsiTheme="minorEastAsia" w:eastAsiaTheme="minorEastAsia" w:cstheme="minorEastAsia"/>
          <w:color w:val="auto"/>
          <w:sz w:val="24"/>
          <w:szCs w:val="24"/>
          <w:highlight w:val="none"/>
        </w:rPr>
        <w:t>7.7 履约保证金</w:t>
      </w:r>
      <w:bookmarkEnd w:id="135"/>
      <w:bookmarkEnd w:id="136"/>
      <w:bookmarkEnd w:id="137"/>
      <w:bookmarkEnd w:id="138"/>
    </w:p>
    <w:p w14:paraId="79FFBD9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7.7.1 </w:t>
      </w:r>
      <w:r>
        <w:rPr>
          <w:rFonts w:hint="eastAsia" w:asciiTheme="minorEastAsia" w:hAnsiTheme="minorEastAsia" w:eastAsiaTheme="minorEastAsia" w:cstheme="minorEastAsia"/>
          <w:bCs/>
          <w:snapToGrid w:val="0"/>
          <w:color w:val="auto"/>
          <w:sz w:val="24"/>
          <w:szCs w:val="24"/>
          <w:highlight w:val="none"/>
        </w:rPr>
        <w:t>在签订合同前，中标人应按投标人须知前附表规定的金额、担保形式和招标文件第四章“合同条款及格式”规定的或者事先经过招标人书面认可的履约保证金格式向招标人提交履约保证金。</w:t>
      </w:r>
    </w:p>
    <w:p w14:paraId="5D23D4C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7.7.2 中标人不能按本章第7.7.1项要求提交履约保证金的，视为放弃中标，其投标保证金不予退还，给招标人造成的损失超过投标保证金数额的，中标人还应当对超过部分予以赔偿。</w:t>
      </w:r>
    </w:p>
    <w:p w14:paraId="17C06AD0">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39" w:name="_Toc152042346"/>
      <w:bookmarkStart w:id="140" w:name="_Toc179632588"/>
      <w:bookmarkStart w:id="141" w:name="_Toc152045570"/>
      <w:bookmarkStart w:id="142" w:name="_Toc144974538"/>
      <w:r>
        <w:rPr>
          <w:rFonts w:hint="eastAsia" w:asciiTheme="minorEastAsia" w:hAnsiTheme="minorEastAsia" w:eastAsiaTheme="minorEastAsia" w:cstheme="minorEastAsia"/>
          <w:color w:val="auto"/>
          <w:sz w:val="24"/>
          <w:szCs w:val="24"/>
          <w:highlight w:val="none"/>
        </w:rPr>
        <w:t>7.8 签订合同</w:t>
      </w:r>
      <w:bookmarkEnd w:id="139"/>
      <w:bookmarkEnd w:id="140"/>
      <w:bookmarkEnd w:id="141"/>
      <w:bookmarkEnd w:id="142"/>
    </w:p>
    <w:p w14:paraId="57CD046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7.8.1 </w:t>
      </w:r>
      <w:r>
        <w:rPr>
          <w:rFonts w:hint="eastAsia" w:asciiTheme="minorEastAsia" w:hAnsiTheme="minorEastAsia" w:eastAsiaTheme="minorEastAsia" w:cstheme="minorEastAsia"/>
          <w:bCs/>
          <w:snapToGrid w:val="0"/>
          <w:color w:val="auto"/>
          <w:sz w:val="24"/>
          <w:szCs w:val="24"/>
          <w:highlight w:val="none"/>
        </w:rPr>
        <w:t>中标人和招标人应在投标有效期内以及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7436A17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7.8.2 </w:t>
      </w:r>
      <w:r>
        <w:rPr>
          <w:rFonts w:hint="eastAsia" w:asciiTheme="minorEastAsia" w:hAnsiTheme="minorEastAsia" w:eastAsiaTheme="minorEastAsia" w:cstheme="minorEastAsia"/>
          <w:bCs/>
          <w:snapToGrid w:val="0"/>
          <w:color w:val="auto"/>
          <w:sz w:val="24"/>
          <w:szCs w:val="24"/>
          <w:highlight w:val="none"/>
        </w:rPr>
        <w:t>发出中标通知书后，招标人无正当理由拒签合同，或者在签订合同时向中标人提出附加条件的，招标人向中标人退还投标保证金；给中标人造成损失的，还应当赔偿损失。</w:t>
      </w:r>
    </w:p>
    <w:p w14:paraId="63AD9511">
      <w:pPr>
        <w:adjustRightInd w:val="0"/>
        <w:snapToGrid w:val="0"/>
        <w:spacing w:line="360" w:lineRule="auto"/>
        <w:ind w:firstLine="480" w:firstLineChars="200"/>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7.8.3 </w:t>
      </w:r>
      <w:r>
        <w:rPr>
          <w:rFonts w:hint="eastAsia" w:asciiTheme="minorEastAsia" w:hAnsiTheme="minorEastAsia" w:eastAsiaTheme="minorEastAsia" w:cstheme="minorEastAsia"/>
          <w:bCs/>
          <w:snapToGrid w:val="0"/>
          <w:color w:val="auto"/>
          <w:sz w:val="24"/>
          <w:szCs w:val="24"/>
          <w:highlight w:val="none"/>
        </w:rPr>
        <w:t>联合体中标的，联合体各方应当共同与招标人签订合同，就中标项目向招标人承担连带责任。</w:t>
      </w:r>
      <w:bookmarkStart w:id="143" w:name="_Toc179632589"/>
      <w:bookmarkStart w:id="144" w:name="_Toc152042347"/>
      <w:bookmarkStart w:id="145" w:name="_Toc152045571"/>
      <w:bookmarkStart w:id="146" w:name="_Toc144974539"/>
      <w:bookmarkStart w:id="147" w:name="_Toc38879331"/>
      <w:bookmarkStart w:id="148" w:name="_Toc32597"/>
      <w:bookmarkStart w:id="149" w:name="_Toc24479"/>
    </w:p>
    <w:p w14:paraId="0ADD4488">
      <w:pPr>
        <w:pStyle w:val="3"/>
        <w:adjustRightInd w:val="0"/>
        <w:snapToGrid w:val="0"/>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 重新招标和不再招标</w:t>
      </w:r>
      <w:bookmarkEnd w:id="143"/>
      <w:bookmarkEnd w:id="144"/>
      <w:bookmarkEnd w:id="145"/>
      <w:bookmarkEnd w:id="146"/>
      <w:bookmarkEnd w:id="147"/>
      <w:bookmarkEnd w:id="148"/>
      <w:bookmarkEnd w:id="149"/>
    </w:p>
    <w:p w14:paraId="451137B4">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50" w:name="_Toc144974540"/>
      <w:bookmarkStart w:id="151" w:name="_Toc152042348"/>
      <w:bookmarkStart w:id="152" w:name="_Toc179632590"/>
      <w:bookmarkStart w:id="153" w:name="_Toc152045572"/>
      <w:r>
        <w:rPr>
          <w:rFonts w:hint="eastAsia" w:asciiTheme="minorEastAsia" w:hAnsiTheme="minorEastAsia" w:eastAsiaTheme="minorEastAsia" w:cstheme="minorEastAsia"/>
          <w:color w:val="auto"/>
          <w:sz w:val="24"/>
          <w:szCs w:val="24"/>
          <w:highlight w:val="none"/>
        </w:rPr>
        <w:t>8.1 重新招标</w:t>
      </w:r>
      <w:bookmarkEnd w:id="150"/>
      <w:bookmarkEnd w:id="151"/>
      <w:bookmarkEnd w:id="152"/>
      <w:bookmarkEnd w:id="153"/>
    </w:p>
    <w:p w14:paraId="403B6341">
      <w:pPr>
        <w:adjustRightInd w:val="0"/>
        <w:snapToGrid w:val="0"/>
        <w:spacing w:line="360" w:lineRule="auto"/>
        <w:ind w:firstLine="410" w:firstLineChars="17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依法必须招标的项目有下列情形之一的，招标人将重新招标：</w:t>
      </w:r>
    </w:p>
    <w:p w14:paraId="71092445">
      <w:pPr>
        <w:adjustRightInd w:val="0"/>
        <w:snapToGrid w:val="0"/>
        <w:spacing w:line="360" w:lineRule="auto"/>
        <w:ind w:firstLine="410" w:firstLineChars="17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（1）投标截止时间止，投标人少于3个的；</w:t>
      </w:r>
    </w:p>
    <w:p w14:paraId="197774F0">
      <w:pPr>
        <w:adjustRightInd w:val="0"/>
        <w:snapToGrid w:val="0"/>
        <w:spacing w:line="360" w:lineRule="auto"/>
        <w:ind w:firstLine="410" w:firstLineChars="17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（2）经评标委员会评审后否决所有投标的；</w:t>
      </w:r>
    </w:p>
    <w:p w14:paraId="25498381">
      <w:pPr>
        <w:adjustRightInd w:val="0"/>
        <w:snapToGrid w:val="0"/>
        <w:spacing w:line="360" w:lineRule="auto"/>
        <w:ind w:firstLine="410" w:firstLineChars="171"/>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（3）中标候选人均未与招标人签订合同的；</w:t>
      </w:r>
    </w:p>
    <w:p w14:paraId="57306DE8">
      <w:pPr>
        <w:adjustRightInd w:val="0"/>
        <w:snapToGrid w:val="0"/>
        <w:spacing w:line="360" w:lineRule="auto"/>
        <w:ind w:firstLine="410" w:firstLineChars="171"/>
        <w:rPr>
          <w:rFonts w:hint="eastAsia" w:asciiTheme="minorEastAsia" w:hAnsiTheme="minorEastAsia" w:eastAsiaTheme="minorEastAsia" w:cstheme="minorEastAsia"/>
          <w:bCs/>
          <w:snapToGrid w:val="0"/>
          <w:color w:val="auto"/>
          <w:sz w:val="24"/>
          <w:szCs w:val="24"/>
          <w:highlight w:val="none"/>
        </w:rPr>
      </w:pPr>
      <w:r>
        <w:rPr>
          <w:rFonts w:hint="eastAsia" w:asciiTheme="minorEastAsia" w:hAnsiTheme="minorEastAsia" w:eastAsiaTheme="minorEastAsia" w:cstheme="minorEastAsia"/>
          <w:bCs/>
          <w:snapToGrid w:val="0"/>
          <w:color w:val="auto"/>
          <w:sz w:val="24"/>
          <w:szCs w:val="24"/>
          <w:highlight w:val="none"/>
        </w:rPr>
        <w:t>（4）法律、法规规定的其他情形。</w:t>
      </w:r>
    </w:p>
    <w:p w14:paraId="2E43BA30">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54" w:name="_Toc152042349"/>
      <w:bookmarkStart w:id="155" w:name="_Toc179632591"/>
      <w:bookmarkStart w:id="156" w:name="_Toc144974541"/>
      <w:bookmarkStart w:id="157" w:name="_Toc152045573"/>
      <w:r>
        <w:rPr>
          <w:rFonts w:hint="eastAsia" w:asciiTheme="minorEastAsia" w:hAnsiTheme="minorEastAsia" w:eastAsiaTheme="minorEastAsia" w:cstheme="minorEastAsia"/>
          <w:color w:val="auto"/>
          <w:sz w:val="24"/>
          <w:szCs w:val="24"/>
          <w:highlight w:val="none"/>
        </w:rPr>
        <w:t>8.2 不再招标</w:t>
      </w:r>
      <w:bookmarkEnd w:id="154"/>
      <w:bookmarkEnd w:id="155"/>
      <w:bookmarkEnd w:id="156"/>
      <w:bookmarkEnd w:id="157"/>
    </w:p>
    <w:p w14:paraId="159C1C8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重新招标后投标人仍少于3个或者所有投标被否决的，属于必须审批或核准的工程建设项目，经原审批或核准部门批准后不再进行招标。</w:t>
      </w:r>
    </w:p>
    <w:p w14:paraId="3465231C">
      <w:pPr>
        <w:pStyle w:val="3"/>
        <w:adjustRightInd w:val="0"/>
        <w:snapToGrid w:val="0"/>
        <w:spacing w:before="0" w:after="0" w:line="360" w:lineRule="auto"/>
        <w:rPr>
          <w:rFonts w:hint="eastAsia" w:asciiTheme="minorEastAsia" w:hAnsiTheme="minorEastAsia" w:eastAsiaTheme="minorEastAsia" w:cstheme="minorEastAsia"/>
          <w:color w:val="auto"/>
          <w:sz w:val="24"/>
          <w:szCs w:val="24"/>
          <w:highlight w:val="none"/>
        </w:rPr>
      </w:pPr>
      <w:bookmarkStart w:id="158" w:name="_Toc38879332"/>
      <w:bookmarkStart w:id="159" w:name="_Toc30577"/>
      <w:bookmarkStart w:id="160" w:name="_Toc152045574"/>
      <w:bookmarkStart w:id="161" w:name="_Toc179632592"/>
      <w:bookmarkStart w:id="162" w:name="_Toc13187"/>
      <w:bookmarkStart w:id="163" w:name="_Toc152042350"/>
      <w:bookmarkStart w:id="164" w:name="_Toc144974542"/>
      <w:r>
        <w:rPr>
          <w:rFonts w:hint="eastAsia" w:asciiTheme="minorEastAsia" w:hAnsiTheme="minorEastAsia" w:eastAsiaTheme="minorEastAsia" w:cstheme="minorEastAsia"/>
          <w:color w:val="auto"/>
          <w:sz w:val="24"/>
          <w:szCs w:val="24"/>
          <w:highlight w:val="none"/>
        </w:rPr>
        <w:t>9. 纪律和监督</w:t>
      </w:r>
      <w:bookmarkEnd w:id="158"/>
      <w:bookmarkEnd w:id="159"/>
      <w:bookmarkEnd w:id="160"/>
      <w:bookmarkEnd w:id="161"/>
      <w:bookmarkEnd w:id="162"/>
      <w:bookmarkEnd w:id="163"/>
      <w:bookmarkEnd w:id="164"/>
    </w:p>
    <w:p w14:paraId="5FB54E96">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65" w:name="_Toc179632593"/>
      <w:bookmarkStart w:id="166" w:name="_Toc144974543"/>
      <w:bookmarkStart w:id="167" w:name="_Toc152042351"/>
      <w:bookmarkStart w:id="168" w:name="_Toc152045575"/>
      <w:r>
        <w:rPr>
          <w:rFonts w:hint="eastAsia" w:asciiTheme="minorEastAsia" w:hAnsiTheme="minorEastAsia" w:eastAsiaTheme="minorEastAsia" w:cstheme="minorEastAsia"/>
          <w:color w:val="auto"/>
          <w:sz w:val="24"/>
          <w:szCs w:val="24"/>
          <w:highlight w:val="none"/>
        </w:rPr>
        <w:t>9.1 对招标人的纪律要求</w:t>
      </w:r>
      <w:bookmarkEnd w:id="165"/>
      <w:bookmarkEnd w:id="166"/>
      <w:bookmarkEnd w:id="167"/>
      <w:bookmarkEnd w:id="168"/>
    </w:p>
    <w:p w14:paraId="40F1726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招标人不得泄漏招标投标活动中应当保密的情况和资料，不得与投标人串通损害国家利益、社会公共利益或者他人合法权益。</w:t>
      </w:r>
    </w:p>
    <w:p w14:paraId="65BB473A">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69" w:name="_Toc179632594"/>
      <w:bookmarkStart w:id="170" w:name="_Toc152042352"/>
      <w:bookmarkStart w:id="171" w:name="_Toc152045576"/>
      <w:bookmarkStart w:id="172" w:name="_Toc144974544"/>
      <w:r>
        <w:rPr>
          <w:rFonts w:hint="eastAsia" w:asciiTheme="minorEastAsia" w:hAnsiTheme="minorEastAsia" w:eastAsiaTheme="minorEastAsia" w:cstheme="minorEastAsia"/>
          <w:color w:val="auto"/>
          <w:sz w:val="24"/>
          <w:szCs w:val="24"/>
          <w:highlight w:val="none"/>
        </w:rPr>
        <w:t>9.2 对投标人的纪律要求</w:t>
      </w:r>
      <w:bookmarkEnd w:id="169"/>
      <w:bookmarkEnd w:id="170"/>
      <w:bookmarkEnd w:id="171"/>
      <w:bookmarkEnd w:id="172"/>
    </w:p>
    <w:p w14:paraId="2FD0058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F82FE3D">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73" w:name="_Toc179632595"/>
      <w:bookmarkStart w:id="174" w:name="_Toc152045577"/>
      <w:bookmarkStart w:id="175" w:name="_Toc152042353"/>
      <w:bookmarkStart w:id="176" w:name="_Toc144974545"/>
      <w:r>
        <w:rPr>
          <w:rFonts w:hint="eastAsia" w:asciiTheme="minorEastAsia" w:hAnsiTheme="minorEastAsia" w:eastAsiaTheme="minorEastAsia" w:cstheme="minorEastAsia"/>
          <w:color w:val="auto"/>
          <w:sz w:val="24"/>
          <w:szCs w:val="24"/>
          <w:highlight w:val="none"/>
        </w:rPr>
        <w:t>9.3 对评标委员会成员的纪律要求</w:t>
      </w:r>
      <w:bookmarkEnd w:id="173"/>
      <w:bookmarkEnd w:id="174"/>
      <w:bookmarkEnd w:id="175"/>
      <w:bookmarkEnd w:id="176"/>
    </w:p>
    <w:p w14:paraId="4A93C18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D8CDEA9">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77" w:name="_Toc152042354"/>
      <w:bookmarkStart w:id="178" w:name="_Toc179632596"/>
      <w:bookmarkStart w:id="179" w:name="_Toc152045578"/>
      <w:bookmarkStart w:id="180" w:name="_Toc144974546"/>
      <w:r>
        <w:rPr>
          <w:rFonts w:hint="eastAsia" w:asciiTheme="minorEastAsia" w:hAnsiTheme="minorEastAsia" w:eastAsiaTheme="minorEastAsia" w:cstheme="minorEastAsia"/>
          <w:color w:val="auto"/>
          <w:sz w:val="24"/>
          <w:szCs w:val="24"/>
          <w:highlight w:val="none"/>
        </w:rPr>
        <w:t>9.4 对与评标活动有关的工作人员的纪律要求</w:t>
      </w:r>
      <w:bookmarkEnd w:id="177"/>
      <w:bookmarkEnd w:id="178"/>
      <w:bookmarkEnd w:id="179"/>
    </w:p>
    <w:p w14:paraId="52A679A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181" w:name="_Toc152042355"/>
      <w:r>
        <w:rPr>
          <w:rFonts w:hint="eastAsia" w:asciiTheme="minorEastAsia" w:hAnsiTheme="minorEastAsia" w:eastAsiaTheme="minorEastAsia" w:cstheme="minorEastAsia"/>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81"/>
    </w:p>
    <w:p w14:paraId="0F9BF544">
      <w:pPr>
        <w:pStyle w:val="4"/>
        <w:snapToGrid w:val="0"/>
        <w:spacing w:line="360" w:lineRule="auto"/>
        <w:rPr>
          <w:rFonts w:hint="eastAsia" w:asciiTheme="minorEastAsia" w:hAnsiTheme="minorEastAsia" w:eastAsiaTheme="minorEastAsia" w:cstheme="minorEastAsia"/>
          <w:color w:val="auto"/>
          <w:sz w:val="24"/>
          <w:szCs w:val="24"/>
          <w:highlight w:val="none"/>
        </w:rPr>
      </w:pPr>
      <w:bookmarkStart w:id="182" w:name="_Toc152045579"/>
      <w:bookmarkStart w:id="183" w:name="_Toc152042356"/>
      <w:bookmarkStart w:id="184" w:name="_Toc179632597"/>
      <w:r>
        <w:rPr>
          <w:rFonts w:hint="eastAsia" w:asciiTheme="minorEastAsia" w:hAnsiTheme="minorEastAsia" w:eastAsiaTheme="minorEastAsia" w:cstheme="minorEastAsia"/>
          <w:color w:val="auto"/>
          <w:sz w:val="24"/>
          <w:szCs w:val="24"/>
          <w:highlight w:val="none"/>
        </w:rPr>
        <w:t>9.5 投诉</w:t>
      </w:r>
      <w:bookmarkEnd w:id="180"/>
      <w:bookmarkEnd w:id="182"/>
      <w:bookmarkEnd w:id="183"/>
      <w:bookmarkEnd w:id="184"/>
    </w:p>
    <w:p w14:paraId="2370810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9.5.1 </w:t>
      </w:r>
      <w:r>
        <w:rPr>
          <w:rFonts w:hint="eastAsia" w:asciiTheme="minorEastAsia" w:hAnsiTheme="minorEastAsia" w:eastAsiaTheme="minorEastAsia" w:cstheme="minorEastAsia"/>
          <w:snapToGrid w:val="0"/>
          <w:color w:val="auto"/>
          <w:sz w:val="24"/>
          <w:szCs w:val="24"/>
          <w:highlight w:val="none"/>
        </w:rPr>
        <w:t>投标人或者其他利害关系人认为本次招标活动违反法律、法规和规章规定的，有权向相关行政监督部门投诉。投诉应当有明确的请求和必要的证明材料。</w:t>
      </w:r>
    </w:p>
    <w:p w14:paraId="6D7F0BF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9.5.2 </w:t>
      </w:r>
      <w:r>
        <w:rPr>
          <w:rFonts w:hint="eastAsia" w:asciiTheme="minorEastAsia" w:hAnsiTheme="minorEastAsia" w:eastAsiaTheme="minorEastAsia" w:cstheme="minorEastAsia"/>
          <w:bCs/>
          <w:snapToGrid w:val="0"/>
          <w:color w:val="auto"/>
          <w:sz w:val="24"/>
          <w:szCs w:val="24"/>
          <w:highlight w:val="none"/>
        </w:rPr>
        <w:t>投标人或者其他利害关系人对招标文件、开标和评标结果提出投诉的，应当按照投标人须知第2.4款、第5.3款和第7.2款的规定先向招标人提出异议。异议答复期间</w:t>
      </w:r>
      <w:bookmarkStart w:id="185" w:name="_Toc352691517"/>
      <w:bookmarkStart w:id="186" w:name="_Toc361508630"/>
      <w:bookmarkStart w:id="187" w:name="_Toc369531561"/>
      <w:bookmarkStart w:id="188" w:name="_Toc12776"/>
      <w:bookmarkStart w:id="189" w:name="_Toc384308255"/>
      <w:bookmarkStart w:id="190" w:name="_Toc247527595"/>
      <w:bookmarkStart w:id="191" w:name="_Toc300834993"/>
      <w:bookmarkStart w:id="192" w:name="_Toc247513994"/>
      <w:r>
        <w:rPr>
          <w:rFonts w:hint="eastAsia" w:asciiTheme="minorEastAsia" w:hAnsiTheme="minorEastAsia" w:eastAsiaTheme="minorEastAsia" w:cstheme="minorEastAsia"/>
          <w:bCs/>
          <w:snapToGrid w:val="0"/>
          <w:color w:val="auto"/>
          <w:sz w:val="24"/>
          <w:szCs w:val="24"/>
          <w:highlight w:val="none"/>
        </w:rPr>
        <w:t>不计算在第9.5.</w:t>
      </w:r>
      <w:bookmarkEnd w:id="185"/>
      <w:bookmarkEnd w:id="186"/>
      <w:bookmarkEnd w:id="187"/>
      <w:bookmarkEnd w:id="188"/>
      <w:bookmarkEnd w:id="189"/>
      <w:bookmarkEnd w:id="190"/>
      <w:bookmarkEnd w:id="191"/>
      <w:bookmarkEnd w:id="192"/>
      <w:r>
        <w:rPr>
          <w:rFonts w:hint="eastAsia" w:asciiTheme="minorEastAsia" w:hAnsiTheme="minorEastAsia" w:eastAsiaTheme="minorEastAsia" w:cstheme="minorEastAsia"/>
          <w:bCs/>
          <w:snapToGrid w:val="0"/>
          <w:color w:val="auto"/>
          <w:sz w:val="24"/>
          <w:szCs w:val="24"/>
          <w:highlight w:val="none"/>
        </w:rPr>
        <w:t>1项规定的期限内。</w:t>
      </w:r>
    </w:p>
    <w:p w14:paraId="61672895">
      <w:pPr>
        <w:pStyle w:val="3"/>
        <w:adjustRightInd w:val="0"/>
        <w:snapToGrid w:val="0"/>
        <w:spacing w:before="0" w:after="0" w:line="360" w:lineRule="auto"/>
        <w:rPr>
          <w:rFonts w:hint="eastAsia" w:asciiTheme="minorEastAsia" w:hAnsiTheme="minorEastAsia" w:eastAsiaTheme="minorEastAsia" w:cstheme="minorEastAsia"/>
          <w:color w:val="auto"/>
          <w:sz w:val="24"/>
          <w:szCs w:val="24"/>
          <w:highlight w:val="none"/>
        </w:rPr>
      </w:pPr>
      <w:bookmarkStart w:id="193" w:name="_Toc144974547"/>
      <w:bookmarkStart w:id="194" w:name="_Toc8833"/>
      <w:bookmarkStart w:id="195" w:name="_Toc16018"/>
      <w:bookmarkStart w:id="196" w:name="_Toc179632598"/>
      <w:bookmarkStart w:id="197" w:name="_Toc38879333"/>
      <w:bookmarkStart w:id="198" w:name="_Toc152042357"/>
      <w:bookmarkStart w:id="199" w:name="_Toc152045580"/>
      <w:r>
        <w:rPr>
          <w:rFonts w:hint="eastAsia" w:asciiTheme="minorEastAsia" w:hAnsiTheme="minorEastAsia" w:eastAsiaTheme="minorEastAsia" w:cstheme="minorEastAsia"/>
          <w:color w:val="auto"/>
          <w:sz w:val="24"/>
          <w:szCs w:val="24"/>
          <w:highlight w:val="none"/>
        </w:rPr>
        <w:t>10. 需要补充的其他内容</w:t>
      </w:r>
      <w:bookmarkEnd w:id="193"/>
      <w:bookmarkEnd w:id="194"/>
      <w:bookmarkEnd w:id="195"/>
      <w:bookmarkEnd w:id="196"/>
      <w:bookmarkEnd w:id="197"/>
      <w:bookmarkEnd w:id="198"/>
      <w:bookmarkEnd w:id="199"/>
    </w:p>
    <w:p w14:paraId="6E793A9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需要补充的其他内容：见投标人须知前附表。</w:t>
      </w:r>
    </w:p>
    <w:p w14:paraId="208EF1F2">
      <w:pPr>
        <w:pStyle w:val="11"/>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B4E295A">
      <w:pPr>
        <w:spacing w:line="360" w:lineRule="auto"/>
        <w:ind w:firstLine="480" w:firstLineChars="200"/>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sz w:val="24"/>
          <w:szCs w:val="24"/>
          <w:highlight w:val="none"/>
        </w:rPr>
        <w:br w:type="page"/>
      </w:r>
    </w:p>
    <w:p w14:paraId="1AD0B3E1">
      <w:pPr>
        <w:adjustRightInd w:val="0"/>
        <w:snapToGrid w:val="0"/>
        <w:spacing w:before="62" w:beforeLines="20" w:after="62" w:afterLines="20" w:line="360" w:lineRule="auto"/>
        <w:jc w:val="cente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lang w:val="en-US" w:eastAsia="zh-CN"/>
        </w:rPr>
        <w:t xml:space="preserve">第三章 </w:t>
      </w:r>
      <w:r>
        <w:rPr>
          <w:rFonts w:hint="eastAsia" w:cs="宋体" w:asciiTheme="minorEastAsia" w:hAnsiTheme="minorEastAsia" w:eastAsiaTheme="minorEastAsia"/>
          <w:b/>
          <w:color w:val="auto"/>
          <w:sz w:val="32"/>
          <w:szCs w:val="32"/>
          <w:highlight w:val="none"/>
        </w:rPr>
        <w:t>评标办法和细则</w:t>
      </w:r>
    </w:p>
    <w:p w14:paraId="493395F5">
      <w:pPr>
        <w:keepNext/>
        <w:keepLines/>
        <w:pageBreakBefore w:val="0"/>
        <w:widowControl/>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仿宋"/>
          <w:color w:val="auto"/>
          <w:kern w:val="0"/>
          <w:sz w:val="24"/>
          <w:szCs w:val="24"/>
          <w:highlight w:val="none"/>
        </w:rPr>
      </w:pPr>
      <w:r>
        <w:rPr>
          <w:rFonts w:hint="eastAsia" w:ascii="宋体" w:hAnsi="宋体" w:eastAsia="宋体" w:cs="仿宋"/>
          <w:b/>
          <w:color w:val="auto"/>
          <w:kern w:val="0"/>
          <w:sz w:val="24"/>
          <w:szCs w:val="24"/>
          <w:highlight w:val="none"/>
        </w:rPr>
        <w:t>1.总则</w:t>
      </w:r>
      <w:r>
        <w:rPr>
          <w:rFonts w:hint="eastAsia" w:ascii="宋体" w:hAnsi="宋体" w:eastAsia="宋体" w:cs="仿宋"/>
          <w:color w:val="auto"/>
          <w:kern w:val="0"/>
          <w:sz w:val="24"/>
          <w:szCs w:val="24"/>
          <w:highlight w:val="none"/>
        </w:rPr>
        <w:t>：根据《招标投标法》、《招标投标法实施条例》、《评标委员会和评标办法暂行规定（七部委12号令）》等法律法规的精神，结合本市实际制定本办法。</w:t>
      </w:r>
      <w:r>
        <w:rPr>
          <w:rFonts w:hint="eastAsia" w:ascii="宋体" w:hAnsi="宋体" w:eastAsia="宋体" w:cs="仿宋"/>
          <w:b/>
          <w:color w:val="auto"/>
          <w:kern w:val="0"/>
          <w:sz w:val="24"/>
          <w:szCs w:val="24"/>
          <w:highlight w:val="none"/>
        </w:rPr>
        <w:t>本招标文件其它部分与本评标办法不一致的，以本办法的规定为准。</w:t>
      </w:r>
    </w:p>
    <w:p w14:paraId="7F56B072">
      <w:pPr>
        <w:pageBreakBefore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仿宋"/>
          <w:b/>
          <w:bCs w:val="0"/>
          <w:color w:val="auto"/>
          <w:kern w:val="0"/>
          <w:sz w:val="24"/>
          <w:szCs w:val="24"/>
          <w:highlight w:val="none"/>
        </w:rPr>
      </w:pPr>
      <w:r>
        <w:rPr>
          <w:rFonts w:hint="eastAsia" w:ascii="宋体" w:hAnsi="宋体" w:eastAsia="宋体" w:cs="仿宋"/>
          <w:b/>
          <w:bCs w:val="0"/>
          <w:color w:val="auto"/>
          <w:kern w:val="0"/>
          <w:sz w:val="24"/>
          <w:szCs w:val="24"/>
          <w:highlight w:val="none"/>
        </w:rPr>
        <w:t>2.开标评标程序</w:t>
      </w:r>
    </w:p>
    <w:p w14:paraId="6923ED69">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val="en-US" w:eastAsia="zh-CN" w:bidi="ar"/>
        </w:rPr>
        <w:t>2.1开标时，</w:t>
      </w:r>
      <w:r>
        <w:rPr>
          <w:rFonts w:hint="eastAsia" w:ascii="宋体" w:hAnsi="宋体" w:eastAsia="宋体" w:cs="宋体"/>
          <w:b w:val="0"/>
          <w:bCs/>
          <w:color w:val="auto"/>
          <w:kern w:val="0"/>
          <w:sz w:val="24"/>
          <w:highlight w:val="none"/>
          <w:lang w:bidi="ar"/>
        </w:rPr>
        <w:t>由代理机构人员从投标人中随机选取两名代表对投标文件的密封情况进行检查，若现场无投标人在场，则由招标人代表检查标书密封情况。</w:t>
      </w:r>
    </w:p>
    <w:p w14:paraId="324445B4">
      <w:pPr>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color w:val="auto"/>
          <w:kern w:val="0"/>
          <w:sz w:val="24"/>
          <w:highlight w:val="none"/>
          <w:lang w:val="en-US" w:eastAsia="zh-CN" w:bidi="ar"/>
        </w:rPr>
      </w:pPr>
      <w:r>
        <w:rPr>
          <w:rFonts w:hint="eastAsia" w:ascii="宋体" w:hAnsi="宋体" w:eastAsia="宋体" w:cs="宋体"/>
          <w:b w:val="0"/>
          <w:bCs/>
          <w:color w:val="auto"/>
          <w:kern w:val="0"/>
          <w:sz w:val="24"/>
          <w:highlight w:val="none"/>
          <w:lang w:val="en-US" w:eastAsia="zh-CN" w:bidi="ar"/>
        </w:rPr>
        <w:t>2.2开启投标文件正本。</w:t>
      </w:r>
    </w:p>
    <w:p w14:paraId="13DA93DC">
      <w:pPr>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2.</w:t>
      </w:r>
      <w:r>
        <w:rPr>
          <w:rFonts w:hint="eastAsia" w:ascii="宋体" w:hAnsi="宋体" w:eastAsia="宋体" w:cs="宋体"/>
          <w:b/>
          <w:bCs/>
          <w:color w:val="auto"/>
          <w:kern w:val="0"/>
          <w:sz w:val="24"/>
          <w:highlight w:val="none"/>
          <w:lang w:val="en-US" w:eastAsia="zh-CN" w:bidi="ar"/>
        </w:rPr>
        <w:t>3</w:t>
      </w:r>
      <w:r>
        <w:rPr>
          <w:rFonts w:hint="eastAsia" w:ascii="宋体" w:hAnsi="宋体" w:eastAsia="宋体" w:cs="宋体"/>
          <w:b/>
          <w:bCs/>
          <w:color w:val="auto"/>
          <w:kern w:val="0"/>
          <w:sz w:val="24"/>
          <w:highlight w:val="none"/>
          <w:lang w:eastAsia="zh-CN" w:bidi="ar"/>
        </w:rPr>
        <w:t>评标</w:t>
      </w:r>
      <w:r>
        <w:rPr>
          <w:rFonts w:hint="eastAsia" w:ascii="宋体" w:hAnsi="宋体" w:eastAsia="宋体" w:cs="宋体"/>
          <w:b/>
          <w:bCs/>
          <w:color w:val="auto"/>
          <w:kern w:val="0"/>
          <w:sz w:val="24"/>
          <w:highlight w:val="none"/>
          <w:lang w:bidi="ar"/>
        </w:rPr>
        <w:t>时，评标委员会应按照本章规定的评审环节依次进行。前一顺序评审通过的方可进行下一顺序评审，任一环节未通过的均视为无效投标，已进入下一顺序评审的，除下列所列情形外，评审委员会不得对前面顺序评审的结果进行修改</w:t>
      </w:r>
      <w:r>
        <w:rPr>
          <w:rFonts w:hint="eastAsia" w:ascii="宋体" w:hAnsi="宋体" w:eastAsia="宋体" w:cs="宋体"/>
          <w:b/>
          <w:bCs/>
          <w:color w:val="auto"/>
          <w:kern w:val="0"/>
          <w:sz w:val="24"/>
          <w:highlight w:val="none"/>
          <w:lang w:eastAsia="zh-CN" w:bidi="ar"/>
        </w:rPr>
        <w:t>：</w:t>
      </w:r>
      <w:r>
        <w:rPr>
          <w:rFonts w:hint="eastAsia" w:ascii="宋体" w:hAnsi="宋体" w:eastAsia="宋体" w:cs="宋体"/>
          <w:b/>
          <w:bCs/>
          <w:color w:val="auto"/>
          <w:kern w:val="0"/>
          <w:sz w:val="24"/>
          <w:highlight w:val="none"/>
          <w:lang w:bidi="ar"/>
        </w:rPr>
        <w:t>①分值汇总计算错误的；②分项评分超出评分标准范围的；③评审委员会成员对客观评审因素评分不一致的。</w:t>
      </w:r>
    </w:p>
    <w:p w14:paraId="4714381E">
      <w:pPr>
        <w:pageBreakBefore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仿宋"/>
          <w:color w:val="auto"/>
          <w:kern w:val="0"/>
          <w:sz w:val="24"/>
          <w:szCs w:val="24"/>
          <w:highlight w:val="none"/>
        </w:rPr>
      </w:pPr>
      <w:r>
        <w:rPr>
          <w:rFonts w:hint="eastAsia" w:ascii="宋体" w:hAnsi="宋体" w:eastAsia="宋体" w:cs="宋体"/>
          <w:b/>
          <w:bCs/>
          <w:color w:val="auto"/>
          <w:kern w:val="0"/>
          <w:sz w:val="24"/>
          <w:highlight w:val="none"/>
          <w:lang w:bidi="ar"/>
        </w:rPr>
        <w:t>评标报告签署前，经复核发现存在以上情形之一的，评标委员会应当场修改评标结果，并在评标报告中记载。</w:t>
      </w:r>
    </w:p>
    <w:p w14:paraId="6F749207">
      <w:pPr>
        <w:pageBreakBefore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仿宋"/>
          <w:color w:val="auto"/>
          <w:kern w:val="0"/>
          <w:sz w:val="24"/>
          <w:szCs w:val="24"/>
          <w:highlight w:val="none"/>
        </w:rPr>
      </w:pPr>
      <w:r>
        <w:rPr>
          <w:rFonts w:hint="eastAsia" w:ascii="宋体" w:hAnsi="宋体" w:eastAsia="宋体" w:cs="仿宋"/>
          <w:b w:val="0"/>
          <w:bCs/>
          <w:color w:val="auto"/>
          <w:kern w:val="0"/>
          <w:sz w:val="24"/>
          <w:szCs w:val="24"/>
          <w:highlight w:val="none"/>
        </w:rPr>
        <w:t>2.4</w:t>
      </w:r>
      <w:r>
        <w:rPr>
          <w:rFonts w:hint="eastAsia" w:ascii="宋体" w:hAnsi="宋体" w:eastAsia="宋体" w:cs="仿宋"/>
          <w:color w:val="auto"/>
          <w:kern w:val="0"/>
          <w:sz w:val="24"/>
          <w:szCs w:val="24"/>
          <w:highlight w:val="none"/>
        </w:rPr>
        <w:t>评标委员会对招标文件及评标方法中存在模糊不清、不易理解的内容，可要求招标人或代理机构解释澄清。解释澄清的内容合理的，评委会应当接受；解释澄清的内容超出了招标文件字面含义、违背了相关法律法规的，评委会应当拒绝并根据自己的专业素质做出判断。</w:t>
      </w:r>
    </w:p>
    <w:p w14:paraId="652F0057">
      <w:pPr>
        <w:pageBreakBefore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仿宋"/>
          <w:b w:val="0"/>
          <w:bCs/>
          <w:color w:val="auto"/>
          <w:kern w:val="0"/>
          <w:sz w:val="24"/>
          <w:szCs w:val="24"/>
          <w:highlight w:val="none"/>
        </w:rPr>
      </w:pPr>
      <w:r>
        <w:rPr>
          <w:rFonts w:hint="eastAsia" w:ascii="宋体" w:hAnsi="宋体" w:eastAsia="宋体" w:cs="仿宋"/>
          <w:b w:val="0"/>
          <w:bCs/>
          <w:color w:val="auto"/>
          <w:kern w:val="0"/>
          <w:sz w:val="24"/>
          <w:szCs w:val="24"/>
          <w:highlight w:val="none"/>
        </w:rPr>
        <w:t>2.5现场出席开标会议的投标人法定代表人或授权委托人在答复专家质询或对开评标程序提出异议时需出示身份证原件，并提供身份证件复印件交招标代理机构核验（授权委托人同时需提交授权委托书，法人需提供法人身份证明书），不能证明身份的澄清无效，并视为放弃澄清的权力，不能证明身份的异议不被接收。</w:t>
      </w:r>
    </w:p>
    <w:p w14:paraId="539E42A7">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2.6评标委员会按评标办法，推荐有排序的</w:t>
      </w:r>
      <w:r>
        <w:rPr>
          <w:rFonts w:hint="eastAsia" w:ascii="宋体" w:hAnsi="宋体" w:cs="仿宋"/>
          <w:color w:val="auto"/>
          <w:kern w:val="0"/>
          <w:sz w:val="24"/>
          <w:szCs w:val="24"/>
          <w:highlight w:val="none"/>
          <w:lang w:val="en-US" w:eastAsia="zh-CN" w:bidi="ar-SA"/>
        </w:rPr>
        <w:t>中标候选人</w:t>
      </w:r>
      <w:r>
        <w:rPr>
          <w:rFonts w:hint="eastAsia" w:ascii="宋体" w:hAnsi="宋体" w:eastAsia="宋体" w:cs="仿宋"/>
          <w:color w:val="auto"/>
          <w:kern w:val="0"/>
          <w:sz w:val="24"/>
          <w:szCs w:val="24"/>
          <w:highlight w:val="none"/>
          <w:lang w:val="en-US" w:eastAsia="zh-CN" w:bidi="ar-SA"/>
        </w:rPr>
        <w:t>。对否定的投标文件，评委要提出充足的否定理由，并填写在评标记录上；对认定出现异议的，按照少数服从多数的原则由评委采取投票方式表决确定。评委对评标结论有异议的应用书面方式阐述，评委拒绝在评标报告上签字且不陈述其不同意见和理由的，视为同意评标结论。</w:t>
      </w:r>
    </w:p>
    <w:p w14:paraId="0F40C491">
      <w:pPr>
        <w:pageBreakBefore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2.</w:t>
      </w:r>
      <w:r>
        <w:rPr>
          <w:rFonts w:hint="eastAsia" w:ascii="宋体" w:hAnsi="宋体" w:eastAsia="宋体" w:cs="仿宋"/>
          <w:color w:val="auto"/>
          <w:kern w:val="0"/>
          <w:sz w:val="24"/>
          <w:szCs w:val="24"/>
          <w:highlight w:val="none"/>
          <w:lang w:val="en-US" w:eastAsia="zh-CN"/>
        </w:rPr>
        <w:t>7</w:t>
      </w:r>
      <w:r>
        <w:rPr>
          <w:rFonts w:hint="eastAsia" w:ascii="宋体" w:hAnsi="宋体" w:eastAsia="宋体" w:cs="仿宋"/>
          <w:b/>
          <w:bCs/>
          <w:color w:val="auto"/>
          <w:kern w:val="0"/>
          <w:sz w:val="24"/>
          <w:szCs w:val="24"/>
          <w:highlight w:val="none"/>
          <w:lang w:val="en-US" w:eastAsia="zh-CN"/>
        </w:rPr>
        <w:t>当通过投标资格评审或商务标初步评审的投标人少3家的</w:t>
      </w:r>
      <w:r>
        <w:rPr>
          <w:rFonts w:hint="eastAsia" w:ascii="宋体" w:hAnsi="宋体" w:eastAsia="宋体" w:cs="仿宋"/>
          <w:b/>
          <w:bCs/>
          <w:color w:val="auto"/>
          <w:kern w:val="0"/>
          <w:sz w:val="24"/>
          <w:szCs w:val="24"/>
          <w:highlight w:val="none"/>
        </w:rPr>
        <w:t>，</w:t>
      </w:r>
      <w:r>
        <w:rPr>
          <w:rFonts w:hint="eastAsia" w:ascii="宋体" w:hAnsi="宋体" w:eastAsia="宋体" w:cs="仿宋"/>
          <w:color w:val="auto"/>
          <w:kern w:val="0"/>
          <w:sz w:val="24"/>
          <w:szCs w:val="24"/>
          <w:highlight w:val="none"/>
        </w:rPr>
        <w:t>评标委员会应当对本次招标是否具有竞争性进行评审。评标委员会所有成员一致认为仍具有竞争性的，应当继续评审，并在评标报告中予以说明。评标委员会个别或全部成员认为不再具有竞争性的，评标委员会应当否决全部投标，本次招标做</w:t>
      </w:r>
      <w:r>
        <w:rPr>
          <w:rFonts w:hint="eastAsia" w:ascii="宋体" w:hAnsi="宋体" w:eastAsia="宋体" w:cs="仿宋"/>
          <w:color w:val="auto"/>
          <w:kern w:val="0"/>
          <w:sz w:val="24"/>
          <w:szCs w:val="24"/>
          <w:highlight w:val="none"/>
          <w:lang w:eastAsia="zh-CN"/>
        </w:rPr>
        <w:t>招标失败</w:t>
      </w:r>
      <w:r>
        <w:rPr>
          <w:rFonts w:hint="eastAsia" w:ascii="宋体" w:hAnsi="宋体" w:eastAsia="宋体" w:cs="仿宋"/>
          <w:color w:val="auto"/>
          <w:kern w:val="0"/>
          <w:sz w:val="24"/>
          <w:szCs w:val="24"/>
          <w:highlight w:val="none"/>
        </w:rPr>
        <w:t>处理。</w:t>
      </w:r>
    </w:p>
    <w:p w14:paraId="2DF82FFD">
      <w:pPr>
        <w:pageBreakBefore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仿宋"/>
          <w:b/>
          <w:bCs/>
          <w:color w:val="auto"/>
          <w:kern w:val="0"/>
          <w:sz w:val="24"/>
          <w:szCs w:val="24"/>
          <w:highlight w:val="none"/>
        </w:rPr>
      </w:pPr>
      <w:r>
        <w:rPr>
          <w:rFonts w:hint="eastAsia" w:ascii="宋体" w:hAnsi="宋体" w:eastAsia="宋体" w:cs="仿宋"/>
          <w:color w:val="auto"/>
          <w:kern w:val="0"/>
          <w:sz w:val="24"/>
          <w:szCs w:val="24"/>
          <w:highlight w:val="none"/>
        </w:rPr>
        <w:t>2.</w:t>
      </w:r>
      <w:r>
        <w:rPr>
          <w:rFonts w:hint="eastAsia" w:ascii="宋体" w:hAnsi="宋体" w:eastAsia="宋体" w:cs="仿宋"/>
          <w:color w:val="auto"/>
          <w:kern w:val="0"/>
          <w:sz w:val="24"/>
          <w:szCs w:val="24"/>
          <w:highlight w:val="none"/>
          <w:lang w:val="en-US" w:eastAsia="zh-CN"/>
        </w:rPr>
        <w:t>8</w:t>
      </w:r>
      <w:r>
        <w:rPr>
          <w:rFonts w:hint="eastAsia" w:ascii="宋体" w:hAnsi="宋体" w:eastAsia="宋体" w:cs="仿宋"/>
          <w:b/>
          <w:color w:val="auto"/>
          <w:kern w:val="0"/>
          <w:sz w:val="24"/>
          <w:szCs w:val="24"/>
          <w:highlight w:val="none"/>
          <w:lang w:eastAsia="zh-CN"/>
        </w:rPr>
        <w:t>招标失败</w:t>
      </w:r>
      <w:r>
        <w:rPr>
          <w:rFonts w:hint="eastAsia" w:ascii="宋体" w:hAnsi="宋体" w:eastAsia="宋体" w:cs="仿宋"/>
          <w:b/>
          <w:color w:val="auto"/>
          <w:kern w:val="0"/>
          <w:sz w:val="24"/>
          <w:szCs w:val="24"/>
          <w:highlight w:val="none"/>
        </w:rPr>
        <w:t>的项目，评标委员会应出具</w:t>
      </w:r>
      <w:r>
        <w:rPr>
          <w:rFonts w:hint="eastAsia" w:ascii="宋体" w:hAnsi="宋体" w:eastAsia="宋体" w:cs="仿宋"/>
          <w:b/>
          <w:color w:val="auto"/>
          <w:kern w:val="0"/>
          <w:sz w:val="24"/>
          <w:szCs w:val="24"/>
          <w:highlight w:val="none"/>
          <w:lang w:eastAsia="zh-CN"/>
        </w:rPr>
        <w:t>招标失败</w:t>
      </w:r>
      <w:r>
        <w:rPr>
          <w:rFonts w:hint="eastAsia" w:ascii="宋体" w:hAnsi="宋体" w:eastAsia="宋体" w:cs="仿宋"/>
          <w:b/>
          <w:color w:val="auto"/>
          <w:kern w:val="0"/>
          <w:sz w:val="24"/>
          <w:szCs w:val="24"/>
          <w:highlight w:val="none"/>
        </w:rPr>
        <w:t>分析报告，</w:t>
      </w:r>
      <w:r>
        <w:rPr>
          <w:rFonts w:hint="eastAsia" w:ascii="宋体" w:hAnsi="宋体" w:eastAsia="宋体" w:cs="仿宋"/>
          <w:color w:val="auto"/>
          <w:kern w:val="0"/>
          <w:sz w:val="24"/>
          <w:szCs w:val="24"/>
          <w:highlight w:val="none"/>
        </w:rPr>
        <w:t>说明项目</w:t>
      </w:r>
      <w:r>
        <w:rPr>
          <w:rFonts w:hint="eastAsia" w:ascii="宋体" w:hAnsi="宋体" w:eastAsia="宋体" w:cs="仿宋"/>
          <w:color w:val="auto"/>
          <w:kern w:val="0"/>
          <w:sz w:val="24"/>
          <w:szCs w:val="24"/>
          <w:highlight w:val="none"/>
          <w:lang w:eastAsia="zh-CN"/>
        </w:rPr>
        <w:t>招标失败</w:t>
      </w:r>
      <w:r>
        <w:rPr>
          <w:rFonts w:hint="eastAsia" w:ascii="宋体" w:hAnsi="宋体" w:eastAsia="宋体" w:cs="仿宋"/>
          <w:color w:val="auto"/>
          <w:kern w:val="0"/>
          <w:sz w:val="24"/>
          <w:szCs w:val="24"/>
          <w:highlight w:val="none"/>
        </w:rPr>
        <w:t>的理由外，分析</w:t>
      </w:r>
      <w:r>
        <w:rPr>
          <w:rFonts w:hint="eastAsia" w:ascii="宋体" w:hAnsi="宋体" w:eastAsia="宋体" w:cs="仿宋"/>
          <w:color w:val="auto"/>
          <w:kern w:val="0"/>
          <w:sz w:val="24"/>
          <w:szCs w:val="24"/>
          <w:highlight w:val="none"/>
          <w:lang w:eastAsia="zh-CN"/>
        </w:rPr>
        <w:t>招标失败</w:t>
      </w:r>
      <w:r>
        <w:rPr>
          <w:rFonts w:hint="eastAsia" w:ascii="宋体" w:hAnsi="宋体" w:eastAsia="宋体" w:cs="仿宋"/>
          <w:color w:val="auto"/>
          <w:kern w:val="0"/>
          <w:sz w:val="24"/>
          <w:szCs w:val="24"/>
          <w:highlight w:val="none"/>
        </w:rPr>
        <w:t>产生的可能原因、招标文件有无不合理条款，并提出预防再次</w:t>
      </w:r>
      <w:r>
        <w:rPr>
          <w:rFonts w:hint="eastAsia" w:ascii="宋体" w:hAnsi="宋体" w:eastAsia="宋体" w:cs="仿宋"/>
          <w:color w:val="auto"/>
          <w:kern w:val="0"/>
          <w:sz w:val="24"/>
          <w:szCs w:val="24"/>
          <w:highlight w:val="none"/>
          <w:lang w:eastAsia="zh-CN"/>
        </w:rPr>
        <w:t>招标失败</w:t>
      </w:r>
      <w:r>
        <w:rPr>
          <w:rFonts w:hint="eastAsia" w:ascii="宋体" w:hAnsi="宋体" w:eastAsia="宋体" w:cs="仿宋"/>
          <w:color w:val="auto"/>
          <w:kern w:val="0"/>
          <w:sz w:val="24"/>
          <w:szCs w:val="24"/>
          <w:highlight w:val="none"/>
        </w:rPr>
        <w:t>的措施和建议。</w:t>
      </w:r>
    </w:p>
    <w:p w14:paraId="5506DAC9">
      <w:pPr>
        <w:pageBreakBefore w:val="0"/>
        <w:widowControl w:val="0"/>
        <w:kinsoku/>
        <w:wordWrap/>
        <w:overflowPunct/>
        <w:topLinePunct w:val="0"/>
        <w:autoSpaceDE/>
        <w:autoSpaceDN/>
        <w:bidi w:val="0"/>
        <w:adjustRightInd/>
        <w:snapToGrid/>
        <w:spacing w:line="480" w:lineRule="exact"/>
        <w:ind w:firstLine="482" w:firstLineChars="200"/>
        <w:jc w:val="both"/>
        <w:textAlignment w:val="auto"/>
        <w:outlineLvl w:val="9"/>
        <w:rPr>
          <w:rFonts w:hint="eastAsia" w:ascii="宋体" w:hAnsi="宋体" w:eastAsia="宋体" w:cs="仿宋"/>
          <w:b/>
          <w:bCs/>
          <w:color w:val="auto"/>
          <w:kern w:val="0"/>
          <w:sz w:val="24"/>
          <w:szCs w:val="24"/>
          <w:highlight w:val="none"/>
          <w:lang w:val="en-US" w:eastAsia="zh-CN" w:bidi="ar-SA"/>
        </w:rPr>
      </w:pPr>
      <w:r>
        <w:rPr>
          <w:rFonts w:hint="eastAsia" w:ascii="宋体" w:hAnsi="宋体" w:eastAsia="宋体" w:cs="仿宋"/>
          <w:b/>
          <w:bCs/>
          <w:color w:val="auto"/>
          <w:kern w:val="0"/>
          <w:sz w:val="24"/>
          <w:szCs w:val="24"/>
          <w:highlight w:val="none"/>
          <w:lang w:val="en-US" w:eastAsia="zh-CN" w:bidi="ar-SA"/>
        </w:rPr>
        <w:t>2.9 投标文件有下列情形之一的，属于重大偏差，由评标委员会评审后按否决投标处理：</w:t>
      </w:r>
    </w:p>
    <w:p w14:paraId="475BFEA3">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2.9.1未按招标文件中要求提供相关资格审查材料或提供的材料不符合要求的。</w:t>
      </w:r>
    </w:p>
    <w:p w14:paraId="2C373F0A">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2.9.2投标文件封面、投标函、报价表未加盖投标人的企业印章、企业法定代表人或其授权的委托代理人签字或盖章的。企业法定代表人授权的委托代理人没有合法、有效的委托书。</w:t>
      </w:r>
    </w:p>
    <w:p w14:paraId="1F469F37">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2.9.3未按规定的格式填写，实质性内容不全或关键字迹模糊、无法辨认的。</w:t>
      </w:r>
    </w:p>
    <w:p w14:paraId="02C78B29">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2.9.4投标人递交两份或多份内容不同的投标文件，或在一份投标文件中对同一招标项目有两个或多个报价，且未声明哪一个有效的。按招标文件规定提交备选投标方案的除外。</w:t>
      </w:r>
    </w:p>
    <w:p w14:paraId="75F1061F">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2.9.5 投标文件明显不符合招标文件规定的报价、工期、质量标准、技术规格、施工方案评审标准或其它实质性要求。</w:t>
      </w:r>
    </w:p>
    <w:p w14:paraId="76AF0696">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2.9.6投标文件中的其它重大偏差（包括缺项，漏项）：</w:t>
      </w:r>
    </w:p>
    <w:p w14:paraId="524140D1">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①投标文件中填报的报价书中的格式、内容与招标人提供给投标人报价格式、内容不一致，以致影响评标结果的。</w:t>
      </w:r>
    </w:p>
    <w:p w14:paraId="2DEF2454">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bookmarkStart w:id="200" w:name="OLE_LINK1"/>
      <w:r>
        <w:rPr>
          <w:rFonts w:hint="eastAsia" w:ascii="宋体" w:hAnsi="宋体" w:eastAsia="宋体" w:cs="仿宋"/>
          <w:color w:val="auto"/>
          <w:kern w:val="0"/>
          <w:sz w:val="24"/>
          <w:szCs w:val="24"/>
          <w:highlight w:val="none"/>
          <w:lang w:val="en-US" w:eastAsia="zh-CN" w:bidi="ar-SA"/>
        </w:rPr>
        <w:t>②投标报价高于最高投标限价的。</w:t>
      </w:r>
      <w:bookmarkEnd w:id="200"/>
    </w:p>
    <w:p w14:paraId="24A05904">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③投标人拒不按照要求对投标文件进行澄清、说明、补正的，或评标委员根据招标文件的规定对投标文件的计算错误进行修正后，投标人不接受修正后的投标报价的。</w:t>
      </w:r>
    </w:p>
    <w:p w14:paraId="0137906A">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④评标委员会认为投标人的报价明显低于其他投标人的报价，有可能影响工程质量或者不能诚信履约的，将要求其在规定的时间内（具体时间由评标委员会确定）提供书面说明，必要时提交相关证明材料，评标委员会认定其报价低于成本的将否决其投标，未在规定时间递交说明或证明材料的投标也将被否决。</w:t>
      </w:r>
    </w:p>
    <w:p w14:paraId="5B9A0976">
      <w:pPr>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⑤法律、法规规定的其它情形。</w:t>
      </w:r>
    </w:p>
    <w:p w14:paraId="404E3B72">
      <w:pPr>
        <w:pageBreakBefore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仿宋"/>
          <w:b/>
          <w:bCs/>
          <w:color w:val="auto"/>
          <w:kern w:val="0"/>
          <w:sz w:val="24"/>
          <w:szCs w:val="24"/>
          <w:highlight w:val="none"/>
          <w:lang w:eastAsia="zh-CN"/>
        </w:rPr>
      </w:pPr>
      <w:bookmarkStart w:id="201" w:name="_Toc6119"/>
      <w:r>
        <w:rPr>
          <w:rFonts w:hint="eastAsia" w:ascii="宋体" w:hAnsi="宋体" w:eastAsia="宋体" w:cs="仿宋"/>
          <w:b/>
          <w:color w:val="auto"/>
          <w:kern w:val="0"/>
          <w:sz w:val="24"/>
          <w:szCs w:val="24"/>
          <w:highlight w:val="none"/>
        </w:rPr>
        <w:t>3.</w:t>
      </w:r>
      <w:bookmarkEnd w:id="201"/>
      <w:r>
        <w:rPr>
          <w:rFonts w:hint="eastAsia" w:ascii="宋体" w:hAnsi="宋体" w:eastAsia="宋体" w:cs="仿宋"/>
          <w:b/>
          <w:bCs/>
          <w:color w:val="auto"/>
          <w:kern w:val="2"/>
          <w:sz w:val="24"/>
          <w:szCs w:val="24"/>
          <w:highlight w:val="none"/>
        </w:rPr>
        <w:t xml:space="preserve"> </w:t>
      </w:r>
      <w:r>
        <w:rPr>
          <w:rFonts w:hint="eastAsia" w:ascii="宋体" w:hAnsi="宋体" w:eastAsia="宋体" w:cs="仿宋"/>
          <w:b/>
          <w:bCs/>
          <w:color w:val="auto"/>
          <w:kern w:val="0"/>
          <w:sz w:val="24"/>
          <w:szCs w:val="24"/>
          <w:highlight w:val="none"/>
        </w:rPr>
        <w:t>投标资格评审</w:t>
      </w:r>
      <w:r>
        <w:rPr>
          <w:rFonts w:hint="eastAsia" w:ascii="宋体" w:hAnsi="宋体" w:eastAsia="宋体" w:cs="仿宋"/>
          <w:b/>
          <w:bCs/>
          <w:color w:val="auto"/>
          <w:kern w:val="0"/>
          <w:sz w:val="24"/>
          <w:szCs w:val="24"/>
          <w:highlight w:val="none"/>
          <w:lang w:eastAsia="zh-CN"/>
        </w:rPr>
        <w:t>（资信标评审）</w:t>
      </w:r>
    </w:p>
    <w:tbl>
      <w:tblPr>
        <w:tblStyle w:val="21"/>
        <w:tblW w:w="936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1187"/>
        <w:gridCol w:w="4061"/>
        <w:gridCol w:w="3594"/>
      </w:tblGrid>
      <w:tr w14:paraId="2F11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24" w:type="dxa"/>
            <w:noWrap w:val="0"/>
            <w:vAlign w:val="center"/>
          </w:tcPr>
          <w:p w14:paraId="46822001">
            <w:pPr>
              <w:keepNext w:val="0"/>
              <w:keepLines w:val="0"/>
              <w:widowControl/>
              <w:suppressLineNumbers w:val="0"/>
              <w:spacing w:before="0" w:beforeAutospacing="0" w:after="0" w:afterAutospacing="0" w:line="360" w:lineRule="auto"/>
              <w:ind w:left="0" w:right="0"/>
              <w:jc w:val="center"/>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序</w:t>
            </w:r>
          </w:p>
          <w:p w14:paraId="23D468D7">
            <w:pPr>
              <w:keepNext w:val="0"/>
              <w:keepLines w:val="0"/>
              <w:widowControl/>
              <w:suppressLineNumbers w:val="0"/>
              <w:spacing w:before="0" w:beforeAutospacing="0" w:after="0" w:afterAutospacing="0" w:line="360" w:lineRule="auto"/>
              <w:ind w:left="0" w:right="0"/>
              <w:jc w:val="center"/>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号</w:t>
            </w:r>
          </w:p>
        </w:tc>
        <w:tc>
          <w:tcPr>
            <w:tcW w:w="1187" w:type="dxa"/>
            <w:noWrap w:val="0"/>
            <w:vAlign w:val="center"/>
          </w:tcPr>
          <w:p w14:paraId="685AF3BC">
            <w:pPr>
              <w:keepNext w:val="0"/>
              <w:keepLines w:val="0"/>
              <w:widowControl/>
              <w:suppressLineNumbers w:val="0"/>
              <w:spacing w:before="0" w:beforeAutospacing="0" w:after="0" w:afterAutospacing="0" w:line="360" w:lineRule="auto"/>
              <w:ind w:left="0" w:right="0"/>
              <w:jc w:val="center"/>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评审项目</w:t>
            </w:r>
          </w:p>
        </w:tc>
        <w:tc>
          <w:tcPr>
            <w:tcW w:w="4061" w:type="dxa"/>
            <w:noWrap w:val="0"/>
            <w:vAlign w:val="center"/>
          </w:tcPr>
          <w:p w14:paraId="3EB3FA9B">
            <w:pPr>
              <w:keepNext w:val="0"/>
              <w:keepLines w:val="0"/>
              <w:widowControl/>
              <w:suppressLineNumbers w:val="0"/>
              <w:spacing w:before="0" w:beforeAutospacing="0" w:after="0" w:afterAutospacing="0" w:line="360" w:lineRule="auto"/>
              <w:ind w:left="0" w:right="0"/>
              <w:jc w:val="center"/>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证明材料</w:t>
            </w:r>
          </w:p>
        </w:tc>
        <w:tc>
          <w:tcPr>
            <w:tcW w:w="3594" w:type="dxa"/>
            <w:noWrap w:val="0"/>
            <w:vAlign w:val="center"/>
          </w:tcPr>
          <w:p w14:paraId="3A721FC7">
            <w:pPr>
              <w:keepNext w:val="0"/>
              <w:keepLines w:val="0"/>
              <w:widowControl/>
              <w:suppressLineNumbers w:val="0"/>
              <w:spacing w:before="0" w:beforeAutospacing="0" w:after="0" w:afterAutospacing="0" w:line="360" w:lineRule="auto"/>
              <w:ind w:left="0" w:right="0"/>
              <w:jc w:val="center"/>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情况说明</w:t>
            </w:r>
          </w:p>
        </w:tc>
      </w:tr>
      <w:tr w14:paraId="6E5D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24" w:type="dxa"/>
            <w:noWrap w:val="0"/>
            <w:vAlign w:val="center"/>
          </w:tcPr>
          <w:p w14:paraId="13D28C6A">
            <w:pPr>
              <w:keepNext w:val="0"/>
              <w:keepLines w:val="0"/>
              <w:widowControl/>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1</w:t>
            </w:r>
          </w:p>
        </w:tc>
        <w:tc>
          <w:tcPr>
            <w:tcW w:w="1187" w:type="dxa"/>
            <w:noWrap w:val="0"/>
            <w:vAlign w:val="center"/>
          </w:tcPr>
          <w:p w14:paraId="5F28A013">
            <w:pPr>
              <w:keepNext w:val="0"/>
              <w:keepLines w:val="0"/>
              <w:widowControl/>
              <w:suppressLineNumbers w:val="0"/>
              <w:spacing w:before="0" w:beforeAutospacing="0" w:after="0" w:afterAutospacing="0"/>
              <w:ind w:left="0" w:right="0"/>
              <w:jc w:val="left"/>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企业资质</w:t>
            </w:r>
          </w:p>
        </w:tc>
        <w:tc>
          <w:tcPr>
            <w:tcW w:w="4061" w:type="dxa"/>
            <w:noWrap w:val="0"/>
            <w:vAlign w:val="center"/>
          </w:tcPr>
          <w:p w14:paraId="6493260C">
            <w:pPr>
              <w:keepNext w:val="0"/>
              <w:keepLines w:val="0"/>
              <w:widowControl/>
              <w:suppressLineNumbers w:val="0"/>
              <w:spacing w:before="0" w:beforeAutospacing="0" w:after="0" w:afterAutospacing="0" w:line="360" w:lineRule="auto"/>
              <w:ind w:left="0" w:right="0"/>
              <w:jc w:val="left"/>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按附录1资格审查条件(资质最低条件)提供材料</w:t>
            </w:r>
          </w:p>
        </w:tc>
        <w:tc>
          <w:tcPr>
            <w:tcW w:w="3594" w:type="dxa"/>
            <w:noWrap w:val="0"/>
            <w:vAlign w:val="center"/>
          </w:tcPr>
          <w:p w14:paraId="6016D30B">
            <w:pPr>
              <w:keepNext w:val="0"/>
              <w:keepLines w:val="0"/>
              <w:widowControl/>
              <w:suppressLineNumbers w:val="0"/>
              <w:spacing w:before="0" w:beforeAutospacing="0" w:after="0" w:afterAutospacing="0" w:line="360" w:lineRule="auto"/>
              <w:ind w:left="0" w:right="0"/>
              <w:jc w:val="left"/>
              <w:rPr>
                <w:rFonts w:hint="eastAsia" w:ascii="宋体" w:hAnsi="宋体" w:eastAsia="宋体"/>
                <w:color w:val="auto"/>
                <w:kern w:val="2"/>
                <w:sz w:val="24"/>
                <w:szCs w:val="24"/>
                <w:highlight w:val="none"/>
              </w:rPr>
            </w:pPr>
            <w:r>
              <w:rPr>
                <w:rFonts w:hint="eastAsia" w:ascii="宋体" w:hAnsi="宋体" w:eastAsia="宋体" w:cs="宋体"/>
                <w:color w:val="auto"/>
                <w:kern w:val="2"/>
                <w:sz w:val="24"/>
                <w:szCs w:val="22"/>
                <w:highlight w:val="none"/>
              </w:rPr>
              <w:t>提供</w:t>
            </w:r>
            <w:r>
              <w:rPr>
                <w:rFonts w:hint="eastAsia" w:ascii="宋体" w:hAnsi="宋体" w:eastAsia="宋体"/>
                <w:color w:val="auto"/>
                <w:kern w:val="2"/>
                <w:sz w:val="24"/>
                <w:szCs w:val="24"/>
                <w:highlight w:val="none"/>
              </w:rPr>
              <w:t>有效的营业执照、企业资质等级证书复印件或扫描件放入投标文件，纸质证照和电子证照皆可。</w:t>
            </w:r>
          </w:p>
        </w:tc>
      </w:tr>
      <w:tr w14:paraId="1FBC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24" w:type="dxa"/>
            <w:noWrap w:val="0"/>
            <w:vAlign w:val="center"/>
          </w:tcPr>
          <w:p w14:paraId="03090206">
            <w:pPr>
              <w:keepNext w:val="0"/>
              <w:keepLines w:val="0"/>
              <w:widowControl/>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2</w:t>
            </w:r>
          </w:p>
        </w:tc>
        <w:tc>
          <w:tcPr>
            <w:tcW w:w="1187" w:type="dxa"/>
            <w:noWrap w:val="0"/>
            <w:vAlign w:val="center"/>
          </w:tcPr>
          <w:p w14:paraId="4A693EFD">
            <w:pPr>
              <w:keepNext w:val="0"/>
              <w:keepLines w:val="0"/>
              <w:widowControl/>
              <w:suppressLineNumbers w:val="0"/>
              <w:spacing w:before="0" w:beforeAutospacing="0" w:after="0" w:afterAutospacing="0"/>
              <w:ind w:left="0" w:right="0"/>
              <w:jc w:val="left"/>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项目总监理工程师</w:t>
            </w:r>
          </w:p>
        </w:tc>
        <w:tc>
          <w:tcPr>
            <w:tcW w:w="4061" w:type="dxa"/>
            <w:noWrap w:val="0"/>
            <w:vAlign w:val="center"/>
          </w:tcPr>
          <w:p w14:paraId="43F5E046">
            <w:pPr>
              <w:keepNext w:val="0"/>
              <w:keepLines w:val="0"/>
              <w:widowControl/>
              <w:suppressLineNumbers w:val="0"/>
              <w:spacing w:before="0" w:beforeAutospacing="0" w:after="0" w:afterAutospacing="0" w:line="360" w:lineRule="auto"/>
              <w:ind w:left="0" w:right="0"/>
              <w:jc w:val="left"/>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按附录3资格审查条件（项目</w:t>
            </w:r>
            <w:r>
              <w:rPr>
                <w:rFonts w:hint="eastAsia" w:ascii="宋体" w:hAnsi="宋体" w:eastAsia="宋体" w:cs="仿宋_GB2312"/>
                <w:color w:val="auto"/>
                <w:kern w:val="2"/>
                <w:sz w:val="24"/>
                <w:szCs w:val="24"/>
                <w:highlight w:val="none"/>
              </w:rPr>
              <w:t>总监理工程师</w:t>
            </w:r>
            <w:r>
              <w:rPr>
                <w:rFonts w:hint="eastAsia" w:ascii="宋体" w:hAnsi="宋体" w:eastAsia="宋体"/>
                <w:color w:val="auto"/>
                <w:kern w:val="2"/>
                <w:sz w:val="24"/>
                <w:szCs w:val="24"/>
                <w:highlight w:val="none"/>
              </w:rPr>
              <w:t>最低要求）提供材料</w:t>
            </w:r>
          </w:p>
        </w:tc>
        <w:tc>
          <w:tcPr>
            <w:tcW w:w="3594" w:type="dxa"/>
            <w:noWrap w:val="0"/>
            <w:vAlign w:val="center"/>
          </w:tcPr>
          <w:p w14:paraId="549500D8">
            <w:pPr>
              <w:keepNext w:val="0"/>
              <w:keepLines w:val="0"/>
              <w:widowControl/>
              <w:suppressLineNumbers w:val="0"/>
              <w:spacing w:before="0" w:beforeAutospacing="0" w:after="0" w:afterAutospacing="0" w:line="360" w:lineRule="auto"/>
              <w:ind w:left="0" w:right="0"/>
              <w:jc w:val="left"/>
              <w:rPr>
                <w:rFonts w:hint="eastAsia" w:ascii="宋体" w:hAnsi="宋体" w:eastAsia="宋体"/>
                <w:color w:val="auto"/>
                <w:kern w:val="2"/>
                <w:sz w:val="24"/>
                <w:szCs w:val="24"/>
                <w:highlight w:val="none"/>
              </w:rPr>
            </w:pPr>
            <w:r>
              <w:rPr>
                <w:rFonts w:hint="eastAsia" w:ascii="宋体" w:hAnsi="宋体" w:eastAsia="宋体" w:cs="宋体"/>
                <w:color w:val="auto"/>
                <w:kern w:val="2"/>
                <w:sz w:val="24"/>
                <w:szCs w:val="22"/>
                <w:highlight w:val="none"/>
              </w:rPr>
              <w:t>提供</w:t>
            </w:r>
            <w:r>
              <w:rPr>
                <w:rFonts w:hint="eastAsia" w:ascii="宋体" w:hAnsi="宋体" w:eastAsia="宋体" w:cs="仿宋"/>
                <w:color w:val="auto"/>
                <w:kern w:val="2"/>
                <w:sz w:val="24"/>
                <w:szCs w:val="24"/>
                <w:highlight w:val="none"/>
              </w:rPr>
              <w:t>有效的注册执业证书、</w:t>
            </w:r>
            <w:r>
              <w:rPr>
                <w:rFonts w:hint="eastAsia" w:ascii="宋体" w:hAnsi="宋体" w:eastAsia="宋体" w:cs="宋体"/>
                <w:color w:val="auto"/>
                <w:kern w:val="2"/>
                <w:sz w:val="24"/>
                <w:szCs w:val="22"/>
                <w:highlight w:val="none"/>
              </w:rPr>
              <w:t>在社保平台下载的社保缴纳证明或由社保部门盖章出具的证明</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如是退休人员，则须提供退休</w:t>
            </w:r>
            <w:r>
              <w:rPr>
                <w:rFonts w:hint="eastAsia" w:ascii="宋体" w:hAnsi="宋体" w:cs="宋体"/>
                <w:color w:val="auto"/>
                <w:kern w:val="2"/>
                <w:sz w:val="24"/>
                <w:szCs w:val="22"/>
                <w:highlight w:val="none"/>
                <w:lang w:eastAsia="zh-CN"/>
              </w:rPr>
              <w:t>证明</w:t>
            </w:r>
            <w:r>
              <w:rPr>
                <w:rFonts w:hint="eastAsia" w:ascii="宋体" w:hAnsi="宋体" w:eastAsia="宋体" w:cs="宋体"/>
                <w:color w:val="auto"/>
                <w:kern w:val="2"/>
                <w:sz w:val="24"/>
                <w:szCs w:val="22"/>
                <w:highlight w:val="none"/>
              </w:rPr>
              <w:t>和与该投标单位签订的有效期内的劳务合同）</w:t>
            </w:r>
            <w:r>
              <w:rPr>
                <w:rFonts w:hint="eastAsia" w:ascii="宋体" w:hAnsi="宋体" w:eastAsia="宋体" w:cs="仿宋"/>
                <w:color w:val="auto"/>
                <w:kern w:val="2"/>
                <w:sz w:val="24"/>
                <w:szCs w:val="24"/>
                <w:highlight w:val="none"/>
              </w:rPr>
              <w:t>复印件或扫描件放入投标文件中</w:t>
            </w:r>
            <w:r>
              <w:rPr>
                <w:rFonts w:hint="eastAsia" w:ascii="宋体" w:hAnsi="宋体" w:eastAsia="宋体"/>
                <w:color w:val="auto"/>
                <w:kern w:val="2"/>
                <w:sz w:val="24"/>
                <w:szCs w:val="24"/>
                <w:highlight w:val="none"/>
              </w:rPr>
              <w:t>，纸质证照和电子证照皆可</w:t>
            </w:r>
            <w:r>
              <w:rPr>
                <w:rFonts w:hint="eastAsia" w:ascii="宋体" w:hAnsi="宋体" w:eastAsia="宋体" w:cs="仿宋"/>
                <w:color w:val="auto"/>
                <w:kern w:val="2"/>
                <w:sz w:val="24"/>
                <w:szCs w:val="24"/>
                <w:highlight w:val="none"/>
              </w:rPr>
              <w:t>。</w:t>
            </w:r>
          </w:p>
        </w:tc>
      </w:tr>
      <w:tr w14:paraId="4D25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24" w:type="dxa"/>
            <w:noWrap w:val="0"/>
            <w:vAlign w:val="center"/>
          </w:tcPr>
          <w:p w14:paraId="517ABA23">
            <w:pPr>
              <w:keepNext w:val="0"/>
              <w:keepLines w:val="0"/>
              <w:widowControl/>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3</w:t>
            </w:r>
          </w:p>
        </w:tc>
        <w:tc>
          <w:tcPr>
            <w:tcW w:w="1187" w:type="dxa"/>
            <w:noWrap w:val="0"/>
            <w:vAlign w:val="center"/>
          </w:tcPr>
          <w:p w14:paraId="61CF06D6">
            <w:pPr>
              <w:keepNext w:val="0"/>
              <w:keepLines w:val="0"/>
              <w:widowControl/>
              <w:suppressLineNumbers w:val="0"/>
              <w:spacing w:before="0" w:beforeAutospacing="0" w:after="0" w:afterAutospacing="0"/>
              <w:ind w:left="0" w:right="0"/>
              <w:jc w:val="left"/>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承诺书</w:t>
            </w:r>
          </w:p>
        </w:tc>
        <w:tc>
          <w:tcPr>
            <w:tcW w:w="4061" w:type="dxa"/>
            <w:shd w:val="clear" w:color="auto" w:fill="auto"/>
            <w:noWrap w:val="0"/>
            <w:vAlign w:val="center"/>
          </w:tcPr>
          <w:p w14:paraId="749109F0">
            <w:pPr>
              <w:widowControl/>
              <w:snapToGri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按格式要求填写、签章</w:t>
            </w:r>
          </w:p>
        </w:tc>
        <w:tc>
          <w:tcPr>
            <w:tcW w:w="3594" w:type="dxa"/>
            <w:shd w:val="clear" w:color="auto" w:fill="auto"/>
            <w:noWrap w:val="0"/>
            <w:vAlign w:val="center"/>
          </w:tcPr>
          <w:p w14:paraId="6DB04AEA">
            <w:pPr>
              <w:widowControl/>
              <w:snapToGri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由法定代表人签字或盖章并加盖公章的承诺书</w:t>
            </w:r>
          </w:p>
        </w:tc>
      </w:tr>
      <w:tr w14:paraId="14D6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24" w:type="dxa"/>
            <w:noWrap w:val="0"/>
            <w:vAlign w:val="center"/>
          </w:tcPr>
          <w:p w14:paraId="1776FA85">
            <w:pPr>
              <w:keepNext w:val="0"/>
              <w:keepLines w:val="0"/>
              <w:widowControl/>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4</w:t>
            </w:r>
          </w:p>
        </w:tc>
        <w:tc>
          <w:tcPr>
            <w:tcW w:w="1187" w:type="dxa"/>
            <w:noWrap w:val="0"/>
            <w:vAlign w:val="center"/>
          </w:tcPr>
          <w:p w14:paraId="6D5158F6">
            <w:pPr>
              <w:keepNext w:val="0"/>
              <w:keepLines w:val="0"/>
              <w:widowControl/>
              <w:suppressLineNumbers w:val="0"/>
              <w:spacing w:before="0" w:beforeAutospacing="0" w:after="0" w:afterAutospacing="0"/>
              <w:ind w:left="0" w:right="0"/>
              <w:jc w:val="left"/>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诚信承诺书</w:t>
            </w:r>
          </w:p>
        </w:tc>
        <w:tc>
          <w:tcPr>
            <w:tcW w:w="4061" w:type="dxa"/>
            <w:noWrap w:val="0"/>
            <w:vAlign w:val="center"/>
          </w:tcPr>
          <w:p w14:paraId="0734BD19">
            <w:pPr>
              <w:keepNext w:val="0"/>
              <w:keepLines w:val="0"/>
              <w:widowControl/>
              <w:suppressLineNumbers w:val="0"/>
              <w:spacing w:before="0" w:beforeAutospacing="0" w:after="0" w:afterAutospacing="0" w:line="360" w:lineRule="auto"/>
              <w:ind w:left="0" w:right="0"/>
              <w:jc w:val="left"/>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无投标人须知前附表及投标人须知1.4.3、1.4.4 规定的不得投标的关联关系、不良状况和不良信用记录</w:t>
            </w:r>
          </w:p>
        </w:tc>
        <w:tc>
          <w:tcPr>
            <w:tcW w:w="3594" w:type="dxa"/>
            <w:noWrap w:val="0"/>
            <w:vAlign w:val="center"/>
          </w:tcPr>
          <w:p w14:paraId="112CDC9D">
            <w:pPr>
              <w:keepNext w:val="0"/>
              <w:keepLines w:val="0"/>
              <w:widowControl/>
              <w:suppressLineNumbers w:val="0"/>
              <w:spacing w:before="0" w:beforeAutospacing="0" w:after="0" w:afterAutospacing="0" w:line="360" w:lineRule="auto"/>
              <w:ind w:left="0" w:right="0"/>
              <w:jc w:val="left"/>
              <w:rPr>
                <w:rFonts w:hint="eastAsia" w:ascii="宋体" w:hAnsi="宋体" w:eastAsia="宋体"/>
                <w:color w:val="auto"/>
                <w:kern w:val="2"/>
                <w:sz w:val="24"/>
                <w:szCs w:val="24"/>
                <w:highlight w:val="none"/>
              </w:rPr>
            </w:pPr>
            <w:r>
              <w:rPr>
                <w:rFonts w:hint="eastAsia" w:ascii="宋体" w:hAnsi="宋体" w:eastAsia="宋体" w:cs="仿宋"/>
                <w:color w:val="auto"/>
                <w:kern w:val="2"/>
                <w:sz w:val="24"/>
                <w:szCs w:val="24"/>
                <w:highlight w:val="none"/>
              </w:rPr>
              <w:t>由法定代表人签署并加盖公章的诚信承诺书，原件放入投标文件。</w:t>
            </w:r>
          </w:p>
        </w:tc>
      </w:tr>
      <w:tr w14:paraId="284E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24" w:type="dxa"/>
            <w:noWrap w:val="0"/>
            <w:vAlign w:val="center"/>
          </w:tcPr>
          <w:p w14:paraId="6197B731">
            <w:pPr>
              <w:keepNext w:val="0"/>
              <w:keepLines w:val="0"/>
              <w:widowControl/>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5</w:t>
            </w:r>
          </w:p>
        </w:tc>
        <w:tc>
          <w:tcPr>
            <w:tcW w:w="1187" w:type="dxa"/>
            <w:noWrap w:val="0"/>
            <w:vAlign w:val="center"/>
          </w:tcPr>
          <w:p w14:paraId="382FDD65">
            <w:pPr>
              <w:keepNext w:val="0"/>
              <w:keepLines w:val="0"/>
              <w:widowControl/>
              <w:suppressLineNumbers w:val="0"/>
              <w:spacing w:before="0" w:beforeAutospacing="0" w:after="0" w:afterAutospacing="0"/>
              <w:ind w:left="0" w:right="0"/>
              <w:jc w:val="left"/>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授权委托书、法定代表人身份证明书</w:t>
            </w:r>
          </w:p>
        </w:tc>
        <w:tc>
          <w:tcPr>
            <w:tcW w:w="4061" w:type="dxa"/>
            <w:noWrap w:val="0"/>
            <w:vAlign w:val="center"/>
          </w:tcPr>
          <w:p w14:paraId="2E1FE2A6">
            <w:pPr>
              <w:keepNext w:val="0"/>
              <w:keepLines w:val="0"/>
              <w:widowControl/>
              <w:suppressLineNumbers w:val="0"/>
              <w:spacing w:before="0" w:beforeAutospacing="0" w:after="0" w:afterAutospacing="0" w:line="360" w:lineRule="auto"/>
              <w:ind w:left="0" w:right="0"/>
              <w:jc w:val="left"/>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非法定代表人的，提供授权委托书；法人到场的，无需授权委托书。需按给定的格式填写、签章</w:t>
            </w:r>
          </w:p>
        </w:tc>
        <w:tc>
          <w:tcPr>
            <w:tcW w:w="3594" w:type="dxa"/>
            <w:noWrap w:val="0"/>
            <w:vAlign w:val="center"/>
          </w:tcPr>
          <w:p w14:paraId="6C40190D">
            <w:pPr>
              <w:keepNext w:val="0"/>
              <w:keepLines w:val="0"/>
              <w:widowControl/>
              <w:suppressLineNumbers w:val="0"/>
              <w:spacing w:before="0" w:beforeAutospacing="0" w:after="0" w:afterAutospacing="0" w:line="360" w:lineRule="auto"/>
              <w:ind w:left="0" w:right="0"/>
              <w:jc w:val="left"/>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授权委托书及法定代表人身份证明书按给定格式要求填写、签字（盖章），原件放入投标文件。</w:t>
            </w:r>
          </w:p>
          <w:p w14:paraId="20F02E32">
            <w:pPr>
              <w:keepNext w:val="0"/>
              <w:keepLines w:val="0"/>
              <w:widowControl/>
              <w:suppressLineNumbers w:val="0"/>
              <w:spacing w:before="0" w:beforeAutospacing="0" w:after="0" w:afterAutospacing="0" w:line="360" w:lineRule="auto"/>
              <w:ind w:left="0" w:right="0"/>
              <w:jc w:val="left"/>
              <w:rPr>
                <w:rFonts w:hint="eastAsia" w:ascii="宋体" w:hAnsi="宋体" w:eastAsia="宋体"/>
                <w:color w:val="auto"/>
                <w:kern w:val="2"/>
                <w:sz w:val="24"/>
                <w:szCs w:val="24"/>
                <w:highlight w:val="none"/>
              </w:rPr>
            </w:pPr>
            <w:r>
              <w:rPr>
                <w:rFonts w:hint="eastAsia" w:ascii="宋体" w:hAnsi="宋体" w:eastAsia="宋体" w:cs="仿宋"/>
                <w:color w:val="auto"/>
                <w:kern w:val="2"/>
                <w:sz w:val="24"/>
                <w:szCs w:val="24"/>
                <w:highlight w:val="none"/>
              </w:rPr>
              <w:t>身份证提供</w:t>
            </w:r>
            <w:r>
              <w:rPr>
                <w:rFonts w:hint="eastAsia" w:ascii="宋体" w:hAnsi="宋体" w:eastAsia="宋体"/>
                <w:color w:val="auto"/>
                <w:kern w:val="2"/>
                <w:sz w:val="24"/>
                <w:szCs w:val="24"/>
                <w:highlight w:val="none"/>
              </w:rPr>
              <w:t>复印件或扫描件</w:t>
            </w:r>
            <w:r>
              <w:rPr>
                <w:rFonts w:hint="eastAsia" w:ascii="宋体" w:hAnsi="宋体" w:eastAsia="宋体" w:cs="仿宋"/>
                <w:color w:val="auto"/>
                <w:kern w:val="2"/>
                <w:sz w:val="24"/>
                <w:szCs w:val="24"/>
                <w:highlight w:val="none"/>
              </w:rPr>
              <w:t>放入投标文件。</w:t>
            </w:r>
          </w:p>
        </w:tc>
      </w:tr>
      <w:tr w14:paraId="307C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24" w:type="dxa"/>
            <w:noWrap w:val="0"/>
            <w:vAlign w:val="center"/>
          </w:tcPr>
          <w:p w14:paraId="025AD1FD">
            <w:pPr>
              <w:keepNext w:val="0"/>
              <w:keepLines w:val="0"/>
              <w:widowControl/>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val="en-US" w:eastAsia="zh-CN"/>
              </w:rPr>
              <w:t>6</w:t>
            </w:r>
          </w:p>
        </w:tc>
        <w:tc>
          <w:tcPr>
            <w:tcW w:w="1187" w:type="dxa"/>
            <w:noWrap w:val="0"/>
            <w:vAlign w:val="center"/>
          </w:tcPr>
          <w:p w14:paraId="1F9F4F14">
            <w:pPr>
              <w:keepNext w:val="0"/>
              <w:keepLines w:val="0"/>
              <w:widowControl/>
              <w:suppressLineNumbers w:val="0"/>
              <w:spacing w:before="0" w:beforeAutospacing="0" w:after="0" w:afterAutospacing="0"/>
              <w:ind w:left="0" w:right="0"/>
              <w:jc w:val="center"/>
              <w:rPr>
                <w:rFonts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拟组建的项目监理机构</w:t>
            </w:r>
          </w:p>
        </w:tc>
        <w:tc>
          <w:tcPr>
            <w:tcW w:w="4061" w:type="dxa"/>
            <w:noWrap w:val="0"/>
            <w:vAlign w:val="center"/>
          </w:tcPr>
          <w:p w14:paraId="1114B856">
            <w:pPr>
              <w:keepNext w:val="0"/>
              <w:keepLines w:val="0"/>
              <w:widowControl/>
              <w:suppressLineNumbers w:val="0"/>
              <w:spacing w:before="0" w:beforeAutospacing="0" w:after="0" w:afterAutospacing="0" w:line="360" w:lineRule="auto"/>
              <w:ind w:left="0" w:right="0"/>
              <w:jc w:val="left"/>
              <w:rPr>
                <w:rFonts w:ascii="宋体" w:hAnsi="宋体" w:eastAsia="宋体"/>
                <w:color w:val="auto"/>
                <w:kern w:val="2"/>
                <w:sz w:val="24"/>
                <w:szCs w:val="24"/>
                <w:highlight w:val="none"/>
              </w:rPr>
            </w:pPr>
            <w:r>
              <w:rPr>
                <w:rFonts w:hint="eastAsia" w:ascii="宋体" w:hAnsi="宋体" w:eastAsia="宋体" w:cs="宋体"/>
                <w:color w:val="auto"/>
                <w:kern w:val="2"/>
                <w:sz w:val="24"/>
                <w:szCs w:val="24"/>
                <w:highlight w:val="none"/>
              </w:rPr>
              <w:t>拟组建的项目监理机构满足本工程监理机构人员配备最低要求（详见附录4），专业人员配备齐全</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完全满足招标文件的资格、专业、岗位及最低人数要求。</w:t>
            </w:r>
          </w:p>
        </w:tc>
        <w:tc>
          <w:tcPr>
            <w:tcW w:w="3594" w:type="dxa"/>
            <w:noWrap w:val="0"/>
            <w:vAlign w:val="center"/>
          </w:tcPr>
          <w:p w14:paraId="10F9E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投标人须同时提供以下证明材料：</w:t>
            </w:r>
          </w:p>
          <w:p w14:paraId="1DF02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1</w:t>
            </w:r>
            <w:r>
              <w:rPr>
                <w:rFonts w:hint="eastAsia" w:ascii="宋体" w:hAnsi="宋体" w:eastAsia="宋体"/>
                <w:color w:val="auto"/>
                <w:kern w:val="2"/>
                <w:sz w:val="24"/>
                <w:szCs w:val="24"/>
                <w:highlight w:val="none"/>
                <w:lang w:val="en-US" w:eastAsia="zh-CN"/>
              </w:rPr>
              <w:t>.</w:t>
            </w:r>
            <w:r>
              <w:rPr>
                <w:rFonts w:hint="eastAsia" w:ascii="宋体" w:hAnsi="宋体" w:eastAsia="宋体"/>
                <w:color w:val="auto"/>
                <w:kern w:val="2"/>
                <w:sz w:val="24"/>
                <w:szCs w:val="24"/>
                <w:highlight w:val="none"/>
              </w:rPr>
              <w:t>拟派项目总监理工程师的国家注册监理工程师注册执业证书</w:t>
            </w:r>
            <w:r>
              <w:rPr>
                <w:rFonts w:hint="eastAsia" w:ascii="宋体" w:hAnsi="宋体" w:eastAsia="宋体"/>
                <w:color w:val="auto"/>
                <w:kern w:val="2"/>
                <w:sz w:val="24"/>
                <w:szCs w:val="24"/>
                <w:highlight w:val="none"/>
                <w:lang w:eastAsia="zh-CN"/>
              </w:rPr>
              <w:t>、中华人民共和国居民身份证和</w:t>
            </w:r>
            <w:r>
              <w:rPr>
                <w:rFonts w:hint="eastAsia" w:ascii="宋体" w:hAnsi="宋体"/>
                <w:color w:val="auto"/>
                <w:kern w:val="2"/>
                <w:sz w:val="24"/>
                <w:szCs w:val="24"/>
                <w:highlight w:val="none"/>
                <w:lang w:eastAsia="zh-CN"/>
              </w:rPr>
              <w:t>投标截止时间</w:t>
            </w:r>
            <w:r>
              <w:rPr>
                <w:rFonts w:hint="eastAsia" w:ascii="宋体" w:hAnsi="宋体" w:eastAsia="宋体"/>
                <w:color w:val="auto"/>
                <w:kern w:val="2"/>
                <w:sz w:val="24"/>
                <w:szCs w:val="24"/>
                <w:highlight w:val="none"/>
              </w:rPr>
              <w:t>前半年内在该投标人或者投标人不具备独立承担民事责任的分支机构连续三个月的社保缴纳证明【提供在社保平台下载的社保缴纳情况或由社保部门盖章出具的证明（如是退休人员，则须提供退休证明和与该投标单位签订的有效期内的劳务合同）】复印件或扫描件放入投标文件中。</w:t>
            </w:r>
          </w:p>
          <w:p w14:paraId="1FFA1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2</w:t>
            </w:r>
            <w:r>
              <w:rPr>
                <w:rFonts w:hint="eastAsia" w:ascii="宋体" w:hAnsi="宋体" w:eastAsia="宋体"/>
                <w:color w:val="auto"/>
                <w:kern w:val="2"/>
                <w:sz w:val="24"/>
                <w:szCs w:val="24"/>
                <w:highlight w:val="none"/>
                <w:lang w:val="en-US" w:eastAsia="zh-CN"/>
              </w:rPr>
              <w:t>.</w:t>
            </w:r>
            <w:r>
              <w:rPr>
                <w:rFonts w:hint="eastAsia" w:ascii="宋体" w:hAnsi="宋体" w:eastAsia="宋体"/>
                <w:color w:val="auto"/>
                <w:kern w:val="2"/>
                <w:sz w:val="24"/>
                <w:szCs w:val="24"/>
                <w:highlight w:val="none"/>
              </w:rPr>
              <w:t>拟派各专业监理工程师的国家注册监理工程师注册执业证书</w:t>
            </w:r>
            <w:r>
              <w:rPr>
                <w:rFonts w:hint="eastAsia" w:ascii="宋体" w:hAnsi="宋体" w:eastAsia="宋体"/>
                <w:b/>
                <w:bCs/>
                <w:color w:val="auto"/>
                <w:kern w:val="2"/>
                <w:sz w:val="24"/>
                <w:szCs w:val="24"/>
                <w:highlight w:val="none"/>
              </w:rPr>
              <w:t>（或省级监理工程师证书）</w:t>
            </w:r>
            <w:r>
              <w:rPr>
                <w:rFonts w:hint="eastAsia" w:ascii="宋体" w:hAnsi="宋体" w:eastAsia="宋体"/>
                <w:color w:val="auto"/>
                <w:kern w:val="2"/>
                <w:sz w:val="24"/>
                <w:szCs w:val="24"/>
                <w:highlight w:val="none"/>
                <w:lang w:eastAsia="zh-CN"/>
              </w:rPr>
              <w:t>、中华人民共和国居民身份证</w:t>
            </w:r>
            <w:r>
              <w:rPr>
                <w:rFonts w:hint="eastAsia" w:ascii="宋体" w:hAnsi="宋体" w:eastAsia="宋体"/>
                <w:color w:val="auto"/>
                <w:kern w:val="2"/>
                <w:sz w:val="24"/>
                <w:szCs w:val="24"/>
                <w:highlight w:val="none"/>
              </w:rPr>
              <w:t>和</w:t>
            </w:r>
            <w:r>
              <w:rPr>
                <w:rFonts w:hint="eastAsia" w:ascii="宋体" w:hAnsi="宋体"/>
                <w:color w:val="auto"/>
                <w:kern w:val="2"/>
                <w:sz w:val="24"/>
                <w:szCs w:val="24"/>
                <w:highlight w:val="none"/>
                <w:lang w:eastAsia="zh-CN"/>
              </w:rPr>
              <w:t>投标截止时间</w:t>
            </w:r>
            <w:r>
              <w:rPr>
                <w:rFonts w:hint="eastAsia" w:ascii="宋体" w:hAnsi="宋体" w:eastAsia="宋体"/>
                <w:color w:val="auto"/>
                <w:kern w:val="2"/>
                <w:sz w:val="24"/>
                <w:szCs w:val="24"/>
                <w:highlight w:val="none"/>
              </w:rPr>
              <w:t>前半年内在该投标单位连续三个月的社保缴纳证明【提供在社保平台下载的社保缴纳情况或由社保部门盖章出具的证明（如是退休人员，则须提供退休证明和与该投标单位签订的有效期内的劳务合同）】复印件或扫描件放入投标文件中。</w:t>
            </w:r>
          </w:p>
          <w:p w14:paraId="41A4F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3</w:t>
            </w:r>
            <w:r>
              <w:rPr>
                <w:rFonts w:hint="eastAsia" w:ascii="宋体" w:hAnsi="宋体" w:eastAsia="宋体"/>
                <w:color w:val="auto"/>
                <w:kern w:val="2"/>
                <w:sz w:val="24"/>
                <w:szCs w:val="24"/>
                <w:highlight w:val="none"/>
                <w:lang w:val="en-US" w:eastAsia="zh-CN"/>
              </w:rPr>
              <w:t>.</w:t>
            </w:r>
            <w:r>
              <w:rPr>
                <w:rFonts w:hint="eastAsia" w:ascii="宋体" w:hAnsi="宋体" w:eastAsia="宋体"/>
                <w:color w:val="auto"/>
                <w:kern w:val="2"/>
                <w:sz w:val="24"/>
                <w:szCs w:val="24"/>
                <w:highlight w:val="none"/>
              </w:rPr>
              <w:t>拟派监理员的提供中华人民共和国居民身份证和</w:t>
            </w:r>
            <w:r>
              <w:rPr>
                <w:rFonts w:hint="eastAsia" w:ascii="宋体" w:hAnsi="宋体"/>
                <w:color w:val="auto"/>
                <w:kern w:val="2"/>
                <w:sz w:val="24"/>
                <w:szCs w:val="24"/>
                <w:highlight w:val="none"/>
                <w:lang w:eastAsia="zh-CN"/>
              </w:rPr>
              <w:t>投标截止时间</w:t>
            </w:r>
            <w:r>
              <w:rPr>
                <w:rFonts w:hint="eastAsia" w:ascii="宋体" w:hAnsi="宋体" w:eastAsia="宋体"/>
                <w:color w:val="auto"/>
                <w:kern w:val="2"/>
                <w:sz w:val="24"/>
                <w:szCs w:val="24"/>
                <w:highlight w:val="none"/>
              </w:rPr>
              <w:t>前半年内在该投标单位连续三个月的社保缴纳证明【提供在社保平台下载的社保缴纳情况或由社保部门盖章出具的证明（如是退休人员，则须提供退休证明和与该投标</w:t>
            </w:r>
          </w:p>
          <w:p w14:paraId="65D2A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单位签订的有效期内的劳务合同）】复印件或扫描件放入投标文件中。</w:t>
            </w:r>
          </w:p>
          <w:p w14:paraId="00A0F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olor w:val="auto"/>
                <w:kern w:val="2"/>
                <w:sz w:val="24"/>
                <w:szCs w:val="24"/>
                <w:highlight w:val="none"/>
              </w:rPr>
            </w:pPr>
            <w:r>
              <w:rPr>
                <w:rFonts w:hint="eastAsia" w:ascii="宋体" w:hAnsi="宋体"/>
                <w:color w:val="auto"/>
                <w:kern w:val="2"/>
                <w:sz w:val="24"/>
                <w:szCs w:val="24"/>
                <w:highlight w:val="none"/>
                <w:lang w:val="en-US" w:eastAsia="zh-CN"/>
              </w:rPr>
              <w:t>4</w:t>
            </w:r>
            <w:r>
              <w:rPr>
                <w:rFonts w:hint="eastAsia" w:ascii="宋体" w:hAnsi="宋体" w:eastAsia="宋体"/>
                <w:color w:val="auto"/>
                <w:kern w:val="2"/>
                <w:sz w:val="24"/>
                <w:szCs w:val="24"/>
                <w:highlight w:val="none"/>
                <w:lang w:val="en-US" w:eastAsia="zh-CN"/>
              </w:rPr>
              <w:t>.</w:t>
            </w:r>
            <w:r>
              <w:rPr>
                <w:rFonts w:hint="eastAsia" w:ascii="宋体" w:hAnsi="宋体" w:eastAsia="宋体"/>
                <w:color w:val="auto"/>
                <w:kern w:val="2"/>
                <w:sz w:val="24"/>
                <w:szCs w:val="24"/>
                <w:highlight w:val="none"/>
              </w:rPr>
              <w:t>提供拟组建的项目监理机构配备人员清单表（格式自拟），放入投标文件中。</w:t>
            </w:r>
          </w:p>
          <w:p w14:paraId="4539D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宋体" w:hAnsi="宋体" w:eastAsia="宋体"/>
                <w:color w:val="auto"/>
                <w:kern w:val="2"/>
                <w:sz w:val="24"/>
                <w:szCs w:val="24"/>
                <w:highlight w:val="none"/>
              </w:rPr>
            </w:pPr>
            <w:r>
              <w:rPr>
                <w:rFonts w:hint="eastAsia" w:ascii="宋体" w:hAnsi="宋体" w:eastAsia="宋体"/>
                <w:b/>
                <w:bCs/>
                <w:color w:val="auto"/>
                <w:kern w:val="2"/>
                <w:sz w:val="24"/>
                <w:szCs w:val="24"/>
                <w:highlight w:val="none"/>
              </w:rPr>
              <w:t>注：提供社会保险的任一险种，即视为提供了符合要求的社保证明（招标文件其他部分关于社保证明要求与此相同）。</w:t>
            </w:r>
          </w:p>
        </w:tc>
      </w:tr>
    </w:tbl>
    <w:p w14:paraId="68463082">
      <w:pPr>
        <w:keepNext w:val="0"/>
        <w:keepLines w:val="0"/>
        <w:pageBreakBefore w:val="0"/>
        <w:widowControl w:val="0"/>
        <w:tabs>
          <w:tab w:val="left" w:pos="945"/>
        </w:tabs>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备注：（1）以上各项中有一项不符合即为不合格。授权委托书及法定代表人身份证明书必须提供，身份证扫描件或复印件不作为否决条件，仅用作判定其澄清或异议效力的依据。</w:t>
      </w:r>
    </w:p>
    <w:p w14:paraId="4A4F5FCC">
      <w:pPr>
        <w:keepNext w:val="0"/>
        <w:keepLines w:val="0"/>
        <w:pageBreakBefore w:val="0"/>
        <w:widowControl w:val="0"/>
        <w:tabs>
          <w:tab w:val="left" w:pos="945"/>
        </w:tabs>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（2）各类资质证书、营业执照、企业及项目总监资质等级证书等均不要求投标人提供原件。</w:t>
      </w:r>
    </w:p>
    <w:p w14:paraId="062CF29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）招标文件规定的不得投标、不得推荐为中标候选人的不良行为记录及失信行为均不需投标人提供相关证明材料，只需按投标文件规定格式填写并提交《诚信承诺书》即可。</w:t>
      </w:r>
    </w:p>
    <w:p w14:paraId="6DAF777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投标文件技术标及商务标评审</w:t>
      </w:r>
    </w:p>
    <w:p w14:paraId="0F19DDE4">
      <w:pPr>
        <w:pStyle w:val="50"/>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本项目采用综合评估法，满分为100分。</w:t>
      </w:r>
    </w:p>
    <w:p w14:paraId="5B5C09D6">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一标段</w:t>
      </w:r>
      <w:r>
        <w:rPr>
          <w:rFonts w:hint="eastAsia" w:asciiTheme="minorEastAsia" w:hAnsiTheme="minorEastAsia" w:eastAsiaTheme="minorEastAsia" w:cstheme="minorEastAsia"/>
          <w:b/>
          <w:bCs/>
          <w:color w:val="auto"/>
          <w:sz w:val="24"/>
          <w:szCs w:val="24"/>
          <w:highlight w:val="none"/>
        </w:rPr>
        <w:t>评分细则</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945"/>
        <w:gridCol w:w="6897"/>
      </w:tblGrid>
      <w:tr w14:paraId="3E88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noWrap w:val="0"/>
            <w:vAlign w:val="center"/>
          </w:tcPr>
          <w:p w14:paraId="69A1E871">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评分项目</w:t>
            </w:r>
          </w:p>
        </w:tc>
        <w:tc>
          <w:tcPr>
            <w:tcW w:w="945" w:type="dxa"/>
            <w:noWrap w:val="0"/>
            <w:vAlign w:val="center"/>
          </w:tcPr>
          <w:p w14:paraId="648B94EC">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6897" w:type="dxa"/>
            <w:noWrap w:val="0"/>
            <w:vAlign w:val="top"/>
          </w:tcPr>
          <w:p w14:paraId="7A450AE0">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评分办法</w:t>
            </w:r>
          </w:p>
        </w:tc>
      </w:tr>
      <w:tr w14:paraId="4326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noWrap w:val="0"/>
            <w:vAlign w:val="center"/>
          </w:tcPr>
          <w:p w14:paraId="502ABCB6">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企业业绩（5分）</w:t>
            </w:r>
          </w:p>
        </w:tc>
        <w:tc>
          <w:tcPr>
            <w:tcW w:w="945" w:type="dxa"/>
            <w:noWrap w:val="0"/>
            <w:vAlign w:val="center"/>
          </w:tcPr>
          <w:p w14:paraId="7142D368">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5分</w:t>
            </w:r>
          </w:p>
        </w:tc>
        <w:tc>
          <w:tcPr>
            <w:tcW w:w="6897" w:type="dxa"/>
            <w:noWrap w:val="0"/>
            <w:vAlign w:val="top"/>
          </w:tcPr>
          <w:p w14:paraId="095461C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投标企业近五年内</w:t>
            </w:r>
            <w:r>
              <w:rPr>
                <w:rFonts w:hint="eastAsia" w:ascii="宋体" w:hAnsi="宋体" w:eastAsia="宋体" w:cs="宋体"/>
                <w:b/>
                <w:bCs/>
                <w:color w:val="auto"/>
                <w:kern w:val="2"/>
                <w:sz w:val="24"/>
                <w:szCs w:val="24"/>
                <w:highlight w:val="none"/>
                <w:lang w:val="en-US" w:eastAsia="zh-CN"/>
              </w:rPr>
              <w:t>承担过以下“类似项目”工程监理业绩。</w:t>
            </w:r>
            <w:r>
              <w:rPr>
                <w:rFonts w:hint="eastAsia" w:ascii="宋体" w:hAnsi="宋体" w:eastAsia="宋体" w:cs="宋体"/>
                <w:b/>
                <w:bCs/>
                <w:color w:val="auto"/>
                <w:kern w:val="2"/>
                <w:sz w:val="24"/>
                <w:szCs w:val="24"/>
                <w:highlight w:val="none"/>
              </w:rPr>
              <w:t>每提供一份有效的监理业绩证明材料的得</w:t>
            </w:r>
            <w:r>
              <w:rPr>
                <w:rFonts w:hint="eastAsia" w:hAnsi="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rPr>
              <w:t>分，本项满分</w:t>
            </w:r>
            <w:r>
              <w:rPr>
                <w:rFonts w:hint="eastAsia" w:hAnsi="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rPr>
              <w:t>分。</w:t>
            </w:r>
          </w:p>
          <w:p w14:paraId="51EE90C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注：①“近五年”是指：自2020年</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月1日至投标截止日，时间以监理合同中发包人签署的时间为准。</w:t>
            </w:r>
          </w:p>
          <w:p w14:paraId="41711F3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②上述投标人的“类似项目”工程监理业绩是指：</w:t>
            </w:r>
            <w:r>
              <w:rPr>
                <w:rFonts w:hint="eastAsia" w:ascii="宋体" w:hAnsi="宋体" w:eastAsia="宋体" w:cs="宋体"/>
                <w:color w:val="auto"/>
                <w:kern w:val="0"/>
                <w:sz w:val="24"/>
                <w:szCs w:val="24"/>
                <w:highlight w:val="none"/>
                <w:lang w:val="en-US" w:eastAsia="zh-CN" w:bidi="ar"/>
              </w:rPr>
              <w:t>单项施工合同金额≥</w:t>
            </w:r>
            <w:r>
              <w:rPr>
                <w:rFonts w:hint="eastAsia" w:ascii="宋体" w:hAnsi="宋体" w:cs="宋体"/>
                <w:color w:val="auto"/>
                <w:kern w:val="0"/>
                <w:sz w:val="24"/>
                <w:szCs w:val="24"/>
                <w:highlight w:val="none"/>
                <w:lang w:val="en-US" w:eastAsia="zh-CN" w:bidi="ar"/>
              </w:rPr>
              <w:t>3500万元</w:t>
            </w:r>
            <w:r>
              <w:rPr>
                <w:rFonts w:hint="eastAsia" w:ascii="宋体" w:hAnsi="宋体" w:eastAsia="宋体" w:cs="宋体"/>
                <w:color w:val="auto"/>
                <w:kern w:val="0"/>
                <w:sz w:val="24"/>
                <w:szCs w:val="24"/>
                <w:highlight w:val="none"/>
                <w:lang w:val="en-US" w:eastAsia="zh-CN" w:bidi="ar"/>
              </w:rPr>
              <w:t>的市政公用工程监理业绩</w:t>
            </w:r>
            <w:r>
              <w:rPr>
                <w:rFonts w:hint="eastAsia" w:ascii="宋体" w:hAnsi="宋体" w:cs="宋体"/>
                <w:color w:val="auto"/>
                <w:kern w:val="0"/>
                <w:sz w:val="24"/>
                <w:szCs w:val="24"/>
                <w:highlight w:val="none"/>
                <w:lang w:val="en-US" w:eastAsia="zh-CN" w:bidi="ar"/>
              </w:rPr>
              <w:t>。</w:t>
            </w:r>
          </w:p>
          <w:p w14:paraId="55995FD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③业绩规模中的“合同金额”以监理合同中注明的“工程概算投资额或建筑安装工程费”的金额为准；若无法体现或不满足上述业绩指标的，视为无效业绩。</w:t>
            </w:r>
          </w:p>
          <w:p w14:paraId="7296F77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④“监理业绩证明材料”是指：提供监理合同和工程竣工验收证明资料（“竣工验收证明资料”是指必须经设计、建设、监理、施工单位盖章的竣工验收报告或竣工验收单或竣工验收备案表或竣工验收证明）扫描件放至投标文件中。</w:t>
            </w:r>
          </w:p>
          <w:p w14:paraId="5C9E408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rPr>
              <w:t>⑤</w:t>
            </w:r>
            <w:r>
              <w:rPr>
                <w:rFonts w:hint="eastAsia" w:ascii="宋体" w:hAnsi="宋体" w:eastAsia="宋体" w:cs="宋体"/>
                <w:color w:val="auto"/>
                <w:kern w:val="2"/>
                <w:sz w:val="24"/>
                <w:szCs w:val="24"/>
                <w:highlight w:val="none"/>
              </w:rPr>
              <w:t>拟派总监理工程师业绩与投标人业绩可以重复计分</w:t>
            </w:r>
            <w:r>
              <w:rPr>
                <w:rFonts w:hint="eastAsia" w:ascii="宋体" w:hAnsi="宋体" w:eastAsia="宋体" w:cs="宋体"/>
                <w:color w:val="auto"/>
                <w:kern w:val="2"/>
                <w:sz w:val="24"/>
                <w:szCs w:val="24"/>
                <w:highlight w:val="none"/>
                <w:lang w:eastAsia="zh-CN"/>
              </w:rPr>
              <w:t>。</w:t>
            </w:r>
          </w:p>
        </w:tc>
      </w:tr>
      <w:tr w14:paraId="37AB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noWrap w:val="0"/>
            <w:vAlign w:val="center"/>
          </w:tcPr>
          <w:p w14:paraId="086EA443">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总监理工程师业绩（</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945" w:type="dxa"/>
            <w:noWrap w:val="0"/>
            <w:vAlign w:val="center"/>
          </w:tcPr>
          <w:p w14:paraId="71F22343">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6897" w:type="dxa"/>
            <w:noWrap w:val="0"/>
            <w:vAlign w:val="top"/>
          </w:tcPr>
          <w:p w14:paraId="473F1F67">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val="en-US" w:eastAsia="zh-CN"/>
              </w:rPr>
              <w:t>拟派</w:t>
            </w:r>
            <w:r>
              <w:rPr>
                <w:rFonts w:hint="eastAsia" w:asciiTheme="minorEastAsia" w:hAnsiTheme="minorEastAsia" w:eastAsiaTheme="minorEastAsia" w:cstheme="minorEastAsia"/>
                <w:color w:val="auto"/>
                <w:sz w:val="24"/>
                <w:szCs w:val="24"/>
                <w:highlight w:val="none"/>
              </w:rPr>
              <w:t>总监理工程师近五年</w:t>
            </w:r>
            <w:r>
              <w:rPr>
                <w:rFonts w:hint="eastAsia" w:asciiTheme="minorEastAsia" w:hAnsiTheme="minorEastAsia" w:eastAsiaTheme="minorEastAsia" w:cstheme="minorEastAsia"/>
                <w:b/>
                <w:bCs/>
                <w:color w:val="auto"/>
                <w:sz w:val="24"/>
                <w:szCs w:val="24"/>
                <w:highlight w:val="none"/>
                <w:lang w:val="en-US" w:eastAsia="zh-CN"/>
              </w:rPr>
              <w:t>以</w:t>
            </w:r>
            <w:r>
              <w:rPr>
                <w:rFonts w:hint="eastAsia" w:asciiTheme="minorEastAsia" w:hAnsiTheme="minorEastAsia" w:eastAsiaTheme="minorEastAsia" w:cstheme="minorEastAsia"/>
                <w:b/>
                <w:bCs/>
                <w:color w:val="auto"/>
                <w:sz w:val="24"/>
                <w:szCs w:val="24"/>
                <w:highlight w:val="none"/>
              </w:rPr>
              <w:t>总监理工程师</w:t>
            </w:r>
            <w:r>
              <w:rPr>
                <w:rFonts w:hint="eastAsia" w:asciiTheme="minorEastAsia" w:hAnsiTheme="minorEastAsia" w:eastAsiaTheme="minorEastAsia" w:cstheme="minorEastAsia"/>
                <w:b/>
                <w:bCs/>
                <w:color w:val="auto"/>
                <w:sz w:val="24"/>
                <w:szCs w:val="24"/>
                <w:highlight w:val="none"/>
                <w:lang w:val="en-US" w:eastAsia="zh-CN"/>
              </w:rPr>
              <w:t>或专业</w:t>
            </w:r>
            <w:r>
              <w:rPr>
                <w:rFonts w:hint="eastAsia" w:asciiTheme="minorEastAsia" w:hAnsiTheme="minorEastAsia" w:eastAsiaTheme="minorEastAsia" w:cstheme="minorEastAsia"/>
                <w:b/>
                <w:bCs/>
                <w:color w:val="auto"/>
                <w:sz w:val="24"/>
                <w:szCs w:val="24"/>
                <w:highlight w:val="none"/>
              </w:rPr>
              <w:t>监理工程师</w:t>
            </w:r>
            <w:r>
              <w:rPr>
                <w:rFonts w:hint="eastAsia" w:asciiTheme="minorEastAsia" w:hAnsiTheme="minorEastAsia" w:eastAsiaTheme="minorEastAsia" w:cstheme="minorEastAsia"/>
                <w:color w:val="auto"/>
                <w:sz w:val="24"/>
                <w:szCs w:val="24"/>
                <w:highlight w:val="none"/>
                <w:lang w:val="en-US" w:eastAsia="zh-CN"/>
              </w:rPr>
              <w:t>身份</w:t>
            </w:r>
            <w:r>
              <w:rPr>
                <w:rFonts w:hint="eastAsia" w:asciiTheme="minorEastAsia" w:hAnsiTheme="minorEastAsia" w:eastAsiaTheme="minorEastAsia" w:cstheme="minorEastAsia"/>
                <w:color w:val="auto"/>
                <w:sz w:val="24"/>
                <w:szCs w:val="24"/>
                <w:highlight w:val="none"/>
              </w:rPr>
              <w:t>完成过一项</w:t>
            </w:r>
            <w:r>
              <w:rPr>
                <w:rFonts w:hint="eastAsia" w:asciiTheme="minorEastAsia" w:hAnsiTheme="minorEastAsia" w:eastAsiaTheme="minorEastAsia" w:cstheme="minorEastAsia"/>
                <w:color w:val="auto"/>
                <w:sz w:val="24"/>
                <w:szCs w:val="24"/>
                <w:highlight w:val="none"/>
                <w:lang w:val="en-US" w:eastAsia="zh-CN"/>
              </w:rPr>
              <w:t>“类似项目”工程监理业绩的得5分，满分5分</w:t>
            </w:r>
            <w:r>
              <w:rPr>
                <w:rFonts w:hint="eastAsia" w:asciiTheme="minorEastAsia" w:hAnsiTheme="minorEastAsia" w:eastAsiaTheme="minorEastAsia" w:cstheme="minorEastAsia"/>
                <w:color w:val="auto"/>
                <w:sz w:val="24"/>
                <w:szCs w:val="24"/>
                <w:highlight w:val="none"/>
              </w:rPr>
              <w:t>。</w:t>
            </w:r>
          </w:p>
          <w:p w14:paraId="678270A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注：①“近五年”是指：自2020年</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月1日至投标截止日，时间以监理合同中发包人签署的时间为准。</w:t>
            </w:r>
          </w:p>
          <w:p w14:paraId="0B9B59D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②上述总监理工程师的“类似项目”工程监理业绩是指：</w:t>
            </w:r>
            <w:r>
              <w:rPr>
                <w:rFonts w:hint="eastAsia" w:ascii="宋体" w:hAnsi="宋体" w:eastAsia="宋体" w:cs="宋体"/>
                <w:color w:val="auto"/>
                <w:kern w:val="0"/>
                <w:sz w:val="24"/>
                <w:szCs w:val="24"/>
                <w:highlight w:val="none"/>
                <w:lang w:val="en-US" w:eastAsia="zh-CN" w:bidi="ar"/>
              </w:rPr>
              <w:t>单项施工合同金额≥</w:t>
            </w:r>
            <w:r>
              <w:rPr>
                <w:rFonts w:hint="eastAsia" w:ascii="宋体" w:hAnsi="宋体" w:cs="宋体"/>
                <w:color w:val="auto"/>
                <w:kern w:val="0"/>
                <w:sz w:val="24"/>
                <w:szCs w:val="24"/>
                <w:highlight w:val="none"/>
                <w:lang w:val="en-US" w:eastAsia="zh-CN" w:bidi="ar"/>
              </w:rPr>
              <w:t>3500万元</w:t>
            </w:r>
            <w:r>
              <w:rPr>
                <w:rFonts w:hint="eastAsia" w:ascii="宋体" w:hAnsi="宋体" w:eastAsia="宋体" w:cs="宋体"/>
                <w:color w:val="auto"/>
                <w:kern w:val="0"/>
                <w:sz w:val="24"/>
                <w:szCs w:val="24"/>
                <w:highlight w:val="none"/>
                <w:lang w:val="en-US" w:eastAsia="zh-CN" w:bidi="ar"/>
              </w:rPr>
              <w:t>的市政公用工程监理业绩</w:t>
            </w:r>
            <w:r>
              <w:rPr>
                <w:rFonts w:hint="eastAsia" w:ascii="宋体" w:hAnsi="宋体" w:cs="宋体"/>
                <w:color w:val="auto"/>
                <w:kern w:val="0"/>
                <w:sz w:val="24"/>
                <w:szCs w:val="24"/>
                <w:highlight w:val="none"/>
                <w:lang w:val="en-US" w:eastAsia="zh-CN" w:bidi="ar"/>
              </w:rPr>
              <w:t>。</w:t>
            </w:r>
          </w:p>
          <w:p w14:paraId="7461112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③业绩规模中的“合同金额”以监理合同中注明的“工程概算投资额或建筑安装工程费”的金额为准；若无法体现或不满足上述业绩指标的，视为无效业绩。</w:t>
            </w:r>
          </w:p>
          <w:p w14:paraId="4C056E2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④“监理业绩证明材料”是指：提供监理合同和工程竣工验收证明资料（“竣工验收证明资料”是指必须经设计、建设、监理、施工单位盖章的竣工验收报告或竣工验收单或竣工验收备案表或竣工验收证明）扫描件放至投标文件中。</w:t>
            </w:r>
          </w:p>
          <w:p w14:paraId="5A28E22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⑤工程竣工验收证明资料中必须能体现</w:t>
            </w:r>
            <w:r>
              <w:rPr>
                <w:rFonts w:hint="eastAsia" w:ascii="宋体" w:hAnsi="宋体" w:eastAsia="宋体" w:cs="宋体"/>
                <w:b/>
                <w:bCs/>
                <w:color w:val="auto"/>
                <w:kern w:val="2"/>
                <w:sz w:val="24"/>
                <w:szCs w:val="24"/>
                <w:highlight w:val="none"/>
                <w:lang w:eastAsia="zh-CN"/>
              </w:rPr>
              <w:t>总监理工程师</w:t>
            </w:r>
            <w:r>
              <w:rPr>
                <w:rFonts w:hint="eastAsia" w:ascii="宋体" w:hAnsi="宋体" w:eastAsia="宋体" w:cs="宋体"/>
                <w:b/>
                <w:bCs/>
                <w:color w:val="auto"/>
                <w:kern w:val="2"/>
                <w:sz w:val="24"/>
                <w:szCs w:val="24"/>
                <w:highlight w:val="none"/>
                <w:lang w:val="en-US" w:eastAsia="zh-CN"/>
              </w:rPr>
              <w:t>或专业</w:t>
            </w:r>
            <w:r>
              <w:rPr>
                <w:rFonts w:hint="eastAsia" w:ascii="宋体" w:hAnsi="宋体" w:eastAsia="宋体" w:cs="宋体"/>
                <w:b/>
                <w:bCs/>
                <w:color w:val="auto"/>
                <w:kern w:val="2"/>
                <w:sz w:val="24"/>
                <w:szCs w:val="24"/>
                <w:highlight w:val="none"/>
                <w:lang w:eastAsia="zh-CN"/>
              </w:rPr>
              <w:t>监理工程师</w:t>
            </w:r>
            <w:r>
              <w:rPr>
                <w:rFonts w:hint="eastAsia" w:ascii="宋体" w:hAnsi="宋体" w:eastAsia="宋体" w:cs="宋体"/>
                <w:color w:val="auto"/>
                <w:kern w:val="2"/>
                <w:sz w:val="24"/>
                <w:szCs w:val="24"/>
                <w:highlight w:val="none"/>
                <w:lang w:eastAsia="zh-CN"/>
              </w:rPr>
              <w:t>姓名，且必须与本次招标项目的拟派总监理工程师一致。</w:t>
            </w:r>
          </w:p>
          <w:p w14:paraId="6351117F">
            <w:pPr>
              <w:keepNext w:val="0"/>
              <w:keepLines w:val="0"/>
              <w:pageBreakBefore w:val="0"/>
              <w:tabs>
                <w:tab w:val="left" w:pos="945"/>
              </w:tabs>
              <w:kinsoku/>
              <w:wordWrap/>
              <w:overflowPunct/>
              <w:topLinePunct w:val="0"/>
              <w:autoSpaceDE/>
              <w:autoSpaceDN/>
              <w:bidi w:val="0"/>
              <w:adjustRightInd/>
              <w:snapToGrid w:val="0"/>
              <w:spacing w:line="360" w:lineRule="auto"/>
              <w:ind w:left="437" w:leftChars="208"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kern w:val="2"/>
                <w:sz w:val="24"/>
                <w:szCs w:val="24"/>
                <w:highlight w:val="none"/>
                <w:lang w:eastAsia="zh-CN"/>
              </w:rPr>
              <w:t>⑥</w:t>
            </w:r>
            <w:r>
              <w:rPr>
                <w:rFonts w:hint="eastAsia" w:ascii="宋体" w:hAnsi="宋体" w:eastAsia="宋体" w:cs="宋体"/>
                <w:color w:val="auto"/>
                <w:kern w:val="2"/>
                <w:sz w:val="24"/>
                <w:szCs w:val="24"/>
                <w:highlight w:val="none"/>
              </w:rPr>
              <w:t>拟派总监理工程师业绩与投标人业绩可以重复计分</w:t>
            </w:r>
            <w:r>
              <w:rPr>
                <w:rFonts w:hint="eastAsia" w:ascii="宋体" w:hAnsi="宋体" w:eastAsia="宋体" w:cs="宋体"/>
                <w:color w:val="auto"/>
                <w:kern w:val="2"/>
                <w:sz w:val="24"/>
                <w:szCs w:val="24"/>
                <w:highlight w:val="none"/>
                <w:lang w:eastAsia="zh-CN"/>
              </w:rPr>
              <w:t>。</w:t>
            </w:r>
          </w:p>
        </w:tc>
      </w:tr>
      <w:tr w14:paraId="48AA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noWrap w:val="0"/>
            <w:vAlign w:val="center"/>
          </w:tcPr>
          <w:p w14:paraId="0B26C36B">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p>
          <w:p w14:paraId="434972AC">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监理实施方案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945" w:type="dxa"/>
            <w:noWrap w:val="0"/>
            <w:vAlign w:val="center"/>
          </w:tcPr>
          <w:p w14:paraId="6B578362">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6897" w:type="dxa"/>
            <w:noWrap w:val="0"/>
            <w:vAlign w:val="top"/>
          </w:tcPr>
          <w:p w14:paraId="10040F12">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投标人自行编制监理实施方案，</w:t>
            </w:r>
            <w:r>
              <w:rPr>
                <w:rFonts w:hint="eastAsia" w:asciiTheme="minorEastAsia" w:hAnsiTheme="minorEastAsia" w:eastAsiaTheme="minorEastAsia" w:cstheme="minorEastAsia"/>
                <w:color w:val="auto"/>
                <w:sz w:val="24"/>
                <w:szCs w:val="24"/>
                <w:highlight w:val="none"/>
              </w:rPr>
              <w:t>根据项目的内容和特点，特别是对项目的难点和关键点以及解决的办法，详实、科学和客观合理</w:t>
            </w:r>
            <w:r>
              <w:rPr>
                <w:rFonts w:hint="eastAsia" w:asciiTheme="minorEastAsia" w:hAnsiTheme="minorEastAsia" w:eastAsiaTheme="minorEastAsia" w:cstheme="minorEastAsia"/>
                <w:color w:val="auto"/>
                <w:sz w:val="24"/>
                <w:szCs w:val="24"/>
                <w:highlight w:val="none"/>
                <w:lang w:val="en-US" w:eastAsia="zh-CN"/>
              </w:rPr>
              <w:t>分析；以及</w:t>
            </w:r>
            <w:r>
              <w:rPr>
                <w:rFonts w:hint="eastAsia" w:asciiTheme="minorEastAsia" w:hAnsiTheme="minorEastAsia" w:eastAsiaTheme="minorEastAsia" w:cstheme="minorEastAsia"/>
                <w:color w:val="auto"/>
                <w:sz w:val="24"/>
                <w:szCs w:val="24"/>
                <w:highlight w:val="none"/>
              </w:rPr>
              <w:t>对质量控制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进度控制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造价控制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合同和信息管理的方法</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对工程的关键工序认识</w:t>
            </w:r>
            <w:r>
              <w:rPr>
                <w:rFonts w:hint="eastAsia" w:asciiTheme="minorEastAsia" w:hAnsiTheme="minorEastAsia" w:eastAsiaTheme="minorEastAsia" w:cstheme="minorEastAsia"/>
                <w:color w:val="auto"/>
                <w:sz w:val="24"/>
                <w:szCs w:val="24"/>
                <w:highlight w:val="none"/>
                <w:lang w:val="en-US" w:eastAsia="zh-CN"/>
              </w:rPr>
              <w:t>等方面进行分析，方案内容</w:t>
            </w:r>
            <w:r>
              <w:rPr>
                <w:rFonts w:hint="eastAsia" w:asciiTheme="minorEastAsia" w:hAnsiTheme="minorEastAsia" w:eastAsiaTheme="minorEastAsia" w:cstheme="minorEastAsia"/>
                <w:color w:val="auto"/>
                <w:sz w:val="24"/>
                <w:szCs w:val="24"/>
                <w:highlight w:val="none"/>
              </w:rPr>
              <w:t>全面、完整、深刻、有针对性的得</w:t>
            </w:r>
            <w:r>
              <w:rPr>
                <w:rFonts w:hint="eastAsia" w:asciiTheme="minorEastAsia" w:hAnsiTheme="minorEastAsia" w:eastAsiaTheme="minorEastAsia" w:cstheme="minorEastAsia"/>
                <w:color w:val="auto"/>
                <w:sz w:val="24"/>
                <w:szCs w:val="24"/>
                <w:highlight w:val="none"/>
                <w:lang w:val="en-US" w:eastAsia="zh-CN"/>
              </w:rPr>
              <w:t>4.01~6.00</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方案内容</w:t>
            </w:r>
            <w:r>
              <w:rPr>
                <w:rFonts w:hint="eastAsia" w:asciiTheme="minorEastAsia" w:hAnsiTheme="minorEastAsia" w:eastAsiaTheme="minorEastAsia" w:cstheme="minorEastAsia"/>
                <w:color w:val="auto"/>
                <w:sz w:val="24"/>
                <w:szCs w:val="24"/>
                <w:highlight w:val="none"/>
              </w:rPr>
              <w:t>较全面、较完整、较深刻、较有针对性的得2</w:t>
            </w:r>
            <w:r>
              <w:rPr>
                <w:rFonts w:hint="eastAsia" w:asciiTheme="minorEastAsia" w:hAnsiTheme="minorEastAsia" w:eastAsiaTheme="minorEastAsia" w:cstheme="minorEastAsia"/>
                <w:color w:val="auto"/>
                <w:sz w:val="24"/>
                <w:szCs w:val="24"/>
                <w:highlight w:val="none"/>
                <w:lang w:val="en-US" w:eastAsia="zh-CN"/>
              </w:rPr>
              <w:t>.01~4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分；陈述不全面、不完整、不深刻、没有针对性的</w:t>
            </w:r>
            <w:r>
              <w:rPr>
                <w:rFonts w:hint="eastAsia" w:asciiTheme="minorEastAsia" w:hAnsiTheme="minorEastAsia" w:eastAsiaTheme="minorEastAsia" w:cstheme="minorEastAsia"/>
                <w:color w:val="auto"/>
                <w:sz w:val="24"/>
                <w:szCs w:val="24"/>
                <w:highlight w:val="none"/>
                <w:lang w:val="en-US" w:eastAsia="zh-CN"/>
              </w:rPr>
              <w:t>得1.01~2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0；未提供或内容与本项目完全不符的不得分</w:t>
            </w:r>
            <w:r>
              <w:rPr>
                <w:rFonts w:hint="eastAsia" w:asciiTheme="minorEastAsia" w:hAnsiTheme="minorEastAsia" w:eastAsiaTheme="minorEastAsia" w:cstheme="minorEastAsia"/>
                <w:color w:val="auto"/>
                <w:sz w:val="24"/>
                <w:szCs w:val="24"/>
                <w:highlight w:val="none"/>
                <w:lang w:eastAsia="zh-CN"/>
              </w:rPr>
              <w:t>。</w:t>
            </w:r>
          </w:p>
        </w:tc>
      </w:tr>
      <w:tr w14:paraId="1893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noWrap w:val="0"/>
            <w:vAlign w:val="center"/>
          </w:tcPr>
          <w:p w14:paraId="1CF9B516">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监理费报价</w:t>
            </w:r>
          </w:p>
        </w:tc>
        <w:tc>
          <w:tcPr>
            <w:tcW w:w="945" w:type="dxa"/>
            <w:noWrap w:val="0"/>
            <w:vAlign w:val="center"/>
          </w:tcPr>
          <w:p w14:paraId="3EAEC667">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84</w:t>
            </w:r>
            <w:r>
              <w:rPr>
                <w:rFonts w:hint="eastAsia" w:asciiTheme="minorEastAsia" w:hAnsiTheme="minorEastAsia" w:eastAsiaTheme="minorEastAsia" w:cstheme="minorEastAsia"/>
                <w:color w:val="auto"/>
                <w:sz w:val="24"/>
                <w:szCs w:val="24"/>
                <w:highlight w:val="none"/>
              </w:rPr>
              <w:t>分</w:t>
            </w:r>
          </w:p>
        </w:tc>
        <w:tc>
          <w:tcPr>
            <w:tcW w:w="6897" w:type="dxa"/>
            <w:noWrap w:val="0"/>
            <w:vAlign w:val="top"/>
          </w:tcPr>
          <w:p w14:paraId="2BC470F2">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以下所有涉及报价计算的结果均按四舍五入原则保留两位小数： </w:t>
            </w:r>
          </w:p>
          <w:p w14:paraId="0FEDB9BB">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（1）初步评审：投标人的监理服务收费（</w:t>
            </w:r>
            <w:r>
              <w:rPr>
                <w:rFonts w:hint="eastAsia" w:asciiTheme="minorEastAsia" w:hAnsiTheme="minorEastAsia" w:eastAsiaTheme="minorEastAsia" w:cstheme="minorEastAsia"/>
                <w:color w:val="auto"/>
                <w:sz w:val="24"/>
                <w:szCs w:val="24"/>
                <w:highlight w:val="none"/>
                <w:lang w:eastAsia="zh-CN"/>
              </w:rPr>
              <w:t>即</w:t>
            </w:r>
            <w:r>
              <w:rPr>
                <w:rFonts w:hint="eastAsia" w:asciiTheme="minorEastAsia" w:hAnsiTheme="minorEastAsia" w:eastAsiaTheme="minorEastAsia" w:cstheme="minorEastAsia"/>
                <w:color w:val="auto"/>
                <w:sz w:val="24"/>
                <w:szCs w:val="24"/>
                <w:highlight w:val="none"/>
              </w:rPr>
              <w:t>投标报价）高于本次招标文件约定的监理服务收费最高投标限价A的将被否决投标，同时该投标人的投标报价不再参与下述评审；</w:t>
            </w:r>
          </w:p>
          <w:p w14:paraId="20D80098">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（2）低于最高投标限价的</w:t>
            </w:r>
            <w:r>
              <w:rPr>
                <w:rFonts w:hint="eastAsia" w:asciiTheme="minorEastAsia" w:hAnsiTheme="minorEastAsia" w:eastAsiaTheme="minorEastAsia" w:cstheme="minorEastAsia"/>
                <w:color w:val="auto"/>
                <w:sz w:val="24"/>
                <w:szCs w:val="24"/>
                <w:highlight w:val="none"/>
                <w:lang w:val="en-US" w:eastAsia="zh-CN"/>
              </w:rPr>
              <w:t>82</w:t>
            </w:r>
            <w:r>
              <w:rPr>
                <w:rFonts w:hint="eastAsia" w:asciiTheme="minorEastAsia" w:hAnsiTheme="minorEastAsia" w:eastAsiaTheme="minorEastAsia" w:cstheme="minorEastAsia"/>
                <w:color w:val="auto"/>
                <w:sz w:val="24"/>
                <w:szCs w:val="24"/>
                <w:highlight w:val="none"/>
              </w:rPr>
              <w:t>%（不含本数）或高于最高投标限价的</w:t>
            </w:r>
            <w:r>
              <w:rPr>
                <w:rFonts w:hint="eastAsia" w:asciiTheme="minorEastAsia" w:hAnsiTheme="minorEastAsia" w:eastAsiaTheme="minorEastAsia" w:cstheme="minorEastAsia"/>
                <w:color w:val="auto"/>
                <w:sz w:val="24"/>
                <w:szCs w:val="24"/>
                <w:highlight w:val="none"/>
                <w:lang w:val="en-US" w:eastAsia="zh-CN"/>
              </w:rPr>
              <w:t>92</w:t>
            </w:r>
            <w:r>
              <w:rPr>
                <w:rFonts w:hint="eastAsia" w:asciiTheme="minorEastAsia" w:hAnsiTheme="minorEastAsia" w:eastAsiaTheme="minorEastAsia" w:cstheme="minorEastAsia"/>
                <w:color w:val="auto"/>
                <w:sz w:val="24"/>
                <w:szCs w:val="24"/>
                <w:highlight w:val="none"/>
              </w:rPr>
              <w:t>%（不含本数）的投标报价，均不参与以下平均值的计算。</w:t>
            </w:r>
          </w:p>
          <w:p w14:paraId="269DCF07">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当最高投标限价的</w:t>
            </w:r>
            <w:r>
              <w:rPr>
                <w:rFonts w:hint="eastAsia" w:asciiTheme="minorEastAsia" w:hAnsiTheme="minorEastAsia" w:eastAsiaTheme="minorEastAsia" w:cstheme="minorEastAsia"/>
                <w:color w:val="auto"/>
                <w:sz w:val="24"/>
                <w:szCs w:val="24"/>
                <w:highlight w:val="none"/>
                <w:lang w:val="en-US" w:eastAsia="zh-CN"/>
              </w:rPr>
              <w:t>82</w:t>
            </w:r>
            <w:r>
              <w:rPr>
                <w:rFonts w:hint="eastAsia" w:asciiTheme="minorEastAsia" w:hAnsiTheme="minorEastAsia" w:eastAsiaTheme="minorEastAsia" w:cstheme="minorEastAsia"/>
                <w:color w:val="auto"/>
                <w:sz w:val="24"/>
                <w:szCs w:val="24"/>
                <w:highlight w:val="none"/>
              </w:rPr>
              <w:t>%与最高投标限价的</w:t>
            </w:r>
            <w:r>
              <w:rPr>
                <w:rFonts w:hint="eastAsia" w:asciiTheme="minorEastAsia" w:hAnsiTheme="minorEastAsia" w:eastAsiaTheme="minorEastAsia" w:cstheme="minorEastAsia"/>
                <w:color w:val="auto"/>
                <w:sz w:val="24"/>
                <w:szCs w:val="24"/>
                <w:highlight w:val="none"/>
                <w:lang w:val="en-US" w:eastAsia="zh-CN"/>
              </w:rPr>
              <w:t>92</w:t>
            </w:r>
            <w:r>
              <w:rPr>
                <w:rFonts w:hint="eastAsia" w:asciiTheme="minorEastAsia" w:hAnsiTheme="minorEastAsia" w:eastAsiaTheme="minorEastAsia" w:cstheme="minorEastAsia"/>
                <w:color w:val="auto"/>
                <w:sz w:val="24"/>
                <w:szCs w:val="24"/>
                <w:highlight w:val="none"/>
              </w:rPr>
              <w:t>%之间无投标报价时（含本数），属于报价异常，本项目</w:t>
            </w:r>
            <w:r>
              <w:rPr>
                <w:rFonts w:hint="eastAsia" w:asciiTheme="minorEastAsia" w:hAnsiTheme="minorEastAsia" w:eastAsiaTheme="minorEastAsia" w:cstheme="minorEastAsia"/>
                <w:color w:val="auto"/>
                <w:sz w:val="24"/>
                <w:szCs w:val="24"/>
                <w:highlight w:val="none"/>
                <w:lang w:val="en-US" w:eastAsia="zh-CN"/>
              </w:rPr>
              <w:t>招标失败</w:t>
            </w:r>
            <w:r>
              <w:rPr>
                <w:rFonts w:hint="eastAsia" w:asciiTheme="minorEastAsia" w:hAnsiTheme="minorEastAsia" w:eastAsiaTheme="minorEastAsia" w:cstheme="minorEastAsia"/>
                <w:color w:val="auto"/>
                <w:sz w:val="24"/>
                <w:szCs w:val="24"/>
                <w:highlight w:val="none"/>
              </w:rPr>
              <w:t>。</w:t>
            </w:r>
          </w:p>
          <w:p w14:paraId="1C033781">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2.计算投标报价算术平均值b</w:t>
            </w:r>
          </w:p>
          <w:p w14:paraId="3EAF4AA9">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（1）设通过前述各步骤评审的投标人数量为M,最高投标限价为A；</w:t>
            </w:r>
          </w:p>
          <w:p w14:paraId="39BBDEC9">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（2）当投标单位家数M≤5时，则取所有投标报价的算术平均值为b值；</w:t>
            </w:r>
          </w:p>
          <w:p w14:paraId="1C0FD471">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（3）当M＞5时，按由高到低顺序去掉报价高的M×20%（四舍五入取整数）家和按由低到高顺序去除报价低的M×10%（四舍五入取整数）家后，在此范围内的所有投标报价取算术平均值为b值；</w:t>
            </w:r>
          </w:p>
          <w:p w14:paraId="740D1E79">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（4）计算评标基准值B：以算术平均值b为评标基准值B。</w:t>
            </w:r>
          </w:p>
          <w:p w14:paraId="2EB2AB83">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（5）有效投标报价等于评标基准值B值的得满分84分。报价每高于评标基准值1%扣0.5分，每低于评标基准值1%扣0.3分，计算公式为：84-|投标人报价-评标基准值|/评标基准值*（0.5或0.3）*100。</w:t>
            </w:r>
          </w:p>
          <w:p w14:paraId="4E2F171B">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3.投标人的投标报价得分保留两位小数，第三位四舍五入。</w:t>
            </w:r>
          </w:p>
        </w:tc>
      </w:tr>
    </w:tbl>
    <w:p w14:paraId="3D0E70C8">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注：①当</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单位先前存在机构合并、分立、重组等情况造成以上提供的资料单位名称与营业执照上的单位名称不一致时，必须提供当地工商行政主管部门的变更证明材料。</w:t>
      </w:r>
    </w:p>
    <w:p w14:paraId="2DDB7F3D">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②计算过程和结果四舍五入，精确到小数点后两位。</w:t>
      </w:r>
    </w:p>
    <w:p w14:paraId="463C3B5D">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sz w:val="24"/>
          <w:szCs w:val="24"/>
          <w:highlight w:val="none"/>
          <w:lang w:eastAsia="zh-CN"/>
        </w:rPr>
      </w:pPr>
    </w:p>
    <w:p w14:paraId="5C34B26F">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二标段</w:t>
      </w:r>
      <w:r>
        <w:rPr>
          <w:rFonts w:hint="eastAsia" w:asciiTheme="minorEastAsia" w:hAnsiTheme="minorEastAsia" w:eastAsiaTheme="minorEastAsia" w:cstheme="minorEastAsia"/>
          <w:b/>
          <w:bCs/>
          <w:color w:val="auto"/>
          <w:sz w:val="24"/>
          <w:szCs w:val="24"/>
          <w:highlight w:val="none"/>
        </w:rPr>
        <w:t>评分细则</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945"/>
        <w:gridCol w:w="6897"/>
      </w:tblGrid>
      <w:tr w14:paraId="27C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noWrap w:val="0"/>
            <w:vAlign w:val="center"/>
          </w:tcPr>
          <w:p w14:paraId="4D4D9721">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评分项目</w:t>
            </w:r>
          </w:p>
        </w:tc>
        <w:tc>
          <w:tcPr>
            <w:tcW w:w="945" w:type="dxa"/>
            <w:noWrap w:val="0"/>
            <w:vAlign w:val="center"/>
          </w:tcPr>
          <w:p w14:paraId="554E7727">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6897" w:type="dxa"/>
            <w:noWrap w:val="0"/>
            <w:vAlign w:val="top"/>
          </w:tcPr>
          <w:p w14:paraId="5C04F44F">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评分办法</w:t>
            </w:r>
          </w:p>
        </w:tc>
      </w:tr>
      <w:tr w14:paraId="503C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noWrap w:val="0"/>
            <w:vAlign w:val="center"/>
          </w:tcPr>
          <w:p w14:paraId="55844E91">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企业业绩（5分）</w:t>
            </w:r>
          </w:p>
        </w:tc>
        <w:tc>
          <w:tcPr>
            <w:tcW w:w="945" w:type="dxa"/>
            <w:noWrap w:val="0"/>
            <w:vAlign w:val="center"/>
          </w:tcPr>
          <w:p w14:paraId="46858299">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5分</w:t>
            </w:r>
          </w:p>
        </w:tc>
        <w:tc>
          <w:tcPr>
            <w:tcW w:w="6897" w:type="dxa"/>
            <w:noWrap w:val="0"/>
            <w:vAlign w:val="top"/>
          </w:tcPr>
          <w:p w14:paraId="4B6C83F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投标企业近五年内</w:t>
            </w:r>
            <w:r>
              <w:rPr>
                <w:rFonts w:hint="eastAsia" w:ascii="宋体" w:hAnsi="宋体" w:eastAsia="宋体" w:cs="宋体"/>
                <w:b/>
                <w:bCs/>
                <w:color w:val="auto"/>
                <w:kern w:val="2"/>
                <w:sz w:val="24"/>
                <w:szCs w:val="24"/>
                <w:highlight w:val="none"/>
                <w:lang w:val="en-US" w:eastAsia="zh-CN"/>
              </w:rPr>
              <w:t>承担过以下“类似项目”工程监理业绩。</w:t>
            </w:r>
            <w:r>
              <w:rPr>
                <w:rFonts w:hint="eastAsia" w:ascii="宋体" w:hAnsi="宋体" w:eastAsia="宋体" w:cs="宋体"/>
                <w:b/>
                <w:bCs/>
                <w:color w:val="auto"/>
                <w:kern w:val="2"/>
                <w:sz w:val="24"/>
                <w:szCs w:val="24"/>
                <w:highlight w:val="none"/>
              </w:rPr>
              <w:t>每提供一份有效的监理业绩证明材料的得</w:t>
            </w:r>
            <w:r>
              <w:rPr>
                <w:rFonts w:hint="eastAsia" w:hAnsi="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rPr>
              <w:t>分，本项满分</w:t>
            </w:r>
            <w:r>
              <w:rPr>
                <w:rFonts w:hint="eastAsia" w:hAnsi="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rPr>
              <w:t>分。</w:t>
            </w:r>
          </w:p>
          <w:p w14:paraId="579F742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注：①“近五年”是指：自2020年</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月1日至投标截止日，时间以监理合同中发包人签署的时间为准。</w:t>
            </w:r>
          </w:p>
          <w:p w14:paraId="1C37768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②上述投标人的“类似项目”工程监理业绩是指：</w:t>
            </w:r>
            <w:r>
              <w:rPr>
                <w:rFonts w:hint="eastAsia" w:ascii="宋体" w:hAnsi="宋体" w:eastAsia="宋体" w:cs="宋体"/>
                <w:color w:val="auto"/>
                <w:kern w:val="0"/>
                <w:sz w:val="24"/>
                <w:szCs w:val="24"/>
                <w:highlight w:val="none"/>
                <w:lang w:val="en-US" w:eastAsia="zh-CN" w:bidi="ar"/>
              </w:rPr>
              <w:t>单项施工合同金额≥</w:t>
            </w:r>
            <w:r>
              <w:rPr>
                <w:rFonts w:hint="eastAsia" w:ascii="宋体" w:hAnsi="宋体" w:cs="宋体"/>
                <w:color w:val="auto"/>
                <w:kern w:val="0"/>
                <w:sz w:val="24"/>
                <w:szCs w:val="24"/>
                <w:highlight w:val="none"/>
                <w:lang w:val="en-US" w:eastAsia="zh-CN" w:bidi="ar"/>
              </w:rPr>
              <w:t>1500万元</w:t>
            </w:r>
            <w:r>
              <w:rPr>
                <w:rFonts w:hint="eastAsia" w:ascii="宋体" w:hAnsi="宋体" w:eastAsia="宋体" w:cs="宋体"/>
                <w:color w:val="auto"/>
                <w:kern w:val="0"/>
                <w:sz w:val="24"/>
                <w:szCs w:val="24"/>
                <w:highlight w:val="none"/>
                <w:lang w:val="en-US" w:eastAsia="zh-CN" w:bidi="ar"/>
              </w:rPr>
              <w:t>的市政公用工程监理业绩</w:t>
            </w:r>
            <w:r>
              <w:rPr>
                <w:rFonts w:hint="eastAsia" w:ascii="宋体" w:hAnsi="宋体" w:cs="宋体"/>
                <w:color w:val="auto"/>
                <w:kern w:val="0"/>
                <w:sz w:val="24"/>
                <w:szCs w:val="24"/>
                <w:highlight w:val="none"/>
                <w:lang w:val="en-US" w:eastAsia="zh-CN" w:bidi="ar"/>
              </w:rPr>
              <w:t>。</w:t>
            </w:r>
          </w:p>
          <w:p w14:paraId="3AA5C00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③业绩规模中的“合同金额”以监理合同中注明的“工程概算投资额或建筑安装工程费”的金额为准；若无法体现或不满足上述业绩指标的，视为无效业绩。</w:t>
            </w:r>
          </w:p>
          <w:p w14:paraId="696F817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④“监理业绩证明材料”是指：提供监理合同和工程竣工验收证明资料（“竣工验收证明资料”是指必须经设计、建设、监理、施工单位盖章的竣工验收报告或竣工验收单或竣工验收备案表或竣工验收证明）扫描件放至投标文件中。</w:t>
            </w:r>
          </w:p>
          <w:p w14:paraId="20A872B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rPr>
              <w:t>⑤</w:t>
            </w:r>
            <w:r>
              <w:rPr>
                <w:rFonts w:hint="eastAsia" w:ascii="宋体" w:hAnsi="宋体" w:eastAsia="宋体" w:cs="宋体"/>
                <w:color w:val="auto"/>
                <w:kern w:val="2"/>
                <w:sz w:val="24"/>
                <w:szCs w:val="24"/>
                <w:highlight w:val="none"/>
              </w:rPr>
              <w:t>拟派总监理工程师业绩与投标人业绩可以重复计分</w:t>
            </w:r>
            <w:r>
              <w:rPr>
                <w:rFonts w:hint="eastAsia" w:ascii="宋体" w:hAnsi="宋体" w:eastAsia="宋体" w:cs="宋体"/>
                <w:color w:val="auto"/>
                <w:kern w:val="2"/>
                <w:sz w:val="24"/>
                <w:szCs w:val="24"/>
                <w:highlight w:val="none"/>
                <w:lang w:eastAsia="zh-CN"/>
              </w:rPr>
              <w:t>。</w:t>
            </w:r>
          </w:p>
        </w:tc>
      </w:tr>
      <w:tr w14:paraId="4ADE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noWrap w:val="0"/>
            <w:vAlign w:val="center"/>
          </w:tcPr>
          <w:p w14:paraId="644EB678">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总监理工程师业绩（</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945" w:type="dxa"/>
            <w:noWrap w:val="0"/>
            <w:vAlign w:val="center"/>
          </w:tcPr>
          <w:p w14:paraId="5836C5EE">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6897" w:type="dxa"/>
            <w:noWrap w:val="0"/>
            <w:vAlign w:val="top"/>
          </w:tcPr>
          <w:p w14:paraId="7C07946F">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val="en-US" w:eastAsia="zh-CN"/>
              </w:rPr>
              <w:t>拟派</w:t>
            </w:r>
            <w:r>
              <w:rPr>
                <w:rFonts w:hint="eastAsia" w:asciiTheme="minorEastAsia" w:hAnsiTheme="minorEastAsia" w:eastAsiaTheme="minorEastAsia" w:cstheme="minorEastAsia"/>
                <w:color w:val="auto"/>
                <w:sz w:val="24"/>
                <w:szCs w:val="24"/>
                <w:highlight w:val="none"/>
              </w:rPr>
              <w:t>总监理工程师近五年</w:t>
            </w:r>
            <w:r>
              <w:rPr>
                <w:rFonts w:hint="eastAsia" w:asciiTheme="minorEastAsia" w:hAnsiTheme="minorEastAsia" w:eastAsiaTheme="minorEastAsia" w:cstheme="minorEastAsia"/>
                <w:color w:val="auto"/>
                <w:sz w:val="24"/>
                <w:szCs w:val="24"/>
                <w:highlight w:val="none"/>
                <w:lang w:val="en-US" w:eastAsia="zh-CN"/>
              </w:rPr>
              <w:t>以</w:t>
            </w:r>
            <w:r>
              <w:rPr>
                <w:rFonts w:hint="eastAsia" w:asciiTheme="minorEastAsia" w:hAnsiTheme="minorEastAsia" w:eastAsiaTheme="minorEastAsia" w:cstheme="minorEastAsia"/>
                <w:color w:val="auto"/>
                <w:sz w:val="24"/>
                <w:szCs w:val="24"/>
                <w:highlight w:val="none"/>
              </w:rPr>
              <w:t>总监理工程师</w:t>
            </w:r>
            <w:r>
              <w:rPr>
                <w:rFonts w:hint="eastAsia" w:asciiTheme="minorEastAsia" w:hAnsiTheme="minorEastAsia" w:eastAsiaTheme="minorEastAsia" w:cstheme="minorEastAsia"/>
                <w:color w:val="auto"/>
                <w:sz w:val="24"/>
                <w:szCs w:val="24"/>
                <w:highlight w:val="none"/>
                <w:lang w:val="en-US" w:eastAsia="zh-CN"/>
              </w:rPr>
              <w:t>或专业</w:t>
            </w:r>
            <w:r>
              <w:rPr>
                <w:rFonts w:hint="eastAsia" w:asciiTheme="minorEastAsia" w:hAnsiTheme="minorEastAsia" w:eastAsiaTheme="minorEastAsia" w:cstheme="minorEastAsia"/>
                <w:color w:val="auto"/>
                <w:sz w:val="24"/>
                <w:szCs w:val="24"/>
                <w:highlight w:val="none"/>
              </w:rPr>
              <w:t>监理工程师</w:t>
            </w:r>
            <w:r>
              <w:rPr>
                <w:rFonts w:hint="eastAsia" w:asciiTheme="minorEastAsia" w:hAnsiTheme="minorEastAsia" w:eastAsiaTheme="minorEastAsia" w:cstheme="minorEastAsia"/>
                <w:color w:val="auto"/>
                <w:sz w:val="24"/>
                <w:szCs w:val="24"/>
                <w:highlight w:val="none"/>
                <w:lang w:val="en-US" w:eastAsia="zh-CN"/>
              </w:rPr>
              <w:t>身份</w:t>
            </w:r>
            <w:r>
              <w:rPr>
                <w:rFonts w:hint="eastAsia" w:asciiTheme="minorEastAsia" w:hAnsiTheme="minorEastAsia" w:eastAsiaTheme="minorEastAsia" w:cstheme="minorEastAsia"/>
                <w:color w:val="auto"/>
                <w:sz w:val="24"/>
                <w:szCs w:val="24"/>
                <w:highlight w:val="none"/>
              </w:rPr>
              <w:t>完成过一项</w:t>
            </w:r>
            <w:r>
              <w:rPr>
                <w:rFonts w:hint="eastAsia" w:asciiTheme="minorEastAsia" w:hAnsiTheme="minorEastAsia" w:eastAsiaTheme="minorEastAsia" w:cstheme="minorEastAsia"/>
                <w:color w:val="auto"/>
                <w:sz w:val="24"/>
                <w:szCs w:val="24"/>
                <w:highlight w:val="none"/>
                <w:lang w:val="en-US" w:eastAsia="zh-CN"/>
              </w:rPr>
              <w:t>“类似项目”工程监理业绩的得5分，满分5分</w:t>
            </w:r>
            <w:r>
              <w:rPr>
                <w:rFonts w:hint="eastAsia" w:asciiTheme="minorEastAsia" w:hAnsiTheme="minorEastAsia" w:eastAsiaTheme="minorEastAsia" w:cstheme="minorEastAsia"/>
                <w:color w:val="auto"/>
                <w:sz w:val="24"/>
                <w:szCs w:val="24"/>
                <w:highlight w:val="none"/>
              </w:rPr>
              <w:t>。</w:t>
            </w:r>
          </w:p>
          <w:p w14:paraId="39B3D16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注：①“近五年”是指：自2020年</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月1日至投标截止日，时间以监理合同中发包人签署的时间为准。</w:t>
            </w:r>
          </w:p>
          <w:p w14:paraId="79756E2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②上述总监理工程师的“类似项目”工程监理业绩是指：</w:t>
            </w:r>
            <w:r>
              <w:rPr>
                <w:rFonts w:hint="eastAsia" w:ascii="宋体" w:hAnsi="宋体" w:eastAsia="宋体" w:cs="宋体"/>
                <w:color w:val="auto"/>
                <w:kern w:val="0"/>
                <w:sz w:val="24"/>
                <w:szCs w:val="24"/>
                <w:highlight w:val="none"/>
                <w:lang w:val="en-US" w:eastAsia="zh-CN" w:bidi="ar"/>
              </w:rPr>
              <w:t>单项施工合同金额≥</w:t>
            </w:r>
            <w:r>
              <w:rPr>
                <w:rFonts w:hint="eastAsia" w:ascii="宋体" w:hAnsi="宋体" w:cs="宋体"/>
                <w:color w:val="auto"/>
                <w:kern w:val="0"/>
                <w:sz w:val="24"/>
                <w:szCs w:val="24"/>
                <w:highlight w:val="none"/>
                <w:lang w:val="en-US" w:eastAsia="zh-CN" w:bidi="ar"/>
              </w:rPr>
              <w:t>1500万元</w:t>
            </w:r>
            <w:r>
              <w:rPr>
                <w:rFonts w:hint="eastAsia" w:ascii="宋体" w:hAnsi="宋体" w:eastAsia="宋体" w:cs="宋体"/>
                <w:color w:val="auto"/>
                <w:kern w:val="0"/>
                <w:sz w:val="24"/>
                <w:szCs w:val="24"/>
                <w:highlight w:val="none"/>
                <w:lang w:val="en-US" w:eastAsia="zh-CN" w:bidi="ar"/>
              </w:rPr>
              <w:t>的市政公用工程监理业绩</w:t>
            </w:r>
            <w:r>
              <w:rPr>
                <w:rFonts w:hint="eastAsia" w:ascii="宋体" w:hAnsi="宋体" w:cs="宋体"/>
                <w:color w:val="auto"/>
                <w:kern w:val="0"/>
                <w:sz w:val="24"/>
                <w:szCs w:val="24"/>
                <w:highlight w:val="none"/>
                <w:lang w:val="en-US" w:eastAsia="zh-CN" w:bidi="ar"/>
              </w:rPr>
              <w:t>。</w:t>
            </w:r>
          </w:p>
          <w:p w14:paraId="5A3727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③业绩规模中的“合同金额”以监理合同中注明的“工程概算投资额或建筑安装工程费”的金额为准；若无法体现或不满足上述业绩指标的，视为无效业绩。</w:t>
            </w:r>
          </w:p>
          <w:p w14:paraId="6F4516C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④“监理业绩证明材料”是指：提供监理合同和工程竣工验收证明资料（“竣工验收证明资料”是指必须经设计、建设、监理、施工单位盖章的竣工验收报告或竣工验收单或竣工验收备案表或竣工验收证明）扫描件放至投标文件中。</w:t>
            </w:r>
          </w:p>
          <w:p w14:paraId="052020F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⑤工程竣工验收证明资料中必须能体现总监理工程师</w:t>
            </w:r>
            <w:r>
              <w:rPr>
                <w:rFonts w:hint="eastAsia" w:ascii="宋体" w:hAnsi="宋体" w:eastAsia="宋体" w:cs="宋体"/>
                <w:color w:val="auto"/>
                <w:kern w:val="2"/>
                <w:sz w:val="24"/>
                <w:szCs w:val="24"/>
                <w:highlight w:val="none"/>
                <w:lang w:val="en-US" w:eastAsia="zh-CN"/>
              </w:rPr>
              <w:t>或专业</w:t>
            </w:r>
            <w:r>
              <w:rPr>
                <w:rFonts w:hint="eastAsia" w:ascii="宋体" w:hAnsi="宋体" w:eastAsia="宋体" w:cs="宋体"/>
                <w:color w:val="auto"/>
                <w:kern w:val="2"/>
                <w:sz w:val="24"/>
                <w:szCs w:val="24"/>
                <w:highlight w:val="none"/>
                <w:lang w:eastAsia="zh-CN"/>
              </w:rPr>
              <w:t>监理工程师姓名，且必须与本次招标项目的拟派总监理工程师一致。</w:t>
            </w:r>
          </w:p>
          <w:p w14:paraId="555FD270">
            <w:pPr>
              <w:keepNext w:val="0"/>
              <w:keepLines w:val="0"/>
              <w:pageBreakBefore w:val="0"/>
              <w:tabs>
                <w:tab w:val="left" w:pos="945"/>
              </w:tabs>
              <w:kinsoku/>
              <w:wordWrap/>
              <w:overflowPunct/>
              <w:topLinePunct w:val="0"/>
              <w:autoSpaceDE/>
              <w:autoSpaceDN/>
              <w:bidi w:val="0"/>
              <w:adjustRightInd/>
              <w:snapToGrid w:val="0"/>
              <w:spacing w:line="360" w:lineRule="auto"/>
              <w:ind w:left="437" w:leftChars="208"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kern w:val="2"/>
                <w:sz w:val="24"/>
                <w:szCs w:val="24"/>
                <w:highlight w:val="none"/>
                <w:lang w:eastAsia="zh-CN"/>
              </w:rPr>
              <w:t>⑥</w:t>
            </w:r>
            <w:r>
              <w:rPr>
                <w:rFonts w:hint="eastAsia" w:ascii="宋体" w:hAnsi="宋体" w:eastAsia="宋体" w:cs="宋体"/>
                <w:color w:val="auto"/>
                <w:kern w:val="2"/>
                <w:sz w:val="24"/>
                <w:szCs w:val="24"/>
                <w:highlight w:val="none"/>
              </w:rPr>
              <w:t>拟派总监理工程师业绩与投标人业绩可以重复计分</w:t>
            </w:r>
            <w:r>
              <w:rPr>
                <w:rFonts w:hint="eastAsia" w:ascii="宋体" w:hAnsi="宋体" w:eastAsia="宋体" w:cs="宋体"/>
                <w:color w:val="auto"/>
                <w:kern w:val="2"/>
                <w:sz w:val="24"/>
                <w:szCs w:val="24"/>
                <w:highlight w:val="none"/>
                <w:lang w:eastAsia="zh-CN"/>
              </w:rPr>
              <w:t>。</w:t>
            </w:r>
          </w:p>
        </w:tc>
      </w:tr>
      <w:tr w14:paraId="6BBE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noWrap w:val="0"/>
            <w:vAlign w:val="center"/>
          </w:tcPr>
          <w:p w14:paraId="3EEC692C">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p>
          <w:p w14:paraId="764118A7">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监理实施方案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945" w:type="dxa"/>
            <w:noWrap w:val="0"/>
            <w:vAlign w:val="center"/>
          </w:tcPr>
          <w:p w14:paraId="599B2BC8">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6897" w:type="dxa"/>
            <w:noWrap w:val="0"/>
            <w:vAlign w:val="top"/>
          </w:tcPr>
          <w:p w14:paraId="2F9C5B6B">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投标人自行编制监理实施方案，</w:t>
            </w:r>
            <w:r>
              <w:rPr>
                <w:rFonts w:hint="eastAsia" w:asciiTheme="minorEastAsia" w:hAnsiTheme="minorEastAsia" w:eastAsiaTheme="minorEastAsia" w:cstheme="minorEastAsia"/>
                <w:color w:val="auto"/>
                <w:sz w:val="24"/>
                <w:szCs w:val="24"/>
                <w:highlight w:val="none"/>
              </w:rPr>
              <w:t>根据项目的内容和特点，特别是对项目的难点和关键点以及解决的办法，详实、科学和客观合理</w:t>
            </w:r>
            <w:r>
              <w:rPr>
                <w:rFonts w:hint="eastAsia" w:asciiTheme="minorEastAsia" w:hAnsiTheme="minorEastAsia" w:eastAsiaTheme="minorEastAsia" w:cstheme="minorEastAsia"/>
                <w:color w:val="auto"/>
                <w:sz w:val="24"/>
                <w:szCs w:val="24"/>
                <w:highlight w:val="none"/>
                <w:lang w:val="en-US" w:eastAsia="zh-CN"/>
              </w:rPr>
              <w:t>分析；以及</w:t>
            </w:r>
            <w:r>
              <w:rPr>
                <w:rFonts w:hint="eastAsia" w:asciiTheme="minorEastAsia" w:hAnsiTheme="minorEastAsia" w:eastAsiaTheme="minorEastAsia" w:cstheme="minorEastAsia"/>
                <w:color w:val="auto"/>
                <w:sz w:val="24"/>
                <w:szCs w:val="24"/>
                <w:highlight w:val="none"/>
              </w:rPr>
              <w:t>对质量控制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进度控制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造价控制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合同和信息管理的方法</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对工程的关键工序认识</w:t>
            </w:r>
            <w:r>
              <w:rPr>
                <w:rFonts w:hint="eastAsia" w:asciiTheme="minorEastAsia" w:hAnsiTheme="minorEastAsia" w:eastAsiaTheme="minorEastAsia" w:cstheme="minorEastAsia"/>
                <w:color w:val="auto"/>
                <w:sz w:val="24"/>
                <w:szCs w:val="24"/>
                <w:highlight w:val="none"/>
                <w:lang w:val="en-US" w:eastAsia="zh-CN"/>
              </w:rPr>
              <w:t>等方面进行分析，方案内容</w:t>
            </w:r>
            <w:r>
              <w:rPr>
                <w:rFonts w:hint="eastAsia" w:asciiTheme="minorEastAsia" w:hAnsiTheme="minorEastAsia" w:eastAsiaTheme="minorEastAsia" w:cstheme="minorEastAsia"/>
                <w:color w:val="auto"/>
                <w:sz w:val="24"/>
                <w:szCs w:val="24"/>
                <w:highlight w:val="none"/>
              </w:rPr>
              <w:t>全面、完整、深刻、有针对性的得</w:t>
            </w:r>
            <w:r>
              <w:rPr>
                <w:rFonts w:hint="eastAsia" w:asciiTheme="minorEastAsia" w:hAnsiTheme="minorEastAsia" w:eastAsiaTheme="minorEastAsia" w:cstheme="minorEastAsia"/>
                <w:color w:val="auto"/>
                <w:sz w:val="24"/>
                <w:szCs w:val="24"/>
                <w:highlight w:val="none"/>
                <w:lang w:val="en-US" w:eastAsia="zh-CN"/>
              </w:rPr>
              <w:t>4.01~6.00</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方案内容</w:t>
            </w:r>
            <w:r>
              <w:rPr>
                <w:rFonts w:hint="eastAsia" w:asciiTheme="minorEastAsia" w:hAnsiTheme="minorEastAsia" w:eastAsiaTheme="minorEastAsia" w:cstheme="minorEastAsia"/>
                <w:color w:val="auto"/>
                <w:sz w:val="24"/>
                <w:szCs w:val="24"/>
                <w:highlight w:val="none"/>
              </w:rPr>
              <w:t>较全面、较完整、较深刻、较有针对性的得2</w:t>
            </w:r>
            <w:r>
              <w:rPr>
                <w:rFonts w:hint="eastAsia" w:asciiTheme="minorEastAsia" w:hAnsiTheme="minorEastAsia" w:eastAsiaTheme="minorEastAsia" w:cstheme="minorEastAsia"/>
                <w:color w:val="auto"/>
                <w:sz w:val="24"/>
                <w:szCs w:val="24"/>
                <w:highlight w:val="none"/>
                <w:lang w:val="en-US" w:eastAsia="zh-CN"/>
              </w:rPr>
              <w:t>.01~4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分；陈述不全面、不完整、不深刻、没有针对性的</w:t>
            </w:r>
            <w:r>
              <w:rPr>
                <w:rFonts w:hint="eastAsia" w:asciiTheme="minorEastAsia" w:hAnsiTheme="minorEastAsia" w:eastAsiaTheme="minorEastAsia" w:cstheme="minorEastAsia"/>
                <w:color w:val="auto"/>
                <w:sz w:val="24"/>
                <w:szCs w:val="24"/>
                <w:highlight w:val="none"/>
                <w:lang w:val="en-US" w:eastAsia="zh-CN"/>
              </w:rPr>
              <w:t>得1.01~2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0；未提供或内容与本项目完全不符的不得分</w:t>
            </w:r>
            <w:r>
              <w:rPr>
                <w:rFonts w:hint="eastAsia" w:asciiTheme="minorEastAsia" w:hAnsiTheme="minorEastAsia" w:eastAsiaTheme="minorEastAsia" w:cstheme="minorEastAsia"/>
                <w:color w:val="auto"/>
                <w:sz w:val="24"/>
                <w:szCs w:val="24"/>
                <w:highlight w:val="none"/>
                <w:lang w:eastAsia="zh-CN"/>
              </w:rPr>
              <w:t>。</w:t>
            </w:r>
          </w:p>
        </w:tc>
      </w:tr>
      <w:tr w14:paraId="6299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7" w:type="dxa"/>
            <w:noWrap w:val="0"/>
            <w:vAlign w:val="center"/>
          </w:tcPr>
          <w:p w14:paraId="7960D3C6">
            <w:pPr>
              <w:keepNext w:val="0"/>
              <w:keepLines w:val="0"/>
              <w:pageBreakBefore w:val="0"/>
              <w:tabs>
                <w:tab w:val="left" w:pos="945"/>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监理费报价</w:t>
            </w:r>
          </w:p>
        </w:tc>
        <w:tc>
          <w:tcPr>
            <w:tcW w:w="945" w:type="dxa"/>
            <w:noWrap w:val="0"/>
            <w:vAlign w:val="center"/>
          </w:tcPr>
          <w:p w14:paraId="5C56DC1D">
            <w:pPr>
              <w:keepNext w:val="0"/>
              <w:keepLines w:val="0"/>
              <w:pageBreakBefore w:val="0"/>
              <w:tabs>
                <w:tab w:val="left" w:pos="9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84</w:t>
            </w:r>
            <w:r>
              <w:rPr>
                <w:rFonts w:hint="eastAsia" w:asciiTheme="minorEastAsia" w:hAnsiTheme="minorEastAsia" w:eastAsiaTheme="minorEastAsia" w:cstheme="minorEastAsia"/>
                <w:color w:val="auto"/>
                <w:sz w:val="24"/>
                <w:szCs w:val="24"/>
                <w:highlight w:val="none"/>
              </w:rPr>
              <w:t>分</w:t>
            </w:r>
          </w:p>
        </w:tc>
        <w:tc>
          <w:tcPr>
            <w:tcW w:w="6897" w:type="dxa"/>
            <w:noWrap w:val="0"/>
            <w:vAlign w:val="top"/>
          </w:tcPr>
          <w:p w14:paraId="3C43DB71">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以下所有涉及报价计算的结果均按四舍五入原则保留两位小数： </w:t>
            </w:r>
          </w:p>
          <w:p w14:paraId="42450575">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（1）初步评审：投标人的监理服务收费（</w:t>
            </w:r>
            <w:r>
              <w:rPr>
                <w:rFonts w:hint="eastAsia" w:asciiTheme="minorEastAsia" w:hAnsiTheme="minorEastAsia" w:eastAsiaTheme="minorEastAsia" w:cstheme="minorEastAsia"/>
                <w:color w:val="auto"/>
                <w:sz w:val="24"/>
                <w:szCs w:val="24"/>
                <w:highlight w:val="none"/>
                <w:lang w:eastAsia="zh-CN"/>
              </w:rPr>
              <w:t>即</w:t>
            </w:r>
            <w:r>
              <w:rPr>
                <w:rFonts w:hint="eastAsia" w:asciiTheme="minorEastAsia" w:hAnsiTheme="minorEastAsia" w:eastAsiaTheme="minorEastAsia" w:cstheme="minorEastAsia"/>
                <w:color w:val="auto"/>
                <w:sz w:val="24"/>
                <w:szCs w:val="24"/>
                <w:highlight w:val="none"/>
              </w:rPr>
              <w:t>投标报价）高于本次招标文件约定的监理服务收费最高投标限价A的将被否决投标，同时该投标人的投标报价不再参与下述评审；</w:t>
            </w:r>
          </w:p>
          <w:p w14:paraId="2CABBBAC">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（2）低于最高投标限价的</w:t>
            </w:r>
            <w:r>
              <w:rPr>
                <w:rFonts w:hint="eastAsia" w:asciiTheme="minorEastAsia" w:hAnsiTheme="minorEastAsia" w:eastAsiaTheme="minorEastAsia" w:cstheme="minorEastAsia"/>
                <w:color w:val="auto"/>
                <w:sz w:val="24"/>
                <w:szCs w:val="24"/>
                <w:highlight w:val="none"/>
                <w:lang w:val="en-US" w:eastAsia="zh-CN"/>
              </w:rPr>
              <w:t>82</w:t>
            </w:r>
            <w:r>
              <w:rPr>
                <w:rFonts w:hint="eastAsia" w:asciiTheme="minorEastAsia" w:hAnsiTheme="minorEastAsia" w:eastAsiaTheme="minorEastAsia" w:cstheme="minorEastAsia"/>
                <w:color w:val="auto"/>
                <w:sz w:val="24"/>
                <w:szCs w:val="24"/>
                <w:highlight w:val="none"/>
              </w:rPr>
              <w:t>%（不含本数）或高于最高投标限价的</w:t>
            </w:r>
            <w:r>
              <w:rPr>
                <w:rFonts w:hint="eastAsia" w:asciiTheme="minorEastAsia" w:hAnsiTheme="minorEastAsia" w:eastAsiaTheme="minorEastAsia" w:cstheme="minorEastAsia"/>
                <w:color w:val="auto"/>
                <w:sz w:val="24"/>
                <w:szCs w:val="24"/>
                <w:highlight w:val="none"/>
                <w:lang w:val="en-US" w:eastAsia="zh-CN"/>
              </w:rPr>
              <w:t>92</w:t>
            </w:r>
            <w:r>
              <w:rPr>
                <w:rFonts w:hint="eastAsia" w:asciiTheme="minorEastAsia" w:hAnsiTheme="minorEastAsia" w:eastAsiaTheme="minorEastAsia" w:cstheme="minorEastAsia"/>
                <w:color w:val="auto"/>
                <w:sz w:val="24"/>
                <w:szCs w:val="24"/>
                <w:highlight w:val="none"/>
              </w:rPr>
              <w:t>%（不含本数）的投标报价，均不参与以下平均值的计算。</w:t>
            </w:r>
          </w:p>
          <w:p w14:paraId="70DCD13B">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当最高投标限价的</w:t>
            </w:r>
            <w:r>
              <w:rPr>
                <w:rFonts w:hint="eastAsia" w:asciiTheme="minorEastAsia" w:hAnsiTheme="minorEastAsia" w:eastAsiaTheme="minorEastAsia" w:cstheme="minorEastAsia"/>
                <w:color w:val="auto"/>
                <w:sz w:val="24"/>
                <w:szCs w:val="24"/>
                <w:highlight w:val="none"/>
                <w:lang w:val="en-US" w:eastAsia="zh-CN"/>
              </w:rPr>
              <w:t>82</w:t>
            </w:r>
            <w:r>
              <w:rPr>
                <w:rFonts w:hint="eastAsia" w:asciiTheme="minorEastAsia" w:hAnsiTheme="minorEastAsia" w:eastAsiaTheme="minorEastAsia" w:cstheme="minorEastAsia"/>
                <w:color w:val="auto"/>
                <w:sz w:val="24"/>
                <w:szCs w:val="24"/>
                <w:highlight w:val="none"/>
              </w:rPr>
              <w:t>%与最高投标限价的</w:t>
            </w:r>
            <w:r>
              <w:rPr>
                <w:rFonts w:hint="eastAsia" w:asciiTheme="minorEastAsia" w:hAnsiTheme="minorEastAsia" w:eastAsiaTheme="minorEastAsia" w:cstheme="minorEastAsia"/>
                <w:color w:val="auto"/>
                <w:sz w:val="24"/>
                <w:szCs w:val="24"/>
                <w:highlight w:val="none"/>
                <w:lang w:val="en-US" w:eastAsia="zh-CN"/>
              </w:rPr>
              <w:t>92</w:t>
            </w:r>
            <w:r>
              <w:rPr>
                <w:rFonts w:hint="eastAsia" w:asciiTheme="minorEastAsia" w:hAnsiTheme="minorEastAsia" w:eastAsiaTheme="minorEastAsia" w:cstheme="minorEastAsia"/>
                <w:color w:val="auto"/>
                <w:sz w:val="24"/>
                <w:szCs w:val="24"/>
                <w:highlight w:val="none"/>
              </w:rPr>
              <w:t>%之间无投标报价时（含本数），属于报价异常，本项目</w:t>
            </w:r>
            <w:r>
              <w:rPr>
                <w:rFonts w:hint="eastAsia" w:asciiTheme="minorEastAsia" w:hAnsiTheme="minorEastAsia" w:eastAsiaTheme="minorEastAsia" w:cstheme="minorEastAsia"/>
                <w:color w:val="auto"/>
                <w:sz w:val="24"/>
                <w:szCs w:val="24"/>
                <w:highlight w:val="none"/>
                <w:lang w:val="en-US" w:eastAsia="zh-CN"/>
              </w:rPr>
              <w:t>招标失败</w:t>
            </w:r>
            <w:r>
              <w:rPr>
                <w:rFonts w:hint="eastAsia" w:asciiTheme="minorEastAsia" w:hAnsiTheme="minorEastAsia" w:eastAsiaTheme="minorEastAsia" w:cstheme="minorEastAsia"/>
                <w:color w:val="auto"/>
                <w:sz w:val="24"/>
                <w:szCs w:val="24"/>
                <w:highlight w:val="none"/>
              </w:rPr>
              <w:t>。</w:t>
            </w:r>
          </w:p>
          <w:p w14:paraId="0844945A">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2.计算投标报价算术平均值b</w:t>
            </w:r>
          </w:p>
          <w:p w14:paraId="77FE6D89">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（1）设通过前述各步骤评审的投标人数量为M,最高投标限价为A；</w:t>
            </w:r>
          </w:p>
          <w:p w14:paraId="3BFB5AE2">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（2）当投标单位家数M≤5时，则取所有投标报价的算术平均值为b值；</w:t>
            </w:r>
          </w:p>
          <w:p w14:paraId="62F08FDF">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（3）当M＞5时，按由高到低顺序去掉报价高的M×20%（四舍五入取整数）家和按由低到高顺序去除报价低的M×10%（四舍五入取整数）家后，在此范围内的所有投标报价取算术平均值为b值；</w:t>
            </w:r>
          </w:p>
          <w:p w14:paraId="466826EB">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（4）计算评标基准值B：以算术平均值b为评标基准值B。</w:t>
            </w:r>
          </w:p>
          <w:p w14:paraId="6D2AE36C">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（5）有效投标报价等于评标基准值B值的得满分84分。报价每高于评标基准值1%扣0.5分，每低</w:t>
            </w:r>
            <w:bookmarkStart w:id="208" w:name="_GoBack"/>
            <w:bookmarkEnd w:id="208"/>
            <w:r>
              <w:rPr>
                <w:rFonts w:hint="eastAsia" w:asciiTheme="minorEastAsia" w:hAnsiTheme="minorEastAsia" w:eastAsiaTheme="minorEastAsia" w:cstheme="minorEastAsia"/>
                <w:color w:val="auto"/>
                <w:sz w:val="24"/>
                <w:szCs w:val="24"/>
                <w:highlight w:val="none"/>
                <w:lang w:val="en-US" w:eastAsia="zh-CN"/>
              </w:rPr>
              <w:t>于评标基准值1%扣0.3分，计算公式为：84-|投标人报价-评标基准值|/评标基准值*（0.5或0.3）*100。</w:t>
            </w:r>
          </w:p>
          <w:p w14:paraId="172DAFCB">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3.投标人的投标报价得分保留两位小数，第三位四舍五入。</w:t>
            </w:r>
          </w:p>
        </w:tc>
      </w:tr>
    </w:tbl>
    <w:p w14:paraId="1F685FC3">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注：①当</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单位先前存在机构合并、分立、重组等情况造成以上提供的资料单位名称与营业执照上的单位名称不一致时，必须提供当地工商行政主管部门的变更证明材料。</w:t>
      </w:r>
    </w:p>
    <w:p w14:paraId="1F19D98A">
      <w:pPr>
        <w:keepNext w:val="0"/>
        <w:keepLines w:val="0"/>
        <w:pageBreakBefore w:val="0"/>
        <w:tabs>
          <w:tab w:val="left" w:pos="945"/>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②计算过程和结果四舍五入，精确到小数点后两位。</w:t>
      </w:r>
    </w:p>
    <w:p w14:paraId="14F453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9"/>
        <w:rPr>
          <w:rFonts w:ascii="宋体" w:eastAsia="宋体"/>
          <w:color w:val="auto"/>
          <w:kern w:val="0"/>
          <w:sz w:val="24"/>
          <w:highlight w:val="none"/>
        </w:rPr>
      </w:pPr>
      <w:r>
        <w:rPr>
          <w:rFonts w:hint="eastAsia" w:ascii="宋体" w:hAnsi="宋体" w:eastAsia="宋体" w:cs="Times New Roman"/>
          <w:b/>
          <w:color w:val="auto"/>
          <w:kern w:val="0"/>
          <w:sz w:val="24"/>
          <w:szCs w:val="24"/>
          <w:highlight w:val="none"/>
          <w:lang w:val="en-US" w:eastAsia="zh-CN"/>
        </w:rPr>
        <w:t>5.</w:t>
      </w:r>
      <w:r>
        <w:rPr>
          <w:rFonts w:hint="eastAsia" w:ascii="宋体" w:hAnsi="宋体" w:eastAsia="宋体" w:cs="Times New Roman"/>
          <w:b/>
          <w:color w:val="auto"/>
          <w:kern w:val="0"/>
          <w:sz w:val="24"/>
          <w:szCs w:val="24"/>
          <w:highlight w:val="none"/>
        </w:rPr>
        <w:t>企业</w:t>
      </w:r>
      <w:r>
        <w:rPr>
          <w:rFonts w:hint="eastAsia" w:ascii="宋体" w:hAnsi="宋体" w:eastAsia="宋体"/>
          <w:b/>
          <w:color w:val="auto"/>
          <w:kern w:val="0"/>
          <w:sz w:val="24"/>
          <w:szCs w:val="24"/>
          <w:highlight w:val="none"/>
        </w:rPr>
        <w:t>信用评审</w:t>
      </w:r>
    </w:p>
    <w:p w14:paraId="360635D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olor w:val="auto"/>
          <w:kern w:val="0"/>
          <w:sz w:val="24"/>
          <w:highlight w:val="none"/>
        </w:rPr>
      </w:pPr>
      <w:r>
        <w:rPr>
          <w:rFonts w:hint="eastAsia" w:ascii="宋体" w:hAnsi="宋体" w:eastAsia="宋体"/>
          <w:color w:val="auto"/>
          <w:kern w:val="0"/>
          <w:sz w:val="24"/>
          <w:highlight w:val="none"/>
        </w:rPr>
        <w:t>评标委员会现场查询投标人诚信承诺书。</w:t>
      </w:r>
    </w:p>
    <w:p w14:paraId="485A9E7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宋体" w:hAnsi="宋体" w:eastAsia="宋体"/>
          <w:b/>
          <w:color w:val="auto"/>
          <w:kern w:val="0"/>
          <w:sz w:val="24"/>
          <w:highlight w:val="none"/>
        </w:rPr>
      </w:pPr>
      <w:r>
        <w:rPr>
          <w:rFonts w:hint="eastAsia" w:ascii="宋体" w:hAnsi="宋体" w:eastAsia="宋体"/>
          <w:b/>
          <w:color w:val="auto"/>
          <w:kern w:val="0"/>
          <w:sz w:val="24"/>
          <w:highlight w:val="none"/>
        </w:rPr>
        <w:t>5.</w:t>
      </w:r>
      <w:r>
        <w:rPr>
          <w:rFonts w:hint="eastAsia" w:ascii="宋体" w:hAnsi="宋体" w:eastAsia="宋体"/>
          <w:b/>
          <w:color w:val="auto"/>
          <w:kern w:val="0"/>
          <w:sz w:val="24"/>
          <w:highlight w:val="none"/>
          <w:lang w:val="en-US" w:eastAsia="zh-CN"/>
        </w:rPr>
        <w:t>1</w:t>
      </w:r>
      <w:r>
        <w:rPr>
          <w:rFonts w:hint="eastAsia" w:ascii="宋体" w:hAnsi="宋体" w:eastAsia="宋体"/>
          <w:b/>
          <w:color w:val="auto"/>
          <w:kern w:val="0"/>
          <w:sz w:val="24"/>
          <w:highlight w:val="none"/>
        </w:rPr>
        <w:t xml:space="preserve"> 行贿犯罪记录</w:t>
      </w:r>
    </w:p>
    <w:p w14:paraId="642094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strike/>
          <w:color w:val="auto"/>
          <w:kern w:val="0"/>
          <w:sz w:val="24"/>
          <w:highlight w:val="none"/>
        </w:rPr>
      </w:pPr>
      <w:r>
        <w:rPr>
          <w:rFonts w:hint="eastAsia" w:ascii="宋体" w:hAnsi="宋体" w:eastAsia="宋体"/>
          <w:color w:val="auto"/>
          <w:kern w:val="0"/>
          <w:sz w:val="24"/>
          <w:highlight w:val="none"/>
        </w:rPr>
        <w:t>投标人自投标截止之日起前三年有行贿犯罪记录的，信用评审不合格。</w:t>
      </w:r>
    </w:p>
    <w:p w14:paraId="30A4D32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outlineLvl w:val="9"/>
        <w:rPr>
          <w:rFonts w:ascii="宋体" w:hAnsi="宋体" w:eastAsia="宋体"/>
          <w:color w:val="auto"/>
          <w:kern w:val="0"/>
          <w:sz w:val="24"/>
          <w:highlight w:val="none"/>
        </w:rPr>
      </w:pPr>
      <w:r>
        <w:rPr>
          <w:rFonts w:hint="eastAsia" w:ascii="宋体" w:hAnsi="宋体" w:eastAsia="宋体"/>
          <w:b/>
          <w:bCs/>
          <w:color w:val="auto"/>
          <w:kern w:val="0"/>
          <w:sz w:val="24"/>
          <w:highlight w:val="none"/>
        </w:rPr>
        <w:t>5.</w:t>
      </w:r>
      <w:r>
        <w:rPr>
          <w:rFonts w:hint="eastAsia" w:ascii="宋体" w:hAnsi="宋体" w:eastAsia="宋体"/>
          <w:b/>
          <w:bCs/>
          <w:color w:val="auto"/>
          <w:kern w:val="0"/>
          <w:sz w:val="24"/>
          <w:highlight w:val="none"/>
          <w:lang w:val="en-US" w:eastAsia="zh-CN"/>
        </w:rPr>
        <w:t>2</w:t>
      </w:r>
      <w:r>
        <w:rPr>
          <w:rFonts w:hint="eastAsia" w:ascii="宋体" w:hAnsi="宋体" w:eastAsia="宋体"/>
          <w:b/>
          <w:bCs/>
          <w:color w:val="auto"/>
          <w:kern w:val="0"/>
          <w:sz w:val="24"/>
          <w:highlight w:val="none"/>
        </w:rPr>
        <w:t xml:space="preserve"> 限制投标的行政处罚、限制在本市承揽业务的行政处理</w:t>
      </w:r>
    </w:p>
    <w:p w14:paraId="712F34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olor w:val="auto"/>
          <w:kern w:val="0"/>
          <w:sz w:val="24"/>
          <w:highlight w:val="none"/>
        </w:rPr>
      </w:pPr>
      <w:r>
        <w:rPr>
          <w:rFonts w:hint="eastAsia" w:ascii="宋体" w:hAnsi="宋体" w:eastAsia="宋体"/>
          <w:color w:val="auto"/>
          <w:kern w:val="0"/>
          <w:sz w:val="24"/>
          <w:highlight w:val="none"/>
        </w:rPr>
        <w:t>投标人或项目</w:t>
      </w:r>
      <w:r>
        <w:rPr>
          <w:rFonts w:hint="eastAsia" w:ascii="宋体" w:hAnsi="宋体" w:eastAsia="宋体"/>
          <w:bCs/>
          <w:color w:val="auto"/>
          <w:kern w:val="0"/>
          <w:sz w:val="24"/>
          <w:highlight w:val="none"/>
        </w:rPr>
        <w:t>总监理工程师</w:t>
      </w:r>
      <w:r>
        <w:rPr>
          <w:rFonts w:hint="eastAsia" w:ascii="宋体" w:hAnsi="宋体" w:eastAsia="宋体"/>
          <w:color w:val="auto"/>
          <w:kern w:val="0"/>
          <w:sz w:val="24"/>
          <w:highlight w:val="none"/>
        </w:rPr>
        <w:t>“受到招投标行政监管部门（或政府行业监管部门）限制投标的行政处罚，受到政府行业监管部门限制在本市承揽业务的行政处理，至投标截止之日仍在处罚、处理期内的”，信用评审不合格。</w:t>
      </w:r>
    </w:p>
    <w:p w14:paraId="01A41FA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宋体" w:hAnsi="宋体" w:eastAsia="宋体"/>
          <w:b/>
          <w:color w:val="auto"/>
          <w:kern w:val="0"/>
          <w:sz w:val="24"/>
          <w:highlight w:val="none"/>
        </w:rPr>
      </w:pPr>
      <w:r>
        <w:rPr>
          <w:rFonts w:hint="eastAsia" w:ascii="宋体" w:hAnsi="宋体" w:eastAsia="宋体"/>
          <w:b/>
          <w:color w:val="auto"/>
          <w:kern w:val="0"/>
          <w:sz w:val="24"/>
          <w:highlight w:val="none"/>
        </w:rPr>
        <w:t xml:space="preserve">5.3 在招投标活动中存在弄虚作假或串通投标等行为 </w:t>
      </w:r>
    </w:p>
    <w:p w14:paraId="55E041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b w:val="0"/>
          <w:bCs/>
          <w:color w:val="auto"/>
          <w:kern w:val="0"/>
          <w:sz w:val="24"/>
          <w:highlight w:val="none"/>
        </w:rPr>
      </w:pPr>
      <w:r>
        <w:rPr>
          <w:rFonts w:hint="eastAsia" w:ascii="宋体" w:hAnsi="宋体" w:eastAsia="宋体"/>
          <w:b w:val="0"/>
          <w:bCs/>
          <w:color w:val="auto"/>
          <w:kern w:val="0"/>
          <w:sz w:val="24"/>
          <w:highlight w:val="none"/>
        </w:rPr>
        <w:t>投标人在招投标活动中因弄虚作假或串通投标等违法违规行为被处理，在“信用中国”网站仍处于公示期内的，其信用评审不合格。</w:t>
      </w:r>
    </w:p>
    <w:p w14:paraId="527CD54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宋体" w:hAnsi="宋体" w:eastAsia="宋体"/>
          <w:color w:val="auto"/>
          <w:kern w:val="0"/>
          <w:sz w:val="24"/>
          <w:highlight w:val="none"/>
        </w:rPr>
      </w:pPr>
      <w:r>
        <w:rPr>
          <w:rFonts w:hint="eastAsia" w:ascii="宋体" w:hAnsi="宋体" w:eastAsia="宋体"/>
          <w:b/>
          <w:color w:val="auto"/>
          <w:kern w:val="0"/>
          <w:sz w:val="24"/>
          <w:highlight w:val="none"/>
        </w:rPr>
        <w:t>5.</w:t>
      </w:r>
      <w:r>
        <w:rPr>
          <w:rFonts w:hint="eastAsia" w:ascii="宋体" w:hAnsi="宋体" w:eastAsia="宋体"/>
          <w:b/>
          <w:color w:val="auto"/>
          <w:kern w:val="0"/>
          <w:sz w:val="24"/>
          <w:highlight w:val="none"/>
          <w:lang w:val="en-US" w:eastAsia="zh-CN"/>
        </w:rPr>
        <w:t>4</w:t>
      </w:r>
      <w:r>
        <w:rPr>
          <w:rFonts w:hint="eastAsia" w:ascii="宋体" w:hAnsi="宋体" w:eastAsia="宋体"/>
          <w:b/>
          <w:color w:val="auto"/>
          <w:kern w:val="0"/>
          <w:sz w:val="24"/>
          <w:highlight w:val="none"/>
        </w:rPr>
        <w:t>住建部门“黑名单”</w:t>
      </w:r>
    </w:p>
    <w:p w14:paraId="6CB983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olor w:val="auto"/>
          <w:kern w:val="0"/>
          <w:sz w:val="24"/>
          <w:highlight w:val="none"/>
        </w:rPr>
      </w:pPr>
      <w:r>
        <w:rPr>
          <w:rFonts w:hint="eastAsia" w:ascii="宋体" w:hAnsi="宋体" w:eastAsia="宋体"/>
          <w:color w:val="auto"/>
          <w:kern w:val="0"/>
          <w:sz w:val="24"/>
          <w:highlight w:val="none"/>
        </w:rPr>
        <w:t>投标人在铜陵市住建局网站“应用平台”栏目下的“铜陵市建筑施工企业和房地产开发企业信用系统”，被列入“黑名单”的信用评审不合格。</w:t>
      </w:r>
    </w:p>
    <w:p w14:paraId="7B7C5DA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宋体" w:hAnsi="宋体" w:eastAsia="宋体"/>
          <w:b/>
          <w:color w:val="auto"/>
          <w:kern w:val="0"/>
          <w:sz w:val="24"/>
          <w:highlight w:val="none"/>
        </w:rPr>
      </w:pPr>
      <w:r>
        <w:rPr>
          <w:rFonts w:hint="eastAsia" w:ascii="宋体" w:hAnsi="宋体" w:eastAsia="宋体"/>
          <w:b/>
          <w:color w:val="auto"/>
          <w:kern w:val="0"/>
          <w:sz w:val="24"/>
          <w:highlight w:val="none"/>
        </w:rPr>
        <w:t>5.</w:t>
      </w:r>
      <w:r>
        <w:rPr>
          <w:rFonts w:hint="eastAsia" w:ascii="宋体" w:hAnsi="宋体" w:eastAsia="宋体"/>
          <w:b/>
          <w:color w:val="auto"/>
          <w:kern w:val="0"/>
          <w:sz w:val="24"/>
          <w:highlight w:val="none"/>
          <w:lang w:val="en-US" w:eastAsia="zh-CN"/>
        </w:rPr>
        <w:t>5</w:t>
      </w:r>
      <w:r>
        <w:rPr>
          <w:rFonts w:hint="eastAsia" w:ascii="宋体" w:hAnsi="宋体" w:eastAsia="宋体"/>
          <w:b/>
          <w:color w:val="auto"/>
          <w:kern w:val="0"/>
          <w:sz w:val="24"/>
          <w:highlight w:val="none"/>
        </w:rPr>
        <w:t>人力资源社会保障行政部门“失信名单”</w:t>
      </w:r>
    </w:p>
    <w:p w14:paraId="7B2BA7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olor w:val="auto"/>
          <w:kern w:val="0"/>
          <w:sz w:val="24"/>
          <w:highlight w:val="none"/>
        </w:rPr>
      </w:pPr>
      <w:r>
        <w:rPr>
          <w:rFonts w:hint="eastAsia" w:ascii="宋体" w:hAnsi="宋体" w:eastAsia="宋体"/>
          <w:color w:val="auto"/>
          <w:kern w:val="0"/>
          <w:sz w:val="24"/>
          <w:highlight w:val="none"/>
        </w:rPr>
        <w:t>被人力资源社会保障行政部门列入信用铜陵“失信名单”信用评审不合格，此项以信用铜陵（http://xytl.tl.gov.cn/）“守信失信名单”栏目为准。</w:t>
      </w:r>
    </w:p>
    <w:p w14:paraId="26CC3276">
      <w:pPr>
        <w:keepNext w:val="0"/>
        <w:keepLines w:val="0"/>
        <w:pageBreakBefore w:val="0"/>
        <w:tabs>
          <w:tab w:val="left" w:pos="945"/>
        </w:tabs>
        <w:kinsoku/>
        <w:wordWrap/>
        <w:overflowPunct/>
        <w:topLinePunct w:val="0"/>
        <w:autoSpaceDE/>
        <w:autoSpaceDN/>
        <w:bidi w:val="0"/>
        <w:adjustRightInd/>
        <w:snapToGrid w:val="0"/>
        <w:spacing w:line="360" w:lineRule="auto"/>
        <w:ind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推荐中标候选人</w:t>
      </w:r>
    </w:p>
    <w:p w14:paraId="68DF8F4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评标委员会按照投标人综合得分由高到低的顺序，推荐</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名中标候选人。综合得分相等的，以投标报价与评标基准值差异的绝对值由小到大的顺序排列。差异的绝对值也相等的，由评标委员会抽签确定排序。无法推荐招标文件规定数量的，以实际合格的投标人家数为准。</w:t>
      </w:r>
    </w:p>
    <w:p w14:paraId="0E06F24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当拟推荐的中标候选人报价存在可能影响合同履行的异常低价的，且投标文件中未附其不属于异常低价的证明材料或材料不足以证明时，评审委员会将要求投标人在30分钟内提供证明相关证明材料或补充证明材料。评审委员会对通过评审的异常低价中标候选人的合同履行能力及工程质量安全等风险应进行全面评估，并作为评标报告的附件；如中标候选人未提供或提供的材料不能证明其不属于异常低价的，评标委员会应否决其投标并将否决的理由写入评标报告，否决后，有其他合格的投标人可供选择的，应递补推荐。</w:t>
      </w:r>
    </w:p>
    <w:p w14:paraId="71EE666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如本项目有业绩要求，评标委员会应在评标报告中载明经评审认可的中标候选人业绩情况。</w:t>
      </w:r>
    </w:p>
    <w:p w14:paraId="08D344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中标候选人确定后，在后期异议、投诉调查过程中如发现投标人存在弄虚作假、串通投标等违法违规行为或不符合招标文件实质性要求的，不论其是否为中标候选人，均不对已评审的结果重新计算，是中标候选人的，取消其中标资格。</w:t>
      </w:r>
    </w:p>
    <w:p w14:paraId="62358827">
      <w:pPr>
        <w:keepNext w:val="0"/>
        <w:keepLines w:val="0"/>
        <w:pageBreakBefore w:val="0"/>
        <w:tabs>
          <w:tab w:val="left" w:pos="945"/>
        </w:tabs>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.定标</w:t>
      </w:r>
    </w:p>
    <w:p w14:paraId="3D64E2E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不采用“评定分离”方式的</w:t>
      </w:r>
    </w:p>
    <w:p w14:paraId="69762C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国有资金占控股或者主导地位的依法必须进行招标的项目，招标人确定排名第一的中标候选人为中标人。出现异常情况的按照第二章“投标人须知”的7.4 定标条款执行。</w:t>
      </w:r>
    </w:p>
    <w:p w14:paraId="77F7C39A">
      <w:pPr>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sectPr>
          <w:pgSz w:w="11906" w:h="16838"/>
          <w:pgMar w:top="1417" w:right="1417" w:bottom="1417" w:left="1417" w:header="794" w:footer="567" w:gutter="0"/>
          <w:pgNumType w:fmt="decimal"/>
          <w:cols w:space="0" w:num="1"/>
          <w:docGrid w:type="lines" w:linePitch="312" w:charSpace="0"/>
        </w:sectPr>
      </w:pPr>
    </w:p>
    <w:p w14:paraId="5FFB86C4">
      <w:pPr>
        <w:numPr>
          <w:ilvl w:val="0"/>
          <w:numId w:val="0"/>
        </w:numPr>
        <w:spacing w:line="360" w:lineRule="auto"/>
        <w:jc w:val="center"/>
        <w:rPr>
          <w:rFonts w:cs="宋体" w:asciiTheme="minorEastAsia" w:hAnsiTheme="minorEastAsia" w:eastAsiaTheme="minorEastAsia"/>
          <w:b/>
          <w:color w:val="auto"/>
          <w:sz w:val="30"/>
          <w:szCs w:val="22"/>
          <w:highlight w:val="none"/>
        </w:rPr>
      </w:pPr>
      <w:r>
        <w:rPr>
          <w:rFonts w:hint="eastAsia" w:cs="宋体" w:asciiTheme="minorEastAsia" w:hAnsiTheme="minorEastAsia" w:eastAsiaTheme="minorEastAsia"/>
          <w:b/>
          <w:color w:val="auto"/>
          <w:sz w:val="30"/>
          <w:szCs w:val="22"/>
          <w:highlight w:val="none"/>
          <w:lang w:val="en-US" w:eastAsia="zh-CN"/>
        </w:rPr>
        <w:t xml:space="preserve">第四章 </w:t>
      </w:r>
      <w:r>
        <w:rPr>
          <w:rFonts w:hint="eastAsia" w:cs="宋体" w:asciiTheme="minorEastAsia" w:hAnsiTheme="minorEastAsia" w:eastAsiaTheme="minorEastAsia"/>
          <w:b/>
          <w:color w:val="auto"/>
          <w:sz w:val="30"/>
          <w:szCs w:val="22"/>
          <w:highlight w:val="none"/>
        </w:rPr>
        <w:t>工程综合说明</w:t>
      </w:r>
    </w:p>
    <w:p w14:paraId="2E2286B4">
      <w:pPr>
        <w:pStyle w:val="20"/>
        <w:spacing w:line="360" w:lineRule="auto"/>
        <w:ind w:firstLine="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一、监理服务内容</w:t>
      </w:r>
    </w:p>
    <w:p w14:paraId="5AF274A2">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国家法律法规、技术规范、本工程的设计文件及技术资料、业主的使用需求和管理要求、业主与第三方签订的与本工程有关的各种合同文件，对本招标文件中明确的工程实施全过程、全方位和全面的监理咨询服务。</w:t>
      </w:r>
    </w:p>
    <w:p w14:paraId="085629D1">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监理工作的主要职责包括并不局限于：</w:t>
      </w:r>
    </w:p>
    <w:p w14:paraId="0BFA2004">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（1）协助招标人做好招标阶段及施工准备工作；负责办理本项目相关前期的报批、报建、报审以及施工许可证等的办理等手续，招标人配合出具相关文件材料。</w:t>
      </w:r>
    </w:p>
    <w:p w14:paraId="16481D77">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（2）及时向招标人提交监理规划及细则。</w:t>
      </w:r>
    </w:p>
    <w:p w14:paraId="2BA52727">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（3）组织施工图纸会审和技术交底。</w:t>
      </w:r>
    </w:p>
    <w:p w14:paraId="05A3C8C0">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（4）审查施工单位提交的施工组织设计、施工技术方案和施工进度计划等。</w:t>
      </w:r>
    </w:p>
    <w:p w14:paraId="31E5175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（5）审批工程开工报告。</w:t>
      </w:r>
    </w:p>
    <w:p w14:paraId="710B0CF3">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监督施工单位严格按照施工规范、施工图设计文件、施工合同及基本建设程序进行施工，通过检查施工过程中的各个环节控制施工质量，如结构的关键部位和隐蔽工程验收，原材料、设备和构件的进场检验、设备安装等，土建配合工艺管道、电力电气及设备预埋等；各相关标段中标人之间的统筹、协调等；及时发现并制止施工单位在施工过程中出现的违反规范、图纸、合同的行为。</w:t>
      </w:r>
    </w:p>
    <w:p w14:paraId="2343546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（7）巡查：</w:t>
      </w:r>
    </w:p>
    <w:p w14:paraId="5A185E8E">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①制定质量巡查方案；按批准的巡查方案执行巡查程序、巡查制度及巡查方法和巡查频率，对施工的质量、安全、进度、文明施工进行全方面巡查，对土建施工各合约方主体的安全和质量履责情况进行重点巡查；</w:t>
      </w:r>
    </w:p>
    <w:p w14:paraId="1B31059A">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②中标人对招标人直接负责，在质量安全巡查中发现有质量、安全事故隐患，应立即向招标人报告，及时反馈和汇报；</w:t>
      </w:r>
    </w:p>
    <w:p w14:paraId="75C17300">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按要求填写巡查日志，对巡查出的质量、安全、进度、安全文明施工，施工人员、机械、设备、材料、资金的投入，形成巡查报告，定期对巡查情况进行小结，每日的质量安全巡查结束后的当天18点前报送招标人并要求施工单位进行整改；</w:t>
      </w:r>
    </w:p>
    <w:p w14:paraId="44C60403">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④定期对巡查中发现的问题，以质量安全巡查月报的形式进行汇总，并进行归纳和分析；月报中必须对巡查情况进行数据分类统计、分析，并提出相应的工作建议和意见，对工程质量做出评价意见；</w:t>
      </w:r>
    </w:p>
    <w:p w14:paraId="4FDA079E">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⑤巡查的项目竣工验收后，编写项目施工安全巡查总结等过程资料，并整理归档（过程资料含</w:t>
      </w:r>
      <w:r>
        <w:rPr>
          <w:rFonts w:hint="eastAsia" w:asciiTheme="minorEastAsia" w:hAnsiTheme="minorEastAsia" w:eastAsiaTheme="minorEastAsia" w:cstheme="minorEastAsia"/>
          <w:color w:val="auto"/>
          <w:sz w:val="24"/>
          <w:szCs w:val="24"/>
          <w:highlight w:val="none"/>
          <w:lang w:val="en-US" w:eastAsia="zh-CN"/>
        </w:rPr>
        <w:t>监理</w:t>
      </w:r>
      <w:r>
        <w:rPr>
          <w:rFonts w:hint="eastAsia" w:asciiTheme="minorEastAsia" w:hAnsiTheme="minorEastAsia" w:eastAsiaTheme="minorEastAsia" w:cstheme="minorEastAsia"/>
          <w:color w:val="auto"/>
          <w:sz w:val="24"/>
          <w:szCs w:val="24"/>
          <w:highlight w:val="none"/>
        </w:rPr>
        <w:t>日志、巡查单</w:t>
      </w:r>
      <w:r>
        <w:rPr>
          <w:rFonts w:hint="eastAsia" w:asciiTheme="minorEastAsia" w:hAnsiTheme="minorEastAsia" w:eastAsiaTheme="minorEastAsia" w:cstheme="minorEastAsia"/>
          <w:color w:val="auto"/>
          <w:sz w:val="24"/>
          <w:szCs w:val="24"/>
          <w:highlight w:val="none"/>
          <w:lang w:val="en-US" w:eastAsia="zh-CN"/>
        </w:rPr>
        <w:t>或整改通知单</w:t>
      </w:r>
      <w:r>
        <w:rPr>
          <w:rFonts w:hint="eastAsia" w:asciiTheme="minorEastAsia" w:hAnsiTheme="minorEastAsia" w:eastAsiaTheme="minorEastAsia" w:cstheme="minorEastAsia"/>
          <w:color w:val="auto"/>
          <w:sz w:val="24"/>
          <w:szCs w:val="24"/>
          <w:highlight w:val="none"/>
        </w:rPr>
        <w:t>、月报、图片、录像等）。</w:t>
      </w:r>
    </w:p>
    <w:p w14:paraId="0000B04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（8）旁站要求：</w:t>
      </w:r>
    </w:p>
    <w:p w14:paraId="4A1587D6">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为确保施工质量满足国家及行业规范要求，监理人员必须对每道施工工序进行旁站监理，及时发现和处理旁站监理过程中出现的质量问题，如实准确地做好旁站监理记录。旁站监理人员和施工企业现场质检人员未在旁站监理记录上签字的，不得进行下一道工序施工；</w:t>
      </w:r>
    </w:p>
    <w:p w14:paraId="18642969">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旁站人员需检查施工单位现场质检人员到岗、特殊工种人员持证上岗以及施工机械、建筑材料准备情况。核查进场建筑材料、建筑构配件、设备和商品混凝土的质量检验报告等，并可在现场取样进行复验。关键部位、关键工序的施工执行方案以及工程建设强制性标准执行情况；</w:t>
      </w:r>
    </w:p>
    <w:p w14:paraId="53F1C647">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旁站监理人员实施旁站监理时，发现施工企业有违反工程建设强制性标准行为的，应责令施工企业立即整改；发现其施工活动已经或者可能危及工程质量的，应当及时向监理工程师或总监理工程师报告，由总监理工程师下达局部暂停施工指令或者采取其他应急措施并报告业主代表；</w:t>
      </w:r>
    </w:p>
    <w:p w14:paraId="51BB64F4">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④应旁站监理的关键部位、关键工序施工，凡没有实施旁站监理或者没有旁站监理记录的，监理工程师或者总监理工程师不得在相应文件上签字；</w:t>
      </w:r>
    </w:p>
    <w:p w14:paraId="6A2AE6AE">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⑤做好旁站监埋记录和监理</w:t>
      </w:r>
      <w:r>
        <w:rPr>
          <w:rFonts w:hint="eastAsia" w:asciiTheme="minorEastAsia" w:hAnsiTheme="minorEastAsia" w:eastAsiaTheme="minorEastAsia" w:cstheme="minorEastAsia"/>
          <w:color w:val="auto"/>
          <w:sz w:val="24"/>
          <w:szCs w:val="24"/>
          <w:highlight w:val="none"/>
          <w:lang w:val="en-US" w:eastAsia="zh-CN"/>
        </w:rPr>
        <w:t>日志</w:t>
      </w:r>
      <w:r>
        <w:rPr>
          <w:rFonts w:hint="eastAsia" w:asciiTheme="minorEastAsia" w:hAnsiTheme="minorEastAsia" w:eastAsiaTheme="minorEastAsia" w:cstheme="minorEastAsia"/>
          <w:color w:val="auto"/>
          <w:sz w:val="24"/>
          <w:szCs w:val="24"/>
          <w:highlight w:val="none"/>
        </w:rPr>
        <w:t>，保存旁站监理原始资料。</w:t>
      </w:r>
    </w:p>
    <w:p w14:paraId="17C3C88E">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（9）参与、协商工程设计变更，并做好设计变更的费用分析和技术分析。</w:t>
      </w:r>
    </w:p>
    <w:p w14:paraId="70ABEB76">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（10）参与工程质量事故处理，商定工程质量事故处理措施和验收办法。</w:t>
      </w:r>
    </w:p>
    <w:p w14:paraId="6625502E">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检查施工单位的工程进度实施情况及事前、事中、事后的控制措施，定期检查进度计划执行情况，对实际进度计划滞后的，应及时采取措施促使施工单位进行纠正；对施工单位的工程进度措施、质量措施、安全措施进行纠偏，并提出整改意见。</w:t>
      </w:r>
    </w:p>
    <w:p w14:paraId="46DF6F4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（12）检查施工单位安全生产、文明施工的开展情况和保证措施。</w:t>
      </w:r>
    </w:p>
    <w:p w14:paraId="322537D9">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（13）按时向招标人报送监理月报、监理例会纪要等，为工程建设提供各方面的信息咨询服务。</w:t>
      </w:r>
    </w:p>
    <w:p w14:paraId="2BCAA710">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（14）认真进行工程验收和计量工作，审核施工单位申报的</w:t>
      </w:r>
      <w:r>
        <w:rPr>
          <w:rFonts w:hint="eastAsia" w:asciiTheme="minorEastAsia" w:hAnsiTheme="minorEastAsia" w:eastAsiaTheme="minorEastAsia" w:cstheme="minorEastAsia"/>
          <w:color w:val="auto"/>
          <w:sz w:val="24"/>
          <w:szCs w:val="24"/>
          <w:highlight w:val="none"/>
          <w:lang w:val="en-US" w:eastAsia="zh-CN"/>
        </w:rPr>
        <w:t>月度</w:t>
      </w:r>
      <w:r>
        <w:rPr>
          <w:rFonts w:hint="eastAsia" w:asciiTheme="minorEastAsia" w:hAnsiTheme="minorEastAsia" w:eastAsiaTheme="minorEastAsia" w:cstheme="minorEastAsia"/>
          <w:color w:val="auto"/>
          <w:sz w:val="24"/>
          <w:szCs w:val="24"/>
          <w:highlight w:val="none"/>
        </w:rPr>
        <w:t>工程报表，按合同规定进行计量支付签证，控制工程投资。</w:t>
      </w:r>
    </w:p>
    <w:p w14:paraId="2D91039C">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（15）检查监督施工单位农民工工资支付情况。</w:t>
      </w:r>
    </w:p>
    <w:p w14:paraId="05A5F54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（16）按合同要求和相关文件规定办理工程变更和签证，对签证办理的合理性及量价进行审核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w:t>
      </w:r>
      <w:r>
        <w:rPr>
          <w:rFonts w:hint="eastAsia" w:asciiTheme="minorEastAsia" w:hAnsiTheme="minorEastAsia" w:eastAsiaTheme="minorEastAsia" w:cstheme="minorEastAsia"/>
          <w:color w:val="auto"/>
          <w:sz w:val="24"/>
          <w:szCs w:val="24"/>
          <w:highlight w:val="none"/>
          <w:lang w:val="en-US" w:eastAsia="zh-CN"/>
        </w:rPr>
        <w:t>征得招标人同意后签署审核意见</w:t>
      </w:r>
      <w:r>
        <w:rPr>
          <w:rFonts w:hint="eastAsia" w:asciiTheme="minorEastAsia" w:hAnsiTheme="minorEastAsia" w:eastAsiaTheme="minorEastAsia" w:cstheme="minorEastAsia"/>
          <w:color w:val="auto"/>
          <w:sz w:val="24"/>
          <w:szCs w:val="24"/>
          <w:highlight w:val="none"/>
        </w:rPr>
        <w:t>。</w:t>
      </w:r>
    </w:p>
    <w:p w14:paraId="7D54A03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（17）对设备制造及与之相关的到货、安装、验收履行监理职责。</w:t>
      </w:r>
    </w:p>
    <w:p w14:paraId="769FBC56">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（18）组织工程竣工预验收和参加工程竣工验收，配合招标人开展竣工结算审核工作。</w:t>
      </w:r>
    </w:p>
    <w:p w14:paraId="2E33A20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r>
        <w:rPr>
          <w:rFonts w:hint="eastAsia" w:asciiTheme="minorEastAsia" w:hAnsiTheme="minorEastAsia" w:eastAsiaTheme="minorEastAsia" w:cstheme="minorEastAsia"/>
          <w:color w:val="auto"/>
          <w:sz w:val="24"/>
          <w:szCs w:val="24"/>
          <w:highlight w:val="none"/>
          <w:lang w:val="en-US" w:eastAsia="zh-CN"/>
        </w:rPr>
        <w:t>工程预算复核、材料询价、结算资料复核</w:t>
      </w:r>
      <w:r>
        <w:rPr>
          <w:rFonts w:hint="eastAsia" w:asciiTheme="minorEastAsia" w:hAnsiTheme="minorEastAsia" w:eastAsiaTheme="minorEastAsia" w:cstheme="minorEastAsia"/>
          <w:color w:val="auto"/>
          <w:sz w:val="24"/>
          <w:szCs w:val="24"/>
          <w:highlight w:val="none"/>
        </w:rPr>
        <w:t>。</w:t>
      </w:r>
    </w:p>
    <w:p w14:paraId="61290BCA">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（20）检查督促施工单位及时整理竣工文件和验收资料，受理单位工程竣工验收报告并提出监理意见。</w:t>
      </w:r>
    </w:p>
    <w:p w14:paraId="38969982">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（21）监理工作完成后，及时整理汇总并向招标人提交完整的监理档案资料。</w:t>
      </w:r>
    </w:p>
    <w:p w14:paraId="2CA6DD70">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（22）合同约定的其他内容。</w:t>
      </w:r>
    </w:p>
    <w:p w14:paraId="710A9214">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未述及到的有关监理人职责，不限于对质量控制、进度控制、投资控制、安全监督管理、资料管理、信息管理、项目协调等的程序、措施均执行国家和安徽省及工程所在地有关行政主管部门和行业的最新规范、规定等。</w:t>
      </w:r>
    </w:p>
    <w:p w14:paraId="196C85F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（24）监理人应向发包人提供的信息和文件：</w:t>
      </w:r>
    </w:p>
    <w:p w14:paraId="648BFB12">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①定期的信息文件——监理月报；主要内容：周、月大事记；质量、进度、投资控制情况；监理人、承包人履约情况；其他应向招标人报送的情况等；</w:t>
      </w:r>
    </w:p>
    <w:p w14:paraId="2610E4FA">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②定期的监理例会会议纪要；</w:t>
      </w:r>
    </w:p>
    <w:p w14:paraId="51C33EF9">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③不定期的监理工作报告；</w:t>
      </w:r>
    </w:p>
    <w:p w14:paraId="49963EEA">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④发包人要求提交的其他报告。</w:t>
      </w:r>
    </w:p>
    <w:p w14:paraId="2313CC9C">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2.监理单位负责工程建设项目的全过程监理和管理、督导。工期阶段包括本工程的施工准备阶段、施工阶段、竣工结算阶段、保修阶段（缺陷责任期）的管理及监理服务。</w:t>
      </w:r>
    </w:p>
    <w:p w14:paraId="70957684">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根据国家现行的技术标准、规范、规程为招标人提供工程建设项目监理服务。</w:t>
      </w:r>
    </w:p>
    <w:p w14:paraId="5489FB77">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根据工程建设项目内容及要求为招标人提供监理及技术咨询服务，包括但不限于以下内容：</w:t>
      </w:r>
    </w:p>
    <w:p w14:paraId="2710B9D0">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（1）实施监理工作前，编写监理规划和监理实施细则；确定监理部组成人员和职能分工。</w:t>
      </w:r>
    </w:p>
    <w:p w14:paraId="3E7EF419">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（2）协助招标人召开第一次工地会议，起草会议纪要。</w:t>
      </w:r>
    </w:p>
    <w:p w14:paraId="7FE44DC5">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（3）定期主持召开工地例会、专项会议。</w:t>
      </w:r>
    </w:p>
    <w:p w14:paraId="75E2D9C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（4）审查承包人项目现场监理机构的质量管理体系、技术管理体系、质量保证体系和安全保证体系。</w:t>
      </w:r>
    </w:p>
    <w:p w14:paraId="40FD68E1">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（5）审查承包人提交的施工组织设计、施工方案、总进度计划，提出审查意见。</w:t>
      </w:r>
    </w:p>
    <w:p w14:paraId="70F27398">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（6）审查承包人开工申请报告，审查承包人各项施工准备工作，下达开工令。</w:t>
      </w:r>
    </w:p>
    <w:p w14:paraId="2310D45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（7）审核和确认承包人选择的分包单位、试验单位的资质及分包项目。</w:t>
      </w:r>
    </w:p>
    <w:p w14:paraId="4A91EF1B">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（8）审查承包人测量放线成果并检查对成果的保护措施；做好施工过程中测量复核、交验工作。</w:t>
      </w:r>
    </w:p>
    <w:p w14:paraId="396D9448">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（9）督促承包人报送重点部位、关键工序的施工工艺和确保工程质量的措施，监理审核签认。</w:t>
      </w:r>
    </w:p>
    <w:p w14:paraId="02A0472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（10）审核承包人采用新材料、新设备、新技术、新工艺的施工工艺，组织专题论证，提出监理意见。</w:t>
      </w:r>
    </w:p>
    <w:p w14:paraId="278D2E5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（11）检查承包人拟进场工程材料、半成品、成品、构配件、设备的质量，审查质量证明资料，需要时采用见证取样方式进行监控。</w:t>
      </w:r>
    </w:p>
    <w:p w14:paraId="28F9D5C1">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（12）监督承包人按施工规范和设计文件施工，对施工过程进行巡视和检查，对隐蔽工程施工质量进行验收。施工中的重点部位、关键部位安排项目监理人员旁站。</w:t>
      </w:r>
    </w:p>
    <w:p w14:paraId="4C29DCEB">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（13）从安全、质量、工期、造价等方面审查设计变更，并提出监理建议。</w:t>
      </w:r>
    </w:p>
    <w:p w14:paraId="5883BD21">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（14）对施工中出现的质量缺陷下达整改通知，督促整改，检查验收。</w:t>
      </w:r>
    </w:p>
    <w:p w14:paraId="241E6CE7">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（15）对重大质量隐患可能造成（或已发生）质量事故时，及时下达工程暂停令。下达工程暂停令应当事先向委托人报告，如在紧急情况下未能书面报告时，立即向委托人口头汇报并在 24 小时内作出书面报告。</w:t>
      </w:r>
    </w:p>
    <w:p w14:paraId="0B954045">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对需返工处理或加固补强的质量事故，责令承包人报送质量事故报告，组织工程质量事故分析。督促承包人按设计认可的处理方案进行整改，对质量事故的处理过程和结果跟踪检查和验收，及时记录归档资料。</w:t>
      </w:r>
    </w:p>
    <w:p w14:paraId="29B811C1">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（17）协助委托人对工程项目造价目标进行风险分析，制定防范对策。</w:t>
      </w:r>
    </w:p>
    <w:p w14:paraId="3BFD511E">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（18）审核承包人的施工图预算，设计变更、现场签证调整预算。</w:t>
      </w:r>
    </w:p>
    <w:p w14:paraId="580FA81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（19）审核已完合格工程的工作量，签署工程款支付证书，报送委托人。</w:t>
      </w:r>
    </w:p>
    <w:p w14:paraId="0CC5069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（20）审核承包人编制的工程结算。</w:t>
      </w:r>
    </w:p>
    <w:p w14:paraId="07FC35A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（21）审查工程总进度计划及年、季、月、周施工进度计划，并督促实施。</w:t>
      </w:r>
    </w:p>
    <w:p w14:paraId="40829288">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（22）根据施工合同条款、施工图及施工组织设计制定进度控制方案，对进度目标进行风险分析，制定防范对策，报委托人。</w:t>
      </w:r>
    </w:p>
    <w:p w14:paraId="7AA8A1D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（23）分阶段检查进度控制情况，书面向委托人和承包人提出进度偏差的分析报告及调整意见。实际进度滞后于计划进度时，要求承包人提出纠偏措施并监督实施。</w:t>
      </w:r>
    </w:p>
    <w:p w14:paraId="1EC534B5">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（24）建立合同台帐，收集整理相关资料，为处理费用索赔提供证据；协调处理合同纠纷和索赔事宜。</w:t>
      </w:r>
    </w:p>
    <w:p w14:paraId="36FBC158">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（25）审查承包人人员、设备的安全资格和安全专项方案，监督安全生产、文明施工。加强日常安全管理，定期组织有关单位进行安全大检查，发现问题督促责任方整改。</w:t>
      </w:r>
    </w:p>
    <w:p w14:paraId="1B00089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（26）协调施工中相关方工作。</w:t>
      </w:r>
    </w:p>
    <w:p w14:paraId="39910C06">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（27）编报监理月报、监理工作阶段总结和专题报告。重点报告施工安全管理，工程质量、进度、投资控制的执行情况，提出工程中存在的问题及处理建议。</w:t>
      </w:r>
    </w:p>
    <w:p w14:paraId="1132E142">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（28）审查竣工资料，组织单位工程竣工预验收，签署工程竣工报验单，提出工程质量评估报告。</w:t>
      </w:r>
    </w:p>
    <w:p w14:paraId="759F9A8D">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（29）参加委托人组织的竣工验收，提交相关的监理资料，签署竣工验收报告。</w:t>
      </w:r>
    </w:p>
    <w:p w14:paraId="2F55A990">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（30）对保修期间质量问题提出监理意见，审核修复方案，监督修复过程并验收。</w:t>
      </w:r>
    </w:p>
    <w:p w14:paraId="5B62D9DB">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提出存在的问题和解决建议。监理单位应运用在建设项目中的专业知识以及工程建设管理中的经验，提出存在的问题和解决建议，避免本项目在建筑工程中出现的问题。亦可综合考虑各特殊专业提前介入的时间节点，完成前期所有准备工作。</w:t>
      </w:r>
    </w:p>
    <w:p w14:paraId="656905CE">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（32）实现项目前期设定的投资、进度、质量总目标，而且更能以更优的设计方案、合理的工程造价、合格的工程质量在目标工期内完成项目的全部建设工作。</w:t>
      </w:r>
    </w:p>
    <w:p w14:paraId="78C5E0DF">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（33）为项目建设附属设施、办公设施采购提供合理化建议及服务。</w:t>
      </w:r>
    </w:p>
    <w:p w14:paraId="6BA9E782">
      <w:pPr>
        <w:pStyle w:val="3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（34）为项目建设与施工提供合理化建议。</w:t>
      </w:r>
    </w:p>
    <w:p w14:paraId="62A39388">
      <w:pPr>
        <w:pStyle w:val="37"/>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35）其他要求：投标单位必须严格按招标文件要求提供驻场监理服务。监理单位应验收和复核施工单位采购的设备是否与清单及技术规范书参数内容一致，对施工单位未按要求配置的责令其整改。若未屡行核对工作，经建设单位发现后处监理单位以2000元/次的违约金</w:t>
      </w:r>
      <w:r>
        <w:rPr>
          <w:rFonts w:hint="eastAsia" w:asciiTheme="minorEastAsia" w:hAnsiTheme="minorEastAsia" w:eastAsiaTheme="minorEastAsia" w:cstheme="minorEastAsia"/>
          <w:color w:val="auto"/>
          <w:sz w:val="24"/>
          <w:szCs w:val="24"/>
          <w:highlight w:val="none"/>
          <w:lang w:eastAsia="zh-CN"/>
        </w:rPr>
        <w:t>。</w:t>
      </w:r>
    </w:p>
    <w:p w14:paraId="412E5A17">
      <w:pPr>
        <w:pStyle w:val="20"/>
        <w:spacing w:line="360" w:lineRule="auto"/>
        <w:ind w:firstLine="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二、其他要求</w:t>
      </w:r>
    </w:p>
    <w:p w14:paraId="7FDC0287">
      <w:pPr>
        <w:pStyle w:val="37"/>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监理费投标报价为完成本项目招标范围内所有内容的所有费用。本项目监理服务费为完成本项目所有内容的全部费用，包括（但不限于）与本项目监理有关的各项服务及服务中涉及到的材料消耗、人员工资、社会保险、验收、利润、加班工资、奖金、津贴、意外险、重大疾病补助、防暑降温费、教育培训费用、作业措施费、风险费、管理费、税费、交通费等一切费用，监理服务期限至工程缺陷责任期满回访合格止，不予调整工期延期所造成的监理费用。除此之外，招标人不再提供其他任何费用。</w:t>
      </w:r>
    </w:p>
    <w:p w14:paraId="408A2C54">
      <w:pPr>
        <w:pStyle w:val="37"/>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2.投标人投标前应进行现场勘查，须充分考虑各种风险因素，中标后不得以任何理由提出变更增加造价、调整监理中标费。</w:t>
      </w:r>
    </w:p>
    <w:p w14:paraId="52614ED3">
      <w:pPr>
        <w:pStyle w:val="37"/>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3.投标人中标及合同履约期内，不得以任何理由要求对合同金额进行变更或拒绝服务。</w:t>
      </w:r>
    </w:p>
    <w:p w14:paraId="64378E43">
      <w:pPr>
        <w:pStyle w:val="37"/>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4.除政策性文件规定以外，投标人所报价格在合同实施期间不因市场变化因素而变动。</w:t>
      </w:r>
    </w:p>
    <w:p w14:paraId="0FADF7E0">
      <w:pPr>
        <w:pStyle w:val="37"/>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5.监理服务费用不因工程延期而增加。</w:t>
      </w:r>
    </w:p>
    <w:p w14:paraId="0B3A7D20">
      <w:pPr>
        <w:pStyle w:val="37"/>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6.中标人对质量控制须采用具有相应资质的专业试验室完成的，可在中标后进行协作或者委托，但相关费用已包含在投标报价中。</w:t>
      </w:r>
    </w:p>
    <w:p w14:paraId="3F0DBD15">
      <w:pPr>
        <w:pStyle w:val="37"/>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7.监理人员不能胜任现场工作要求和切实履行监理合同责任，业主认为有必要调整或增派监理人员的，投标人必须无条件服从。</w:t>
      </w:r>
    </w:p>
    <w:p w14:paraId="3964B08F">
      <w:pPr>
        <w:rPr>
          <w:rFonts w:hint="eastAsia"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br w:type="page"/>
      </w:r>
    </w:p>
    <w:p w14:paraId="20682486">
      <w:pPr>
        <w:spacing w:line="360" w:lineRule="auto"/>
        <w:jc w:val="cente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lang w:val="en-US" w:eastAsia="zh-CN"/>
        </w:rPr>
        <w:t xml:space="preserve">第五章  </w:t>
      </w:r>
      <w:r>
        <w:rPr>
          <w:rFonts w:hint="eastAsia" w:cs="宋体" w:asciiTheme="minorEastAsia" w:hAnsiTheme="minorEastAsia" w:eastAsiaTheme="minorEastAsia"/>
          <w:b/>
          <w:color w:val="auto"/>
          <w:sz w:val="32"/>
          <w:szCs w:val="32"/>
          <w:highlight w:val="none"/>
        </w:rPr>
        <w:t>合同条款</w:t>
      </w:r>
    </w:p>
    <w:p w14:paraId="56C285A5">
      <w:pPr>
        <w:spacing w:line="360" w:lineRule="auto"/>
        <w:ind w:firstLine="460" w:firstLineChars="192"/>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本监理合同按GF—2012—0202《建设工程监理合同》（示范文本）。</w:t>
      </w:r>
    </w:p>
    <w:p w14:paraId="534328CD">
      <w:pPr>
        <w:spacing w:line="360" w:lineRule="auto"/>
        <w:ind w:firstLine="477" w:firstLineChars="198"/>
        <w:rPr>
          <w:rFonts w:asciiTheme="minorEastAsia" w:hAnsiTheme="minorEastAsia" w:eastAsiaTheme="minorEastAsia"/>
          <w:b/>
          <w:bCs/>
          <w:color w:val="auto"/>
          <w:sz w:val="24"/>
          <w:szCs w:val="24"/>
          <w:highlight w:val="none"/>
        </w:rPr>
      </w:pPr>
    </w:p>
    <w:p w14:paraId="382BC3DC">
      <w:pPr>
        <w:keepNext w:val="0"/>
        <w:keepLines w:val="0"/>
        <w:pageBreakBefore w:val="0"/>
        <w:widowControl/>
        <w:kinsoku/>
        <w:wordWrap/>
        <w:overflowPunct/>
        <w:topLinePunct w:val="0"/>
        <w:autoSpaceDE/>
        <w:autoSpaceDN/>
        <w:bidi w:val="0"/>
        <w:snapToGrid w:val="0"/>
        <w:spacing w:line="360" w:lineRule="auto"/>
        <w:jc w:val="center"/>
        <w:rPr>
          <w:color w:val="auto"/>
          <w:highlight w:val="none"/>
        </w:rPr>
      </w:pPr>
      <w:r>
        <w:rPr>
          <w:rFonts w:ascii="黑体" w:hAnsi="宋体" w:eastAsia="黑体" w:cs="黑体"/>
          <w:color w:val="auto"/>
          <w:kern w:val="0"/>
          <w:sz w:val="31"/>
          <w:szCs w:val="31"/>
          <w:highlight w:val="none"/>
          <w:lang w:bidi="ar"/>
        </w:rPr>
        <w:t>第一部分 协议书</w:t>
      </w:r>
    </w:p>
    <w:p w14:paraId="4CDE52F8">
      <w:pPr>
        <w:keepNext w:val="0"/>
        <w:keepLines w:val="0"/>
        <w:pageBreakBefore w:val="0"/>
        <w:kinsoku/>
        <w:wordWrap/>
        <w:overflowPunct/>
        <w:topLinePunct w:val="0"/>
        <w:autoSpaceDE/>
        <w:autoSpaceDN/>
        <w:bidi w:val="0"/>
        <w:adjustRightInd w:val="0"/>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委托人(全称)：</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铜陵高新产业园发展有限公司</w:t>
      </w:r>
      <w:r>
        <w:rPr>
          <w:rFonts w:hint="eastAsia" w:ascii="宋体" w:hAnsi="宋体" w:cs="宋体"/>
          <w:b/>
          <w:bCs/>
          <w:color w:val="auto"/>
          <w:sz w:val="24"/>
          <w:szCs w:val="24"/>
          <w:highlight w:val="none"/>
          <w:u w:val="single"/>
        </w:rPr>
        <w:t xml:space="preserve"> </w:t>
      </w:r>
    </w:p>
    <w:p w14:paraId="203DE62E">
      <w:pPr>
        <w:keepNext w:val="0"/>
        <w:keepLines w:val="0"/>
        <w:pageBreakBefore w:val="0"/>
        <w:kinsoku/>
        <w:wordWrap/>
        <w:overflowPunct/>
        <w:topLinePunct w:val="0"/>
        <w:autoSpaceDE/>
        <w:autoSpaceDN/>
        <w:bidi w:val="0"/>
        <w:adjustRightInd w:val="0"/>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监理人(全称)：</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14:paraId="3E671C87">
      <w:pPr>
        <w:keepNext w:val="0"/>
        <w:keepLines w:val="0"/>
        <w:pageBreakBefore w:val="0"/>
        <w:kinsoku/>
        <w:wordWrap/>
        <w:overflowPunct/>
        <w:topLinePunct w:val="0"/>
        <w:autoSpaceDE/>
        <w:autoSpaceDN/>
        <w:bidi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根据《中华人民共和国民法典》、《中华人民共和国建筑法》及其他有关法律、法规，遵循平等、自愿、公平和诚信的原则，双方就</w:t>
      </w:r>
      <w:r>
        <w:rPr>
          <w:rFonts w:hint="eastAsia" w:ascii="宋体" w:hAnsi="宋体" w:cs="宋体"/>
          <w:color w:val="auto"/>
          <w:sz w:val="24"/>
          <w:szCs w:val="24"/>
          <w:highlight w:val="none"/>
          <w:u w:val="single"/>
          <w:lang w:eastAsia="zh-CN"/>
        </w:rPr>
        <w:t>铜陵狮子山高新区污水处理厂二期配套工程监理（</w:t>
      </w:r>
      <w:r>
        <w:rPr>
          <w:rFonts w:hint="eastAsia" w:ascii="宋体" w:hAnsi="宋体" w:cs="宋体"/>
          <w:color w:val="auto"/>
          <w:sz w:val="24"/>
          <w:szCs w:val="24"/>
          <w:highlight w:val="none"/>
          <w:u w:val="single"/>
          <w:lang w:val="en-US" w:eastAsia="zh-CN"/>
        </w:rPr>
        <w:t xml:space="preserve">   标段</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 xml:space="preserve">及有关服务事项协商一致，订立本合同。 </w:t>
      </w:r>
    </w:p>
    <w:p w14:paraId="4CC2EA58">
      <w:pPr>
        <w:keepNext w:val="0"/>
        <w:keepLines w:val="0"/>
        <w:pageBreakBefore w:val="0"/>
        <w:kinsoku/>
        <w:wordWrap/>
        <w:overflowPunct/>
        <w:topLinePunct w:val="0"/>
        <w:autoSpaceDE/>
        <w:autoSpaceDN/>
        <w:bidi w:val="0"/>
        <w:snapToGrid w:val="0"/>
        <w:spacing w:line="360" w:lineRule="auto"/>
        <w:ind w:firstLine="477" w:firstLineChars="198"/>
        <w:rPr>
          <w:rFonts w:ascii="宋体" w:hAnsi="宋体" w:cs="宋体"/>
          <w:b/>
          <w:bCs/>
          <w:color w:val="auto"/>
          <w:sz w:val="24"/>
          <w:szCs w:val="24"/>
          <w:highlight w:val="none"/>
        </w:rPr>
      </w:pPr>
      <w:bookmarkStart w:id="202" w:name="_Toc358192235"/>
      <w:bookmarkStart w:id="203" w:name="_Toc355349604"/>
      <w:bookmarkStart w:id="204" w:name="_Toc355349569"/>
      <w:r>
        <w:rPr>
          <w:rFonts w:hint="eastAsia" w:ascii="宋体" w:hAnsi="宋体" w:cs="宋体"/>
          <w:b/>
          <w:bCs/>
          <w:color w:val="auto"/>
          <w:sz w:val="24"/>
          <w:szCs w:val="24"/>
          <w:highlight w:val="none"/>
        </w:rPr>
        <w:t>一、工程概况</w:t>
      </w:r>
      <w:bookmarkEnd w:id="202"/>
      <w:bookmarkEnd w:id="203"/>
      <w:bookmarkEnd w:id="204"/>
    </w:p>
    <w:p w14:paraId="3258C7D2">
      <w:pPr>
        <w:keepNext w:val="0"/>
        <w:keepLines w:val="0"/>
        <w:pageBreakBefore w:val="0"/>
        <w:kinsoku/>
        <w:wordWrap/>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1.工程名称：</w:t>
      </w:r>
      <w:r>
        <w:rPr>
          <w:rFonts w:hint="eastAsia" w:ascii="宋体" w:hAnsi="宋体" w:cs="宋体"/>
          <w:color w:val="auto"/>
          <w:sz w:val="24"/>
          <w:szCs w:val="24"/>
          <w:highlight w:val="none"/>
          <w:u w:val="single"/>
          <w:lang w:eastAsia="zh-CN"/>
        </w:rPr>
        <w:t>铜陵狮子山高新区污水处理厂二期配套工程监理（</w:t>
      </w:r>
      <w:r>
        <w:rPr>
          <w:rFonts w:hint="eastAsia" w:ascii="宋体" w:hAnsi="宋体" w:cs="宋体"/>
          <w:color w:val="auto"/>
          <w:sz w:val="24"/>
          <w:szCs w:val="24"/>
          <w:highlight w:val="none"/>
          <w:u w:val="single"/>
          <w:lang w:val="en-US" w:eastAsia="zh-CN"/>
        </w:rPr>
        <w:t xml:space="preserve">   标段</w:t>
      </w:r>
      <w:r>
        <w:rPr>
          <w:rFonts w:hint="eastAsia" w:ascii="宋体" w:hAnsi="宋体" w:cs="宋体"/>
          <w:color w:val="auto"/>
          <w:sz w:val="24"/>
          <w:szCs w:val="24"/>
          <w:highlight w:val="none"/>
          <w:u w:val="single"/>
          <w:lang w:eastAsia="zh-CN"/>
        </w:rPr>
        <w:t>）</w:t>
      </w:r>
    </w:p>
    <w:p w14:paraId="001F0F2B">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u w:val="single"/>
        </w:rPr>
      </w:pPr>
      <w:r>
        <w:rPr>
          <w:rFonts w:hint="eastAsia" w:ascii="宋体" w:hAnsi="宋体" w:cs="宋体"/>
          <w:color w:val="auto"/>
          <w:sz w:val="24"/>
          <w:szCs w:val="24"/>
          <w:highlight w:val="none"/>
        </w:rPr>
        <w:t>2.工程地点：</w:t>
      </w:r>
      <w:r>
        <w:rPr>
          <w:rFonts w:hint="eastAsia" w:ascii="宋体" w:hAnsi="宋体" w:cs="宋体"/>
          <w:color w:val="auto"/>
          <w:sz w:val="24"/>
          <w:szCs w:val="24"/>
          <w:highlight w:val="none"/>
          <w:u w:val="single"/>
          <w:shd w:val="clear" w:color="auto" w:fill="FFFFFF"/>
        </w:rPr>
        <w:t>安徽省铜陵狮子山高新技术产业开发区内</w:t>
      </w:r>
      <w:r>
        <w:rPr>
          <w:rFonts w:hint="eastAsia" w:ascii="宋体" w:hAnsi="宋体" w:cs="宋体"/>
          <w:color w:val="auto"/>
          <w:sz w:val="24"/>
          <w:szCs w:val="24"/>
          <w:highlight w:val="none"/>
          <w:u w:val="single"/>
        </w:rPr>
        <w:t xml:space="preserve">                      </w:t>
      </w:r>
    </w:p>
    <w:p w14:paraId="374542F3">
      <w:pPr>
        <w:pStyle w:val="37"/>
        <w:keepNext w:val="0"/>
        <w:keepLines w:val="0"/>
        <w:pageBreakBefore w:val="0"/>
        <w:kinsoku/>
        <w:wordWrap/>
        <w:overflowPunct/>
        <w:topLinePunct w:val="0"/>
        <w:autoSpaceDE/>
        <w:autoSpaceDN/>
        <w:bidi w:val="0"/>
        <w:snapToGrid w:val="0"/>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rPr>
        <w:t>3.工程规模：</w:t>
      </w:r>
      <w:r>
        <w:rPr>
          <w:rFonts w:hint="eastAsia" w:ascii="宋体" w:hAnsi="宋体" w:cs="宋体"/>
          <w:color w:val="auto"/>
          <w:sz w:val="24"/>
          <w:szCs w:val="24"/>
          <w:highlight w:val="none"/>
          <w:u w:val="single"/>
          <w:lang w:val="en-US" w:eastAsia="zh-CN"/>
        </w:rPr>
        <w:t>一标段：铜陵狮子山高新区污水处理厂二期配套道路及排水系统工程，道路标准横断面宽度18米，全长约1500米，同时配套建设箱涵、明渠、排水、照明、绿化、交通及其他辅助工程；</w:t>
      </w:r>
    </w:p>
    <w:p w14:paraId="16AA4E29">
      <w:pPr>
        <w:pStyle w:val="37"/>
        <w:keepNext w:val="0"/>
        <w:keepLines w:val="0"/>
        <w:pageBreakBefore w:val="0"/>
        <w:kinsoku/>
        <w:wordWrap/>
        <w:overflowPunct/>
        <w:topLinePunct w:val="0"/>
        <w:autoSpaceDE/>
        <w:autoSpaceDN/>
        <w:bidi w:val="0"/>
        <w:snapToGrid w:val="0"/>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二标段：铜陵狮子山高新区污水处理厂二期配套排水防涝泵站提升工程，主要建设内容为:总建筑面积571.25m2，新建泵房(泵站设计流量为15.8m³/s)、辅助用房、配套出水口及连通涵、围墙、污水管网、土方开挖、回填及外运、室外照明及设备安装等工程；</w:t>
      </w:r>
    </w:p>
    <w:p w14:paraId="31D85637">
      <w:pPr>
        <w:pStyle w:val="37"/>
        <w:keepNext w:val="0"/>
        <w:keepLines w:val="0"/>
        <w:pageBreakBefore w:val="0"/>
        <w:kinsoku/>
        <w:wordWrap/>
        <w:overflowPunct/>
        <w:topLinePunct w:val="0"/>
        <w:autoSpaceDE/>
        <w:autoSpaceDN/>
        <w:bidi w:val="0"/>
        <w:snapToGrid w:val="0"/>
        <w:spacing w:line="360" w:lineRule="auto"/>
        <w:rPr>
          <w:rFonts w:hint="default"/>
          <w:color w:val="auto"/>
          <w:sz w:val="24"/>
          <w:szCs w:val="24"/>
          <w:highlight w:val="none"/>
          <w:lang w:val="en-US" w:eastAsia="zh-CN"/>
        </w:rPr>
      </w:pPr>
      <w:r>
        <w:rPr>
          <w:rFonts w:hint="eastAsia" w:ascii="宋体" w:hAnsi="宋体" w:cs="宋体"/>
          <w:color w:val="auto"/>
          <w:sz w:val="24"/>
          <w:szCs w:val="24"/>
          <w:highlight w:val="none"/>
          <w:u w:val="none"/>
          <w:shd w:val="clear" w:color="auto" w:fill="FFFFFF"/>
          <w:lang w:val="en-US" w:eastAsia="zh-CN"/>
        </w:rPr>
        <w:t>4.工作内容：</w:t>
      </w:r>
      <w:r>
        <w:rPr>
          <w:rFonts w:hint="eastAsia" w:ascii="宋体" w:hAnsi="宋体" w:eastAsia="宋体" w:cs="宋体"/>
          <w:bCs/>
          <w:snapToGrid w:val="0"/>
          <w:color w:val="auto"/>
          <w:sz w:val="24"/>
          <w:szCs w:val="21"/>
          <w:highlight w:val="none"/>
          <w:u w:val="single"/>
          <w:lang w:val="en-US" w:eastAsia="zh-CN" w:bidi="ar"/>
        </w:rPr>
        <w:t>工程施工、设备采购安装及缺陷责任期等全过程监理（包括但不限于项目</w:t>
      </w:r>
      <w:r>
        <w:rPr>
          <w:rFonts w:hint="eastAsia" w:hAnsi="宋体" w:cs="宋体"/>
          <w:bCs/>
          <w:snapToGrid w:val="0"/>
          <w:color w:val="auto"/>
          <w:sz w:val="24"/>
          <w:szCs w:val="21"/>
          <w:highlight w:val="none"/>
          <w:u w:val="single"/>
          <w:lang w:val="en-US" w:eastAsia="zh-CN" w:bidi="ar"/>
        </w:rPr>
        <w:t>施工</w:t>
      </w:r>
      <w:r>
        <w:rPr>
          <w:rFonts w:hint="eastAsia" w:ascii="宋体" w:hAnsi="宋体" w:eastAsia="宋体" w:cs="宋体"/>
          <w:bCs/>
          <w:snapToGrid w:val="0"/>
          <w:color w:val="auto"/>
          <w:sz w:val="24"/>
          <w:szCs w:val="21"/>
          <w:highlight w:val="none"/>
          <w:u w:val="single"/>
          <w:lang w:val="en-US" w:eastAsia="zh-CN" w:bidi="ar"/>
        </w:rPr>
        <w:t>等阶段的管理及协调配合相关监理服务，施工阶段的质量、进度、费用控制和安全、合同、信息管理以及组织协调等其它监理服务，缺陷责任期相关服务以及招标文件中所载明的内容及业主安排的其他事项）</w:t>
      </w:r>
      <w:r>
        <w:rPr>
          <w:rFonts w:hint="eastAsia" w:hAnsi="宋体" w:cs="宋体"/>
          <w:bCs/>
          <w:snapToGrid w:val="0"/>
          <w:color w:val="auto"/>
          <w:sz w:val="24"/>
          <w:szCs w:val="21"/>
          <w:highlight w:val="none"/>
          <w:u w:val="single"/>
          <w:lang w:val="en-US" w:eastAsia="zh-CN" w:bidi="ar"/>
        </w:rPr>
        <w:t>；</w:t>
      </w:r>
    </w:p>
    <w:p w14:paraId="3CA0E29B">
      <w:pPr>
        <w:keepNext w:val="0"/>
        <w:keepLines w:val="0"/>
        <w:pageBreakBefore w:val="0"/>
        <w:kinsoku/>
        <w:wordWrap/>
        <w:overflowPunct/>
        <w:topLinePunct w:val="0"/>
        <w:autoSpaceDE/>
        <w:autoSpaceDN/>
        <w:bidi w:val="0"/>
        <w:snapToGrid w:val="0"/>
        <w:spacing w:line="360" w:lineRule="auto"/>
        <w:ind w:firstLine="477" w:firstLineChars="198"/>
        <w:rPr>
          <w:rFonts w:ascii="宋体" w:hAnsi="宋体" w:cs="宋体"/>
          <w:b/>
          <w:bCs/>
          <w:color w:val="auto"/>
          <w:sz w:val="24"/>
          <w:szCs w:val="24"/>
          <w:highlight w:val="none"/>
        </w:rPr>
      </w:pPr>
      <w:r>
        <w:rPr>
          <w:rFonts w:hint="eastAsia" w:ascii="宋体" w:hAnsi="宋体" w:cs="宋体"/>
          <w:b/>
          <w:bCs/>
          <w:color w:val="auto"/>
          <w:sz w:val="24"/>
          <w:szCs w:val="24"/>
          <w:highlight w:val="none"/>
        </w:rPr>
        <w:t>二、词语限定</w:t>
      </w:r>
    </w:p>
    <w:p w14:paraId="0152FD68">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协议书中相关词语的含义与通用条件中的定义与解释相同。</w:t>
      </w:r>
    </w:p>
    <w:p w14:paraId="6BB92E50">
      <w:pPr>
        <w:keepNext w:val="0"/>
        <w:keepLines w:val="0"/>
        <w:pageBreakBefore w:val="0"/>
        <w:kinsoku/>
        <w:wordWrap/>
        <w:overflowPunct/>
        <w:topLinePunct w:val="0"/>
        <w:autoSpaceDE/>
        <w:autoSpaceDN/>
        <w:bidi w:val="0"/>
        <w:snapToGrid w:val="0"/>
        <w:spacing w:line="360" w:lineRule="auto"/>
        <w:ind w:firstLine="477" w:firstLineChars="198"/>
        <w:rPr>
          <w:rFonts w:ascii="宋体" w:hAnsi="宋体" w:cs="宋体"/>
          <w:b/>
          <w:bCs/>
          <w:color w:val="auto"/>
          <w:sz w:val="24"/>
          <w:szCs w:val="24"/>
          <w:highlight w:val="none"/>
        </w:rPr>
      </w:pPr>
      <w:bookmarkStart w:id="205" w:name="_Toc358192236"/>
      <w:bookmarkStart w:id="206" w:name="_Toc355349570"/>
      <w:bookmarkStart w:id="207" w:name="_Toc355349605"/>
      <w:r>
        <w:rPr>
          <w:rFonts w:hint="eastAsia" w:ascii="宋体" w:hAnsi="宋体" w:cs="宋体"/>
          <w:b/>
          <w:bCs/>
          <w:color w:val="auto"/>
          <w:sz w:val="24"/>
          <w:szCs w:val="24"/>
          <w:highlight w:val="none"/>
        </w:rPr>
        <w:t>三、组成本合同的文件</w:t>
      </w:r>
      <w:bookmarkEnd w:id="205"/>
      <w:bookmarkEnd w:id="206"/>
      <w:bookmarkEnd w:id="207"/>
    </w:p>
    <w:p w14:paraId="16D1F426">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1.协议书；</w:t>
      </w:r>
    </w:p>
    <w:p w14:paraId="32A32FDE">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2.中标通知书（适用于招标工程）或委托书（适用于非招标工程）；</w:t>
      </w:r>
    </w:p>
    <w:p w14:paraId="494BD766">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3.投标文件（适用于招标工程）或监理与相关服务建议书（适用于非招标工程）；</w:t>
      </w:r>
    </w:p>
    <w:p w14:paraId="579A1884">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4.专用条件；</w:t>
      </w:r>
    </w:p>
    <w:p w14:paraId="57A2FDBB">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5.通用条件；</w:t>
      </w:r>
    </w:p>
    <w:p w14:paraId="0E661C6F">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6.附录，即：</w:t>
      </w:r>
    </w:p>
    <w:p w14:paraId="5250F1F7">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附录A  相关服务的范围和内容</w:t>
      </w:r>
    </w:p>
    <w:p w14:paraId="50EAE7CF">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附录B  委托人派遣的人员和提供的房屋、资料、设备</w:t>
      </w:r>
    </w:p>
    <w:p w14:paraId="01AC0E47">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本合同签订后，双方依法签订的补充协议也是本合同文件的组成部分。</w:t>
      </w:r>
    </w:p>
    <w:p w14:paraId="339BF328">
      <w:pPr>
        <w:keepNext w:val="0"/>
        <w:keepLines w:val="0"/>
        <w:pageBreakBefore w:val="0"/>
        <w:kinsoku/>
        <w:wordWrap/>
        <w:overflowPunct/>
        <w:topLinePunct w:val="0"/>
        <w:autoSpaceDE/>
        <w:autoSpaceDN/>
        <w:bidi w:val="0"/>
        <w:adjustRightInd w:val="0"/>
        <w:snapToGrid w:val="0"/>
        <w:spacing w:line="360" w:lineRule="auto"/>
        <w:ind w:firstLine="477" w:firstLineChars="198"/>
        <w:rPr>
          <w:rFonts w:ascii="宋体" w:hAnsi="宋体" w:cs="宋体"/>
          <w:b/>
          <w:bCs/>
          <w:color w:val="auto"/>
          <w:sz w:val="24"/>
          <w:szCs w:val="24"/>
          <w:highlight w:val="none"/>
        </w:rPr>
      </w:pPr>
      <w:r>
        <w:rPr>
          <w:rFonts w:hint="eastAsia" w:ascii="宋体" w:hAnsi="宋体" w:cs="宋体"/>
          <w:b/>
          <w:bCs/>
          <w:color w:val="auto"/>
          <w:sz w:val="24"/>
          <w:szCs w:val="24"/>
          <w:highlight w:val="none"/>
        </w:rPr>
        <w:t>四、总监理工程师</w:t>
      </w:r>
    </w:p>
    <w:p w14:paraId="63F80624">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总监理工程师姓名：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258A5EC">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38A2CC7">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注册号：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3CE65B8">
      <w:pPr>
        <w:keepNext w:val="0"/>
        <w:keepLines w:val="0"/>
        <w:pageBreakBefore w:val="0"/>
        <w:kinsoku/>
        <w:wordWrap/>
        <w:overflowPunct/>
        <w:topLinePunct w:val="0"/>
        <w:autoSpaceDE/>
        <w:autoSpaceDN/>
        <w:bidi w:val="0"/>
        <w:adjustRightInd w:val="0"/>
        <w:snapToGrid w:val="0"/>
        <w:spacing w:line="360" w:lineRule="auto"/>
        <w:ind w:firstLine="477" w:firstLineChars="198"/>
        <w:rPr>
          <w:rFonts w:ascii="宋体" w:hAnsi="宋体" w:cs="宋体"/>
          <w:b/>
          <w:bCs/>
          <w:color w:val="auto"/>
          <w:sz w:val="24"/>
          <w:szCs w:val="24"/>
          <w:highlight w:val="none"/>
        </w:rPr>
      </w:pPr>
      <w:r>
        <w:rPr>
          <w:rFonts w:hint="eastAsia" w:ascii="宋体" w:hAnsi="宋体" w:cs="宋体"/>
          <w:b/>
          <w:bCs/>
          <w:color w:val="auto"/>
          <w:sz w:val="24"/>
          <w:szCs w:val="24"/>
          <w:highlight w:val="none"/>
        </w:rPr>
        <w:t>五、签约酬金</w:t>
      </w:r>
    </w:p>
    <w:p w14:paraId="14B5F4CD">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 xml:space="preserve">签约酬金（大写）：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AEFFDF8">
      <w:pPr>
        <w:keepNext w:val="0"/>
        <w:keepLines w:val="0"/>
        <w:pageBreakBefore w:val="0"/>
        <w:kinsoku/>
        <w:wordWrap/>
        <w:overflowPunct/>
        <w:topLinePunct w:val="0"/>
        <w:autoSpaceDE/>
        <w:autoSpaceDN/>
        <w:bidi w:val="0"/>
        <w:adjustRightInd w:val="0"/>
        <w:snapToGrid w:val="0"/>
        <w:spacing w:line="360" w:lineRule="auto"/>
        <w:ind w:firstLine="477" w:firstLineChars="198"/>
        <w:rPr>
          <w:rFonts w:ascii="宋体" w:hAnsi="宋体" w:cs="宋体"/>
          <w:b/>
          <w:bCs/>
          <w:color w:val="auto"/>
          <w:sz w:val="24"/>
          <w:szCs w:val="24"/>
          <w:highlight w:val="none"/>
        </w:rPr>
      </w:pPr>
      <w:r>
        <w:rPr>
          <w:rFonts w:hint="eastAsia" w:ascii="宋体" w:hAnsi="宋体" w:cs="宋体"/>
          <w:b/>
          <w:bCs/>
          <w:color w:val="auto"/>
          <w:sz w:val="24"/>
          <w:szCs w:val="24"/>
          <w:highlight w:val="none"/>
        </w:rPr>
        <w:t>六、期限</w:t>
      </w:r>
    </w:p>
    <w:p w14:paraId="5F22D226">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监理期限：</w:t>
      </w:r>
    </w:p>
    <w:p w14:paraId="13A78356">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日始，至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日止。</w:t>
      </w:r>
    </w:p>
    <w:p w14:paraId="648AC1C4">
      <w:pPr>
        <w:keepNext w:val="0"/>
        <w:keepLines w:val="0"/>
        <w:pageBreakBefore w:val="0"/>
        <w:kinsoku/>
        <w:wordWrap/>
        <w:overflowPunct/>
        <w:topLinePunct w:val="0"/>
        <w:autoSpaceDE/>
        <w:autoSpaceDN/>
        <w:bidi w:val="0"/>
        <w:adjustRightInd w:val="0"/>
        <w:snapToGrid w:val="0"/>
        <w:spacing w:line="360" w:lineRule="auto"/>
        <w:ind w:firstLine="477" w:firstLineChars="198"/>
        <w:rPr>
          <w:rFonts w:ascii="宋体" w:hAnsi="宋体" w:cs="宋体"/>
          <w:b/>
          <w:bCs/>
          <w:color w:val="auto"/>
          <w:sz w:val="24"/>
          <w:szCs w:val="24"/>
          <w:highlight w:val="none"/>
        </w:rPr>
      </w:pPr>
      <w:r>
        <w:rPr>
          <w:rFonts w:hint="eastAsia" w:ascii="宋体" w:hAnsi="宋体" w:cs="宋体"/>
          <w:b/>
          <w:bCs/>
          <w:color w:val="auto"/>
          <w:sz w:val="24"/>
          <w:szCs w:val="24"/>
          <w:highlight w:val="none"/>
        </w:rPr>
        <w:t>七、双方承诺</w:t>
      </w:r>
    </w:p>
    <w:p w14:paraId="09F462B4">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监理人向委托人承诺，按照本合同约定提供监理与相关服务。</w:t>
      </w:r>
    </w:p>
    <w:p w14:paraId="0E7F8940">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委托人向监理人承诺，按照本合同约定派遣相应的人员，提供房屋、资料、设备，并按本合同约定支付酬金。</w:t>
      </w:r>
    </w:p>
    <w:p w14:paraId="3A1F8CE3">
      <w:pPr>
        <w:keepNext w:val="0"/>
        <w:keepLines w:val="0"/>
        <w:pageBreakBefore w:val="0"/>
        <w:kinsoku/>
        <w:wordWrap/>
        <w:overflowPunct/>
        <w:topLinePunct w:val="0"/>
        <w:autoSpaceDE/>
        <w:autoSpaceDN/>
        <w:bidi w:val="0"/>
        <w:adjustRightInd w:val="0"/>
        <w:snapToGrid w:val="0"/>
        <w:spacing w:line="360" w:lineRule="auto"/>
        <w:ind w:firstLine="477" w:firstLineChars="198"/>
        <w:rPr>
          <w:rFonts w:ascii="宋体" w:hAnsi="宋体" w:cs="宋体"/>
          <w:b/>
          <w:bCs/>
          <w:color w:val="auto"/>
          <w:sz w:val="24"/>
          <w:szCs w:val="24"/>
          <w:highlight w:val="none"/>
        </w:rPr>
      </w:pPr>
      <w:r>
        <w:rPr>
          <w:rFonts w:hint="eastAsia" w:ascii="宋体" w:hAnsi="宋体" w:cs="宋体"/>
          <w:b/>
          <w:bCs/>
          <w:color w:val="auto"/>
          <w:sz w:val="24"/>
          <w:szCs w:val="24"/>
          <w:highlight w:val="none"/>
        </w:rPr>
        <w:t>八、合同订立</w:t>
      </w:r>
    </w:p>
    <w:p w14:paraId="56DA6356">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订立时间： 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67ECC22">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订立地点：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3939D8B">
      <w:pPr>
        <w:keepNext w:val="0"/>
        <w:keepLines w:val="0"/>
        <w:pageBreakBefore w:val="0"/>
        <w:kinsoku/>
        <w:wordWrap/>
        <w:overflowPunct/>
        <w:topLinePunct w:val="0"/>
        <w:autoSpaceDE/>
        <w:autoSpaceDN/>
        <w:bidi w:val="0"/>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3. 本合同一式</w:t>
      </w:r>
      <w:r>
        <w:rPr>
          <w:rFonts w:hint="eastAsia" w:ascii="宋体" w:hAnsi="宋体" w:cs="宋体"/>
          <w:color w:val="auto"/>
          <w:sz w:val="24"/>
          <w:szCs w:val="24"/>
          <w:highlight w:val="none"/>
          <w:u w:val="single"/>
        </w:rPr>
        <w:t xml:space="preserve"> 捌 </w:t>
      </w:r>
      <w:r>
        <w:rPr>
          <w:rFonts w:hint="eastAsia" w:ascii="宋体" w:hAnsi="宋体" w:cs="宋体"/>
          <w:color w:val="auto"/>
          <w:sz w:val="24"/>
          <w:szCs w:val="24"/>
          <w:highlight w:val="none"/>
        </w:rPr>
        <w:t>份，具有同等法律效力，双方各执</w:t>
      </w:r>
      <w:r>
        <w:rPr>
          <w:rFonts w:hint="eastAsia" w:ascii="宋体" w:hAnsi="宋体" w:cs="宋体"/>
          <w:color w:val="auto"/>
          <w:sz w:val="24"/>
          <w:szCs w:val="24"/>
          <w:highlight w:val="none"/>
          <w:u w:val="single"/>
        </w:rPr>
        <w:t xml:space="preserve"> 肆 </w:t>
      </w:r>
      <w:r>
        <w:rPr>
          <w:rFonts w:hint="eastAsia" w:ascii="宋体" w:hAnsi="宋体" w:cs="宋体"/>
          <w:color w:val="auto"/>
          <w:sz w:val="24"/>
          <w:szCs w:val="24"/>
          <w:highlight w:val="none"/>
        </w:rPr>
        <w:t>份。</w:t>
      </w:r>
    </w:p>
    <w:p w14:paraId="294965ED">
      <w:pPr>
        <w:adjustRightInd w:val="0"/>
        <w:snapToGrid w:val="0"/>
        <w:spacing w:line="360" w:lineRule="auto"/>
        <w:ind w:firstLine="475" w:firstLineChars="198"/>
        <w:rPr>
          <w:rFonts w:ascii="宋体" w:hAnsi="宋体" w:cs="宋体"/>
          <w:color w:val="auto"/>
          <w:sz w:val="24"/>
          <w:szCs w:val="24"/>
          <w:highlight w:val="none"/>
        </w:rPr>
      </w:pPr>
    </w:p>
    <w:p w14:paraId="0529454F">
      <w:pPr>
        <w:adjustRightInd w:val="0"/>
        <w:snapToGrid w:val="0"/>
        <w:spacing w:line="360" w:lineRule="auto"/>
        <w:ind w:firstLine="475" w:firstLineChars="198"/>
        <w:rPr>
          <w:rFonts w:ascii="宋体" w:hAnsi="宋体" w:cs="宋体"/>
          <w:color w:val="auto"/>
          <w:sz w:val="24"/>
          <w:szCs w:val="24"/>
          <w:highlight w:val="none"/>
        </w:rPr>
      </w:pPr>
    </w:p>
    <w:p w14:paraId="1F4779CB">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委托人：</w:t>
      </w:r>
      <w:r>
        <w:rPr>
          <w:rFonts w:hint="eastAsia" w:ascii="宋体" w:hAnsi="宋体" w:cs="宋体"/>
          <w:color w:val="auto"/>
          <w:sz w:val="24"/>
          <w:szCs w:val="24"/>
          <w:highlight w:val="none"/>
          <w:u w:val="single"/>
        </w:rPr>
        <w:t xml:space="preserve">   （盖章）     </w:t>
      </w:r>
      <w:r>
        <w:rPr>
          <w:rFonts w:hint="eastAsia" w:ascii="宋体" w:hAnsi="宋体" w:cs="宋体"/>
          <w:color w:val="auto"/>
          <w:sz w:val="24"/>
          <w:szCs w:val="24"/>
          <w:highlight w:val="none"/>
        </w:rPr>
        <w:t xml:space="preserve">        监理人：</w:t>
      </w:r>
      <w:r>
        <w:rPr>
          <w:rFonts w:hint="eastAsia" w:ascii="宋体" w:hAnsi="宋体" w:cs="宋体"/>
          <w:color w:val="auto"/>
          <w:sz w:val="24"/>
          <w:szCs w:val="24"/>
          <w:highlight w:val="none"/>
          <w:u w:val="single"/>
        </w:rPr>
        <w:t xml:space="preserve">   （盖章）    </w:t>
      </w:r>
    </w:p>
    <w:p w14:paraId="09A3C21C">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 xml:space="preserve">住所：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住所： </w:t>
      </w:r>
      <w:r>
        <w:rPr>
          <w:rFonts w:hint="eastAsia" w:ascii="宋体" w:hAnsi="宋体" w:cs="宋体"/>
          <w:color w:val="auto"/>
          <w:sz w:val="24"/>
          <w:szCs w:val="24"/>
          <w:highlight w:val="none"/>
          <w:u w:val="single"/>
        </w:rPr>
        <w:t xml:space="preserve">                      </w:t>
      </w:r>
    </w:p>
    <w:p w14:paraId="3E52C19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p>
    <w:p w14:paraId="5C7BB2FD">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法定代表人或其授权              法定代表人或其授权</w:t>
      </w:r>
    </w:p>
    <w:p w14:paraId="086C5EBE">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的代理人：</w:t>
      </w:r>
      <w:r>
        <w:rPr>
          <w:rFonts w:hint="eastAsia" w:ascii="宋体" w:hAnsi="宋体" w:cs="宋体"/>
          <w:color w:val="auto"/>
          <w:sz w:val="24"/>
          <w:szCs w:val="24"/>
          <w:highlight w:val="none"/>
          <w:u w:val="single"/>
        </w:rPr>
        <w:t xml:space="preserve">（签字）      </w:t>
      </w:r>
      <w:r>
        <w:rPr>
          <w:rFonts w:hint="eastAsia" w:ascii="宋体" w:hAnsi="宋体" w:cs="宋体"/>
          <w:color w:val="auto"/>
          <w:sz w:val="24"/>
          <w:szCs w:val="24"/>
          <w:highlight w:val="none"/>
        </w:rPr>
        <w:t xml:space="preserve">        的代理人：</w:t>
      </w:r>
      <w:r>
        <w:rPr>
          <w:rFonts w:hint="eastAsia" w:ascii="宋体" w:hAnsi="宋体" w:cs="宋体"/>
          <w:color w:val="auto"/>
          <w:sz w:val="24"/>
          <w:szCs w:val="24"/>
          <w:highlight w:val="none"/>
          <w:u w:val="single"/>
        </w:rPr>
        <w:t xml:space="preserve">（签字）          </w:t>
      </w:r>
    </w:p>
    <w:p w14:paraId="18B136D4">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开户银行：</w:t>
      </w:r>
      <w:r>
        <w:rPr>
          <w:rFonts w:hint="eastAsia" w:ascii="宋体" w:hAnsi="宋体" w:cs="宋体"/>
          <w:color w:val="auto"/>
          <w:sz w:val="24"/>
          <w:szCs w:val="24"/>
          <w:highlight w:val="none"/>
          <w:u w:val="single"/>
        </w:rPr>
        <w:t xml:space="preserve">                  </w:t>
      </w:r>
    </w:p>
    <w:p w14:paraId="5067A6D5">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账号：</w:t>
      </w:r>
      <w:r>
        <w:rPr>
          <w:rFonts w:hint="eastAsia" w:ascii="宋体" w:hAnsi="宋体" w:cs="宋体"/>
          <w:color w:val="auto"/>
          <w:sz w:val="24"/>
          <w:szCs w:val="24"/>
          <w:highlight w:val="none"/>
          <w:u w:val="single"/>
        </w:rPr>
        <w:t xml:space="preserve">                       </w:t>
      </w:r>
    </w:p>
    <w:p w14:paraId="5C27437B">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14:paraId="1B9CFEA3">
      <w:pPr>
        <w:adjustRightInd w:val="0"/>
        <w:snapToGrid w:val="0"/>
        <w:spacing w:line="360" w:lineRule="auto"/>
        <w:ind w:firstLine="475" w:firstLineChars="198"/>
        <w:rPr>
          <w:rFonts w:ascii="宋体" w:hAnsi="宋体" w:cs="宋体"/>
          <w:b/>
          <w:bCs/>
          <w:color w:val="auto"/>
          <w:sz w:val="24"/>
          <w:szCs w:val="24"/>
          <w:highlight w:val="non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电子邮箱：</w:t>
      </w:r>
      <w:r>
        <w:rPr>
          <w:rFonts w:hint="eastAsia" w:ascii="宋体" w:hAnsi="宋体" w:cs="宋体"/>
          <w:color w:val="auto"/>
          <w:sz w:val="24"/>
          <w:szCs w:val="24"/>
          <w:highlight w:val="none"/>
          <w:u w:val="single"/>
        </w:rPr>
        <w:t xml:space="preserve">                   </w:t>
      </w:r>
      <w:r>
        <w:rPr>
          <w:rFonts w:ascii="宋体" w:hAnsi="宋体" w:cs="宋体"/>
          <w:b/>
          <w:bCs/>
          <w:color w:val="auto"/>
          <w:sz w:val="24"/>
          <w:szCs w:val="24"/>
          <w:highlight w:val="none"/>
        </w:rPr>
        <w:br w:type="page"/>
      </w:r>
    </w:p>
    <w:p w14:paraId="4EE19DC8">
      <w:pPr>
        <w:keepNext w:val="0"/>
        <w:keepLines w:val="0"/>
        <w:pageBreakBefore w:val="0"/>
        <w:kinsoku/>
        <w:wordWrap/>
        <w:overflowPunct/>
        <w:topLinePunct w:val="0"/>
        <w:autoSpaceDE/>
        <w:autoSpaceDN/>
        <w:bidi w:val="0"/>
        <w:adjustRightInd w:val="0"/>
        <w:snapToGrid w:val="0"/>
        <w:spacing w:line="360" w:lineRule="auto"/>
        <w:jc w:val="center"/>
        <w:rPr>
          <w:color w:val="auto"/>
          <w:highlight w:val="none"/>
        </w:rPr>
      </w:pPr>
      <w:r>
        <w:rPr>
          <w:rFonts w:hint="eastAsia" w:ascii="宋体" w:hAnsi="宋体" w:cs="宋体"/>
          <w:b/>
          <w:bCs/>
          <w:color w:val="auto"/>
          <w:kern w:val="0"/>
          <w:sz w:val="31"/>
          <w:szCs w:val="31"/>
          <w:highlight w:val="none"/>
          <w:lang w:bidi="ar"/>
        </w:rPr>
        <w:t>第二部分 通用条件</w:t>
      </w:r>
    </w:p>
    <w:p w14:paraId="31BF2AFF">
      <w:pPr>
        <w:keepNext w:val="0"/>
        <w:keepLines w:val="0"/>
        <w:pageBreakBefore w:val="0"/>
        <w:kinsoku/>
        <w:wordWrap/>
        <w:overflowPunct/>
        <w:topLinePunct w:val="0"/>
        <w:autoSpaceDE/>
        <w:autoSpaceDN/>
        <w:bidi w:val="0"/>
        <w:snapToGrid w:val="0"/>
        <w:spacing w:line="360" w:lineRule="auto"/>
        <w:jc w:val="center"/>
        <w:rPr>
          <w:rFonts w:ascii="宋体" w:hAnsi="宋体" w:cs="宋体"/>
          <w:b/>
          <w:color w:val="auto"/>
          <w:sz w:val="24"/>
          <w:szCs w:val="24"/>
          <w:highlight w:val="none"/>
        </w:rPr>
      </w:pPr>
    </w:p>
    <w:p w14:paraId="2DD2727D">
      <w:pPr>
        <w:keepNext w:val="0"/>
        <w:keepLines w:val="0"/>
        <w:pageBreakBefore w:val="0"/>
        <w:kinsoku/>
        <w:wordWrap/>
        <w:overflowPunct/>
        <w:topLinePunct w:val="0"/>
        <w:autoSpaceDE/>
        <w:autoSpaceDN/>
        <w:bidi w:val="0"/>
        <w:snapToGrid w:val="0"/>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详见《建设工程委托监理合同》（规范文本）GF-2012-0202</w:t>
      </w:r>
    </w:p>
    <w:p w14:paraId="27326D50">
      <w:pPr>
        <w:keepNext w:val="0"/>
        <w:keepLines w:val="0"/>
        <w:pageBreakBefore w:val="0"/>
        <w:kinsoku/>
        <w:wordWrap/>
        <w:overflowPunct/>
        <w:topLinePunct w:val="0"/>
        <w:autoSpaceDE/>
        <w:autoSpaceDN/>
        <w:bidi w:val="0"/>
        <w:snapToGrid w:val="0"/>
        <w:spacing w:line="360" w:lineRule="auto"/>
        <w:jc w:val="center"/>
        <w:rPr>
          <w:rFonts w:ascii="宋体" w:hAnsi="宋体" w:cs="宋体"/>
          <w:b/>
          <w:color w:val="auto"/>
          <w:sz w:val="24"/>
          <w:szCs w:val="24"/>
          <w:highlight w:val="none"/>
        </w:rPr>
      </w:pPr>
    </w:p>
    <w:p w14:paraId="73E31AAC">
      <w:pPr>
        <w:keepNext w:val="0"/>
        <w:keepLines w:val="0"/>
        <w:pageBreakBefore w:val="0"/>
        <w:widowControl/>
        <w:kinsoku/>
        <w:wordWrap/>
        <w:overflowPunct/>
        <w:topLinePunct w:val="0"/>
        <w:autoSpaceDE/>
        <w:autoSpaceDN/>
        <w:bidi w:val="0"/>
        <w:snapToGrid w:val="0"/>
        <w:spacing w:line="360" w:lineRule="auto"/>
        <w:jc w:val="center"/>
        <w:rPr>
          <w:color w:val="auto"/>
          <w:highlight w:val="none"/>
        </w:rPr>
      </w:pPr>
      <w:r>
        <w:rPr>
          <w:rFonts w:hint="eastAsia" w:ascii="宋体" w:hAnsi="宋体" w:cs="宋体"/>
          <w:b/>
          <w:bCs/>
          <w:color w:val="auto"/>
          <w:kern w:val="0"/>
          <w:sz w:val="31"/>
          <w:szCs w:val="31"/>
          <w:highlight w:val="none"/>
          <w:lang w:bidi="ar"/>
        </w:rPr>
        <w:t>第三部分 专用条件</w:t>
      </w:r>
    </w:p>
    <w:p w14:paraId="08965EE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 定义与解释</w:t>
      </w:r>
    </w:p>
    <w:p w14:paraId="77C021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解释</w:t>
      </w:r>
    </w:p>
    <w:p w14:paraId="1891FF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本合同文件除使用中文外，还可用</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4EF72F2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 约定本合同文件的解释顺序为：</w:t>
      </w:r>
      <w:r>
        <w:rPr>
          <w:rFonts w:hint="eastAsia" w:asciiTheme="minorEastAsia" w:hAnsiTheme="minorEastAsia" w:eastAsiaTheme="minorEastAsia" w:cstheme="minorEastAsia"/>
          <w:color w:val="auto"/>
          <w:sz w:val="24"/>
          <w:szCs w:val="24"/>
          <w:highlight w:val="none"/>
          <w:u w:val="single"/>
        </w:rPr>
        <w:t xml:space="preserve"> 执行通用条件   </w:t>
      </w:r>
      <w:r>
        <w:rPr>
          <w:rFonts w:hint="eastAsia" w:asciiTheme="minorEastAsia" w:hAnsiTheme="minorEastAsia" w:eastAsiaTheme="minorEastAsia" w:cstheme="minorEastAsia"/>
          <w:color w:val="auto"/>
          <w:sz w:val="24"/>
          <w:szCs w:val="24"/>
          <w:highlight w:val="none"/>
        </w:rPr>
        <w:t>。</w:t>
      </w:r>
    </w:p>
    <w:p w14:paraId="3DF97C8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 监理人义务</w:t>
      </w:r>
    </w:p>
    <w:p w14:paraId="59EEF14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监理的范围和</w:t>
      </w:r>
      <w:r>
        <w:rPr>
          <w:rFonts w:hint="eastAsia" w:asciiTheme="minorEastAsia" w:hAnsiTheme="minorEastAsia" w:eastAsiaTheme="minorEastAsia" w:cstheme="minorEastAsia"/>
          <w:bCs/>
          <w:color w:val="auto"/>
          <w:sz w:val="24"/>
          <w:szCs w:val="24"/>
          <w:highlight w:val="none"/>
        </w:rPr>
        <w:t>内容</w:t>
      </w:r>
    </w:p>
    <w:p w14:paraId="0DE6F0E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监理范围包括：</w:t>
      </w:r>
      <w:r>
        <w:rPr>
          <w:rFonts w:hint="eastAsia" w:asciiTheme="minorEastAsia" w:hAnsiTheme="minorEastAsia" w:eastAsiaTheme="minorEastAsia" w:cstheme="minorEastAsia"/>
          <w:color w:val="auto"/>
          <w:sz w:val="24"/>
          <w:szCs w:val="24"/>
          <w:highlight w:val="none"/>
          <w:u w:val="single"/>
        </w:rPr>
        <w:t xml:space="preserve">详见中标后发放的图纸    </w:t>
      </w:r>
      <w:r>
        <w:rPr>
          <w:rFonts w:hint="eastAsia" w:asciiTheme="minorEastAsia" w:hAnsiTheme="minorEastAsia" w:eastAsiaTheme="minorEastAsia" w:cstheme="minorEastAsia"/>
          <w:color w:val="auto"/>
          <w:sz w:val="24"/>
          <w:szCs w:val="24"/>
          <w:highlight w:val="none"/>
        </w:rPr>
        <w:t>。</w:t>
      </w:r>
    </w:p>
    <w:p w14:paraId="21BEA665">
      <w:pPr>
        <w:pStyle w:val="113"/>
        <w:keepNext w:val="0"/>
        <w:keepLines w:val="0"/>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监理工作内容还包括：</w:t>
      </w:r>
      <w:r>
        <w:rPr>
          <w:rFonts w:hint="eastAsia" w:asciiTheme="minorEastAsia" w:hAnsiTheme="minorEastAsia" w:eastAsiaTheme="minorEastAsia" w:cstheme="minorEastAsia"/>
          <w:color w:val="auto"/>
          <w:sz w:val="24"/>
          <w:szCs w:val="24"/>
          <w:highlight w:val="none"/>
          <w:u w:val="single"/>
          <w:lang w:val="en-US" w:eastAsia="zh-CN" w:bidi="ar-SA"/>
        </w:rPr>
        <w:t>工程质量控制、进度控制、投资控制、安全和文明施工管理、监督《建设工程施工合同》的履行管理、信息管理，协调委托人与工程建设有关各方面的工作关系等。国家监理规范规定的相应监理工作内容。监理资料整理并移交，二年内配合建设单位回访。</w:t>
      </w:r>
    </w:p>
    <w:p w14:paraId="35884FB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监理与相关服务依据</w:t>
      </w:r>
    </w:p>
    <w:p w14:paraId="1433F0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 监理依据包括：</w:t>
      </w:r>
      <w:r>
        <w:rPr>
          <w:rFonts w:hint="eastAsia" w:asciiTheme="minorEastAsia" w:hAnsiTheme="minorEastAsia" w:eastAsiaTheme="minorEastAsia" w:cstheme="minorEastAsia"/>
          <w:color w:val="auto"/>
          <w:sz w:val="24"/>
          <w:szCs w:val="24"/>
          <w:highlight w:val="none"/>
          <w:u w:val="single"/>
        </w:rPr>
        <w:t>国家现行的建筑法、建设工程质量管理条例、监理规范、施工规范等法律、法规、标准、规范；监理合同、施工合同、施工图纸；招标投标文件、变更及省市相关批文等工程文件。</w:t>
      </w:r>
    </w:p>
    <w:p w14:paraId="2BB79649">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dstrike/>
          <w:color w:val="auto"/>
          <w:sz w:val="24"/>
          <w:szCs w:val="24"/>
          <w:highlight w:val="none"/>
        </w:rPr>
      </w:pPr>
      <w:r>
        <w:rPr>
          <w:rFonts w:hint="eastAsia" w:asciiTheme="minorEastAsia" w:hAnsiTheme="minorEastAsia" w:eastAsiaTheme="minorEastAsia" w:cstheme="minorEastAsia"/>
          <w:color w:val="auto"/>
          <w:sz w:val="24"/>
          <w:szCs w:val="24"/>
          <w:highlight w:val="none"/>
        </w:rPr>
        <w:t>2.2.2 相关服务依据包括：</w:t>
      </w:r>
      <w:r>
        <w:rPr>
          <w:rFonts w:hint="eastAsia" w:asciiTheme="minorEastAsia" w:hAnsiTheme="minorEastAsia" w:eastAsiaTheme="minorEastAsia" w:cstheme="minorEastAsia"/>
          <w:color w:val="auto"/>
          <w:sz w:val="24"/>
          <w:szCs w:val="24"/>
          <w:highlight w:val="none"/>
          <w:u w:val="single"/>
        </w:rPr>
        <w:t>与工程相关技术标准、规程、规范等。</w:t>
      </w:r>
    </w:p>
    <w:p w14:paraId="6E09289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kern w:val="0"/>
          <w:sz w:val="24"/>
          <w:szCs w:val="24"/>
          <w:highlight w:val="none"/>
        </w:rPr>
        <w:t>项目监理机构和人员</w:t>
      </w:r>
    </w:p>
    <w:p w14:paraId="6A11DDCE">
      <w:pPr>
        <w:pStyle w:val="113"/>
        <w:keepNext w:val="0"/>
        <w:keepLines w:val="0"/>
        <w:pageBreakBefore w:val="0"/>
        <w:kinsoku/>
        <w:wordWrap/>
        <w:overflowPunct/>
        <w:topLinePunct w:val="0"/>
        <w:autoSpaceDE/>
        <w:autoSpaceDN/>
        <w:bidi w:val="0"/>
        <w:snapToGrid w:val="0"/>
        <w:spacing w:after="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2.3.1项目总监理工程师：</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zh-CN" w:bidi="ar-SA"/>
        </w:rPr>
        <w:t xml:space="preserve"> </w:t>
      </w:r>
    </w:p>
    <w:p w14:paraId="079B3202">
      <w:pPr>
        <w:pStyle w:val="113"/>
        <w:keepNext w:val="0"/>
        <w:keepLines w:val="0"/>
        <w:pageBreakBefore w:val="0"/>
        <w:kinsoku/>
        <w:wordWrap/>
        <w:overflowPunct/>
        <w:topLinePunct w:val="0"/>
        <w:autoSpaceDE/>
        <w:autoSpaceDN/>
        <w:bidi w:val="0"/>
        <w:snapToGrid w:val="0"/>
        <w:spacing w:after="0"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2.3.2监理机构其他人员（除项目总监理工程师外）组成：</w:t>
      </w:r>
    </w:p>
    <w:p w14:paraId="7AB2D063">
      <w:pPr>
        <w:pStyle w:val="113"/>
        <w:keepNext w:val="0"/>
        <w:keepLines w:val="0"/>
        <w:pageBreakBefore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总监代表：</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zh-CN" w:bidi="ar-SA"/>
        </w:rPr>
        <w:t xml:space="preserve"> </w:t>
      </w:r>
    </w:p>
    <w:p w14:paraId="72B06693">
      <w:pPr>
        <w:pStyle w:val="113"/>
        <w:keepNext w:val="0"/>
        <w:keepLines w:val="0"/>
        <w:pageBreakBefore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专业监理工程师：</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zh-CN" w:bidi="ar-SA"/>
        </w:rPr>
        <w:t xml:space="preserve"> </w:t>
      </w:r>
    </w:p>
    <w:p w14:paraId="61E5108C">
      <w:pPr>
        <w:pStyle w:val="113"/>
        <w:keepNext w:val="0"/>
        <w:keepLines w:val="0"/>
        <w:pageBreakBefore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监理员：</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zh-CN" w:bidi="ar-SA"/>
        </w:rPr>
        <w:t xml:space="preserve"> </w:t>
      </w:r>
    </w:p>
    <w:p w14:paraId="02B7376E">
      <w:pPr>
        <w:pStyle w:val="113"/>
        <w:keepNext w:val="0"/>
        <w:keepLines w:val="0"/>
        <w:pageBreakBefore w:val="0"/>
        <w:kinsoku/>
        <w:wordWrap/>
        <w:overflowPunct/>
        <w:topLinePunct w:val="0"/>
        <w:autoSpaceDE/>
        <w:autoSpaceDN/>
        <w:bidi w:val="0"/>
        <w:snapToGrid w:val="0"/>
        <w:spacing w:after="0"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2.3.3监理机构人员不得超过</w:t>
      </w:r>
      <w:r>
        <w:rPr>
          <w:rFonts w:hint="eastAsia" w:asciiTheme="minorEastAsia" w:hAnsiTheme="minorEastAsia" w:eastAsiaTheme="minorEastAsia" w:cstheme="minorEastAsia"/>
          <w:color w:val="auto"/>
          <w:kern w:val="0"/>
          <w:sz w:val="24"/>
          <w:szCs w:val="24"/>
          <w:highlight w:val="none"/>
          <w:lang w:val="zh-CN" w:eastAsia="zh-CN" w:bidi="ar-SA"/>
        </w:rPr>
        <w:t>60</w:t>
      </w:r>
      <w:r>
        <w:rPr>
          <w:rFonts w:hint="eastAsia" w:asciiTheme="minorEastAsia" w:hAnsiTheme="minorEastAsia" w:eastAsiaTheme="minorEastAsia" w:cstheme="minorEastAsia"/>
          <w:color w:val="auto"/>
          <w:kern w:val="0"/>
          <w:sz w:val="24"/>
          <w:szCs w:val="24"/>
          <w:highlight w:val="none"/>
          <w:lang w:val="en-US" w:eastAsia="zh-CN" w:bidi="ar-SA"/>
        </w:rPr>
        <w:t>周岁；</w:t>
      </w:r>
    </w:p>
    <w:p w14:paraId="6FDC6229">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2.3.4 </w:t>
      </w:r>
      <w:r>
        <w:rPr>
          <w:rFonts w:hint="eastAsia" w:asciiTheme="minorEastAsia" w:hAnsiTheme="minorEastAsia" w:eastAsiaTheme="minorEastAsia" w:cstheme="minorEastAsia"/>
          <w:color w:val="auto"/>
          <w:kern w:val="0"/>
          <w:sz w:val="24"/>
          <w:szCs w:val="24"/>
          <w:highlight w:val="none"/>
        </w:rPr>
        <w:t>更换监理人员的其他情形：</w:t>
      </w:r>
      <w:r>
        <w:rPr>
          <w:rFonts w:hint="eastAsia" w:asciiTheme="minorEastAsia" w:hAnsiTheme="minorEastAsia" w:eastAsiaTheme="minorEastAsia" w:cstheme="minorEastAsia"/>
          <w:color w:val="auto"/>
          <w:sz w:val="24"/>
          <w:szCs w:val="24"/>
          <w:highlight w:val="none"/>
          <w:u w:val="single"/>
        </w:rPr>
        <w:t>不得擅自更换</w:t>
      </w:r>
      <w:r>
        <w:rPr>
          <w:rFonts w:hint="eastAsia" w:asciiTheme="minorEastAsia" w:hAnsiTheme="minorEastAsia" w:eastAsiaTheme="minorEastAsia" w:cstheme="minorEastAsia"/>
          <w:color w:val="auto"/>
          <w:sz w:val="24"/>
          <w:szCs w:val="24"/>
          <w:highlight w:val="none"/>
          <w:u w:val="single"/>
          <w:lang w:val="en-US" w:eastAsia="zh-CN"/>
        </w:rPr>
        <w:t>投标</w:t>
      </w:r>
      <w:r>
        <w:rPr>
          <w:rFonts w:hint="eastAsia" w:asciiTheme="minorEastAsia" w:hAnsiTheme="minorEastAsia" w:eastAsiaTheme="minorEastAsia" w:cstheme="minorEastAsia"/>
          <w:color w:val="auto"/>
          <w:sz w:val="24"/>
          <w:szCs w:val="24"/>
          <w:highlight w:val="none"/>
          <w:u w:val="single"/>
        </w:rPr>
        <w:t>所报项目总监理工程师</w:t>
      </w:r>
      <w:r>
        <w:rPr>
          <w:rFonts w:hint="eastAsia" w:asciiTheme="minorEastAsia" w:hAnsiTheme="minorEastAsia" w:eastAsiaTheme="minorEastAsia" w:cstheme="minorEastAsia"/>
          <w:color w:val="auto"/>
          <w:sz w:val="24"/>
          <w:szCs w:val="24"/>
          <w:highlight w:val="none"/>
          <w:u w:val="single"/>
          <w:lang w:val="en-US" w:eastAsia="zh-CN"/>
        </w:rPr>
        <w:t>和</w:t>
      </w:r>
      <w:r>
        <w:rPr>
          <w:rFonts w:hint="eastAsia" w:asciiTheme="minorEastAsia" w:hAnsiTheme="minorEastAsia" w:eastAsiaTheme="minorEastAsia" w:cstheme="minorEastAsia"/>
          <w:color w:val="auto"/>
          <w:sz w:val="24"/>
          <w:szCs w:val="24"/>
          <w:highlight w:val="none"/>
          <w:u w:val="single"/>
        </w:rPr>
        <w:t>专业监理工程师，</w:t>
      </w:r>
      <w:r>
        <w:rPr>
          <w:rFonts w:hint="eastAsia" w:asciiTheme="minorEastAsia" w:hAnsiTheme="minorEastAsia" w:eastAsiaTheme="minorEastAsia" w:cstheme="minorEastAsia"/>
          <w:color w:val="auto"/>
          <w:sz w:val="24"/>
          <w:szCs w:val="24"/>
          <w:highlight w:val="none"/>
          <w:u w:val="single"/>
          <w:lang w:val="en-US" w:eastAsia="zh-CN"/>
        </w:rPr>
        <w:t>若擅自</w:t>
      </w:r>
      <w:r>
        <w:rPr>
          <w:rFonts w:hint="eastAsia" w:asciiTheme="minorEastAsia" w:hAnsiTheme="minorEastAsia" w:eastAsiaTheme="minorEastAsia" w:cstheme="minorEastAsia"/>
          <w:color w:val="auto"/>
          <w:sz w:val="24"/>
          <w:szCs w:val="24"/>
          <w:highlight w:val="none"/>
          <w:u w:val="single"/>
        </w:rPr>
        <w:t>更换</w:t>
      </w:r>
      <w:r>
        <w:rPr>
          <w:rFonts w:hint="eastAsia" w:asciiTheme="minorEastAsia" w:hAnsiTheme="minorEastAsia" w:eastAsiaTheme="minorEastAsia" w:cstheme="minorEastAsia"/>
          <w:color w:val="auto"/>
          <w:sz w:val="24"/>
          <w:szCs w:val="24"/>
          <w:highlight w:val="none"/>
          <w:u w:val="single"/>
          <w:lang w:val="en-US" w:eastAsia="zh-CN"/>
        </w:rPr>
        <w:t>投标</w:t>
      </w:r>
      <w:r>
        <w:rPr>
          <w:rFonts w:hint="eastAsia" w:asciiTheme="minorEastAsia" w:hAnsiTheme="minorEastAsia" w:eastAsiaTheme="minorEastAsia" w:cstheme="minorEastAsia"/>
          <w:color w:val="auto"/>
          <w:sz w:val="24"/>
          <w:szCs w:val="24"/>
          <w:highlight w:val="none"/>
          <w:u w:val="single"/>
        </w:rPr>
        <w:t>所报项目总监理工程师，监理人将向委托人承担</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万元/人的违约金（除不可抗力外），</w:t>
      </w:r>
      <w:r>
        <w:rPr>
          <w:rFonts w:hint="eastAsia" w:asciiTheme="minorEastAsia" w:hAnsiTheme="minorEastAsia" w:eastAsiaTheme="minorEastAsia" w:cstheme="minorEastAsia"/>
          <w:color w:val="auto"/>
          <w:sz w:val="24"/>
          <w:szCs w:val="24"/>
          <w:highlight w:val="none"/>
          <w:u w:val="single"/>
          <w:lang w:val="en-US" w:eastAsia="zh-CN"/>
        </w:rPr>
        <w:t>若擅自</w:t>
      </w:r>
      <w:r>
        <w:rPr>
          <w:rFonts w:hint="eastAsia" w:asciiTheme="minorEastAsia" w:hAnsiTheme="minorEastAsia" w:eastAsiaTheme="minorEastAsia" w:cstheme="minorEastAsia"/>
          <w:color w:val="auto"/>
          <w:sz w:val="24"/>
          <w:szCs w:val="24"/>
          <w:highlight w:val="none"/>
          <w:u w:val="single"/>
        </w:rPr>
        <w:t>更换</w:t>
      </w:r>
      <w:r>
        <w:rPr>
          <w:rFonts w:hint="eastAsia" w:asciiTheme="minorEastAsia" w:hAnsiTheme="minorEastAsia" w:eastAsiaTheme="minorEastAsia" w:cstheme="minorEastAsia"/>
          <w:color w:val="auto"/>
          <w:sz w:val="24"/>
          <w:szCs w:val="24"/>
          <w:highlight w:val="none"/>
          <w:u w:val="single"/>
          <w:lang w:val="en-US" w:eastAsia="zh-CN"/>
        </w:rPr>
        <w:t>投标所报</w:t>
      </w:r>
      <w:r>
        <w:rPr>
          <w:rFonts w:hint="eastAsia" w:asciiTheme="minorEastAsia" w:hAnsiTheme="minorEastAsia" w:eastAsiaTheme="minorEastAsia" w:cstheme="minorEastAsia"/>
          <w:color w:val="auto"/>
          <w:sz w:val="24"/>
          <w:szCs w:val="24"/>
          <w:highlight w:val="none"/>
          <w:u w:val="single"/>
        </w:rPr>
        <w:t>项目专业监理工程师，监理人将向委托人承担</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万元/人的违约金（除不可抗力外）</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若监理人未按前述规定递交违约金的，委托人有权终止合同。</w:t>
      </w:r>
      <w:r>
        <w:rPr>
          <w:rFonts w:hint="eastAsia" w:asciiTheme="minorEastAsia" w:hAnsiTheme="minorEastAsia" w:eastAsiaTheme="minorEastAsia" w:cstheme="minorEastAsia"/>
          <w:color w:val="auto"/>
          <w:sz w:val="24"/>
          <w:szCs w:val="24"/>
          <w:highlight w:val="none"/>
          <w:u w:val="single"/>
          <w:lang w:val="en-US" w:eastAsia="zh-CN"/>
        </w:rPr>
        <w:t>若</w:t>
      </w:r>
      <w:r>
        <w:rPr>
          <w:rFonts w:hint="eastAsia" w:asciiTheme="minorEastAsia" w:hAnsiTheme="minorEastAsia" w:eastAsiaTheme="minorEastAsia" w:cstheme="minorEastAsia"/>
          <w:color w:val="auto"/>
          <w:sz w:val="24"/>
          <w:szCs w:val="24"/>
          <w:highlight w:val="none"/>
          <w:u w:val="single"/>
        </w:rPr>
        <w:t>因特殊情况</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经委托人同意，</w:t>
      </w:r>
      <w:r>
        <w:rPr>
          <w:rFonts w:hint="eastAsia" w:asciiTheme="minorEastAsia" w:hAnsiTheme="minorEastAsia" w:eastAsiaTheme="minorEastAsia" w:cstheme="minorEastAsia"/>
          <w:color w:val="auto"/>
          <w:sz w:val="24"/>
          <w:szCs w:val="24"/>
          <w:highlight w:val="none"/>
          <w:u w:val="single"/>
          <w:lang w:val="en-US" w:eastAsia="zh-CN"/>
        </w:rPr>
        <w:t>可以</w:t>
      </w:r>
      <w:r>
        <w:rPr>
          <w:rFonts w:hint="eastAsia" w:asciiTheme="minorEastAsia" w:hAnsiTheme="minorEastAsia" w:eastAsiaTheme="minorEastAsia" w:cstheme="minorEastAsia"/>
          <w:color w:val="auto"/>
          <w:sz w:val="24"/>
          <w:szCs w:val="24"/>
          <w:highlight w:val="none"/>
          <w:u w:val="single"/>
        </w:rPr>
        <w:t>更换项目总监理工程师</w:t>
      </w:r>
      <w:r>
        <w:rPr>
          <w:rFonts w:hint="eastAsia" w:asciiTheme="minorEastAsia" w:hAnsiTheme="minorEastAsia" w:eastAsiaTheme="minorEastAsia" w:cstheme="minorEastAsia"/>
          <w:color w:val="auto"/>
          <w:sz w:val="24"/>
          <w:szCs w:val="24"/>
          <w:highlight w:val="none"/>
          <w:u w:val="single"/>
          <w:lang w:val="en-US" w:eastAsia="zh-CN"/>
        </w:rPr>
        <w:t>和</w:t>
      </w:r>
      <w:r>
        <w:rPr>
          <w:rFonts w:hint="eastAsia" w:asciiTheme="minorEastAsia" w:hAnsiTheme="minorEastAsia" w:eastAsiaTheme="minorEastAsia" w:cstheme="minorEastAsia"/>
          <w:color w:val="auto"/>
          <w:sz w:val="24"/>
          <w:szCs w:val="24"/>
          <w:highlight w:val="none"/>
          <w:u w:val="single"/>
        </w:rPr>
        <w:t>专业监理工程师，更换的监理人员资质应不低于被更换的监理人员资质。</w:t>
      </w:r>
    </w:p>
    <w:p w14:paraId="3D41CD0E">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2.4 </w:t>
      </w:r>
      <w:r>
        <w:rPr>
          <w:rFonts w:hint="eastAsia" w:asciiTheme="minorEastAsia" w:hAnsiTheme="minorEastAsia" w:eastAsiaTheme="minorEastAsia" w:cstheme="minorEastAsia"/>
          <w:color w:val="auto"/>
          <w:kern w:val="0"/>
          <w:sz w:val="24"/>
          <w:szCs w:val="24"/>
          <w:highlight w:val="none"/>
        </w:rPr>
        <w:t>履行职责</w:t>
      </w:r>
    </w:p>
    <w:p w14:paraId="6022B942">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 对监理人的授权范围：</w:t>
      </w:r>
      <w:r>
        <w:rPr>
          <w:rFonts w:hint="eastAsia" w:asciiTheme="minorEastAsia" w:hAnsiTheme="minorEastAsia" w:eastAsiaTheme="minorEastAsia" w:cstheme="minorEastAsia"/>
          <w:color w:val="auto"/>
          <w:sz w:val="24"/>
          <w:szCs w:val="24"/>
          <w:highlight w:val="none"/>
          <w:u w:val="single"/>
        </w:rPr>
        <w:t>处理施工阶段质量、安全、投资、进度控制等，涉及工程延期、经济签证及设计変更等需经</w:t>
      </w:r>
      <w:r>
        <w:rPr>
          <w:rFonts w:hint="eastAsia" w:asciiTheme="minorEastAsia" w:hAnsiTheme="minorEastAsia" w:eastAsiaTheme="minorEastAsia" w:cstheme="minorEastAsia"/>
          <w:color w:val="auto"/>
          <w:sz w:val="24"/>
          <w:szCs w:val="24"/>
          <w:highlight w:val="none"/>
          <w:u w:val="single"/>
          <w:lang w:eastAsia="zh-CN"/>
        </w:rPr>
        <w:t>委托人</w:t>
      </w:r>
      <w:r>
        <w:rPr>
          <w:rFonts w:hint="eastAsia" w:asciiTheme="minorEastAsia" w:hAnsiTheme="minorEastAsia" w:eastAsiaTheme="minorEastAsia" w:cstheme="minorEastAsia"/>
          <w:color w:val="auto"/>
          <w:sz w:val="24"/>
          <w:szCs w:val="24"/>
          <w:highlight w:val="none"/>
          <w:u w:val="single"/>
        </w:rPr>
        <w:t>同意方可发布通知</w:t>
      </w:r>
      <w:r>
        <w:rPr>
          <w:rFonts w:hint="eastAsia" w:asciiTheme="minorEastAsia" w:hAnsiTheme="minorEastAsia" w:eastAsiaTheme="minorEastAsia" w:cstheme="minorEastAsia"/>
          <w:color w:val="auto"/>
          <w:sz w:val="24"/>
          <w:szCs w:val="24"/>
          <w:highlight w:val="none"/>
        </w:rPr>
        <w:t>。</w:t>
      </w:r>
    </w:p>
    <w:p w14:paraId="5D95C882">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在涉及工程延期</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天内和（或）金额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万元内的变更，监理人不需请示委托人即可向承包人发布变更通知。</w:t>
      </w:r>
    </w:p>
    <w:p w14:paraId="310755F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2.4.4 监理人有权要求承包人调换其人员</w:t>
      </w:r>
      <w:r>
        <w:rPr>
          <w:rFonts w:hint="eastAsia" w:asciiTheme="minorEastAsia" w:hAnsiTheme="minorEastAsia" w:eastAsiaTheme="minorEastAsia" w:cstheme="minorEastAsia"/>
          <w:color w:val="auto"/>
          <w:sz w:val="24"/>
          <w:szCs w:val="24"/>
          <w:highlight w:val="none"/>
        </w:rPr>
        <w:t>的限制条件：</w:t>
      </w:r>
      <w:r>
        <w:rPr>
          <w:rFonts w:hint="eastAsia" w:asciiTheme="minorEastAsia" w:hAnsiTheme="minorEastAsia" w:eastAsiaTheme="minorEastAsia" w:cstheme="minorEastAsia"/>
          <w:color w:val="auto"/>
          <w:sz w:val="24"/>
          <w:szCs w:val="24"/>
          <w:highlight w:val="none"/>
          <w:u w:val="single"/>
        </w:rPr>
        <w:t xml:space="preserve">  经</w:t>
      </w:r>
      <w:r>
        <w:rPr>
          <w:rFonts w:hint="eastAsia" w:asciiTheme="minorEastAsia" w:hAnsiTheme="minorEastAsia" w:eastAsiaTheme="minorEastAsia" w:cstheme="minorEastAsia"/>
          <w:color w:val="auto"/>
          <w:sz w:val="24"/>
          <w:szCs w:val="24"/>
          <w:highlight w:val="none"/>
          <w:u w:val="single"/>
          <w:lang w:eastAsia="zh-CN"/>
        </w:rPr>
        <w:t>委托人</w:t>
      </w:r>
      <w:r>
        <w:rPr>
          <w:rFonts w:hint="eastAsia" w:asciiTheme="minorEastAsia" w:hAnsiTheme="minorEastAsia" w:eastAsiaTheme="minorEastAsia" w:cstheme="minorEastAsia"/>
          <w:color w:val="auto"/>
          <w:sz w:val="24"/>
          <w:szCs w:val="24"/>
          <w:highlight w:val="none"/>
          <w:u w:val="single"/>
        </w:rPr>
        <w:t xml:space="preserve">同意 </w:t>
      </w:r>
      <w:r>
        <w:rPr>
          <w:rFonts w:hint="eastAsia" w:asciiTheme="minorEastAsia" w:hAnsiTheme="minorEastAsia" w:eastAsiaTheme="minorEastAsia" w:cstheme="minorEastAsia"/>
          <w:color w:val="auto"/>
          <w:sz w:val="24"/>
          <w:szCs w:val="24"/>
          <w:highlight w:val="none"/>
        </w:rPr>
        <w:t xml:space="preserve">。  </w:t>
      </w:r>
    </w:p>
    <w:p w14:paraId="3B976BB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2.5 </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kern w:val="0"/>
          <w:sz w:val="24"/>
          <w:szCs w:val="24"/>
          <w:highlight w:val="none"/>
        </w:rPr>
        <w:t>报告</w:t>
      </w:r>
    </w:p>
    <w:p w14:paraId="1CB71EEE">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监理人应提交报告的种类(</w:t>
      </w:r>
      <w:r>
        <w:rPr>
          <w:rFonts w:hint="eastAsia" w:asciiTheme="minorEastAsia" w:hAnsiTheme="minorEastAsia" w:eastAsiaTheme="minorEastAsia" w:cstheme="minorEastAsia"/>
          <w:color w:val="auto"/>
          <w:kern w:val="0"/>
          <w:sz w:val="24"/>
          <w:szCs w:val="24"/>
          <w:highlight w:val="none"/>
        </w:rPr>
        <w:t>包括监理规划、监理月报及约定的专项报告)</w:t>
      </w:r>
      <w:r>
        <w:rPr>
          <w:rFonts w:hint="eastAsia" w:asciiTheme="minorEastAsia" w:hAnsiTheme="minorEastAsia" w:eastAsiaTheme="minorEastAsia" w:cstheme="minorEastAsia"/>
          <w:color w:val="auto"/>
          <w:sz w:val="24"/>
          <w:szCs w:val="24"/>
          <w:highlight w:val="none"/>
        </w:rPr>
        <w:t>、时间和份数</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u w:val="single"/>
        </w:rPr>
        <w:t>监理规划、监理</w:t>
      </w:r>
      <w:r>
        <w:rPr>
          <w:rFonts w:hint="eastAsia" w:asciiTheme="minorEastAsia" w:hAnsiTheme="minorEastAsia" w:eastAsiaTheme="minorEastAsia" w:cstheme="minorEastAsia"/>
          <w:color w:val="auto"/>
          <w:sz w:val="24"/>
          <w:szCs w:val="24"/>
          <w:highlight w:val="none"/>
          <w:u w:val="single"/>
          <w:lang w:val="en-US" w:eastAsia="zh-CN"/>
        </w:rPr>
        <w:t>实施</w:t>
      </w:r>
      <w:r>
        <w:rPr>
          <w:rFonts w:hint="eastAsia" w:asciiTheme="minorEastAsia" w:hAnsiTheme="minorEastAsia" w:eastAsiaTheme="minorEastAsia" w:cstheme="minorEastAsia"/>
          <w:color w:val="auto"/>
          <w:sz w:val="24"/>
          <w:szCs w:val="24"/>
          <w:highlight w:val="none"/>
          <w:u w:val="single"/>
        </w:rPr>
        <w:t>细则在开工前7日内，监理月报在每月25日前提交</w:t>
      </w:r>
      <w:r>
        <w:rPr>
          <w:rFonts w:hint="eastAsia" w:asciiTheme="minorEastAsia" w:hAnsiTheme="minorEastAsia" w:eastAsiaTheme="minorEastAsia" w:cstheme="minorEastAsia"/>
          <w:color w:val="auto"/>
          <w:sz w:val="24"/>
          <w:szCs w:val="24"/>
          <w:highlight w:val="none"/>
        </w:rPr>
        <w:t>。</w:t>
      </w:r>
    </w:p>
    <w:p w14:paraId="1764E6F7">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 xml:space="preserve">3. 委托人义务  </w:t>
      </w:r>
    </w:p>
    <w:p w14:paraId="178EADF4">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 xml:space="preserve"> 委托人代表</w:t>
      </w:r>
    </w:p>
    <w:p w14:paraId="194F36AF">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委托人代表为：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C06AC2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 xml:space="preserve"> 答复</w:t>
      </w:r>
    </w:p>
    <w:p w14:paraId="30119C9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委托人同意在</w:t>
      </w:r>
      <w:r>
        <w:rPr>
          <w:rFonts w:hint="eastAsia" w:asciiTheme="minorEastAsia" w:hAnsiTheme="minorEastAsia" w:eastAsiaTheme="minorEastAsia" w:cstheme="minorEastAsia"/>
          <w:color w:val="auto"/>
          <w:sz w:val="24"/>
          <w:szCs w:val="24"/>
          <w:highlight w:val="none"/>
          <w:u w:val="single"/>
        </w:rPr>
        <w:t xml:space="preserve">7 </w:t>
      </w:r>
      <w:r>
        <w:rPr>
          <w:rFonts w:hint="eastAsia" w:asciiTheme="minorEastAsia" w:hAnsiTheme="minorEastAsia" w:eastAsiaTheme="minorEastAsia" w:cstheme="minorEastAsia"/>
          <w:color w:val="auto"/>
          <w:sz w:val="24"/>
          <w:szCs w:val="24"/>
          <w:highlight w:val="none"/>
        </w:rPr>
        <w:t>天内，对监理人书面提交并要求做出决定的事宜给予书面答复。</w:t>
      </w:r>
    </w:p>
    <w:p w14:paraId="22FB02AD">
      <w:pPr>
        <w:keepNext w:val="0"/>
        <w:keepLines w:val="0"/>
        <w:pageBreakBefore w:val="0"/>
        <w:kinsoku/>
        <w:wordWrap/>
        <w:overflowPunct/>
        <w:topLinePunct w:val="0"/>
        <w:autoSpaceDE/>
        <w:autoSpaceDN/>
        <w:bidi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 违约责任</w:t>
      </w:r>
    </w:p>
    <w:p w14:paraId="3200259C">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 监理人的违约责任</w:t>
      </w:r>
    </w:p>
    <w:p w14:paraId="79DEFA0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4.1.1监理人赔偿金额按下列方法确定：</w:t>
      </w:r>
    </w:p>
    <w:p w14:paraId="70F8781A">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赔偿金＝直接经济损失×正常工作酬金÷工程概算</w:t>
      </w:r>
      <w:r>
        <w:rPr>
          <w:rFonts w:hint="eastAsia" w:asciiTheme="minorEastAsia" w:hAnsiTheme="minorEastAsia" w:eastAsiaTheme="minorEastAsia" w:cstheme="minorEastAsia"/>
          <w:color w:val="auto"/>
          <w:kern w:val="0"/>
          <w:sz w:val="24"/>
          <w:szCs w:val="24"/>
          <w:highlight w:val="none"/>
        </w:rPr>
        <w:t>投资额（或建筑安装工程费）</w:t>
      </w:r>
    </w:p>
    <w:p w14:paraId="20300D4A">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 委托人的违约责任</w:t>
      </w:r>
    </w:p>
    <w:p w14:paraId="66B3D080">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4.2.3 委托人</w:t>
      </w:r>
      <w:r>
        <w:rPr>
          <w:rFonts w:hint="eastAsia" w:asciiTheme="minorEastAsia" w:hAnsiTheme="minorEastAsia" w:eastAsiaTheme="minorEastAsia" w:cstheme="minorEastAsia"/>
          <w:color w:val="auto"/>
          <w:kern w:val="0"/>
          <w:sz w:val="24"/>
          <w:szCs w:val="24"/>
          <w:highlight w:val="none"/>
        </w:rPr>
        <w:t>逾期付款利息按下列方法确定：</w:t>
      </w:r>
    </w:p>
    <w:p w14:paraId="6CF0F0D4">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逾期付款利息＝当期应付款总额×银行同期贷款利率×拖延支付天数</w:t>
      </w:r>
    </w:p>
    <w:p w14:paraId="000F9976">
      <w:pPr>
        <w:keepNext w:val="0"/>
        <w:keepLines w:val="0"/>
        <w:pageBreakBefore w:val="0"/>
        <w:kinsoku/>
        <w:wordWrap/>
        <w:overflowPunct/>
        <w:topLinePunct w:val="0"/>
        <w:autoSpaceDE/>
        <w:autoSpaceDN/>
        <w:bidi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5. 支付</w:t>
      </w:r>
    </w:p>
    <w:p w14:paraId="565352E0">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5.1 </w:t>
      </w:r>
      <w:r>
        <w:rPr>
          <w:rFonts w:hint="eastAsia" w:asciiTheme="minorEastAsia" w:hAnsiTheme="minorEastAsia" w:eastAsiaTheme="minorEastAsia" w:cstheme="minorEastAsia"/>
          <w:bCs/>
          <w:color w:val="auto"/>
          <w:sz w:val="24"/>
          <w:szCs w:val="24"/>
          <w:highlight w:val="none"/>
        </w:rPr>
        <w:t>支付货币</w:t>
      </w:r>
    </w:p>
    <w:p w14:paraId="18D03A0F">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币种为：</w:t>
      </w:r>
      <w:r>
        <w:rPr>
          <w:rFonts w:hint="eastAsia" w:asciiTheme="minorEastAsia" w:hAnsiTheme="minorEastAsia" w:eastAsiaTheme="minorEastAsia" w:cstheme="minorEastAsia"/>
          <w:color w:val="auto"/>
          <w:sz w:val="24"/>
          <w:szCs w:val="24"/>
          <w:highlight w:val="none"/>
          <w:u w:val="single"/>
        </w:rPr>
        <w:t xml:space="preserve"> 人民币  </w:t>
      </w:r>
      <w:r>
        <w:rPr>
          <w:rFonts w:hint="eastAsia" w:asciiTheme="minorEastAsia" w:hAnsiTheme="minorEastAsia" w:eastAsiaTheme="minorEastAsia" w:cstheme="minorEastAsia"/>
          <w:color w:val="auto"/>
          <w:sz w:val="24"/>
          <w:szCs w:val="24"/>
          <w:highlight w:val="none"/>
        </w:rPr>
        <w:t>，比例为：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，汇率为：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w:t>
      </w:r>
    </w:p>
    <w:p w14:paraId="3679DB90">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5.3 支付酬金</w:t>
      </w:r>
    </w:p>
    <w:p w14:paraId="6B16A642">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正常工作</w:t>
      </w:r>
      <w:r>
        <w:rPr>
          <w:rFonts w:hint="eastAsia" w:asciiTheme="minorEastAsia" w:hAnsiTheme="minorEastAsia" w:eastAsiaTheme="minorEastAsia" w:cstheme="minorEastAsia"/>
          <w:color w:val="auto"/>
          <w:sz w:val="24"/>
          <w:szCs w:val="24"/>
          <w:highlight w:val="none"/>
        </w:rPr>
        <w:t>酬金的</w:t>
      </w:r>
      <w:r>
        <w:rPr>
          <w:rFonts w:hint="eastAsia" w:asciiTheme="minorEastAsia" w:hAnsiTheme="minorEastAsia" w:eastAsiaTheme="minorEastAsia" w:cstheme="minorEastAsia"/>
          <w:color w:val="auto"/>
          <w:kern w:val="0"/>
          <w:sz w:val="24"/>
          <w:szCs w:val="24"/>
          <w:highlight w:val="none"/>
        </w:rPr>
        <w:t>支付</w:t>
      </w:r>
      <w:r>
        <w:rPr>
          <w:rFonts w:hint="eastAsia" w:asciiTheme="minorEastAsia" w:hAnsiTheme="minorEastAsia" w:eastAsiaTheme="minorEastAsia" w:cstheme="minorEastAsia"/>
          <w:color w:val="auto"/>
          <w:sz w:val="24"/>
          <w:szCs w:val="24"/>
          <w:highlight w:val="none"/>
        </w:rPr>
        <w:t>：</w:t>
      </w:r>
    </w:p>
    <w:p w14:paraId="49F1145A">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①本工程监理服务费即签约合同价，监理服务费=中标价，</w:t>
      </w:r>
      <w:r>
        <w:rPr>
          <w:rFonts w:hint="eastAsia" w:asciiTheme="minorEastAsia" w:hAnsiTheme="minorEastAsia" w:eastAsiaTheme="minorEastAsia" w:cstheme="minorEastAsia"/>
          <w:color w:val="auto"/>
          <w:kern w:val="0"/>
          <w:sz w:val="24"/>
          <w:szCs w:val="24"/>
          <w:highlight w:val="none"/>
          <w:lang w:val="en-US" w:eastAsia="zh-CN"/>
        </w:rPr>
        <w:t>不因工程结算的调增（调减）或工期的顺延（缩短）而增加（减少）费用。</w:t>
      </w:r>
    </w:p>
    <w:p w14:paraId="5365921A">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②进度款每月按</w:t>
      </w:r>
      <w:r>
        <w:rPr>
          <w:rFonts w:hint="eastAsia" w:asciiTheme="minorEastAsia" w:hAnsiTheme="minorEastAsia" w:eastAsiaTheme="minorEastAsia" w:cstheme="minorEastAsia"/>
          <w:color w:val="auto"/>
          <w:kern w:val="0"/>
          <w:sz w:val="24"/>
          <w:szCs w:val="24"/>
          <w:highlight w:val="none"/>
          <w:lang w:val="en-US" w:eastAsia="zh-CN"/>
        </w:rPr>
        <w:t>审核后的</w:t>
      </w:r>
      <w:r>
        <w:rPr>
          <w:rFonts w:hint="eastAsia" w:asciiTheme="minorEastAsia" w:hAnsiTheme="minorEastAsia" w:eastAsiaTheme="minorEastAsia" w:cstheme="minorEastAsia"/>
          <w:color w:val="auto"/>
          <w:kern w:val="0"/>
          <w:sz w:val="24"/>
          <w:szCs w:val="24"/>
          <w:highlight w:val="none"/>
        </w:rPr>
        <w:t>工程</w:t>
      </w:r>
      <w:r>
        <w:rPr>
          <w:rFonts w:hint="eastAsia" w:asciiTheme="minorEastAsia" w:hAnsiTheme="minorEastAsia" w:eastAsiaTheme="minorEastAsia" w:cstheme="minorEastAsia"/>
          <w:color w:val="auto"/>
          <w:kern w:val="0"/>
          <w:sz w:val="24"/>
          <w:szCs w:val="24"/>
          <w:highlight w:val="none"/>
          <w:lang w:val="en-US" w:eastAsia="zh-CN"/>
        </w:rPr>
        <w:t>产值</w:t>
      </w:r>
      <w:r>
        <w:rPr>
          <w:rFonts w:hint="eastAsia" w:asciiTheme="minorEastAsia" w:hAnsiTheme="minorEastAsia" w:eastAsiaTheme="minorEastAsia" w:cstheme="minorEastAsia"/>
          <w:color w:val="auto"/>
          <w:kern w:val="0"/>
          <w:sz w:val="24"/>
          <w:szCs w:val="24"/>
          <w:highlight w:val="none"/>
        </w:rPr>
        <w:t>/施工合同价</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不含暂列金及预估价</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×中标监理费×70%支付；</w:t>
      </w:r>
    </w:p>
    <w:p w14:paraId="5F0B4456">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③工程竣工验收合格</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工程竣工资料和监理资料整理和验收合格并移交给城建档案馆等相关部门后（含监理资料编制、扫描、整理）付至监理合同价款85%；</w:t>
      </w:r>
    </w:p>
    <w:p w14:paraId="23213C79">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④工程竣工结算资料终审完成并经确认签字盖章后付至监理合同价款的</w:t>
      </w:r>
      <w:r>
        <w:rPr>
          <w:rFonts w:hint="eastAsia" w:asciiTheme="minorEastAsia" w:hAnsiTheme="minorEastAsia" w:eastAsiaTheme="minorEastAsia" w:cstheme="minorEastAsia"/>
          <w:color w:val="auto"/>
          <w:kern w:val="0"/>
          <w:sz w:val="24"/>
          <w:szCs w:val="24"/>
          <w:highlight w:val="none"/>
          <w:lang w:val="en-US" w:eastAsia="zh-CN"/>
        </w:rPr>
        <w:t>100</w:t>
      </w:r>
      <w:r>
        <w:rPr>
          <w:rFonts w:hint="eastAsia" w:asciiTheme="minorEastAsia" w:hAnsiTheme="minorEastAsia" w:eastAsiaTheme="minorEastAsia" w:cstheme="minorEastAsia"/>
          <w:color w:val="auto"/>
          <w:kern w:val="0"/>
          <w:sz w:val="24"/>
          <w:szCs w:val="24"/>
          <w:highlight w:val="none"/>
        </w:rPr>
        <w:t>%。</w:t>
      </w:r>
    </w:p>
    <w:p w14:paraId="64230C5F">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r>
        <w:rPr>
          <w:rFonts w:hint="eastAsia" w:asciiTheme="minorEastAsia" w:hAnsiTheme="minorEastAsia" w:eastAsiaTheme="minorEastAsia" w:cstheme="minorEastAsia"/>
          <w:b/>
          <w:bCs/>
          <w:color w:val="auto"/>
          <w:sz w:val="24"/>
          <w:szCs w:val="24"/>
          <w:highlight w:val="none"/>
        </w:rPr>
        <w:t>. 合同生效、变更、暂停、解除与终止</w:t>
      </w:r>
    </w:p>
    <w:p w14:paraId="412A53A7">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 生效</w:t>
      </w:r>
    </w:p>
    <w:p w14:paraId="218D751F">
      <w:pPr>
        <w:keepNext w:val="0"/>
        <w:keepLines w:val="0"/>
        <w:pageBreakBefore w:val="0"/>
        <w:widowControl/>
        <w:kinsoku/>
        <w:wordWrap/>
        <w:overflowPunct/>
        <w:topLinePunct w:val="0"/>
        <w:autoSpaceDE/>
        <w:autoSpaceDN/>
        <w:bidi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本合同生效条件：</w:t>
      </w:r>
      <w:r>
        <w:rPr>
          <w:rFonts w:hint="eastAsia" w:asciiTheme="minorEastAsia" w:hAnsiTheme="minorEastAsia" w:eastAsiaTheme="minorEastAsia" w:cstheme="minorEastAsia"/>
          <w:color w:val="auto"/>
          <w:sz w:val="24"/>
          <w:szCs w:val="24"/>
          <w:highlight w:val="none"/>
          <w:u w:val="single"/>
        </w:rPr>
        <w:t>本合同自双方法定代表人或其授权委托代理人签字或盖章，并加盖公章后生</w:t>
      </w:r>
      <w:r>
        <w:rPr>
          <w:rFonts w:hint="eastAsia" w:asciiTheme="minorEastAsia" w:hAnsiTheme="minorEastAsia" w:eastAsiaTheme="minorEastAsia" w:cstheme="minorEastAsia"/>
          <w:color w:val="auto"/>
          <w:kern w:val="0"/>
          <w:sz w:val="24"/>
          <w:szCs w:val="24"/>
          <w:highlight w:val="none"/>
          <w:u w:val="single"/>
          <w:lang w:bidi="ar"/>
        </w:rPr>
        <w:t>效</w:t>
      </w:r>
      <w:r>
        <w:rPr>
          <w:rFonts w:hint="eastAsia" w:asciiTheme="minorEastAsia" w:hAnsiTheme="minorEastAsia" w:eastAsiaTheme="minorEastAsia" w:cstheme="minorEastAsia"/>
          <w:color w:val="auto"/>
          <w:sz w:val="24"/>
          <w:szCs w:val="24"/>
          <w:highlight w:val="none"/>
          <w:u w:val="single"/>
        </w:rPr>
        <w:t>。</w:t>
      </w:r>
    </w:p>
    <w:p w14:paraId="6599B74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 变更</w:t>
      </w:r>
    </w:p>
    <w:p w14:paraId="688968A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6.2.2 除不可抗力外， 因非监理人原因导致本合同期限延长时，附加工作酬金按下列方法确定：</w:t>
      </w:r>
      <w:r>
        <w:rPr>
          <w:rFonts w:hint="eastAsia" w:asciiTheme="minorEastAsia" w:hAnsiTheme="minorEastAsia" w:eastAsiaTheme="minorEastAsia" w:cstheme="minorEastAsia"/>
          <w:color w:val="auto"/>
          <w:sz w:val="24"/>
          <w:szCs w:val="24"/>
          <w:highlight w:val="none"/>
          <w:u w:val="single"/>
        </w:rPr>
        <w:t>无延期补偿</w:t>
      </w:r>
    </w:p>
    <w:p w14:paraId="77F5103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6.2.3附加工作酬金按下列方法确定：</w:t>
      </w:r>
      <w:r>
        <w:rPr>
          <w:rFonts w:hint="eastAsia" w:asciiTheme="minorEastAsia" w:hAnsiTheme="minorEastAsia" w:eastAsiaTheme="minorEastAsia" w:cstheme="minorEastAsia"/>
          <w:color w:val="auto"/>
          <w:sz w:val="24"/>
          <w:szCs w:val="24"/>
          <w:highlight w:val="none"/>
          <w:u w:val="single"/>
        </w:rPr>
        <w:t>不执行此条款</w:t>
      </w:r>
    </w:p>
    <w:p w14:paraId="573A7355">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附加工作</w:t>
      </w:r>
      <w:r>
        <w:rPr>
          <w:rFonts w:hint="eastAsia" w:asciiTheme="minorEastAsia" w:hAnsiTheme="minorEastAsia" w:eastAsiaTheme="minorEastAsia" w:cstheme="minorEastAsia"/>
          <w:color w:val="auto"/>
          <w:sz w:val="24"/>
          <w:szCs w:val="24"/>
          <w:highlight w:val="none"/>
        </w:rPr>
        <w:t>酬金</w:t>
      </w:r>
      <w:r>
        <w:rPr>
          <w:rFonts w:hint="eastAsia" w:asciiTheme="minorEastAsia" w:hAnsiTheme="minorEastAsia" w:eastAsiaTheme="minorEastAsia" w:cstheme="minorEastAsia"/>
          <w:color w:val="auto"/>
          <w:kern w:val="0"/>
          <w:sz w:val="24"/>
          <w:szCs w:val="24"/>
          <w:highlight w:val="none"/>
        </w:rPr>
        <w:t>=善后工作及恢复服务的准备工作时间（天）×正常工作酬金÷</w:t>
      </w:r>
      <w:r>
        <w:rPr>
          <w:rFonts w:hint="eastAsia" w:asciiTheme="minorEastAsia" w:hAnsiTheme="minorEastAsia" w:eastAsiaTheme="minorEastAsia" w:cstheme="minorEastAsia"/>
          <w:color w:val="auto"/>
          <w:sz w:val="24"/>
          <w:szCs w:val="24"/>
          <w:highlight w:val="none"/>
        </w:rPr>
        <w:t>协议书约定的监理与相关服务期限</w:t>
      </w:r>
      <w:r>
        <w:rPr>
          <w:rFonts w:hint="eastAsia" w:asciiTheme="minorEastAsia" w:hAnsiTheme="minorEastAsia" w:eastAsiaTheme="minorEastAsia" w:cstheme="minorEastAsia"/>
          <w:color w:val="auto"/>
          <w:kern w:val="0"/>
          <w:sz w:val="24"/>
          <w:szCs w:val="24"/>
          <w:highlight w:val="none"/>
        </w:rPr>
        <w:t>（天）</w:t>
      </w:r>
    </w:p>
    <w:p w14:paraId="76EBD4B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6.2.5 正常工作酬金增加额按下列方法确定：</w:t>
      </w:r>
      <w:r>
        <w:rPr>
          <w:rFonts w:hint="eastAsia" w:asciiTheme="minorEastAsia" w:hAnsiTheme="minorEastAsia" w:eastAsiaTheme="minorEastAsia" w:cstheme="minorEastAsia"/>
          <w:color w:val="auto"/>
          <w:sz w:val="24"/>
          <w:szCs w:val="24"/>
          <w:highlight w:val="none"/>
          <w:u w:val="single"/>
        </w:rPr>
        <w:t>不执行此条款</w:t>
      </w:r>
      <w:r>
        <w:rPr>
          <w:rFonts w:hint="eastAsia" w:asciiTheme="minorEastAsia" w:hAnsiTheme="minorEastAsia" w:eastAsiaTheme="minorEastAsia" w:cstheme="minorEastAsia"/>
          <w:color w:val="auto"/>
          <w:sz w:val="24"/>
          <w:szCs w:val="24"/>
          <w:highlight w:val="none"/>
        </w:rPr>
        <w:t xml:space="preserve"> </w:t>
      </w:r>
    </w:p>
    <w:p w14:paraId="7BB9BCFE">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正常工作酬金增加额</w:t>
      </w:r>
      <w:r>
        <w:rPr>
          <w:rFonts w:hint="eastAsia" w:asciiTheme="minorEastAsia" w:hAnsiTheme="minorEastAsia" w:eastAsiaTheme="minorEastAsia" w:cstheme="minorEastAsia"/>
          <w:color w:val="auto"/>
          <w:kern w:val="0"/>
          <w:sz w:val="24"/>
          <w:szCs w:val="24"/>
          <w:highlight w:val="none"/>
        </w:rPr>
        <w:t>=工程投资额</w:t>
      </w:r>
      <w:r>
        <w:rPr>
          <w:rFonts w:hint="eastAsia" w:asciiTheme="minorEastAsia" w:hAnsiTheme="minorEastAsia" w:eastAsiaTheme="minorEastAsia" w:cstheme="minorEastAsia"/>
          <w:color w:val="auto"/>
          <w:sz w:val="24"/>
          <w:szCs w:val="24"/>
          <w:highlight w:val="none"/>
        </w:rPr>
        <w:t>或建筑安装工程费</w:t>
      </w:r>
      <w:r>
        <w:rPr>
          <w:rFonts w:hint="eastAsia" w:asciiTheme="minorEastAsia" w:hAnsiTheme="minorEastAsia" w:eastAsiaTheme="minorEastAsia" w:cstheme="minorEastAsia"/>
          <w:color w:val="auto"/>
          <w:kern w:val="0"/>
          <w:sz w:val="24"/>
          <w:szCs w:val="24"/>
          <w:highlight w:val="none"/>
        </w:rPr>
        <w:t>增加额×正常工作酬金÷工程概算投资额（或建筑安装工程费）</w:t>
      </w:r>
    </w:p>
    <w:p w14:paraId="43A445FE">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6.2.6 因工程规模、监理范围的变化导致监理人的正常工作量减少时，按减少工作量的比例从协议书约定的正常工作酬金中扣减相同比例的酬金。</w:t>
      </w:r>
    </w:p>
    <w:p w14:paraId="6E3A7342">
      <w:pPr>
        <w:keepNext w:val="0"/>
        <w:keepLines w:val="0"/>
        <w:pageBreakBefore w:val="0"/>
        <w:kinsoku/>
        <w:wordWrap/>
        <w:overflowPunct/>
        <w:topLinePunct w:val="0"/>
        <w:autoSpaceDE/>
        <w:autoSpaceDN/>
        <w:bidi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7. 争议解决</w:t>
      </w:r>
    </w:p>
    <w:p w14:paraId="6591B16C">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7.2 </w:t>
      </w:r>
      <w:r>
        <w:rPr>
          <w:rFonts w:hint="eastAsia" w:asciiTheme="minorEastAsia" w:hAnsiTheme="minorEastAsia" w:eastAsiaTheme="minorEastAsia" w:cstheme="minorEastAsia"/>
          <w:bCs/>
          <w:color w:val="auto"/>
          <w:sz w:val="24"/>
          <w:szCs w:val="24"/>
          <w:highlight w:val="none"/>
        </w:rPr>
        <w:t>调解</w:t>
      </w:r>
    </w:p>
    <w:p w14:paraId="1D6F3800">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本合同争议进行调解时，可提交有</w:t>
      </w:r>
      <w:r>
        <w:rPr>
          <w:rFonts w:hint="eastAsia" w:asciiTheme="minorEastAsia" w:hAnsiTheme="minorEastAsia" w:eastAsiaTheme="minorEastAsia" w:cstheme="minorEastAsia"/>
          <w:color w:val="auto"/>
          <w:sz w:val="24"/>
          <w:szCs w:val="24"/>
          <w:highlight w:val="none"/>
          <w:u w:val="single"/>
        </w:rPr>
        <w:t>关行政部门</w:t>
      </w:r>
      <w:r>
        <w:rPr>
          <w:rFonts w:hint="eastAsia" w:asciiTheme="minorEastAsia" w:hAnsiTheme="minorEastAsia" w:eastAsiaTheme="minorEastAsia" w:cstheme="minorEastAsia"/>
          <w:color w:val="auto"/>
          <w:sz w:val="24"/>
          <w:szCs w:val="24"/>
          <w:highlight w:val="none"/>
        </w:rPr>
        <w:t>进行调解。</w:t>
      </w:r>
    </w:p>
    <w:p w14:paraId="6A44D46C">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7.3 </w:t>
      </w:r>
      <w:r>
        <w:rPr>
          <w:rFonts w:hint="eastAsia" w:asciiTheme="minorEastAsia" w:hAnsiTheme="minorEastAsia" w:eastAsiaTheme="minorEastAsia" w:cstheme="minorEastAsia"/>
          <w:bCs/>
          <w:color w:val="auto"/>
          <w:sz w:val="24"/>
          <w:szCs w:val="24"/>
          <w:highlight w:val="none"/>
        </w:rPr>
        <w:t>仲裁或诉讼</w:t>
      </w:r>
    </w:p>
    <w:p w14:paraId="689FF123">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合同争议的最终解决方式为下列第</w:t>
      </w:r>
      <w:r>
        <w:rPr>
          <w:rFonts w:hint="eastAsia" w:asciiTheme="minorEastAsia" w:hAnsiTheme="minorEastAsia" w:eastAsiaTheme="minorEastAsia" w:cstheme="minorEastAsia"/>
          <w:color w:val="auto"/>
          <w:sz w:val="24"/>
          <w:szCs w:val="24"/>
          <w:highlight w:val="none"/>
          <w:u w:val="single"/>
        </w:rPr>
        <w:t xml:space="preserve">    （2）    </w:t>
      </w:r>
      <w:r>
        <w:rPr>
          <w:rFonts w:hint="eastAsia" w:asciiTheme="minorEastAsia" w:hAnsiTheme="minorEastAsia" w:eastAsiaTheme="minorEastAsia" w:cstheme="minorEastAsia"/>
          <w:color w:val="auto"/>
          <w:sz w:val="24"/>
          <w:szCs w:val="24"/>
          <w:highlight w:val="none"/>
        </w:rPr>
        <w:t>种方式：</w:t>
      </w:r>
    </w:p>
    <w:p w14:paraId="498BD5E3">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仲裁委员会进行仲裁。</w:t>
      </w:r>
    </w:p>
    <w:p w14:paraId="3DDB31F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（2）向</w:t>
      </w:r>
      <w:r>
        <w:rPr>
          <w:rFonts w:hint="eastAsia" w:asciiTheme="minorEastAsia" w:hAnsiTheme="minorEastAsia" w:eastAsiaTheme="minorEastAsia" w:cstheme="minorEastAsia"/>
          <w:color w:val="auto"/>
          <w:sz w:val="24"/>
          <w:szCs w:val="24"/>
          <w:highlight w:val="none"/>
          <w:u w:val="single"/>
        </w:rPr>
        <w:t xml:space="preserve">   项目所在地     </w:t>
      </w:r>
      <w:r>
        <w:rPr>
          <w:rFonts w:hint="eastAsia" w:asciiTheme="minorEastAsia" w:hAnsiTheme="minorEastAsia" w:eastAsiaTheme="minorEastAsia" w:cstheme="minorEastAsia"/>
          <w:color w:val="auto"/>
          <w:sz w:val="24"/>
          <w:szCs w:val="24"/>
          <w:highlight w:val="none"/>
        </w:rPr>
        <w:t>人民法院提起诉讼。</w:t>
      </w:r>
    </w:p>
    <w:p w14:paraId="13236997">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 其他</w:t>
      </w:r>
    </w:p>
    <w:p w14:paraId="4EA3B4D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8.2 检测费用</w:t>
      </w:r>
    </w:p>
    <w:p w14:paraId="3442A80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委托人应在检测工作完成后</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天内支付检测费用。</w:t>
      </w:r>
    </w:p>
    <w:p w14:paraId="6053AA2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8.3 咨询费用</w:t>
      </w:r>
    </w:p>
    <w:p w14:paraId="570B7A7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委托人应在咨询工作完成后</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天内支付咨询费用。</w:t>
      </w:r>
    </w:p>
    <w:p w14:paraId="62C7EF7E">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 奖励</w:t>
      </w:r>
    </w:p>
    <w:p w14:paraId="7C7D3AE6">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合理化建议的奖励金额按下列方法确定为：</w:t>
      </w:r>
    </w:p>
    <w:p w14:paraId="12B11012">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奖励金额＝工程投资节省额×奖励金额的比率；</w:t>
      </w:r>
    </w:p>
    <w:p w14:paraId="78734B85">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奖励金额的比率为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40031A57">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8.6 保密</w:t>
      </w:r>
    </w:p>
    <w:p w14:paraId="3522067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委托人申明的保密事项和期限：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执行国家相关规定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55DBA6E">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监理人申明的保密事项和期限：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执行国家相关规定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3FB4CE5">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第三方申明的保密事项和期限：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执行国家相关规定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FFD5A52">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8.8</w:t>
      </w:r>
      <w:r>
        <w:rPr>
          <w:rFonts w:hint="eastAsia" w:asciiTheme="minorEastAsia" w:hAnsiTheme="minorEastAsia" w:eastAsiaTheme="minorEastAsia" w:cstheme="minorEastAsia"/>
          <w:bCs/>
          <w:color w:val="auto"/>
          <w:sz w:val="24"/>
          <w:szCs w:val="24"/>
          <w:highlight w:val="none"/>
        </w:rPr>
        <w:t>著作权</w:t>
      </w:r>
    </w:p>
    <w:p w14:paraId="0396E615">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监理人在本合同履行期间及本合同终止后两年内出版涉及本工程的有关监理与相关服务的资料的限制条件：</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5164B1F4">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 补充条款</w:t>
      </w:r>
    </w:p>
    <w:p w14:paraId="08E5E9D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自开工之日起，监理人员严格执行实名制考勤制度，确保项目总监每月到岗不少于</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天。未经发包人同意不得擅离职守，如无故缺勤，发包人有权处</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000元/人/天罚款。</w:t>
      </w:r>
    </w:p>
    <w:p w14:paraId="0D9E8C9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施工过程中监理单位应及时履行监理业务，按时效完成相关联系函、通知单及其他监理工作的审批、签字及盖章义务。不得以甲方未及时支付监理费用拒绝签字或盖章。如发现承包人存在以上情况的，发现一次罚款</w:t>
      </w:r>
      <w:r>
        <w:rPr>
          <w:rFonts w:hint="eastAsia" w:asciiTheme="minorEastAsia" w:hAnsiTheme="minorEastAsia" w:eastAsiaTheme="minorEastAsia" w:cstheme="minorEastAsia"/>
          <w:color w:val="auto"/>
          <w:sz w:val="24"/>
          <w:szCs w:val="24"/>
          <w:highlight w:val="none"/>
          <w:lang w:val="en-US" w:eastAsia="zh-CN"/>
        </w:rPr>
        <w:t>200</w:t>
      </w:r>
      <w:r>
        <w:rPr>
          <w:rFonts w:hint="eastAsia" w:asciiTheme="minorEastAsia" w:hAnsiTheme="minorEastAsia" w:eastAsiaTheme="minorEastAsia" w:cstheme="minorEastAsia"/>
          <w:color w:val="auto"/>
          <w:sz w:val="24"/>
          <w:szCs w:val="24"/>
          <w:highlight w:val="none"/>
        </w:rPr>
        <w:t>0元。发现两次以上的甲方有权解除合同并以监理费应付费款项的</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0%支付监理费用。</w:t>
      </w:r>
    </w:p>
    <w:p w14:paraId="7334521E">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 合同实施期间，如发现承包人弄虚作假、偷工减料，不按图纸及规范施工等违规行为，监理未及时</w:t>
      </w:r>
      <w:r>
        <w:rPr>
          <w:rFonts w:hint="eastAsia" w:asciiTheme="minorEastAsia" w:hAnsiTheme="minorEastAsia" w:eastAsiaTheme="minorEastAsia" w:cstheme="minorEastAsia"/>
          <w:color w:val="auto"/>
          <w:sz w:val="24"/>
          <w:szCs w:val="24"/>
          <w:highlight w:val="none"/>
          <w:lang w:val="en-US" w:eastAsia="zh-CN"/>
        </w:rPr>
        <w:t>下达整改通知单的和施工单位未整改的</w:t>
      </w:r>
      <w:r>
        <w:rPr>
          <w:rFonts w:hint="eastAsia" w:asciiTheme="minorEastAsia" w:hAnsiTheme="minorEastAsia" w:eastAsiaTheme="minorEastAsia" w:cstheme="minorEastAsia"/>
          <w:color w:val="auto"/>
          <w:sz w:val="24"/>
          <w:szCs w:val="24"/>
          <w:highlight w:val="none"/>
        </w:rPr>
        <w:t>。第一次发现</w:t>
      </w:r>
      <w:r>
        <w:rPr>
          <w:rFonts w:hint="eastAsia" w:asciiTheme="minorEastAsia" w:hAnsiTheme="minorEastAsia" w:eastAsiaTheme="minorEastAsia" w:cstheme="minorEastAsia"/>
          <w:color w:val="auto"/>
          <w:sz w:val="24"/>
          <w:szCs w:val="24"/>
          <w:highlight w:val="none"/>
          <w:lang w:val="en-US" w:eastAsia="zh-CN"/>
        </w:rPr>
        <w:t>委托人有权处罚监理人1000元，</w:t>
      </w:r>
      <w:r>
        <w:rPr>
          <w:rFonts w:hint="eastAsia" w:asciiTheme="minorEastAsia" w:hAnsiTheme="minorEastAsia" w:eastAsiaTheme="minorEastAsia" w:cstheme="minorEastAsia"/>
          <w:color w:val="auto"/>
          <w:sz w:val="24"/>
          <w:szCs w:val="24"/>
          <w:highlight w:val="none"/>
        </w:rPr>
        <w:t>第二次发现</w:t>
      </w:r>
      <w:r>
        <w:rPr>
          <w:rFonts w:hint="eastAsia" w:asciiTheme="minorEastAsia" w:hAnsiTheme="minorEastAsia" w:eastAsiaTheme="minorEastAsia" w:cstheme="minorEastAsia"/>
          <w:color w:val="auto"/>
          <w:sz w:val="24"/>
          <w:szCs w:val="24"/>
          <w:highlight w:val="none"/>
          <w:lang w:val="en-US" w:eastAsia="zh-CN"/>
        </w:rPr>
        <w:t>委托人有权处罚监理人2000元</w:t>
      </w:r>
      <w:r>
        <w:rPr>
          <w:rFonts w:hint="eastAsia" w:asciiTheme="minorEastAsia" w:hAnsiTheme="minorEastAsia" w:eastAsiaTheme="minorEastAsia" w:cstheme="minorEastAsia"/>
          <w:color w:val="auto"/>
          <w:sz w:val="24"/>
          <w:szCs w:val="24"/>
          <w:highlight w:val="none"/>
        </w:rPr>
        <w:t>；第三次发现委托人</w:t>
      </w:r>
      <w:r>
        <w:rPr>
          <w:rFonts w:hint="eastAsia" w:asciiTheme="minorEastAsia" w:hAnsiTheme="minorEastAsia" w:eastAsiaTheme="minorEastAsia" w:cstheme="minorEastAsia"/>
          <w:color w:val="auto"/>
          <w:sz w:val="24"/>
          <w:szCs w:val="24"/>
          <w:highlight w:val="none"/>
          <w:lang w:val="en-US" w:eastAsia="zh-CN"/>
        </w:rPr>
        <w:t>有权处罚监理合同价款的20%</w:t>
      </w:r>
      <w:r>
        <w:rPr>
          <w:rFonts w:hint="eastAsia" w:asciiTheme="minorEastAsia" w:hAnsiTheme="minorEastAsia" w:eastAsiaTheme="minorEastAsia" w:cstheme="minorEastAsia"/>
          <w:color w:val="auto"/>
          <w:sz w:val="24"/>
          <w:szCs w:val="24"/>
          <w:highlight w:val="none"/>
        </w:rPr>
        <w:t>，并有权单方面终止合同，按已完工程监理费的 50%与监理人结算，通报行业主管部门。</w:t>
      </w:r>
    </w:p>
    <w:p w14:paraId="52185BC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 施工过程中，监理人根据现场情况，结合招投标文件，据实签署签证，否则将扣除监理人履约保证金，所导致的一切后果，由监理人承担。</w:t>
      </w:r>
    </w:p>
    <w:p w14:paraId="4E6D0A5E">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将农民工工资专用账户支付情况纳入监理日志内容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做好施工单位每月农民工工资发放监管，如监理项目施工单位农民工上访，每被上级主管部门通知一次，委托人有权处罚监理人2000元/次。</w:t>
      </w:r>
    </w:p>
    <w:p w14:paraId="74BE859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监理人按</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eastAsiaTheme="minorEastAsia" w:cstheme="minorEastAsia"/>
          <w:color w:val="auto"/>
          <w:sz w:val="24"/>
          <w:szCs w:val="24"/>
          <w:highlight w:val="none"/>
        </w:rPr>
        <w:t>向委托人</w:t>
      </w:r>
      <w:r>
        <w:rPr>
          <w:rFonts w:hint="eastAsia" w:asciiTheme="minorEastAsia" w:hAnsiTheme="minorEastAsia" w:eastAsiaTheme="minorEastAsia" w:cstheme="minorEastAsia"/>
          <w:color w:val="auto"/>
          <w:sz w:val="24"/>
          <w:szCs w:val="24"/>
          <w:highlight w:val="none"/>
          <w:lang w:val="en-US" w:eastAsia="zh-CN"/>
        </w:rPr>
        <w:t>报告</w:t>
      </w:r>
      <w:r>
        <w:rPr>
          <w:rFonts w:hint="eastAsia" w:asciiTheme="minorEastAsia" w:hAnsiTheme="minorEastAsia" w:eastAsiaTheme="minorEastAsia" w:cstheme="minorEastAsia"/>
          <w:color w:val="auto"/>
          <w:sz w:val="24"/>
          <w:szCs w:val="24"/>
          <w:highlight w:val="none"/>
        </w:rPr>
        <w:t>工程进度、质量、投资、安全、文明施工和工程变更、工程资料的监控情况，及时处理现场问题，重大问题及时向委托人汇报并提出书面处理意见或建议。</w:t>
      </w:r>
    </w:p>
    <w:p w14:paraId="2B8773B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施工现场的变更签证（包括工期、造价变更、经济签证）等应得到委托人书面同意后方可生效。监理人现场签证需项目总监理工程师签署，并加盖</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p>
    <w:p w14:paraId="3534166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 监理人与承包人串通，弄虚作假，降低工程质量，在不合格的工程验收单、建筑材料、建筑构件、配件和设备单按合格签验的，委托人可随时要求监理人更换监理工程师或总监，监理人需承担更换监理人员的违约金，并按照《建设工程质量管理条例》规定追究监理人责任，同时委托人有权解除合同，因此造成的损失由监理人承担。</w:t>
      </w:r>
    </w:p>
    <w:p w14:paraId="35F766F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 监理人每月应组织月度工程进度进行验收，按实际工程进度做好月度工程量的审核工作，并将当月工程相关资料一并归档。工程竣工后应向委托人提交 5 套完整、规范的监理资料，如监理人不提供监理资料或资料不齐全、不规范，并在规定的时间内仍未整改完善按时提交的，</w:t>
      </w:r>
      <w:r>
        <w:rPr>
          <w:rFonts w:hint="eastAsia" w:asciiTheme="minorEastAsia" w:hAnsiTheme="minorEastAsia" w:eastAsiaTheme="minorEastAsia" w:cstheme="minorEastAsia"/>
          <w:color w:val="auto"/>
          <w:sz w:val="24"/>
          <w:szCs w:val="24"/>
          <w:highlight w:val="none"/>
          <w:lang w:val="en-US" w:eastAsia="zh-CN"/>
        </w:rPr>
        <w:t>委托人有权扣除履约保证金。</w:t>
      </w:r>
    </w:p>
    <w:p w14:paraId="46C8191E">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 监理人必须严格控制工程进度。按月度、节点、总工期，因承包人原因完不成工程进度，监理人提出整改措施并应督促承包人整改。</w:t>
      </w:r>
    </w:p>
    <w:p w14:paraId="50E65F0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监理人在进行竣工预验收时，对影响结构安全和使用功能的部位进行重点检验，形成预验文件。对检查出来的质量问题要督促承包人限期整改到位。</w:t>
      </w:r>
    </w:p>
    <w:p w14:paraId="33D8725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监理人要加强对质量通病的控制，关键施工节点、重点部位，监理人要全程旁站，逐个检查，做好检查台帐，并标记检查人和时间。</w:t>
      </w:r>
    </w:p>
    <w:p w14:paraId="0FCDB73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委托人对施工过程中给承包人的任何指令、变更、签证等，须同时告知监理人，并由监理人下达书面文件，委托人签字确认。</w:t>
      </w:r>
    </w:p>
    <w:p w14:paraId="345E8F7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委托人及其上级主管部门关于工程建设质量、工期、安全文明施工等管理办法及规定是本合同的附件，与本合同有同等效力。</w:t>
      </w:r>
    </w:p>
    <w:p w14:paraId="7EBB5D3D">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在委托人及上级主管部门的检查中，如监理人原因本项目被通报处理的，监理人将向委托人承担5000元/次的违约金。</w:t>
      </w:r>
    </w:p>
    <w:p w14:paraId="2E71D99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工程档案资料归档要求执行铜陵市档案局（铜档【2017】52 号）等有关单位的规定，产生的费用包含在监理费中。</w:t>
      </w:r>
    </w:p>
    <w:p w14:paraId="2F1958C2">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监理部人员每天必须在岗，节假日（春节除外）必须有专人在岗。</w:t>
      </w:r>
    </w:p>
    <w:p w14:paraId="2866A84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 xml:space="preserve"> 施工期间如有夜间施工，监理部必须有专人在岗，监理费用不再增加计取。</w:t>
      </w:r>
    </w:p>
    <w:p w14:paraId="07FE8627">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 xml:space="preserve"> 监理单位在申请支付监理费时必须提供监理员和总监理工程师到岗履职考勤表，否则，招标人有权拒付监理费。</w:t>
      </w:r>
    </w:p>
    <w:p w14:paraId="69D7555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 监理人按投标书承诺的人员组建监理部，监理部人员必须按照本合同文件约定的时间在岗履职；没有经过委托人的书面同意，工程竣工验收前，不更换监理部人员，否则接受委托人处罚。</w:t>
      </w:r>
    </w:p>
    <w:p w14:paraId="1FC0CC7D">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监理人须经过委托人授权才能实施的权限：图纸变更权、与经济有关的确认权、开工令、停工令、施工单位项目组成人员变更权限。监理单位在审核施工单位提供的</w:t>
      </w:r>
      <w:r>
        <w:rPr>
          <w:rFonts w:hint="eastAsia" w:asciiTheme="minorEastAsia" w:hAnsiTheme="minorEastAsia" w:eastAsiaTheme="minorEastAsia" w:cstheme="minorEastAsia"/>
          <w:color w:val="auto"/>
          <w:sz w:val="24"/>
          <w:szCs w:val="24"/>
          <w:highlight w:val="none"/>
          <w:lang w:val="en-US" w:eastAsia="zh-CN"/>
        </w:rPr>
        <w:t>工程联系单和</w:t>
      </w:r>
      <w:r>
        <w:rPr>
          <w:rFonts w:hint="eastAsia" w:asciiTheme="minorEastAsia" w:hAnsiTheme="minorEastAsia" w:eastAsiaTheme="minorEastAsia" w:cstheme="minorEastAsia"/>
          <w:color w:val="auto"/>
          <w:sz w:val="24"/>
          <w:szCs w:val="24"/>
          <w:highlight w:val="none"/>
        </w:rPr>
        <w:t>签证前，必须</w:t>
      </w:r>
      <w:r>
        <w:rPr>
          <w:rFonts w:hint="eastAsia" w:asciiTheme="minorEastAsia" w:hAnsiTheme="minorEastAsia" w:eastAsiaTheme="minorEastAsia" w:cstheme="minorEastAsia"/>
          <w:color w:val="auto"/>
          <w:sz w:val="24"/>
          <w:szCs w:val="24"/>
          <w:highlight w:val="none"/>
          <w:lang w:val="en-US" w:eastAsia="zh-CN"/>
        </w:rPr>
        <w:t>征得</w:t>
      </w:r>
      <w:r>
        <w:rPr>
          <w:rFonts w:hint="eastAsia" w:asciiTheme="minorEastAsia" w:hAnsiTheme="minorEastAsia" w:eastAsiaTheme="minorEastAsia" w:cstheme="minorEastAsia"/>
          <w:color w:val="auto"/>
          <w:sz w:val="24"/>
          <w:szCs w:val="24"/>
          <w:highlight w:val="none"/>
        </w:rPr>
        <w:t>建设单位</w:t>
      </w:r>
      <w:r>
        <w:rPr>
          <w:rFonts w:hint="eastAsia" w:asciiTheme="minorEastAsia" w:hAnsiTheme="minorEastAsia" w:eastAsiaTheme="minorEastAsia" w:cstheme="minorEastAsia"/>
          <w:color w:val="auto"/>
          <w:sz w:val="24"/>
          <w:szCs w:val="24"/>
          <w:highlight w:val="none"/>
          <w:lang w:val="en-US" w:eastAsia="zh-CN"/>
        </w:rPr>
        <w:t>同意</w:t>
      </w:r>
      <w:r>
        <w:rPr>
          <w:rFonts w:hint="eastAsia" w:asciiTheme="minorEastAsia" w:hAnsiTheme="minorEastAsia" w:eastAsiaTheme="minorEastAsia" w:cstheme="minorEastAsia"/>
          <w:color w:val="auto"/>
          <w:sz w:val="24"/>
          <w:szCs w:val="24"/>
          <w:highlight w:val="none"/>
        </w:rPr>
        <w:t>，否则，</w:t>
      </w:r>
      <w:r>
        <w:rPr>
          <w:rFonts w:hint="eastAsia" w:asciiTheme="minorEastAsia" w:hAnsiTheme="minorEastAsia" w:eastAsiaTheme="minorEastAsia" w:cstheme="minorEastAsia"/>
          <w:color w:val="auto"/>
          <w:sz w:val="24"/>
          <w:szCs w:val="24"/>
          <w:highlight w:val="none"/>
          <w:lang w:val="en-US" w:eastAsia="zh-CN"/>
        </w:rPr>
        <w:t>该签证无效</w:t>
      </w:r>
      <w:r>
        <w:rPr>
          <w:rFonts w:hint="eastAsia" w:asciiTheme="minorEastAsia" w:hAnsiTheme="minorEastAsia" w:eastAsiaTheme="minorEastAsia" w:cstheme="minorEastAsia"/>
          <w:color w:val="auto"/>
          <w:sz w:val="24"/>
          <w:szCs w:val="24"/>
          <w:highlight w:val="none"/>
        </w:rPr>
        <w:t>。</w:t>
      </w:r>
    </w:p>
    <w:p w14:paraId="05ED3EF3">
      <w:pPr>
        <w:pStyle w:val="37"/>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9.22.中标单位在投标文件所承诺的相关服务与实际现场情况不符的，达不到招标人招标要求的，每出现一次（项）承担2000元/次的违约金。</w:t>
      </w:r>
    </w:p>
    <w:p w14:paraId="359D92E3">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9.23中标单位派驻现场的监理人员未及时发现施工现场质量、安全问题，而经招标人或行政主管部门发现上述问题的，承担1000元/次的违约金。累计达到三次的，招标人可无条件解除监理合同，全额扣除中标单位所缴纳的履约保证金，拒付未支付的监理费用，给招标人造成损失的承担相应赔偿责任。</w:t>
      </w:r>
    </w:p>
    <w:p w14:paraId="6F68D1E2">
      <w:pPr>
        <w:pStyle w:val="37"/>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9.24.按照规范要求的旁站部位，招标人或质监站到场15分钟内没有见到监理人员，视同监理没有旁站，除承担该部位质量问题的监理责任外，承担500元/次的违约金，现场监理人员应该向招标人履行请销假制度，否则承担500元/次的违约金。</w:t>
      </w:r>
    </w:p>
    <w:p w14:paraId="39BC0D68">
      <w:pPr>
        <w:pStyle w:val="37"/>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9.25.招标人如发现监理单位与承包人串通损害招标人利益的，一经发现招标人将有权解除合同，将中标单位清退出场，全额扣除中标单位所缴纳的履约保证金，拒付未支付的监理费用。</w:t>
      </w:r>
    </w:p>
    <w:p w14:paraId="26117341">
      <w:pPr>
        <w:pStyle w:val="37"/>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9.26.中标人需具有良好的职业道德与操守，忠实履行监理义务，一旦招标人发现有渎职、违规行为，中标人须无条件撤换相关人员，承担5000元/次的违约金，情节恶劣的，招标人有权解除合同，全额扣除履约保证金。</w:t>
      </w:r>
    </w:p>
    <w:p w14:paraId="7712A234">
      <w:pPr>
        <w:pStyle w:val="37"/>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9.27.由于监理人员失职，造成工程管理失控出现质量和安全问题的，监理公司要承担连带责任。</w:t>
      </w:r>
    </w:p>
    <w:p w14:paraId="5BC60447">
      <w:pPr>
        <w:pStyle w:val="37"/>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9.28.同一类安全隐患（如临时用电、基坑支护、安全防护、高处作业、脚手架作业、吊装作业、有限空间作业、动火作业、实名制及安全培训技术交底、特种作业持证等10类安全隐患) 发生第1次按照合同约定承担违约责任；发生第2次加倍承担违约责任，以此类推累加承担违约责任；三次以上的按相关方合同约定条款“不服从管理”承担违约责任。</w:t>
      </w:r>
    </w:p>
    <w:p w14:paraId="100CDE7E">
      <w:pPr>
        <w:keepNext w:val="0"/>
        <w:keepLines w:val="0"/>
        <w:pageBreakBefore w:val="0"/>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 招标公告及其附件、投标文件视同合同的组成部分，招标公告及其附件相较于投标文件，具体优先解释权。</w:t>
      </w:r>
    </w:p>
    <w:p w14:paraId="5A74D443">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 xml:space="preserve"> 补充监理服务内容和要求:</w:t>
      </w:r>
    </w:p>
    <w:p w14:paraId="57C5BA0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 协助委托人办理外围工作；协助委托人审核施工图的设计和概(预)算,参与主持组织图纸会审,做好记录,写出会审纪要。</w:t>
      </w:r>
    </w:p>
    <w:p w14:paraId="501548B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.2 参与委托人与施工单位签定施工合同,审核施工进度计划，并在实施过程中检查、督促施工单位严格按合同和施工规范、工程技术标准、设计要求进行施工，监督施工单位现场施工管理。</w:t>
      </w:r>
    </w:p>
    <w:p w14:paraId="0808FAB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.3 协助委托人做好开工前准备，审批开工报告，复核测量数据，经招标人同意下达开工令。</w:t>
      </w:r>
    </w:p>
    <w:p w14:paraId="68CD2F4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.4 审批施工组织设计，审查和检查施工技术措施、质量保证体系及安全防护措施，提出合理的整改意见和建议。</w:t>
      </w:r>
    </w:p>
    <w:p w14:paraId="55D86465">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.5 审查施工单位采购清单，检查工程使用材料、构件、设备的规格、质量与数量。督促施工单位编制材料的供需计划，协助委托人安排甲供材料的供应计划。</w:t>
      </w:r>
    </w:p>
    <w:p w14:paraId="492E786E">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.6 主持施工图技术交底，参与施工现场验收及设计变更的签证，及时审核施工变更工程量。</w:t>
      </w:r>
    </w:p>
    <w:p w14:paraId="6BF98BF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.7 主持召开工程协调会议及综合管线协调会议，主持召开工程协调会议并做好会议纪要，调解有关工程建设各种合同争议，处理索赔事项。</w:t>
      </w:r>
    </w:p>
    <w:p w14:paraId="089ACF5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.8 检查安全防护措施和文明施工,检查督促工程进度、施工质量。</w:t>
      </w:r>
    </w:p>
    <w:p w14:paraId="627E48B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.9 督促并审查施工单位及时整理技术资料及竣工验收资料。</w:t>
      </w:r>
    </w:p>
    <w:p w14:paraId="0E2C452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.10 协助委托人对工程投资进行控制，对施工单位提出的付款申请进行审核。</w:t>
      </w:r>
    </w:p>
    <w:p w14:paraId="00134D8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.11 参与审核工程结算，协助委托人审核工程造价，努力降低工程费用。</w:t>
      </w:r>
    </w:p>
    <w:p w14:paraId="71F1CF8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.12 及时提供完整的监理资料（含监理日志原件一份），定期编制监理简报。</w:t>
      </w:r>
    </w:p>
    <w:p w14:paraId="38F1CF5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.13 履行其他法律、法规规定的监理职责义务，提供其他可免费提供的监理服务。</w:t>
      </w:r>
    </w:p>
    <w:p w14:paraId="02CD4C9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.14 协助委托人组织进行交工验收及竣工验收。</w:t>
      </w:r>
    </w:p>
    <w:p w14:paraId="3B9DF9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.15 每周组织参建各方召开工程例会，对工程质量、安全、成本、进度各方面情况进行通报，形成文字材料。</w:t>
      </w:r>
    </w:p>
    <w:p w14:paraId="6DBCF0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9.30.16 监理单位应验收和复核施工单位采购的设备是否与清单及技术规范书参数内容一致，对施工单位未按要求配置的责令其整改。若未屡行核对工作，经建设单位发现后处监理单位以2000元/次的违约金。</w:t>
      </w:r>
    </w:p>
    <w:p w14:paraId="1C8018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完成监理规范要求的其他工作内容。</w:t>
      </w:r>
    </w:p>
    <w:p w14:paraId="209CBC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9.31履约保证金在项目竣工验收通过后的28天内退还。</w:t>
      </w:r>
    </w:p>
    <w:p w14:paraId="13CDC80A">
      <w:pPr>
        <w:pageBreakBefore/>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附录A  相关服务的范围和内容</w:t>
      </w:r>
    </w:p>
    <w:p w14:paraId="58B95014">
      <w:pPr>
        <w:snapToGrid w:val="0"/>
        <w:spacing w:before="156" w:beforeLines="50" w:after="156" w:afterLines="50" w:line="360" w:lineRule="auto"/>
        <w:ind w:firstLine="960" w:firstLineChars="400"/>
        <w:rPr>
          <w:rFonts w:ascii="宋体" w:hAnsi="宋体" w:cs="宋体"/>
          <w:color w:val="auto"/>
          <w:sz w:val="24"/>
          <w:szCs w:val="24"/>
          <w:highlight w:val="none"/>
        </w:rPr>
      </w:pPr>
      <w:r>
        <w:rPr>
          <w:rFonts w:hint="eastAsia" w:ascii="宋体" w:hAnsi="宋体" w:cs="宋体"/>
          <w:color w:val="auto"/>
          <w:kern w:val="0"/>
          <w:sz w:val="24"/>
          <w:szCs w:val="24"/>
          <w:highlight w:val="none"/>
        </w:rPr>
        <w:t>A-1 勘察阶段：</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07E99570">
      <w:pPr>
        <w:snapToGrid w:val="0"/>
        <w:spacing w:before="156" w:beforeLines="50" w:after="156" w:afterLines="50" w:line="360" w:lineRule="auto"/>
        <w:ind w:firstLine="960" w:firstLineChars="400"/>
        <w:rPr>
          <w:rFonts w:ascii="宋体" w:hAnsi="宋体" w:cs="宋体"/>
          <w:color w:val="auto"/>
          <w:sz w:val="24"/>
          <w:szCs w:val="24"/>
          <w:highlight w:val="none"/>
        </w:rPr>
      </w:pPr>
      <w:r>
        <w:rPr>
          <w:rFonts w:hint="eastAsia" w:ascii="宋体" w:hAnsi="宋体" w:cs="宋体"/>
          <w:color w:val="auto"/>
          <w:kern w:val="0"/>
          <w:sz w:val="24"/>
          <w:szCs w:val="24"/>
          <w:highlight w:val="none"/>
        </w:rPr>
        <w:t>A-2 设计阶段：</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F0EDE28">
      <w:pPr>
        <w:snapToGrid w:val="0"/>
        <w:spacing w:before="156" w:beforeLines="50" w:after="156" w:afterLines="50" w:line="360" w:lineRule="auto"/>
        <w:ind w:firstLine="960" w:firstLineChars="400"/>
        <w:rPr>
          <w:rFonts w:ascii="宋体" w:hAnsi="宋体" w:cs="宋体"/>
          <w:color w:val="auto"/>
          <w:kern w:val="0"/>
          <w:sz w:val="24"/>
          <w:szCs w:val="24"/>
          <w:highlight w:val="none"/>
        </w:rPr>
      </w:pPr>
      <w:r>
        <w:rPr>
          <w:rFonts w:hint="eastAsia" w:ascii="宋体" w:hAnsi="宋体" w:cs="宋体"/>
          <w:color w:val="auto"/>
          <w:kern w:val="0"/>
          <w:sz w:val="24"/>
          <w:szCs w:val="24"/>
          <w:highlight w:val="none"/>
        </w:rPr>
        <w:t>A-3 保修阶段：</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2477C217">
      <w:pPr>
        <w:snapToGrid w:val="0"/>
        <w:spacing w:before="156" w:beforeLines="50" w:after="156" w:afterLines="50" w:line="360" w:lineRule="auto"/>
        <w:ind w:firstLine="960" w:firstLineChars="40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A-4 </w:t>
      </w:r>
      <w:r>
        <w:rPr>
          <w:rFonts w:hint="eastAsia" w:ascii="宋体" w:hAnsi="宋体" w:cs="宋体"/>
          <w:color w:val="auto"/>
          <w:sz w:val="24"/>
          <w:szCs w:val="24"/>
          <w:highlight w:val="none"/>
        </w:rPr>
        <w:t>其他（专业技术咨询、外部协调工作等）：</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7C2BFC6">
      <w:pPr>
        <w:snapToGrid w:val="0"/>
        <w:spacing w:before="156" w:beforeLines="50" w:after="156" w:afterLines="50"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附录B  委托人派遣的人员和提供的房屋、资料、设备</w:t>
      </w:r>
    </w:p>
    <w:p w14:paraId="646A830D">
      <w:pPr>
        <w:spacing w:before="156" w:beforeLines="50"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B-1  委托人派遣的人员</w:t>
      </w:r>
    </w:p>
    <w:tbl>
      <w:tblPr>
        <w:tblStyle w:val="2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6CD6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128DC76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770" w:type="dxa"/>
          </w:tcPr>
          <w:p w14:paraId="71516D2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2130" w:type="dxa"/>
          </w:tcPr>
          <w:p w14:paraId="60848A4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工作要求</w:t>
            </w:r>
          </w:p>
        </w:tc>
        <w:tc>
          <w:tcPr>
            <w:tcW w:w="1860" w:type="dxa"/>
          </w:tcPr>
          <w:p w14:paraId="2777B96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提供时间</w:t>
            </w:r>
          </w:p>
        </w:tc>
      </w:tr>
      <w:tr w14:paraId="5E66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7E970C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1. 工程技术人员 </w:t>
            </w:r>
          </w:p>
        </w:tc>
        <w:tc>
          <w:tcPr>
            <w:tcW w:w="1770" w:type="dxa"/>
          </w:tcPr>
          <w:p w14:paraId="3D7CD70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130" w:type="dxa"/>
          </w:tcPr>
          <w:p w14:paraId="77B0AAAA">
            <w:pPr>
              <w:spacing w:line="360" w:lineRule="auto"/>
              <w:rPr>
                <w:rFonts w:ascii="宋体" w:hAnsi="宋体" w:cs="宋体"/>
                <w:color w:val="auto"/>
                <w:sz w:val="24"/>
                <w:szCs w:val="24"/>
                <w:highlight w:val="none"/>
              </w:rPr>
            </w:pPr>
          </w:p>
        </w:tc>
        <w:tc>
          <w:tcPr>
            <w:tcW w:w="1860" w:type="dxa"/>
          </w:tcPr>
          <w:p w14:paraId="4775511D">
            <w:pPr>
              <w:spacing w:line="360" w:lineRule="auto"/>
              <w:rPr>
                <w:rFonts w:ascii="宋体" w:hAnsi="宋体" w:cs="宋体"/>
                <w:color w:val="auto"/>
                <w:sz w:val="24"/>
                <w:szCs w:val="24"/>
                <w:highlight w:val="none"/>
              </w:rPr>
            </w:pPr>
          </w:p>
        </w:tc>
      </w:tr>
      <w:tr w14:paraId="2B85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5F6E7B3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辅助工作人员</w:t>
            </w:r>
          </w:p>
        </w:tc>
        <w:tc>
          <w:tcPr>
            <w:tcW w:w="1770" w:type="dxa"/>
          </w:tcPr>
          <w:p w14:paraId="2886544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130" w:type="dxa"/>
          </w:tcPr>
          <w:p w14:paraId="02A9D383">
            <w:pPr>
              <w:spacing w:line="360" w:lineRule="auto"/>
              <w:rPr>
                <w:rFonts w:ascii="宋体" w:hAnsi="宋体" w:cs="宋体"/>
                <w:color w:val="auto"/>
                <w:sz w:val="24"/>
                <w:szCs w:val="24"/>
                <w:highlight w:val="none"/>
              </w:rPr>
            </w:pPr>
          </w:p>
        </w:tc>
        <w:tc>
          <w:tcPr>
            <w:tcW w:w="1860" w:type="dxa"/>
          </w:tcPr>
          <w:p w14:paraId="3F3C42A7">
            <w:pPr>
              <w:spacing w:line="360" w:lineRule="auto"/>
              <w:rPr>
                <w:rFonts w:ascii="宋体" w:hAnsi="宋体" w:cs="宋体"/>
                <w:color w:val="auto"/>
                <w:sz w:val="24"/>
                <w:szCs w:val="24"/>
                <w:highlight w:val="none"/>
              </w:rPr>
            </w:pPr>
          </w:p>
        </w:tc>
      </w:tr>
      <w:tr w14:paraId="4E4B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14C8D64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其他人员</w:t>
            </w:r>
          </w:p>
        </w:tc>
        <w:tc>
          <w:tcPr>
            <w:tcW w:w="1770" w:type="dxa"/>
          </w:tcPr>
          <w:p w14:paraId="30ACD9A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130" w:type="dxa"/>
          </w:tcPr>
          <w:p w14:paraId="674A43B7">
            <w:pPr>
              <w:spacing w:line="360" w:lineRule="auto"/>
              <w:rPr>
                <w:rFonts w:ascii="宋体" w:hAnsi="宋体" w:cs="宋体"/>
                <w:color w:val="auto"/>
                <w:sz w:val="24"/>
                <w:szCs w:val="24"/>
                <w:highlight w:val="none"/>
              </w:rPr>
            </w:pPr>
          </w:p>
        </w:tc>
        <w:tc>
          <w:tcPr>
            <w:tcW w:w="1860" w:type="dxa"/>
          </w:tcPr>
          <w:p w14:paraId="5B1B762E">
            <w:pPr>
              <w:spacing w:line="360" w:lineRule="auto"/>
              <w:rPr>
                <w:rFonts w:ascii="宋体" w:hAnsi="宋体" w:cs="宋体"/>
                <w:color w:val="auto"/>
                <w:sz w:val="24"/>
                <w:szCs w:val="24"/>
                <w:highlight w:val="none"/>
              </w:rPr>
            </w:pPr>
          </w:p>
        </w:tc>
      </w:tr>
      <w:tr w14:paraId="4BDB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A6BB66C">
            <w:pPr>
              <w:spacing w:line="360" w:lineRule="auto"/>
              <w:rPr>
                <w:rFonts w:ascii="宋体" w:hAnsi="宋体" w:cs="宋体"/>
                <w:color w:val="auto"/>
                <w:sz w:val="24"/>
                <w:szCs w:val="24"/>
                <w:highlight w:val="none"/>
              </w:rPr>
            </w:pPr>
          </w:p>
        </w:tc>
        <w:tc>
          <w:tcPr>
            <w:tcW w:w="1770" w:type="dxa"/>
          </w:tcPr>
          <w:p w14:paraId="2347D34C">
            <w:pPr>
              <w:spacing w:line="360" w:lineRule="auto"/>
              <w:rPr>
                <w:rFonts w:ascii="宋体" w:hAnsi="宋体" w:cs="宋体"/>
                <w:color w:val="auto"/>
                <w:sz w:val="24"/>
                <w:szCs w:val="24"/>
                <w:highlight w:val="none"/>
              </w:rPr>
            </w:pPr>
          </w:p>
        </w:tc>
        <w:tc>
          <w:tcPr>
            <w:tcW w:w="2130" w:type="dxa"/>
          </w:tcPr>
          <w:p w14:paraId="58F784B0">
            <w:pPr>
              <w:spacing w:line="360" w:lineRule="auto"/>
              <w:rPr>
                <w:rFonts w:ascii="宋体" w:hAnsi="宋体" w:cs="宋体"/>
                <w:color w:val="auto"/>
                <w:sz w:val="24"/>
                <w:szCs w:val="24"/>
                <w:highlight w:val="none"/>
              </w:rPr>
            </w:pPr>
          </w:p>
        </w:tc>
        <w:tc>
          <w:tcPr>
            <w:tcW w:w="1860" w:type="dxa"/>
          </w:tcPr>
          <w:p w14:paraId="4E1A39E3">
            <w:pPr>
              <w:spacing w:line="360" w:lineRule="auto"/>
              <w:rPr>
                <w:rFonts w:ascii="宋体" w:hAnsi="宋体" w:cs="宋体"/>
                <w:color w:val="auto"/>
                <w:sz w:val="24"/>
                <w:szCs w:val="24"/>
                <w:highlight w:val="none"/>
              </w:rPr>
            </w:pPr>
          </w:p>
        </w:tc>
      </w:tr>
    </w:tbl>
    <w:p w14:paraId="7DC37C16">
      <w:pPr>
        <w:spacing w:before="156" w:beforeLines="50"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B-2  委托人提供的房屋</w:t>
      </w:r>
    </w:p>
    <w:tbl>
      <w:tblPr>
        <w:tblStyle w:val="2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6C4E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10DC649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2130" w:type="dxa"/>
          </w:tcPr>
          <w:p w14:paraId="3FE29E3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2130" w:type="dxa"/>
          </w:tcPr>
          <w:p w14:paraId="5B0B582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面积</w:t>
            </w:r>
          </w:p>
        </w:tc>
        <w:tc>
          <w:tcPr>
            <w:tcW w:w="1860" w:type="dxa"/>
          </w:tcPr>
          <w:p w14:paraId="07CB7CF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提供时间</w:t>
            </w:r>
          </w:p>
        </w:tc>
      </w:tr>
      <w:tr w14:paraId="3960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D8A70D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办公用房</w:t>
            </w:r>
          </w:p>
        </w:tc>
        <w:tc>
          <w:tcPr>
            <w:tcW w:w="2130" w:type="dxa"/>
          </w:tcPr>
          <w:p w14:paraId="618AB04E">
            <w:pPr>
              <w:spacing w:line="360" w:lineRule="auto"/>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130" w:type="dxa"/>
          </w:tcPr>
          <w:p w14:paraId="3E560DBE">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860" w:type="dxa"/>
          </w:tcPr>
          <w:p w14:paraId="6CFC6827">
            <w:pPr>
              <w:spacing w:line="360" w:lineRule="auto"/>
              <w:rPr>
                <w:rFonts w:ascii="宋体" w:hAnsi="宋体" w:cs="宋体"/>
                <w:color w:val="auto"/>
                <w:sz w:val="24"/>
                <w:szCs w:val="24"/>
                <w:highlight w:val="none"/>
              </w:rPr>
            </w:pPr>
          </w:p>
        </w:tc>
      </w:tr>
      <w:tr w14:paraId="669B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5BDED64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生活用房</w:t>
            </w:r>
          </w:p>
        </w:tc>
        <w:tc>
          <w:tcPr>
            <w:tcW w:w="2130" w:type="dxa"/>
          </w:tcPr>
          <w:p w14:paraId="2F471BD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130" w:type="dxa"/>
          </w:tcPr>
          <w:p w14:paraId="6BD222AD">
            <w:pPr>
              <w:spacing w:line="360" w:lineRule="auto"/>
              <w:rPr>
                <w:rFonts w:ascii="宋体" w:hAnsi="宋体" w:cs="宋体"/>
                <w:color w:val="auto"/>
                <w:sz w:val="24"/>
                <w:szCs w:val="24"/>
                <w:highlight w:val="none"/>
              </w:rPr>
            </w:pPr>
          </w:p>
        </w:tc>
        <w:tc>
          <w:tcPr>
            <w:tcW w:w="1860" w:type="dxa"/>
          </w:tcPr>
          <w:p w14:paraId="653082EC">
            <w:pPr>
              <w:spacing w:line="360" w:lineRule="auto"/>
              <w:rPr>
                <w:rFonts w:ascii="宋体" w:hAnsi="宋体" w:cs="宋体"/>
                <w:color w:val="auto"/>
                <w:sz w:val="24"/>
                <w:szCs w:val="24"/>
                <w:highlight w:val="none"/>
              </w:rPr>
            </w:pPr>
          </w:p>
        </w:tc>
      </w:tr>
      <w:tr w14:paraId="1E4F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3691497D">
            <w:pPr>
              <w:spacing w:line="360" w:lineRule="auto"/>
              <w:rPr>
                <w:rFonts w:ascii="宋体" w:hAnsi="宋体" w:cs="宋体"/>
                <w:dstrike/>
                <w:color w:val="auto"/>
                <w:sz w:val="24"/>
                <w:szCs w:val="24"/>
                <w:highlight w:val="none"/>
              </w:rPr>
            </w:pPr>
            <w:r>
              <w:rPr>
                <w:rFonts w:hint="eastAsia" w:ascii="宋体" w:hAnsi="宋体" w:cs="宋体"/>
                <w:color w:val="auto"/>
                <w:sz w:val="24"/>
                <w:szCs w:val="24"/>
                <w:highlight w:val="none"/>
              </w:rPr>
              <w:t>3. 试验用房</w:t>
            </w:r>
          </w:p>
        </w:tc>
        <w:tc>
          <w:tcPr>
            <w:tcW w:w="2130" w:type="dxa"/>
          </w:tcPr>
          <w:p w14:paraId="0A015CA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130" w:type="dxa"/>
          </w:tcPr>
          <w:p w14:paraId="06776B44">
            <w:pPr>
              <w:spacing w:line="360" w:lineRule="auto"/>
              <w:rPr>
                <w:rFonts w:ascii="宋体" w:hAnsi="宋体" w:cs="宋体"/>
                <w:color w:val="auto"/>
                <w:sz w:val="24"/>
                <w:szCs w:val="24"/>
                <w:highlight w:val="none"/>
              </w:rPr>
            </w:pPr>
          </w:p>
        </w:tc>
        <w:tc>
          <w:tcPr>
            <w:tcW w:w="1860" w:type="dxa"/>
          </w:tcPr>
          <w:p w14:paraId="600D0E5E">
            <w:pPr>
              <w:spacing w:line="360" w:lineRule="auto"/>
              <w:rPr>
                <w:rFonts w:ascii="宋体" w:hAnsi="宋体" w:cs="宋体"/>
                <w:color w:val="auto"/>
                <w:sz w:val="24"/>
                <w:szCs w:val="24"/>
                <w:highlight w:val="none"/>
              </w:rPr>
            </w:pPr>
          </w:p>
        </w:tc>
      </w:tr>
      <w:tr w14:paraId="53F3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6F727E9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 样品用房</w:t>
            </w:r>
          </w:p>
        </w:tc>
        <w:tc>
          <w:tcPr>
            <w:tcW w:w="2130" w:type="dxa"/>
          </w:tcPr>
          <w:p w14:paraId="5E69196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130" w:type="dxa"/>
          </w:tcPr>
          <w:p w14:paraId="110F5211">
            <w:pPr>
              <w:spacing w:line="360" w:lineRule="auto"/>
              <w:rPr>
                <w:rFonts w:ascii="宋体" w:hAnsi="宋体" w:cs="宋体"/>
                <w:color w:val="auto"/>
                <w:sz w:val="24"/>
                <w:szCs w:val="24"/>
                <w:highlight w:val="none"/>
              </w:rPr>
            </w:pPr>
          </w:p>
        </w:tc>
        <w:tc>
          <w:tcPr>
            <w:tcW w:w="1860" w:type="dxa"/>
          </w:tcPr>
          <w:p w14:paraId="67A2B7D0">
            <w:pPr>
              <w:spacing w:line="360" w:lineRule="auto"/>
              <w:rPr>
                <w:rFonts w:ascii="宋体" w:hAnsi="宋体" w:cs="宋体"/>
                <w:color w:val="auto"/>
                <w:sz w:val="24"/>
                <w:szCs w:val="24"/>
                <w:highlight w:val="none"/>
              </w:rPr>
            </w:pPr>
          </w:p>
        </w:tc>
      </w:tr>
      <w:tr w14:paraId="4A3D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2D225EE">
            <w:pPr>
              <w:spacing w:line="360" w:lineRule="auto"/>
              <w:rPr>
                <w:rFonts w:ascii="宋体" w:hAnsi="宋体" w:cs="宋体"/>
                <w:color w:val="auto"/>
                <w:sz w:val="24"/>
                <w:szCs w:val="24"/>
                <w:highlight w:val="none"/>
              </w:rPr>
            </w:pPr>
          </w:p>
        </w:tc>
        <w:tc>
          <w:tcPr>
            <w:tcW w:w="2130" w:type="dxa"/>
          </w:tcPr>
          <w:p w14:paraId="27B1C0C4">
            <w:pPr>
              <w:spacing w:line="360" w:lineRule="auto"/>
              <w:rPr>
                <w:rFonts w:ascii="宋体" w:hAnsi="宋体" w:cs="宋体"/>
                <w:color w:val="auto"/>
                <w:sz w:val="24"/>
                <w:szCs w:val="24"/>
                <w:highlight w:val="none"/>
              </w:rPr>
            </w:pPr>
          </w:p>
        </w:tc>
        <w:tc>
          <w:tcPr>
            <w:tcW w:w="2130" w:type="dxa"/>
          </w:tcPr>
          <w:p w14:paraId="0EE24A4E">
            <w:pPr>
              <w:spacing w:line="360" w:lineRule="auto"/>
              <w:rPr>
                <w:rFonts w:ascii="宋体" w:hAnsi="宋体" w:cs="宋体"/>
                <w:color w:val="auto"/>
                <w:sz w:val="24"/>
                <w:szCs w:val="24"/>
                <w:highlight w:val="none"/>
              </w:rPr>
            </w:pPr>
          </w:p>
        </w:tc>
        <w:tc>
          <w:tcPr>
            <w:tcW w:w="1860" w:type="dxa"/>
          </w:tcPr>
          <w:p w14:paraId="5EA1A972">
            <w:pPr>
              <w:spacing w:line="360" w:lineRule="auto"/>
              <w:rPr>
                <w:rFonts w:ascii="宋体" w:hAnsi="宋体" w:cs="宋体"/>
                <w:color w:val="auto"/>
                <w:sz w:val="24"/>
                <w:szCs w:val="24"/>
                <w:highlight w:val="none"/>
              </w:rPr>
            </w:pPr>
          </w:p>
        </w:tc>
      </w:tr>
      <w:tr w14:paraId="3AF9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8CF98C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用餐及其他生活条件</w:t>
            </w:r>
          </w:p>
        </w:tc>
        <w:tc>
          <w:tcPr>
            <w:tcW w:w="6120" w:type="dxa"/>
            <w:gridSpan w:val="3"/>
          </w:tcPr>
          <w:p w14:paraId="42418018">
            <w:pPr>
              <w:spacing w:line="360" w:lineRule="auto"/>
              <w:rPr>
                <w:rFonts w:ascii="宋体" w:hAnsi="宋体" w:cs="宋体"/>
                <w:color w:val="auto"/>
                <w:sz w:val="24"/>
                <w:szCs w:val="24"/>
                <w:highlight w:val="none"/>
              </w:rPr>
            </w:pPr>
          </w:p>
        </w:tc>
      </w:tr>
    </w:tbl>
    <w:p w14:paraId="1C6757E7">
      <w:pPr>
        <w:spacing w:before="156" w:beforeLines="50"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B-3  委托人提供的资料</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3529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46A2CB0">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w:t>
            </w:r>
          </w:p>
        </w:tc>
        <w:tc>
          <w:tcPr>
            <w:tcW w:w="1491" w:type="dxa"/>
          </w:tcPr>
          <w:p w14:paraId="3EE42623">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份数</w:t>
            </w:r>
          </w:p>
        </w:tc>
        <w:tc>
          <w:tcPr>
            <w:tcW w:w="2147" w:type="dxa"/>
          </w:tcPr>
          <w:p w14:paraId="4946AF12">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提供时间</w:t>
            </w:r>
          </w:p>
        </w:tc>
        <w:tc>
          <w:tcPr>
            <w:tcW w:w="2082" w:type="dxa"/>
          </w:tcPr>
          <w:p w14:paraId="73B10E87">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75C3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6185B00">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 工程立项文件</w:t>
            </w:r>
          </w:p>
        </w:tc>
        <w:tc>
          <w:tcPr>
            <w:tcW w:w="1491" w:type="dxa"/>
          </w:tcPr>
          <w:p w14:paraId="49325532">
            <w:pPr>
              <w:spacing w:line="360" w:lineRule="auto"/>
              <w:rPr>
                <w:rFonts w:ascii="宋体" w:hAnsi="宋体" w:cs="宋体"/>
                <w:color w:val="auto"/>
                <w:kern w:val="0"/>
                <w:sz w:val="24"/>
                <w:szCs w:val="24"/>
                <w:highlight w:val="none"/>
              </w:rPr>
            </w:pPr>
          </w:p>
        </w:tc>
        <w:tc>
          <w:tcPr>
            <w:tcW w:w="2147" w:type="dxa"/>
          </w:tcPr>
          <w:p w14:paraId="1143B57D">
            <w:pPr>
              <w:spacing w:line="360" w:lineRule="auto"/>
              <w:rPr>
                <w:rFonts w:ascii="宋体" w:hAnsi="宋体" w:cs="宋体"/>
                <w:color w:val="auto"/>
                <w:kern w:val="0"/>
                <w:sz w:val="24"/>
                <w:szCs w:val="24"/>
                <w:highlight w:val="none"/>
              </w:rPr>
            </w:pPr>
          </w:p>
        </w:tc>
        <w:tc>
          <w:tcPr>
            <w:tcW w:w="2082" w:type="dxa"/>
          </w:tcPr>
          <w:p w14:paraId="66667C52">
            <w:pPr>
              <w:spacing w:line="360" w:lineRule="auto"/>
              <w:rPr>
                <w:rFonts w:ascii="宋体" w:hAnsi="宋体" w:cs="宋体"/>
                <w:color w:val="auto"/>
                <w:kern w:val="0"/>
                <w:sz w:val="24"/>
                <w:szCs w:val="24"/>
                <w:highlight w:val="none"/>
              </w:rPr>
            </w:pPr>
          </w:p>
        </w:tc>
      </w:tr>
      <w:tr w14:paraId="1531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411D9CD">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 工程勘察文件</w:t>
            </w:r>
          </w:p>
        </w:tc>
        <w:tc>
          <w:tcPr>
            <w:tcW w:w="1491" w:type="dxa"/>
          </w:tcPr>
          <w:p w14:paraId="75CB1E57">
            <w:pPr>
              <w:spacing w:line="360" w:lineRule="auto"/>
              <w:rPr>
                <w:rFonts w:ascii="宋体" w:hAnsi="宋体" w:cs="宋体"/>
                <w:color w:val="auto"/>
                <w:kern w:val="0"/>
                <w:sz w:val="24"/>
                <w:szCs w:val="24"/>
                <w:highlight w:val="none"/>
              </w:rPr>
            </w:pPr>
          </w:p>
        </w:tc>
        <w:tc>
          <w:tcPr>
            <w:tcW w:w="2147" w:type="dxa"/>
          </w:tcPr>
          <w:p w14:paraId="40B23949">
            <w:pPr>
              <w:spacing w:line="360" w:lineRule="auto"/>
              <w:rPr>
                <w:rFonts w:ascii="宋体" w:hAnsi="宋体" w:cs="宋体"/>
                <w:color w:val="auto"/>
                <w:kern w:val="0"/>
                <w:sz w:val="24"/>
                <w:szCs w:val="24"/>
                <w:highlight w:val="none"/>
              </w:rPr>
            </w:pPr>
          </w:p>
        </w:tc>
        <w:tc>
          <w:tcPr>
            <w:tcW w:w="2082" w:type="dxa"/>
          </w:tcPr>
          <w:p w14:paraId="72D8727C">
            <w:pPr>
              <w:spacing w:line="360" w:lineRule="auto"/>
              <w:rPr>
                <w:rFonts w:ascii="宋体" w:hAnsi="宋体" w:cs="宋体"/>
                <w:color w:val="auto"/>
                <w:kern w:val="0"/>
                <w:sz w:val="24"/>
                <w:szCs w:val="24"/>
                <w:highlight w:val="none"/>
              </w:rPr>
            </w:pPr>
          </w:p>
        </w:tc>
      </w:tr>
      <w:tr w14:paraId="59B1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BBC8AF9">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 工程设计及施工图纸</w:t>
            </w:r>
          </w:p>
        </w:tc>
        <w:tc>
          <w:tcPr>
            <w:tcW w:w="1491" w:type="dxa"/>
          </w:tcPr>
          <w:p w14:paraId="43B3C958">
            <w:pPr>
              <w:spacing w:line="360" w:lineRule="auto"/>
              <w:rPr>
                <w:rFonts w:ascii="宋体" w:hAnsi="宋体" w:cs="宋体"/>
                <w:color w:val="auto"/>
                <w:kern w:val="0"/>
                <w:sz w:val="24"/>
                <w:szCs w:val="24"/>
                <w:highlight w:val="none"/>
              </w:rPr>
            </w:pPr>
          </w:p>
        </w:tc>
        <w:tc>
          <w:tcPr>
            <w:tcW w:w="2147" w:type="dxa"/>
          </w:tcPr>
          <w:p w14:paraId="4E9B362D">
            <w:pPr>
              <w:spacing w:line="360" w:lineRule="auto"/>
              <w:rPr>
                <w:rFonts w:ascii="宋体" w:hAnsi="宋体" w:cs="宋体"/>
                <w:color w:val="auto"/>
                <w:kern w:val="0"/>
                <w:sz w:val="24"/>
                <w:szCs w:val="24"/>
                <w:highlight w:val="none"/>
              </w:rPr>
            </w:pPr>
          </w:p>
        </w:tc>
        <w:tc>
          <w:tcPr>
            <w:tcW w:w="2082" w:type="dxa"/>
          </w:tcPr>
          <w:p w14:paraId="28734BD6">
            <w:pPr>
              <w:spacing w:line="360" w:lineRule="auto"/>
              <w:rPr>
                <w:rFonts w:ascii="宋体" w:hAnsi="宋体" w:cs="宋体"/>
                <w:color w:val="auto"/>
                <w:kern w:val="0"/>
                <w:sz w:val="24"/>
                <w:szCs w:val="24"/>
                <w:highlight w:val="none"/>
              </w:rPr>
            </w:pPr>
          </w:p>
        </w:tc>
      </w:tr>
      <w:tr w14:paraId="22C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5F9507B">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 工程承包合同及其他相关合同</w:t>
            </w:r>
          </w:p>
        </w:tc>
        <w:tc>
          <w:tcPr>
            <w:tcW w:w="1491" w:type="dxa"/>
          </w:tcPr>
          <w:p w14:paraId="5B4BF8D4">
            <w:pPr>
              <w:spacing w:line="360" w:lineRule="auto"/>
              <w:rPr>
                <w:rFonts w:ascii="宋体" w:hAnsi="宋体" w:cs="宋体"/>
                <w:color w:val="auto"/>
                <w:kern w:val="0"/>
                <w:sz w:val="24"/>
                <w:szCs w:val="24"/>
                <w:highlight w:val="none"/>
              </w:rPr>
            </w:pPr>
          </w:p>
        </w:tc>
        <w:tc>
          <w:tcPr>
            <w:tcW w:w="2147" w:type="dxa"/>
          </w:tcPr>
          <w:p w14:paraId="4B9FDE15">
            <w:pPr>
              <w:spacing w:line="360" w:lineRule="auto"/>
              <w:rPr>
                <w:rFonts w:ascii="宋体" w:hAnsi="宋体" w:cs="宋体"/>
                <w:color w:val="auto"/>
                <w:kern w:val="0"/>
                <w:sz w:val="24"/>
                <w:szCs w:val="24"/>
                <w:highlight w:val="none"/>
              </w:rPr>
            </w:pPr>
          </w:p>
        </w:tc>
        <w:tc>
          <w:tcPr>
            <w:tcW w:w="2082" w:type="dxa"/>
          </w:tcPr>
          <w:p w14:paraId="1B2D50E1">
            <w:pPr>
              <w:spacing w:line="360" w:lineRule="auto"/>
              <w:rPr>
                <w:rFonts w:ascii="宋体" w:hAnsi="宋体" w:cs="宋体"/>
                <w:color w:val="auto"/>
                <w:kern w:val="0"/>
                <w:sz w:val="24"/>
                <w:szCs w:val="24"/>
                <w:highlight w:val="none"/>
              </w:rPr>
            </w:pPr>
          </w:p>
        </w:tc>
      </w:tr>
      <w:tr w14:paraId="377C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C8263FD">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 施工许可文件</w:t>
            </w:r>
          </w:p>
        </w:tc>
        <w:tc>
          <w:tcPr>
            <w:tcW w:w="1491" w:type="dxa"/>
          </w:tcPr>
          <w:p w14:paraId="069A4347">
            <w:pPr>
              <w:spacing w:line="360" w:lineRule="auto"/>
              <w:rPr>
                <w:rFonts w:ascii="宋体" w:hAnsi="宋体" w:cs="宋体"/>
                <w:color w:val="auto"/>
                <w:kern w:val="0"/>
                <w:sz w:val="24"/>
                <w:szCs w:val="24"/>
                <w:highlight w:val="none"/>
              </w:rPr>
            </w:pPr>
          </w:p>
        </w:tc>
        <w:tc>
          <w:tcPr>
            <w:tcW w:w="2147" w:type="dxa"/>
          </w:tcPr>
          <w:p w14:paraId="412A0EC8">
            <w:pPr>
              <w:spacing w:line="360" w:lineRule="auto"/>
              <w:rPr>
                <w:rFonts w:ascii="宋体" w:hAnsi="宋体" w:cs="宋体"/>
                <w:color w:val="auto"/>
                <w:kern w:val="0"/>
                <w:sz w:val="24"/>
                <w:szCs w:val="24"/>
                <w:highlight w:val="none"/>
              </w:rPr>
            </w:pPr>
          </w:p>
        </w:tc>
        <w:tc>
          <w:tcPr>
            <w:tcW w:w="2082" w:type="dxa"/>
          </w:tcPr>
          <w:p w14:paraId="68F22BFF">
            <w:pPr>
              <w:spacing w:line="360" w:lineRule="auto"/>
              <w:rPr>
                <w:rFonts w:ascii="宋体" w:hAnsi="宋体" w:cs="宋体"/>
                <w:color w:val="auto"/>
                <w:kern w:val="0"/>
                <w:sz w:val="24"/>
                <w:szCs w:val="24"/>
                <w:highlight w:val="none"/>
              </w:rPr>
            </w:pPr>
          </w:p>
        </w:tc>
      </w:tr>
      <w:tr w14:paraId="67A0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6BEF15E">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 其他文件</w:t>
            </w:r>
          </w:p>
        </w:tc>
        <w:tc>
          <w:tcPr>
            <w:tcW w:w="1491" w:type="dxa"/>
          </w:tcPr>
          <w:p w14:paraId="26A2EAB0">
            <w:pPr>
              <w:spacing w:line="360" w:lineRule="auto"/>
              <w:rPr>
                <w:rFonts w:ascii="宋体" w:hAnsi="宋体" w:cs="宋体"/>
                <w:color w:val="auto"/>
                <w:kern w:val="0"/>
                <w:sz w:val="24"/>
                <w:szCs w:val="24"/>
                <w:highlight w:val="none"/>
              </w:rPr>
            </w:pPr>
          </w:p>
        </w:tc>
        <w:tc>
          <w:tcPr>
            <w:tcW w:w="2147" w:type="dxa"/>
          </w:tcPr>
          <w:p w14:paraId="21113999">
            <w:pPr>
              <w:spacing w:line="360" w:lineRule="auto"/>
              <w:rPr>
                <w:rFonts w:ascii="宋体" w:hAnsi="宋体" w:cs="宋体"/>
                <w:color w:val="auto"/>
                <w:kern w:val="0"/>
                <w:sz w:val="24"/>
                <w:szCs w:val="24"/>
                <w:highlight w:val="none"/>
              </w:rPr>
            </w:pPr>
          </w:p>
        </w:tc>
        <w:tc>
          <w:tcPr>
            <w:tcW w:w="2082" w:type="dxa"/>
          </w:tcPr>
          <w:p w14:paraId="36828273">
            <w:pPr>
              <w:spacing w:line="360" w:lineRule="auto"/>
              <w:rPr>
                <w:rFonts w:ascii="宋体" w:hAnsi="宋体" w:cs="宋体"/>
                <w:color w:val="auto"/>
                <w:kern w:val="0"/>
                <w:sz w:val="24"/>
                <w:szCs w:val="24"/>
                <w:highlight w:val="none"/>
              </w:rPr>
            </w:pPr>
          </w:p>
        </w:tc>
      </w:tr>
      <w:tr w14:paraId="5DFC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96CDDF7">
            <w:pPr>
              <w:spacing w:line="360" w:lineRule="auto"/>
              <w:rPr>
                <w:rFonts w:ascii="宋体" w:hAnsi="宋体" w:cs="宋体"/>
                <w:color w:val="auto"/>
                <w:kern w:val="0"/>
                <w:sz w:val="24"/>
                <w:szCs w:val="24"/>
                <w:highlight w:val="none"/>
              </w:rPr>
            </w:pPr>
          </w:p>
        </w:tc>
        <w:tc>
          <w:tcPr>
            <w:tcW w:w="1491" w:type="dxa"/>
          </w:tcPr>
          <w:p w14:paraId="1C12A264">
            <w:pPr>
              <w:spacing w:line="360" w:lineRule="auto"/>
              <w:rPr>
                <w:rFonts w:ascii="宋体" w:hAnsi="宋体" w:cs="宋体"/>
                <w:color w:val="auto"/>
                <w:kern w:val="0"/>
                <w:sz w:val="24"/>
                <w:szCs w:val="24"/>
                <w:highlight w:val="none"/>
              </w:rPr>
            </w:pPr>
          </w:p>
        </w:tc>
        <w:tc>
          <w:tcPr>
            <w:tcW w:w="2147" w:type="dxa"/>
          </w:tcPr>
          <w:p w14:paraId="1C2751C1">
            <w:pPr>
              <w:spacing w:line="360" w:lineRule="auto"/>
              <w:rPr>
                <w:rFonts w:ascii="宋体" w:hAnsi="宋体" w:cs="宋体"/>
                <w:color w:val="auto"/>
                <w:kern w:val="0"/>
                <w:sz w:val="24"/>
                <w:szCs w:val="24"/>
                <w:highlight w:val="none"/>
              </w:rPr>
            </w:pPr>
          </w:p>
        </w:tc>
        <w:tc>
          <w:tcPr>
            <w:tcW w:w="2082" w:type="dxa"/>
          </w:tcPr>
          <w:p w14:paraId="54365369">
            <w:pPr>
              <w:spacing w:line="360" w:lineRule="auto"/>
              <w:rPr>
                <w:rFonts w:ascii="宋体" w:hAnsi="宋体" w:cs="宋体"/>
                <w:color w:val="auto"/>
                <w:kern w:val="0"/>
                <w:sz w:val="24"/>
                <w:szCs w:val="24"/>
                <w:highlight w:val="none"/>
              </w:rPr>
            </w:pPr>
          </w:p>
        </w:tc>
      </w:tr>
    </w:tbl>
    <w:p w14:paraId="464308A7">
      <w:pPr>
        <w:spacing w:before="156" w:beforeLines="50"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B-4 委托人提供的设备</w:t>
      </w:r>
    </w:p>
    <w:tbl>
      <w:tblPr>
        <w:tblStyle w:val="2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1985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082F79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590" w:type="dxa"/>
          </w:tcPr>
          <w:p w14:paraId="18512BE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2130" w:type="dxa"/>
          </w:tcPr>
          <w:p w14:paraId="4ACBCD3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型号与规格</w:t>
            </w:r>
          </w:p>
        </w:tc>
        <w:tc>
          <w:tcPr>
            <w:tcW w:w="1860" w:type="dxa"/>
          </w:tcPr>
          <w:p w14:paraId="2E9DCAC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提供时间</w:t>
            </w:r>
          </w:p>
        </w:tc>
      </w:tr>
      <w:tr w14:paraId="315E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07A5EEF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通讯设备</w:t>
            </w:r>
          </w:p>
        </w:tc>
        <w:tc>
          <w:tcPr>
            <w:tcW w:w="1590" w:type="dxa"/>
          </w:tcPr>
          <w:p w14:paraId="2E333B4C">
            <w:pPr>
              <w:spacing w:line="360" w:lineRule="auto"/>
              <w:rPr>
                <w:rFonts w:ascii="宋体" w:hAnsi="宋体" w:cs="宋体"/>
                <w:color w:val="auto"/>
                <w:sz w:val="24"/>
                <w:szCs w:val="24"/>
                <w:highlight w:val="none"/>
              </w:rPr>
            </w:pPr>
          </w:p>
        </w:tc>
        <w:tc>
          <w:tcPr>
            <w:tcW w:w="2130" w:type="dxa"/>
          </w:tcPr>
          <w:p w14:paraId="4EEA29DD">
            <w:pPr>
              <w:spacing w:line="360" w:lineRule="auto"/>
              <w:rPr>
                <w:rFonts w:ascii="宋体" w:hAnsi="宋体" w:cs="宋体"/>
                <w:color w:val="auto"/>
                <w:sz w:val="24"/>
                <w:szCs w:val="24"/>
                <w:highlight w:val="none"/>
              </w:rPr>
            </w:pPr>
          </w:p>
        </w:tc>
        <w:tc>
          <w:tcPr>
            <w:tcW w:w="1860" w:type="dxa"/>
          </w:tcPr>
          <w:p w14:paraId="0745DEE3">
            <w:pPr>
              <w:spacing w:line="360" w:lineRule="auto"/>
              <w:rPr>
                <w:rFonts w:ascii="宋体" w:hAnsi="宋体" w:cs="宋体"/>
                <w:color w:val="auto"/>
                <w:sz w:val="24"/>
                <w:szCs w:val="24"/>
                <w:highlight w:val="none"/>
              </w:rPr>
            </w:pPr>
          </w:p>
        </w:tc>
      </w:tr>
      <w:tr w14:paraId="4AC1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20B872B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办公设备</w:t>
            </w:r>
          </w:p>
        </w:tc>
        <w:tc>
          <w:tcPr>
            <w:tcW w:w="1590" w:type="dxa"/>
          </w:tcPr>
          <w:p w14:paraId="71C4B764">
            <w:pPr>
              <w:spacing w:line="360" w:lineRule="auto"/>
              <w:rPr>
                <w:rFonts w:ascii="宋体" w:hAnsi="宋体" w:cs="宋体"/>
                <w:color w:val="auto"/>
                <w:sz w:val="24"/>
                <w:szCs w:val="24"/>
                <w:highlight w:val="none"/>
              </w:rPr>
            </w:pPr>
          </w:p>
        </w:tc>
        <w:tc>
          <w:tcPr>
            <w:tcW w:w="2130" w:type="dxa"/>
          </w:tcPr>
          <w:p w14:paraId="099B1D85">
            <w:pPr>
              <w:spacing w:line="360" w:lineRule="auto"/>
              <w:rPr>
                <w:rFonts w:ascii="宋体" w:hAnsi="宋体" w:cs="宋体"/>
                <w:color w:val="auto"/>
                <w:sz w:val="24"/>
                <w:szCs w:val="24"/>
                <w:highlight w:val="none"/>
              </w:rPr>
            </w:pPr>
          </w:p>
        </w:tc>
        <w:tc>
          <w:tcPr>
            <w:tcW w:w="1860" w:type="dxa"/>
          </w:tcPr>
          <w:p w14:paraId="5A0E7C47">
            <w:pPr>
              <w:spacing w:line="360" w:lineRule="auto"/>
              <w:rPr>
                <w:rFonts w:ascii="宋体" w:hAnsi="宋体" w:cs="宋体"/>
                <w:color w:val="auto"/>
                <w:sz w:val="24"/>
                <w:szCs w:val="24"/>
                <w:highlight w:val="none"/>
              </w:rPr>
            </w:pPr>
          </w:p>
        </w:tc>
      </w:tr>
      <w:tr w14:paraId="5E53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95FDF9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交通工具</w:t>
            </w:r>
          </w:p>
        </w:tc>
        <w:tc>
          <w:tcPr>
            <w:tcW w:w="1590" w:type="dxa"/>
          </w:tcPr>
          <w:p w14:paraId="1F1695B2">
            <w:pPr>
              <w:spacing w:line="360" w:lineRule="auto"/>
              <w:rPr>
                <w:rFonts w:ascii="宋体" w:hAnsi="宋体" w:cs="宋体"/>
                <w:color w:val="auto"/>
                <w:sz w:val="24"/>
                <w:szCs w:val="24"/>
                <w:highlight w:val="none"/>
              </w:rPr>
            </w:pPr>
          </w:p>
        </w:tc>
        <w:tc>
          <w:tcPr>
            <w:tcW w:w="2130" w:type="dxa"/>
          </w:tcPr>
          <w:p w14:paraId="05308FE9">
            <w:pPr>
              <w:spacing w:line="360" w:lineRule="auto"/>
              <w:rPr>
                <w:rFonts w:ascii="宋体" w:hAnsi="宋体" w:cs="宋体"/>
                <w:color w:val="auto"/>
                <w:sz w:val="24"/>
                <w:szCs w:val="24"/>
                <w:highlight w:val="none"/>
              </w:rPr>
            </w:pPr>
          </w:p>
        </w:tc>
        <w:tc>
          <w:tcPr>
            <w:tcW w:w="1860" w:type="dxa"/>
          </w:tcPr>
          <w:p w14:paraId="77DF3BE4">
            <w:pPr>
              <w:spacing w:line="360" w:lineRule="auto"/>
              <w:rPr>
                <w:rFonts w:ascii="宋体" w:hAnsi="宋体" w:cs="宋体"/>
                <w:color w:val="auto"/>
                <w:sz w:val="24"/>
                <w:szCs w:val="24"/>
                <w:highlight w:val="none"/>
              </w:rPr>
            </w:pPr>
          </w:p>
        </w:tc>
      </w:tr>
      <w:tr w14:paraId="76DA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0FE674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 检测和试验设备</w:t>
            </w:r>
          </w:p>
        </w:tc>
        <w:tc>
          <w:tcPr>
            <w:tcW w:w="1590" w:type="dxa"/>
          </w:tcPr>
          <w:p w14:paraId="77526534">
            <w:pPr>
              <w:spacing w:line="360" w:lineRule="auto"/>
              <w:rPr>
                <w:rFonts w:ascii="宋体" w:hAnsi="宋体" w:cs="宋体"/>
                <w:color w:val="auto"/>
                <w:sz w:val="24"/>
                <w:szCs w:val="24"/>
                <w:highlight w:val="none"/>
              </w:rPr>
            </w:pPr>
          </w:p>
        </w:tc>
        <w:tc>
          <w:tcPr>
            <w:tcW w:w="2130" w:type="dxa"/>
          </w:tcPr>
          <w:p w14:paraId="1232BF21">
            <w:pPr>
              <w:spacing w:line="360" w:lineRule="auto"/>
              <w:rPr>
                <w:rFonts w:ascii="宋体" w:hAnsi="宋体" w:cs="宋体"/>
                <w:color w:val="auto"/>
                <w:sz w:val="24"/>
                <w:szCs w:val="24"/>
                <w:highlight w:val="none"/>
              </w:rPr>
            </w:pPr>
          </w:p>
        </w:tc>
        <w:tc>
          <w:tcPr>
            <w:tcW w:w="1860" w:type="dxa"/>
          </w:tcPr>
          <w:p w14:paraId="1B30AA81">
            <w:pPr>
              <w:spacing w:line="360" w:lineRule="auto"/>
              <w:rPr>
                <w:rFonts w:ascii="宋体" w:hAnsi="宋体" w:cs="宋体"/>
                <w:color w:val="auto"/>
                <w:sz w:val="24"/>
                <w:szCs w:val="24"/>
                <w:highlight w:val="none"/>
              </w:rPr>
            </w:pPr>
          </w:p>
        </w:tc>
      </w:tr>
      <w:tr w14:paraId="1490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4D8E1B0">
            <w:pPr>
              <w:spacing w:line="360" w:lineRule="auto"/>
              <w:rPr>
                <w:rFonts w:ascii="仿宋_GB2312" w:hAnsi="宋体" w:eastAsia="仿宋_GB2312"/>
                <w:color w:val="auto"/>
                <w:sz w:val="32"/>
                <w:szCs w:val="32"/>
                <w:highlight w:val="none"/>
              </w:rPr>
            </w:pPr>
          </w:p>
        </w:tc>
        <w:tc>
          <w:tcPr>
            <w:tcW w:w="1590" w:type="dxa"/>
          </w:tcPr>
          <w:p w14:paraId="0DEF7585">
            <w:pPr>
              <w:spacing w:line="360" w:lineRule="auto"/>
              <w:rPr>
                <w:rFonts w:ascii="仿宋_GB2312" w:hAnsi="宋体" w:eastAsia="仿宋_GB2312"/>
                <w:color w:val="auto"/>
                <w:sz w:val="32"/>
                <w:szCs w:val="32"/>
                <w:highlight w:val="none"/>
              </w:rPr>
            </w:pPr>
          </w:p>
        </w:tc>
        <w:tc>
          <w:tcPr>
            <w:tcW w:w="2130" w:type="dxa"/>
          </w:tcPr>
          <w:p w14:paraId="09284059">
            <w:pPr>
              <w:spacing w:line="360" w:lineRule="auto"/>
              <w:rPr>
                <w:rFonts w:ascii="仿宋_GB2312" w:hAnsi="宋体" w:eastAsia="仿宋_GB2312"/>
                <w:color w:val="auto"/>
                <w:sz w:val="32"/>
                <w:szCs w:val="32"/>
                <w:highlight w:val="none"/>
              </w:rPr>
            </w:pPr>
          </w:p>
        </w:tc>
        <w:tc>
          <w:tcPr>
            <w:tcW w:w="1860" w:type="dxa"/>
          </w:tcPr>
          <w:p w14:paraId="7327D23D">
            <w:pPr>
              <w:spacing w:line="360" w:lineRule="auto"/>
              <w:rPr>
                <w:rFonts w:ascii="仿宋_GB2312" w:hAnsi="宋体" w:eastAsia="仿宋_GB2312"/>
                <w:color w:val="auto"/>
                <w:sz w:val="32"/>
                <w:szCs w:val="32"/>
                <w:highlight w:val="none"/>
              </w:rPr>
            </w:pPr>
          </w:p>
        </w:tc>
      </w:tr>
    </w:tbl>
    <w:p w14:paraId="2B0ECA08">
      <w:pPr>
        <w:spacing w:line="360" w:lineRule="auto"/>
        <w:rPr>
          <w:rFonts w:ascii="仿宋_GB2312" w:eastAsia="仿宋_GB2312"/>
          <w:color w:val="auto"/>
          <w:sz w:val="24"/>
          <w:highlight w:val="none"/>
        </w:rPr>
      </w:pPr>
    </w:p>
    <w:p w14:paraId="177983E0">
      <w:pPr>
        <w:snapToGrid w:val="0"/>
        <w:spacing w:line="360" w:lineRule="auto"/>
        <w:ind w:firstLine="480" w:firstLineChars="200"/>
        <w:rPr>
          <w:rFonts w:cs="宋体" w:asciiTheme="minorEastAsia" w:hAnsiTheme="minorEastAsia" w:eastAsiaTheme="minorEastAsia"/>
          <w:color w:val="auto"/>
          <w:sz w:val="24"/>
          <w:szCs w:val="24"/>
          <w:highlight w:val="none"/>
        </w:rPr>
      </w:pPr>
    </w:p>
    <w:p w14:paraId="222B3DFD">
      <w:pPr>
        <w:widowControl/>
        <w:spacing w:line="360" w:lineRule="auto"/>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172B1EA0">
      <w:pPr>
        <w:spacing w:line="360" w:lineRule="auto"/>
        <w:jc w:val="cente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lang w:val="en-US" w:eastAsia="zh-CN"/>
        </w:rPr>
        <w:t xml:space="preserve">第六章   </w:t>
      </w:r>
      <w:r>
        <w:rPr>
          <w:rFonts w:hint="eastAsia" w:cs="宋体" w:asciiTheme="minorEastAsia" w:hAnsiTheme="minorEastAsia" w:eastAsiaTheme="minorEastAsia"/>
          <w:b/>
          <w:color w:val="auto"/>
          <w:sz w:val="32"/>
          <w:szCs w:val="32"/>
          <w:highlight w:val="none"/>
        </w:rPr>
        <w:t>投标文件格式</w:t>
      </w:r>
    </w:p>
    <w:p w14:paraId="242DED71">
      <w:pPr>
        <w:adjustRightInd w:val="0"/>
        <w:spacing w:before="48" w:beforeLines="20" w:after="48" w:afterLines="20" w:line="360" w:lineRule="auto"/>
        <w:rPr>
          <w:rFonts w:hint="eastAsia" w:ascii="宋体" w:hAnsi="宋体"/>
          <w:b/>
          <w:color w:val="auto"/>
          <w:kern w:val="0"/>
          <w:sz w:val="24"/>
          <w:szCs w:val="21"/>
          <w:highlight w:val="none"/>
        </w:rPr>
      </w:pPr>
    </w:p>
    <w:p w14:paraId="1B16CF32">
      <w:pPr>
        <w:adjustRightInd w:val="0"/>
        <w:spacing w:before="48" w:beforeLines="20" w:after="48" w:afterLines="20" w:line="360" w:lineRule="auto"/>
        <w:rPr>
          <w:rFonts w:hint="eastAsia" w:ascii="宋体" w:hAnsi="宋体"/>
          <w:b/>
          <w:color w:val="auto"/>
          <w:kern w:val="0"/>
          <w:sz w:val="24"/>
          <w:szCs w:val="24"/>
          <w:highlight w:val="none"/>
          <w:u w:val="single"/>
        </w:rPr>
      </w:pPr>
      <w:r>
        <w:rPr>
          <w:rFonts w:hint="eastAsia" w:ascii="宋体" w:hAnsi="宋体"/>
          <w:b/>
          <w:color w:val="auto"/>
          <w:kern w:val="0"/>
          <w:sz w:val="24"/>
          <w:szCs w:val="21"/>
          <w:highlight w:val="none"/>
        </w:rPr>
        <w:t xml:space="preserve">       </w:t>
      </w:r>
      <w:r>
        <w:rPr>
          <w:rFonts w:hint="eastAsia" w:ascii="宋体" w:hAnsi="宋体"/>
          <w:b/>
          <w:color w:val="auto"/>
          <w:kern w:val="0"/>
          <w:sz w:val="28"/>
          <w:szCs w:val="28"/>
          <w:highlight w:val="none"/>
        </w:rPr>
        <w:t xml:space="preserve"> </w:t>
      </w:r>
      <w:r>
        <w:rPr>
          <w:rFonts w:hint="eastAsia" w:ascii="宋体" w:hAnsi="宋体" w:cs="宋体"/>
          <w:b/>
          <w:bCs/>
          <w:color w:val="auto"/>
          <w:sz w:val="28"/>
          <w:szCs w:val="28"/>
          <w:highlight w:val="none"/>
          <w:u w:val="single"/>
          <w:lang w:eastAsia="zh-CN"/>
        </w:rPr>
        <w:t>铜陵狮子山高新区污水处理厂二期配套工程监理（</w:t>
      </w:r>
      <w:r>
        <w:rPr>
          <w:rFonts w:hint="eastAsia" w:ascii="宋体" w:hAnsi="宋体" w:cs="宋体"/>
          <w:b/>
          <w:bCs/>
          <w:color w:val="auto"/>
          <w:sz w:val="28"/>
          <w:szCs w:val="28"/>
          <w:highlight w:val="none"/>
          <w:u w:val="single"/>
          <w:lang w:val="en-US" w:eastAsia="zh-CN"/>
        </w:rPr>
        <w:t xml:space="preserve">   标段</w:t>
      </w:r>
      <w:r>
        <w:rPr>
          <w:rFonts w:hint="eastAsia" w:ascii="宋体" w:hAnsi="宋体" w:cs="宋体"/>
          <w:b/>
          <w:bCs/>
          <w:color w:val="auto"/>
          <w:sz w:val="28"/>
          <w:szCs w:val="28"/>
          <w:highlight w:val="none"/>
          <w:u w:val="single"/>
          <w:lang w:eastAsia="zh-CN"/>
        </w:rPr>
        <w:t>）</w:t>
      </w:r>
      <w:r>
        <w:rPr>
          <w:rFonts w:hint="eastAsia" w:ascii="宋体" w:hAnsi="宋体"/>
          <w:b/>
          <w:color w:val="auto"/>
          <w:kern w:val="0"/>
          <w:sz w:val="28"/>
          <w:szCs w:val="28"/>
          <w:highlight w:val="none"/>
        </w:rPr>
        <w:t>招标</w:t>
      </w:r>
    </w:p>
    <w:p w14:paraId="112414AA">
      <w:pPr>
        <w:widowControl w:val="0"/>
        <w:adjustRightInd w:val="0"/>
        <w:spacing w:before="48" w:beforeLines="20" w:after="48" w:afterLines="20" w:line="360" w:lineRule="auto"/>
        <w:ind w:firstLine="482" w:firstLineChars="200"/>
        <w:jc w:val="both"/>
        <w:rPr>
          <w:rFonts w:hint="eastAsia" w:ascii="宋体" w:hAnsi="宋体" w:eastAsia="宋体" w:cs="Times New Roman"/>
          <w:b/>
          <w:bCs/>
          <w:color w:val="auto"/>
          <w:kern w:val="2"/>
          <w:sz w:val="24"/>
          <w:szCs w:val="24"/>
          <w:highlight w:val="none"/>
          <w:lang w:val="en-US" w:eastAsia="zh-CN" w:bidi="ar-SA"/>
        </w:rPr>
      </w:pPr>
    </w:p>
    <w:p w14:paraId="79E95CFF">
      <w:pPr>
        <w:widowControl w:val="0"/>
        <w:adjustRightInd w:val="0"/>
        <w:spacing w:before="48" w:beforeLines="20" w:after="48" w:afterLines="20" w:line="360" w:lineRule="auto"/>
        <w:ind w:firstLine="482" w:firstLineChars="200"/>
        <w:jc w:val="both"/>
        <w:rPr>
          <w:rFonts w:hint="eastAsia" w:ascii="宋体" w:hAnsi="宋体" w:eastAsia="宋体" w:cs="Times New Roman"/>
          <w:b/>
          <w:bCs/>
          <w:color w:val="auto"/>
          <w:kern w:val="2"/>
          <w:sz w:val="24"/>
          <w:szCs w:val="24"/>
          <w:highlight w:val="none"/>
          <w:lang w:val="en-US" w:eastAsia="zh-CN" w:bidi="ar-SA"/>
        </w:rPr>
      </w:pPr>
    </w:p>
    <w:p w14:paraId="480AE69C">
      <w:pPr>
        <w:widowControl w:val="0"/>
        <w:adjustRightInd w:val="0"/>
        <w:spacing w:before="48" w:beforeLines="20" w:after="48" w:afterLines="20" w:line="360" w:lineRule="auto"/>
        <w:ind w:firstLine="0" w:firstLineChars="0"/>
        <w:jc w:val="both"/>
        <w:rPr>
          <w:rFonts w:hint="eastAsia" w:ascii="宋体" w:hAnsi="宋体" w:eastAsia="宋体" w:cs="Times New Roman"/>
          <w:b/>
          <w:bCs/>
          <w:color w:val="auto"/>
          <w:kern w:val="2"/>
          <w:sz w:val="24"/>
          <w:szCs w:val="24"/>
          <w:highlight w:val="none"/>
          <w:lang w:val="en-US" w:eastAsia="zh-CN" w:bidi="ar-SA"/>
        </w:rPr>
      </w:pPr>
    </w:p>
    <w:p w14:paraId="2890550B">
      <w:pPr>
        <w:widowControl w:val="0"/>
        <w:adjustRightInd w:val="0"/>
        <w:spacing w:before="48" w:beforeLines="20" w:after="48" w:afterLines="20"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投  标  文  件</w:t>
      </w:r>
    </w:p>
    <w:p w14:paraId="055D4A30">
      <w:pPr>
        <w:widowControl w:val="0"/>
        <w:adjustRightInd w:val="0"/>
        <w:spacing w:before="48" w:beforeLines="20" w:after="48" w:afterLines="20"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项目编号：</w:t>
      </w:r>
    </w:p>
    <w:p w14:paraId="4C4E5F64">
      <w:pPr>
        <w:widowControl w:val="0"/>
        <w:adjustRightInd w:val="0"/>
        <w:spacing w:before="48" w:beforeLines="20" w:after="48" w:afterLines="20" w:line="360" w:lineRule="auto"/>
        <w:jc w:val="center"/>
        <w:rPr>
          <w:rFonts w:hint="eastAsia" w:ascii="宋体" w:hAnsi="宋体" w:eastAsia="宋体" w:cs="宋体"/>
          <w:color w:val="auto"/>
          <w:kern w:val="2"/>
          <w:sz w:val="28"/>
          <w:szCs w:val="28"/>
          <w:highlight w:val="none"/>
          <w:lang w:val="en-US" w:eastAsia="zh-CN" w:bidi="ar-SA"/>
        </w:rPr>
      </w:pPr>
    </w:p>
    <w:p w14:paraId="6FEE79F3">
      <w:pPr>
        <w:widowControl w:val="0"/>
        <w:adjustRightInd w:val="0"/>
        <w:spacing w:before="48" w:beforeLines="20" w:after="48" w:afterLines="20" w:line="360" w:lineRule="auto"/>
        <w:jc w:val="center"/>
        <w:rPr>
          <w:rFonts w:hint="eastAsia" w:ascii="宋体" w:hAnsi="宋体" w:eastAsia="宋体" w:cs="宋体"/>
          <w:color w:val="auto"/>
          <w:kern w:val="2"/>
          <w:sz w:val="28"/>
          <w:szCs w:val="28"/>
          <w:highlight w:val="none"/>
          <w:lang w:val="en-US" w:eastAsia="zh-CN" w:bidi="ar-SA"/>
        </w:rPr>
      </w:pPr>
    </w:p>
    <w:p w14:paraId="5312F621">
      <w:pPr>
        <w:widowControl w:val="0"/>
        <w:adjustRightInd w:val="0"/>
        <w:spacing w:before="48" w:beforeLines="20" w:after="48" w:afterLines="20" w:line="360" w:lineRule="auto"/>
        <w:jc w:val="center"/>
        <w:rPr>
          <w:rFonts w:hint="eastAsia" w:ascii="宋体" w:hAnsi="宋体" w:eastAsia="宋体" w:cs="宋体"/>
          <w:color w:val="auto"/>
          <w:kern w:val="2"/>
          <w:sz w:val="28"/>
          <w:szCs w:val="28"/>
          <w:highlight w:val="none"/>
          <w:lang w:val="en-US" w:eastAsia="zh-CN" w:bidi="ar-SA"/>
        </w:rPr>
      </w:pPr>
    </w:p>
    <w:p w14:paraId="24148880">
      <w:pPr>
        <w:widowControl w:val="0"/>
        <w:adjustRightInd w:val="0"/>
        <w:spacing w:before="48" w:beforeLines="20" w:after="48" w:afterLines="20" w:line="360" w:lineRule="auto"/>
        <w:jc w:val="center"/>
        <w:rPr>
          <w:rFonts w:hint="eastAsia" w:ascii="宋体" w:hAnsi="宋体" w:eastAsia="宋体" w:cs="宋体"/>
          <w:color w:val="auto"/>
          <w:kern w:val="2"/>
          <w:sz w:val="28"/>
          <w:szCs w:val="28"/>
          <w:highlight w:val="none"/>
          <w:lang w:val="en-US" w:eastAsia="zh-CN" w:bidi="ar-SA"/>
        </w:rPr>
      </w:pPr>
    </w:p>
    <w:p w14:paraId="08FA4B10">
      <w:pPr>
        <w:widowControl w:val="0"/>
        <w:adjustRightInd w:val="0"/>
        <w:spacing w:before="48" w:beforeLines="20" w:after="48" w:afterLines="20" w:line="360" w:lineRule="auto"/>
        <w:jc w:val="center"/>
        <w:rPr>
          <w:rFonts w:hint="eastAsia" w:ascii="宋体" w:hAnsi="宋体" w:eastAsia="宋体" w:cs="宋体"/>
          <w:color w:val="auto"/>
          <w:kern w:val="2"/>
          <w:sz w:val="28"/>
          <w:szCs w:val="28"/>
          <w:highlight w:val="none"/>
          <w:lang w:val="en-US" w:eastAsia="zh-CN" w:bidi="ar-SA"/>
        </w:rPr>
      </w:pPr>
    </w:p>
    <w:p w14:paraId="44D11F84">
      <w:pPr>
        <w:widowControl w:val="0"/>
        <w:adjustRightInd w:val="0"/>
        <w:spacing w:before="48" w:beforeLines="20" w:after="48" w:afterLines="20" w:line="360" w:lineRule="auto"/>
        <w:jc w:val="center"/>
        <w:rPr>
          <w:rFonts w:hint="eastAsia" w:ascii="宋体" w:hAnsi="宋体" w:eastAsia="宋体" w:cs="宋体"/>
          <w:color w:val="auto"/>
          <w:kern w:val="2"/>
          <w:sz w:val="28"/>
          <w:szCs w:val="28"/>
          <w:highlight w:val="none"/>
          <w:lang w:val="en-US" w:eastAsia="zh-CN" w:bidi="ar-SA"/>
        </w:rPr>
      </w:pPr>
    </w:p>
    <w:p w14:paraId="76E2224F">
      <w:pPr>
        <w:widowControl w:val="0"/>
        <w:adjustRightInd w:val="0"/>
        <w:spacing w:before="48" w:beforeLines="20" w:after="48" w:afterLines="20" w:line="360" w:lineRule="auto"/>
        <w:jc w:val="both"/>
        <w:rPr>
          <w:rFonts w:hint="eastAsia" w:ascii="宋体" w:hAnsi="宋体" w:eastAsia="宋体" w:cs="宋体"/>
          <w:color w:val="auto"/>
          <w:kern w:val="2"/>
          <w:sz w:val="28"/>
          <w:szCs w:val="28"/>
          <w:highlight w:val="none"/>
          <w:lang w:val="en-US" w:eastAsia="zh-CN" w:bidi="ar-SA"/>
        </w:rPr>
      </w:pPr>
    </w:p>
    <w:p w14:paraId="4FF4B01D">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172" w:leftChars="82" w:firstLine="0" w:firstLineChars="0"/>
        <w:jc w:val="left"/>
        <w:textAlignment w:val="auto"/>
        <w:rPr>
          <w:rFonts w:hint="eastAsia" w:ascii="宋体" w:hAnsi="宋体" w:eastAsia="宋体" w:cs="宋体"/>
          <w:b/>
          <w:color w:val="auto"/>
          <w:sz w:val="28"/>
          <w:szCs w:val="28"/>
          <w:highlight w:val="none"/>
          <w:u w:val="single"/>
          <w:lang w:val="en-US" w:eastAsia="zh-CN" w:bidi="ar-SA"/>
        </w:rPr>
      </w:pPr>
      <w:r>
        <w:rPr>
          <w:rFonts w:hint="eastAsia" w:ascii="宋体" w:hAnsi="宋体" w:eastAsia="宋体" w:cs="宋体"/>
          <w:b/>
          <w:color w:val="auto"/>
          <w:sz w:val="28"/>
          <w:szCs w:val="28"/>
          <w:highlight w:val="none"/>
          <w:lang w:val="en-US" w:eastAsia="zh-CN" w:bidi="ar-SA"/>
        </w:rPr>
        <w:t>项目名称：</w:t>
      </w:r>
      <w:r>
        <w:rPr>
          <w:rFonts w:hint="eastAsia" w:ascii="宋体" w:hAnsi="宋体" w:eastAsia="宋体" w:cs="宋体"/>
          <w:b/>
          <w:color w:val="auto"/>
          <w:sz w:val="28"/>
          <w:szCs w:val="28"/>
          <w:highlight w:val="none"/>
          <w:u w:val="single"/>
          <w:lang w:val="en-US" w:eastAsia="zh-CN" w:bidi="ar-SA"/>
        </w:rPr>
        <w:t xml:space="preserve"> </w:t>
      </w:r>
      <w:r>
        <w:rPr>
          <w:rFonts w:hint="eastAsia" w:ascii="宋体" w:hAnsi="宋体" w:cs="宋体"/>
          <w:b/>
          <w:bCs/>
          <w:color w:val="auto"/>
          <w:sz w:val="28"/>
          <w:szCs w:val="28"/>
          <w:highlight w:val="none"/>
          <w:u w:val="single"/>
          <w:lang w:eastAsia="zh-CN"/>
        </w:rPr>
        <w:t>铜陵狮子山高新区污水处理厂二期配套工程监理（</w:t>
      </w:r>
      <w:r>
        <w:rPr>
          <w:rFonts w:hint="eastAsia" w:ascii="宋体" w:hAnsi="宋体" w:cs="宋体"/>
          <w:b/>
          <w:bCs/>
          <w:color w:val="auto"/>
          <w:sz w:val="28"/>
          <w:szCs w:val="28"/>
          <w:highlight w:val="none"/>
          <w:u w:val="single"/>
          <w:lang w:val="en-US" w:eastAsia="zh-CN"/>
        </w:rPr>
        <w:t xml:space="preserve">   标段）</w:t>
      </w:r>
      <w:r>
        <w:rPr>
          <w:rFonts w:hint="eastAsia" w:ascii="宋体" w:hAnsi="宋体" w:eastAsia="宋体" w:cs="宋体"/>
          <w:b/>
          <w:color w:val="auto"/>
          <w:sz w:val="28"/>
          <w:szCs w:val="28"/>
          <w:highlight w:val="none"/>
          <w:u w:val="single"/>
          <w:lang w:val="en-US" w:eastAsia="zh-CN" w:bidi="ar-SA"/>
        </w:rPr>
        <w:t xml:space="preserve">                     </w:t>
      </w:r>
    </w:p>
    <w:p w14:paraId="1AF85D62">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172" w:leftChars="82" w:firstLine="0" w:firstLineChars="0"/>
        <w:jc w:val="left"/>
        <w:textAlignment w:val="auto"/>
        <w:rPr>
          <w:rFonts w:hint="eastAsia" w:ascii="宋体" w:hAnsi="宋体" w:eastAsia="宋体" w:cs="宋体"/>
          <w:b/>
          <w:color w:val="auto"/>
          <w:sz w:val="28"/>
          <w:szCs w:val="28"/>
          <w:highlight w:val="none"/>
          <w:u w:val="single"/>
          <w:lang w:val="en-US" w:eastAsia="zh-CN" w:bidi="ar-SA"/>
        </w:rPr>
      </w:pPr>
      <w:r>
        <w:rPr>
          <w:rFonts w:hint="eastAsia" w:ascii="宋体" w:hAnsi="宋体" w:eastAsia="宋体" w:cs="宋体"/>
          <w:b/>
          <w:color w:val="auto"/>
          <w:sz w:val="28"/>
          <w:szCs w:val="28"/>
          <w:highlight w:val="none"/>
          <w:lang w:val="en-US" w:eastAsia="zh-CN" w:bidi="ar-SA"/>
        </w:rPr>
        <w:t>投 标 人：</w:t>
      </w:r>
      <w:r>
        <w:rPr>
          <w:rFonts w:hint="eastAsia" w:ascii="宋体" w:hAnsi="宋体" w:eastAsia="宋体" w:cs="宋体"/>
          <w:b/>
          <w:color w:val="auto"/>
          <w:sz w:val="28"/>
          <w:szCs w:val="28"/>
          <w:highlight w:val="none"/>
          <w:u w:val="single"/>
          <w:lang w:val="en-US" w:eastAsia="zh-CN" w:bidi="ar-SA"/>
        </w:rPr>
        <w:t xml:space="preserve">                                    （盖公章） </w:t>
      </w:r>
    </w:p>
    <w:p w14:paraId="67A183A3">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147" w:leftChars="70" w:firstLine="0" w:firstLineChars="0"/>
        <w:jc w:val="left"/>
        <w:textAlignment w:val="auto"/>
        <w:rPr>
          <w:rFonts w:hint="eastAsia" w:ascii="宋体" w:hAnsi="宋体" w:eastAsia="宋体" w:cs="宋体"/>
          <w:b/>
          <w:color w:val="auto"/>
          <w:sz w:val="28"/>
          <w:szCs w:val="28"/>
          <w:highlight w:val="none"/>
          <w:u w:val="single"/>
          <w:lang w:val="en-US" w:eastAsia="zh-CN" w:bidi="ar-SA"/>
        </w:rPr>
      </w:pPr>
      <w:r>
        <w:rPr>
          <w:rFonts w:hint="eastAsia" w:ascii="宋体" w:hAnsi="宋体" w:eastAsia="宋体" w:cs="宋体"/>
          <w:b/>
          <w:color w:val="auto"/>
          <w:sz w:val="28"/>
          <w:szCs w:val="28"/>
          <w:highlight w:val="none"/>
          <w:lang w:val="en-US" w:eastAsia="zh-CN" w:bidi="ar-SA"/>
        </w:rPr>
        <w:t>法定代表人或其委托代理人：</w:t>
      </w:r>
      <w:r>
        <w:rPr>
          <w:rFonts w:hint="eastAsia" w:ascii="宋体" w:hAnsi="宋体" w:eastAsia="宋体" w:cs="宋体"/>
          <w:b/>
          <w:color w:val="auto"/>
          <w:sz w:val="28"/>
          <w:szCs w:val="28"/>
          <w:highlight w:val="none"/>
          <w:u w:val="single"/>
          <w:lang w:val="en-US" w:eastAsia="zh-CN" w:bidi="ar-SA"/>
        </w:rPr>
        <w:t xml:space="preserve">                  （签字或盖章）</w:t>
      </w:r>
    </w:p>
    <w:p w14:paraId="2E25C661">
      <w:pPr>
        <w:adjustRightInd w:val="0"/>
        <w:spacing w:before="48" w:beforeLines="20" w:after="48" w:afterLines="20" w:line="360" w:lineRule="auto"/>
        <w:jc w:val="left"/>
        <w:rPr>
          <w:rFonts w:hint="eastAsia" w:ascii="宋体" w:hAnsi="宋体"/>
          <w:b/>
          <w:color w:val="auto"/>
          <w:kern w:val="0"/>
          <w:sz w:val="24"/>
          <w:szCs w:val="24"/>
          <w:highlight w:val="none"/>
        </w:rPr>
      </w:pPr>
    </w:p>
    <w:p w14:paraId="5D50D9F2">
      <w:pPr>
        <w:adjustRightInd w:val="0"/>
        <w:spacing w:before="48" w:beforeLines="20" w:after="48" w:afterLines="20" w:line="360" w:lineRule="auto"/>
        <w:jc w:val="left"/>
        <w:rPr>
          <w:rFonts w:hint="eastAsia" w:ascii="宋体" w:hAnsi="宋体"/>
          <w:b/>
          <w:color w:val="auto"/>
          <w:kern w:val="0"/>
          <w:sz w:val="24"/>
          <w:szCs w:val="24"/>
          <w:highlight w:val="none"/>
        </w:rPr>
      </w:pPr>
    </w:p>
    <w:p w14:paraId="05137CED">
      <w:pPr>
        <w:adjustRightInd w:val="0"/>
        <w:spacing w:before="48" w:beforeLines="20" w:after="48" w:afterLines="20" w:line="360" w:lineRule="auto"/>
        <w:jc w:val="center"/>
        <w:rPr>
          <w:rFonts w:hint="eastAsia" w:ascii="宋体" w:hAnsi="宋体"/>
          <w:b/>
          <w:color w:val="auto"/>
          <w:kern w:val="0"/>
          <w:sz w:val="24"/>
          <w:szCs w:val="24"/>
          <w:highlight w:val="none"/>
        </w:rPr>
      </w:pPr>
      <w:r>
        <w:rPr>
          <w:rFonts w:hint="eastAsia" w:ascii="宋体" w:hAnsi="宋体"/>
          <w:b/>
          <w:color w:val="auto"/>
          <w:kern w:val="0"/>
          <w:sz w:val="24"/>
          <w:szCs w:val="24"/>
          <w:highlight w:val="none"/>
        </w:rPr>
        <w:t>日  期：</w:t>
      </w:r>
      <w:r>
        <w:rPr>
          <w:rFonts w:hint="eastAsia" w:ascii="宋体" w:hAnsi="宋体"/>
          <w:b/>
          <w:color w:val="auto"/>
          <w:kern w:val="0"/>
          <w:sz w:val="24"/>
          <w:szCs w:val="24"/>
          <w:highlight w:val="none"/>
          <w:u w:val="single"/>
        </w:rPr>
        <w:t xml:space="preserve">      </w:t>
      </w:r>
      <w:r>
        <w:rPr>
          <w:rFonts w:hint="eastAsia" w:ascii="宋体" w:hAnsi="宋体"/>
          <w:b/>
          <w:color w:val="auto"/>
          <w:kern w:val="0"/>
          <w:sz w:val="24"/>
          <w:szCs w:val="24"/>
          <w:highlight w:val="none"/>
        </w:rPr>
        <w:t xml:space="preserve"> 年</w:t>
      </w:r>
      <w:r>
        <w:rPr>
          <w:rFonts w:hint="eastAsia" w:ascii="宋体" w:hAnsi="宋体"/>
          <w:b/>
          <w:color w:val="auto"/>
          <w:kern w:val="0"/>
          <w:sz w:val="24"/>
          <w:szCs w:val="24"/>
          <w:highlight w:val="none"/>
          <w:u w:val="single"/>
        </w:rPr>
        <w:t xml:space="preserve">     </w:t>
      </w:r>
      <w:r>
        <w:rPr>
          <w:rFonts w:hint="eastAsia" w:ascii="宋体" w:hAnsi="宋体"/>
          <w:b/>
          <w:color w:val="auto"/>
          <w:kern w:val="0"/>
          <w:sz w:val="24"/>
          <w:szCs w:val="24"/>
          <w:highlight w:val="none"/>
        </w:rPr>
        <w:t xml:space="preserve"> 月</w:t>
      </w:r>
      <w:r>
        <w:rPr>
          <w:rFonts w:hint="eastAsia" w:ascii="宋体" w:hAnsi="宋体"/>
          <w:b/>
          <w:color w:val="auto"/>
          <w:kern w:val="0"/>
          <w:sz w:val="24"/>
          <w:szCs w:val="24"/>
          <w:highlight w:val="none"/>
          <w:u w:val="single"/>
        </w:rPr>
        <w:t xml:space="preserve">     </w:t>
      </w:r>
      <w:r>
        <w:rPr>
          <w:rFonts w:hint="eastAsia" w:ascii="宋体" w:hAnsi="宋体"/>
          <w:b/>
          <w:color w:val="auto"/>
          <w:kern w:val="0"/>
          <w:sz w:val="24"/>
          <w:szCs w:val="24"/>
          <w:highlight w:val="none"/>
        </w:rPr>
        <w:t>日</w:t>
      </w:r>
    </w:p>
    <w:p w14:paraId="4FB314A8">
      <w:pPr>
        <w:rPr>
          <w:rFonts w:hint="eastAsia" w:cs="宋体" w:asciiTheme="minorEastAsia" w:hAnsiTheme="minorEastAsia" w:eastAsiaTheme="minorEastAsia"/>
          <w:b/>
          <w:bCs/>
          <w:color w:val="auto"/>
          <w:sz w:val="28"/>
          <w:szCs w:val="28"/>
          <w:highlight w:val="none"/>
        </w:rPr>
      </w:pPr>
    </w:p>
    <w:p w14:paraId="265153E1">
      <w:pP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br w:type="page"/>
      </w:r>
    </w:p>
    <w:p w14:paraId="1B8B961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投标</w:t>
      </w:r>
      <w:r>
        <w:rPr>
          <w:rFonts w:hint="eastAsia" w:ascii="宋体" w:hAnsi="宋体" w:cs="宋体"/>
          <w:color w:val="auto"/>
          <w:sz w:val="24"/>
          <w:szCs w:val="24"/>
        </w:rPr>
        <w:t>单位应按下列名称、顺序、格式编列投标文件：</w:t>
      </w:r>
    </w:p>
    <w:p w14:paraId="7C28F2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1．法定代表人身份证明书（详见格式）</w:t>
      </w:r>
    </w:p>
    <w:p w14:paraId="0EB86D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2．授权委托书（详见格式）</w:t>
      </w:r>
    </w:p>
    <w:p w14:paraId="59BCCE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3．投标函（详见格式）</w:t>
      </w:r>
    </w:p>
    <w:p w14:paraId="5573CC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4. 无被限制投标承诺函（详见格式）</w:t>
      </w:r>
    </w:p>
    <w:p w14:paraId="056423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承诺书（详见格式）</w:t>
      </w:r>
    </w:p>
    <w:p w14:paraId="6D1017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6.诚信承诺书</w:t>
      </w:r>
      <w:r>
        <w:rPr>
          <w:rFonts w:hint="eastAsia" w:ascii="宋体" w:hAnsi="宋体" w:cs="宋体"/>
          <w:color w:val="auto"/>
          <w:sz w:val="24"/>
          <w:szCs w:val="24"/>
        </w:rPr>
        <w:t>（详见格式）</w:t>
      </w:r>
    </w:p>
    <w:p w14:paraId="03823B7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．投标综合说明</w:t>
      </w:r>
    </w:p>
    <w:p w14:paraId="5C68F0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．1企业概况</w:t>
      </w:r>
    </w:p>
    <w:p w14:paraId="6C8ED0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．2监理过类似工程的合同一览表（详见格式）以及目前正在监理的工程一览表（详见格式）；</w:t>
      </w:r>
    </w:p>
    <w:p w14:paraId="354ED7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3派驻本工程的监理机构组织形式和人员，总监理工程师、各专业监理工程师的简历表（详见格式）；总监理工程师监理过类似工程、目前正在监理的工程一览表（详见格式）；拟派本项目总监理工程师和各专业监理工程师的资格证书，拟派本项目监理员和见证员，以及提供上述人员的</w:t>
      </w:r>
      <w:r>
        <w:rPr>
          <w:rFonts w:hint="eastAsia" w:ascii="宋体" w:hAnsi="宋体"/>
          <w:color w:val="auto"/>
          <w:sz w:val="24"/>
          <w:szCs w:val="24"/>
          <w:lang w:eastAsia="zh-CN"/>
        </w:rPr>
        <w:t>投标截止时间</w:t>
      </w:r>
      <w:r>
        <w:rPr>
          <w:rFonts w:hint="eastAsia" w:ascii="宋体" w:hAnsi="宋体"/>
          <w:color w:val="auto"/>
          <w:sz w:val="24"/>
          <w:szCs w:val="24"/>
        </w:rPr>
        <w:t>前半年内在该投标单位连续三个月的社保缴纳证明</w:t>
      </w:r>
      <w:r>
        <w:rPr>
          <w:rFonts w:hint="eastAsia" w:ascii="宋体" w:hAnsi="宋体" w:cs="宋体"/>
          <w:color w:val="auto"/>
          <w:sz w:val="24"/>
          <w:szCs w:val="24"/>
        </w:rPr>
        <w:t>，且应是投标人本单位工作人员。</w:t>
      </w:r>
    </w:p>
    <w:p w14:paraId="1BE641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．4</w:t>
      </w:r>
      <w:r>
        <w:rPr>
          <w:rFonts w:ascii="宋体" w:hAnsi="宋体" w:cs="宋体"/>
          <w:color w:val="auto"/>
          <w:sz w:val="24"/>
          <w:szCs w:val="24"/>
        </w:rPr>
        <w:t>承诺企业及项目总监理工程师</w:t>
      </w:r>
      <w:r>
        <w:rPr>
          <w:rFonts w:hint="eastAsia" w:ascii="宋体" w:hAnsi="宋体" w:cs="宋体"/>
          <w:color w:val="auto"/>
          <w:sz w:val="24"/>
          <w:szCs w:val="24"/>
        </w:rPr>
        <w:t>至投标</w:t>
      </w:r>
      <w:r>
        <w:rPr>
          <w:rFonts w:ascii="宋体" w:hAnsi="宋体" w:cs="宋体"/>
          <w:color w:val="auto"/>
          <w:sz w:val="24"/>
          <w:szCs w:val="24"/>
        </w:rPr>
        <w:t>截止</w:t>
      </w:r>
      <w:r>
        <w:rPr>
          <w:rFonts w:hint="eastAsia" w:ascii="宋体" w:hAnsi="宋体" w:cs="宋体"/>
          <w:color w:val="auto"/>
          <w:sz w:val="24"/>
          <w:szCs w:val="24"/>
        </w:rPr>
        <w:t>之日</w:t>
      </w:r>
      <w:r>
        <w:rPr>
          <w:rFonts w:ascii="宋体" w:hAnsi="宋体" w:cs="宋体"/>
          <w:color w:val="auto"/>
          <w:sz w:val="24"/>
          <w:szCs w:val="24"/>
        </w:rPr>
        <w:t>都未在被限制投标期间内（</w:t>
      </w:r>
      <w:r>
        <w:rPr>
          <w:rFonts w:hint="eastAsia" w:ascii="宋体" w:hAnsi="宋体" w:cs="宋体"/>
          <w:color w:val="auto"/>
          <w:sz w:val="24"/>
          <w:szCs w:val="24"/>
        </w:rPr>
        <w:t>受到招投标行政监管部门和政府行业监管部门限制投标的行政处罚</w:t>
      </w:r>
      <w:r>
        <w:rPr>
          <w:rFonts w:ascii="宋体" w:hAnsi="宋体" w:cs="宋体"/>
          <w:color w:val="auto"/>
          <w:sz w:val="24"/>
          <w:szCs w:val="24"/>
        </w:rPr>
        <w:t>的）的承诺函</w:t>
      </w:r>
      <w:r>
        <w:rPr>
          <w:rFonts w:hint="eastAsia" w:ascii="宋体" w:hAnsi="宋体" w:cs="宋体"/>
          <w:color w:val="auto"/>
          <w:sz w:val="24"/>
          <w:szCs w:val="24"/>
        </w:rPr>
        <w:t>；</w:t>
      </w:r>
    </w:p>
    <w:p w14:paraId="3A9BFA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．投入本工程办公检测仪器、设备汇总表</w:t>
      </w:r>
    </w:p>
    <w:p w14:paraId="7B36D8E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．监理规划和监理大纲</w:t>
      </w:r>
    </w:p>
    <w:p w14:paraId="448493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.1监理工作概况；</w:t>
      </w:r>
    </w:p>
    <w:p w14:paraId="621C18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.2监理工作内容和依据；</w:t>
      </w:r>
    </w:p>
    <w:p w14:paraId="44EB03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.3控制工程合同、质量、进度、安全文明施工、投资的主要手段和措施；</w:t>
      </w:r>
    </w:p>
    <w:p w14:paraId="2E9B7B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.4监理工作计划；</w:t>
      </w:r>
    </w:p>
    <w:p w14:paraId="60FC2B9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.5监理人员工作守则；</w:t>
      </w:r>
    </w:p>
    <w:p w14:paraId="429FE6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.6对工程施工的难点、要点和关键部分的阐明及监理实施意见；</w:t>
      </w:r>
    </w:p>
    <w:p w14:paraId="6C2594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 xml:space="preserve">.7对本工程的其他建议、要求； </w:t>
      </w:r>
    </w:p>
    <w:p w14:paraId="038ABB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监理服务费</w:t>
      </w:r>
      <w:r>
        <w:rPr>
          <w:rFonts w:hint="eastAsia" w:ascii="宋体" w:hAnsi="宋体" w:cs="宋体"/>
          <w:color w:val="auto"/>
          <w:sz w:val="24"/>
          <w:szCs w:val="24"/>
        </w:rPr>
        <w:t>投标报价表（详见格式）</w:t>
      </w:r>
    </w:p>
    <w:p w14:paraId="6A5733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11</w:t>
      </w:r>
      <w:r>
        <w:rPr>
          <w:rFonts w:hint="eastAsia" w:ascii="宋体" w:hAnsi="宋体" w:cs="宋体"/>
          <w:color w:val="auto"/>
          <w:sz w:val="24"/>
          <w:szCs w:val="24"/>
        </w:rPr>
        <w:t>．相关证明材料</w:t>
      </w:r>
    </w:p>
    <w:p w14:paraId="1FD835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olor w:val="auto"/>
          <w:sz w:val="24"/>
          <w:szCs w:val="24"/>
        </w:rPr>
        <w:t xml:space="preserve"> </w:t>
      </w:r>
      <w:r>
        <w:rPr>
          <w:rFonts w:hint="eastAsia" w:ascii="宋体" w:hAnsi="宋体" w:cs="宋体"/>
          <w:color w:val="auto"/>
          <w:sz w:val="24"/>
          <w:szCs w:val="24"/>
        </w:rPr>
        <w:t>投标人认为需要提供的其他证明材料</w:t>
      </w:r>
    </w:p>
    <w:p w14:paraId="57782115">
      <w:pPr>
        <w:spacing w:line="360" w:lineRule="auto"/>
        <w:jc w:val="center"/>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法定代表人身份证明书</w:t>
      </w:r>
    </w:p>
    <w:p w14:paraId="0FE3797A">
      <w:pPr>
        <w:spacing w:line="360" w:lineRule="auto"/>
        <w:ind w:firstLine="820" w:firstLineChars="342"/>
        <w:rPr>
          <w:rFonts w:cs="宋体" w:asciiTheme="minorEastAsia" w:hAnsiTheme="minorEastAsia" w:eastAsiaTheme="minorEastAsia"/>
          <w:color w:val="auto"/>
          <w:sz w:val="24"/>
          <w:szCs w:val="24"/>
          <w:highlight w:val="none"/>
        </w:rPr>
      </w:pPr>
    </w:p>
    <w:p w14:paraId="5703FFF4">
      <w:pPr>
        <w:spacing w:line="360" w:lineRule="auto"/>
        <w:rPr>
          <w:rFonts w:cs="宋体" w:asciiTheme="minorEastAsia" w:hAnsiTheme="minorEastAsia" w:eastAsiaTheme="minorEastAsia"/>
          <w:color w:val="auto"/>
          <w:sz w:val="24"/>
          <w:szCs w:val="24"/>
          <w:highlight w:val="none"/>
        </w:rPr>
      </w:pPr>
    </w:p>
    <w:p w14:paraId="7FB78688">
      <w:pPr>
        <w:spacing w:line="360" w:lineRule="auto"/>
        <w:rPr>
          <w:rFonts w:cs="宋体" w:asciiTheme="minorEastAsia" w:hAnsiTheme="minorEastAsia" w:eastAsiaTheme="minorEastAsia"/>
          <w:color w:val="auto"/>
          <w:sz w:val="24"/>
          <w:szCs w:val="24"/>
          <w:highlight w:val="none"/>
        </w:rPr>
      </w:pPr>
    </w:p>
    <w:p w14:paraId="160A4CA0">
      <w:pPr>
        <w:spacing w:line="360" w:lineRule="auto"/>
        <w:ind w:firstLine="460" w:firstLineChars="192"/>
        <w:rPr>
          <w:rFonts w:hint="default" w:cs="宋体" w:asciiTheme="minorEastAsia" w:hAnsiTheme="minorEastAsia" w:eastAsiaTheme="minorEastAsia"/>
          <w:color w:val="auto"/>
          <w:sz w:val="24"/>
          <w:szCs w:val="24"/>
          <w:highlight w:val="none"/>
          <w:u w:val="single"/>
          <w:lang w:val="en-US" w:eastAsia="zh-CN"/>
        </w:rPr>
      </w:pPr>
      <w:r>
        <w:rPr>
          <w:rFonts w:hint="eastAsia" w:cs="宋体" w:asciiTheme="minorEastAsia" w:hAnsiTheme="minorEastAsia" w:eastAsiaTheme="minorEastAsia"/>
          <w:color w:val="auto"/>
          <w:sz w:val="24"/>
          <w:szCs w:val="24"/>
          <w:highlight w:val="none"/>
        </w:rPr>
        <w:t>单位名称：</w:t>
      </w:r>
      <w:r>
        <w:rPr>
          <w:rFonts w:hint="eastAsia" w:cs="宋体" w:asciiTheme="minorEastAsia" w:hAnsiTheme="minorEastAsia" w:eastAsiaTheme="minorEastAsia"/>
          <w:color w:val="auto"/>
          <w:sz w:val="24"/>
          <w:szCs w:val="24"/>
          <w:highlight w:val="none"/>
          <w:u w:val="single"/>
          <w:lang w:val="en-US" w:eastAsia="zh-CN"/>
        </w:rPr>
        <w:t xml:space="preserve">                                      </w:t>
      </w:r>
    </w:p>
    <w:p w14:paraId="62EDF78C">
      <w:pPr>
        <w:spacing w:line="360" w:lineRule="auto"/>
        <w:ind w:firstLine="460" w:firstLineChars="192"/>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w:t>
      </w:r>
      <w:r>
        <w:rPr>
          <w:rFonts w:hint="eastAsia" w:cs="宋体" w:asciiTheme="minorEastAsia" w:hAnsiTheme="minorEastAsia" w:eastAsiaTheme="minorEastAsia"/>
          <w:color w:val="auto"/>
          <w:sz w:val="24"/>
          <w:szCs w:val="24"/>
          <w:highlight w:val="none"/>
          <w:u w:val="single"/>
          <w:lang w:val="en-US" w:eastAsia="zh-CN"/>
        </w:rPr>
        <w:t xml:space="preserve">                                      </w:t>
      </w:r>
    </w:p>
    <w:p w14:paraId="5FDED2B0">
      <w:pPr>
        <w:spacing w:line="360" w:lineRule="auto"/>
        <w:ind w:firstLine="460" w:firstLineChars="192"/>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姓名：</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性别：</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年龄：</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职务：</w:t>
      </w:r>
      <w:r>
        <w:rPr>
          <w:rFonts w:hint="eastAsia" w:cs="宋体" w:asciiTheme="minorEastAsia" w:hAnsiTheme="minorEastAsia" w:eastAsiaTheme="minorEastAsia"/>
          <w:color w:val="auto"/>
          <w:sz w:val="24"/>
          <w:szCs w:val="24"/>
          <w:highlight w:val="none"/>
          <w:u w:val="single"/>
          <w:lang w:val="en-US" w:eastAsia="zh-CN"/>
        </w:rPr>
        <w:t xml:space="preserve">      </w:t>
      </w:r>
    </w:p>
    <w:p w14:paraId="74E1621E">
      <w:pPr>
        <w:spacing w:line="360" w:lineRule="auto"/>
        <w:ind w:firstLine="460" w:firstLineChars="192"/>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系的法定代表人。为委托监理的工程，签署投标文件，进行合同谈判、签署合同和处理与之有关的一切事务。</w:t>
      </w:r>
    </w:p>
    <w:p w14:paraId="1DDB2E2C">
      <w:pPr>
        <w:spacing w:line="360" w:lineRule="auto"/>
        <w:rPr>
          <w:rFonts w:cs="宋体" w:asciiTheme="minorEastAsia" w:hAnsiTheme="minorEastAsia" w:eastAsiaTheme="minorEastAsia"/>
          <w:color w:val="auto"/>
          <w:sz w:val="24"/>
          <w:szCs w:val="24"/>
          <w:highlight w:val="none"/>
        </w:rPr>
      </w:pPr>
    </w:p>
    <w:p w14:paraId="2558ACE5">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特此证明。</w:t>
      </w:r>
    </w:p>
    <w:p w14:paraId="003A9ABB">
      <w:pPr>
        <w:spacing w:line="360" w:lineRule="auto"/>
        <w:ind w:firstLine="480" w:firstLineChars="200"/>
        <w:rPr>
          <w:rFonts w:cs="宋体" w:asciiTheme="minorEastAsia" w:hAnsiTheme="minorEastAsia" w:eastAsiaTheme="minorEastAsia"/>
          <w:color w:val="auto"/>
          <w:sz w:val="24"/>
          <w:szCs w:val="24"/>
          <w:highlight w:val="none"/>
        </w:rPr>
      </w:pPr>
    </w:p>
    <w:p w14:paraId="5787D3FE">
      <w:pPr>
        <w:spacing w:line="360" w:lineRule="auto"/>
        <w:ind w:firstLine="480" w:firstLineChars="200"/>
        <w:rPr>
          <w:rFonts w:cs="宋体" w:asciiTheme="minorEastAsia" w:hAnsiTheme="minorEastAsia" w:eastAsiaTheme="minorEastAsia"/>
          <w:color w:val="auto"/>
          <w:sz w:val="24"/>
          <w:szCs w:val="24"/>
          <w:highlight w:val="none"/>
        </w:rPr>
      </w:pPr>
    </w:p>
    <w:p w14:paraId="26056130">
      <w:pPr>
        <w:spacing w:line="360" w:lineRule="auto"/>
        <w:ind w:firstLine="480" w:firstLineChars="200"/>
        <w:rPr>
          <w:rFonts w:cs="宋体" w:asciiTheme="minorEastAsia" w:hAnsiTheme="minorEastAsia" w:eastAsiaTheme="minorEastAsia"/>
          <w:color w:val="auto"/>
          <w:sz w:val="24"/>
          <w:szCs w:val="24"/>
          <w:highlight w:val="none"/>
        </w:rPr>
      </w:pPr>
    </w:p>
    <w:p w14:paraId="2A0E8035">
      <w:pPr>
        <w:spacing w:line="360" w:lineRule="auto"/>
        <w:ind w:firstLine="480" w:firstLineChars="200"/>
        <w:rPr>
          <w:rFonts w:cs="宋体" w:asciiTheme="minorEastAsia" w:hAnsiTheme="minorEastAsia" w:eastAsiaTheme="minorEastAsia"/>
          <w:color w:val="auto"/>
          <w:sz w:val="24"/>
          <w:szCs w:val="24"/>
          <w:highlight w:val="none"/>
        </w:rPr>
      </w:pPr>
    </w:p>
    <w:p w14:paraId="4E015BF2">
      <w:pPr>
        <w:spacing w:line="360" w:lineRule="auto"/>
        <w:ind w:firstLine="960" w:firstLineChars="40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投标人：</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w:t>
      </w:r>
      <w:r>
        <w:rPr>
          <w:rFonts w:hint="eastAsia" w:cs="宋体" w:asciiTheme="minorEastAsia" w:hAnsiTheme="minorEastAsia" w:eastAsiaTheme="minorEastAsia"/>
          <w:color w:val="auto"/>
          <w:sz w:val="24"/>
          <w:szCs w:val="24"/>
          <w:highlight w:val="none"/>
          <w:u w:val="none"/>
        </w:rPr>
        <w:t>盖公章）</w:t>
      </w:r>
    </w:p>
    <w:p w14:paraId="7AF6F645">
      <w:pPr>
        <w:spacing w:line="360" w:lineRule="auto"/>
        <w:ind w:firstLine="960" w:firstLineChars="4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日期：</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日</w:t>
      </w:r>
    </w:p>
    <w:p w14:paraId="4FC00C91">
      <w:pPr>
        <w:spacing w:line="360" w:lineRule="auto"/>
        <w:ind w:firstLine="1120" w:firstLineChars="400"/>
        <w:rPr>
          <w:rFonts w:cs="宋体" w:asciiTheme="minorEastAsia" w:hAnsiTheme="minorEastAsia" w:eastAsiaTheme="minorEastAsia"/>
          <w:color w:val="auto"/>
          <w:sz w:val="28"/>
          <w:highlight w:val="none"/>
        </w:rPr>
      </w:pPr>
      <w:r>
        <w:rPr>
          <w:rFonts w:hint="eastAsia" w:cs="宋体" w:asciiTheme="minorEastAsia" w:hAnsiTheme="minorEastAsia" w:eastAsiaTheme="minorEastAsia"/>
          <w:color w:val="auto"/>
          <w:sz w:val="28"/>
          <w:highlight w:val="none"/>
        </w:rPr>
        <w:br w:type="page"/>
      </w:r>
    </w:p>
    <w:p w14:paraId="403302EB">
      <w:pPr>
        <w:spacing w:line="360" w:lineRule="auto"/>
        <w:jc w:val="center"/>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授权委托书</w:t>
      </w:r>
    </w:p>
    <w:p w14:paraId="245BCEBE">
      <w:pPr>
        <w:spacing w:line="360" w:lineRule="auto"/>
        <w:rPr>
          <w:rFonts w:cs="宋体" w:asciiTheme="minorEastAsia" w:hAnsiTheme="minorEastAsia" w:eastAsiaTheme="minorEastAsia"/>
          <w:b/>
          <w:color w:val="auto"/>
          <w:sz w:val="24"/>
          <w:szCs w:val="24"/>
          <w:highlight w:val="none"/>
        </w:rPr>
      </w:pPr>
    </w:p>
    <w:p w14:paraId="3DBD078B">
      <w:pPr>
        <w:spacing w:line="360" w:lineRule="auto"/>
        <w:rPr>
          <w:rFonts w:cs="宋体" w:asciiTheme="minorEastAsia" w:hAnsiTheme="minorEastAsia" w:eastAsiaTheme="minorEastAsia"/>
          <w:b/>
          <w:color w:val="auto"/>
          <w:sz w:val="24"/>
          <w:szCs w:val="24"/>
          <w:highlight w:val="none"/>
        </w:rPr>
      </w:pPr>
    </w:p>
    <w:p w14:paraId="1ECAE06D">
      <w:pPr>
        <w:spacing w:line="360" w:lineRule="auto"/>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致：</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bCs/>
          <w:color w:val="auto"/>
          <w:sz w:val="24"/>
          <w:szCs w:val="24"/>
          <w:highlight w:val="none"/>
        </w:rPr>
        <w:t>：</w:t>
      </w:r>
    </w:p>
    <w:p w14:paraId="250128FA">
      <w:pPr>
        <w:spacing w:line="360" w:lineRule="auto"/>
        <w:ind w:firstLine="48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我以</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bCs/>
          <w:color w:val="auto"/>
          <w:sz w:val="24"/>
          <w:szCs w:val="24"/>
          <w:highlight w:val="none"/>
        </w:rPr>
        <w:t>（公司名称）法定代表人的身份授权</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bCs/>
          <w:color w:val="auto"/>
          <w:sz w:val="24"/>
          <w:szCs w:val="24"/>
          <w:highlight w:val="none"/>
        </w:rPr>
        <w:t>（姓名）、身份证号</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bCs/>
          <w:color w:val="auto"/>
          <w:sz w:val="24"/>
          <w:szCs w:val="24"/>
          <w:highlight w:val="none"/>
        </w:rPr>
        <w:t>，电话</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bCs/>
          <w:color w:val="auto"/>
          <w:sz w:val="24"/>
          <w:szCs w:val="24"/>
          <w:highlight w:val="none"/>
        </w:rPr>
        <w:t>，为我单位的全权代表，以我单位的名义签署</w:t>
      </w:r>
      <w:r>
        <w:rPr>
          <w:rFonts w:hint="eastAsia" w:cs="宋体" w:asciiTheme="minorEastAsia" w:hAnsiTheme="minorEastAsia" w:eastAsiaTheme="minorEastAsia"/>
          <w:bCs/>
          <w:color w:val="auto"/>
          <w:sz w:val="24"/>
          <w:szCs w:val="24"/>
          <w:highlight w:val="none"/>
          <w:u w:val="single"/>
          <w:lang w:val="en-US" w:eastAsia="zh-CN"/>
        </w:rPr>
        <w:t xml:space="preserve">  铜陵狮子山高新区污水处理厂二期配套工程监理（   标段）    </w:t>
      </w:r>
      <w:r>
        <w:rPr>
          <w:rFonts w:hint="eastAsia" w:cs="宋体" w:asciiTheme="minorEastAsia" w:hAnsiTheme="minorEastAsia" w:eastAsiaTheme="minorEastAsia"/>
          <w:bCs/>
          <w:color w:val="auto"/>
          <w:sz w:val="24"/>
          <w:szCs w:val="24"/>
          <w:highlight w:val="none"/>
        </w:rPr>
        <w:t>的投标书及其它文件，参加开标、澄清、商签合同以及处理与之有关的其它事务，我单位均予承认。</w:t>
      </w:r>
    </w:p>
    <w:p w14:paraId="4EB60DE5">
      <w:pPr>
        <w:spacing w:line="360" w:lineRule="auto"/>
        <w:rPr>
          <w:rFonts w:cs="宋体" w:asciiTheme="minorEastAsia" w:hAnsiTheme="minorEastAsia" w:eastAsiaTheme="minorEastAsia"/>
          <w:bCs/>
          <w:color w:val="auto"/>
          <w:sz w:val="24"/>
          <w:szCs w:val="24"/>
          <w:highlight w:val="none"/>
        </w:rPr>
      </w:pPr>
    </w:p>
    <w:p w14:paraId="79EF4C40">
      <w:pPr>
        <w:spacing w:line="360" w:lineRule="auto"/>
        <w:rPr>
          <w:rFonts w:cs="宋体" w:asciiTheme="minorEastAsia" w:hAnsiTheme="minorEastAsia" w:eastAsiaTheme="minorEastAsia"/>
          <w:bCs/>
          <w:color w:val="auto"/>
          <w:sz w:val="24"/>
          <w:szCs w:val="24"/>
          <w:highlight w:val="none"/>
        </w:rPr>
      </w:pPr>
    </w:p>
    <w:p w14:paraId="4978D251">
      <w:pPr>
        <w:spacing w:line="360" w:lineRule="auto"/>
        <w:ind w:firstLine="48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投标单位（公章）：</w:t>
      </w:r>
    </w:p>
    <w:p w14:paraId="1BF41F19">
      <w:pPr>
        <w:spacing w:line="360" w:lineRule="auto"/>
        <w:rPr>
          <w:rFonts w:cs="宋体" w:asciiTheme="minorEastAsia" w:hAnsiTheme="minorEastAsia" w:eastAsiaTheme="minorEastAsia"/>
          <w:bCs/>
          <w:color w:val="auto"/>
          <w:sz w:val="24"/>
          <w:szCs w:val="24"/>
          <w:highlight w:val="none"/>
        </w:rPr>
      </w:pPr>
    </w:p>
    <w:p w14:paraId="15BD819D">
      <w:pPr>
        <w:spacing w:line="360" w:lineRule="auto"/>
        <w:ind w:firstLine="48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法定代表（签字或盖章）：</w:t>
      </w:r>
    </w:p>
    <w:p w14:paraId="464ACDB1">
      <w:pPr>
        <w:spacing w:line="360" w:lineRule="auto"/>
        <w:rPr>
          <w:rFonts w:cs="宋体" w:asciiTheme="minorEastAsia" w:hAnsiTheme="minorEastAsia" w:eastAsiaTheme="minorEastAsia"/>
          <w:bCs/>
          <w:color w:val="auto"/>
          <w:sz w:val="24"/>
          <w:szCs w:val="24"/>
          <w:highlight w:val="none"/>
        </w:rPr>
      </w:pPr>
    </w:p>
    <w:p w14:paraId="3BC84D7E">
      <w:pPr>
        <w:spacing w:line="360" w:lineRule="auto"/>
        <w:ind w:firstLine="48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电话：</w:t>
      </w:r>
    </w:p>
    <w:p w14:paraId="22B8AF1A">
      <w:pPr>
        <w:spacing w:line="360" w:lineRule="auto"/>
        <w:rPr>
          <w:rFonts w:cs="宋体" w:asciiTheme="minorEastAsia" w:hAnsiTheme="minorEastAsia" w:eastAsiaTheme="minorEastAsia"/>
          <w:bCs/>
          <w:color w:val="auto"/>
          <w:sz w:val="24"/>
          <w:szCs w:val="24"/>
          <w:highlight w:val="none"/>
        </w:rPr>
      </w:pPr>
    </w:p>
    <w:p w14:paraId="636305FE">
      <w:pPr>
        <w:spacing w:line="360" w:lineRule="auto"/>
        <w:ind w:firstLine="960" w:firstLineChars="400"/>
        <w:jc w:val="righ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日</w:t>
      </w:r>
    </w:p>
    <w:p w14:paraId="7474ED83">
      <w:pPr>
        <w:spacing w:line="360" w:lineRule="auto"/>
        <w:rPr>
          <w:rFonts w:cs="宋体" w:asciiTheme="minorEastAsia" w:hAnsiTheme="minorEastAsia" w:eastAsiaTheme="minorEastAsia"/>
          <w:b/>
          <w:color w:val="auto"/>
          <w:sz w:val="28"/>
          <w:szCs w:val="28"/>
          <w:highlight w:val="none"/>
        </w:rPr>
      </w:pPr>
    </w:p>
    <w:p w14:paraId="4551E72E">
      <w:pPr>
        <w:spacing w:line="360" w:lineRule="auto"/>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br w:type="page"/>
      </w:r>
    </w:p>
    <w:p w14:paraId="18DDE8D7">
      <w:pPr>
        <w:spacing w:line="360" w:lineRule="auto"/>
        <w:jc w:val="center"/>
        <w:rPr>
          <w:rFonts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rPr>
        <w:t>投标函</w:t>
      </w:r>
    </w:p>
    <w:p w14:paraId="7019AAB6">
      <w:pPr>
        <w:spacing w:line="360" w:lineRule="auto"/>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致：</w:t>
      </w:r>
      <w:r>
        <w:rPr>
          <w:rFonts w:hint="eastAsia" w:cs="宋体" w:asciiTheme="minorEastAsia" w:hAnsiTheme="minorEastAsia" w:eastAsiaTheme="minorEastAsia"/>
          <w:color w:val="auto"/>
          <w:sz w:val="24"/>
          <w:szCs w:val="24"/>
          <w:highlight w:val="none"/>
          <w:u w:val="single"/>
        </w:rPr>
        <w:t>（招标人名称）</w:t>
      </w:r>
    </w:p>
    <w:p w14:paraId="65A04FEE">
      <w:pPr>
        <w:spacing w:line="360" w:lineRule="auto"/>
        <w:ind w:firstLine="532" w:firstLineChars="222"/>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我方已全面阅读和研究贵方的招标编号为的工程监理招标文件和招标补充文件，并经过对施工现场的踏勘，澄清疑问，已充分理解并掌握了此次工程招标的全部有关情况。同意接受招标文件的全部内容和条件，并按此确定本工程监理投标的全部内容，以本投标书向你方发包的全部内容进行投标。监理费分别为：</w:t>
      </w:r>
    </w:p>
    <w:p w14:paraId="30CDE46B">
      <w:pPr>
        <w:pStyle w:val="53"/>
        <w:spacing w:line="360" w:lineRule="auto"/>
        <w:ind w:firstLine="560"/>
        <w:jc w:val="left"/>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1、工程监理费为</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，负责本工程的总监是</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、监理人数</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 xml:space="preserve">人，执业资格为 </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 xml:space="preserve">、项目组成员人数为 </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人，服务期为</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，质量控制目标为</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w:t>
      </w:r>
    </w:p>
    <w:p w14:paraId="282E5493">
      <w:pPr>
        <w:pStyle w:val="11"/>
        <w:spacing w:line="360" w:lineRule="auto"/>
        <w:ind w:firstLine="532" w:firstLineChars="222"/>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2、我方将严格按照有关建设工程招标投标法规及招标文件的规定参加投标，并理解贵方不一定接受最低标价的投标，对决标结果也没有解释义务。</w:t>
      </w:r>
    </w:p>
    <w:p w14:paraId="307C9948">
      <w:pPr>
        <w:pStyle w:val="11"/>
        <w:spacing w:line="360" w:lineRule="auto"/>
        <w:ind w:firstLine="532" w:firstLineChars="222"/>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3、如由我方中标，在接到你方发出的中标通知书后在规定的时间内，按中标通知书、招标文件和本投标书的约定与你方签定监理合同，并递交招标文件中规定金额的履约保证金，履行规定的一切责任和义务。</w:t>
      </w:r>
    </w:p>
    <w:p w14:paraId="53415B20">
      <w:pPr>
        <w:spacing w:line="360" w:lineRule="auto"/>
        <w:ind w:firstLine="532" w:firstLineChars="222"/>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4、我方承认该投标书格式为投标书的组成部分。</w:t>
      </w:r>
    </w:p>
    <w:p w14:paraId="5A9A63F8">
      <w:pPr>
        <w:spacing w:line="360" w:lineRule="auto"/>
        <w:ind w:firstLine="530" w:firstLineChars="221"/>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5、本投标书自递交你方之日起</w:t>
      </w:r>
      <w:r>
        <w:rPr>
          <w:rFonts w:cs="宋体" w:asciiTheme="minorEastAsia" w:hAnsiTheme="minorEastAsia" w:eastAsiaTheme="minorEastAsia"/>
          <w:color w:val="auto"/>
          <w:sz w:val="24"/>
          <w:szCs w:val="24"/>
          <w:highlight w:val="none"/>
          <w:u w:val="single"/>
        </w:rPr>
        <w:t>9</w:t>
      </w:r>
      <w:r>
        <w:rPr>
          <w:rFonts w:hint="eastAsia" w:cs="宋体" w:asciiTheme="minorEastAsia" w:hAnsiTheme="minorEastAsia" w:eastAsiaTheme="minorEastAsia"/>
          <w:color w:val="auto"/>
          <w:sz w:val="24"/>
          <w:szCs w:val="24"/>
          <w:highlight w:val="none"/>
          <w:u w:val="single"/>
        </w:rPr>
        <w:t>0</w:t>
      </w:r>
      <w:r>
        <w:rPr>
          <w:rFonts w:hint="eastAsia" w:cs="宋体" w:asciiTheme="minorEastAsia" w:hAnsiTheme="minorEastAsia" w:eastAsiaTheme="minorEastAsia"/>
          <w:color w:val="auto"/>
          <w:sz w:val="24"/>
          <w:szCs w:val="24"/>
          <w:highlight w:val="none"/>
        </w:rPr>
        <w:t>天内有效，在此有效期内，全部条款内容对我方具有约束力，如中标将成为监理合同文件组成部分。</w:t>
      </w:r>
    </w:p>
    <w:p w14:paraId="674079BA">
      <w:pPr>
        <w:spacing w:line="360" w:lineRule="auto"/>
        <w:ind w:firstLine="530" w:firstLineChars="221"/>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6</w:t>
      </w:r>
      <w:r>
        <w:rPr>
          <w:rFonts w:hint="eastAsia" w:cs="宋体" w:asciiTheme="minorEastAsia" w:hAnsiTheme="minorEastAsia" w:eastAsiaTheme="minorEastAsia"/>
          <w:color w:val="auto"/>
          <w:sz w:val="24"/>
          <w:szCs w:val="24"/>
          <w:highlight w:val="none"/>
        </w:rPr>
        <w:t>、如由我方中标，我方承诺在监理服务期内自行解决办公场所及食宿，并配备必要的交通工具和检测设备，一切费用由我方自行承担。</w:t>
      </w:r>
    </w:p>
    <w:p w14:paraId="53421250">
      <w:pPr>
        <w:spacing w:line="360" w:lineRule="auto"/>
        <w:ind w:firstLine="530" w:firstLineChars="221"/>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投标单位（公章）：</w:t>
      </w:r>
    </w:p>
    <w:p w14:paraId="481D9387">
      <w:pPr>
        <w:spacing w:line="360" w:lineRule="auto"/>
        <w:ind w:firstLine="530" w:firstLineChars="221"/>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法定代表或授权代表（签字或盖章）：</w:t>
      </w:r>
    </w:p>
    <w:p w14:paraId="0EE5ECFC">
      <w:pPr>
        <w:spacing w:line="360" w:lineRule="auto"/>
        <w:ind w:firstLine="530" w:firstLineChars="221"/>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联系人：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联系地址：</w:t>
      </w:r>
    </w:p>
    <w:p w14:paraId="166D320B">
      <w:pPr>
        <w:spacing w:line="360" w:lineRule="auto"/>
        <w:ind w:firstLine="530" w:firstLineChars="221"/>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电话：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邮编：</w:t>
      </w:r>
    </w:p>
    <w:p w14:paraId="38AE6D28">
      <w:pPr>
        <w:spacing w:line="360" w:lineRule="auto"/>
        <w:ind w:firstLine="530" w:firstLineChars="221"/>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开户银行：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帐号：</w:t>
      </w:r>
    </w:p>
    <w:p w14:paraId="6F97659E">
      <w:pPr>
        <w:spacing w:line="360" w:lineRule="auto"/>
        <w:ind w:firstLine="960" w:firstLineChars="400"/>
        <w:jc w:val="righ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日</w:t>
      </w:r>
    </w:p>
    <w:p w14:paraId="604FD206">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8"/>
          <w:szCs w:val="28"/>
          <w:highlight w:val="none"/>
        </w:rPr>
        <w:br w:type="page"/>
      </w:r>
      <w:r>
        <w:rPr>
          <w:rFonts w:hint="eastAsia" w:cs="宋体" w:asciiTheme="minorEastAsia" w:hAnsiTheme="minorEastAsia" w:eastAsiaTheme="minorEastAsia"/>
          <w:b/>
          <w:bCs/>
          <w:color w:val="auto"/>
          <w:sz w:val="28"/>
          <w:szCs w:val="28"/>
          <w:highlight w:val="none"/>
        </w:rPr>
        <w:t>无被限制投标承诺函</w:t>
      </w:r>
    </w:p>
    <w:p w14:paraId="5F3F491D">
      <w:pPr>
        <w:tabs>
          <w:tab w:val="left" w:pos="7560"/>
        </w:tabs>
        <w:adjustRightInd w:val="0"/>
        <w:spacing w:before="62" w:beforeLines="20" w:after="62" w:afterLines="20" w:line="360" w:lineRule="auto"/>
        <w:jc w:val="both"/>
        <w:rPr>
          <w:rFonts w:asciiTheme="minorEastAsia" w:hAnsiTheme="minorEastAsia" w:eastAsiaTheme="minorEastAsia"/>
          <w:color w:val="auto"/>
          <w:sz w:val="24"/>
          <w:szCs w:val="24"/>
          <w:highlight w:val="none"/>
        </w:rPr>
      </w:pPr>
    </w:p>
    <w:p w14:paraId="1FBEA47B">
      <w:pPr>
        <w:tabs>
          <w:tab w:val="left" w:pos="7560"/>
        </w:tabs>
        <w:adjustRightInd w:val="0"/>
        <w:spacing w:before="62" w:beforeLines="20" w:after="62" w:afterLines="20" w:line="360" w:lineRule="auto"/>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w:t>
      </w:r>
      <w:r>
        <w:rPr>
          <w:rFonts w:hint="eastAsia" w:asciiTheme="minorEastAsia" w:hAnsiTheme="minorEastAsia" w:eastAsiaTheme="minorEastAsia"/>
          <w:color w:val="auto"/>
          <w:sz w:val="24"/>
          <w:szCs w:val="24"/>
          <w:highlight w:val="none"/>
          <w:u w:val="single"/>
        </w:rPr>
        <w:t>（招标人名称）</w:t>
      </w:r>
    </w:p>
    <w:p w14:paraId="2DE7F791">
      <w:pPr>
        <w:tabs>
          <w:tab w:val="left" w:pos="7560"/>
        </w:tabs>
        <w:adjustRightInd w:val="0"/>
        <w:spacing w:before="62" w:beforeLines="20" w:after="62" w:afterLines="20" w:line="360" w:lineRule="auto"/>
        <w:ind w:firstLine="480" w:firstLineChars="200"/>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（投标单位名称）</w:t>
      </w:r>
      <w:r>
        <w:rPr>
          <w:rFonts w:hint="eastAsia" w:asciiTheme="minorEastAsia" w:hAnsiTheme="minorEastAsia" w:eastAsiaTheme="minorEastAsia"/>
          <w:color w:val="auto"/>
          <w:sz w:val="24"/>
          <w:szCs w:val="24"/>
          <w:highlight w:val="none"/>
        </w:rPr>
        <w:t>承诺，至投标截止之日，我公司不在招投标行政主管部门限制投标处罚期内。</w:t>
      </w:r>
    </w:p>
    <w:p w14:paraId="0187EF2A">
      <w:pPr>
        <w:tabs>
          <w:tab w:val="left" w:pos="7560"/>
        </w:tabs>
        <w:adjustRightInd w:val="0"/>
        <w:spacing w:before="62" w:beforeLines="20" w:after="62" w:afterLines="20" w:line="360" w:lineRule="auto"/>
        <w:ind w:firstLine="480" w:firstLineChars="200"/>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特此承诺。</w:t>
      </w:r>
    </w:p>
    <w:p w14:paraId="67CBD442">
      <w:pPr>
        <w:tabs>
          <w:tab w:val="left" w:pos="7560"/>
        </w:tabs>
        <w:adjustRightInd w:val="0"/>
        <w:spacing w:before="62" w:beforeLines="20" w:after="62" w:afterLines="20" w:line="360" w:lineRule="auto"/>
        <w:ind w:firstLine="480" w:firstLineChars="200"/>
        <w:jc w:val="both"/>
        <w:rPr>
          <w:rFonts w:asciiTheme="minorEastAsia" w:hAnsiTheme="minorEastAsia" w:eastAsiaTheme="minorEastAsia"/>
          <w:color w:val="auto"/>
          <w:sz w:val="24"/>
          <w:szCs w:val="24"/>
          <w:highlight w:val="none"/>
        </w:rPr>
      </w:pPr>
    </w:p>
    <w:p w14:paraId="163A06F2">
      <w:pPr>
        <w:tabs>
          <w:tab w:val="left" w:pos="7560"/>
        </w:tabs>
        <w:adjustRightInd w:val="0"/>
        <w:spacing w:before="62" w:beforeLines="20" w:after="62" w:afterLines="20" w:line="360" w:lineRule="auto"/>
        <w:ind w:firstLine="480" w:firstLineChars="200"/>
        <w:jc w:val="both"/>
        <w:rPr>
          <w:rFonts w:asciiTheme="minorEastAsia" w:hAnsiTheme="minorEastAsia" w:eastAsiaTheme="minorEastAsia"/>
          <w:color w:val="auto"/>
          <w:sz w:val="24"/>
          <w:szCs w:val="24"/>
          <w:highlight w:val="none"/>
        </w:rPr>
      </w:pPr>
    </w:p>
    <w:p w14:paraId="37AAD6B2">
      <w:pPr>
        <w:tabs>
          <w:tab w:val="left" w:pos="7560"/>
        </w:tabs>
        <w:adjustRightInd w:val="0"/>
        <w:spacing w:before="62" w:beforeLines="20" w:after="62" w:afterLines="20" w:line="360" w:lineRule="auto"/>
        <w:ind w:firstLine="480" w:firstLineChars="200"/>
        <w:jc w:val="both"/>
        <w:rPr>
          <w:rFonts w:asciiTheme="minorEastAsia" w:hAnsiTheme="minorEastAsia" w:eastAsiaTheme="minorEastAsia"/>
          <w:color w:val="auto"/>
          <w:sz w:val="24"/>
          <w:szCs w:val="24"/>
          <w:highlight w:val="none"/>
        </w:rPr>
      </w:pPr>
    </w:p>
    <w:p w14:paraId="083B5C47">
      <w:pPr>
        <w:tabs>
          <w:tab w:val="left" w:pos="7560"/>
        </w:tabs>
        <w:adjustRightInd w:val="0"/>
        <w:spacing w:before="62" w:beforeLines="20" w:after="62" w:afterLines="20" w:line="360" w:lineRule="auto"/>
        <w:ind w:firstLine="480" w:firstLineChars="200"/>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投标单位公章：</w:t>
      </w:r>
    </w:p>
    <w:p w14:paraId="1FF705D4">
      <w:pPr>
        <w:tabs>
          <w:tab w:val="left" w:pos="7560"/>
        </w:tabs>
        <w:adjustRightInd w:val="0"/>
        <w:spacing w:before="62" w:beforeLines="20" w:after="62" w:afterLines="20" w:line="360" w:lineRule="auto"/>
        <w:ind w:firstLine="480" w:firstLineChars="200"/>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企业法定代表人签字或盖章：</w:t>
      </w:r>
    </w:p>
    <w:p w14:paraId="5AE0B157">
      <w:pPr>
        <w:tabs>
          <w:tab w:val="left" w:pos="7560"/>
        </w:tabs>
        <w:adjustRightInd w:val="0"/>
        <w:spacing w:before="62" w:beforeLines="20" w:after="62" w:afterLines="20" w:line="360" w:lineRule="auto"/>
        <w:ind w:firstLine="480" w:firstLineChars="200"/>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日</w:t>
      </w:r>
    </w:p>
    <w:p w14:paraId="032A6F94">
      <w:pPr>
        <w:tabs>
          <w:tab w:val="left" w:pos="7560"/>
        </w:tabs>
        <w:adjustRightInd w:val="0"/>
        <w:spacing w:before="62" w:beforeLines="20" w:after="62" w:afterLines="20" w:line="360" w:lineRule="auto"/>
        <w:ind w:firstLine="560" w:firstLineChars="200"/>
        <w:jc w:val="both"/>
        <w:rPr>
          <w:rFonts w:asciiTheme="minorEastAsia" w:hAnsiTheme="minorEastAsia" w:eastAsiaTheme="minorEastAsia"/>
          <w:color w:val="auto"/>
          <w:sz w:val="28"/>
          <w:szCs w:val="28"/>
          <w:highlight w:val="none"/>
        </w:rPr>
      </w:pPr>
    </w:p>
    <w:p w14:paraId="467263FA">
      <w:pPr>
        <w:tabs>
          <w:tab w:val="left" w:pos="7560"/>
        </w:tabs>
        <w:adjustRightInd w:val="0"/>
        <w:spacing w:before="62" w:beforeLines="20" w:after="62" w:afterLines="20" w:line="360" w:lineRule="auto"/>
        <w:ind w:firstLine="560" w:firstLineChars="200"/>
        <w:rPr>
          <w:rFonts w:asciiTheme="minorEastAsia" w:hAnsiTheme="minorEastAsia" w:eastAsiaTheme="minorEastAsia"/>
          <w:color w:val="auto"/>
          <w:sz w:val="28"/>
          <w:szCs w:val="28"/>
          <w:highlight w:val="none"/>
        </w:rPr>
      </w:pPr>
    </w:p>
    <w:p w14:paraId="724A73F7">
      <w:pPr>
        <w:tabs>
          <w:tab w:val="left" w:pos="7560"/>
        </w:tabs>
        <w:adjustRightInd w:val="0"/>
        <w:spacing w:before="62" w:beforeLines="20" w:after="62" w:afterLines="20" w:line="360" w:lineRule="auto"/>
        <w:ind w:firstLine="560" w:firstLineChars="200"/>
        <w:rPr>
          <w:rFonts w:asciiTheme="minorEastAsia" w:hAnsiTheme="minorEastAsia" w:eastAsiaTheme="minorEastAsia"/>
          <w:color w:val="auto"/>
          <w:sz w:val="28"/>
          <w:szCs w:val="28"/>
          <w:highlight w:val="none"/>
        </w:rPr>
      </w:pPr>
    </w:p>
    <w:p w14:paraId="0FD51E75">
      <w:pPr>
        <w:tabs>
          <w:tab w:val="left" w:pos="7560"/>
        </w:tabs>
        <w:adjustRightInd w:val="0"/>
        <w:spacing w:before="62" w:beforeLines="20" w:after="62" w:afterLines="20" w:line="360" w:lineRule="auto"/>
        <w:ind w:firstLine="560" w:firstLineChars="200"/>
        <w:rPr>
          <w:rFonts w:asciiTheme="minorEastAsia" w:hAnsiTheme="minorEastAsia" w:eastAsiaTheme="minorEastAsia"/>
          <w:color w:val="auto"/>
          <w:sz w:val="28"/>
          <w:szCs w:val="28"/>
          <w:highlight w:val="none"/>
        </w:rPr>
      </w:pPr>
    </w:p>
    <w:p w14:paraId="2DC3196B">
      <w:pPr>
        <w:tabs>
          <w:tab w:val="left" w:pos="7560"/>
        </w:tabs>
        <w:adjustRightInd w:val="0"/>
        <w:spacing w:before="62" w:beforeLines="20" w:after="62" w:afterLines="20" w:line="360" w:lineRule="auto"/>
        <w:ind w:firstLine="560" w:firstLineChars="200"/>
        <w:rPr>
          <w:rFonts w:asciiTheme="minorEastAsia" w:hAnsiTheme="minorEastAsia" w:eastAsiaTheme="minorEastAsia"/>
          <w:color w:val="auto"/>
          <w:sz w:val="28"/>
          <w:szCs w:val="28"/>
          <w:highlight w:val="none"/>
        </w:rPr>
      </w:pPr>
    </w:p>
    <w:p w14:paraId="79466B1D">
      <w:pPr>
        <w:tabs>
          <w:tab w:val="left" w:pos="7560"/>
        </w:tabs>
        <w:adjustRightInd w:val="0"/>
        <w:spacing w:before="62" w:beforeLines="20" w:after="62" w:afterLines="20" w:line="360" w:lineRule="auto"/>
        <w:ind w:firstLine="560" w:firstLineChars="200"/>
        <w:rPr>
          <w:rFonts w:asciiTheme="minorEastAsia" w:hAnsiTheme="minorEastAsia" w:eastAsiaTheme="minorEastAsia"/>
          <w:color w:val="auto"/>
          <w:sz w:val="28"/>
          <w:szCs w:val="28"/>
          <w:highlight w:val="none"/>
        </w:rPr>
      </w:pPr>
    </w:p>
    <w:p w14:paraId="10EBCD6B">
      <w:pPr>
        <w:tabs>
          <w:tab w:val="left" w:pos="7560"/>
        </w:tabs>
        <w:adjustRightInd w:val="0"/>
        <w:spacing w:before="62" w:beforeLines="20" w:after="62" w:afterLines="20" w:line="360" w:lineRule="auto"/>
        <w:ind w:firstLine="560" w:firstLineChars="200"/>
        <w:rPr>
          <w:rFonts w:asciiTheme="minorEastAsia" w:hAnsiTheme="minorEastAsia" w:eastAsiaTheme="minorEastAsia"/>
          <w:color w:val="auto"/>
          <w:sz w:val="28"/>
          <w:szCs w:val="28"/>
          <w:highlight w:val="none"/>
        </w:rPr>
      </w:pPr>
    </w:p>
    <w:p w14:paraId="59FD7379">
      <w:pPr>
        <w:pStyle w:val="7"/>
        <w:spacing w:line="360" w:lineRule="auto"/>
        <w:rPr>
          <w:rFonts w:asciiTheme="minorEastAsia" w:hAnsiTheme="minorEastAsia" w:eastAsiaTheme="minorEastAsia"/>
          <w:color w:val="auto"/>
          <w:highlight w:val="none"/>
        </w:rPr>
      </w:pPr>
    </w:p>
    <w:p w14:paraId="45321A00">
      <w:pPr>
        <w:spacing w:line="360" w:lineRule="auto"/>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br w:type="page"/>
      </w:r>
    </w:p>
    <w:p w14:paraId="387BFBC8">
      <w:pPr>
        <w:spacing w:line="360" w:lineRule="auto"/>
        <w:jc w:val="center"/>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承诺书</w:t>
      </w:r>
    </w:p>
    <w:p w14:paraId="1870965D">
      <w:pPr>
        <w:spacing w:line="360" w:lineRule="auto"/>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致：</w:t>
      </w:r>
      <w:r>
        <w:rPr>
          <w:rFonts w:hint="eastAsia" w:cs="宋体" w:asciiTheme="minorEastAsia" w:hAnsiTheme="minorEastAsia" w:eastAsiaTheme="minorEastAsia"/>
          <w:color w:val="auto"/>
          <w:sz w:val="24"/>
          <w:szCs w:val="24"/>
          <w:highlight w:val="none"/>
          <w:u w:val="single"/>
        </w:rPr>
        <w:t>（招标人名称）</w:t>
      </w:r>
    </w:p>
    <w:p w14:paraId="6377232F">
      <w:pPr>
        <w:spacing w:line="360" w:lineRule="auto"/>
        <w:rPr>
          <w:rFonts w:cs="宋体" w:asciiTheme="minorEastAsia" w:hAnsiTheme="minorEastAsia" w:eastAsiaTheme="minorEastAsia"/>
          <w:bCs/>
          <w:color w:val="auto"/>
          <w:sz w:val="24"/>
          <w:szCs w:val="24"/>
          <w:highlight w:val="none"/>
        </w:rPr>
      </w:pPr>
    </w:p>
    <w:p w14:paraId="41B6E23C">
      <w:pPr>
        <w:spacing w:line="360" w:lineRule="auto"/>
        <w:ind w:firstLine="570"/>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Cs/>
          <w:color w:val="auto"/>
          <w:sz w:val="24"/>
          <w:szCs w:val="24"/>
          <w:highlight w:val="none"/>
        </w:rPr>
        <w:t>如中标，参与工程的施工监理，我公司将派具有类似监理经验的</w:t>
      </w:r>
      <w:r>
        <w:rPr>
          <w:rFonts w:hint="eastAsia" w:cs="宋体" w:asciiTheme="minorEastAsia" w:hAnsiTheme="minorEastAsia" w:eastAsiaTheme="minorEastAsia"/>
          <w:bCs/>
          <w:color w:val="auto"/>
          <w:sz w:val="24"/>
          <w:szCs w:val="24"/>
          <w:highlight w:val="none"/>
          <w:u w:val="single"/>
        </w:rPr>
        <w:t>（填写项目总监名称、监理资格证书编号）</w:t>
      </w:r>
      <w:r>
        <w:rPr>
          <w:rFonts w:hint="eastAsia" w:cs="宋体" w:asciiTheme="minorEastAsia" w:hAnsiTheme="minorEastAsia" w:eastAsiaTheme="minorEastAsia"/>
          <w:bCs/>
          <w:color w:val="auto"/>
          <w:sz w:val="24"/>
          <w:szCs w:val="24"/>
          <w:highlight w:val="none"/>
        </w:rPr>
        <w:t>为本工程的项目总监</w:t>
      </w:r>
      <w:r>
        <w:rPr>
          <w:rFonts w:hint="eastAsia" w:cs="宋体" w:asciiTheme="minorEastAsia" w:hAnsiTheme="minorEastAsia" w:eastAsiaTheme="minorEastAsia"/>
          <w:bCs/>
          <w:color w:val="auto"/>
          <w:sz w:val="24"/>
          <w:szCs w:val="24"/>
          <w:highlight w:val="none"/>
          <w:lang w:val="en-US" w:eastAsia="zh-CN"/>
        </w:rPr>
        <w:t>，</w:t>
      </w:r>
      <w:r>
        <w:rPr>
          <w:rFonts w:hint="eastAsia" w:cs="宋体" w:asciiTheme="minorEastAsia" w:hAnsiTheme="minorEastAsia" w:eastAsiaTheme="minorEastAsia"/>
          <w:bCs/>
          <w:color w:val="auto"/>
          <w:sz w:val="24"/>
          <w:szCs w:val="24"/>
          <w:highlight w:val="none"/>
        </w:rPr>
        <w:t>并保证项目总监每月到岗不少于</w:t>
      </w:r>
      <w:r>
        <w:rPr>
          <w:rFonts w:hint="eastAsia" w:cs="宋体" w:asciiTheme="minorEastAsia" w:hAnsiTheme="minorEastAsia" w:eastAsiaTheme="minorEastAsia"/>
          <w:bCs/>
          <w:color w:val="auto"/>
          <w:sz w:val="24"/>
          <w:szCs w:val="24"/>
          <w:highlight w:val="none"/>
          <w:u w:val="single"/>
          <w:lang w:val="en-US" w:eastAsia="zh-CN"/>
        </w:rPr>
        <w:t>22</w:t>
      </w:r>
      <w:r>
        <w:rPr>
          <w:rFonts w:hint="eastAsia" w:cs="宋体" w:asciiTheme="minorEastAsia" w:hAnsiTheme="minorEastAsia" w:eastAsiaTheme="minorEastAsia"/>
          <w:bCs/>
          <w:color w:val="auto"/>
          <w:sz w:val="24"/>
          <w:szCs w:val="24"/>
          <w:highlight w:val="none"/>
        </w:rPr>
        <w:t>天，合同期间不再担任其他工程监理业务。现场监理人员数每天不少于本工程监理机构人员配备最低要求规定的人数，每月到位率100%。如违反此承诺，愿按合同有关规定接受处罚。</w:t>
      </w:r>
    </w:p>
    <w:p w14:paraId="710C7661">
      <w:pPr>
        <w:spacing w:line="360" w:lineRule="auto"/>
        <w:ind w:firstLine="570"/>
        <w:rPr>
          <w:rFonts w:cs="宋体" w:asciiTheme="minorEastAsia" w:hAnsiTheme="minorEastAsia" w:eastAsiaTheme="minorEastAsia"/>
          <w:b/>
          <w:color w:val="auto"/>
          <w:sz w:val="24"/>
          <w:szCs w:val="24"/>
          <w:highlight w:val="none"/>
        </w:rPr>
      </w:pPr>
    </w:p>
    <w:p w14:paraId="01E034FC">
      <w:pPr>
        <w:spacing w:line="360" w:lineRule="auto"/>
        <w:ind w:firstLine="570"/>
        <w:rPr>
          <w:rFonts w:cs="宋体" w:asciiTheme="minorEastAsia" w:hAnsiTheme="minorEastAsia" w:eastAsiaTheme="minorEastAsia"/>
          <w:bCs/>
          <w:color w:val="auto"/>
          <w:sz w:val="24"/>
          <w:szCs w:val="24"/>
          <w:highlight w:val="none"/>
        </w:rPr>
      </w:pPr>
    </w:p>
    <w:p w14:paraId="1BD85196">
      <w:pPr>
        <w:spacing w:line="360" w:lineRule="auto"/>
        <w:ind w:firstLine="57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投标人名称（盖章）：</w:t>
      </w:r>
    </w:p>
    <w:p w14:paraId="74DA5830">
      <w:pPr>
        <w:spacing w:line="360" w:lineRule="auto"/>
        <w:ind w:firstLine="570"/>
        <w:rPr>
          <w:rFonts w:cs="宋体" w:asciiTheme="minorEastAsia" w:hAnsiTheme="minorEastAsia" w:eastAsiaTheme="minorEastAsia"/>
          <w:bCs/>
          <w:color w:val="auto"/>
          <w:sz w:val="24"/>
          <w:szCs w:val="24"/>
          <w:highlight w:val="none"/>
        </w:rPr>
      </w:pPr>
    </w:p>
    <w:p w14:paraId="3D650ED2">
      <w:pPr>
        <w:spacing w:line="360" w:lineRule="auto"/>
        <w:ind w:firstLine="57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法定代表人（签字或盖章）：</w:t>
      </w:r>
    </w:p>
    <w:p w14:paraId="66288C5B">
      <w:pPr>
        <w:spacing w:line="360" w:lineRule="auto"/>
        <w:ind w:firstLine="570"/>
        <w:rPr>
          <w:rFonts w:cs="宋体" w:asciiTheme="minorEastAsia" w:hAnsiTheme="minorEastAsia" w:eastAsiaTheme="minorEastAsia"/>
          <w:bCs/>
          <w:color w:val="auto"/>
          <w:sz w:val="24"/>
          <w:szCs w:val="24"/>
          <w:highlight w:val="none"/>
        </w:rPr>
      </w:pPr>
    </w:p>
    <w:p w14:paraId="6394D65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Cs/>
          <w:color w:val="auto"/>
          <w:sz w:val="24"/>
          <w:szCs w:val="24"/>
          <w:highlight w:val="none"/>
        </w:rPr>
        <w:t>日期：</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日</w:t>
      </w:r>
    </w:p>
    <w:p w14:paraId="083C6F34">
      <w:pPr>
        <w:spacing w:line="360" w:lineRule="auto"/>
        <w:ind w:firstLine="570"/>
        <w:rPr>
          <w:rFonts w:asciiTheme="minorEastAsia" w:hAnsiTheme="minorEastAsia" w:eastAsiaTheme="minorEastAsia"/>
          <w:b/>
          <w:bCs/>
          <w:color w:val="auto"/>
          <w:sz w:val="24"/>
          <w:szCs w:val="24"/>
          <w:highlight w:val="none"/>
        </w:rPr>
      </w:pPr>
    </w:p>
    <w:p w14:paraId="7CB6EDFC">
      <w:pPr>
        <w:tabs>
          <w:tab w:val="left" w:pos="7560"/>
        </w:tabs>
        <w:adjustRightInd w:val="0"/>
        <w:spacing w:before="62" w:beforeLines="20" w:after="62" w:afterLines="20" w:line="360" w:lineRule="auto"/>
        <w:rPr>
          <w:rFonts w:asciiTheme="minorEastAsia" w:hAnsiTheme="minorEastAsia" w:eastAsiaTheme="minorEastAsia"/>
          <w:b/>
          <w:bCs/>
          <w:color w:val="auto"/>
          <w:sz w:val="28"/>
          <w:szCs w:val="28"/>
          <w:highlight w:val="none"/>
        </w:rPr>
      </w:pPr>
    </w:p>
    <w:p w14:paraId="0FF30848">
      <w:pPr>
        <w:pStyle w:val="7"/>
        <w:spacing w:line="360" w:lineRule="auto"/>
        <w:rPr>
          <w:rFonts w:asciiTheme="minorEastAsia" w:hAnsiTheme="minorEastAsia" w:eastAsiaTheme="minorEastAsia"/>
          <w:b/>
          <w:bCs/>
          <w:color w:val="auto"/>
          <w:sz w:val="28"/>
          <w:szCs w:val="28"/>
          <w:highlight w:val="none"/>
        </w:rPr>
      </w:pPr>
    </w:p>
    <w:p w14:paraId="0FFB6AE1">
      <w:pPr>
        <w:spacing w:line="360" w:lineRule="auto"/>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br w:type="page"/>
      </w:r>
    </w:p>
    <w:p w14:paraId="25D69302">
      <w:pPr>
        <w:tabs>
          <w:tab w:val="left" w:pos="7560"/>
        </w:tabs>
        <w:adjustRightInd w:val="0"/>
        <w:spacing w:before="62" w:beforeLines="20" w:after="62" w:afterLines="20" w:line="360" w:lineRule="auto"/>
        <w:jc w:val="cente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诚信承诺书</w:t>
      </w:r>
    </w:p>
    <w:p w14:paraId="1CEE88AF">
      <w:pPr>
        <w:adjustRightInd w:val="0"/>
        <w:snapToGrid w:val="0"/>
        <w:spacing w:line="360" w:lineRule="auto"/>
        <w:ind w:firstLine="570"/>
        <w:rPr>
          <w:rFonts w:hint="eastAsia" w:cs="宋体" w:asciiTheme="minorEastAsia" w:hAnsiTheme="minorEastAsia" w:eastAsiaTheme="minorEastAsia"/>
          <w:bCs/>
          <w:color w:val="auto"/>
          <w:sz w:val="24"/>
          <w:szCs w:val="24"/>
          <w:highlight w:val="none"/>
          <w:u w:val="single"/>
        </w:rPr>
      </w:pPr>
      <w:r>
        <w:rPr>
          <w:rFonts w:hint="eastAsia" w:cs="宋体" w:asciiTheme="minorEastAsia" w:hAnsiTheme="minorEastAsia" w:eastAsiaTheme="minorEastAsia"/>
          <w:bCs/>
          <w:color w:val="auto"/>
          <w:sz w:val="24"/>
          <w:szCs w:val="24"/>
          <w:highlight w:val="none"/>
        </w:rPr>
        <w:t>致招标人：</w:t>
      </w:r>
      <w:r>
        <w:rPr>
          <w:rFonts w:hint="eastAsia" w:cs="宋体" w:asciiTheme="minorEastAsia" w:hAnsiTheme="minorEastAsia" w:eastAsiaTheme="minorEastAsia"/>
          <w:bCs/>
          <w:color w:val="auto"/>
          <w:sz w:val="24"/>
          <w:szCs w:val="24"/>
          <w:highlight w:val="none"/>
          <w:u w:val="single"/>
        </w:rPr>
        <w:t xml:space="preserve">                      </w:t>
      </w:r>
    </w:p>
    <w:p w14:paraId="3BAAB3F7">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我单位在参加</w:t>
      </w:r>
      <w:r>
        <w:rPr>
          <w:rFonts w:hint="eastAsia" w:cs="宋体" w:asciiTheme="minorEastAsia" w:hAnsiTheme="minorEastAsia" w:eastAsiaTheme="minorEastAsia"/>
          <w:bCs/>
          <w:color w:val="auto"/>
          <w:sz w:val="24"/>
          <w:szCs w:val="24"/>
          <w:highlight w:val="none"/>
          <w:u w:val="single"/>
        </w:rPr>
        <w:t xml:space="preserve">      </w:t>
      </w:r>
      <w:r>
        <w:rPr>
          <w:rFonts w:hint="eastAsia" w:cs="宋体" w:asciiTheme="minorEastAsia" w:hAnsiTheme="minorEastAsia" w:eastAsiaTheme="minorEastAsia"/>
          <w:bCs/>
          <w:color w:val="auto"/>
          <w:sz w:val="24"/>
          <w:szCs w:val="24"/>
          <w:highlight w:val="none"/>
          <w:u w:val="single"/>
          <w:lang w:val="en-US" w:eastAsia="zh-CN"/>
        </w:rPr>
        <w:t>铜陵狮子山高新区污水处理厂二期配套工程监理（   标段）</w:t>
      </w:r>
      <w:r>
        <w:rPr>
          <w:rFonts w:hint="eastAsia" w:cs="宋体" w:asciiTheme="minorEastAsia" w:hAnsiTheme="minorEastAsia" w:eastAsiaTheme="minorEastAsia"/>
          <w:bCs/>
          <w:color w:val="auto"/>
          <w:sz w:val="24"/>
          <w:szCs w:val="24"/>
          <w:highlight w:val="none"/>
        </w:rPr>
        <w:t>项目的交易活动过程中，郑重承诺如下：</w:t>
      </w:r>
    </w:p>
    <w:p w14:paraId="0856969C">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一、确保提供的一切材料均为真实、合法和有效。</w:t>
      </w:r>
    </w:p>
    <w:p w14:paraId="33B86732">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二、不受让、租借他人资格、资质证书，不以他人名义投标；不以伪造、变造等其他方式弄虚作假，骗取中标。</w:t>
      </w:r>
    </w:p>
    <w:p w14:paraId="4BAA5563">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三、不与招标人、招标代理机构或其他投标人串通投标。</w:t>
      </w:r>
    </w:p>
    <w:p w14:paraId="3807F6B1">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四、不以向招标人、评标委员会成员或其他相关人员行贿方式牟取中标。</w:t>
      </w:r>
    </w:p>
    <w:p w14:paraId="2406C7C2">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五、在行使异议、质疑、投诉权利时，提供真实、合法、充分的材料，不捏造事实、伪造材料或以其他非法手段取得证明材料。</w:t>
      </w:r>
    </w:p>
    <w:p w14:paraId="0EE247F7">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六、中标后，及时办理中标相关手续，并按照交易文件的约定，与招标人依法签订合同。</w:t>
      </w:r>
    </w:p>
    <w:p w14:paraId="20A42AA0">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七、在履约过程中，严格按照交易文件及合同约定履行义务；除法律法规允许外，在价格、质量、工期（供货期）、人员组成等方面不做任何有悖于交易文件实质性内容行为。</w:t>
      </w:r>
    </w:p>
    <w:p w14:paraId="02301188">
      <w:pPr>
        <w:adjustRightInd w:val="0"/>
        <w:snapToGrid w:val="0"/>
        <w:spacing w:line="360" w:lineRule="auto"/>
        <w:ind w:firstLine="570"/>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八、至投标截止之日，我公司没有投标人须知前附表及投标人须知规定的不得投标的关联关系、不良状况和不良信用记录。</w:t>
      </w:r>
    </w:p>
    <w:p w14:paraId="69026021">
      <w:pPr>
        <w:adjustRightInd w:val="0"/>
        <w:snapToGrid w:val="0"/>
        <w:spacing w:line="360" w:lineRule="auto"/>
        <w:ind w:firstLine="57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以上内容我单位已仔细阅读，若有违反承诺内容的行为，自愿接受限制投标资格、记入不良行为记录、取消中标资格、不予退还投标保证金等处罚或处理；给招标人或其他投标人造成损失的，自愿依法承担赔偿责任。</w:t>
      </w:r>
    </w:p>
    <w:p w14:paraId="6EBA74BB">
      <w:pPr>
        <w:adjustRightInd w:val="0"/>
        <w:snapToGrid w:val="0"/>
        <w:spacing w:line="360" w:lineRule="auto"/>
        <w:ind w:firstLine="570"/>
        <w:rPr>
          <w:rFonts w:cs="宋体" w:asciiTheme="minorEastAsia" w:hAnsiTheme="minorEastAsia" w:eastAsiaTheme="minorEastAsia"/>
          <w:bCs/>
          <w:color w:val="auto"/>
          <w:sz w:val="24"/>
          <w:szCs w:val="24"/>
          <w:highlight w:val="none"/>
        </w:rPr>
      </w:pPr>
    </w:p>
    <w:p w14:paraId="07CD2D54">
      <w:pPr>
        <w:adjustRightInd w:val="0"/>
        <w:snapToGrid w:val="0"/>
        <w:spacing w:line="360" w:lineRule="auto"/>
        <w:ind w:firstLine="57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投标单位：（盖章）</w:t>
      </w:r>
    </w:p>
    <w:p w14:paraId="74005E90">
      <w:pPr>
        <w:adjustRightInd w:val="0"/>
        <w:snapToGrid w:val="0"/>
        <w:spacing w:line="360" w:lineRule="auto"/>
        <w:ind w:firstLine="57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法定代表人：（签字或盖章）</w:t>
      </w:r>
    </w:p>
    <w:p w14:paraId="2724B617">
      <w:pPr>
        <w:adjustRightInd w:val="0"/>
        <w:snapToGrid w:val="0"/>
        <w:spacing w:line="360" w:lineRule="auto"/>
        <w:ind w:firstLine="570"/>
        <w:rPr>
          <w:rFonts w:cs="宋体" w:asciiTheme="minorEastAsia" w:hAnsiTheme="minorEastAsia" w:eastAsiaTheme="minorEastAsia"/>
          <w:bCs/>
          <w:color w:val="auto"/>
          <w:sz w:val="28"/>
          <w:szCs w:val="28"/>
          <w:highlight w:val="none"/>
        </w:rPr>
      </w:pP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日</w:t>
      </w:r>
      <w:r>
        <w:rPr>
          <w:rFonts w:hint="eastAsia" w:cs="宋体" w:asciiTheme="minorEastAsia" w:hAnsiTheme="minorEastAsia" w:eastAsiaTheme="minorEastAsia"/>
          <w:bCs/>
          <w:color w:val="auto"/>
          <w:sz w:val="28"/>
          <w:szCs w:val="28"/>
          <w:highlight w:val="none"/>
        </w:rPr>
        <w:br w:type="page"/>
      </w:r>
    </w:p>
    <w:p w14:paraId="292E0585">
      <w:pPr>
        <w:spacing w:line="360" w:lineRule="auto"/>
        <w:jc w:val="center"/>
        <w:rPr>
          <w:rFonts w:cs="宋体" w:asciiTheme="minorEastAsia" w:hAnsiTheme="minorEastAsia" w:eastAsiaTheme="minorEastAsia"/>
          <w:b/>
          <w:color w:val="auto"/>
          <w:sz w:val="28"/>
          <w:highlight w:val="none"/>
        </w:rPr>
      </w:pPr>
      <w:r>
        <w:rPr>
          <w:rFonts w:hint="eastAsia" w:cs="宋体" w:asciiTheme="minorEastAsia" w:hAnsiTheme="minorEastAsia" w:eastAsiaTheme="minorEastAsia"/>
          <w:b/>
          <w:color w:val="auto"/>
          <w:sz w:val="28"/>
          <w:highlight w:val="none"/>
        </w:rPr>
        <w:t>企业已完成类似工程监理合同一览表</w:t>
      </w:r>
    </w:p>
    <w:p w14:paraId="03E7844D">
      <w:pPr>
        <w:spacing w:line="360" w:lineRule="auto"/>
        <w:rPr>
          <w:rFonts w:cs="宋体" w:asciiTheme="minorEastAsia" w:hAnsiTheme="minorEastAsia" w:eastAsiaTheme="minorEastAsia"/>
          <w:b/>
          <w:color w:val="auto"/>
          <w:sz w:val="28"/>
          <w:highlight w:val="none"/>
        </w:rPr>
      </w:pPr>
    </w:p>
    <w:tbl>
      <w:tblPr>
        <w:tblStyle w:val="21"/>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980"/>
        <w:gridCol w:w="2700"/>
        <w:gridCol w:w="1849"/>
        <w:gridCol w:w="2011"/>
      </w:tblGrid>
      <w:tr w14:paraId="245F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0134561D">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工程名称</w:t>
            </w:r>
          </w:p>
        </w:tc>
        <w:tc>
          <w:tcPr>
            <w:tcW w:w="6560" w:type="dxa"/>
            <w:gridSpan w:val="3"/>
          </w:tcPr>
          <w:p w14:paraId="7A566004">
            <w:pPr>
              <w:spacing w:line="360" w:lineRule="auto"/>
              <w:jc w:val="center"/>
              <w:rPr>
                <w:rFonts w:cs="宋体" w:asciiTheme="minorEastAsia" w:hAnsiTheme="minorEastAsia" w:eastAsiaTheme="minorEastAsia"/>
                <w:color w:val="auto"/>
                <w:sz w:val="24"/>
                <w:szCs w:val="24"/>
                <w:highlight w:val="none"/>
              </w:rPr>
            </w:pPr>
          </w:p>
        </w:tc>
      </w:tr>
      <w:tr w14:paraId="251B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2F302085">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项目地点</w:t>
            </w:r>
          </w:p>
        </w:tc>
        <w:tc>
          <w:tcPr>
            <w:tcW w:w="6560" w:type="dxa"/>
            <w:gridSpan w:val="3"/>
          </w:tcPr>
          <w:p w14:paraId="29A7700B">
            <w:pPr>
              <w:spacing w:line="360" w:lineRule="auto"/>
              <w:jc w:val="center"/>
              <w:rPr>
                <w:rFonts w:cs="宋体" w:asciiTheme="minorEastAsia" w:hAnsiTheme="minorEastAsia" w:eastAsiaTheme="minorEastAsia"/>
                <w:color w:val="auto"/>
                <w:sz w:val="24"/>
                <w:szCs w:val="24"/>
                <w:highlight w:val="none"/>
              </w:rPr>
            </w:pPr>
          </w:p>
        </w:tc>
      </w:tr>
      <w:tr w14:paraId="3FAF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5E84E589">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工程规模</w:t>
            </w:r>
          </w:p>
        </w:tc>
        <w:tc>
          <w:tcPr>
            <w:tcW w:w="6560" w:type="dxa"/>
            <w:gridSpan w:val="3"/>
          </w:tcPr>
          <w:p w14:paraId="5CD8E3F8">
            <w:pPr>
              <w:spacing w:line="360" w:lineRule="auto"/>
              <w:jc w:val="center"/>
              <w:rPr>
                <w:rFonts w:cs="宋体" w:asciiTheme="minorEastAsia" w:hAnsiTheme="minorEastAsia" w:eastAsiaTheme="minorEastAsia"/>
                <w:color w:val="auto"/>
                <w:sz w:val="24"/>
                <w:szCs w:val="24"/>
                <w:highlight w:val="none"/>
              </w:rPr>
            </w:pPr>
          </w:p>
        </w:tc>
      </w:tr>
      <w:tr w14:paraId="362B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0865CC79">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工程等级</w:t>
            </w:r>
          </w:p>
        </w:tc>
        <w:tc>
          <w:tcPr>
            <w:tcW w:w="2700" w:type="dxa"/>
          </w:tcPr>
          <w:p w14:paraId="40C7FA21">
            <w:pPr>
              <w:spacing w:line="360" w:lineRule="auto"/>
              <w:jc w:val="center"/>
              <w:rPr>
                <w:rFonts w:cs="宋体" w:asciiTheme="minorEastAsia" w:hAnsiTheme="minorEastAsia" w:eastAsiaTheme="minorEastAsia"/>
                <w:color w:val="auto"/>
                <w:sz w:val="24"/>
                <w:szCs w:val="24"/>
                <w:highlight w:val="none"/>
              </w:rPr>
            </w:pPr>
          </w:p>
        </w:tc>
        <w:tc>
          <w:tcPr>
            <w:tcW w:w="1849" w:type="dxa"/>
          </w:tcPr>
          <w:p w14:paraId="55F309C5">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工程造价</w:t>
            </w:r>
          </w:p>
        </w:tc>
        <w:tc>
          <w:tcPr>
            <w:tcW w:w="2011" w:type="dxa"/>
          </w:tcPr>
          <w:p w14:paraId="455EE48D">
            <w:pPr>
              <w:spacing w:line="360" w:lineRule="auto"/>
              <w:jc w:val="center"/>
              <w:rPr>
                <w:rFonts w:cs="宋体" w:asciiTheme="minorEastAsia" w:hAnsiTheme="minorEastAsia" w:eastAsiaTheme="minorEastAsia"/>
                <w:color w:val="auto"/>
                <w:sz w:val="24"/>
                <w:szCs w:val="24"/>
                <w:highlight w:val="none"/>
              </w:rPr>
            </w:pPr>
          </w:p>
        </w:tc>
      </w:tr>
      <w:tr w14:paraId="57A4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5E6FCA69">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开竣工日期</w:t>
            </w:r>
          </w:p>
        </w:tc>
        <w:tc>
          <w:tcPr>
            <w:tcW w:w="2700" w:type="dxa"/>
          </w:tcPr>
          <w:p w14:paraId="5715EAAF">
            <w:pPr>
              <w:spacing w:line="360" w:lineRule="auto"/>
              <w:jc w:val="center"/>
              <w:rPr>
                <w:rFonts w:cs="宋体" w:asciiTheme="minorEastAsia" w:hAnsiTheme="minorEastAsia" w:eastAsiaTheme="minorEastAsia"/>
                <w:color w:val="auto"/>
                <w:sz w:val="24"/>
                <w:szCs w:val="24"/>
                <w:highlight w:val="none"/>
              </w:rPr>
            </w:pPr>
          </w:p>
        </w:tc>
        <w:tc>
          <w:tcPr>
            <w:tcW w:w="1849" w:type="dxa"/>
          </w:tcPr>
          <w:p w14:paraId="459FE8C8">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监理服务费</w:t>
            </w:r>
          </w:p>
        </w:tc>
        <w:tc>
          <w:tcPr>
            <w:tcW w:w="2011" w:type="dxa"/>
          </w:tcPr>
          <w:p w14:paraId="117FB00E">
            <w:pPr>
              <w:spacing w:line="360" w:lineRule="auto"/>
              <w:jc w:val="center"/>
              <w:rPr>
                <w:rFonts w:cs="宋体" w:asciiTheme="minorEastAsia" w:hAnsiTheme="minorEastAsia" w:eastAsiaTheme="minorEastAsia"/>
                <w:color w:val="auto"/>
                <w:sz w:val="24"/>
                <w:szCs w:val="24"/>
                <w:highlight w:val="none"/>
              </w:rPr>
            </w:pPr>
          </w:p>
        </w:tc>
      </w:tr>
      <w:tr w14:paraId="55F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2130BC23">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项目总监理工程师</w:t>
            </w:r>
          </w:p>
        </w:tc>
        <w:tc>
          <w:tcPr>
            <w:tcW w:w="2700" w:type="dxa"/>
          </w:tcPr>
          <w:p w14:paraId="1347D7B3">
            <w:pPr>
              <w:spacing w:line="360" w:lineRule="auto"/>
              <w:jc w:val="center"/>
              <w:rPr>
                <w:rFonts w:cs="宋体" w:asciiTheme="minorEastAsia" w:hAnsiTheme="minorEastAsia" w:eastAsiaTheme="minorEastAsia"/>
                <w:color w:val="auto"/>
                <w:sz w:val="24"/>
                <w:szCs w:val="24"/>
                <w:highlight w:val="none"/>
              </w:rPr>
            </w:pPr>
          </w:p>
        </w:tc>
        <w:tc>
          <w:tcPr>
            <w:tcW w:w="1849" w:type="dxa"/>
          </w:tcPr>
          <w:p w14:paraId="3988A6B5">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监理人员总数</w:t>
            </w:r>
          </w:p>
        </w:tc>
        <w:tc>
          <w:tcPr>
            <w:tcW w:w="2011" w:type="dxa"/>
          </w:tcPr>
          <w:p w14:paraId="758ACDD1">
            <w:pPr>
              <w:spacing w:line="360" w:lineRule="auto"/>
              <w:jc w:val="center"/>
              <w:rPr>
                <w:rFonts w:cs="宋体" w:asciiTheme="minorEastAsia" w:hAnsiTheme="minorEastAsia" w:eastAsiaTheme="minorEastAsia"/>
                <w:color w:val="auto"/>
                <w:sz w:val="24"/>
                <w:szCs w:val="24"/>
                <w:highlight w:val="none"/>
              </w:rPr>
            </w:pPr>
          </w:p>
        </w:tc>
      </w:tr>
      <w:tr w14:paraId="6695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553B8237">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结构形式</w:t>
            </w:r>
          </w:p>
        </w:tc>
        <w:tc>
          <w:tcPr>
            <w:tcW w:w="6560" w:type="dxa"/>
            <w:gridSpan w:val="3"/>
          </w:tcPr>
          <w:p w14:paraId="4A105839">
            <w:pPr>
              <w:spacing w:line="360" w:lineRule="auto"/>
              <w:jc w:val="center"/>
              <w:rPr>
                <w:rFonts w:cs="宋体" w:asciiTheme="minorEastAsia" w:hAnsiTheme="minorEastAsia" w:eastAsiaTheme="minorEastAsia"/>
                <w:color w:val="auto"/>
                <w:sz w:val="24"/>
                <w:szCs w:val="24"/>
                <w:highlight w:val="none"/>
              </w:rPr>
            </w:pPr>
          </w:p>
        </w:tc>
      </w:tr>
      <w:tr w14:paraId="3CF5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0B0231AA">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受奖罚情况</w:t>
            </w:r>
          </w:p>
        </w:tc>
        <w:tc>
          <w:tcPr>
            <w:tcW w:w="6560" w:type="dxa"/>
            <w:gridSpan w:val="3"/>
          </w:tcPr>
          <w:p w14:paraId="606464E3">
            <w:pPr>
              <w:spacing w:line="360" w:lineRule="auto"/>
              <w:jc w:val="center"/>
              <w:rPr>
                <w:rFonts w:cs="宋体" w:asciiTheme="minorEastAsia" w:hAnsiTheme="minorEastAsia" w:eastAsiaTheme="minorEastAsia"/>
                <w:color w:val="auto"/>
                <w:sz w:val="24"/>
                <w:szCs w:val="24"/>
                <w:highlight w:val="none"/>
              </w:rPr>
            </w:pPr>
          </w:p>
        </w:tc>
      </w:tr>
      <w:tr w14:paraId="4B58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7" w:type="dxa"/>
            <w:gridSpan w:val="5"/>
          </w:tcPr>
          <w:p w14:paraId="1FB141B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监理主要内容：</w:t>
            </w:r>
          </w:p>
          <w:p w14:paraId="56E10B7E">
            <w:pPr>
              <w:spacing w:line="360" w:lineRule="auto"/>
              <w:rPr>
                <w:rFonts w:cs="宋体" w:asciiTheme="minorEastAsia" w:hAnsiTheme="minorEastAsia" w:eastAsiaTheme="minorEastAsia"/>
                <w:color w:val="auto"/>
                <w:sz w:val="24"/>
                <w:szCs w:val="24"/>
                <w:highlight w:val="none"/>
              </w:rPr>
            </w:pPr>
          </w:p>
          <w:p w14:paraId="766FD499">
            <w:pPr>
              <w:spacing w:line="360" w:lineRule="auto"/>
              <w:rPr>
                <w:rFonts w:cs="宋体" w:asciiTheme="minorEastAsia" w:hAnsiTheme="minorEastAsia" w:eastAsiaTheme="minorEastAsia"/>
                <w:color w:val="auto"/>
                <w:sz w:val="24"/>
                <w:szCs w:val="24"/>
                <w:highlight w:val="none"/>
              </w:rPr>
            </w:pPr>
          </w:p>
          <w:p w14:paraId="40D151BC">
            <w:pPr>
              <w:spacing w:line="360" w:lineRule="auto"/>
              <w:rPr>
                <w:rFonts w:cs="宋体" w:asciiTheme="minorEastAsia" w:hAnsiTheme="minorEastAsia" w:eastAsiaTheme="minorEastAsia"/>
                <w:color w:val="auto"/>
                <w:sz w:val="24"/>
                <w:szCs w:val="24"/>
                <w:highlight w:val="none"/>
              </w:rPr>
            </w:pPr>
          </w:p>
          <w:p w14:paraId="024CB5A9">
            <w:pPr>
              <w:spacing w:line="360" w:lineRule="auto"/>
              <w:rPr>
                <w:rFonts w:cs="宋体" w:asciiTheme="minorEastAsia" w:hAnsiTheme="minorEastAsia" w:eastAsiaTheme="minorEastAsia"/>
                <w:color w:val="auto"/>
                <w:sz w:val="24"/>
                <w:szCs w:val="24"/>
                <w:highlight w:val="none"/>
              </w:rPr>
            </w:pPr>
          </w:p>
          <w:p w14:paraId="2B00B5FC">
            <w:pPr>
              <w:spacing w:line="360" w:lineRule="auto"/>
              <w:rPr>
                <w:rFonts w:cs="宋体" w:asciiTheme="minorEastAsia" w:hAnsiTheme="minorEastAsia" w:eastAsiaTheme="minorEastAsia"/>
                <w:color w:val="auto"/>
                <w:sz w:val="24"/>
                <w:szCs w:val="24"/>
                <w:highlight w:val="none"/>
              </w:rPr>
            </w:pPr>
          </w:p>
        </w:tc>
      </w:tr>
      <w:tr w14:paraId="391E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64706EA2">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设计单位</w:t>
            </w:r>
          </w:p>
        </w:tc>
        <w:tc>
          <w:tcPr>
            <w:tcW w:w="6560" w:type="dxa"/>
            <w:gridSpan w:val="3"/>
          </w:tcPr>
          <w:p w14:paraId="4C57031B">
            <w:pPr>
              <w:spacing w:line="360" w:lineRule="auto"/>
              <w:jc w:val="center"/>
              <w:rPr>
                <w:rFonts w:cs="宋体" w:asciiTheme="minorEastAsia" w:hAnsiTheme="minorEastAsia" w:eastAsiaTheme="minorEastAsia"/>
                <w:color w:val="auto"/>
                <w:sz w:val="24"/>
                <w:szCs w:val="24"/>
                <w:highlight w:val="none"/>
              </w:rPr>
            </w:pPr>
          </w:p>
        </w:tc>
      </w:tr>
      <w:tr w14:paraId="2EF1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gridSpan w:val="2"/>
          </w:tcPr>
          <w:p w14:paraId="1D093720">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施工单位</w:t>
            </w:r>
          </w:p>
        </w:tc>
        <w:tc>
          <w:tcPr>
            <w:tcW w:w="6560" w:type="dxa"/>
            <w:gridSpan w:val="3"/>
          </w:tcPr>
          <w:p w14:paraId="3240E3EA">
            <w:pPr>
              <w:spacing w:line="360" w:lineRule="auto"/>
              <w:jc w:val="center"/>
              <w:rPr>
                <w:rFonts w:cs="宋体" w:asciiTheme="minorEastAsia" w:hAnsiTheme="minorEastAsia" w:eastAsiaTheme="minorEastAsia"/>
                <w:color w:val="auto"/>
                <w:sz w:val="24"/>
                <w:szCs w:val="24"/>
                <w:highlight w:val="none"/>
              </w:rPr>
            </w:pPr>
          </w:p>
        </w:tc>
      </w:tr>
      <w:tr w14:paraId="0F03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7" w:type="dxa"/>
            <w:vMerge w:val="restart"/>
          </w:tcPr>
          <w:p w14:paraId="5B3A528B">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业</w:t>
            </w:r>
          </w:p>
          <w:p w14:paraId="0AA385C8">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主</w:t>
            </w:r>
          </w:p>
        </w:tc>
        <w:tc>
          <w:tcPr>
            <w:tcW w:w="1980" w:type="dxa"/>
          </w:tcPr>
          <w:p w14:paraId="41507654">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w:t>
            </w:r>
          </w:p>
        </w:tc>
        <w:tc>
          <w:tcPr>
            <w:tcW w:w="6560" w:type="dxa"/>
            <w:gridSpan w:val="3"/>
          </w:tcPr>
          <w:p w14:paraId="4A1E6F67">
            <w:pPr>
              <w:spacing w:line="360" w:lineRule="auto"/>
              <w:jc w:val="center"/>
              <w:rPr>
                <w:rFonts w:cs="宋体" w:asciiTheme="minorEastAsia" w:hAnsiTheme="minorEastAsia" w:eastAsiaTheme="minorEastAsia"/>
                <w:color w:val="auto"/>
                <w:sz w:val="24"/>
                <w:szCs w:val="24"/>
                <w:highlight w:val="none"/>
              </w:rPr>
            </w:pPr>
          </w:p>
        </w:tc>
      </w:tr>
      <w:tr w14:paraId="321A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7" w:type="dxa"/>
            <w:vMerge w:val="continue"/>
          </w:tcPr>
          <w:p w14:paraId="36A855DE">
            <w:pPr>
              <w:spacing w:line="360" w:lineRule="auto"/>
              <w:jc w:val="center"/>
              <w:rPr>
                <w:rFonts w:cs="宋体" w:asciiTheme="minorEastAsia" w:hAnsiTheme="minorEastAsia" w:eastAsiaTheme="minorEastAsia"/>
                <w:color w:val="auto"/>
                <w:sz w:val="24"/>
                <w:szCs w:val="24"/>
                <w:highlight w:val="none"/>
              </w:rPr>
            </w:pPr>
          </w:p>
        </w:tc>
        <w:tc>
          <w:tcPr>
            <w:tcW w:w="1980" w:type="dxa"/>
          </w:tcPr>
          <w:p w14:paraId="729A31B7">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w:t>
            </w:r>
          </w:p>
        </w:tc>
        <w:tc>
          <w:tcPr>
            <w:tcW w:w="6560" w:type="dxa"/>
            <w:gridSpan w:val="3"/>
          </w:tcPr>
          <w:p w14:paraId="65EA0A3A">
            <w:pPr>
              <w:spacing w:line="360" w:lineRule="auto"/>
              <w:jc w:val="center"/>
              <w:rPr>
                <w:rFonts w:cs="宋体" w:asciiTheme="minorEastAsia" w:hAnsiTheme="minorEastAsia" w:eastAsiaTheme="minorEastAsia"/>
                <w:color w:val="auto"/>
                <w:sz w:val="24"/>
                <w:szCs w:val="24"/>
                <w:highlight w:val="none"/>
              </w:rPr>
            </w:pPr>
          </w:p>
        </w:tc>
      </w:tr>
      <w:tr w14:paraId="46CD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7" w:type="dxa"/>
            <w:vMerge w:val="continue"/>
          </w:tcPr>
          <w:p w14:paraId="5C9E90C9">
            <w:pPr>
              <w:spacing w:line="360" w:lineRule="auto"/>
              <w:jc w:val="center"/>
              <w:rPr>
                <w:rFonts w:cs="宋体" w:asciiTheme="minorEastAsia" w:hAnsiTheme="minorEastAsia" w:eastAsiaTheme="minorEastAsia"/>
                <w:color w:val="auto"/>
                <w:sz w:val="24"/>
                <w:szCs w:val="24"/>
                <w:highlight w:val="none"/>
              </w:rPr>
            </w:pPr>
          </w:p>
        </w:tc>
        <w:tc>
          <w:tcPr>
            <w:tcW w:w="1980" w:type="dxa"/>
          </w:tcPr>
          <w:p w14:paraId="699CBF5F">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联系人</w:t>
            </w:r>
          </w:p>
        </w:tc>
        <w:tc>
          <w:tcPr>
            <w:tcW w:w="6560" w:type="dxa"/>
            <w:gridSpan w:val="3"/>
          </w:tcPr>
          <w:p w14:paraId="190B5DE0">
            <w:pPr>
              <w:spacing w:line="360" w:lineRule="auto"/>
              <w:jc w:val="center"/>
              <w:rPr>
                <w:rFonts w:cs="宋体" w:asciiTheme="minorEastAsia" w:hAnsiTheme="minorEastAsia" w:eastAsiaTheme="minorEastAsia"/>
                <w:color w:val="auto"/>
                <w:sz w:val="24"/>
                <w:szCs w:val="24"/>
                <w:highlight w:val="none"/>
              </w:rPr>
            </w:pPr>
          </w:p>
        </w:tc>
      </w:tr>
      <w:tr w14:paraId="00DC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7" w:type="dxa"/>
            <w:vMerge w:val="continue"/>
          </w:tcPr>
          <w:p w14:paraId="08538A1F">
            <w:pPr>
              <w:spacing w:line="360" w:lineRule="auto"/>
              <w:jc w:val="center"/>
              <w:rPr>
                <w:rFonts w:cs="宋体" w:asciiTheme="minorEastAsia" w:hAnsiTheme="minorEastAsia" w:eastAsiaTheme="minorEastAsia"/>
                <w:color w:val="auto"/>
                <w:sz w:val="24"/>
                <w:szCs w:val="24"/>
                <w:highlight w:val="none"/>
              </w:rPr>
            </w:pPr>
          </w:p>
        </w:tc>
        <w:tc>
          <w:tcPr>
            <w:tcW w:w="1980" w:type="dxa"/>
          </w:tcPr>
          <w:p w14:paraId="7E72D4E7">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联系电话</w:t>
            </w:r>
          </w:p>
        </w:tc>
        <w:tc>
          <w:tcPr>
            <w:tcW w:w="6560" w:type="dxa"/>
            <w:gridSpan w:val="3"/>
          </w:tcPr>
          <w:p w14:paraId="7889C800">
            <w:pPr>
              <w:spacing w:line="360" w:lineRule="auto"/>
              <w:jc w:val="center"/>
              <w:rPr>
                <w:rFonts w:cs="宋体" w:asciiTheme="minorEastAsia" w:hAnsiTheme="minorEastAsia" w:eastAsiaTheme="minorEastAsia"/>
                <w:color w:val="auto"/>
                <w:sz w:val="24"/>
                <w:szCs w:val="24"/>
                <w:highlight w:val="none"/>
              </w:rPr>
            </w:pPr>
          </w:p>
        </w:tc>
      </w:tr>
      <w:tr w14:paraId="5713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trPr>
        <w:tc>
          <w:tcPr>
            <w:tcW w:w="457" w:type="dxa"/>
            <w:vMerge w:val="continue"/>
          </w:tcPr>
          <w:p w14:paraId="66B2A518">
            <w:pPr>
              <w:spacing w:line="360" w:lineRule="auto"/>
              <w:jc w:val="center"/>
              <w:rPr>
                <w:rFonts w:cs="宋体" w:asciiTheme="minorEastAsia" w:hAnsiTheme="minorEastAsia" w:eastAsiaTheme="minorEastAsia"/>
                <w:color w:val="auto"/>
                <w:sz w:val="24"/>
                <w:szCs w:val="24"/>
                <w:highlight w:val="none"/>
              </w:rPr>
            </w:pPr>
          </w:p>
        </w:tc>
        <w:tc>
          <w:tcPr>
            <w:tcW w:w="1980" w:type="dxa"/>
          </w:tcPr>
          <w:p w14:paraId="5F259B57">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传真号码</w:t>
            </w:r>
          </w:p>
        </w:tc>
        <w:tc>
          <w:tcPr>
            <w:tcW w:w="6560" w:type="dxa"/>
            <w:gridSpan w:val="3"/>
          </w:tcPr>
          <w:p w14:paraId="7CDC1BEF">
            <w:pPr>
              <w:spacing w:line="360" w:lineRule="auto"/>
              <w:jc w:val="center"/>
              <w:rPr>
                <w:rFonts w:cs="宋体" w:asciiTheme="minorEastAsia" w:hAnsiTheme="minorEastAsia" w:eastAsiaTheme="minorEastAsia"/>
                <w:color w:val="auto"/>
                <w:sz w:val="24"/>
                <w:szCs w:val="24"/>
                <w:highlight w:val="none"/>
              </w:rPr>
            </w:pPr>
          </w:p>
        </w:tc>
      </w:tr>
    </w:tbl>
    <w:p w14:paraId="1E5BA5DF">
      <w:pPr>
        <w:spacing w:line="360" w:lineRule="auto"/>
        <w:jc w:val="center"/>
        <w:rPr>
          <w:rFonts w:cs="宋体" w:asciiTheme="minorEastAsia" w:hAnsiTheme="minorEastAsia" w:eastAsiaTheme="minorEastAsia"/>
          <w:b/>
          <w:color w:val="auto"/>
          <w:sz w:val="28"/>
          <w:highlight w:val="none"/>
        </w:rPr>
      </w:pPr>
    </w:p>
    <w:p w14:paraId="03EED263">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color w:val="auto"/>
          <w:sz w:val="28"/>
          <w:highlight w:val="none"/>
        </w:rPr>
        <w:br w:type="page"/>
      </w:r>
    </w:p>
    <w:p w14:paraId="78776264">
      <w:pPr>
        <w:spacing w:line="360" w:lineRule="auto"/>
        <w:jc w:val="center"/>
        <w:rPr>
          <w:rFonts w:cs="宋体" w:asciiTheme="minorEastAsia" w:hAnsiTheme="minorEastAsia" w:eastAsiaTheme="minorEastAsia"/>
          <w:b/>
          <w:color w:val="auto"/>
          <w:sz w:val="28"/>
          <w:highlight w:val="none"/>
        </w:rPr>
      </w:pPr>
      <w:r>
        <w:rPr>
          <w:rFonts w:hint="eastAsia" w:cs="宋体" w:asciiTheme="minorEastAsia" w:hAnsiTheme="minorEastAsia" w:eastAsiaTheme="minorEastAsia"/>
          <w:b/>
          <w:color w:val="auto"/>
          <w:sz w:val="28"/>
          <w:highlight w:val="none"/>
        </w:rPr>
        <w:t>企业目前正在监理的类似工程合同一览表</w:t>
      </w:r>
    </w:p>
    <w:p w14:paraId="59EAB326">
      <w:pPr>
        <w:spacing w:line="360" w:lineRule="auto"/>
        <w:rPr>
          <w:rFonts w:cs="宋体" w:asciiTheme="minorEastAsia" w:hAnsiTheme="minorEastAsia" w:eastAsiaTheme="minorEastAsia"/>
          <w:b/>
          <w:color w:val="auto"/>
          <w:sz w:val="28"/>
          <w:highlight w:val="none"/>
        </w:rPr>
      </w:pPr>
    </w:p>
    <w:tbl>
      <w:tblPr>
        <w:tblStyle w:val="21"/>
        <w:tblW w:w="9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14:paraId="00A3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479533A4">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工程名称</w:t>
            </w:r>
          </w:p>
        </w:tc>
        <w:tc>
          <w:tcPr>
            <w:tcW w:w="6560" w:type="dxa"/>
            <w:gridSpan w:val="3"/>
          </w:tcPr>
          <w:p w14:paraId="78BDEAD6">
            <w:pPr>
              <w:spacing w:line="360" w:lineRule="auto"/>
              <w:jc w:val="center"/>
              <w:rPr>
                <w:rFonts w:cs="宋体" w:asciiTheme="minorEastAsia" w:hAnsiTheme="minorEastAsia" w:eastAsiaTheme="minorEastAsia"/>
                <w:color w:val="auto"/>
                <w:sz w:val="24"/>
                <w:szCs w:val="24"/>
                <w:highlight w:val="none"/>
              </w:rPr>
            </w:pPr>
          </w:p>
        </w:tc>
      </w:tr>
      <w:tr w14:paraId="3F2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2B86124C">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项目地点</w:t>
            </w:r>
          </w:p>
        </w:tc>
        <w:tc>
          <w:tcPr>
            <w:tcW w:w="6560" w:type="dxa"/>
            <w:gridSpan w:val="3"/>
          </w:tcPr>
          <w:p w14:paraId="0864DA8A">
            <w:pPr>
              <w:spacing w:line="360" w:lineRule="auto"/>
              <w:jc w:val="center"/>
              <w:rPr>
                <w:rFonts w:cs="宋体" w:asciiTheme="minorEastAsia" w:hAnsiTheme="minorEastAsia" w:eastAsiaTheme="minorEastAsia"/>
                <w:color w:val="auto"/>
                <w:sz w:val="24"/>
                <w:szCs w:val="24"/>
                <w:highlight w:val="none"/>
              </w:rPr>
            </w:pPr>
          </w:p>
        </w:tc>
      </w:tr>
      <w:tr w14:paraId="458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23E54579">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工程规模</w:t>
            </w:r>
          </w:p>
        </w:tc>
        <w:tc>
          <w:tcPr>
            <w:tcW w:w="6560" w:type="dxa"/>
            <w:gridSpan w:val="3"/>
          </w:tcPr>
          <w:p w14:paraId="4EC4785E">
            <w:pPr>
              <w:spacing w:line="360" w:lineRule="auto"/>
              <w:jc w:val="center"/>
              <w:rPr>
                <w:rFonts w:cs="宋体" w:asciiTheme="minorEastAsia" w:hAnsiTheme="minorEastAsia" w:eastAsiaTheme="minorEastAsia"/>
                <w:color w:val="auto"/>
                <w:sz w:val="24"/>
                <w:szCs w:val="24"/>
                <w:highlight w:val="none"/>
              </w:rPr>
            </w:pPr>
          </w:p>
        </w:tc>
      </w:tr>
      <w:tr w14:paraId="34B8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269AE05A">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工程等级</w:t>
            </w:r>
          </w:p>
        </w:tc>
        <w:tc>
          <w:tcPr>
            <w:tcW w:w="2700" w:type="dxa"/>
          </w:tcPr>
          <w:p w14:paraId="2798BBA1">
            <w:pPr>
              <w:spacing w:line="360" w:lineRule="auto"/>
              <w:jc w:val="center"/>
              <w:rPr>
                <w:rFonts w:cs="宋体" w:asciiTheme="minorEastAsia" w:hAnsiTheme="minorEastAsia" w:eastAsiaTheme="minorEastAsia"/>
                <w:color w:val="auto"/>
                <w:sz w:val="24"/>
                <w:szCs w:val="24"/>
                <w:highlight w:val="none"/>
              </w:rPr>
            </w:pPr>
          </w:p>
        </w:tc>
        <w:tc>
          <w:tcPr>
            <w:tcW w:w="1849" w:type="dxa"/>
          </w:tcPr>
          <w:p w14:paraId="3449C9C1">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工程造价</w:t>
            </w:r>
          </w:p>
        </w:tc>
        <w:tc>
          <w:tcPr>
            <w:tcW w:w="2011" w:type="dxa"/>
          </w:tcPr>
          <w:p w14:paraId="504CBC05">
            <w:pPr>
              <w:spacing w:line="360" w:lineRule="auto"/>
              <w:jc w:val="center"/>
              <w:rPr>
                <w:rFonts w:cs="宋体" w:asciiTheme="minorEastAsia" w:hAnsiTheme="minorEastAsia" w:eastAsiaTheme="minorEastAsia"/>
                <w:color w:val="auto"/>
                <w:sz w:val="24"/>
                <w:szCs w:val="24"/>
                <w:highlight w:val="none"/>
              </w:rPr>
            </w:pPr>
          </w:p>
        </w:tc>
      </w:tr>
      <w:tr w14:paraId="6805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71CEDE68">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开工日期</w:t>
            </w:r>
          </w:p>
        </w:tc>
        <w:tc>
          <w:tcPr>
            <w:tcW w:w="2700" w:type="dxa"/>
          </w:tcPr>
          <w:p w14:paraId="1DAA00CD">
            <w:pPr>
              <w:spacing w:line="360" w:lineRule="auto"/>
              <w:jc w:val="center"/>
              <w:rPr>
                <w:rFonts w:cs="宋体" w:asciiTheme="minorEastAsia" w:hAnsiTheme="minorEastAsia" w:eastAsiaTheme="minorEastAsia"/>
                <w:color w:val="auto"/>
                <w:sz w:val="24"/>
                <w:szCs w:val="24"/>
                <w:highlight w:val="none"/>
              </w:rPr>
            </w:pPr>
          </w:p>
        </w:tc>
        <w:tc>
          <w:tcPr>
            <w:tcW w:w="1849" w:type="dxa"/>
          </w:tcPr>
          <w:p w14:paraId="014BFE03">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预计完工时间</w:t>
            </w:r>
          </w:p>
        </w:tc>
        <w:tc>
          <w:tcPr>
            <w:tcW w:w="2011" w:type="dxa"/>
          </w:tcPr>
          <w:p w14:paraId="72F7F726">
            <w:pPr>
              <w:spacing w:line="360" w:lineRule="auto"/>
              <w:jc w:val="center"/>
              <w:rPr>
                <w:rFonts w:cs="宋体" w:asciiTheme="minorEastAsia" w:hAnsiTheme="minorEastAsia" w:eastAsiaTheme="minorEastAsia"/>
                <w:color w:val="auto"/>
                <w:sz w:val="24"/>
                <w:szCs w:val="24"/>
                <w:highlight w:val="none"/>
              </w:rPr>
            </w:pPr>
          </w:p>
        </w:tc>
      </w:tr>
      <w:tr w14:paraId="2768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343F7F6B">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项目总监理工程师</w:t>
            </w:r>
          </w:p>
        </w:tc>
        <w:tc>
          <w:tcPr>
            <w:tcW w:w="2700" w:type="dxa"/>
          </w:tcPr>
          <w:p w14:paraId="32192B3D">
            <w:pPr>
              <w:spacing w:line="360" w:lineRule="auto"/>
              <w:jc w:val="center"/>
              <w:rPr>
                <w:rFonts w:cs="宋体" w:asciiTheme="minorEastAsia" w:hAnsiTheme="minorEastAsia" w:eastAsiaTheme="minorEastAsia"/>
                <w:color w:val="auto"/>
                <w:sz w:val="24"/>
                <w:szCs w:val="24"/>
                <w:highlight w:val="none"/>
              </w:rPr>
            </w:pPr>
          </w:p>
        </w:tc>
        <w:tc>
          <w:tcPr>
            <w:tcW w:w="1849" w:type="dxa"/>
          </w:tcPr>
          <w:p w14:paraId="42B4CE35">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监理人员总数</w:t>
            </w:r>
          </w:p>
        </w:tc>
        <w:tc>
          <w:tcPr>
            <w:tcW w:w="2011" w:type="dxa"/>
          </w:tcPr>
          <w:p w14:paraId="546A2C48">
            <w:pPr>
              <w:spacing w:line="360" w:lineRule="auto"/>
              <w:jc w:val="center"/>
              <w:rPr>
                <w:rFonts w:cs="宋体" w:asciiTheme="minorEastAsia" w:hAnsiTheme="minorEastAsia" w:eastAsiaTheme="minorEastAsia"/>
                <w:color w:val="auto"/>
                <w:sz w:val="24"/>
                <w:szCs w:val="24"/>
                <w:highlight w:val="none"/>
              </w:rPr>
            </w:pPr>
          </w:p>
        </w:tc>
      </w:tr>
      <w:tr w14:paraId="50C3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6E1DD18A">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结构形式</w:t>
            </w:r>
          </w:p>
        </w:tc>
        <w:tc>
          <w:tcPr>
            <w:tcW w:w="6560" w:type="dxa"/>
            <w:gridSpan w:val="3"/>
          </w:tcPr>
          <w:p w14:paraId="7825754F">
            <w:pPr>
              <w:spacing w:line="360" w:lineRule="auto"/>
              <w:jc w:val="center"/>
              <w:rPr>
                <w:rFonts w:cs="宋体" w:asciiTheme="minorEastAsia" w:hAnsiTheme="minorEastAsia" w:eastAsiaTheme="minorEastAsia"/>
                <w:color w:val="auto"/>
                <w:sz w:val="24"/>
                <w:szCs w:val="24"/>
                <w:highlight w:val="none"/>
              </w:rPr>
            </w:pPr>
          </w:p>
        </w:tc>
      </w:tr>
      <w:tr w14:paraId="7784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4" w:type="dxa"/>
            <w:gridSpan w:val="5"/>
          </w:tcPr>
          <w:p w14:paraId="496998BD">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监理主要内容：</w:t>
            </w:r>
          </w:p>
          <w:p w14:paraId="135680FC">
            <w:pPr>
              <w:spacing w:line="360" w:lineRule="auto"/>
              <w:rPr>
                <w:rFonts w:cs="宋体" w:asciiTheme="minorEastAsia" w:hAnsiTheme="minorEastAsia" w:eastAsiaTheme="minorEastAsia"/>
                <w:color w:val="auto"/>
                <w:sz w:val="24"/>
                <w:szCs w:val="24"/>
                <w:highlight w:val="none"/>
              </w:rPr>
            </w:pPr>
          </w:p>
          <w:p w14:paraId="49876B8E">
            <w:pPr>
              <w:spacing w:line="360" w:lineRule="auto"/>
              <w:rPr>
                <w:rFonts w:cs="宋体" w:asciiTheme="minorEastAsia" w:hAnsiTheme="minorEastAsia" w:eastAsiaTheme="minorEastAsia"/>
                <w:color w:val="auto"/>
                <w:sz w:val="24"/>
                <w:szCs w:val="24"/>
                <w:highlight w:val="none"/>
              </w:rPr>
            </w:pPr>
          </w:p>
          <w:p w14:paraId="377B7A31">
            <w:pPr>
              <w:spacing w:line="360" w:lineRule="auto"/>
              <w:rPr>
                <w:rFonts w:cs="宋体" w:asciiTheme="minorEastAsia" w:hAnsiTheme="minorEastAsia" w:eastAsiaTheme="minorEastAsia"/>
                <w:color w:val="auto"/>
                <w:sz w:val="24"/>
                <w:szCs w:val="24"/>
                <w:highlight w:val="none"/>
              </w:rPr>
            </w:pPr>
          </w:p>
          <w:p w14:paraId="331DE6D1">
            <w:pPr>
              <w:spacing w:line="360" w:lineRule="auto"/>
              <w:rPr>
                <w:rFonts w:cs="宋体" w:asciiTheme="minorEastAsia" w:hAnsiTheme="minorEastAsia" w:eastAsiaTheme="minorEastAsia"/>
                <w:color w:val="auto"/>
                <w:sz w:val="24"/>
                <w:szCs w:val="24"/>
                <w:highlight w:val="none"/>
              </w:rPr>
            </w:pPr>
          </w:p>
          <w:p w14:paraId="6C305578">
            <w:pPr>
              <w:spacing w:line="360" w:lineRule="auto"/>
              <w:rPr>
                <w:rFonts w:cs="宋体" w:asciiTheme="minorEastAsia" w:hAnsiTheme="minorEastAsia" w:eastAsiaTheme="minorEastAsia"/>
                <w:color w:val="auto"/>
                <w:sz w:val="24"/>
                <w:szCs w:val="24"/>
                <w:highlight w:val="none"/>
              </w:rPr>
            </w:pPr>
          </w:p>
        </w:tc>
      </w:tr>
      <w:tr w14:paraId="5C1C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344B2CFE">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设计单位</w:t>
            </w:r>
          </w:p>
        </w:tc>
        <w:tc>
          <w:tcPr>
            <w:tcW w:w="6560" w:type="dxa"/>
            <w:gridSpan w:val="3"/>
          </w:tcPr>
          <w:p w14:paraId="27900DC4">
            <w:pPr>
              <w:spacing w:line="360" w:lineRule="auto"/>
              <w:jc w:val="center"/>
              <w:rPr>
                <w:rFonts w:cs="宋体" w:asciiTheme="minorEastAsia" w:hAnsiTheme="minorEastAsia" w:eastAsiaTheme="minorEastAsia"/>
                <w:color w:val="auto"/>
                <w:sz w:val="24"/>
                <w:szCs w:val="24"/>
                <w:highlight w:val="none"/>
              </w:rPr>
            </w:pPr>
          </w:p>
        </w:tc>
      </w:tr>
      <w:tr w14:paraId="1C1F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gridSpan w:val="2"/>
          </w:tcPr>
          <w:p w14:paraId="4B788AA1">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施工单位</w:t>
            </w:r>
          </w:p>
        </w:tc>
        <w:tc>
          <w:tcPr>
            <w:tcW w:w="6560" w:type="dxa"/>
            <w:gridSpan w:val="3"/>
          </w:tcPr>
          <w:p w14:paraId="0136A0CD">
            <w:pPr>
              <w:spacing w:line="360" w:lineRule="auto"/>
              <w:jc w:val="center"/>
              <w:rPr>
                <w:rFonts w:cs="宋体" w:asciiTheme="minorEastAsia" w:hAnsiTheme="minorEastAsia" w:eastAsiaTheme="minorEastAsia"/>
                <w:color w:val="auto"/>
                <w:sz w:val="24"/>
                <w:szCs w:val="24"/>
                <w:highlight w:val="none"/>
              </w:rPr>
            </w:pPr>
          </w:p>
        </w:tc>
      </w:tr>
      <w:tr w14:paraId="541B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94" w:type="dxa"/>
            <w:vMerge w:val="restart"/>
          </w:tcPr>
          <w:p w14:paraId="4DE6C44F">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业</w:t>
            </w:r>
          </w:p>
          <w:p w14:paraId="64D0B473">
            <w:pPr>
              <w:spacing w:line="360" w:lineRule="auto"/>
              <w:jc w:val="center"/>
              <w:rPr>
                <w:rFonts w:cs="宋体" w:asciiTheme="minorEastAsia" w:hAnsiTheme="minorEastAsia" w:eastAsiaTheme="minorEastAsia"/>
                <w:color w:val="auto"/>
                <w:sz w:val="24"/>
                <w:szCs w:val="24"/>
                <w:highlight w:val="none"/>
              </w:rPr>
            </w:pPr>
          </w:p>
          <w:p w14:paraId="7B7423DF">
            <w:pPr>
              <w:spacing w:line="360" w:lineRule="auto"/>
              <w:jc w:val="center"/>
              <w:rPr>
                <w:rFonts w:cs="宋体" w:asciiTheme="minorEastAsia" w:hAnsiTheme="minorEastAsia" w:eastAsiaTheme="minorEastAsia"/>
                <w:color w:val="auto"/>
                <w:sz w:val="24"/>
                <w:szCs w:val="24"/>
                <w:highlight w:val="none"/>
              </w:rPr>
            </w:pPr>
          </w:p>
          <w:p w14:paraId="794360A3">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主</w:t>
            </w:r>
          </w:p>
        </w:tc>
        <w:tc>
          <w:tcPr>
            <w:tcW w:w="1980" w:type="dxa"/>
          </w:tcPr>
          <w:p w14:paraId="2C628948">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w:t>
            </w:r>
          </w:p>
        </w:tc>
        <w:tc>
          <w:tcPr>
            <w:tcW w:w="6560" w:type="dxa"/>
            <w:gridSpan w:val="3"/>
          </w:tcPr>
          <w:p w14:paraId="3BAC73EC">
            <w:pPr>
              <w:spacing w:line="360" w:lineRule="auto"/>
              <w:jc w:val="center"/>
              <w:rPr>
                <w:rFonts w:cs="宋体" w:asciiTheme="minorEastAsia" w:hAnsiTheme="minorEastAsia" w:eastAsiaTheme="minorEastAsia"/>
                <w:color w:val="auto"/>
                <w:sz w:val="24"/>
                <w:szCs w:val="24"/>
                <w:highlight w:val="none"/>
              </w:rPr>
            </w:pPr>
          </w:p>
        </w:tc>
      </w:tr>
      <w:tr w14:paraId="0092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94" w:type="dxa"/>
            <w:vMerge w:val="continue"/>
          </w:tcPr>
          <w:p w14:paraId="64ED16CB">
            <w:pPr>
              <w:spacing w:line="360" w:lineRule="auto"/>
              <w:jc w:val="center"/>
              <w:rPr>
                <w:rFonts w:cs="宋体" w:asciiTheme="minorEastAsia" w:hAnsiTheme="minorEastAsia" w:eastAsiaTheme="minorEastAsia"/>
                <w:color w:val="auto"/>
                <w:sz w:val="24"/>
                <w:szCs w:val="24"/>
                <w:highlight w:val="none"/>
              </w:rPr>
            </w:pPr>
          </w:p>
        </w:tc>
        <w:tc>
          <w:tcPr>
            <w:tcW w:w="1980" w:type="dxa"/>
          </w:tcPr>
          <w:p w14:paraId="6BE75041">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w:t>
            </w:r>
          </w:p>
        </w:tc>
        <w:tc>
          <w:tcPr>
            <w:tcW w:w="6560" w:type="dxa"/>
            <w:gridSpan w:val="3"/>
          </w:tcPr>
          <w:p w14:paraId="7F6008FF">
            <w:pPr>
              <w:spacing w:line="360" w:lineRule="auto"/>
              <w:jc w:val="center"/>
              <w:rPr>
                <w:rFonts w:cs="宋体" w:asciiTheme="minorEastAsia" w:hAnsiTheme="minorEastAsia" w:eastAsiaTheme="minorEastAsia"/>
                <w:color w:val="auto"/>
                <w:sz w:val="24"/>
                <w:szCs w:val="24"/>
                <w:highlight w:val="none"/>
              </w:rPr>
            </w:pPr>
          </w:p>
        </w:tc>
      </w:tr>
      <w:tr w14:paraId="46D0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94" w:type="dxa"/>
            <w:vMerge w:val="continue"/>
          </w:tcPr>
          <w:p w14:paraId="6D0CC15D">
            <w:pPr>
              <w:spacing w:line="360" w:lineRule="auto"/>
              <w:jc w:val="center"/>
              <w:rPr>
                <w:rFonts w:cs="宋体" w:asciiTheme="minorEastAsia" w:hAnsiTheme="minorEastAsia" w:eastAsiaTheme="minorEastAsia"/>
                <w:color w:val="auto"/>
                <w:sz w:val="24"/>
                <w:szCs w:val="24"/>
                <w:highlight w:val="none"/>
              </w:rPr>
            </w:pPr>
          </w:p>
        </w:tc>
        <w:tc>
          <w:tcPr>
            <w:tcW w:w="1980" w:type="dxa"/>
          </w:tcPr>
          <w:p w14:paraId="76D11D31">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联系人</w:t>
            </w:r>
          </w:p>
        </w:tc>
        <w:tc>
          <w:tcPr>
            <w:tcW w:w="6560" w:type="dxa"/>
            <w:gridSpan w:val="3"/>
          </w:tcPr>
          <w:p w14:paraId="4C0861E9">
            <w:pPr>
              <w:spacing w:line="360" w:lineRule="auto"/>
              <w:jc w:val="center"/>
              <w:rPr>
                <w:rFonts w:cs="宋体" w:asciiTheme="minorEastAsia" w:hAnsiTheme="minorEastAsia" w:eastAsiaTheme="minorEastAsia"/>
                <w:color w:val="auto"/>
                <w:sz w:val="24"/>
                <w:szCs w:val="24"/>
                <w:highlight w:val="none"/>
              </w:rPr>
            </w:pPr>
          </w:p>
        </w:tc>
      </w:tr>
      <w:tr w14:paraId="141B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94" w:type="dxa"/>
            <w:vMerge w:val="continue"/>
          </w:tcPr>
          <w:p w14:paraId="15080276">
            <w:pPr>
              <w:spacing w:line="360" w:lineRule="auto"/>
              <w:jc w:val="center"/>
              <w:rPr>
                <w:rFonts w:cs="宋体" w:asciiTheme="minorEastAsia" w:hAnsiTheme="minorEastAsia" w:eastAsiaTheme="minorEastAsia"/>
                <w:color w:val="auto"/>
                <w:sz w:val="24"/>
                <w:szCs w:val="24"/>
                <w:highlight w:val="none"/>
              </w:rPr>
            </w:pPr>
          </w:p>
        </w:tc>
        <w:tc>
          <w:tcPr>
            <w:tcW w:w="1980" w:type="dxa"/>
          </w:tcPr>
          <w:p w14:paraId="7B30FB33">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联系电话</w:t>
            </w:r>
          </w:p>
        </w:tc>
        <w:tc>
          <w:tcPr>
            <w:tcW w:w="6560" w:type="dxa"/>
            <w:gridSpan w:val="3"/>
          </w:tcPr>
          <w:p w14:paraId="378C5C8F">
            <w:pPr>
              <w:spacing w:line="360" w:lineRule="auto"/>
              <w:jc w:val="center"/>
              <w:rPr>
                <w:rFonts w:cs="宋体" w:asciiTheme="minorEastAsia" w:hAnsiTheme="minorEastAsia" w:eastAsiaTheme="minorEastAsia"/>
                <w:color w:val="auto"/>
                <w:sz w:val="24"/>
                <w:szCs w:val="24"/>
                <w:highlight w:val="none"/>
              </w:rPr>
            </w:pPr>
          </w:p>
        </w:tc>
      </w:tr>
      <w:tr w14:paraId="5458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trPr>
        <w:tc>
          <w:tcPr>
            <w:tcW w:w="594" w:type="dxa"/>
            <w:vMerge w:val="continue"/>
          </w:tcPr>
          <w:p w14:paraId="09776BCF">
            <w:pPr>
              <w:spacing w:line="360" w:lineRule="auto"/>
              <w:jc w:val="center"/>
              <w:rPr>
                <w:rFonts w:cs="宋体" w:asciiTheme="minorEastAsia" w:hAnsiTheme="minorEastAsia" w:eastAsiaTheme="minorEastAsia"/>
                <w:color w:val="auto"/>
                <w:sz w:val="24"/>
                <w:szCs w:val="24"/>
                <w:highlight w:val="none"/>
              </w:rPr>
            </w:pPr>
          </w:p>
        </w:tc>
        <w:tc>
          <w:tcPr>
            <w:tcW w:w="1980" w:type="dxa"/>
          </w:tcPr>
          <w:p w14:paraId="0C4BD097">
            <w:pPr>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传真号码</w:t>
            </w:r>
          </w:p>
        </w:tc>
        <w:tc>
          <w:tcPr>
            <w:tcW w:w="6560" w:type="dxa"/>
            <w:gridSpan w:val="3"/>
          </w:tcPr>
          <w:p w14:paraId="3EFB07E2">
            <w:pPr>
              <w:spacing w:line="360" w:lineRule="auto"/>
              <w:jc w:val="center"/>
              <w:rPr>
                <w:rFonts w:cs="宋体" w:asciiTheme="minorEastAsia" w:hAnsiTheme="minorEastAsia" w:eastAsiaTheme="minorEastAsia"/>
                <w:color w:val="auto"/>
                <w:sz w:val="24"/>
                <w:szCs w:val="24"/>
                <w:highlight w:val="none"/>
              </w:rPr>
            </w:pPr>
          </w:p>
        </w:tc>
      </w:tr>
    </w:tbl>
    <w:p w14:paraId="706ABF34">
      <w:pPr>
        <w:spacing w:line="360" w:lineRule="auto"/>
        <w:jc w:val="center"/>
        <w:rPr>
          <w:rFonts w:cs="宋体" w:asciiTheme="minorEastAsia" w:hAnsiTheme="minorEastAsia" w:eastAsiaTheme="minorEastAsia"/>
          <w:b/>
          <w:color w:val="auto"/>
          <w:sz w:val="28"/>
          <w:highlight w:val="none"/>
        </w:rPr>
      </w:pPr>
    </w:p>
    <w:p w14:paraId="7962839F">
      <w:pPr>
        <w:spacing w:line="360" w:lineRule="auto"/>
        <w:rPr>
          <w:rFonts w:cs="宋体" w:asciiTheme="minorEastAsia" w:hAnsiTheme="minorEastAsia" w:eastAsiaTheme="minorEastAsia"/>
          <w:bCs/>
          <w:color w:val="auto"/>
          <w:sz w:val="28"/>
          <w:szCs w:val="28"/>
          <w:highlight w:val="none"/>
        </w:rPr>
      </w:pPr>
    </w:p>
    <w:p w14:paraId="47B06DC6">
      <w:pPr>
        <w:spacing w:line="360" w:lineRule="auto"/>
        <w:jc w:val="right"/>
        <w:rPr>
          <w:rFonts w:cs="宋体" w:asciiTheme="minorEastAsia" w:hAnsiTheme="minorEastAsia" w:eastAsiaTheme="minorEastAsia"/>
          <w:color w:val="auto"/>
          <w:highlight w:val="none"/>
        </w:rPr>
      </w:pPr>
      <w:r>
        <w:rPr>
          <w:rFonts w:hint="eastAsia" w:cs="宋体" w:asciiTheme="minorEastAsia" w:hAnsiTheme="minorEastAsia" w:eastAsiaTheme="minorEastAsia"/>
          <w:bCs/>
          <w:color w:val="auto"/>
          <w:sz w:val="28"/>
          <w:szCs w:val="28"/>
          <w:highlight w:val="none"/>
        </w:rPr>
        <w:br w:type="page"/>
      </w:r>
    </w:p>
    <w:p w14:paraId="1DF7E5F4">
      <w:pPr>
        <w:spacing w:line="400" w:lineRule="exact"/>
        <w:jc w:val="center"/>
        <w:rPr>
          <w:rFonts w:hint="eastAsia" w:ascii="宋体" w:hAnsi="宋体" w:eastAsia="宋体" w:cs="Times New Roman"/>
          <w:b/>
          <w:color w:val="auto"/>
          <w:kern w:val="2"/>
          <w:sz w:val="28"/>
          <w:szCs w:val="28"/>
          <w:lang w:val="en-US" w:eastAsia="zh-CN" w:bidi="ar-SA"/>
        </w:rPr>
      </w:pPr>
    </w:p>
    <w:p w14:paraId="72B4FED0">
      <w:pPr>
        <w:spacing w:line="400" w:lineRule="exact"/>
        <w:jc w:val="center"/>
        <w:rPr>
          <w:rFonts w:hint="eastAsia" w:ascii="宋体" w:hAnsi="宋体" w:cs="宋体"/>
          <w:b/>
          <w:bCs/>
          <w:color w:val="auto"/>
          <w:sz w:val="36"/>
        </w:rPr>
      </w:pPr>
      <w:r>
        <w:rPr>
          <w:rFonts w:hint="eastAsia" w:ascii="宋体" w:hAnsi="宋体" w:eastAsia="宋体" w:cs="Times New Roman"/>
          <w:b/>
          <w:color w:val="auto"/>
          <w:kern w:val="2"/>
          <w:sz w:val="28"/>
          <w:szCs w:val="28"/>
          <w:lang w:val="en-US" w:eastAsia="zh-CN" w:bidi="ar-SA"/>
        </w:rPr>
        <w:t xml:space="preserve"> 派驻此次招标工程监理人员汇总表</w:t>
      </w:r>
    </w:p>
    <w:p w14:paraId="5828031F">
      <w:pPr>
        <w:widowControl w:val="0"/>
        <w:spacing w:line="400" w:lineRule="exact"/>
        <w:jc w:val="both"/>
        <w:rPr>
          <w:rFonts w:hint="eastAsia" w:ascii="宋体" w:hAnsi="宋体" w:eastAsia="宋体" w:cs="宋体"/>
          <w:color w:val="auto"/>
          <w:kern w:val="2"/>
          <w:sz w:val="24"/>
          <w:lang w:val="en-US" w:eastAsia="zh-CN" w:bidi="ar-SA"/>
        </w:rPr>
      </w:pPr>
    </w:p>
    <w:p w14:paraId="664F463D">
      <w:pPr>
        <w:spacing w:line="400" w:lineRule="exact"/>
        <w:rPr>
          <w:rFonts w:hint="eastAsia" w:ascii="宋体" w:hAnsi="宋体" w:cs="宋体"/>
          <w:b/>
          <w:color w:val="auto"/>
          <w:sz w:val="24"/>
        </w:rPr>
      </w:pPr>
      <w:r>
        <w:rPr>
          <w:rFonts w:hint="eastAsia" w:ascii="宋体" w:hAnsi="宋体" w:cs="宋体"/>
          <w:b/>
          <w:color w:val="auto"/>
          <w:sz w:val="24"/>
        </w:rPr>
        <w:t>工程名称：</w:t>
      </w:r>
    </w:p>
    <w:tbl>
      <w:tblPr>
        <w:tblStyle w:val="21"/>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51"/>
        <w:gridCol w:w="569"/>
        <w:gridCol w:w="540"/>
        <w:gridCol w:w="900"/>
        <w:gridCol w:w="720"/>
        <w:gridCol w:w="1440"/>
        <w:gridCol w:w="2640"/>
      </w:tblGrid>
      <w:tr w14:paraId="48D8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top w:val="single" w:color="auto" w:sz="12" w:space="0"/>
              <w:left w:val="single" w:color="auto" w:sz="12" w:space="0"/>
              <w:bottom w:val="single" w:color="auto" w:sz="12" w:space="0"/>
            </w:tcBorders>
            <w:noWrap w:val="0"/>
            <w:vAlign w:val="center"/>
          </w:tcPr>
          <w:p w14:paraId="22B22D27">
            <w:pPr>
              <w:spacing w:line="400" w:lineRule="exact"/>
              <w:rPr>
                <w:rFonts w:hint="eastAsia" w:ascii="宋体" w:hAnsi="宋体" w:cs="宋体"/>
                <w:color w:val="auto"/>
                <w:sz w:val="24"/>
              </w:rPr>
            </w:pPr>
            <w:r>
              <w:rPr>
                <w:rFonts w:hint="eastAsia" w:ascii="宋体" w:hAnsi="宋体" w:cs="宋体"/>
                <w:color w:val="auto"/>
                <w:sz w:val="24"/>
              </w:rPr>
              <w:t>姓  名</w:t>
            </w:r>
          </w:p>
        </w:tc>
        <w:tc>
          <w:tcPr>
            <w:tcW w:w="1951" w:type="dxa"/>
            <w:tcBorders>
              <w:top w:val="single" w:color="auto" w:sz="12" w:space="0"/>
              <w:bottom w:val="single" w:color="auto" w:sz="12" w:space="0"/>
            </w:tcBorders>
            <w:noWrap w:val="0"/>
            <w:vAlign w:val="center"/>
          </w:tcPr>
          <w:p w14:paraId="4C0CDE68">
            <w:pPr>
              <w:spacing w:line="400" w:lineRule="exact"/>
              <w:rPr>
                <w:rFonts w:hint="eastAsia" w:ascii="宋体" w:hAnsi="宋体" w:cs="宋体"/>
                <w:color w:val="auto"/>
                <w:sz w:val="24"/>
              </w:rPr>
            </w:pPr>
            <w:r>
              <w:rPr>
                <w:rFonts w:hint="eastAsia" w:ascii="宋体" w:hAnsi="宋体" w:cs="宋体"/>
                <w:color w:val="auto"/>
                <w:sz w:val="24"/>
              </w:rPr>
              <w:t>本工程拟任岗位</w:t>
            </w:r>
          </w:p>
        </w:tc>
        <w:tc>
          <w:tcPr>
            <w:tcW w:w="569" w:type="dxa"/>
            <w:tcBorders>
              <w:top w:val="single" w:color="auto" w:sz="12" w:space="0"/>
              <w:bottom w:val="single" w:color="auto" w:sz="12" w:space="0"/>
            </w:tcBorders>
            <w:noWrap w:val="0"/>
            <w:vAlign w:val="center"/>
          </w:tcPr>
          <w:p w14:paraId="41ABEE76">
            <w:pPr>
              <w:spacing w:line="400" w:lineRule="exact"/>
              <w:rPr>
                <w:rFonts w:hint="eastAsia" w:ascii="宋体" w:hAnsi="宋体" w:cs="宋体"/>
                <w:color w:val="auto"/>
                <w:sz w:val="24"/>
              </w:rPr>
            </w:pPr>
            <w:r>
              <w:rPr>
                <w:rFonts w:hint="eastAsia" w:ascii="宋体" w:hAnsi="宋体" w:cs="宋体"/>
                <w:color w:val="auto"/>
                <w:sz w:val="24"/>
              </w:rPr>
              <w:t>年龄</w:t>
            </w:r>
          </w:p>
        </w:tc>
        <w:tc>
          <w:tcPr>
            <w:tcW w:w="540" w:type="dxa"/>
            <w:tcBorders>
              <w:top w:val="single" w:color="auto" w:sz="12" w:space="0"/>
              <w:bottom w:val="single" w:color="auto" w:sz="12" w:space="0"/>
            </w:tcBorders>
            <w:noWrap w:val="0"/>
            <w:vAlign w:val="center"/>
          </w:tcPr>
          <w:p w14:paraId="5F75D4DB">
            <w:pPr>
              <w:spacing w:line="400" w:lineRule="exact"/>
              <w:rPr>
                <w:rFonts w:hint="eastAsia" w:ascii="宋体" w:hAnsi="宋体" w:cs="宋体"/>
                <w:color w:val="auto"/>
                <w:sz w:val="24"/>
              </w:rPr>
            </w:pPr>
            <w:r>
              <w:rPr>
                <w:rFonts w:hint="eastAsia" w:ascii="宋体" w:hAnsi="宋体" w:cs="宋体"/>
                <w:color w:val="auto"/>
                <w:sz w:val="24"/>
              </w:rPr>
              <w:t>性别</w:t>
            </w:r>
          </w:p>
        </w:tc>
        <w:tc>
          <w:tcPr>
            <w:tcW w:w="900" w:type="dxa"/>
            <w:tcBorders>
              <w:top w:val="single" w:color="auto" w:sz="12" w:space="0"/>
              <w:bottom w:val="single" w:color="auto" w:sz="12" w:space="0"/>
            </w:tcBorders>
            <w:noWrap w:val="0"/>
            <w:vAlign w:val="center"/>
          </w:tcPr>
          <w:p w14:paraId="5C34CE36">
            <w:pPr>
              <w:spacing w:line="400" w:lineRule="exact"/>
              <w:rPr>
                <w:rFonts w:hint="eastAsia" w:ascii="宋体" w:hAnsi="宋体" w:cs="宋体"/>
                <w:color w:val="auto"/>
                <w:sz w:val="24"/>
              </w:rPr>
            </w:pPr>
            <w:r>
              <w:rPr>
                <w:rFonts w:hint="eastAsia" w:ascii="宋体" w:hAnsi="宋体" w:cs="宋体"/>
                <w:color w:val="auto"/>
                <w:sz w:val="24"/>
              </w:rPr>
              <w:t>专 业</w:t>
            </w:r>
          </w:p>
        </w:tc>
        <w:tc>
          <w:tcPr>
            <w:tcW w:w="720" w:type="dxa"/>
            <w:tcBorders>
              <w:top w:val="single" w:color="auto" w:sz="12" w:space="0"/>
              <w:bottom w:val="single" w:color="auto" w:sz="12" w:space="0"/>
            </w:tcBorders>
            <w:noWrap w:val="0"/>
            <w:vAlign w:val="center"/>
          </w:tcPr>
          <w:p w14:paraId="4C6B0565">
            <w:pPr>
              <w:spacing w:line="400" w:lineRule="exact"/>
              <w:rPr>
                <w:rFonts w:hint="eastAsia" w:ascii="宋体" w:hAnsi="宋体" w:cs="宋体"/>
                <w:color w:val="auto"/>
                <w:sz w:val="24"/>
              </w:rPr>
            </w:pPr>
            <w:r>
              <w:rPr>
                <w:rFonts w:hint="eastAsia" w:ascii="宋体" w:hAnsi="宋体" w:cs="宋体"/>
                <w:color w:val="auto"/>
                <w:sz w:val="24"/>
              </w:rPr>
              <w:t>专业年限</w:t>
            </w:r>
          </w:p>
        </w:tc>
        <w:tc>
          <w:tcPr>
            <w:tcW w:w="1440" w:type="dxa"/>
            <w:tcBorders>
              <w:top w:val="single" w:color="auto" w:sz="12" w:space="0"/>
              <w:bottom w:val="single" w:color="auto" w:sz="12" w:space="0"/>
            </w:tcBorders>
            <w:noWrap w:val="0"/>
            <w:vAlign w:val="center"/>
          </w:tcPr>
          <w:p w14:paraId="1EA90AC9">
            <w:pPr>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2640" w:type="dxa"/>
            <w:tcBorders>
              <w:top w:val="single" w:color="auto" w:sz="12" w:space="0"/>
              <w:bottom w:val="single" w:color="auto" w:sz="12" w:space="0"/>
              <w:right w:val="single" w:color="auto" w:sz="12" w:space="0"/>
            </w:tcBorders>
            <w:noWrap w:val="0"/>
            <w:vAlign w:val="center"/>
          </w:tcPr>
          <w:p w14:paraId="0E5C58C8">
            <w:pPr>
              <w:spacing w:line="400" w:lineRule="exact"/>
              <w:jc w:val="center"/>
              <w:rPr>
                <w:rFonts w:hint="eastAsia" w:ascii="宋体" w:hAnsi="宋体" w:cs="宋体"/>
                <w:color w:val="auto"/>
                <w:sz w:val="24"/>
              </w:rPr>
            </w:pPr>
            <w:r>
              <w:rPr>
                <w:rFonts w:hint="eastAsia" w:ascii="宋体" w:hAnsi="宋体" w:cs="宋体"/>
                <w:color w:val="auto"/>
                <w:sz w:val="24"/>
              </w:rPr>
              <w:t>安排上岗 起止时间</w:t>
            </w:r>
          </w:p>
        </w:tc>
      </w:tr>
      <w:tr w14:paraId="20D7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top w:val="single" w:color="auto" w:sz="12" w:space="0"/>
              <w:left w:val="single" w:color="auto" w:sz="12" w:space="0"/>
            </w:tcBorders>
            <w:noWrap w:val="0"/>
            <w:vAlign w:val="center"/>
          </w:tcPr>
          <w:p w14:paraId="5C65A5F1">
            <w:pPr>
              <w:spacing w:line="400" w:lineRule="exact"/>
              <w:rPr>
                <w:rFonts w:hint="eastAsia" w:ascii="宋体" w:hAnsi="宋体" w:cs="宋体"/>
                <w:color w:val="auto"/>
                <w:sz w:val="24"/>
              </w:rPr>
            </w:pPr>
          </w:p>
        </w:tc>
        <w:tc>
          <w:tcPr>
            <w:tcW w:w="1951" w:type="dxa"/>
            <w:tcBorders>
              <w:top w:val="single" w:color="auto" w:sz="12" w:space="0"/>
            </w:tcBorders>
            <w:noWrap w:val="0"/>
            <w:vAlign w:val="center"/>
          </w:tcPr>
          <w:p w14:paraId="7094FAF5">
            <w:pPr>
              <w:spacing w:line="400" w:lineRule="exact"/>
              <w:rPr>
                <w:rFonts w:hint="eastAsia" w:ascii="宋体" w:hAnsi="宋体" w:cs="宋体"/>
                <w:color w:val="auto"/>
                <w:sz w:val="24"/>
              </w:rPr>
            </w:pPr>
          </w:p>
        </w:tc>
        <w:tc>
          <w:tcPr>
            <w:tcW w:w="569" w:type="dxa"/>
            <w:tcBorders>
              <w:top w:val="single" w:color="auto" w:sz="12" w:space="0"/>
            </w:tcBorders>
            <w:noWrap w:val="0"/>
            <w:vAlign w:val="center"/>
          </w:tcPr>
          <w:p w14:paraId="50BB2F7F">
            <w:pPr>
              <w:spacing w:line="400" w:lineRule="exact"/>
              <w:rPr>
                <w:rFonts w:hint="eastAsia" w:ascii="宋体" w:hAnsi="宋体" w:cs="宋体"/>
                <w:color w:val="auto"/>
                <w:sz w:val="24"/>
              </w:rPr>
            </w:pPr>
          </w:p>
        </w:tc>
        <w:tc>
          <w:tcPr>
            <w:tcW w:w="540" w:type="dxa"/>
            <w:tcBorders>
              <w:top w:val="single" w:color="auto" w:sz="12" w:space="0"/>
            </w:tcBorders>
            <w:noWrap w:val="0"/>
            <w:vAlign w:val="center"/>
          </w:tcPr>
          <w:p w14:paraId="7B854F89">
            <w:pPr>
              <w:spacing w:line="400" w:lineRule="exact"/>
              <w:rPr>
                <w:rFonts w:hint="eastAsia" w:ascii="宋体" w:hAnsi="宋体" w:cs="宋体"/>
                <w:color w:val="auto"/>
                <w:sz w:val="24"/>
              </w:rPr>
            </w:pPr>
          </w:p>
        </w:tc>
        <w:tc>
          <w:tcPr>
            <w:tcW w:w="900" w:type="dxa"/>
            <w:tcBorders>
              <w:top w:val="single" w:color="auto" w:sz="12" w:space="0"/>
            </w:tcBorders>
            <w:noWrap w:val="0"/>
            <w:vAlign w:val="center"/>
          </w:tcPr>
          <w:p w14:paraId="5955504D">
            <w:pPr>
              <w:spacing w:line="400" w:lineRule="exact"/>
              <w:rPr>
                <w:rFonts w:hint="eastAsia" w:ascii="宋体" w:hAnsi="宋体" w:cs="宋体"/>
                <w:color w:val="auto"/>
                <w:sz w:val="24"/>
              </w:rPr>
            </w:pPr>
          </w:p>
        </w:tc>
        <w:tc>
          <w:tcPr>
            <w:tcW w:w="720" w:type="dxa"/>
            <w:tcBorders>
              <w:top w:val="single" w:color="auto" w:sz="12" w:space="0"/>
            </w:tcBorders>
            <w:noWrap w:val="0"/>
            <w:vAlign w:val="center"/>
          </w:tcPr>
          <w:p w14:paraId="38D3FE54">
            <w:pPr>
              <w:spacing w:line="400" w:lineRule="exact"/>
              <w:rPr>
                <w:rFonts w:hint="eastAsia" w:ascii="宋体" w:hAnsi="宋体" w:cs="宋体"/>
                <w:color w:val="auto"/>
                <w:sz w:val="24"/>
              </w:rPr>
            </w:pPr>
          </w:p>
        </w:tc>
        <w:tc>
          <w:tcPr>
            <w:tcW w:w="1440" w:type="dxa"/>
            <w:tcBorders>
              <w:top w:val="single" w:color="auto" w:sz="12" w:space="0"/>
            </w:tcBorders>
            <w:noWrap w:val="0"/>
            <w:vAlign w:val="center"/>
          </w:tcPr>
          <w:p w14:paraId="4BCCB483">
            <w:pPr>
              <w:widowControl w:val="0"/>
              <w:spacing w:line="400" w:lineRule="exact"/>
              <w:jc w:val="both"/>
              <w:rPr>
                <w:rFonts w:hint="eastAsia" w:ascii="宋体" w:hAnsi="宋体" w:eastAsia="宋体" w:cs="宋体"/>
                <w:color w:val="auto"/>
                <w:kern w:val="2"/>
                <w:sz w:val="24"/>
                <w:lang w:val="en-US" w:eastAsia="zh-CN" w:bidi="ar-SA"/>
              </w:rPr>
            </w:pPr>
          </w:p>
        </w:tc>
        <w:tc>
          <w:tcPr>
            <w:tcW w:w="2640" w:type="dxa"/>
            <w:tcBorders>
              <w:top w:val="single" w:color="auto" w:sz="12" w:space="0"/>
              <w:right w:val="single" w:color="auto" w:sz="12" w:space="0"/>
            </w:tcBorders>
            <w:noWrap w:val="0"/>
            <w:vAlign w:val="center"/>
          </w:tcPr>
          <w:p w14:paraId="75E74F0D">
            <w:pPr>
              <w:spacing w:line="400" w:lineRule="exact"/>
              <w:rPr>
                <w:rFonts w:hint="eastAsia" w:ascii="宋体" w:hAnsi="宋体" w:cs="宋体"/>
                <w:color w:val="auto"/>
                <w:sz w:val="24"/>
              </w:rPr>
            </w:pPr>
          </w:p>
        </w:tc>
      </w:tr>
      <w:tr w14:paraId="2713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435F8049">
            <w:pPr>
              <w:spacing w:line="400" w:lineRule="exact"/>
              <w:rPr>
                <w:rFonts w:hint="eastAsia" w:ascii="宋体" w:hAnsi="宋体" w:cs="宋体"/>
                <w:color w:val="auto"/>
                <w:sz w:val="24"/>
              </w:rPr>
            </w:pPr>
          </w:p>
        </w:tc>
        <w:tc>
          <w:tcPr>
            <w:tcW w:w="1951" w:type="dxa"/>
            <w:noWrap w:val="0"/>
            <w:vAlign w:val="center"/>
          </w:tcPr>
          <w:p w14:paraId="4996C74A">
            <w:pPr>
              <w:spacing w:line="400" w:lineRule="exact"/>
              <w:rPr>
                <w:rFonts w:hint="eastAsia" w:ascii="宋体" w:hAnsi="宋体" w:cs="宋体"/>
                <w:color w:val="auto"/>
                <w:sz w:val="24"/>
              </w:rPr>
            </w:pPr>
          </w:p>
        </w:tc>
        <w:tc>
          <w:tcPr>
            <w:tcW w:w="569" w:type="dxa"/>
            <w:noWrap w:val="0"/>
            <w:vAlign w:val="center"/>
          </w:tcPr>
          <w:p w14:paraId="574F54F6">
            <w:pPr>
              <w:spacing w:line="400" w:lineRule="exact"/>
              <w:rPr>
                <w:rFonts w:hint="eastAsia" w:ascii="宋体" w:hAnsi="宋体" w:cs="宋体"/>
                <w:color w:val="auto"/>
                <w:sz w:val="24"/>
              </w:rPr>
            </w:pPr>
          </w:p>
        </w:tc>
        <w:tc>
          <w:tcPr>
            <w:tcW w:w="540" w:type="dxa"/>
            <w:noWrap w:val="0"/>
            <w:vAlign w:val="center"/>
          </w:tcPr>
          <w:p w14:paraId="149B687E">
            <w:pPr>
              <w:spacing w:line="400" w:lineRule="exact"/>
              <w:rPr>
                <w:rFonts w:hint="eastAsia" w:ascii="宋体" w:hAnsi="宋体" w:cs="宋体"/>
                <w:color w:val="auto"/>
                <w:sz w:val="24"/>
              </w:rPr>
            </w:pPr>
          </w:p>
        </w:tc>
        <w:tc>
          <w:tcPr>
            <w:tcW w:w="900" w:type="dxa"/>
            <w:noWrap w:val="0"/>
            <w:vAlign w:val="center"/>
          </w:tcPr>
          <w:p w14:paraId="0A2FCB24">
            <w:pPr>
              <w:spacing w:line="400" w:lineRule="exact"/>
              <w:rPr>
                <w:rFonts w:hint="eastAsia" w:ascii="宋体" w:hAnsi="宋体" w:cs="宋体"/>
                <w:color w:val="auto"/>
                <w:sz w:val="24"/>
              </w:rPr>
            </w:pPr>
          </w:p>
        </w:tc>
        <w:tc>
          <w:tcPr>
            <w:tcW w:w="720" w:type="dxa"/>
            <w:noWrap w:val="0"/>
            <w:vAlign w:val="center"/>
          </w:tcPr>
          <w:p w14:paraId="2482823D">
            <w:pPr>
              <w:spacing w:line="400" w:lineRule="exact"/>
              <w:rPr>
                <w:rFonts w:hint="eastAsia" w:ascii="宋体" w:hAnsi="宋体" w:cs="宋体"/>
                <w:color w:val="auto"/>
                <w:sz w:val="24"/>
              </w:rPr>
            </w:pPr>
          </w:p>
        </w:tc>
        <w:tc>
          <w:tcPr>
            <w:tcW w:w="1440" w:type="dxa"/>
            <w:noWrap w:val="0"/>
            <w:vAlign w:val="center"/>
          </w:tcPr>
          <w:p w14:paraId="799006D9">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64B79403">
            <w:pPr>
              <w:widowControl w:val="0"/>
              <w:spacing w:line="400" w:lineRule="exact"/>
              <w:jc w:val="both"/>
              <w:rPr>
                <w:rFonts w:hint="eastAsia" w:ascii="宋体" w:hAnsi="宋体" w:eastAsia="宋体" w:cs="宋体"/>
                <w:color w:val="auto"/>
                <w:kern w:val="2"/>
                <w:sz w:val="24"/>
                <w:lang w:val="en-US" w:eastAsia="zh-CN" w:bidi="ar-SA"/>
              </w:rPr>
            </w:pPr>
          </w:p>
        </w:tc>
      </w:tr>
      <w:tr w14:paraId="5E82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7D44DC5F">
            <w:pPr>
              <w:spacing w:line="400" w:lineRule="exact"/>
              <w:rPr>
                <w:rFonts w:hint="eastAsia" w:ascii="宋体" w:hAnsi="宋体" w:cs="宋体"/>
                <w:color w:val="auto"/>
                <w:sz w:val="24"/>
              </w:rPr>
            </w:pPr>
          </w:p>
        </w:tc>
        <w:tc>
          <w:tcPr>
            <w:tcW w:w="1951" w:type="dxa"/>
            <w:noWrap w:val="0"/>
            <w:vAlign w:val="center"/>
          </w:tcPr>
          <w:p w14:paraId="040E63DE">
            <w:pPr>
              <w:spacing w:line="400" w:lineRule="exact"/>
              <w:rPr>
                <w:rFonts w:hint="eastAsia" w:ascii="宋体" w:hAnsi="宋体" w:cs="宋体"/>
                <w:color w:val="auto"/>
                <w:sz w:val="24"/>
              </w:rPr>
            </w:pPr>
          </w:p>
        </w:tc>
        <w:tc>
          <w:tcPr>
            <w:tcW w:w="569" w:type="dxa"/>
            <w:noWrap w:val="0"/>
            <w:vAlign w:val="center"/>
          </w:tcPr>
          <w:p w14:paraId="7A44CD27">
            <w:pPr>
              <w:spacing w:line="400" w:lineRule="exact"/>
              <w:rPr>
                <w:rFonts w:hint="eastAsia" w:ascii="宋体" w:hAnsi="宋体" w:cs="宋体"/>
                <w:color w:val="auto"/>
                <w:sz w:val="24"/>
              </w:rPr>
            </w:pPr>
          </w:p>
        </w:tc>
        <w:tc>
          <w:tcPr>
            <w:tcW w:w="540" w:type="dxa"/>
            <w:noWrap w:val="0"/>
            <w:vAlign w:val="center"/>
          </w:tcPr>
          <w:p w14:paraId="38486C06">
            <w:pPr>
              <w:spacing w:line="400" w:lineRule="exact"/>
              <w:rPr>
                <w:rFonts w:hint="eastAsia" w:ascii="宋体" w:hAnsi="宋体" w:cs="宋体"/>
                <w:color w:val="auto"/>
                <w:sz w:val="24"/>
              </w:rPr>
            </w:pPr>
          </w:p>
        </w:tc>
        <w:tc>
          <w:tcPr>
            <w:tcW w:w="900" w:type="dxa"/>
            <w:noWrap w:val="0"/>
            <w:vAlign w:val="center"/>
          </w:tcPr>
          <w:p w14:paraId="12577FCF">
            <w:pPr>
              <w:spacing w:line="400" w:lineRule="exact"/>
              <w:rPr>
                <w:rFonts w:hint="eastAsia" w:ascii="宋体" w:hAnsi="宋体" w:cs="宋体"/>
                <w:color w:val="auto"/>
                <w:sz w:val="24"/>
              </w:rPr>
            </w:pPr>
          </w:p>
        </w:tc>
        <w:tc>
          <w:tcPr>
            <w:tcW w:w="720" w:type="dxa"/>
            <w:noWrap w:val="0"/>
            <w:vAlign w:val="center"/>
          </w:tcPr>
          <w:p w14:paraId="63763501">
            <w:pPr>
              <w:spacing w:line="400" w:lineRule="exact"/>
              <w:rPr>
                <w:rFonts w:hint="eastAsia" w:ascii="宋体" w:hAnsi="宋体" w:cs="宋体"/>
                <w:color w:val="auto"/>
                <w:sz w:val="24"/>
              </w:rPr>
            </w:pPr>
          </w:p>
        </w:tc>
        <w:tc>
          <w:tcPr>
            <w:tcW w:w="1440" w:type="dxa"/>
            <w:noWrap w:val="0"/>
            <w:vAlign w:val="center"/>
          </w:tcPr>
          <w:p w14:paraId="1F2BD3A2">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157750F6">
            <w:pPr>
              <w:spacing w:line="400" w:lineRule="exact"/>
              <w:rPr>
                <w:rFonts w:hint="eastAsia" w:ascii="宋体" w:hAnsi="宋体" w:cs="宋体"/>
                <w:color w:val="auto"/>
                <w:sz w:val="24"/>
              </w:rPr>
            </w:pPr>
          </w:p>
        </w:tc>
      </w:tr>
      <w:tr w14:paraId="12D8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08719D9D">
            <w:pPr>
              <w:spacing w:line="400" w:lineRule="exact"/>
              <w:rPr>
                <w:rFonts w:hint="eastAsia" w:ascii="宋体" w:hAnsi="宋体" w:cs="宋体"/>
                <w:color w:val="auto"/>
                <w:sz w:val="24"/>
              </w:rPr>
            </w:pPr>
          </w:p>
        </w:tc>
        <w:tc>
          <w:tcPr>
            <w:tcW w:w="1951" w:type="dxa"/>
            <w:noWrap w:val="0"/>
            <w:vAlign w:val="center"/>
          </w:tcPr>
          <w:p w14:paraId="2B521EB6">
            <w:pPr>
              <w:spacing w:line="400" w:lineRule="exact"/>
              <w:rPr>
                <w:rFonts w:hint="eastAsia" w:ascii="宋体" w:hAnsi="宋体" w:cs="宋体"/>
                <w:color w:val="auto"/>
                <w:sz w:val="24"/>
              </w:rPr>
            </w:pPr>
          </w:p>
        </w:tc>
        <w:tc>
          <w:tcPr>
            <w:tcW w:w="569" w:type="dxa"/>
            <w:noWrap w:val="0"/>
            <w:vAlign w:val="center"/>
          </w:tcPr>
          <w:p w14:paraId="51C5BC33">
            <w:pPr>
              <w:spacing w:line="400" w:lineRule="exact"/>
              <w:rPr>
                <w:rFonts w:hint="eastAsia" w:ascii="宋体" w:hAnsi="宋体" w:cs="宋体"/>
                <w:color w:val="auto"/>
                <w:sz w:val="24"/>
              </w:rPr>
            </w:pPr>
          </w:p>
        </w:tc>
        <w:tc>
          <w:tcPr>
            <w:tcW w:w="540" w:type="dxa"/>
            <w:noWrap w:val="0"/>
            <w:vAlign w:val="center"/>
          </w:tcPr>
          <w:p w14:paraId="79648C3D">
            <w:pPr>
              <w:spacing w:line="400" w:lineRule="exact"/>
              <w:rPr>
                <w:rFonts w:hint="eastAsia" w:ascii="宋体" w:hAnsi="宋体" w:cs="宋体"/>
                <w:color w:val="auto"/>
                <w:sz w:val="24"/>
              </w:rPr>
            </w:pPr>
          </w:p>
        </w:tc>
        <w:tc>
          <w:tcPr>
            <w:tcW w:w="900" w:type="dxa"/>
            <w:noWrap w:val="0"/>
            <w:vAlign w:val="center"/>
          </w:tcPr>
          <w:p w14:paraId="4104FFE0">
            <w:pPr>
              <w:spacing w:line="400" w:lineRule="exact"/>
              <w:rPr>
                <w:rFonts w:hint="eastAsia" w:ascii="宋体" w:hAnsi="宋体" w:cs="宋体"/>
                <w:color w:val="auto"/>
                <w:sz w:val="24"/>
              </w:rPr>
            </w:pPr>
          </w:p>
        </w:tc>
        <w:tc>
          <w:tcPr>
            <w:tcW w:w="720" w:type="dxa"/>
            <w:noWrap w:val="0"/>
            <w:vAlign w:val="center"/>
          </w:tcPr>
          <w:p w14:paraId="13986025">
            <w:pPr>
              <w:spacing w:line="400" w:lineRule="exact"/>
              <w:rPr>
                <w:rFonts w:hint="eastAsia" w:ascii="宋体" w:hAnsi="宋体" w:cs="宋体"/>
                <w:color w:val="auto"/>
                <w:sz w:val="24"/>
              </w:rPr>
            </w:pPr>
          </w:p>
        </w:tc>
        <w:tc>
          <w:tcPr>
            <w:tcW w:w="1440" w:type="dxa"/>
            <w:noWrap w:val="0"/>
            <w:vAlign w:val="center"/>
          </w:tcPr>
          <w:p w14:paraId="44B0B174">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4748C1A9">
            <w:pPr>
              <w:spacing w:line="400" w:lineRule="exact"/>
              <w:rPr>
                <w:rFonts w:hint="eastAsia" w:ascii="宋体" w:hAnsi="宋体" w:cs="宋体"/>
                <w:color w:val="auto"/>
                <w:sz w:val="24"/>
              </w:rPr>
            </w:pPr>
          </w:p>
        </w:tc>
      </w:tr>
      <w:tr w14:paraId="2F5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0A8E8825">
            <w:pPr>
              <w:spacing w:line="400" w:lineRule="exact"/>
              <w:rPr>
                <w:rFonts w:hint="eastAsia" w:ascii="宋体" w:hAnsi="宋体" w:cs="宋体"/>
                <w:color w:val="auto"/>
                <w:sz w:val="24"/>
              </w:rPr>
            </w:pPr>
          </w:p>
        </w:tc>
        <w:tc>
          <w:tcPr>
            <w:tcW w:w="1951" w:type="dxa"/>
            <w:noWrap w:val="0"/>
            <w:vAlign w:val="center"/>
          </w:tcPr>
          <w:p w14:paraId="405AF876">
            <w:pPr>
              <w:spacing w:line="400" w:lineRule="exact"/>
              <w:rPr>
                <w:rFonts w:hint="eastAsia" w:ascii="宋体" w:hAnsi="宋体" w:cs="宋体"/>
                <w:color w:val="auto"/>
                <w:sz w:val="24"/>
              </w:rPr>
            </w:pPr>
          </w:p>
        </w:tc>
        <w:tc>
          <w:tcPr>
            <w:tcW w:w="569" w:type="dxa"/>
            <w:noWrap w:val="0"/>
            <w:vAlign w:val="center"/>
          </w:tcPr>
          <w:p w14:paraId="1DF97261">
            <w:pPr>
              <w:spacing w:line="400" w:lineRule="exact"/>
              <w:rPr>
                <w:rFonts w:hint="eastAsia" w:ascii="宋体" w:hAnsi="宋体" w:cs="宋体"/>
                <w:color w:val="auto"/>
                <w:sz w:val="24"/>
              </w:rPr>
            </w:pPr>
          </w:p>
        </w:tc>
        <w:tc>
          <w:tcPr>
            <w:tcW w:w="540" w:type="dxa"/>
            <w:noWrap w:val="0"/>
            <w:vAlign w:val="center"/>
          </w:tcPr>
          <w:p w14:paraId="18716D62">
            <w:pPr>
              <w:spacing w:line="400" w:lineRule="exact"/>
              <w:rPr>
                <w:rFonts w:hint="eastAsia" w:ascii="宋体" w:hAnsi="宋体" w:cs="宋体"/>
                <w:color w:val="auto"/>
                <w:sz w:val="24"/>
              </w:rPr>
            </w:pPr>
          </w:p>
        </w:tc>
        <w:tc>
          <w:tcPr>
            <w:tcW w:w="900" w:type="dxa"/>
            <w:noWrap w:val="0"/>
            <w:vAlign w:val="center"/>
          </w:tcPr>
          <w:p w14:paraId="58C4C518">
            <w:pPr>
              <w:spacing w:line="400" w:lineRule="exact"/>
              <w:rPr>
                <w:rFonts w:hint="eastAsia" w:ascii="宋体" w:hAnsi="宋体" w:cs="宋体"/>
                <w:color w:val="auto"/>
                <w:sz w:val="24"/>
              </w:rPr>
            </w:pPr>
          </w:p>
        </w:tc>
        <w:tc>
          <w:tcPr>
            <w:tcW w:w="720" w:type="dxa"/>
            <w:noWrap w:val="0"/>
            <w:vAlign w:val="center"/>
          </w:tcPr>
          <w:p w14:paraId="5C92E853">
            <w:pPr>
              <w:spacing w:line="400" w:lineRule="exact"/>
              <w:rPr>
                <w:rFonts w:hint="eastAsia" w:ascii="宋体" w:hAnsi="宋体" w:cs="宋体"/>
                <w:color w:val="auto"/>
                <w:sz w:val="24"/>
              </w:rPr>
            </w:pPr>
          </w:p>
        </w:tc>
        <w:tc>
          <w:tcPr>
            <w:tcW w:w="1440" w:type="dxa"/>
            <w:noWrap w:val="0"/>
            <w:vAlign w:val="center"/>
          </w:tcPr>
          <w:p w14:paraId="652068D7">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166FDA64">
            <w:pPr>
              <w:spacing w:line="400" w:lineRule="exact"/>
              <w:rPr>
                <w:rFonts w:hint="eastAsia" w:ascii="宋体" w:hAnsi="宋体" w:cs="宋体"/>
                <w:color w:val="auto"/>
                <w:sz w:val="24"/>
              </w:rPr>
            </w:pPr>
          </w:p>
        </w:tc>
      </w:tr>
      <w:tr w14:paraId="0679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62458C27">
            <w:pPr>
              <w:spacing w:line="400" w:lineRule="exact"/>
              <w:rPr>
                <w:rFonts w:hint="eastAsia" w:ascii="宋体" w:hAnsi="宋体" w:cs="宋体"/>
                <w:color w:val="auto"/>
                <w:sz w:val="24"/>
              </w:rPr>
            </w:pPr>
          </w:p>
        </w:tc>
        <w:tc>
          <w:tcPr>
            <w:tcW w:w="1951" w:type="dxa"/>
            <w:noWrap w:val="0"/>
            <w:vAlign w:val="center"/>
          </w:tcPr>
          <w:p w14:paraId="6B7CD0E6">
            <w:pPr>
              <w:spacing w:line="400" w:lineRule="exact"/>
              <w:rPr>
                <w:rFonts w:hint="eastAsia" w:ascii="宋体" w:hAnsi="宋体" w:cs="宋体"/>
                <w:color w:val="auto"/>
                <w:sz w:val="24"/>
              </w:rPr>
            </w:pPr>
          </w:p>
        </w:tc>
        <w:tc>
          <w:tcPr>
            <w:tcW w:w="569" w:type="dxa"/>
            <w:noWrap w:val="0"/>
            <w:vAlign w:val="center"/>
          </w:tcPr>
          <w:p w14:paraId="2CCEA8AC">
            <w:pPr>
              <w:spacing w:line="400" w:lineRule="exact"/>
              <w:rPr>
                <w:rFonts w:hint="eastAsia" w:ascii="宋体" w:hAnsi="宋体" w:cs="宋体"/>
                <w:color w:val="auto"/>
                <w:sz w:val="24"/>
              </w:rPr>
            </w:pPr>
          </w:p>
        </w:tc>
        <w:tc>
          <w:tcPr>
            <w:tcW w:w="540" w:type="dxa"/>
            <w:noWrap w:val="0"/>
            <w:vAlign w:val="center"/>
          </w:tcPr>
          <w:p w14:paraId="4250B8C7">
            <w:pPr>
              <w:spacing w:line="400" w:lineRule="exact"/>
              <w:rPr>
                <w:rFonts w:hint="eastAsia" w:ascii="宋体" w:hAnsi="宋体" w:cs="宋体"/>
                <w:color w:val="auto"/>
                <w:sz w:val="24"/>
              </w:rPr>
            </w:pPr>
          </w:p>
        </w:tc>
        <w:tc>
          <w:tcPr>
            <w:tcW w:w="900" w:type="dxa"/>
            <w:noWrap w:val="0"/>
            <w:vAlign w:val="center"/>
          </w:tcPr>
          <w:p w14:paraId="01F4830D">
            <w:pPr>
              <w:spacing w:line="400" w:lineRule="exact"/>
              <w:rPr>
                <w:rFonts w:hint="eastAsia" w:ascii="宋体" w:hAnsi="宋体" w:cs="宋体"/>
                <w:color w:val="auto"/>
                <w:sz w:val="24"/>
              </w:rPr>
            </w:pPr>
          </w:p>
        </w:tc>
        <w:tc>
          <w:tcPr>
            <w:tcW w:w="720" w:type="dxa"/>
            <w:noWrap w:val="0"/>
            <w:vAlign w:val="center"/>
          </w:tcPr>
          <w:p w14:paraId="75C37779">
            <w:pPr>
              <w:spacing w:line="400" w:lineRule="exact"/>
              <w:rPr>
                <w:rFonts w:hint="eastAsia" w:ascii="宋体" w:hAnsi="宋体" w:cs="宋体"/>
                <w:color w:val="auto"/>
                <w:sz w:val="24"/>
              </w:rPr>
            </w:pPr>
          </w:p>
        </w:tc>
        <w:tc>
          <w:tcPr>
            <w:tcW w:w="1440" w:type="dxa"/>
            <w:noWrap w:val="0"/>
            <w:vAlign w:val="center"/>
          </w:tcPr>
          <w:p w14:paraId="1A4E4896">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2144F2B7">
            <w:pPr>
              <w:spacing w:line="400" w:lineRule="exact"/>
              <w:rPr>
                <w:rFonts w:hint="eastAsia" w:ascii="宋体" w:hAnsi="宋体" w:cs="宋体"/>
                <w:color w:val="auto"/>
                <w:sz w:val="24"/>
              </w:rPr>
            </w:pPr>
          </w:p>
        </w:tc>
      </w:tr>
      <w:tr w14:paraId="4ACC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7792722F">
            <w:pPr>
              <w:spacing w:line="400" w:lineRule="exact"/>
              <w:rPr>
                <w:rFonts w:hint="eastAsia" w:ascii="宋体" w:hAnsi="宋体" w:cs="宋体"/>
                <w:color w:val="auto"/>
                <w:sz w:val="24"/>
              </w:rPr>
            </w:pPr>
          </w:p>
        </w:tc>
        <w:tc>
          <w:tcPr>
            <w:tcW w:w="1951" w:type="dxa"/>
            <w:noWrap w:val="0"/>
            <w:vAlign w:val="center"/>
          </w:tcPr>
          <w:p w14:paraId="64F5D327">
            <w:pPr>
              <w:spacing w:line="400" w:lineRule="exact"/>
              <w:rPr>
                <w:rFonts w:hint="eastAsia" w:ascii="宋体" w:hAnsi="宋体" w:cs="宋体"/>
                <w:color w:val="auto"/>
                <w:sz w:val="24"/>
              </w:rPr>
            </w:pPr>
          </w:p>
        </w:tc>
        <w:tc>
          <w:tcPr>
            <w:tcW w:w="569" w:type="dxa"/>
            <w:noWrap w:val="0"/>
            <w:vAlign w:val="center"/>
          </w:tcPr>
          <w:p w14:paraId="36BD375B">
            <w:pPr>
              <w:spacing w:line="400" w:lineRule="exact"/>
              <w:rPr>
                <w:rFonts w:hint="eastAsia" w:ascii="宋体" w:hAnsi="宋体" w:cs="宋体"/>
                <w:color w:val="auto"/>
                <w:sz w:val="24"/>
              </w:rPr>
            </w:pPr>
          </w:p>
        </w:tc>
        <w:tc>
          <w:tcPr>
            <w:tcW w:w="540" w:type="dxa"/>
            <w:noWrap w:val="0"/>
            <w:vAlign w:val="center"/>
          </w:tcPr>
          <w:p w14:paraId="312FFEF5">
            <w:pPr>
              <w:spacing w:line="400" w:lineRule="exact"/>
              <w:rPr>
                <w:rFonts w:hint="eastAsia" w:ascii="宋体" w:hAnsi="宋体" w:cs="宋体"/>
                <w:color w:val="auto"/>
                <w:sz w:val="24"/>
              </w:rPr>
            </w:pPr>
          </w:p>
        </w:tc>
        <w:tc>
          <w:tcPr>
            <w:tcW w:w="900" w:type="dxa"/>
            <w:noWrap w:val="0"/>
            <w:vAlign w:val="center"/>
          </w:tcPr>
          <w:p w14:paraId="2E1ED529">
            <w:pPr>
              <w:spacing w:line="400" w:lineRule="exact"/>
              <w:rPr>
                <w:rFonts w:hint="eastAsia" w:ascii="宋体" w:hAnsi="宋体" w:cs="宋体"/>
                <w:color w:val="auto"/>
                <w:sz w:val="24"/>
              </w:rPr>
            </w:pPr>
          </w:p>
        </w:tc>
        <w:tc>
          <w:tcPr>
            <w:tcW w:w="720" w:type="dxa"/>
            <w:noWrap w:val="0"/>
            <w:vAlign w:val="center"/>
          </w:tcPr>
          <w:p w14:paraId="19CCB009">
            <w:pPr>
              <w:spacing w:line="400" w:lineRule="exact"/>
              <w:rPr>
                <w:rFonts w:hint="eastAsia" w:ascii="宋体" w:hAnsi="宋体" w:cs="宋体"/>
                <w:color w:val="auto"/>
                <w:sz w:val="24"/>
              </w:rPr>
            </w:pPr>
          </w:p>
        </w:tc>
        <w:tc>
          <w:tcPr>
            <w:tcW w:w="1440" w:type="dxa"/>
            <w:noWrap w:val="0"/>
            <w:vAlign w:val="center"/>
          </w:tcPr>
          <w:p w14:paraId="602D7DFE">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72C2CB08">
            <w:pPr>
              <w:spacing w:line="400" w:lineRule="exact"/>
              <w:rPr>
                <w:rFonts w:hint="eastAsia" w:ascii="宋体" w:hAnsi="宋体" w:cs="宋体"/>
                <w:color w:val="auto"/>
                <w:sz w:val="24"/>
              </w:rPr>
            </w:pPr>
          </w:p>
        </w:tc>
      </w:tr>
      <w:tr w14:paraId="2981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3A400286">
            <w:pPr>
              <w:spacing w:line="400" w:lineRule="exact"/>
              <w:rPr>
                <w:rFonts w:hint="eastAsia" w:ascii="宋体" w:hAnsi="宋体" w:cs="宋体"/>
                <w:color w:val="auto"/>
                <w:sz w:val="24"/>
              </w:rPr>
            </w:pPr>
          </w:p>
        </w:tc>
        <w:tc>
          <w:tcPr>
            <w:tcW w:w="1951" w:type="dxa"/>
            <w:noWrap w:val="0"/>
            <w:vAlign w:val="center"/>
          </w:tcPr>
          <w:p w14:paraId="20A6C12C">
            <w:pPr>
              <w:spacing w:line="400" w:lineRule="exact"/>
              <w:rPr>
                <w:rFonts w:hint="eastAsia" w:ascii="宋体" w:hAnsi="宋体" w:cs="宋体"/>
                <w:color w:val="auto"/>
                <w:sz w:val="24"/>
              </w:rPr>
            </w:pPr>
          </w:p>
        </w:tc>
        <w:tc>
          <w:tcPr>
            <w:tcW w:w="569" w:type="dxa"/>
            <w:noWrap w:val="0"/>
            <w:vAlign w:val="center"/>
          </w:tcPr>
          <w:p w14:paraId="0A3AEB14">
            <w:pPr>
              <w:spacing w:line="400" w:lineRule="exact"/>
              <w:rPr>
                <w:rFonts w:hint="eastAsia" w:ascii="宋体" w:hAnsi="宋体" w:cs="宋体"/>
                <w:color w:val="auto"/>
                <w:sz w:val="24"/>
              </w:rPr>
            </w:pPr>
          </w:p>
        </w:tc>
        <w:tc>
          <w:tcPr>
            <w:tcW w:w="540" w:type="dxa"/>
            <w:noWrap w:val="0"/>
            <w:vAlign w:val="center"/>
          </w:tcPr>
          <w:p w14:paraId="13ECCF17">
            <w:pPr>
              <w:spacing w:line="400" w:lineRule="exact"/>
              <w:rPr>
                <w:rFonts w:hint="eastAsia" w:ascii="宋体" w:hAnsi="宋体" w:cs="宋体"/>
                <w:color w:val="auto"/>
                <w:sz w:val="24"/>
              </w:rPr>
            </w:pPr>
          </w:p>
        </w:tc>
        <w:tc>
          <w:tcPr>
            <w:tcW w:w="900" w:type="dxa"/>
            <w:noWrap w:val="0"/>
            <w:vAlign w:val="center"/>
          </w:tcPr>
          <w:p w14:paraId="4E359F42">
            <w:pPr>
              <w:spacing w:line="400" w:lineRule="exact"/>
              <w:rPr>
                <w:rFonts w:hint="eastAsia" w:ascii="宋体" w:hAnsi="宋体" w:cs="宋体"/>
                <w:color w:val="auto"/>
                <w:sz w:val="24"/>
              </w:rPr>
            </w:pPr>
          </w:p>
        </w:tc>
        <w:tc>
          <w:tcPr>
            <w:tcW w:w="720" w:type="dxa"/>
            <w:noWrap w:val="0"/>
            <w:vAlign w:val="center"/>
          </w:tcPr>
          <w:p w14:paraId="4E67E726">
            <w:pPr>
              <w:spacing w:line="400" w:lineRule="exact"/>
              <w:rPr>
                <w:rFonts w:hint="eastAsia" w:ascii="宋体" w:hAnsi="宋体" w:cs="宋体"/>
                <w:color w:val="auto"/>
                <w:sz w:val="24"/>
              </w:rPr>
            </w:pPr>
          </w:p>
        </w:tc>
        <w:tc>
          <w:tcPr>
            <w:tcW w:w="1440" w:type="dxa"/>
            <w:noWrap w:val="0"/>
            <w:vAlign w:val="center"/>
          </w:tcPr>
          <w:p w14:paraId="6359684C">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317A3FE1">
            <w:pPr>
              <w:spacing w:line="400" w:lineRule="exact"/>
              <w:rPr>
                <w:rFonts w:hint="eastAsia" w:ascii="宋体" w:hAnsi="宋体" w:cs="宋体"/>
                <w:color w:val="auto"/>
                <w:sz w:val="24"/>
              </w:rPr>
            </w:pPr>
          </w:p>
        </w:tc>
      </w:tr>
      <w:tr w14:paraId="0730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37C2A4CB">
            <w:pPr>
              <w:spacing w:line="400" w:lineRule="exact"/>
              <w:rPr>
                <w:rFonts w:hint="eastAsia" w:ascii="宋体" w:hAnsi="宋体" w:cs="宋体"/>
                <w:color w:val="auto"/>
                <w:sz w:val="24"/>
              </w:rPr>
            </w:pPr>
          </w:p>
        </w:tc>
        <w:tc>
          <w:tcPr>
            <w:tcW w:w="1951" w:type="dxa"/>
            <w:noWrap w:val="0"/>
            <w:vAlign w:val="center"/>
          </w:tcPr>
          <w:p w14:paraId="3A8C0B32">
            <w:pPr>
              <w:spacing w:line="400" w:lineRule="exact"/>
              <w:rPr>
                <w:rFonts w:hint="eastAsia" w:ascii="宋体" w:hAnsi="宋体" w:cs="宋体"/>
                <w:color w:val="auto"/>
                <w:sz w:val="24"/>
              </w:rPr>
            </w:pPr>
          </w:p>
        </w:tc>
        <w:tc>
          <w:tcPr>
            <w:tcW w:w="569" w:type="dxa"/>
            <w:noWrap w:val="0"/>
            <w:vAlign w:val="center"/>
          </w:tcPr>
          <w:p w14:paraId="0F2EC44D">
            <w:pPr>
              <w:spacing w:line="400" w:lineRule="exact"/>
              <w:rPr>
                <w:rFonts w:hint="eastAsia" w:ascii="宋体" w:hAnsi="宋体" w:cs="宋体"/>
                <w:color w:val="auto"/>
                <w:sz w:val="24"/>
              </w:rPr>
            </w:pPr>
          </w:p>
        </w:tc>
        <w:tc>
          <w:tcPr>
            <w:tcW w:w="540" w:type="dxa"/>
            <w:noWrap w:val="0"/>
            <w:vAlign w:val="center"/>
          </w:tcPr>
          <w:p w14:paraId="0BCA40C3">
            <w:pPr>
              <w:spacing w:line="400" w:lineRule="exact"/>
              <w:rPr>
                <w:rFonts w:hint="eastAsia" w:ascii="宋体" w:hAnsi="宋体" w:cs="宋体"/>
                <w:color w:val="auto"/>
                <w:sz w:val="24"/>
              </w:rPr>
            </w:pPr>
          </w:p>
        </w:tc>
        <w:tc>
          <w:tcPr>
            <w:tcW w:w="900" w:type="dxa"/>
            <w:noWrap w:val="0"/>
            <w:vAlign w:val="center"/>
          </w:tcPr>
          <w:p w14:paraId="6771C52D">
            <w:pPr>
              <w:spacing w:line="400" w:lineRule="exact"/>
              <w:rPr>
                <w:rFonts w:hint="eastAsia" w:ascii="宋体" w:hAnsi="宋体" w:cs="宋体"/>
                <w:color w:val="auto"/>
                <w:sz w:val="24"/>
              </w:rPr>
            </w:pPr>
          </w:p>
        </w:tc>
        <w:tc>
          <w:tcPr>
            <w:tcW w:w="720" w:type="dxa"/>
            <w:noWrap w:val="0"/>
            <w:vAlign w:val="center"/>
          </w:tcPr>
          <w:p w14:paraId="40E3929C">
            <w:pPr>
              <w:spacing w:line="400" w:lineRule="exact"/>
              <w:rPr>
                <w:rFonts w:hint="eastAsia" w:ascii="宋体" w:hAnsi="宋体" w:cs="宋体"/>
                <w:color w:val="auto"/>
                <w:sz w:val="24"/>
              </w:rPr>
            </w:pPr>
          </w:p>
        </w:tc>
        <w:tc>
          <w:tcPr>
            <w:tcW w:w="1440" w:type="dxa"/>
            <w:noWrap w:val="0"/>
            <w:vAlign w:val="center"/>
          </w:tcPr>
          <w:p w14:paraId="3CCCDA35">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70778765">
            <w:pPr>
              <w:spacing w:line="400" w:lineRule="exact"/>
              <w:rPr>
                <w:rFonts w:hint="eastAsia" w:ascii="宋体" w:hAnsi="宋体" w:cs="宋体"/>
                <w:color w:val="auto"/>
                <w:sz w:val="24"/>
              </w:rPr>
            </w:pPr>
          </w:p>
        </w:tc>
      </w:tr>
      <w:tr w14:paraId="366A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6451734A">
            <w:pPr>
              <w:spacing w:line="400" w:lineRule="exact"/>
              <w:rPr>
                <w:rFonts w:hint="eastAsia" w:ascii="宋体" w:hAnsi="宋体" w:cs="宋体"/>
                <w:color w:val="auto"/>
                <w:sz w:val="24"/>
              </w:rPr>
            </w:pPr>
          </w:p>
        </w:tc>
        <w:tc>
          <w:tcPr>
            <w:tcW w:w="1951" w:type="dxa"/>
            <w:noWrap w:val="0"/>
            <w:vAlign w:val="center"/>
          </w:tcPr>
          <w:p w14:paraId="01309F23">
            <w:pPr>
              <w:spacing w:line="400" w:lineRule="exact"/>
              <w:rPr>
                <w:rFonts w:hint="eastAsia" w:ascii="宋体" w:hAnsi="宋体" w:cs="宋体"/>
                <w:color w:val="auto"/>
                <w:sz w:val="24"/>
              </w:rPr>
            </w:pPr>
          </w:p>
        </w:tc>
        <w:tc>
          <w:tcPr>
            <w:tcW w:w="569" w:type="dxa"/>
            <w:noWrap w:val="0"/>
            <w:vAlign w:val="center"/>
          </w:tcPr>
          <w:p w14:paraId="4A9C1D26">
            <w:pPr>
              <w:spacing w:line="400" w:lineRule="exact"/>
              <w:rPr>
                <w:rFonts w:hint="eastAsia" w:ascii="宋体" w:hAnsi="宋体" w:cs="宋体"/>
                <w:color w:val="auto"/>
                <w:sz w:val="24"/>
              </w:rPr>
            </w:pPr>
          </w:p>
        </w:tc>
        <w:tc>
          <w:tcPr>
            <w:tcW w:w="540" w:type="dxa"/>
            <w:noWrap w:val="0"/>
            <w:vAlign w:val="center"/>
          </w:tcPr>
          <w:p w14:paraId="7B88A7CF">
            <w:pPr>
              <w:spacing w:line="400" w:lineRule="exact"/>
              <w:rPr>
                <w:rFonts w:hint="eastAsia" w:ascii="宋体" w:hAnsi="宋体" w:cs="宋体"/>
                <w:color w:val="auto"/>
                <w:sz w:val="24"/>
              </w:rPr>
            </w:pPr>
          </w:p>
        </w:tc>
        <w:tc>
          <w:tcPr>
            <w:tcW w:w="900" w:type="dxa"/>
            <w:noWrap w:val="0"/>
            <w:vAlign w:val="center"/>
          </w:tcPr>
          <w:p w14:paraId="7D1BD073">
            <w:pPr>
              <w:spacing w:line="400" w:lineRule="exact"/>
              <w:rPr>
                <w:rFonts w:hint="eastAsia" w:ascii="宋体" w:hAnsi="宋体" w:cs="宋体"/>
                <w:color w:val="auto"/>
                <w:sz w:val="24"/>
              </w:rPr>
            </w:pPr>
          </w:p>
        </w:tc>
        <w:tc>
          <w:tcPr>
            <w:tcW w:w="720" w:type="dxa"/>
            <w:noWrap w:val="0"/>
            <w:vAlign w:val="center"/>
          </w:tcPr>
          <w:p w14:paraId="1CACA685">
            <w:pPr>
              <w:spacing w:line="400" w:lineRule="exact"/>
              <w:rPr>
                <w:rFonts w:hint="eastAsia" w:ascii="宋体" w:hAnsi="宋体" w:cs="宋体"/>
                <w:color w:val="auto"/>
                <w:sz w:val="24"/>
              </w:rPr>
            </w:pPr>
          </w:p>
        </w:tc>
        <w:tc>
          <w:tcPr>
            <w:tcW w:w="1440" w:type="dxa"/>
            <w:noWrap w:val="0"/>
            <w:vAlign w:val="center"/>
          </w:tcPr>
          <w:p w14:paraId="5CC13832">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1A79F571">
            <w:pPr>
              <w:spacing w:line="400" w:lineRule="exact"/>
              <w:rPr>
                <w:rFonts w:hint="eastAsia" w:ascii="宋体" w:hAnsi="宋体" w:cs="宋体"/>
                <w:color w:val="auto"/>
                <w:sz w:val="24"/>
              </w:rPr>
            </w:pPr>
          </w:p>
        </w:tc>
      </w:tr>
      <w:tr w14:paraId="5DA5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409F4A2B">
            <w:pPr>
              <w:spacing w:line="400" w:lineRule="exact"/>
              <w:rPr>
                <w:rFonts w:hint="eastAsia" w:ascii="宋体" w:hAnsi="宋体" w:cs="宋体"/>
                <w:color w:val="auto"/>
                <w:sz w:val="24"/>
              </w:rPr>
            </w:pPr>
          </w:p>
        </w:tc>
        <w:tc>
          <w:tcPr>
            <w:tcW w:w="1951" w:type="dxa"/>
            <w:noWrap w:val="0"/>
            <w:vAlign w:val="center"/>
          </w:tcPr>
          <w:p w14:paraId="47F6567A">
            <w:pPr>
              <w:spacing w:line="400" w:lineRule="exact"/>
              <w:rPr>
                <w:rFonts w:hint="eastAsia" w:ascii="宋体" w:hAnsi="宋体" w:cs="宋体"/>
                <w:color w:val="auto"/>
                <w:sz w:val="24"/>
              </w:rPr>
            </w:pPr>
          </w:p>
        </w:tc>
        <w:tc>
          <w:tcPr>
            <w:tcW w:w="569" w:type="dxa"/>
            <w:noWrap w:val="0"/>
            <w:vAlign w:val="center"/>
          </w:tcPr>
          <w:p w14:paraId="62F0B26A">
            <w:pPr>
              <w:spacing w:line="400" w:lineRule="exact"/>
              <w:rPr>
                <w:rFonts w:hint="eastAsia" w:ascii="宋体" w:hAnsi="宋体" w:cs="宋体"/>
                <w:color w:val="auto"/>
                <w:sz w:val="24"/>
              </w:rPr>
            </w:pPr>
          </w:p>
        </w:tc>
        <w:tc>
          <w:tcPr>
            <w:tcW w:w="540" w:type="dxa"/>
            <w:noWrap w:val="0"/>
            <w:vAlign w:val="center"/>
          </w:tcPr>
          <w:p w14:paraId="414CABAC">
            <w:pPr>
              <w:spacing w:line="400" w:lineRule="exact"/>
              <w:rPr>
                <w:rFonts w:hint="eastAsia" w:ascii="宋体" w:hAnsi="宋体" w:cs="宋体"/>
                <w:color w:val="auto"/>
                <w:sz w:val="24"/>
              </w:rPr>
            </w:pPr>
          </w:p>
        </w:tc>
        <w:tc>
          <w:tcPr>
            <w:tcW w:w="900" w:type="dxa"/>
            <w:noWrap w:val="0"/>
            <w:vAlign w:val="center"/>
          </w:tcPr>
          <w:p w14:paraId="1F937E0F">
            <w:pPr>
              <w:spacing w:line="400" w:lineRule="exact"/>
              <w:rPr>
                <w:rFonts w:hint="eastAsia" w:ascii="宋体" w:hAnsi="宋体" w:cs="宋体"/>
                <w:color w:val="auto"/>
                <w:sz w:val="24"/>
              </w:rPr>
            </w:pPr>
          </w:p>
        </w:tc>
        <w:tc>
          <w:tcPr>
            <w:tcW w:w="720" w:type="dxa"/>
            <w:noWrap w:val="0"/>
            <w:vAlign w:val="center"/>
          </w:tcPr>
          <w:p w14:paraId="32318252">
            <w:pPr>
              <w:spacing w:line="400" w:lineRule="exact"/>
              <w:rPr>
                <w:rFonts w:hint="eastAsia" w:ascii="宋体" w:hAnsi="宋体" w:cs="宋体"/>
                <w:color w:val="auto"/>
                <w:sz w:val="24"/>
              </w:rPr>
            </w:pPr>
          </w:p>
        </w:tc>
        <w:tc>
          <w:tcPr>
            <w:tcW w:w="1440" w:type="dxa"/>
            <w:noWrap w:val="0"/>
            <w:vAlign w:val="center"/>
          </w:tcPr>
          <w:p w14:paraId="3A2ECB8A">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1CCB2044">
            <w:pPr>
              <w:spacing w:line="400" w:lineRule="exact"/>
              <w:rPr>
                <w:rFonts w:hint="eastAsia" w:ascii="宋体" w:hAnsi="宋体" w:cs="宋体"/>
                <w:color w:val="auto"/>
                <w:sz w:val="24"/>
              </w:rPr>
            </w:pPr>
          </w:p>
        </w:tc>
      </w:tr>
      <w:tr w14:paraId="4FAF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3E6E4E10">
            <w:pPr>
              <w:spacing w:line="400" w:lineRule="exact"/>
              <w:rPr>
                <w:rFonts w:hint="eastAsia" w:ascii="宋体" w:hAnsi="宋体" w:cs="宋体"/>
                <w:color w:val="auto"/>
                <w:sz w:val="24"/>
              </w:rPr>
            </w:pPr>
          </w:p>
        </w:tc>
        <w:tc>
          <w:tcPr>
            <w:tcW w:w="1951" w:type="dxa"/>
            <w:noWrap w:val="0"/>
            <w:vAlign w:val="center"/>
          </w:tcPr>
          <w:p w14:paraId="161DDDC4">
            <w:pPr>
              <w:spacing w:line="400" w:lineRule="exact"/>
              <w:rPr>
                <w:rFonts w:hint="eastAsia" w:ascii="宋体" w:hAnsi="宋体" w:cs="宋体"/>
                <w:color w:val="auto"/>
                <w:sz w:val="24"/>
              </w:rPr>
            </w:pPr>
          </w:p>
        </w:tc>
        <w:tc>
          <w:tcPr>
            <w:tcW w:w="569" w:type="dxa"/>
            <w:noWrap w:val="0"/>
            <w:vAlign w:val="center"/>
          </w:tcPr>
          <w:p w14:paraId="1CA5FA95">
            <w:pPr>
              <w:spacing w:line="400" w:lineRule="exact"/>
              <w:rPr>
                <w:rFonts w:hint="eastAsia" w:ascii="宋体" w:hAnsi="宋体" w:cs="宋体"/>
                <w:color w:val="auto"/>
                <w:sz w:val="24"/>
              </w:rPr>
            </w:pPr>
          </w:p>
        </w:tc>
        <w:tc>
          <w:tcPr>
            <w:tcW w:w="540" w:type="dxa"/>
            <w:noWrap w:val="0"/>
            <w:vAlign w:val="center"/>
          </w:tcPr>
          <w:p w14:paraId="48417EFF">
            <w:pPr>
              <w:spacing w:line="400" w:lineRule="exact"/>
              <w:rPr>
                <w:rFonts w:hint="eastAsia" w:ascii="宋体" w:hAnsi="宋体" w:cs="宋体"/>
                <w:color w:val="auto"/>
                <w:sz w:val="24"/>
              </w:rPr>
            </w:pPr>
          </w:p>
        </w:tc>
        <w:tc>
          <w:tcPr>
            <w:tcW w:w="900" w:type="dxa"/>
            <w:noWrap w:val="0"/>
            <w:vAlign w:val="center"/>
          </w:tcPr>
          <w:p w14:paraId="4BB4C354">
            <w:pPr>
              <w:spacing w:line="400" w:lineRule="exact"/>
              <w:rPr>
                <w:rFonts w:hint="eastAsia" w:ascii="宋体" w:hAnsi="宋体" w:cs="宋体"/>
                <w:color w:val="auto"/>
                <w:sz w:val="24"/>
              </w:rPr>
            </w:pPr>
          </w:p>
        </w:tc>
        <w:tc>
          <w:tcPr>
            <w:tcW w:w="720" w:type="dxa"/>
            <w:noWrap w:val="0"/>
            <w:vAlign w:val="center"/>
          </w:tcPr>
          <w:p w14:paraId="5999DE4B">
            <w:pPr>
              <w:spacing w:line="400" w:lineRule="exact"/>
              <w:rPr>
                <w:rFonts w:hint="eastAsia" w:ascii="宋体" w:hAnsi="宋体" w:cs="宋体"/>
                <w:color w:val="auto"/>
                <w:sz w:val="24"/>
              </w:rPr>
            </w:pPr>
          </w:p>
        </w:tc>
        <w:tc>
          <w:tcPr>
            <w:tcW w:w="1440" w:type="dxa"/>
            <w:noWrap w:val="0"/>
            <w:vAlign w:val="center"/>
          </w:tcPr>
          <w:p w14:paraId="344822E9">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58B8444D">
            <w:pPr>
              <w:spacing w:line="400" w:lineRule="exact"/>
              <w:rPr>
                <w:rFonts w:hint="eastAsia" w:ascii="宋体" w:hAnsi="宋体" w:cs="宋体"/>
                <w:color w:val="auto"/>
                <w:sz w:val="24"/>
              </w:rPr>
            </w:pPr>
          </w:p>
        </w:tc>
      </w:tr>
      <w:tr w14:paraId="63B6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5C6F69D1">
            <w:pPr>
              <w:spacing w:line="400" w:lineRule="exact"/>
              <w:rPr>
                <w:rFonts w:hint="eastAsia" w:ascii="宋体" w:hAnsi="宋体" w:cs="宋体"/>
                <w:color w:val="auto"/>
                <w:sz w:val="24"/>
              </w:rPr>
            </w:pPr>
          </w:p>
        </w:tc>
        <w:tc>
          <w:tcPr>
            <w:tcW w:w="1951" w:type="dxa"/>
            <w:noWrap w:val="0"/>
            <w:vAlign w:val="center"/>
          </w:tcPr>
          <w:p w14:paraId="563BE2C2">
            <w:pPr>
              <w:spacing w:line="400" w:lineRule="exact"/>
              <w:rPr>
                <w:rFonts w:hint="eastAsia" w:ascii="宋体" w:hAnsi="宋体" w:cs="宋体"/>
                <w:color w:val="auto"/>
                <w:sz w:val="24"/>
              </w:rPr>
            </w:pPr>
          </w:p>
        </w:tc>
        <w:tc>
          <w:tcPr>
            <w:tcW w:w="569" w:type="dxa"/>
            <w:noWrap w:val="0"/>
            <w:vAlign w:val="center"/>
          </w:tcPr>
          <w:p w14:paraId="5E7AE260">
            <w:pPr>
              <w:spacing w:line="400" w:lineRule="exact"/>
              <w:rPr>
                <w:rFonts w:hint="eastAsia" w:ascii="宋体" w:hAnsi="宋体" w:cs="宋体"/>
                <w:color w:val="auto"/>
                <w:sz w:val="24"/>
              </w:rPr>
            </w:pPr>
          </w:p>
        </w:tc>
        <w:tc>
          <w:tcPr>
            <w:tcW w:w="540" w:type="dxa"/>
            <w:noWrap w:val="0"/>
            <w:vAlign w:val="center"/>
          </w:tcPr>
          <w:p w14:paraId="1BDE8E3C">
            <w:pPr>
              <w:spacing w:line="400" w:lineRule="exact"/>
              <w:rPr>
                <w:rFonts w:hint="eastAsia" w:ascii="宋体" w:hAnsi="宋体" w:cs="宋体"/>
                <w:color w:val="auto"/>
                <w:sz w:val="24"/>
              </w:rPr>
            </w:pPr>
          </w:p>
        </w:tc>
        <w:tc>
          <w:tcPr>
            <w:tcW w:w="900" w:type="dxa"/>
            <w:noWrap w:val="0"/>
            <w:vAlign w:val="center"/>
          </w:tcPr>
          <w:p w14:paraId="050DFC96">
            <w:pPr>
              <w:spacing w:line="400" w:lineRule="exact"/>
              <w:rPr>
                <w:rFonts w:hint="eastAsia" w:ascii="宋体" w:hAnsi="宋体" w:cs="宋体"/>
                <w:color w:val="auto"/>
                <w:sz w:val="24"/>
              </w:rPr>
            </w:pPr>
          </w:p>
        </w:tc>
        <w:tc>
          <w:tcPr>
            <w:tcW w:w="720" w:type="dxa"/>
            <w:noWrap w:val="0"/>
            <w:vAlign w:val="center"/>
          </w:tcPr>
          <w:p w14:paraId="272788B6">
            <w:pPr>
              <w:spacing w:line="400" w:lineRule="exact"/>
              <w:rPr>
                <w:rFonts w:hint="eastAsia" w:ascii="宋体" w:hAnsi="宋体" w:cs="宋体"/>
                <w:color w:val="auto"/>
                <w:sz w:val="24"/>
              </w:rPr>
            </w:pPr>
          </w:p>
        </w:tc>
        <w:tc>
          <w:tcPr>
            <w:tcW w:w="1440" w:type="dxa"/>
            <w:noWrap w:val="0"/>
            <w:vAlign w:val="center"/>
          </w:tcPr>
          <w:p w14:paraId="2BAA6996">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0B3D3CE3">
            <w:pPr>
              <w:spacing w:line="400" w:lineRule="exact"/>
              <w:rPr>
                <w:rFonts w:hint="eastAsia" w:ascii="宋体" w:hAnsi="宋体" w:cs="宋体"/>
                <w:color w:val="auto"/>
                <w:sz w:val="24"/>
              </w:rPr>
            </w:pPr>
          </w:p>
        </w:tc>
      </w:tr>
      <w:tr w14:paraId="3DBD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1AC90DA9">
            <w:pPr>
              <w:spacing w:line="400" w:lineRule="exact"/>
              <w:rPr>
                <w:rFonts w:hint="eastAsia" w:ascii="宋体" w:hAnsi="宋体" w:cs="宋体"/>
                <w:color w:val="auto"/>
                <w:sz w:val="24"/>
              </w:rPr>
            </w:pPr>
          </w:p>
        </w:tc>
        <w:tc>
          <w:tcPr>
            <w:tcW w:w="1951" w:type="dxa"/>
            <w:noWrap w:val="0"/>
            <w:vAlign w:val="center"/>
          </w:tcPr>
          <w:p w14:paraId="7EE499A1">
            <w:pPr>
              <w:spacing w:line="400" w:lineRule="exact"/>
              <w:rPr>
                <w:rFonts w:hint="eastAsia" w:ascii="宋体" w:hAnsi="宋体" w:cs="宋体"/>
                <w:color w:val="auto"/>
                <w:sz w:val="24"/>
              </w:rPr>
            </w:pPr>
          </w:p>
        </w:tc>
        <w:tc>
          <w:tcPr>
            <w:tcW w:w="569" w:type="dxa"/>
            <w:noWrap w:val="0"/>
            <w:vAlign w:val="center"/>
          </w:tcPr>
          <w:p w14:paraId="2EEE437E">
            <w:pPr>
              <w:spacing w:line="400" w:lineRule="exact"/>
              <w:rPr>
                <w:rFonts w:hint="eastAsia" w:ascii="宋体" w:hAnsi="宋体" w:cs="宋体"/>
                <w:color w:val="auto"/>
                <w:sz w:val="24"/>
              </w:rPr>
            </w:pPr>
          </w:p>
        </w:tc>
        <w:tc>
          <w:tcPr>
            <w:tcW w:w="540" w:type="dxa"/>
            <w:noWrap w:val="0"/>
            <w:vAlign w:val="center"/>
          </w:tcPr>
          <w:p w14:paraId="5C4E33DC">
            <w:pPr>
              <w:spacing w:line="400" w:lineRule="exact"/>
              <w:rPr>
                <w:rFonts w:hint="eastAsia" w:ascii="宋体" w:hAnsi="宋体" w:cs="宋体"/>
                <w:color w:val="auto"/>
                <w:sz w:val="24"/>
              </w:rPr>
            </w:pPr>
          </w:p>
        </w:tc>
        <w:tc>
          <w:tcPr>
            <w:tcW w:w="900" w:type="dxa"/>
            <w:noWrap w:val="0"/>
            <w:vAlign w:val="center"/>
          </w:tcPr>
          <w:p w14:paraId="5F27F9F6">
            <w:pPr>
              <w:spacing w:line="400" w:lineRule="exact"/>
              <w:rPr>
                <w:rFonts w:hint="eastAsia" w:ascii="宋体" w:hAnsi="宋体" w:cs="宋体"/>
                <w:color w:val="auto"/>
                <w:sz w:val="24"/>
              </w:rPr>
            </w:pPr>
          </w:p>
        </w:tc>
        <w:tc>
          <w:tcPr>
            <w:tcW w:w="720" w:type="dxa"/>
            <w:noWrap w:val="0"/>
            <w:vAlign w:val="center"/>
          </w:tcPr>
          <w:p w14:paraId="68085C90">
            <w:pPr>
              <w:spacing w:line="400" w:lineRule="exact"/>
              <w:rPr>
                <w:rFonts w:hint="eastAsia" w:ascii="宋体" w:hAnsi="宋体" w:cs="宋体"/>
                <w:color w:val="auto"/>
                <w:sz w:val="24"/>
              </w:rPr>
            </w:pPr>
          </w:p>
        </w:tc>
        <w:tc>
          <w:tcPr>
            <w:tcW w:w="1440" w:type="dxa"/>
            <w:noWrap w:val="0"/>
            <w:vAlign w:val="center"/>
          </w:tcPr>
          <w:p w14:paraId="552E1D23">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31C80CCC">
            <w:pPr>
              <w:spacing w:line="400" w:lineRule="exact"/>
              <w:rPr>
                <w:rFonts w:hint="eastAsia" w:ascii="宋体" w:hAnsi="宋体" w:cs="宋体"/>
                <w:color w:val="auto"/>
                <w:sz w:val="24"/>
              </w:rPr>
            </w:pPr>
          </w:p>
        </w:tc>
      </w:tr>
      <w:tr w14:paraId="115A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1D3A0247">
            <w:pPr>
              <w:spacing w:line="400" w:lineRule="exact"/>
              <w:rPr>
                <w:rFonts w:hint="eastAsia" w:ascii="宋体" w:hAnsi="宋体" w:cs="宋体"/>
                <w:color w:val="auto"/>
                <w:sz w:val="24"/>
              </w:rPr>
            </w:pPr>
          </w:p>
        </w:tc>
        <w:tc>
          <w:tcPr>
            <w:tcW w:w="1951" w:type="dxa"/>
            <w:noWrap w:val="0"/>
            <w:vAlign w:val="center"/>
          </w:tcPr>
          <w:p w14:paraId="048AC42F">
            <w:pPr>
              <w:spacing w:line="400" w:lineRule="exact"/>
              <w:rPr>
                <w:rFonts w:hint="eastAsia" w:ascii="宋体" w:hAnsi="宋体" w:cs="宋体"/>
                <w:color w:val="auto"/>
                <w:sz w:val="24"/>
              </w:rPr>
            </w:pPr>
          </w:p>
        </w:tc>
        <w:tc>
          <w:tcPr>
            <w:tcW w:w="569" w:type="dxa"/>
            <w:noWrap w:val="0"/>
            <w:vAlign w:val="center"/>
          </w:tcPr>
          <w:p w14:paraId="7F2CE6D2">
            <w:pPr>
              <w:spacing w:line="400" w:lineRule="exact"/>
              <w:rPr>
                <w:rFonts w:hint="eastAsia" w:ascii="宋体" w:hAnsi="宋体" w:cs="宋体"/>
                <w:color w:val="auto"/>
                <w:sz w:val="24"/>
              </w:rPr>
            </w:pPr>
          </w:p>
        </w:tc>
        <w:tc>
          <w:tcPr>
            <w:tcW w:w="540" w:type="dxa"/>
            <w:noWrap w:val="0"/>
            <w:vAlign w:val="center"/>
          </w:tcPr>
          <w:p w14:paraId="098EAAE0">
            <w:pPr>
              <w:spacing w:line="400" w:lineRule="exact"/>
              <w:rPr>
                <w:rFonts w:hint="eastAsia" w:ascii="宋体" w:hAnsi="宋体" w:cs="宋体"/>
                <w:color w:val="auto"/>
                <w:sz w:val="24"/>
              </w:rPr>
            </w:pPr>
          </w:p>
        </w:tc>
        <w:tc>
          <w:tcPr>
            <w:tcW w:w="900" w:type="dxa"/>
            <w:noWrap w:val="0"/>
            <w:vAlign w:val="center"/>
          </w:tcPr>
          <w:p w14:paraId="387820E8">
            <w:pPr>
              <w:spacing w:line="400" w:lineRule="exact"/>
              <w:rPr>
                <w:rFonts w:hint="eastAsia" w:ascii="宋体" w:hAnsi="宋体" w:cs="宋体"/>
                <w:color w:val="auto"/>
                <w:sz w:val="24"/>
              </w:rPr>
            </w:pPr>
          </w:p>
        </w:tc>
        <w:tc>
          <w:tcPr>
            <w:tcW w:w="720" w:type="dxa"/>
            <w:noWrap w:val="0"/>
            <w:vAlign w:val="center"/>
          </w:tcPr>
          <w:p w14:paraId="0CF502EC">
            <w:pPr>
              <w:spacing w:line="400" w:lineRule="exact"/>
              <w:rPr>
                <w:rFonts w:hint="eastAsia" w:ascii="宋体" w:hAnsi="宋体" w:cs="宋体"/>
                <w:color w:val="auto"/>
                <w:sz w:val="24"/>
              </w:rPr>
            </w:pPr>
          </w:p>
        </w:tc>
        <w:tc>
          <w:tcPr>
            <w:tcW w:w="1440" w:type="dxa"/>
            <w:noWrap w:val="0"/>
            <w:vAlign w:val="center"/>
          </w:tcPr>
          <w:p w14:paraId="1CDCFDD6">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4968A7FD">
            <w:pPr>
              <w:spacing w:line="400" w:lineRule="exact"/>
              <w:rPr>
                <w:rFonts w:hint="eastAsia" w:ascii="宋体" w:hAnsi="宋体" w:cs="宋体"/>
                <w:color w:val="auto"/>
                <w:sz w:val="24"/>
              </w:rPr>
            </w:pPr>
          </w:p>
        </w:tc>
      </w:tr>
      <w:tr w14:paraId="56CC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31210387">
            <w:pPr>
              <w:spacing w:line="400" w:lineRule="exact"/>
              <w:rPr>
                <w:rFonts w:hint="eastAsia" w:ascii="宋体" w:hAnsi="宋体" w:cs="宋体"/>
                <w:color w:val="auto"/>
                <w:sz w:val="24"/>
              </w:rPr>
            </w:pPr>
          </w:p>
        </w:tc>
        <w:tc>
          <w:tcPr>
            <w:tcW w:w="1951" w:type="dxa"/>
            <w:noWrap w:val="0"/>
            <w:vAlign w:val="center"/>
          </w:tcPr>
          <w:p w14:paraId="21B50F60">
            <w:pPr>
              <w:spacing w:line="400" w:lineRule="exact"/>
              <w:rPr>
                <w:rFonts w:hint="eastAsia" w:ascii="宋体" w:hAnsi="宋体" w:cs="宋体"/>
                <w:color w:val="auto"/>
                <w:sz w:val="24"/>
              </w:rPr>
            </w:pPr>
          </w:p>
        </w:tc>
        <w:tc>
          <w:tcPr>
            <w:tcW w:w="569" w:type="dxa"/>
            <w:noWrap w:val="0"/>
            <w:vAlign w:val="center"/>
          </w:tcPr>
          <w:p w14:paraId="4A34D83B">
            <w:pPr>
              <w:spacing w:line="400" w:lineRule="exact"/>
              <w:rPr>
                <w:rFonts w:hint="eastAsia" w:ascii="宋体" w:hAnsi="宋体" w:cs="宋体"/>
                <w:color w:val="auto"/>
                <w:sz w:val="24"/>
              </w:rPr>
            </w:pPr>
          </w:p>
        </w:tc>
        <w:tc>
          <w:tcPr>
            <w:tcW w:w="540" w:type="dxa"/>
            <w:noWrap w:val="0"/>
            <w:vAlign w:val="center"/>
          </w:tcPr>
          <w:p w14:paraId="1891929B">
            <w:pPr>
              <w:spacing w:line="400" w:lineRule="exact"/>
              <w:rPr>
                <w:rFonts w:hint="eastAsia" w:ascii="宋体" w:hAnsi="宋体" w:cs="宋体"/>
                <w:color w:val="auto"/>
                <w:sz w:val="24"/>
              </w:rPr>
            </w:pPr>
          </w:p>
        </w:tc>
        <w:tc>
          <w:tcPr>
            <w:tcW w:w="900" w:type="dxa"/>
            <w:noWrap w:val="0"/>
            <w:vAlign w:val="center"/>
          </w:tcPr>
          <w:p w14:paraId="75B6B554">
            <w:pPr>
              <w:spacing w:line="400" w:lineRule="exact"/>
              <w:rPr>
                <w:rFonts w:hint="eastAsia" w:ascii="宋体" w:hAnsi="宋体" w:cs="宋体"/>
                <w:color w:val="auto"/>
                <w:sz w:val="24"/>
              </w:rPr>
            </w:pPr>
          </w:p>
        </w:tc>
        <w:tc>
          <w:tcPr>
            <w:tcW w:w="720" w:type="dxa"/>
            <w:noWrap w:val="0"/>
            <w:vAlign w:val="center"/>
          </w:tcPr>
          <w:p w14:paraId="55C48F52">
            <w:pPr>
              <w:spacing w:line="400" w:lineRule="exact"/>
              <w:rPr>
                <w:rFonts w:hint="eastAsia" w:ascii="宋体" w:hAnsi="宋体" w:cs="宋体"/>
                <w:color w:val="auto"/>
                <w:sz w:val="24"/>
              </w:rPr>
            </w:pPr>
          </w:p>
        </w:tc>
        <w:tc>
          <w:tcPr>
            <w:tcW w:w="1440" w:type="dxa"/>
            <w:noWrap w:val="0"/>
            <w:vAlign w:val="center"/>
          </w:tcPr>
          <w:p w14:paraId="1DCB78F5">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029C18FF">
            <w:pPr>
              <w:spacing w:line="400" w:lineRule="exact"/>
              <w:rPr>
                <w:rFonts w:hint="eastAsia" w:ascii="宋体" w:hAnsi="宋体" w:cs="宋体"/>
                <w:color w:val="auto"/>
                <w:sz w:val="24"/>
              </w:rPr>
            </w:pPr>
          </w:p>
        </w:tc>
      </w:tr>
      <w:tr w14:paraId="3BFC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5C69824F">
            <w:pPr>
              <w:spacing w:line="400" w:lineRule="exact"/>
              <w:rPr>
                <w:rFonts w:hint="eastAsia" w:ascii="宋体" w:hAnsi="宋体" w:cs="宋体"/>
                <w:color w:val="auto"/>
                <w:sz w:val="24"/>
              </w:rPr>
            </w:pPr>
          </w:p>
        </w:tc>
        <w:tc>
          <w:tcPr>
            <w:tcW w:w="1951" w:type="dxa"/>
            <w:noWrap w:val="0"/>
            <w:vAlign w:val="center"/>
          </w:tcPr>
          <w:p w14:paraId="1693E763">
            <w:pPr>
              <w:spacing w:line="400" w:lineRule="exact"/>
              <w:rPr>
                <w:rFonts w:hint="eastAsia" w:ascii="宋体" w:hAnsi="宋体" w:cs="宋体"/>
                <w:color w:val="auto"/>
                <w:sz w:val="24"/>
              </w:rPr>
            </w:pPr>
          </w:p>
        </w:tc>
        <w:tc>
          <w:tcPr>
            <w:tcW w:w="569" w:type="dxa"/>
            <w:noWrap w:val="0"/>
            <w:vAlign w:val="center"/>
          </w:tcPr>
          <w:p w14:paraId="1067A907">
            <w:pPr>
              <w:spacing w:line="400" w:lineRule="exact"/>
              <w:rPr>
                <w:rFonts w:hint="eastAsia" w:ascii="宋体" w:hAnsi="宋体" w:cs="宋体"/>
                <w:color w:val="auto"/>
                <w:sz w:val="24"/>
              </w:rPr>
            </w:pPr>
          </w:p>
        </w:tc>
        <w:tc>
          <w:tcPr>
            <w:tcW w:w="540" w:type="dxa"/>
            <w:noWrap w:val="0"/>
            <w:vAlign w:val="center"/>
          </w:tcPr>
          <w:p w14:paraId="18C94065">
            <w:pPr>
              <w:spacing w:line="400" w:lineRule="exact"/>
              <w:rPr>
                <w:rFonts w:hint="eastAsia" w:ascii="宋体" w:hAnsi="宋体" w:cs="宋体"/>
                <w:color w:val="auto"/>
                <w:sz w:val="24"/>
              </w:rPr>
            </w:pPr>
          </w:p>
        </w:tc>
        <w:tc>
          <w:tcPr>
            <w:tcW w:w="900" w:type="dxa"/>
            <w:noWrap w:val="0"/>
            <w:vAlign w:val="center"/>
          </w:tcPr>
          <w:p w14:paraId="5E8C68A7">
            <w:pPr>
              <w:spacing w:line="400" w:lineRule="exact"/>
              <w:rPr>
                <w:rFonts w:hint="eastAsia" w:ascii="宋体" w:hAnsi="宋体" w:cs="宋体"/>
                <w:color w:val="auto"/>
                <w:sz w:val="24"/>
              </w:rPr>
            </w:pPr>
          </w:p>
        </w:tc>
        <w:tc>
          <w:tcPr>
            <w:tcW w:w="720" w:type="dxa"/>
            <w:noWrap w:val="0"/>
            <w:vAlign w:val="center"/>
          </w:tcPr>
          <w:p w14:paraId="0BED0AD2">
            <w:pPr>
              <w:spacing w:line="400" w:lineRule="exact"/>
              <w:rPr>
                <w:rFonts w:hint="eastAsia" w:ascii="宋体" w:hAnsi="宋体" w:cs="宋体"/>
                <w:color w:val="auto"/>
                <w:sz w:val="24"/>
              </w:rPr>
            </w:pPr>
          </w:p>
        </w:tc>
        <w:tc>
          <w:tcPr>
            <w:tcW w:w="1440" w:type="dxa"/>
            <w:noWrap w:val="0"/>
            <w:vAlign w:val="center"/>
          </w:tcPr>
          <w:p w14:paraId="17164C00">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4330C505">
            <w:pPr>
              <w:spacing w:line="400" w:lineRule="exact"/>
              <w:rPr>
                <w:rFonts w:hint="eastAsia" w:ascii="宋体" w:hAnsi="宋体" w:cs="宋体"/>
                <w:color w:val="auto"/>
                <w:sz w:val="24"/>
              </w:rPr>
            </w:pPr>
          </w:p>
        </w:tc>
      </w:tr>
      <w:tr w14:paraId="5D24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3684E23D">
            <w:pPr>
              <w:spacing w:line="400" w:lineRule="exact"/>
              <w:rPr>
                <w:rFonts w:hint="eastAsia" w:ascii="宋体" w:hAnsi="宋体" w:cs="宋体"/>
                <w:color w:val="auto"/>
                <w:sz w:val="24"/>
              </w:rPr>
            </w:pPr>
          </w:p>
        </w:tc>
        <w:tc>
          <w:tcPr>
            <w:tcW w:w="1951" w:type="dxa"/>
            <w:noWrap w:val="0"/>
            <w:vAlign w:val="center"/>
          </w:tcPr>
          <w:p w14:paraId="036BCC26">
            <w:pPr>
              <w:spacing w:line="400" w:lineRule="exact"/>
              <w:rPr>
                <w:rFonts w:hint="eastAsia" w:ascii="宋体" w:hAnsi="宋体" w:cs="宋体"/>
                <w:color w:val="auto"/>
                <w:sz w:val="24"/>
              </w:rPr>
            </w:pPr>
          </w:p>
        </w:tc>
        <w:tc>
          <w:tcPr>
            <w:tcW w:w="569" w:type="dxa"/>
            <w:noWrap w:val="0"/>
            <w:vAlign w:val="center"/>
          </w:tcPr>
          <w:p w14:paraId="29EE37BD">
            <w:pPr>
              <w:spacing w:line="400" w:lineRule="exact"/>
              <w:rPr>
                <w:rFonts w:hint="eastAsia" w:ascii="宋体" w:hAnsi="宋体" w:cs="宋体"/>
                <w:color w:val="auto"/>
                <w:sz w:val="24"/>
              </w:rPr>
            </w:pPr>
          </w:p>
        </w:tc>
        <w:tc>
          <w:tcPr>
            <w:tcW w:w="540" w:type="dxa"/>
            <w:noWrap w:val="0"/>
            <w:vAlign w:val="center"/>
          </w:tcPr>
          <w:p w14:paraId="12E8D039">
            <w:pPr>
              <w:spacing w:line="400" w:lineRule="exact"/>
              <w:rPr>
                <w:rFonts w:hint="eastAsia" w:ascii="宋体" w:hAnsi="宋体" w:cs="宋体"/>
                <w:color w:val="auto"/>
                <w:sz w:val="24"/>
              </w:rPr>
            </w:pPr>
          </w:p>
        </w:tc>
        <w:tc>
          <w:tcPr>
            <w:tcW w:w="900" w:type="dxa"/>
            <w:noWrap w:val="0"/>
            <w:vAlign w:val="center"/>
          </w:tcPr>
          <w:p w14:paraId="05558301">
            <w:pPr>
              <w:spacing w:line="400" w:lineRule="exact"/>
              <w:rPr>
                <w:rFonts w:hint="eastAsia" w:ascii="宋体" w:hAnsi="宋体" w:cs="宋体"/>
                <w:color w:val="auto"/>
                <w:sz w:val="24"/>
              </w:rPr>
            </w:pPr>
          </w:p>
        </w:tc>
        <w:tc>
          <w:tcPr>
            <w:tcW w:w="720" w:type="dxa"/>
            <w:noWrap w:val="0"/>
            <w:vAlign w:val="center"/>
          </w:tcPr>
          <w:p w14:paraId="60BEB02F">
            <w:pPr>
              <w:spacing w:line="400" w:lineRule="exact"/>
              <w:rPr>
                <w:rFonts w:hint="eastAsia" w:ascii="宋体" w:hAnsi="宋体" w:cs="宋体"/>
                <w:color w:val="auto"/>
                <w:sz w:val="24"/>
              </w:rPr>
            </w:pPr>
          </w:p>
        </w:tc>
        <w:tc>
          <w:tcPr>
            <w:tcW w:w="1440" w:type="dxa"/>
            <w:noWrap w:val="0"/>
            <w:vAlign w:val="center"/>
          </w:tcPr>
          <w:p w14:paraId="0BCCC154">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3FBD8FD4">
            <w:pPr>
              <w:spacing w:line="400" w:lineRule="exact"/>
              <w:rPr>
                <w:rFonts w:hint="eastAsia" w:ascii="宋体" w:hAnsi="宋体" w:cs="宋体"/>
                <w:color w:val="auto"/>
                <w:sz w:val="24"/>
              </w:rPr>
            </w:pPr>
          </w:p>
        </w:tc>
      </w:tr>
      <w:tr w14:paraId="4937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77C2AB1B">
            <w:pPr>
              <w:spacing w:line="400" w:lineRule="exact"/>
              <w:rPr>
                <w:rFonts w:hint="eastAsia" w:ascii="宋体" w:hAnsi="宋体" w:cs="宋体"/>
                <w:color w:val="auto"/>
                <w:sz w:val="24"/>
              </w:rPr>
            </w:pPr>
          </w:p>
        </w:tc>
        <w:tc>
          <w:tcPr>
            <w:tcW w:w="1951" w:type="dxa"/>
            <w:noWrap w:val="0"/>
            <w:vAlign w:val="center"/>
          </w:tcPr>
          <w:p w14:paraId="3984C775">
            <w:pPr>
              <w:spacing w:line="400" w:lineRule="exact"/>
              <w:rPr>
                <w:rFonts w:hint="eastAsia" w:ascii="宋体" w:hAnsi="宋体" w:cs="宋体"/>
                <w:color w:val="auto"/>
                <w:sz w:val="24"/>
              </w:rPr>
            </w:pPr>
          </w:p>
        </w:tc>
        <w:tc>
          <w:tcPr>
            <w:tcW w:w="569" w:type="dxa"/>
            <w:noWrap w:val="0"/>
            <w:vAlign w:val="center"/>
          </w:tcPr>
          <w:p w14:paraId="218F0C3A">
            <w:pPr>
              <w:spacing w:line="400" w:lineRule="exact"/>
              <w:rPr>
                <w:rFonts w:hint="eastAsia" w:ascii="宋体" w:hAnsi="宋体" w:cs="宋体"/>
                <w:color w:val="auto"/>
                <w:sz w:val="24"/>
              </w:rPr>
            </w:pPr>
          </w:p>
        </w:tc>
        <w:tc>
          <w:tcPr>
            <w:tcW w:w="540" w:type="dxa"/>
            <w:noWrap w:val="0"/>
            <w:vAlign w:val="center"/>
          </w:tcPr>
          <w:p w14:paraId="457130EB">
            <w:pPr>
              <w:spacing w:line="400" w:lineRule="exact"/>
              <w:rPr>
                <w:rFonts w:hint="eastAsia" w:ascii="宋体" w:hAnsi="宋体" w:cs="宋体"/>
                <w:color w:val="auto"/>
                <w:sz w:val="24"/>
              </w:rPr>
            </w:pPr>
          </w:p>
        </w:tc>
        <w:tc>
          <w:tcPr>
            <w:tcW w:w="900" w:type="dxa"/>
            <w:noWrap w:val="0"/>
            <w:vAlign w:val="center"/>
          </w:tcPr>
          <w:p w14:paraId="2E90214D">
            <w:pPr>
              <w:spacing w:line="400" w:lineRule="exact"/>
              <w:rPr>
                <w:rFonts w:hint="eastAsia" w:ascii="宋体" w:hAnsi="宋体" w:cs="宋体"/>
                <w:color w:val="auto"/>
                <w:sz w:val="24"/>
              </w:rPr>
            </w:pPr>
          </w:p>
        </w:tc>
        <w:tc>
          <w:tcPr>
            <w:tcW w:w="720" w:type="dxa"/>
            <w:noWrap w:val="0"/>
            <w:vAlign w:val="center"/>
          </w:tcPr>
          <w:p w14:paraId="057C1D12">
            <w:pPr>
              <w:spacing w:line="400" w:lineRule="exact"/>
              <w:rPr>
                <w:rFonts w:hint="eastAsia" w:ascii="宋体" w:hAnsi="宋体" w:cs="宋体"/>
                <w:color w:val="auto"/>
                <w:sz w:val="24"/>
              </w:rPr>
            </w:pPr>
          </w:p>
        </w:tc>
        <w:tc>
          <w:tcPr>
            <w:tcW w:w="1440" w:type="dxa"/>
            <w:noWrap w:val="0"/>
            <w:vAlign w:val="center"/>
          </w:tcPr>
          <w:p w14:paraId="7358B260">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55F6B184">
            <w:pPr>
              <w:spacing w:line="400" w:lineRule="exact"/>
              <w:rPr>
                <w:rFonts w:hint="eastAsia" w:ascii="宋体" w:hAnsi="宋体" w:cs="宋体"/>
                <w:color w:val="auto"/>
                <w:sz w:val="24"/>
              </w:rPr>
            </w:pPr>
          </w:p>
        </w:tc>
      </w:tr>
      <w:tr w14:paraId="4903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4552BF85">
            <w:pPr>
              <w:spacing w:line="400" w:lineRule="exact"/>
              <w:rPr>
                <w:rFonts w:hint="eastAsia" w:ascii="宋体" w:hAnsi="宋体" w:cs="宋体"/>
                <w:color w:val="auto"/>
                <w:sz w:val="24"/>
              </w:rPr>
            </w:pPr>
          </w:p>
        </w:tc>
        <w:tc>
          <w:tcPr>
            <w:tcW w:w="1951" w:type="dxa"/>
            <w:noWrap w:val="0"/>
            <w:vAlign w:val="center"/>
          </w:tcPr>
          <w:p w14:paraId="1B5132E3">
            <w:pPr>
              <w:spacing w:line="400" w:lineRule="exact"/>
              <w:rPr>
                <w:rFonts w:hint="eastAsia" w:ascii="宋体" w:hAnsi="宋体" w:cs="宋体"/>
                <w:color w:val="auto"/>
                <w:sz w:val="24"/>
              </w:rPr>
            </w:pPr>
          </w:p>
        </w:tc>
        <w:tc>
          <w:tcPr>
            <w:tcW w:w="569" w:type="dxa"/>
            <w:noWrap w:val="0"/>
            <w:vAlign w:val="center"/>
          </w:tcPr>
          <w:p w14:paraId="2E580903">
            <w:pPr>
              <w:spacing w:line="400" w:lineRule="exact"/>
              <w:rPr>
                <w:rFonts w:hint="eastAsia" w:ascii="宋体" w:hAnsi="宋体" w:cs="宋体"/>
                <w:color w:val="auto"/>
                <w:sz w:val="24"/>
              </w:rPr>
            </w:pPr>
          </w:p>
        </w:tc>
        <w:tc>
          <w:tcPr>
            <w:tcW w:w="540" w:type="dxa"/>
            <w:noWrap w:val="0"/>
            <w:vAlign w:val="center"/>
          </w:tcPr>
          <w:p w14:paraId="5660FDFE">
            <w:pPr>
              <w:spacing w:line="400" w:lineRule="exact"/>
              <w:rPr>
                <w:rFonts w:hint="eastAsia" w:ascii="宋体" w:hAnsi="宋体" w:cs="宋体"/>
                <w:color w:val="auto"/>
                <w:sz w:val="24"/>
              </w:rPr>
            </w:pPr>
          </w:p>
        </w:tc>
        <w:tc>
          <w:tcPr>
            <w:tcW w:w="900" w:type="dxa"/>
            <w:noWrap w:val="0"/>
            <w:vAlign w:val="center"/>
          </w:tcPr>
          <w:p w14:paraId="2F46D751">
            <w:pPr>
              <w:spacing w:line="400" w:lineRule="exact"/>
              <w:rPr>
                <w:rFonts w:hint="eastAsia" w:ascii="宋体" w:hAnsi="宋体" w:cs="宋体"/>
                <w:color w:val="auto"/>
                <w:sz w:val="24"/>
              </w:rPr>
            </w:pPr>
          </w:p>
        </w:tc>
        <w:tc>
          <w:tcPr>
            <w:tcW w:w="720" w:type="dxa"/>
            <w:noWrap w:val="0"/>
            <w:vAlign w:val="center"/>
          </w:tcPr>
          <w:p w14:paraId="77724A14">
            <w:pPr>
              <w:spacing w:line="400" w:lineRule="exact"/>
              <w:rPr>
                <w:rFonts w:hint="eastAsia" w:ascii="宋体" w:hAnsi="宋体" w:cs="宋体"/>
                <w:color w:val="auto"/>
                <w:sz w:val="24"/>
              </w:rPr>
            </w:pPr>
          </w:p>
        </w:tc>
        <w:tc>
          <w:tcPr>
            <w:tcW w:w="1440" w:type="dxa"/>
            <w:noWrap w:val="0"/>
            <w:vAlign w:val="center"/>
          </w:tcPr>
          <w:p w14:paraId="39E6F546">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268B02D8">
            <w:pPr>
              <w:spacing w:line="400" w:lineRule="exact"/>
              <w:rPr>
                <w:rFonts w:hint="eastAsia" w:ascii="宋体" w:hAnsi="宋体" w:cs="宋体"/>
                <w:color w:val="auto"/>
                <w:sz w:val="24"/>
              </w:rPr>
            </w:pPr>
          </w:p>
        </w:tc>
      </w:tr>
      <w:tr w14:paraId="6785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08" w:type="dxa"/>
            <w:tcBorders>
              <w:left w:val="single" w:color="auto" w:sz="12" w:space="0"/>
            </w:tcBorders>
            <w:noWrap w:val="0"/>
            <w:vAlign w:val="center"/>
          </w:tcPr>
          <w:p w14:paraId="690BD27A">
            <w:pPr>
              <w:spacing w:line="400" w:lineRule="exact"/>
              <w:rPr>
                <w:rFonts w:hint="eastAsia" w:ascii="宋体" w:hAnsi="宋体" w:cs="宋体"/>
                <w:color w:val="auto"/>
                <w:sz w:val="24"/>
              </w:rPr>
            </w:pPr>
          </w:p>
        </w:tc>
        <w:tc>
          <w:tcPr>
            <w:tcW w:w="1951" w:type="dxa"/>
            <w:noWrap w:val="0"/>
            <w:vAlign w:val="center"/>
          </w:tcPr>
          <w:p w14:paraId="70ACCF9E">
            <w:pPr>
              <w:spacing w:line="400" w:lineRule="exact"/>
              <w:rPr>
                <w:rFonts w:hint="eastAsia" w:ascii="宋体" w:hAnsi="宋体" w:cs="宋体"/>
                <w:color w:val="auto"/>
                <w:sz w:val="24"/>
              </w:rPr>
            </w:pPr>
          </w:p>
        </w:tc>
        <w:tc>
          <w:tcPr>
            <w:tcW w:w="569" w:type="dxa"/>
            <w:noWrap w:val="0"/>
            <w:vAlign w:val="center"/>
          </w:tcPr>
          <w:p w14:paraId="7118C6E1">
            <w:pPr>
              <w:spacing w:line="400" w:lineRule="exact"/>
              <w:rPr>
                <w:rFonts w:hint="eastAsia" w:ascii="宋体" w:hAnsi="宋体" w:cs="宋体"/>
                <w:color w:val="auto"/>
                <w:sz w:val="24"/>
              </w:rPr>
            </w:pPr>
          </w:p>
        </w:tc>
        <w:tc>
          <w:tcPr>
            <w:tcW w:w="540" w:type="dxa"/>
            <w:noWrap w:val="0"/>
            <w:vAlign w:val="center"/>
          </w:tcPr>
          <w:p w14:paraId="15C23BBE">
            <w:pPr>
              <w:spacing w:line="400" w:lineRule="exact"/>
              <w:rPr>
                <w:rFonts w:hint="eastAsia" w:ascii="宋体" w:hAnsi="宋体" w:cs="宋体"/>
                <w:color w:val="auto"/>
                <w:sz w:val="24"/>
              </w:rPr>
            </w:pPr>
          </w:p>
        </w:tc>
        <w:tc>
          <w:tcPr>
            <w:tcW w:w="900" w:type="dxa"/>
            <w:noWrap w:val="0"/>
            <w:vAlign w:val="center"/>
          </w:tcPr>
          <w:p w14:paraId="785D3BD5">
            <w:pPr>
              <w:spacing w:line="400" w:lineRule="exact"/>
              <w:rPr>
                <w:rFonts w:hint="eastAsia" w:ascii="宋体" w:hAnsi="宋体" w:cs="宋体"/>
                <w:color w:val="auto"/>
                <w:sz w:val="24"/>
              </w:rPr>
            </w:pPr>
          </w:p>
        </w:tc>
        <w:tc>
          <w:tcPr>
            <w:tcW w:w="720" w:type="dxa"/>
            <w:noWrap w:val="0"/>
            <w:vAlign w:val="center"/>
          </w:tcPr>
          <w:p w14:paraId="33C6AAF3">
            <w:pPr>
              <w:spacing w:line="400" w:lineRule="exact"/>
              <w:rPr>
                <w:rFonts w:hint="eastAsia" w:ascii="宋体" w:hAnsi="宋体" w:cs="宋体"/>
                <w:color w:val="auto"/>
                <w:sz w:val="24"/>
              </w:rPr>
            </w:pPr>
          </w:p>
        </w:tc>
        <w:tc>
          <w:tcPr>
            <w:tcW w:w="1440" w:type="dxa"/>
            <w:noWrap w:val="0"/>
            <w:vAlign w:val="center"/>
          </w:tcPr>
          <w:p w14:paraId="06C1C630">
            <w:pPr>
              <w:spacing w:line="400" w:lineRule="exact"/>
              <w:rPr>
                <w:rFonts w:hint="eastAsia" w:ascii="宋体" w:hAnsi="宋体" w:cs="宋体"/>
                <w:color w:val="auto"/>
                <w:sz w:val="24"/>
              </w:rPr>
            </w:pPr>
          </w:p>
        </w:tc>
        <w:tc>
          <w:tcPr>
            <w:tcW w:w="2640" w:type="dxa"/>
            <w:tcBorders>
              <w:right w:val="single" w:color="auto" w:sz="12" w:space="0"/>
            </w:tcBorders>
            <w:noWrap w:val="0"/>
            <w:vAlign w:val="center"/>
          </w:tcPr>
          <w:p w14:paraId="46BEA598">
            <w:pPr>
              <w:spacing w:line="400" w:lineRule="exact"/>
              <w:rPr>
                <w:rFonts w:hint="eastAsia" w:ascii="宋体" w:hAnsi="宋体" w:cs="宋体"/>
                <w:color w:val="auto"/>
                <w:sz w:val="24"/>
              </w:rPr>
            </w:pPr>
          </w:p>
        </w:tc>
      </w:tr>
      <w:tr w14:paraId="431B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9768" w:type="dxa"/>
            <w:gridSpan w:val="8"/>
            <w:tcBorders>
              <w:left w:val="single" w:color="auto" w:sz="12" w:space="0"/>
              <w:bottom w:val="single" w:color="auto" w:sz="12" w:space="0"/>
              <w:right w:val="single" w:color="auto" w:sz="12" w:space="0"/>
            </w:tcBorders>
            <w:noWrap w:val="0"/>
            <w:vAlign w:val="center"/>
          </w:tcPr>
          <w:p w14:paraId="36205B5B">
            <w:pPr>
              <w:spacing w:line="400" w:lineRule="exact"/>
              <w:rPr>
                <w:rFonts w:hint="eastAsia" w:ascii="宋体" w:hAnsi="宋体" w:cs="宋体"/>
                <w:color w:val="auto"/>
              </w:rPr>
            </w:pPr>
          </w:p>
        </w:tc>
      </w:tr>
    </w:tbl>
    <w:p w14:paraId="14701AE2">
      <w:pPr>
        <w:spacing w:line="400" w:lineRule="exact"/>
        <w:ind w:firstLine="480"/>
        <w:rPr>
          <w:rFonts w:hint="eastAsia" w:ascii="宋体" w:hAnsi="宋体" w:cs="宋体"/>
          <w:color w:val="auto"/>
          <w:sz w:val="24"/>
        </w:rPr>
      </w:pPr>
    </w:p>
    <w:p w14:paraId="0D86B0E7">
      <w:pPr>
        <w:spacing w:line="400" w:lineRule="exact"/>
        <w:rPr>
          <w:rFonts w:hint="eastAsia" w:ascii="宋体" w:hAnsi="宋体" w:cs="宋体"/>
          <w:color w:val="auto"/>
          <w:sz w:val="24"/>
        </w:rPr>
      </w:pPr>
      <w:r>
        <w:rPr>
          <w:rFonts w:hint="eastAsia" w:ascii="宋体" w:hAnsi="宋体" w:cs="宋体"/>
          <w:color w:val="auto"/>
          <w:sz w:val="24"/>
        </w:rPr>
        <w:t>注：列入本表人员如要更换，需经招标人单位同意。擅自更换或不到位属违约行为。</w:t>
      </w:r>
    </w:p>
    <w:p w14:paraId="054302D9">
      <w:pPr>
        <w:spacing w:line="400" w:lineRule="exact"/>
        <w:rPr>
          <w:rFonts w:hint="eastAsia" w:ascii="宋体" w:hAnsi="宋体" w:cs="宋体"/>
          <w:color w:val="auto"/>
          <w:sz w:val="24"/>
        </w:rPr>
      </w:pPr>
      <w:r>
        <w:rPr>
          <w:rFonts w:hint="eastAsia" w:ascii="宋体" w:hAnsi="宋体" w:cs="宋体"/>
          <w:color w:val="auto"/>
          <w:sz w:val="24"/>
        </w:rPr>
        <w:t xml:space="preserve">                                                            </w:t>
      </w:r>
    </w:p>
    <w:p w14:paraId="019D5E28">
      <w:pPr>
        <w:spacing w:line="400" w:lineRule="exact"/>
        <w:jc w:val="right"/>
        <w:rPr>
          <w:rFonts w:hint="eastAsia" w:ascii="宋体" w:hAnsi="宋体" w:cs="宋体"/>
          <w:color w:val="auto"/>
        </w:rPr>
      </w:pPr>
      <w:r>
        <w:rPr>
          <w:rFonts w:hint="eastAsia" w:ascii="宋体" w:hAnsi="宋体" w:cs="宋体"/>
          <w:color w:val="auto"/>
          <w:sz w:val="24"/>
        </w:rPr>
        <w:br w:type="page"/>
      </w:r>
    </w:p>
    <w:p w14:paraId="1298BA82">
      <w:pPr>
        <w:spacing w:line="400" w:lineRule="exact"/>
        <w:jc w:val="center"/>
        <w:rPr>
          <w:rFonts w:hint="eastAsia" w:ascii="宋体" w:hAnsi="宋体" w:eastAsia="宋体" w:cs="Times New Roman"/>
          <w:b/>
          <w:color w:val="auto"/>
          <w:kern w:val="2"/>
          <w:sz w:val="28"/>
          <w:szCs w:val="28"/>
          <w:lang w:val="en-US" w:eastAsia="zh-CN" w:bidi="ar-SA"/>
        </w:rPr>
      </w:pPr>
      <w:r>
        <w:rPr>
          <w:rFonts w:hint="eastAsia" w:ascii="宋体" w:hAnsi="宋体" w:eastAsia="宋体" w:cs="Times New Roman"/>
          <w:b/>
          <w:color w:val="auto"/>
          <w:kern w:val="2"/>
          <w:sz w:val="28"/>
          <w:szCs w:val="28"/>
          <w:lang w:val="en-US" w:eastAsia="zh-CN" w:bidi="ar-SA"/>
        </w:rPr>
        <w:t>派驻现场监理人员简历表</w:t>
      </w:r>
    </w:p>
    <w:p w14:paraId="2C6AEB9C">
      <w:pPr>
        <w:widowControl w:val="0"/>
        <w:spacing w:line="400" w:lineRule="exact"/>
        <w:jc w:val="both"/>
        <w:rPr>
          <w:rFonts w:hint="eastAsia" w:ascii="宋体" w:hAnsi="宋体" w:eastAsia="宋体" w:cs="宋体"/>
          <w:color w:val="auto"/>
          <w:kern w:val="2"/>
          <w:sz w:val="24"/>
          <w:lang w:val="en-US" w:eastAsia="zh-CN" w:bidi="ar-SA"/>
        </w:rPr>
      </w:pPr>
    </w:p>
    <w:p w14:paraId="4A90E9CE">
      <w:pPr>
        <w:widowControl w:val="0"/>
        <w:spacing w:line="400" w:lineRule="exact"/>
        <w:jc w:val="both"/>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 xml:space="preserve"> 工程名称：</w:t>
      </w:r>
    </w:p>
    <w:tbl>
      <w:tblPr>
        <w:tblStyle w:val="21"/>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520"/>
        <w:gridCol w:w="2160"/>
        <w:gridCol w:w="2970"/>
      </w:tblGrid>
      <w:tr w14:paraId="7585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5" w:type="dxa"/>
            <w:noWrap w:val="0"/>
            <w:vAlign w:val="center"/>
          </w:tcPr>
          <w:p w14:paraId="6B769D35">
            <w:pPr>
              <w:spacing w:line="400" w:lineRule="exact"/>
              <w:rPr>
                <w:rFonts w:hint="eastAsia" w:ascii="宋体" w:hAnsi="宋体" w:cs="宋体"/>
                <w:color w:val="auto"/>
                <w:sz w:val="24"/>
              </w:rPr>
            </w:pPr>
            <w:r>
              <w:rPr>
                <w:rFonts w:hint="eastAsia" w:ascii="宋体" w:hAnsi="宋体" w:cs="宋体"/>
                <w:color w:val="auto"/>
                <w:sz w:val="24"/>
              </w:rPr>
              <w:t>姓       名</w:t>
            </w:r>
          </w:p>
        </w:tc>
        <w:tc>
          <w:tcPr>
            <w:tcW w:w="2520" w:type="dxa"/>
            <w:noWrap w:val="0"/>
            <w:vAlign w:val="center"/>
          </w:tcPr>
          <w:p w14:paraId="2C942FB6">
            <w:pPr>
              <w:spacing w:line="400" w:lineRule="exact"/>
              <w:rPr>
                <w:rFonts w:hint="eastAsia" w:ascii="宋体" w:hAnsi="宋体" w:cs="宋体"/>
                <w:color w:val="auto"/>
                <w:sz w:val="24"/>
              </w:rPr>
            </w:pPr>
          </w:p>
        </w:tc>
        <w:tc>
          <w:tcPr>
            <w:tcW w:w="2160" w:type="dxa"/>
            <w:noWrap w:val="0"/>
            <w:vAlign w:val="center"/>
          </w:tcPr>
          <w:p w14:paraId="4E8DCCB3">
            <w:pPr>
              <w:spacing w:line="400" w:lineRule="exact"/>
              <w:rPr>
                <w:rFonts w:hint="eastAsia" w:ascii="宋体" w:hAnsi="宋体" w:cs="宋体"/>
                <w:color w:val="auto"/>
                <w:sz w:val="24"/>
              </w:rPr>
            </w:pPr>
            <w:r>
              <w:rPr>
                <w:rFonts w:hint="eastAsia" w:ascii="宋体" w:hAnsi="宋体" w:cs="宋体"/>
                <w:color w:val="auto"/>
                <w:sz w:val="24"/>
              </w:rPr>
              <w:t>出 生 年 月</w:t>
            </w:r>
          </w:p>
        </w:tc>
        <w:tc>
          <w:tcPr>
            <w:tcW w:w="2970" w:type="dxa"/>
            <w:noWrap w:val="0"/>
            <w:vAlign w:val="center"/>
          </w:tcPr>
          <w:p w14:paraId="2F81E081">
            <w:pPr>
              <w:spacing w:line="400" w:lineRule="exact"/>
              <w:rPr>
                <w:rFonts w:hint="eastAsia" w:ascii="宋体" w:hAnsi="宋体" w:cs="宋体"/>
                <w:color w:val="auto"/>
                <w:sz w:val="24"/>
              </w:rPr>
            </w:pPr>
          </w:p>
        </w:tc>
      </w:tr>
      <w:tr w14:paraId="663A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5" w:type="dxa"/>
            <w:noWrap w:val="0"/>
            <w:vAlign w:val="center"/>
          </w:tcPr>
          <w:p w14:paraId="7135E148">
            <w:pPr>
              <w:spacing w:line="400" w:lineRule="exact"/>
              <w:rPr>
                <w:rFonts w:hint="eastAsia" w:ascii="宋体" w:hAnsi="宋体" w:cs="宋体"/>
                <w:color w:val="auto"/>
                <w:sz w:val="24"/>
              </w:rPr>
            </w:pPr>
            <w:r>
              <w:rPr>
                <w:rFonts w:hint="eastAsia" w:ascii="宋体" w:hAnsi="宋体" w:cs="宋体"/>
                <w:color w:val="auto"/>
                <w:sz w:val="24"/>
              </w:rPr>
              <w:t>文 化 程 度</w:t>
            </w:r>
          </w:p>
        </w:tc>
        <w:tc>
          <w:tcPr>
            <w:tcW w:w="2520" w:type="dxa"/>
            <w:noWrap w:val="0"/>
            <w:vAlign w:val="center"/>
          </w:tcPr>
          <w:p w14:paraId="645AF188">
            <w:pPr>
              <w:spacing w:line="400" w:lineRule="exact"/>
              <w:rPr>
                <w:rFonts w:hint="eastAsia" w:ascii="宋体" w:hAnsi="宋体" w:cs="宋体"/>
                <w:color w:val="auto"/>
                <w:sz w:val="24"/>
              </w:rPr>
            </w:pPr>
          </w:p>
        </w:tc>
        <w:tc>
          <w:tcPr>
            <w:tcW w:w="2160" w:type="dxa"/>
            <w:noWrap w:val="0"/>
            <w:vAlign w:val="center"/>
          </w:tcPr>
          <w:p w14:paraId="13DE1D3B">
            <w:pPr>
              <w:spacing w:line="400" w:lineRule="exact"/>
              <w:rPr>
                <w:rFonts w:hint="eastAsia" w:ascii="宋体" w:hAnsi="宋体" w:cs="宋体"/>
                <w:color w:val="auto"/>
                <w:sz w:val="24"/>
              </w:rPr>
            </w:pPr>
            <w:r>
              <w:rPr>
                <w:rFonts w:hint="eastAsia" w:ascii="宋体" w:hAnsi="宋体" w:cs="宋体"/>
                <w:color w:val="auto"/>
                <w:sz w:val="24"/>
              </w:rPr>
              <w:t>技 术 职 称</w:t>
            </w:r>
          </w:p>
        </w:tc>
        <w:tc>
          <w:tcPr>
            <w:tcW w:w="2970" w:type="dxa"/>
            <w:noWrap w:val="0"/>
            <w:vAlign w:val="center"/>
          </w:tcPr>
          <w:p w14:paraId="0128E7AA">
            <w:pPr>
              <w:spacing w:line="400" w:lineRule="exact"/>
              <w:rPr>
                <w:rFonts w:hint="eastAsia" w:ascii="宋体" w:hAnsi="宋体" w:cs="宋体"/>
                <w:color w:val="auto"/>
                <w:sz w:val="24"/>
              </w:rPr>
            </w:pPr>
          </w:p>
        </w:tc>
      </w:tr>
      <w:tr w14:paraId="16AC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5" w:type="dxa"/>
            <w:noWrap w:val="0"/>
            <w:vAlign w:val="center"/>
          </w:tcPr>
          <w:p w14:paraId="6F5A6735">
            <w:pPr>
              <w:spacing w:line="400" w:lineRule="exact"/>
              <w:rPr>
                <w:rFonts w:hint="eastAsia" w:ascii="宋体" w:hAnsi="宋体" w:cs="宋体"/>
                <w:color w:val="auto"/>
                <w:sz w:val="24"/>
              </w:rPr>
            </w:pPr>
            <w:r>
              <w:rPr>
                <w:rFonts w:hint="eastAsia" w:ascii="宋体" w:hAnsi="宋体" w:cs="宋体"/>
                <w:color w:val="auto"/>
                <w:sz w:val="24"/>
              </w:rPr>
              <w:t>毕业院校、专业</w:t>
            </w:r>
          </w:p>
        </w:tc>
        <w:tc>
          <w:tcPr>
            <w:tcW w:w="2520" w:type="dxa"/>
            <w:noWrap w:val="0"/>
            <w:vAlign w:val="center"/>
          </w:tcPr>
          <w:p w14:paraId="59FB7285">
            <w:pPr>
              <w:spacing w:line="400" w:lineRule="exact"/>
              <w:rPr>
                <w:rFonts w:hint="eastAsia" w:ascii="宋体" w:hAnsi="宋体" w:cs="宋体"/>
                <w:color w:val="auto"/>
                <w:sz w:val="24"/>
              </w:rPr>
            </w:pPr>
          </w:p>
        </w:tc>
        <w:tc>
          <w:tcPr>
            <w:tcW w:w="2160" w:type="dxa"/>
            <w:noWrap w:val="0"/>
            <w:vAlign w:val="center"/>
          </w:tcPr>
          <w:p w14:paraId="5863782E">
            <w:pPr>
              <w:spacing w:line="400" w:lineRule="exact"/>
              <w:rPr>
                <w:rFonts w:hint="eastAsia" w:ascii="宋体" w:hAnsi="宋体" w:cs="宋体"/>
                <w:color w:val="auto"/>
                <w:sz w:val="24"/>
              </w:rPr>
            </w:pPr>
            <w:r>
              <w:rPr>
                <w:rFonts w:hint="eastAsia" w:ascii="宋体" w:hAnsi="宋体" w:cs="宋体"/>
                <w:color w:val="auto"/>
                <w:sz w:val="24"/>
              </w:rPr>
              <w:t>毕 业 时 间</w:t>
            </w:r>
          </w:p>
        </w:tc>
        <w:tc>
          <w:tcPr>
            <w:tcW w:w="2970" w:type="dxa"/>
            <w:noWrap w:val="0"/>
            <w:vAlign w:val="center"/>
          </w:tcPr>
          <w:p w14:paraId="46F6AA66">
            <w:pPr>
              <w:spacing w:line="400" w:lineRule="exact"/>
              <w:rPr>
                <w:rFonts w:hint="eastAsia" w:ascii="宋体" w:hAnsi="宋体" w:cs="宋体"/>
                <w:color w:val="auto"/>
                <w:sz w:val="24"/>
              </w:rPr>
            </w:pPr>
          </w:p>
        </w:tc>
      </w:tr>
      <w:tr w14:paraId="4D77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5" w:type="dxa"/>
            <w:noWrap w:val="0"/>
            <w:vAlign w:val="center"/>
          </w:tcPr>
          <w:p w14:paraId="64BC211E">
            <w:pPr>
              <w:spacing w:line="400" w:lineRule="exact"/>
              <w:rPr>
                <w:rFonts w:hint="eastAsia" w:ascii="宋体" w:hAnsi="宋体" w:cs="宋体"/>
                <w:color w:val="auto"/>
                <w:sz w:val="24"/>
              </w:rPr>
            </w:pPr>
            <w:r>
              <w:rPr>
                <w:rFonts w:hint="eastAsia" w:ascii="宋体" w:hAnsi="宋体" w:cs="宋体"/>
                <w:color w:val="auto"/>
                <w:sz w:val="24"/>
              </w:rPr>
              <w:t>现 任 职 务</w:t>
            </w:r>
          </w:p>
        </w:tc>
        <w:tc>
          <w:tcPr>
            <w:tcW w:w="2520" w:type="dxa"/>
            <w:noWrap w:val="0"/>
            <w:vAlign w:val="center"/>
          </w:tcPr>
          <w:p w14:paraId="42950517">
            <w:pPr>
              <w:spacing w:line="400" w:lineRule="exact"/>
              <w:rPr>
                <w:rFonts w:hint="eastAsia" w:ascii="宋体" w:hAnsi="宋体" w:cs="宋体"/>
                <w:color w:val="auto"/>
                <w:sz w:val="24"/>
              </w:rPr>
            </w:pPr>
          </w:p>
        </w:tc>
        <w:tc>
          <w:tcPr>
            <w:tcW w:w="2160" w:type="dxa"/>
            <w:noWrap w:val="0"/>
            <w:vAlign w:val="center"/>
          </w:tcPr>
          <w:p w14:paraId="27109907">
            <w:pPr>
              <w:spacing w:line="400" w:lineRule="exact"/>
              <w:rPr>
                <w:rFonts w:hint="eastAsia" w:ascii="宋体" w:hAnsi="宋体" w:cs="宋体"/>
                <w:color w:val="auto"/>
                <w:sz w:val="24"/>
              </w:rPr>
            </w:pPr>
            <w:r>
              <w:rPr>
                <w:rFonts w:hint="eastAsia" w:ascii="宋体" w:hAnsi="宋体" w:cs="宋体"/>
                <w:color w:val="auto"/>
                <w:sz w:val="24"/>
              </w:rPr>
              <w:t>从事监理工作时间</w:t>
            </w:r>
          </w:p>
        </w:tc>
        <w:tc>
          <w:tcPr>
            <w:tcW w:w="2970" w:type="dxa"/>
            <w:noWrap w:val="0"/>
            <w:vAlign w:val="center"/>
          </w:tcPr>
          <w:p w14:paraId="6A7A83A1">
            <w:pPr>
              <w:spacing w:line="400" w:lineRule="exact"/>
              <w:rPr>
                <w:rFonts w:hint="eastAsia" w:ascii="宋体" w:hAnsi="宋体" w:cs="宋体"/>
                <w:color w:val="auto"/>
                <w:sz w:val="24"/>
              </w:rPr>
            </w:pPr>
          </w:p>
        </w:tc>
      </w:tr>
      <w:tr w14:paraId="7A89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5" w:type="dxa"/>
            <w:noWrap w:val="0"/>
            <w:vAlign w:val="center"/>
          </w:tcPr>
          <w:p w14:paraId="1EECBD4D">
            <w:pPr>
              <w:spacing w:line="400" w:lineRule="exact"/>
              <w:rPr>
                <w:rFonts w:hint="eastAsia" w:ascii="宋体" w:hAnsi="宋体" w:cs="宋体"/>
                <w:color w:val="auto"/>
                <w:sz w:val="24"/>
              </w:rPr>
            </w:pPr>
            <w:r>
              <w:rPr>
                <w:rFonts w:hint="eastAsia" w:ascii="宋体" w:hAnsi="宋体" w:cs="宋体"/>
                <w:color w:val="auto"/>
                <w:sz w:val="24"/>
              </w:rPr>
              <w:t>监理培训证书号</w:t>
            </w:r>
          </w:p>
        </w:tc>
        <w:tc>
          <w:tcPr>
            <w:tcW w:w="2520" w:type="dxa"/>
            <w:noWrap w:val="0"/>
            <w:vAlign w:val="center"/>
          </w:tcPr>
          <w:p w14:paraId="0290F7AD">
            <w:pPr>
              <w:spacing w:line="400" w:lineRule="exact"/>
              <w:rPr>
                <w:rFonts w:hint="eastAsia" w:ascii="宋体" w:hAnsi="宋体" w:cs="宋体"/>
                <w:color w:val="auto"/>
                <w:sz w:val="24"/>
              </w:rPr>
            </w:pPr>
          </w:p>
        </w:tc>
        <w:tc>
          <w:tcPr>
            <w:tcW w:w="2160" w:type="dxa"/>
            <w:noWrap w:val="0"/>
            <w:vAlign w:val="center"/>
          </w:tcPr>
          <w:p w14:paraId="4E02E860">
            <w:pPr>
              <w:spacing w:line="400" w:lineRule="exact"/>
              <w:rPr>
                <w:rFonts w:hint="eastAsia" w:ascii="宋体" w:hAnsi="宋体" w:cs="宋体"/>
                <w:color w:val="auto"/>
                <w:sz w:val="24"/>
              </w:rPr>
            </w:pPr>
            <w:r>
              <w:rPr>
                <w:rFonts w:hint="eastAsia" w:ascii="宋体" w:hAnsi="宋体" w:cs="宋体"/>
                <w:color w:val="auto"/>
                <w:sz w:val="24"/>
              </w:rPr>
              <w:t>监理工程师证书号</w:t>
            </w:r>
          </w:p>
        </w:tc>
        <w:tc>
          <w:tcPr>
            <w:tcW w:w="2970" w:type="dxa"/>
            <w:noWrap w:val="0"/>
            <w:vAlign w:val="center"/>
          </w:tcPr>
          <w:p w14:paraId="50DE8B74">
            <w:pPr>
              <w:spacing w:line="400" w:lineRule="exact"/>
              <w:rPr>
                <w:rFonts w:hint="eastAsia" w:ascii="宋体" w:hAnsi="宋体" w:cs="宋体"/>
                <w:color w:val="auto"/>
                <w:sz w:val="24"/>
              </w:rPr>
            </w:pPr>
          </w:p>
        </w:tc>
      </w:tr>
      <w:tr w14:paraId="219F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1" w:hRule="atLeast"/>
        </w:trPr>
        <w:tc>
          <w:tcPr>
            <w:tcW w:w="9345" w:type="dxa"/>
            <w:gridSpan w:val="4"/>
            <w:noWrap w:val="0"/>
            <w:vAlign w:val="top"/>
          </w:tcPr>
          <w:p w14:paraId="055EADB7">
            <w:pPr>
              <w:spacing w:line="400" w:lineRule="exact"/>
              <w:rPr>
                <w:rFonts w:hint="eastAsia" w:ascii="宋体" w:hAnsi="宋体" w:cs="宋体"/>
                <w:color w:val="auto"/>
                <w:sz w:val="24"/>
              </w:rPr>
            </w:pPr>
            <w:r>
              <w:rPr>
                <w:rFonts w:hint="eastAsia" w:ascii="宋体" w:hAnsi="宋体" w:cs="宋体"/>
                <w:color w:val="auto"/>
                <w:sz w:val="24"/>
              </w:rPr>
              <w:t>工作简历：</w:t>
            </w:r>
          </w:p>
        </w:tc>
      </w:tr>
    </w:tbl>
    <w:p w14:paraId="0FBE8F00">
      <w:pPr>
        <w:spacing w:line="400" w:lineRule="exact"/>
        <w:rPr>
          <w:rFonts w:hint="eastAsia" w:ascii="宋体" w:hAnsi="宋体" w:cs="宋体"/>
          <w:color w:val="auto"/>
          <w:sz w:val="24"/>
        </w:rPr>
      </w:pPr>
      <w:r>
        <w:rPr>
          <w:rFonts w:hint="eastAsia" w:ascii="宋体" w:hAnsi="宋体" w:cs="宋体"/>
          <w:color w:val="auto"/>
          <w:sz w:val="24"/>
        </w:rPr>
        <w:t xml:space="preserve"> 注：每表一人。</w:t>
      </w:r>
    </w:p>
    <w:p w14:paraId="6E1F2331">
      <w:pPr>
        <w:spacing w:line="360" w:lineRule="auto"/>
        <w:jc w:val="center"/>
        <w:rPr>
          <w:rFonts w:hint="eastAsia" w:ascii="宋体" w:hAnsi="宋体" w:cs="宋体"/>
          <w:color w:val="auto"/>
          <w:sz w:val="24"/>
        </w:rPr>
      </w:pPr>
    </w:p>
    <w:p w14:paraId="215F15C3">
      <w:pPr>
        <w:spacing w:line="360" w:lineRule="auto"/>
        <w:jc w:val="center"/>
        <w:rPr>
          <w:rFonts w:hint="eastAsia" w:ascii="宋体" w:hAnsi="宋体" w:cs="宋体"/>
          <w:b/>
          <w:color w:val="auto"/>
          <w:sz w:val="28"/>
        </w:rPr>
      </w:pPr>
      <w:r>
        <w:rPr>
          <w:rFonts w:hint="eastAsia" w:ascii="宋体" w:hAnsi="宋体" w:eastAsia="宋体" w:cs="Times New Roman"/>
          <w:b/>
          <w:color w:val="auto"/>
          <w:kern w:val="2"/>
          <w:sz w:val="28"/>
          <w:szCs w:val="28"/>
          <w:lang w:val="en-US" w:eastAsia="zh-CN" w:bidi="ar-SA"/>
        </w:rPr>
        <w:t>总监理工程师已完成监理的工程一览表</w:t>
      </w:r>
    </w:p>
    <w:p w14:paraId="5D530C27">
      <w:pPr>
        <w:spacing w:line="400" w:lineRule="exact"/>
        <w:rPr>
          <w:rFonts w:hint="eastAsia" w:ascii="宋体" w:hAnsi="宋体" w:cs="宋体"/>
          <w:b/>
          <w:color w:val="auto"/>
          <w:sz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294"/>
      </w:tblGrid>
      <w:tr w14:paraId="13D6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6FDB2105">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工程名称</w:t>
            </w:r>
          </w:p>
        </w:tc>
        <w:tc>
          <w:tcPr>
            <w:tcW w:w="6843" w:type="dxa"/>
            <w:gridSpan w:val="3"/>
            <w:noWrap w:val="0"/>
            <w:vAlign w:val="top"/>
          </w:tcPr>
          <w:p w14:paraId="649F6349">
            <w:pPr>
              <w:spacing w:line="400" w:lineRule="exact"/>
              <w:jc w:val="center"/>
              <w:rPr>
                <w:rFonts w:hint="eastAsia" w:ascii="宋体" w:hAnsi="宋体" w:cs="宋体"/>
                <w:color w:val="auto"/>
                <w:sz w:val="24"/>
                <w:szCs w:val="24"/>
              </w:rPr>
            </w:pPr>
          </w:p>
        </w:tc>
      </w:tr>
      <w:tr w14:paraId="1393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65AE8FF8">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项目地点</w:t>
            </w:r>
          </w:p>
        </w:tc>
        <w:tc>
          <w:tcPr>
            <w:tcW w:w="6843" w:type="dxa"/>
            <w:gridSpan w:val="3"/>
            <w:noWrap w:val="0"/>
            <w:vAlign w:val="top"/>
          </w:tcPr>
          <w:p w14:paraId="6A1F3A67">
            <w:pPr>
              <w:spacing w:line="400" w:lineRule="exact"/>
              <w:jc w:val="center"/>
              <w:rPr>
                <w:rFonts w:hint="eastAsia" w:ascii="宋体" w:hAnsi="宋体" w:cs="宋体"/>
                <w:color w:val="auto"/>
                <w:sz w:val="24"/>
                <w:szCs w:val="24"/>
              </w:rPr>
            </w:pPr>
          </w:p>
        </w:tc>
      </w:tr>
      <w:tr w14:paraId="5920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0CF38B98">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工程规模</w:t>
            </w:r>
          </w:p>
        </w:tc>
        <w:tc>
          <w:tcPr>
            <w:tcW w:w="6843" w:type="dxa"/>
            <w:gridSpan w:val="3"/>
            <w:noWrap w:val="0"/>
            <w:vAlign w:val="top"/>
          </w:tcPr>
          <w:p w14:paraId="73FCC22C">
            <w:pPr>
              <w:spacing w:line="400" w:lineRule="exact"/>
              <w:jc w:val="center"/>
              <w:rPr>
                <w:rFonts w:hint="eastAsia" w:ascii="宋体" w:hAnsi="宋体" w:cs="宋体"/>
                <w:color w:val="auto"/>
                <w:sz w:val="24"/>
                <w:szCs w:val="24"/>
              </w:rPr>
            </w:pPr>
          </w:p>
        </w:tc>
      </w:tr>
      <w:tr w14:paraId="731A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52C51B05">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工程等级</w:t>
            </w:r>
          </w:p>
        </w:tc>
        <w:tc>
          <w:tcPr>
            <w:tcW w:w="2700" w:type="dxa"/>
            <w:noWrap w:val="0"/>
            <w:vAlign w:val="top"/>
          </w:tcPr>
          <w:p w14:paraId="2443F168">
            <w:pPr>
              <w:spacing w:line="400" w:lineRule="exact"/>
              <w:jc w:val="center"/>
              <w:rPr>
                <w:rFonts w:hint="eastAsia" w:ascii="宋体" w:hAnsi="宋体" w:cs="宋体"/>
                <w:color w:val="auto"/>
                <w:sz w:val="24"/>
                <w:szCs w:val="24"/>
              </w:rPr>
            </w:pPr>
          </w:p>
        </w:tc>
        <w:tc>
          <w:tcPr>
            <w:tcW w:w="1849" w:type="dxa"/>
            <w:noWrap w:val="0"/>
            <w:vAlign w:val="top"/>
          </w:tcPr>
          <w:p w14:paraId="78B7392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工程造价</w:t>
            </w:r>
          </w:p>
        </w:tc>
        <w:tc>
          <w:tcPr>
            <w:tcW w:w="2294" w:type="dxa"/>
            <w:noWrap w:val="0"/>
            <w:vAlign w:val="top"/>
          </w:tcPr>
          <w:p w14:paraId="1CF01B77">
            <w:pPr>
              <w:spacing w:line="400" w:lineRule="exact"/>
              <w:jc w:val="center"/>
              <w:rPr>
                <w:rFonts w:hint="eastAsia" w:ascii="宋体" w:hAnsi="宋体" w:cs="宋体"/>
                <w:color w:val="auto"/>
                <w:sz w:val="24"/>
                <w:szCs w:val="24"/>
              </w:rPr>
            </w:pPr>
          </w:p>
        </w:tc>
      </w:tr>
      <w:tr w14:paraId="1951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128AF8B3">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开工日期</w:t>
            </w:r>
          </w:p>
        </w:tc>
        <w:tc>
          <w:tcPr>
            <w:tcW w:w="2700" w:type="dxa"/>
            <w:noWrap w:val="0"/>
            <w:vAlign w:val="top"/>
          </w:tcPr>
          <w:p w14:paraId="666AAB81">
            <w:pPr>
              <w:spacing w:line="400" w:lineRule="exact"/>
              <w:jc w:val="center"/>
              <w:rPr>
                <w:rFonts w:hint="eastAsia" w:ascii="宋体" w:hAnsi="宋体" w:cs="宋体"/>
                <w:color w:val="auto"/>
                <w:sz w:val="24"/>
                <w:szCs w:val="24"/>
              </w:rPr>
            </w:pPr>
          </w:p>
        </w:tc>
        <w:tc>
          <w:tcPr>
            <w:tcW w:w="1849" w:type="dxa"/>
            <w:noWrap w:val="0"/>
            <w:vAlign w:val="top"/>
          </w:tcPr>
          <w:p w14:paraId="4B24F2CE">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预计完工时间</w:t>
            </w:r>
          </w:p>
        </w:tc>
        <w:tc>
          <w:tcPr>
            <w:tcW w:w="2294" w:type="dxa"/>
            <w:noWrap w:val="0"/>
            <w:vAlign w:val="top"/>
          </w:tcPr>
          <w:p w14:paraId="37958997">
            <w:pPr>
              <w:spacing w:line="400" w:lineRule="exact"/>
              <w:jc w:val="center"/>
              <w:rPr>
                <w:rFonts w:hint="eastAsia" w:ascii="宋体" w:hAnsi="宋体" w:cs="宋体"/>
                <w:color w:val="auto"/>
                <w:sz w:val="24"/>
                <w:szCs w:val="24"/>
              </w:rPr>
            </w:pPr>
          </w:p>
        </w:tc>
      </w:tr>
      <w:tr w14:paraId="70A0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4781EB11">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结构形式</w:t>
            </w:r>
          </w:p>
        </w:tc>
        <w:tc>
          <w:tcPr>
            <w:tcW w:w="2700" w:type="dxa"/>
            <w:noWrap w:val="0"/>
            <w:vAlign w:val="top"/>
          </w:tcPr>
          <w:p w14:paraId="3562BDDE">
            <w:pPr>
              <w:spacing w:line="400" w:lineRule="exact"/>
              <w:jc w:val="center"/>
              <w:rPr>
                <w:rFonts w:hint="eastAsia" w:ascii="宋体" w:hAnsi="宋体" w:cs="宋体"/>
                <w:color w:val="auto"/>
                <w:sz w:val="24"/>
                <w:szCs w:val="24"/>
              </w:rPr>
            </w:pPr>
          </w:p>
        </w:tc>
        <w:tc>
          <w:tcPr>
            <w:tcW w:w="1849" w:type="dxa"/>
            <w:noWrap w:val="0"/>
            <w:vAlign w:val="top"/>
          </w:tcPr>
          <w:p w14:paraId="1D9FAC28">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监理人员总数</w:t>
            </w:r>
          </w:p>
        </w:tc>
        <w:tc>
          <w:tcPr>
            <w:tcW w:w="2294" w:type="dxa"/>
            <w:noWrap w:val="0"/>
            <w:vAlign w:val="top"/>
          </w:tcPr>
          <w:p w14:paraId="5D3D5E2E">
            <w:pPr>
              <w:spacing w:line="400" w:lineRule="exact"/>
              <w:jc w:val="center"/>
              <w:rPr>
                <w:rFonts w:hint="eastAsia" w:ascii="宋体" w:hAnsi="宋体" w:cs="宋体"/>
                <w:color w:val="auto"/>
                <w:sz w:val="24"/>
                <w:szCs w:val="24"/>
              </w:rPr>
            </w:pPr>
          </w:p>
        </w:tc>
      </w:tr>
      <w:tr w14:paraId="02B8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7" w:type="dxa"/>
            <w:gridSpan w:val="5"/>
            <w:noWrap w:val="0"/>
            <w:vAlign w:val="top"/>
          </w:tcPr>
          <w:p w14:paraId="6D898C8E">
            <w:pPr>
              <w:spacing w:line="400" w:lineRule="exact"/>
              <w:rPr>
                <w:rFonts w:hint="eastAsia" w:ascii="宋体" w:hAnsi="宋体" w:cs="宋体"/>
                <w:color w:val="auto"/>
                <w:sz w:val="24"/>
                <w:szCs w:val="24"/>
              </w:rPr>
            </w:pPr>
            <w:r>
              <w:rPr>
                <w:rFonts w:hint="eastAsia" w:ascii="宋体" w:hAnsi="宋体" w:cs="宋体"/>
                <w:color w:val="auto"/>
                <w:sz w:val="24"/>
                <w:szCs w:val="24"/>
              </w:rPr>
              <w:t>监理主要内容：</w:t>
            </w:r>
          </w:p>
          <w:p w14:paraId="7572DA68">
            <w:pPr>
              <w:spacing w:line="400" w:lineRule="exact"/>
              <w:rPr>
                <w:rFonts w:hint="eastAsia" w:ascii="宋体" w:hAnsi="宋体" w:cs="宋体"/>
                <w:color w:val="auto"/>
                <w:sz w:val="24"/>
                <w:szCs w:val="24"/>
              </w:rPr>
            </w:pPr>
          </w:p>
          <w:p w14:paraId="5F78C136">
            <w:pPr>
              <w:spacing w:line="400" w:lineRule="exact"/>
              <w:rPr>
                <w:rFonts w:hint="eastAsia" w:ascii="宋体" w:hAnsi="宋体" w:cs="宋体"/>
                <w:color w:val="auto"/>
                <w:sz w:val="24"/>
                <w:szCs w:val="24"/>
              </w:rPr>
            </w:pPr>
          </w:p>
          <w:p w14:paraId="532766C5">
            <w:pPr>
              <w:spacing w:line="400" w:lineRule="exact"/>
              <w:rPr>
                <w:rFonts w:hint="eastAsia" w:ascii="宋体" w:hAnsi="宋体" w:cs="宋体"/>
                <w:color w:val="auto"/>
                <w:sz w:val="24"/>
                <w:szCs w:val="24"/>
              </w:rPr>
            </w:pPr>
          </w:p>
          <w:p w14:paraId="43551F47">
            <w:pPr>
              <w:spacing w:line="400" w:lineRule="exact"/>
              <w:rPr>
                <w:rFonts w:hint="eastAsia" w:ascii="宋体" w:hAnsi="宋体" w:cs="宋体"/>
                <w:color w:val="auto"/>
                <w:sz w:val="24"/>
                <w:szCs w:val="24"/>
              </w:rPr>
            </w:pPr>
          </w:p>
          <w:p w14:paraId="54230C15">
            <w:pPr>
              <w:spacing w:line="400" w:lineRule="exact"/>
              <w:rPr>
                <w:rFonts w:hint="eastAsia" w:ascii="宋体" w:hAnsi="宋体" w:cs="宋体"/>
                <w:color w:val="auto"/>
                <w:sz w:val="24"/>
                <w:szCs w:val="24"/>
              </w:rPr>
            </w:pPr>
          </w:p>
        </w:tc>
      </w:tr>
      <w:tr w14:paraId="3F3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6C462FB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设计单位</w:t>
            </w:r>
          </w:p>
        </w:tc>
        <w:tc>
          <w:tcPr>
            <w:tcW w:w="6843" w:type="dxa"/>
            <w:gridSpan w:val="3"/>
            <w:noWrap w:val="0"/>
            <w:vAlign w:val="top"/>
          </w:tcPr>
          <w:p w14:paraId="58EEFC28">
            <w:pPr>
              <w:spacing w:line="400" w:lineRule="exact"/>
              <w:jc w:val="center"/>
              <w:rPr>
                <w:rFonts w:hint="eastAsia" w:ascii="宋体" w:hAnsi="宋体" w:cs="宋体"/>
                <w:color w:val="auto"/>
                <w:sz w:val="24"/>
                <w:szCs w:val="24"/>
              </w:rPr>
            </w:pPr>
          </w:p>
        </w:tc>
      </w:tr>
      <w:tr w14:paraId="4D2E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149A0BE7">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施工单位</w:t>
            </w:r>
          </w:p>
        </w:tc>
        <w:tc>
          <w:tcPr>
            <w:tcW w:w="6843" w:type="dxa"/>
            <w:gridSpan w:val="3"/>
            <w:noWrap w:val="0"/>
            <w:vAlign w:val="top"/>
          </w:tcPr>
          <w:p w14:paraId="04259BBD">
            <w:pPr>
              <w:spacing w:line="400" w:lineRule="exact"/>
              <w:jc w:val="center"/>
              <w:rPr>
                <w:rFonts w:hint="eastAsia" w:ascii="宋体" w:hAnsi="宋体" w:cs="宋体"/>
                <w:color w:val="auto"/>
                <w:sz w:val="24"/>
                <w:szCs w:val="24"/>
              </w:rPr>
            </w:pPr>
          </w:p>
        </w:tc>
      </w:tr>
      <w:tr w14:paraId="0270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val="0"/>
            <w:vAlign w:val="top"/>
          </w:tcPr>
          <w:p w14:paraId="3CA884C5">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业</w:t>
            </w:r>
          </w:p>
          <w:p w14:paraId="2D4745D4">
            <w:pPr>
              <w:spacing w:line="400" w:lineRule="exact"/>
              <w:jc w:val="center"/>
              <w:rPr>
                <w:rFonts w:hint="eastAsia" w:ascii="宋体" w:hAnsi="宋体" w:cs="宋体"/>
                <w:color w:val="auto"/>
                <w:sz w:val="24"/>
                <w:szCs w:val="24"/>
              </w:rPr>
            </w:pPr>
          </w:p>
          <w:p w14:paraId="72C61EEF">
            <w:pPr>
              <w:spacing w:line="400" w:lineRule="exact"/>
              <w:jc w:val="center"/>
              <w:rPr>
                <w:rFonts w:hint="eastAsia" w:ascii="宋体" w:hAnsi="宋体" w:cs="宋体"/>
                <w:color w:val="auto"/>
                <w:sz w:val="24"/>
                <w:szCs w:val="24"/>
              </w:rPr>
            </w:pPr>
          </w:p>
          <w:p w14:paraId="52233D31">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主</w:t>
            </w:r>
          </w:p>
        </w:tc>
        <w:tc>
          <w:tcPr>
            <w:tcW w:w="1980" w:type="dxa"/>
            <w:noWrap w:val="0"/>
            <w:vAlign w:val="top"/>
          </w:tcPr>
          <w:p w14:paraId="53F18D4E">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单位名称</w:t>
            </w:r>
          </w:p>
        </w:tc>
        <w:tc>
          <w:tcPr>
            <w:tcW w:w="6843" w:type="dxa"/>
            <w:gridSpan w:val="3"/>
            <w:noWrap w:val="0"/>
            <w:vAlign w:val="top"/>
          </w:tcPr>
          <w:p w14:paraId="2DD14D90">
            <w:pPr>
              <w:spacing w:line="400" w:lineRule="exact"/>
              <w:jc w:val="center"/>
              <w:rPr>
                <w:rFonts w:hint="eastAsia" w:ascii="宋体" w:hAnsi="宋体" w:cs="宋体"/>
                <w:color w:val="auto"/>
                <w:sz w:val="24"/>
                <w:szCs w:val="24"/>
              </w:rPr>
            </w:pPr>
          </w:p>
        </w:tc>
      </w:tr>
      <w:tr w14:paraId="61F3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14:paraId="07ACF1B8">
            <w:pPr>
              <w:spacing w:line="400" w:lineRule="exact"/>
              <w:jc w:val="center"/>
              <w:rPr>
                <w:rFonts w:hint="eastAsia" w:ascii="宋体" w:hAnsi="宋体" w:cs="宋体"/>
                <w:color w:val="auto"/>
                <w:sz w:val="24"/>
                <w:szCs w:val="24"/>
              </w:rPr>
            </w:pPr>
          </w:p>
        </w:tc>
        <w:tc>
          <w:tcPr>
            <w:tcW w:w="1980" w:type="dxa"/>
            <w:noWrap w:val="0"/>
            <w:vAlign w:val="top"/>
          </w:tcPr>
          <w:p w14:paraId="419156F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单位地址</w:t>
            </w:r>
          </w:p>
        </w:tc>
        <w:tc>
          <w:tcPr>
            <w:tcW w:w="6843" w:type="dxa"/>
            <w:gridSpan w:val="3"/>
            <w:noWrap w:val="0"/>
            <w:vAlign w:val="top"/>
          </w:tcPr>
          <w:p w14:paraId="17564BE4">
            <w:pPr>
              <w:spacing w:line="400" w:lineRule="exact"/>
              <w:jc w:val="center"/>
              <w:rPr>
                <w:rFonts w:hint="eastAsia" w:ascii="宋体" w:hAnsi="宋体" w:cs="宋体"/>
                <w:color w:val="auto"/>
                <w:sz w:val="24"/>
                <w:szCs w:val="24"/>
              </w:rPr>
            </w:pPr>
          </w:p>
        </w:tc>
      </w:tr>
      <w:tr w14:paraId="6F35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14:paraId="02CAA65E">
            <w:pPr>
              <w:spacing w:line="400" w:lineRule="exact"/>
              <w:jc w:val="center"/>
              <w:rPr>
                <w:rFonts w:hint="eastAsia" w:ascii="宋体" w:hAnsi="宋体" w:cs="宋体"/>
                <w:color w:val="auto"/>
                <w:sz w:val="24"/>
                <w:szCs w:val="24"/>
              </w:rPr>
            </w:pPr>
          </w:p>
        </w:tc>
        <w:tc>
          <w:tcPr>
            <w:tcW w:w="1980" w:type="dxa"/>
            <w:noWrap w:val="0"/>
            <w:vAlign w:val="top"/>
          </w:tcPr>
          <w:p w14:paraId="505AF6C2">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联 系 人</w:t>
            </w:r>
          </w:p>
        </w:tc>
        <w:tc>
          <w:tcPr>
            <w:tcW w:w="6843" w:type="dxa"/>
            <w:gridSpan w:val="3"/>
            <w:noWrap w:val="0"/>
            <w:vAlign w:val="top"/>
          </w:tcPr>
          <w:p w14:paraId="1BD136CA">
            <w:pPr>
              <w:spacing w:line="400" w:lineRule="exact"/>
              <w:jc w:val="center"/>
              <w:rPr>
                <w:rFonts w:hint="eastAsia" w:ascii="宋体" w:hAnsi="宋体" w:cs="宋体"/>
                <w:color w:val="auto"/>
                <w:sz w:val="24"/>
                <w:szCs w:val="24"/>
              </w:rPr>
            </w:pPr>
          </w:p>
        </w:tc>
      </w:tr>
      <w:tr w14:paraId="793D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14:paraId="23101DB1">
            <w:pPr>
              <w:spacing w:line="400" w:lineRule="exact"/>
              <w:jc w:val="center"/>
              <w:rPr>
                <w:rFonts w:hint="eastAsia" w:ascii="宋体" w:hAnsi="宋体" w:cs="宋体"/>
                <w:color w:val="auto"/>
                <w:sz w:val="24"/>
                <w:szCs w:val="24"/>
              </w:rPr>
            </w:pPr>
          </w:p>
        </w:tc>
        <w:tc>
          <w:tcPr>
            <w:tcW w:w="1980" w:type="dxa"/>
            <w:noWrap w:val="0"/>
            <w:vAlign w:val="top"/>
          </w:tcPr>
          <w:p w14:paraId="70AD598E">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6843" w:type="dxa"/>
            <w:gridSpan w:val="3"/>
            <w:noWrap w:val="0"/>
            <w:vAlign w:val="top"/>
          </w:tcPr>
          <w:p w14:paraId="47D516D0">
            <w:pPr>
              <w:spacing w:line="400" w:lineRule="exact"/>
              <w:jc w:val="center"/>
              <w:rPr>
                <w:rFonts w:hint="eastAsia" w:ascii="宋体" w:hAnsi="宋体" w:cs="宋体"/>
                <w:color w:val="auto"/>
                <w:sz w:val="24"/>
                <w:szCs w:val="24"/>
              </w:rPr>
            </w:pPr>
          </w:p>
        </w:tc>
      </w:tr>
      <w:tr w14:paraId="0460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val="0"/>
            <w:vAlign w:val="top"/>
          </w:tcPr>
          <w:p w14:paraId="51A72868">
            <w:pPr>
              <w:spacing w:line="400" w:lineRule="exact"/>
              <w:jc w:val="center"/>
              <w:rPr>
                <w:rFonts w:hint="eastAsia" w:ascii="宋体" w:hAnsi="宋体" w:cs="宋体"/>
                <w:color w:val="auto"/>
                <w:sz w:val="24"/>
                <w:szCs w:val="24"/>
              </w:rPr>
            </w:pPr>
          </w:p>
        </w:tc>
        <w:tc>
          <w:tcPr>
            <w:tcW w:w="1980" w:type="dxa"/>
            <w:noWrap w:val="0"/>
            <w:vAlign w:val="top"/>
          </w:tcPr>
          <w:p w14:paraId="39ED35D1">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传真号码</w:t>
            </w:r>
          </w:p>
        </w:tc>
        <w:tc>
          <w:tcPr>
            <w:tcW w:w="6843" w:type="dxa"/>
            <w:gridSpan w:val="3"/>
            <w:noWrap w:val="0"/>
            <w:vAlign w:val="top"/>
          </w:tcPr>
          <w:p w14:paraId="47ADD7A6">
            <w:pPr>
              <w:spacing w:line="400" w:lineRule="exact"/>
              <w:jc w:val="center"/>
              <w:rPr>
                <w:rFonts w:hint="eastAsia" w:ascii="宋体" w:hAnsi="宋体" w:cs="宋体"/>
                <w:color w:val="auto"/>
                <w:sz w:val="24"/>
                <w:szCs w:val="24"/>
              </w:rPr>
            </w:pPr>
          </w:p>
        </w:tc>
      </w:tr>
    </w:tbl>
    <w:p w14:paraId="3D30588C">
      <w:pPr>
        <w:spacing w:line="400" w:lineRule="exact"/>
        <w:rPr>
          <w:rFonts w:hint="eastAsia" w:ascii="宋体" w:hAnsi="宋体" w:cs="宋体"/>
          <w:color w:val="auto"/>
          <w:sz w:val="24"/>
        </w:rPr>
      </w:pPr>
      <w:r>
        <w:rPr>
          <w:rFonts w:hint="eastAsia" w:ascii="宋体" w:hAnsi="宋体" w:cs="宋体"/>
          <w:color w:val="auto"/>
          <w:sz w:val="24"/>
        </w:rPr>
        <w:t>注：每个工程一表</w:t>
      </w:r>
    </w:p>
    <w:p w14:paraId="4ACD04E3">
      <w:pPr>
        <w:spacing w:line="400" w:lineRule="exact"/>
        <w:rPr>
          <w:rFonts w:hint="eastAsia" w:ascii="宋体" w:hAnsi="宋体" w:cs="宋体"/>
          <w:color w:val="auto"/>
          <w:sz w:val="24"/>
        </w:rPr>
      </w:pPr>
    </w:p>
    <w:p w14:paraId="67198BF8">
      <w:pPr>
        <w:spacing w:line="400" w:lineRule="exact"/>
        <w:rPr>
          <w:rFonts w:hint="eastAsia" w:ascii="宋体" w:hAnsi="宋体" w:cs="宋体"/>
          <w:color w:val="auto"/>
          <w:sz w:val="24"/>
        </w:rPr>
      </w:pPr>
    </w:p>
    <w:p w14:paraId="69AF6BD8">
      <w:pPr>
        <w:spacing w:line="400" w:lineRule="exact"/>
        <w:rPr>
          <w:rFonts w:hint="eastAsia" w:ascii="宋体" w:hAnsi="宋体" w:cs="宋体"/>
          <w:color w:val="auto"/>
          <w:sz w:val="24"/>
        </w:rPr>
      </w:pPr>
    </w:p>
    <w:p w14:paraId="172F3CE3">
      <w:pPr>
        <w:spacing w:line="400" w:lineRule="exact"/>
        <w:rPr>
          <w:rFonts w:hint="eastAsia" w:ascii="宋体" w:hAnsi="宋体" w:cs="宋体"/>
          <w:color w:val="auto"/>
          <w:sz w:val="24"/>
        </w:rPr>
      </w:pPr>
    </w:p>
    <w:p w14:paraId="0B607AA4">
      <w:pPr>
        <w:spacing w:line="400" w:lineRule="exact"/>
        <w:rPr>
          <w:rFonts w:hint="eastAsia" w:ascii="宋体" w:hAnsi="宋体" w:cs="宋体"/>
          <w:color w:val="auto"/>
          <w:sz w:val="24"/>
        </w:rPr>
      </w:pPr>
    </w:p>
    <w:p w14:paraId="18031EF7">
      <w:pPr>
        <w:spacing w:line="400" w:lineRule="exact"/>
        <w:rPr>
          <w:rFonts w:hint="eastAsia" w:ascii="宋体" w:hAnsi="宋体" w:cs="宋体"/>
          <w:color w:val="auto"/>
          <w:sz w:val="24"/>
        </w:rPr>
      </w:pPr>
    </w:p>
    <w:p w14:paraId="767ACBC2">
      <w:pPr>
        <w:spacing w:line="400" w:lineRule="exact"/>
        <w:rPr>
          <w:rFonts w:hint="eastAsia" w:ascii="宋体" w:hAnsi="宋体" w:cs="宋体"/>
          <w:color w:val="auto"/>
          <w:sz w:val="24"/>
        </w:rPr>
      </w:pPr>
    </w:p>
    <w:p w14:paraId="1247AFA4">
      <w:pPr>
        <w:spacing w:line="400" w:lineRule="exact"/>
        <w:rPr>
          <w:rFonts w:hint="eastAsia" w:ascii="宋体" w:hAnsi="宋体" w:cs="宋体"/>
          <w:color w:val="auto"/>
          <w:sz w:val="24"/>
        </w:rPr>
      </w:pPr>
    </w:p>
    <w:p w14:paraId="252B57B3">
      <w:pPr>
        <w:spacing w:line="400" w:lineRule="exact"/>
        <w:rPr>
          <w:rFonts w:hint="eastAsia" w:ascii="宋体" w:hAnsi="宋体" w:cs="宋体"/>
          <w:color w:val="auto"/>
          <w:sz w:val="24"/>
        </w:rPr>
      </w:pPr>
    </w:p>
    <w:p w14:paraId="62977CE3">
      <w:pPr>
        <w:spacing w:line="400" w:lineRule="exact"/>
        <w:rPr>
          <w:rFonts w:hint="eastAsia" w:ascii="宋体" w:hAnsi="宋体" w:cs="宋体"/>
          <w:color w:val="auto"/>
          <w:sz w:val="24"/>
        </w:rPr>
      </w:pPr>
    </w:p>
    <w:p w14:paraId="23B374F6">
      <w:pPr>
        <w:spacing w:line="400" w:lineRule="exact"/>
        <w:rPr>
          <w:rFonts w:hint="eastAsia" w:ascii="宋体" w:hAnsi="宋体" w:cs="宋体"/>
          <w:color w:val="auto"/>
          <w:sz w:val="24"/>
        </w:rPr>
      </w:pPr>
    </w:p>
    <w:p w14:paraId="20015744">
      <w:pPr>
        <w:spacing w:line="400" w:lineRule="exact"/>
        <w:rPr>
          <w:rFonts w:hint="eastAsia" w:ascii="宋体" w:hAnsi="宋体" w:cs="宋体"/>
          <w:color w:val="auto"/>
          <w:sz w:val="24"/>
        </w:rPr>
      </w:pPr>
    </w:p>
    <w:p w14:paraId="5E6C4346">
      <w:pPr>
        <w:spacing w:line="400" w:lineRule="exact"/>
        <w:rPr>
          <w:rFonts w:hint="eastAsia" w:ascii="宋体" w:hAnsi="宋体" w:cs="宋体"/>
          <w:color w:val="auto"/>
          <w:sz w:val="24"/>
        </w:rPr>
      </w:pPr>
    </w:p>
    <w:p w14:paraId="46C7E36D">
      <w:pPr>
        <w:spacing w:line="360" w:lineRule="auto"/>
        <w:jc w:val="center"/>
        <w:rPr>
          <w:rFonts w:hint="eastAsia" w:ascii="宋体" w:hAnsi="宋体" w:eastAsia="宋体" w:cs="Times New Roman"/>
          <w:b/>
          <w:color w:val="auto"/>
          <w:kern w:val="2"/>
          <w:sz w:val="28"/>
          <w:szCs w:val="28"/>
          <w:lang w:val="en-US" w:eastAsia="zh-CN" w:bidi="ar-SA"/>
        </w:rPr>
      </w:pPr>
      <w:r>
        <w:rPr>
          <w:rFonts w:hint="eastAsia" w:ascii="宋体" w:hAnsi="宋体" w:eastAsia="宋体" w:cs="Times New Roman"/>
          <w:b/>
          <w:color w:val="auto"/>
          <w:kern w:val="2"/>
          <w:sz w:val="28"/>
          <w:szCs w:val="28"/>
          <w:lang w:val="en-US" w:eastAsia="zh-CN" w:bidi="ar-SA"/>
        </w:rPr>
        <w:t>总监理工程师目前正在监理的工程一览表</w:t>
      </w:r>
    </w:p>
    <w:p w14:paraId="670426D2">
      <w:pPr>
        <w:spacing w:line="400" w:lineRule="exact"/>
        <w:rPr>
          <w:rFonts w:hint="eastAsia" w:ascii="宋体" w:hAnsi="宋体" w:cs="宋体"/>
          <w:b/>
          <w:color w:val="auto"/>
          <w:sz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14:paraId="206C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78B8E212">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工程名称</w:t>
            </w:r>
          </w:p>
        </w:tc>
        <w:tc>
          <w:tcPr>
            <w:tcW w:w="6560" w:type="dxa"/>
            <w:gridSpan w:val="3"/>
            <w:noWrap w:val="0"/>
            <w:vAlign w:val="top"/>
          </w:tcPr>
          <w:p w14:paraId="1176F0FD">
            <w:pPr>
              <w:spacing w:line="400" w:lineRule="exact"/>
              <w:jc w:val="center"/>
              <w:rPr>
                <w:rFonts w:hint="eastAsia" w:ascii="宋体" w:hAnsi="宋体" w:cs="宋体"/>
                <w:color w:val="auto"/>
                <w:sz w:val="24"/>
                <w:szCs w:val="24"/>
              </w:rPr>
            </w:pPr>
          </w:p>
        </w:tc>
      </w:tr>
      <w:tr w14:paraId="28E3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4E8D3E5F">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项目地点</w:t>
            </w:r>
          </w:p>
        </w:tc>
        <w:tc>
          <w:tcPr>
            <w:tcW w:w="6560" w:type="dxa"/>
            <w:gridSpan w:val="3"/>
            <w:noWrap w:val="0"/>
            <w:vAlign w:val="top"/>
          </w:tcPr>
          <w:p w14:paraId="098EA56B">
            <w:pPr>
              <w:spacing w:line="400" w:lineRule="exact"/>
              <w:jc w:val="center"/>
              <w:rPr>
                <w:rFonts w:hint="eastAsia" w:ascii="宋体" w:hAnsi="宋体" w:cs="宋体"/>
                <w:color w:val="auto"/>
                <w:sz w:val="24"/>
                <w:szCs w:val="24"/>
              </w:rPr>
            </w:pPr>
          </w:p>
        </w:tc>
      </w:tr>
      <w:tr w14:paraId="68C0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5E763586">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工程规模</w:t>
            </w:r>
          </w:p>
        </w:tc>
        <w:tc>
          <w:tcPr>
            <w:tcW w:w="6560" w:type="dxa"/>
            <w:gridSpan w:val="3"/>
            <w:noWrap w:val="0"/>
            <w:vAlign w:val="top"/>
          </w:tcPr>
          <w:p w14:paraId="117C8550">
            <w:pPr>
              <w:spacing w:line="400" w:lineRule="exact"/>
              <w:jc w:val="center"/>
              <w:rPr>
                <w:rFonts w:hint="eastAsia" w:ascii="宋体" w:hAnsi="宋体" w:cs="宋体"/>
                <w:color w:val="auto"/>
                <w:sz w:val="24"/>
                <w:szCs w:val="24"/>
              </w:rPr>
            </w:pPr>
          </w:p>
        </w:tc>
      </w:tr>
      <w:tr w14:paraId="251C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657D34BB">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工程等级</w:t>
            </w:r>
          </w:p>
        </w:tc>
        <w:tc>
          <w:tcPr>
            <w:tcW w:w="2700" w:type="dxa"/>
            <w:noWrap w:val="0"/>
            <w:vAlign w:val="top"/>
          </w:tcPr>
          <w:p w14:paraId="5629E169">
            <w:pPr>
              <w:spacing w:line="400" w:lineRule="exact"/>
              <w:jc w:val="center"/>
              <w:rPr>
                <w:rFonts w:hint="eastAsia" w:ascii="宋体" w:hAnsi="宋体" w:cs="宋体"/>
                <w:color w:val="auto"/>
                <w:sz w:val="24"/>
                <w:szCs w:val="24"/>
              </w:rPr>
            </w:pPr>
          </w:p>
        </w:tc>
        <w:tc>
          <w:tcPr>
            <w:tcW w:w="1849" w:type="dxa"/>
            <w:noWrap w:val="0"/>
            <w:vAlign w:val="top"/>
          </w:tcPr>
          <w:p w14:paraId="439B1DAD">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工程造价</w:t>
            </w:r>
          </w:p>
        </w:tc>
        <w:tc>
          <w:tcPr>
            <w:tcW w:w="2011" w:type="dxa"/>
            <w:noWrap w:val="0"/>
            <w:vAlign w:val="top"/>
          </w:tcPr>
          <w:p w14:paraId="041AC9BA">
            <w:pPr>
              <w:spacing w:line="400" w:lineRule="exact"/>
              <w:jc w:val="center"/>
              <w:rPr>
                <w:rFonts w:hint="eastAsia" w:ascii="宋体" w:hAnsi="宋体" w:cs="宋体"/>
                <w:color w:val="auto"/>
                <w:sz w:val="24"/>
                <w:szCs w:val="24"/>
              </w:rPr>
            </w:pPr>
          </w:p>
        </w:tc>
      </w:tr>
      <w:tr w14:paraId="57EB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00818C0A">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开工日期</w:t>
            </w:r>
          </w:p>
        </w:tc>
        <w:tc>
          <w:tcPr>
            <w:tcW w:w="2700" w:type="dxa"/>
            <w:noWrap w:val="0"/>
            <w:vAlign w:val="top"/>
          </w:tcPr>
          <w:p w14:paraId="76FEAEB1">
            <w:pPr>
              <w:spacing w:line="400" w:lineRule="exact"/>
              <w:jc w:val="center"/>
              <w:rPr>
                <w:rFonts w:hint="eastAsia" w:ascii="宋体" w:hAnsi="宋体" w:cs="宋体"/>
                <w:color w:val="auto"/>
                <w:sz w:val="24"/>
                <w:szCs w:val="24"/>
              </w:rPr>
            </w:pPr>
          </w:p>
        </w:tc>
        <w:tc>
          <w:tcPr>
            <w:tcW w:w="1849" w:type="dxa"/>
            <w:noWrap w:val="0"/>
            <w:vAlign w:val="top"/>
          </w:tcPr>
          <w:p w14:paraId="0BD5609E">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预计完工时间</w:t>
            </w:r>
          </w:p>
        </w:tc>
        <w:tc>
          <w:tcPr>
            <w:tcW w:w="2011" w:type="dxa"/>
            <w:noWrap w:val="0"/>
            <w:vAlign w:val="top"/>
          </w:tcPr>
          <w:p w14:paraId="54A8B49B">
            <w:pPr>
              <w:spacing w:line="400" w:lineRule="exact"/>
              <w:jc w:val="center"/>
              <w:rPr>
                <w:rFonts w:hint="eastAsia" w:ascii="宋体" w:hAnsi="宋体" w:cs="宋体"/>
                <w:color w:val="auto"/>
                <w:sz w:val="24"/>
                <w:szCs w:val="24"/>
              </w:rPr>
            </w:pPr>
          </w:p>
        </w:tc>
      </w:tr>
      <w:tr w14:paraId="0DDA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08D8A4F4">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结构形式</w:t>
            </w:r>
          </w:p>
        </w:tc>
        <w:tc>
          <w:tcPr>
            <w:tcW w:w="2700" w:type="dxa"/>
            <w:noWrap w:val="0"/>
            <w:vAlign w:val="top"/>
          </w:tcPr>
          <w:p w14:paraId="2C5CEDD9">
            <w:pPr>
              <w:spacing w:line="400" w:lineRule="exact"/>
              <w:jc w:val="center"/>
              <w:rPr>
                <w:rFonts w:hint="eastAsia" w:ascii="宋体" w:hAnsi="宋体" w:cs="宋体"/>
                <w:color w:val="auto"/>
                <w:sz w:val="24"/>
                <w:szCs w:val="24"/>
              </w:rPr>
            </w:pPr>
          </w:p>
        </w:tc>
        <w:tc>
          <w:tcPr>
            <w:tcW w:w="1849" w:type="dxa"/>
            <w:noWrap w:val="0"/>
            <w:vAlign w:val="top"/>
          </w:tcPr>
          <w:p w14:paraId="75495745">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监理人员总数</w:t>
            </w:r>
          </w:p>
        </w:tc>
        <w:tc>
          <w:tcPr>
            <w:tcW w:w="2011" w:type="dxa"/>
            <w:noWrap w:val="0"/>
            <w:vAlign w:val="top"/>
          </w:tcPr>
          <w:p w14:paraId="21E336AA">
            <w:pPr>
              <w:spacing w:line="400" w:lineRule="exact"/>
              <w:jc w:val="center"/>
              <w:rPr>
                <w:rFonts w:hint="eastAsia" w:ascii="宋体" w:hAnsi="宋体" w:cs="宋体"/>
                <w:color w:val="auto"/>
                <w:sz w:val="24"/>
                <w:szCs w:val="24"/>
              </w:rPr>
            </w:pPr>
          </w:p>
        </w:tc>
      </w:tr>
      <w:tr w14:paraId="4235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val="0"/>
            <w:vAlign w:val="top"/>
          </w:tcPr>
          <w:p w14:paraId="41C9A24D">
            <w:pPr>
              <w:spacing w:line="400" w:lineRule="exact"/>
              <w:rPr>
                <w:rFonts w:hint="eastAsia" w:ascii="宋体" w:hAnsi="宋体" w:cs="宋体"/>
                <w:color w:val="auto"/>
                <w:sz w:val="24"/>
                <w:szCs w:val="24"/>
              </w:rPr>
            </w:pPr>
            <w:r>
              <w:rPr>
                <w:rFonts w:hint="eastAsia" w:ascii="宋体" w:hAnsi="宋体" w:cs="宋体"/>
                <w:color w:val="auto"/>
                <w:sz w:val="24"/>
                <w:szCs w:val="24"/>
              </w:rPr>
              <w:t>监理主要内容：</w:t>
            </w:r>
          </w:p>
          <w:p w14:paraId="216BD07A">
            <w:pPr>
              <w:spacing w:line="400" w:lineRule="exact"/>
              <w:rPr>
                <w:rFonts w:hint="eastAsia" w:ascii="宋体" w:hAnsi="宋体" w:cs="宋体"/>
                <w:color w:val="auto"/>
                <w:sz w:val="24"/>
                <w:szCs w:val="24"/>
              </w:rPr>
            </w:pPr>
          </w:p>
          <w:p w14:paraId="1BF3BD47">
            <w:pPr>
              <w:spacing w:line="400" w:lineRule="exact"/>
              <w:rPr>
                <w:rFonts w:hint="eastAsia" w:ascii="宋体" w:hAnsi="宋体" w:cs="宋体"/>
                <w:color w:val="auto"/>
                <w:sz w:val="24"/>
                <w:szCs w:val="24"/>
              </w:rPr>
            </w:pPr>
          </w:p>
          <w:p w14:paraId="27BC0570">
            <w:pPr>
              <w:spacing w:line="400" w:lineRule="exact"/>
              <w:rPr>
                <w:rFonts w:hint="eastAsia" w:ascii="宋体" w:hAnsi="宋体" w:cs="宋体"/>
                <w:color w:val="auto"/>
                <w:sz w:val="24"/>
                <w:szCs w:val="24"/>
              </w:rPr>
            </w:pPr>
          </w:p>
          <w:p w14:paraId="0891050C">
            <w:pPr>
              <w:spacing w:line="400" w:lineRule="exact"/>
              <w:rPr>
                <w:rFonts w:hint="eastAsia" w:ascii="宋体" w:hAnsi="宋体" w:cs="宋体"/>
                <w:color w:val="auto"/>
                <w:sz w:val="24"/>
                <w:szCs w:val="24"/>
              </w:rPr>
            </w:pPr>
          </w:p>
          <w:p w14:paraId="5F6B028B">
            <w:pPr>
              <w:spacing w:line="400" w:lineRule="exact"/>
              <w:rPr>
                <w:rFonts w:hint="eastAsia" w:ascii="宋体" w:hAnsi="宋体" w:cs="宋体"/>
                <w:color w:val="auto"/>
                <w:sz w:val="24"/>
                <w:szCs w:val="24"/>
              </w:rPr>
            </w:pPr>
          </w:p>
        </w:tc>
      </w:tr>
      <w:tr w14:paraId="309D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1B304915">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设计单位</w:t>
            </w:r>
          </w:p>
        </w:tc>
        <w:tc>
          <w:tcPr>
            <w:tcW w:w="6560" w:type="dxa"/>
            <w:gridSpan w:val="3"/>
            <w:noWrap w:val="0"/>
            <w:vAlign w:val="top"/>
          </w:tcPr>
          <w:p w14:paraId="29E458D0">
            <w:pPr>
              <w:tabs>
                <w:tab w:val="left" w:pos="1485"/>
              </w:tabs>
              <w:spacing w:line="400" w:lineRule="exact"/>
              <w:rPr>
                <w:rFonts w:hint="eastAsia" w:ascii="宋体" w:hAnsi="宋体" w:cs="宋体"/>
                <w:color w:val="auto"/>
                <w:sz w:val="24"/>
                <w:szCs w:val="24"/>
              </w:rPr>
            </w:pPr>
            <w:r>
              <w:rPr>
                <w:rFonts w:ascii="宋体" w:hAnsi="宋体" w:cs="宋体"/>
                <w:color w:val="auto"/>
                <w:sz w:val="24"/>
                <w:szCs w:val="24"/>
              </w:rPr>
              <w:tab/>
            </w:r>
          </w:p>
        </w:tc>
      </w:tr>
      <w:tr w14:paraId="5FFD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14:paraId="109DE1BA">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施工单位</w:t>
            </w:r>
          </w:p>
        </w:tc>
        <w:tc>
          <w:tcPr>
            <w:tcW w:w="6560" w:type="dxa"/>
            <w:gridSpan w:val="3"/>
            <w:noWrap w:val="0"/>
            <w:vAlign w:val="top"/>
          </w:tcPr>
          <w:p w14:paraId="7B37652B">
            <w:pPr>
              <w:spacing w:line="400" w:lineRule="exact"/>
              <w:jc w:val="center"/>
              <w:rPr>
                <w:rFonts w:hint="eastAsia" w:ascii="宋体" w:hAnsi="宋体" w:cs="宋体"/>
                <w:color w:val="auto"/>
                <w:sz w:val="24"/>
                <w:szCs w:val="24"/>
              </w:rPr>
            </w:pPr>
          </w:p>
        </w:tc>
      </w:tr>
      <w:tr w14:paraId="5FE0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val="0"/>
            <w:vAlign w:val="top"/>
          </w:tcPr>
          <w:p w14:paraId="60282484">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业</w:t>
            </w:r>
          </w:p>
          <w:p w14:paraId="36D71B84">
            <w:pPr>
              <w:spacing w:line="400" w:lineRule="exact"/>
              <w:jc w:val="center"/>
              <w:rPr>
                <w:rFonts w:hint="eastAsia" w:ascii="宋体" w:hAnsi="宋体" w:cs="宋体"/>
                <w:color w:val="auto"/>
                <w:sz w:val="24"/>
                <w:szCs w:val="24"/>
              </w:rPr>
            </w:pPr>
          </w:p>
          <w:p w14:paraId="2AE2244C">
            <w:pPr>
              <w:spacing w:line="400" w:lineRule="exact"/>
              <w:jc w:val="center"/>
              <w:rPr>
                <w:rFonts w:hint="eastAsia" w:ascii="宋体" w:hAnsi="宋体" w:cs="宋体"/>
                <w:color w:val="auto"/>
                <w:sz w:val="24"/>
                <w:szCs w:val="24"/>
              </w:rPr>
            </w:pPr>
          </w:p>
          <w:p w14:paraId="45A40146">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主</w:t>
            </w:r>
          </w:p>
        </w:tc>
        <w:tc>
          <w:tcPr>
            <w:tcW w:w="1980" w:type="dxa"/>
            <w:noWrap w:val="0"/>
            <w:vAlign w:val="top"/>
          </w:tcPr>
          <w:p w14:paraId="32938946">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单位名称</w:t>
            </w:r>
          </w:p>
        </w:tc>
        <w:tc>
          <w:tcPr>
            <w:tcW w:w="6560" w:type="dxa"/>
            <w:gridSpan w:val="3"/>
            <w:noWrap w:val="0"/>
            <w:vAlign w:val="top"/>
          </w:tcPr>
          <w:p w14:paraId="7863CD52">
            <w:pPr>
              <w:spacing w:line="400" w:lineRule="exact"/>
              <w:jc w:val="center"/>
              <w:rPr>
                <w:rFonts w:hint="eastAsia" w:ascii="宋体" w:hAnsi="宋体" w:cs="宋体"/>
                <w:color w:val="auto"/>
                <w:sz w:val="24"/>
                <w:szCs w:val="24"/>
              </w:rPr>
            </w:pPr>
          </w:p>
        </w:tc>
      </w:tr>
      <w:tr w14:paraId="56F2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14:paraId="5D5175B4">
            <w:pPr>
              <w:spacing w:line="400" w:lineRule="exact"/>
              <w:jc w:val="center"/>
              <w:rPr>
                <w:rFonts w:hint="eastAsia" w:ascii="宋体" w:hAnsi="宋体" w:cs="宋体"/>
                <w:color w:val="auto"/>
                <w:sz w:val="24"/>
                <w:szCs w:val="24"/>
              </w:rPr>
            </w:pPr>
          </w:p>
        </w:tc>
        <w:tc>
          <w:tcPr>
            <w:tcW w:w="1980" w:type="dxa"/>
            <w:noWrap w:val="0"/>
            <w:vAlign w:val="top"/>
          </w:tcPr>
          <w:p w14:paraId="51C9E7F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单位地址</w:t>
            </w:r>
          </w:p>
        </w:tc>
        <w:tc>
          <w:tcPr>
            <w:tcW w:w="6560" w:type="dxa"/>
            <w:gridSpan w:val="3"/>
            <w:noWrap w:val="0"/>
            <w:vAlign w:val="top"/>
          </w:tcPr>
          <w:p w14:paraId="487BC6A7">
            <w:pPr>
              <w:spacing w:line="400" w:lineRule="exact"/>
              <w:jc w:val="center"/>
              <w:rPr>
                <w:rFonts w:hint="eastAsia" w:ascii="宋体" w:hAnsi="宋体" w:cs="宋体"/>
                <w:color w:val="auto"/>
                <w:sz w:val="24"/>
                <w:szCs w:val="24"/>
              </w:rPr>
            </w:pPr>
          </w:p>
        </w:tc>
      </w:tr>
      <w:tr w14:paraId="4749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14:paraId="609EC80B">
            <w:pPr>
              <w:spacing w:line="400" w:lineRule="exact"/>
              <w:jc w:val="center"/>
              <w:rPr>
                <w:rFonts w:hint="eastAsia" w:ascii="宋体" w:hAnsi="宋体" w:cs="宋体"/>
                <w:color w:val="auto"/>
                <w:sz w:val="24"/>
                <w:szCs w:val="24"/>
              </w:rPr>
            </w:pPr>
          </w:p>
        </w:tc>
        <w:tc>
          <w:tcPr>
            <w:tcW w:w="1980" w:type="dxa"/>
            <w:noWrap w:val="0"/>
            <w:vAlign w:val="top"/>
          </w:tcPr>
          <w:p w14:paraId="452299D4">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联 系 人</w:t>
            </w:r>
          </w:p>
        </w:tc>
        <w:tc>
          <w:tcPr>
            <w:tcW w:w="6560" w:type="dxa"/>
            <w:gridSpan w:val="3"/>
            <w:noWrap w:val="0"/>
            <w:vAlign w:val="top"/>
          </w:tcPr>
          <w:p w14:paraId="071E19BE">
            <w:pPr>
              <w:spacing w:line="400" w:lineRule="exact"/>
              <w:jc w:val="center"/>
              <w:rPr>
                <w:rFonts w:hint="eastAsia" w:ascii="宋体" w:hAnsi="宋体" w:cs="宋体"/>
                <w:color w:val="auto"/>
                <w:sz w:val="24"/>
                <w:szCs w:val="24"/>
              </w:rPr>
            </w:pPr>
          </w:p>
        </w:tc>
      </w:tr>
      <w:tr w14:paraId="4DAB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14:paraId="4E960CDE">
            <w:pPr>
              <w:spacing w:line="400" w:lineRule="exact"/>
              <w:jc w:val="center"/>
              <w:rPr>
                <w:rFonts w:hint="eastAsia" w:ascii="宋体" w:hAnsi="宋体" w:cs="宋体"/>
                <w:color w:val="auto"/>
                <w:sz w:val="24"/>
                <w:szCs w:val="24"/>
              </w:rPr>
            </w:pPr>
          </w:p>
        </w:tc>
        <w:tc>
          <w:tcPr>
            <w:tcW w:w="1980" w:type="dxa"/>
            <w:noWrap w:val="0"/>
            <w:vAlign w:val="top"/>
          </w:tcPr>
          <w:p w14:paraId="3D06C81C">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6560" w:type="dxa"/>
            <w:gridSpan w:val="3"/>
            <w:noWrap w:val="0"/>
            <w:vAlign w:val="top"/>
          </w:tcPr>
          <w:p w14:paraId="355BAB79">
            <w:pPr>
              <w:spacing w:line="400" w:lineRule="exact"/>
              <w:jc w:val="center"/>
              <w:rPr>
                <w:rFonts w:hint="eastAsia" w:ascii="宋体" w:hAnsi="宋体" w:cs="宋体"/>
                <w:color w:val="auto"/>
                <w:sz w:val="24"/>
                <w:szCs w:val="24"/>
              </w:rPr>
            </w:pPr>
          </w:p>
        </w:tc>
      </w:tr>
      <w:tr w14:paraId="030C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val="0"/>
            <w:vAlign w:val="top"/>
          </w:tcPr>
          <w:p w14:paraId="120C417E">
            <w:pPr>
              <w:spacing w:line="400" w:lineRule="exact"/>
              <w:jc w:val="center"/>
              <w:rPr>
                <w:rFonts w:hint="eastAsia" w:ascii="宋体" w:hAnsi="宋体" w:cs="宋体"/>
                <w:color w:val="auto"/>
                <w:sz w:val="24"/>
                <w:szCs w:val="24"/>
              </w:rPr>
            </w:pPr>
          </w:p>
        </w:tc>
        <w:tc>
          <w:tcPr>
            <w:tcW w:w="1980" w:type="dxa"/>
            <w:noWrap w:val="0"/>
            <w:vAlign w:val="top"/>
          </w:tcPr>
          <w:p w14:paraId="4E29EB95">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传真号码</w:t>
            </w:r>
          </w:p>
        </w:tc>
        <w:tc>
          <w:tcPr>
            <w:tcW w:w="6560" w:type="dxa"/>
            <w:gridSpan w:val="3"/>
            <w:noWrap w:val="0"/>
            <w:vAlign w:val="top"/>
          </w:tcPr>
          <w:p w14:paraId="5522C493">
            <w:pPr>
              <w:spacing w:line="400" w:lineRule="exact"/>
              <w:jc w:val="center"/>
              <w:rPr>
                <w:rFonts w:hint="eastAsia" w:ascii="宋体" w:hAnsi="宋体" w:cs="宋体"/>
                <w:color w:val="auto"/>
                <w:sz w:val="24"/>
                <w:szCs w:val="24"/>
              </w:rPr>
            </w:pPr>
          </w:p>
        </w:tc>
      </w:tr>
    </w:tbl>
    <w:p w14:paraId="238D3A9D">
      <w:pPr>
        <w:spacing w:line="400" w:lineRule="exact"/>
        <w:rPr>
          <w:rFonts w:hint="eastAsia" w:ascii="宋体" w:hAnsi="宋体" w:cs="宋体"/>
          <w:color w:val="auto"/>
          <w:sz w:val="24"/>
        </w:rPr>
      </w:pPr>
      <w:r>
        <w:rPr>
          <w:rFonts w:hint="eastAsia" w:ascii="宋体" w:hAnsi="宋体" w:cs="宋体"/>
          <w:color w:val="auto"/>
          <w:sz w:val="24"/>
        </w:rPr>
        <w:t>注：每个工程一表</w:t>
      </w:r>
    </w:p>
    <w:p w14:paraId="7946121C">
      <w:pPr>
        <w:spacing w:line="360" w:lineRule="auto"/>
        <w:jc w:val="center"/>
        <w:rPr>
          <w:rFonts w:cs="宋体" w:asciiTheme="minorEastAsia" w:hAnsiTheme="minorEastAsia" w:eastAsiaTheme="minorEastAsia"/>
          <w:b/>
          <w:color w:val="auto"/>
          <w:sz w:val="28"/>
          <w:szCs w:val="18"/>
          <w:highlight w:val="none"/>
        </w:rPr>
      </w:pPr>
      <w:r>
        <w:rPr>
          <w:rFonts w:hint="eastAsia" w:ascii="宋体" w:hAnsi="宋体" w:cs="宋体"/>
          <w:color w:val="auto"/>
          <w:sz w:val="24"/>
        </w:rPr>
        <w:br w:type="page"/>
      </w:r>
      <w:r>
        <w:rPr>
          <w:rFonts w:hint="eastAsia" w:cs="宋体" w:asciiTheme="minorEastAsia" w:hAnsiTheme="minorEastAsia" w:eastAsiaTheme="minorEastAsia"/>
          <w:b/>
          <w:color w:val="auto"/>
          <w:sz w:val="28"/>
          <w:szCs w:val="18"/>
          <w:highlight w:val="none"/>
        </w:rPr>
        <w:t>投入此次招标工程检测仪器、设备汇总表</w:t>
      </w:r>
    </w:p>
    <w:p w14:paraId="428C3BF0">
      <w:pPr>
        <w:spacing w:line="360" w:lineRule="auto"/>
        <w:jc w:val="center"/>
        <w:rPr>
          <w:rFonts w:cs="宋体" w:asciiTheme="minorEastAsia" w:hAnsiTheme="minorEastAsia" w:eastAsiaTheme="minorEastAsia"/>
          <w:b/>
          <w:color w:val="auto"/>
          <w:sz w:val="36"/>
          <w:highlight w:val="none"/>
        </w:rPr>
      </w:pPr>
    </w:p>
    <w:p w14:paraId="5A20198B">
      <w:pPr>
        <w:spacing w:line="360" w:lineRule="auto"/>
        <w:ind w:firstLine="361" w:firstLineChars="1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工程名称：</w:t>
      </w:r>
    </w:p>
    <w:tbl>
      <w:tblPr>
        <w:tblStyle w:val="21"/>
        <w:tblW w:w="903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1559"/>
        <w:gridCol w:w="850"/>
        <w:gridCol w:w="1418"/>
        <w:gridCol w:w="1276"/>
        <w:gridCol w:w="1134"/>
      </w:tblGrid>
      <w:tr w14:paraId="5282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top w:val="single" w:color="auto" w:sz="12" w:space="0"/>
              <w:left w:val="single" w:color="auto" w:sz="12" w:space="0"/>
              <w:bottom w:val="single" w:color="auto" w:sz="12" w:space="0"/>
            </w:tcBorders>
            <w:vAlign w:val="center"/>
          </w:tcPr>
          <w:p w14:paraId="3345E970">
            <w:pPr>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985" w:type="dxa"/>
            <w:tcBorders>
              <w:top w:val="single" w:color="auto" w:sz="12" w:space="0"/>
              <w:bottom w:val="single" w:color="auto" w:sz="12" w:space="0"/>
            </w:tcBorders>
            <w:vAlign w:val="center"/>
          </w:tcPr>
          <w:p w14:paraId="0A63CD1B">
            <w:pPr>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仪器、设备名称</w:t>
            </w:r>
          </w:p>
        </w:tc>
        <w:tc>
          <w:tcPr>
            <w:tcW w:w="1559" w:type="dxa"/>
            <w:tcBorders>
              <w:top w:val="single" w:color="auto" w:sz="12" w:space="0"/>
              <w:bottom w:val="single" w:color="auto" w:sz="12" w:space="0"/>
            </w:tcBorders>
            <w:vAlign w:val="center"/>
          </w:tcPr>
          <w:p w14:paraId="777C1201">
            <w:pPr>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规格型号</w:t>
            </w:r>
          </w:p>
        </w:tc>
        <w:tc>
          <w:tcPr>
            <w:tcW w:w="850" w:type="dxa"/>
            <w:tcBorders>
              <w:top w:val="single" w:color="auto" w:sz="12" w:space="0"/>
              <w:bottom w:val="single" w:color="auto" w:sz="12" w:space="0"/>
            </w:tcBorders>
            <w:vAlign w:val="center"/>
          </w:tcPr>
          <w:p w14:paraId="7CDF9DDE">
            <w:pPr>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数量</w:t>
            </w:r>
          </w:p>
        </w:tc>
        <w:tc>
          <w:tcPr>
            <w:tcW w:w="1418" w:type="dxa"/>
            <w:tcBorders>
              <w:top w:val="single" w:color="auto" w:sz="12" w:space="0"/>
              <w:bottom w:val="single" w:color="auto" w:sz="12" w:space="0"/>
            </w:tcBorders>
            <w:vAlign w:val="center"/>
          </w:tcPr>
          <w:p w14:paraId="6D047AD5">
            <w:pPr>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使用情况</w:t>
            </w:r>
          </w:p>
        </w:tc>
        <w:tc>
          <w:tcPr>
            <w:tcW w:w="1276" w:type="dxa"/>
            <w:tcBorders>
              <w:top w:val="single" w:color="auto" w:sz="12" w:space="0"/>
              <w:bottom w:val="single" w:color="auto" w:sz="12" w:space="0"/>
            </w:tcBorders>
            <w:vAlign w:val="center"/>
          </w:tcPr>
          <w:p w14:paraId="1F294F4C">
            <w:pPr>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投入时间</w:t>
            </w:r>
          </w:p>
        </w:tc>
        <w:tc>
          <w:tcPr>
            <w:tcW w:w="1134" w:type="dxa"/>
            <w:tcBorders>
              <w:top w:val="single" w:color="auto" w:sz="12" w:space="0"/>
              <w:bottom w:val="single" w:color="auto" w:sz="12" w:space="0"/>
              <w:right w:val="single" w:color="auto" w:sz="12" w:space="0"/>
            </w:tcBorders>
            <w:vAlign w:val="center"/>
          </w:tcPr>
          <w:p w14:paraId="73ECEE87">
            <w:pPr>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w:t>
            </w:r>
          </w:p>
        </w:tc>
      </w:tr>
      <w:tr w14:paraId="1A08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top w:val="single" w:color="auto" w:sz="12" w:space="0"/>
              <w:left w:val="single" w:color="auto" w:sz="12" w:space="0"/>
            </w:tcBorders>
            <w:vAlign w:val="center"/>
          </w:tcPr>
          <w:p w14:paraId="0FF82328">
            <w:pPr>
              <w:spacing w:line="360" w:lineRule="auto"/>
              <w:jc w:val="left"/>
              <w:rPr>
                <w:rFonts w:cs="宋体" w:asciiTheme="minorEastAsia" w:hAnsiTheme="minorEastAsia" w:eastAsiaTheme="minorEastAsia"/>
                <w:color w:val="auto"/>
                <w:sz w:val="24"/>
                <w:highlight w:val="none"/>
              </w:rPr>
            </w:pPr>
          </w:p>
        </w:tc>
        <w:tc>
          <w:tcPr>
            <w:tcW w:w="1985" w:type="dxa"/>
            <w:tcBorders>
              <w:top w:val="single" w:color="auto" w:sz="12" w:space="0"/>
            </w:tcBorders>
            <w:vAlign w:val="center"/>
          </w:tcPr>
          <w:p w14:paraId="28FF027C">
            <w:pPr>
              <w:spacing w:line="360" w:lineRule="auto"/>
              <w:jc w:val="left"/>
              <w:rPr>
                <w:rFonts w:cs="宋体" w:asciiTheme="minorEastAsia" w:hAnsiTheme="minorEastAsia" w:eastAsiaTheme="minorEastAsia"/>
                <w:color w:val="auto"/>
                <w:sz w:val="24"/>
                <w:highlight w:val="none"/>
              </w:rPr>
            </w:pPr>
          </w:p>
        </w:tc>
        <w:tc>
          <w:tcPr>
            <w:tcW w:w="1559" w:type="dxa"/>
            <w:tcBorders>
              <w:top w:val="single" w:color="auto" w:sz="12" w:space="0"/>
            </w:tcBorders>
            <w:vAlign w:val="center"/>
          </w:tcPr>
          <w:p w14:paraId="56F28E5C">
            <w:pPr>
              <w:spacing w:line="360" w:lineRule="auto"/>
              <w:jc w:val="left"/>
              <w:rPr>
                <w:rFonts w:cs="宋体" w:asciiTheme="minorEastAsia" w:hAnsiTheme="minorEastAsia" w:eastAsiaTheme="minorEastAsia"/>
                <w:color w:val="auto"/>
                <w:sz w:val="24"/>
                <w:highlight w:val="none"/>
              </w:rPr>
            </w:pPr>
          </w:p>
        </w:tc>
        <w:tc>
          <w:tcPr>
            <w:tcW w:w="850" w:type="dxa"/>
            <w:tcBorders>
              <w:top w:val="single" w:color="auto" w:sz="12" w:space="0"/>
            </w:tcBorders>
            <w:vAlign w:val="center"/>
          </w:tcPr>
          <w:p w14:paraId="6C71303F">
            <w:pPr>
              <w:spacing w:line="360" w:lineRule="auto"/>
              <w:jc w:val="left"/>
              <w:rPr>
                <w:rFonts w:cs="宋体" w:asciiTheme="minorEastAsia" w:hAnsiTheme="minorEastAsia" w:eastAsiaTheme="minorEastAsia"/>
                <w:color w:val="auto"/>
                <w:sz w:val="24"/>
                <w:highlight w:val="none"/>
              </w:rPr>
            </w:pPr>
          </w:p>
        </w:tc>
        <w:tc>
          <w:tcPr>
            <w:tcW w:w="1418" w:type="dxa"/>
            <w:tcBorders>
              <w:top w:val="single" w:color="auto" w:sz="12" w:space="0"/>
            </w:tcBorders>
            <w:vAlign w:val="center"/>
          </w:tcPr>
          <w:p w14:paraId="46C11A11">
            <w:pPr>
              <w:spacing w:line="360" w:lineRule="auto"/>
              <w:jc w:val="left"/>
              <w:rPr>
                <w:rFonts w:cs="宋体" w:asciiTheme="minorEastAsia" w:hAnsiTheme="minorEastAsia" w:eastAsiaTheme="minorEastAsia"/>
                <w:color w:val="auto"/>
                <w:sz w:val="24"/>
                <w:highlight w:val="none"/>
              </w:rPr>
            </w:pPr>
          </w:p>
        </w:tc>
        <w:tc>
          <w:tcPr>
            <w:tcW w:w="1276" w:type="dxa"/>
            <w:tcBorders>
              <w:top w:val="single" w:color="auto" w:sz="12" w:space="0"/>
            </w:tcBorders>
            <w:vAlign w:val="center"/>
          </w:tcPr>
          <w:p w14:paraId="4D514201">
            <w:pPr>
              <w:spacing w:line="360" w:lineRule="auto"/>
              <w:jc w:val="left"/>
              <w:rPr>
                <w:rFonts w:cs="宋体" w:asciiTheme="minorEastAsia" w:hAnsiTheme="minorEastAsia" w:eastAsiaTheme="minorEastAsia"/>
                <w:color w:val="auto"/>
                <w:sz w:val="24"/>
                <w:highlight w:val="none"/>
              </w:rPr>
            </w:pPr>
          </w:p>
        </w:tc>
        <w:tc>
          <w:tcPr>
            <w:tcW w:w="1134" w:type="dxa"/>
            <w:tcBorders>
              <w:top w:val="single" w:color="auto" w:sz="12" w:space="0"/>
              <w:right w:val="single" w:color="auto" w:sz="12" w:space="0"/>
            </w:tcBorders>
            <w:vAlign w:val="center"/>
          </w:tcPr>
          <w:p w14:paraId="026EF594">
            <w:pPr>
              <w:spacing w:line="360" w:lineRule="auto"/>
              <w:jc w:val="left"/>
              <w:rPr>
                <w:rFonts w:cs="宋体" w:asciiTheme="minorEastAsia" w:hAnsiTheme="minorEastAsia" w:eastAsiaTheme="minorEastAsia"/>
                <w:color w:val="auto"/>
                <w:sz w:val="24"/>
                <w:highlight w:val="none"/>
              </w:rPr>
            </w:pPr>
          </w:p>
        </w:tc>
      </w:tr>
      <w:tr w14:paraId="0932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1B29CB66">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777FC541">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0DD291C8">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2ED49B25">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382D38BD">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53656942">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40340948">
            <w:pPr>
              <w:spacing w:line="360" w:lineRule="auto"/>
              <w:jc w:val="left"/>
              <w:rPr>
                <w:rFonts w:cs="宋体" w:asciiTheme="minorEastAsia" w:hAnsiTheme="minorEastAsia" w:eastAsiaTheme="minorEastAsia"/>
                <w:color w:val="auto"/>
                <w:sz w:val="24"/>
                <w:highlight w:val="none"/>
              </w:rPr>
            </w:pPr>
          </w:p>
        </w:tc>
      </w:tr>
      <w:tr w14:paraId="0887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59545080">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657A5704">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5219F22A">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503724ED">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6A7C81D8">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3457767F">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4ED34AB8">
            <w:pPr>
              <w:spacing w:line="360" w:lineRule="auto"/>
              <w:jc w:val="left"/>
              <w:rPr>
                <w:rFonts w:cs="宋体" w:asciiTheme="minorEastAsia" w:hAnsiTheme="minorEastAsia" w:eastAsiaTheme="minorEastAsia"/>
                <w:color w:val="auto"/>
                <w:sz w:val="24"/>
                <w:highlight w:val="none"/>
              </w:rPr>
            </w:pPr>
          </w:p>
        </w:tc>
      </w:tr>
      <w:tr w14:paraId="593A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6AE412EC">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795782EE">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5C1A45FB">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0403B947">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43797053">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224F2423">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2F47663A">
            <w:pPr>
              <w:spacing w:line="360" w:lineRule="auto"/>
              <w:jc w:val="left"/>
              <w:rPr>
                <w:rFonts w:cs="宋体" w:asciiTheme="minorEastAsia" w:hAnsiTheme="minorEastAsia" w:eastAsiaTheme="minorEastAsia"/>
                <w:color w:val="auto"/>
                <w:sz w:val="24"/>
                <w:highlight w:val="none"/>
              </w:rPr>
            </w:pPr>
          </w:p>
        </w:tc>
      </w:tr>
      <w:tr w14:paraId="7CF1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0B0B90A9">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71302F6E">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5578E345">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6D75E7E2">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6076D326">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2DBCD97C">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0291835C">
            <w:pPr>
              <w:spacing w:line="360" w:lineRule="auto"/>
              <w:jc w:val="left"/>
              <w:rPr>
                <w:rFonts w:cs="宋体" w:asciiTheme="minorEastAsia" w:hAnsiTheme="minorEastAsia" w:eastAsiaTheme="minorEastAsia"/>
                <w:color w:val="auto"/>
                <w:sz w:val="24"/>
                <w:highlight w:val="none"/>
              </w:rPr>
            </w:pPr>
          </w:p>
        </w:tc>
      </w:tr>
      <w:tr w14:paraId="1811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44564F41">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498A15E9">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54CE112D">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6EF1D223">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4FC31F5C">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792C39DC">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50CF66D2">
            <w:pPr>
              <w:spacing w:line="360" w:lineRule="auto"/>
              <w:jc w:val="left"/>
              <w:rPr>
                <w:rFonts w:cs="宋体" w:asciiTheme="minorEastAsia" w:hAnsiTheme="minorEastAsia" w:eastAsiaTheme="minorEastAsia"/>
                <w:color w:val="auto"/>
                <w:sz w:val="24"/>
                <w:highlight w:val="none"/>
              </w:rPr>
            </w:pPr>
          </w:p>
        </w:tc>
      </w:tr>
      <w:tr w14:paraId="5E0E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5A90A26E">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7016C00D">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4CBEAE13">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3804AF0E">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733EE716">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359E6593">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7D2C77E9">
            <w:pPr>
              <w:spacing w:line="360" w:lineRule="auto"/>
              <w:jc w:val="left"/>
              <w:rPr>
                <w:rFonts w:cs="宋体" w:asciiTheme="minorEastAsia" w:hAnsiTheme="minorEastAsia" w:eastAsiaTheme="minorEastAsia"/>
                <w:color w:val="auto"/>
                <w:sz w:val="24"/>
                <w:highlight w:val="none"/>
              </w:rPr>
            </w:pPr>
          </w:p>
        </w:tc>
      </w:tr>
      <w:tr w14:paraId="2F29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6A77F03B">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7B4AA9BE">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3BD6EE8B">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05C31CF0">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3A2F7365">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6640AE6D">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058CD711">
            <w:pPr>
              <w:spacing w:line="360" w:lineRule="auto"/>
              <w:jc w:val="left"/>
              <w:rPr>
                <w:rFonts w:cs="宋体" w:asciiTheme="minorEastAsia" w:hAnsiTheme="minorEastAsia" w:eastAsiaTheme="minorEastAsia"/>
                <w:color w:val="auto"/>
                <w:sz w:val="24"/>
                <w:highlight w:val="none"/>
              </w:rPr>
            </w:pPr>
          </w:p>
        </w:tc>
      </w:tr>
      <w:tr w14:paraId="6988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7798DDD7">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0FA67C9E">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0A8024EF">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0D67DE29">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435284F8">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73A8BA7D">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5DF109A8">
            <w:pPr>
              <w:spacing w:line="360" w:lineRule="auto"/>
              <w:jc w:val="left"/>
              <w:rPr>
                <w:rFonts w:cs="宋体" w:asciiTheme="minorEastAsia" w:hAnsiTheme="minorEastAsia" w:eastAsiaTheme="minorEastAsia"/>
                <w:color w:val="auto"/>
                <w:sz w:val="24"/>
                <w:highlight w:val="none"/>
              </w:rPr>
            </w:pPr>
          </w:p>
        </w:tc>
      </w:tr>
      <w:tr w14:paraId="25C6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3434433C">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435F22C0">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3AD0797C">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0CC35A17">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1725796F">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058CD1AB">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5BCD192E">
            <w:pPr>
              <w:spacing w:line="360" w:lineRule="auto"/>
              <w:jc w:val="left"/>
              <w:rPr>
                <w:rFonts w:cs="宋体" w:asciiTheme="minorEastAsia" w:hAnsiTheme="minorEastAsia" w:eastAsiaTheme="minorEastAsia"/>
                <w:color w:val="auto"/>
                <w:sz w:val="24"/>
                <w:highlight w:val="none"/>
              </w:rPr>
            </w:pPr>
          </w:p>
        </w:tc>
      </w:tr>
      <w:tr w14:paraId="0446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3C04101E">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586939EF">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08839485">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477604DE">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118296DA">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48D14C93">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2589376C">
            <w:pPr>
              <w:spacing w:line="360" w:lineRule="auto"/>
              <w:jc w:val="left"/>
              <w:rPr>
                <w:rFonts w:cs="宋体" w:asciiTheme="minorEastAsia" w:hAnsiTheme="minorEastAsia" w:eastAsiaTheme="minorEastAsia"/>
                <w:color w:val="auto"/>
                <w:sz w:val="24"/>
                <w:highlight w:val="none"/>
              </w:rPr>
            </w:pPr>
          </w:p>
        </w:tc>
      </w:tr>
      <w:tr w14:paraId="2F4A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2AC6C782">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08B16D6F">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533BD8B9">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7B5F12DA">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309549A5">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7D918EDD">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2117E14C">
            <w:pPr>
              <w:spacing w:line="360" w:lineRule="auto"/>
              <w:jc w:val="left"/>
              <w:rPr>
                <w:rFonts w:cs="宋体" w:asciiTheme="minorEastAsia" w:hAnsiTheme="minorEastAsia" w:eastAsiaTheme="minorEastAsia"/>
                <w:color w:val="auto"/>
                <w:sz w:val="24"/>
                <w:highlight w:val="none"/>
              </w:rPr>
            </w:pPr>
          </w:p>
        </w:tc>
      </w:tr>
      <w:tr w14:paraId="3859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tcBorders>
              <w:left w:val="single" w:color="auto" w:sz="12" w:space="0"/>
            </w:tcBorders>
            <w:vAlign w:val="center"/>
          </w:tcPr>
          <w:p w14:paraId="66913BC4">
            <w:pPr>
              <w:spacing w:line="360" w:lineRule="auto"/>
              <w:jc w:val="left"/>
              <w:rPr>
                <w:rFonts w:cs="宋体" w:asciiTheme="minorEastAsia" w:hAnsiTheme="minorEastAsia" w:eastAsiaTheme="minorEastAsia"/>
                <w:color w:val="auto"/>
                <w:sz w:val="24"/>
                <w:highlight w:val="none"/>
              </w:rPr>
            </w:pPr>
          </w:p>
        </w:tc>
        <w:tc>
          <w:tcPr>
            <w:tcW w:w="1985" w:type="dxa"/>
            <w:vAlign w:val="center"/>
          </w:tcPr>
          <w:p w14:paraId="264F089E">
            <w:pPr>
              <w:spacing w:line="360" w:lineRule="auto"/>
              <w:jc w:val="left"/>
              <w:rPr>
                <w:rFonts w:cs="宋体" w:asciiTheme="minorEastAsia" w:hAnsiTheme="minorEastAsia" w:eastAsiaTheme="minorEastAsia"/>
                <w:color w:val="auto"/>
                <w:sz w:val="24"/>
                <w:highlight w:val="none"/>
              </w:rPr>
            </w:pPr>
          </w:p>
        </w:tc>
        <w:tc>
          <w:tcPr>
            <w:tcW w:w="1559" w:type="dxa"/>
            <w:vAlign w:val="center"/>
          </w:tcPr>
          <w:p w14:paraId="65C06BFA">
            <w:pPr>
              <w:spacing w:line="360" w:lineRule="auto"/>
              <w:jc w:val="left"/>
              <w:rPr>
                <w:rFonts w:cs="宋体" w:asciiTheme="minorEastAsia" w:hAnsiTheme="minorEastAsia" w:eastAsiaTheme="minorEastAsia"/>
                <w:color w:val="auto"/>
                <w:sz w:val="24"/>
                <w:highlight w:val="none"/>
              </w:rPr>
            </w:pPr>
          </w:p>
        </w:tc>
        <w:tc>
          <w:tcPr>
            <w:tcW w:w="850" w:type="dxa"/>
            <w:vAlign w:val="center"/>
          </w:tcPr>
          <w:p w14:paraId="4D0F48B7">
            <w:pPr>
              <w:spacing w:line="360" w:lineRule="auto"/>
              <w:jc w:val="left"/>
              <w:rPr>
                <w:rFonts w:cs="宋体" w:asciiTheme="minorEastAsia" w:hAnsiTheme="minorEastAsia" w:eastAsiaTheme="minorEastAsia"/>
                <w:color w:val="auto"/>
                <w:sz w:val="24"/>
                <w:highlight w:val="none"/>
              </w:rPr>
            </w:pPr>
          </w:p>
        </w:tc>
        <w:tc>
          <w:tcPr>
            <w:tcW w:w="1418" w:type="dxa"/>
            <w:vAlign w:val="center"/>
          </w:tcPr>
          <w:p w14:paraId="1F2BE2E6">
            <w:pPr>
              <w:spacing w:line="360" w:lineRule="auto"/>
              <w:jc w:val="left"/>
              <w:rPr>
                <w:rFonts w:cs="宋体" w:asciiTheme="minorEastAsia" w:hAnsiTheme="minorEastAsia" w:eastAsiaTheme="minorEastAsia"/>
                <w:color w:val="auto"/>
                <w:sz w:val="24"/>
                <w:highlight w:val="none"/>
              </w:rPr>
            </w:pPr>
          </w:p>
        </w:tc>
        <w:tc>
          <w:tcPr>
            <w:tcW w:w="1276" w:type="dxa"/>
            <w:vAlign w:val="center"/>
          </w:tcPr>
          <w:p w14:paraId="0DA333B7">
            <w:pPr>
              <w:spacing w:line="360" w:lineRule="auto"/>
              <w:jc w:val="left"/>
              <w:rPr>
                <w:rFonts w:cs="宋体" w:asciiTheme="minorEastAsia" w:hAnsiTheme="minorEastAsia" w:eastAsiaTheme="minorEastAsia"/>
                <w:color w:val="auto"/>
                <w:sz w:val="24"/>
                <w:highlight w:val="none"/>
              </w:rPr>
            </w:pPr>
          </w:p>
        </w:tc>
        <w:tc>
          <w:tcPr>
            <w:tcW w:w="1134" w:type="dxa"/>
            <w:tcBorders>
              <w:right w:val="single" w:color="auto" w:sz="12" w:space="0"/>
            </w:tcBorders>
            <w:vAlign w:val="center"/>
          </w:tcPr>
          <w:p w14:paraId="1AE08D22">
            <w:pPr>
              <w:spacing w:line="360" w:lineRule="auto"/>
              <w:jc w:val="left"/>
              <w:rPr>
                <w:rFonts w:cs="宋体" w:asciiTheme="minorEastAsia" w:hAnsiTheme="minorEastAsia" w:eastAsiaTheme="minorEastAsia"/>
                <w:color w:val="auto"/>
                <w:sz w:val="24"/>
                <w:highlight w:val="none"/>
              </w:rPr>
            </w:pPr>
          </w:p>
        </w:tc>
      </w:tr>
    </w:tbl>
    <w:p w14:paraId="402236F9">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注：中标后，需按此表提供仪器、设备。</w:t>
      </w:r>
    </w:p>
    <w:p w14:paraId="1D853321">
      <w:pPr>
        <w:spacing w:line="360" w:lineRule="auto"/>
        <w:jc w:val="left"/>
        <w:rPr>
          <w:rFonts w:cs="宋体" w:asciiTheme="minorEastAsia" w:hAnsiTheme="minorEastAsia" w:eastAsiaTheme="minorEastAsia"/>
          <w:color w:val="auto"/>
          <w:sz w:val="24"/>
          <w:highlight w:val="none"/>
        </w:rPr>
      </w:pPr>
    </w:p>
    <w:p w14:paraId="08BE3391">
      <w:pPr>
        <w:spacing w:line="360" w:lineRule="auto"/>
        <w:jc w:val="left"/>
        <w:rPr>
          <w:rFonts w:cs="宋体" w:asciiTheme="minorEastAsia" w:hAnsiTheme="minorEastAsia" w:eastAsiaTheme="minorEastAsia"/>
          <w:color w:val="auto"/>
          <w:sz w:val="24"/>
          <w:highlight w:val="none"/>
        </w:rPr>
      </w:pPr>
    </w:p>
    <w:p w14:paraId="6BC58F2F">
      <w:pPr>
        <w:spacing w:line="360" w:lineRule="auto"/>
        <w:jc w:val="left"/>
        <w:rPr>
          <w:rFonts w:cs="宋体" w:asciiTheme="minorEastAsia" w:hAnsiTheme="minorEastAsia" w:eastAsiaTheme="minorEastAsia"/>
          <w:color w:val="auto"/>
          <w:sz w:val="24"/>
          <w:highlight w:val="none"/>
        </w:rPr>
      </w:pPr>
    </w:p>
    <w:p w14:paraId="534B96E8">
      <w:pPr>
        <w:widowControl/>
        <w:spacing w:line="360" w:lineRule="auto"/>
        <w:jc w:val="left"/>
        <w:rPr>
          <w:rFonts w:cs="宋体" w:asciiTheme="minorEastAsia" w:hAnsiTheme="minorEastAsia" w:eastAsiaTheme="minorEastAsia"/>
          <w:b/>
          <w:color w:val="auto"/>
          <w:sz w:val="28"/>
          <w:szCs w:val="22"/>
          <w:highlight w:val="none"/>
        </w:rPr>
      </w:pPr>
      <w:r>
        <w:rPr>
          <w:rFonts w:cs="宋体" w:asciiTheme="minorEastAsia" w:hAnsiTheme="minorEastAsia" w:eastAsiaTheme="minorEastAsia"/>
          <w:b/>
          <w:color w:val="auto"/>
          <w:sz w:val="28"/>
          <w:szCs w:val="22"/>
          <w:highlight w:val="none"/>
        </w:rPr>
        <w:br w:type="page"/>
      </w:r>
    </w:p>
    <w:p w14:paraId="439B7F17">
      <w:pPr>
        <w:spacing w:line="360" w:lineRule="auto"/>
        <w:jc w:val="center"/>
        <w:rPr>
          <w:rFonts w:cs="宋体" w:asciiTheme="minorEastAsia" w:hAnsiTheme="minorEastAsia" w:eastAsiaTheme="minorEastAsia"/>
          <w:b/>
          <w:color w:val="auto"/>
          <w:sz w:val="28"/>
          <w:szCs w:val="22"/>
          <w:highlight w:val="none"/>
        </w:rPr>
      </w:pPr>
      <w:r>
        <w:rPr>
          <w:rFonts w:hint="eastAsia" w:cs="宋体" w:asciiTheme="minorEastAsia" w:hAnsiTheme="minorEastAsia" w:eastAsiaTheme="minorEastAsia"/>
          <w:b/>
          <w:color w:val="auto"/>
          <w:sz w:val="28"/>
          <w:szCs w:val="22"/>
          <w:highlight w:val="none"/>
          <w:lang w:val="en-US" w:eastAsia="zh-CN"/>
        </w:rPr>
        <w:t>监理服务费</w:t>
      </w:r>
      <w:r>
        <w:rPr>
          <w:rFonts w:hint="eastAsia" w:cs="宋体" w:asciiTheme="minorEastAsia" w:hAnsiTheme="minorEastAsia" w:eastAsiaTheme="minorEastAsia"/>
          <w:b/>
          <w:color w:val="auto"/>
          <w:sz w:val="28"/>
          <w:szCs w:val="22"/>
          <w:highlight w:val="none"/>
        </w:rPr>
        <w:t>投标报价表</w:t>
      </w:r>
    </w:p>
    <w:p w14:paraId="2122E4AC">
      <w:pPr>
        <w:pStyle w:val="7"/>
        <w:spacing w:line="360" w:lineRule="auto"/>
        <w:rPr>
          <w:rFonts w:asciiTheme="minorEastAsia" w:hAnsiTheme="minorEastAsia" w:eastAsiaTheme="minorEastAsia"/>
          <w:color w:val="auto"/>
          <w:highlight w:val="none"/>
        </w:rPr>
      </w:pPr>
    </w:p>
    <w:tbl>
      <w:tblPr>
        <w:tblStyle w:val="21"/>
        <w:tblW w:w="9180" w:type="dxa"/>
        <w:jc w:val="center"/>
        <w:tblLayout w:type="fixed"/>
        <w:tblCellMar>
          <w:top w:w="0" w:type="dxa"/>
          <w:left w:w="0" w:type="dxa"/>
          <w:bottom w:w="0" w:type="dxa"/>
          <w:right w:w="0" w:type="dxa"/>
        </w:tblCellMar>
      </w:tblPr>
      <w:tblGrid>
        <w:gridCol w:w="1944"/>
        <w:gridCol w:w="7236"/>
      </w:tblGrid>
      <w:tr w14:paraId="7DA0E48D">
        <w:tblPrEx>
          <w:tblCellMar>
            <w:top w:w="0" w:type="dxa"/>
            <w:left w:w="0" w:type="dxa"/>
            <w:bottom w:w="0" w:type="dxa"/>
            <w:right w:w="0" w:type="dxa"/>
          </w:tblCellMar>
        </w:tblPrEx>
        <w:trPr>
          <w:trHeight w:val="1268" w:hRule="exact"/>
          <w:jc w:val="center"/>
        </w:trPr>
        <w:tc>
          <w:tcPr>
            <w:tcW w:w="1944" w:type="dxa"/>
            <w:tcBorders>
              <w:top w:val="single" w:color="auto" w:sz="8" w:space="0"/>
              <w:left w:val="single" w:color="auto" w:sz="8" w:space="0"/>
              <w:bottom w:val="single" w:color="auto" w:sz="8" w:space="0"/>
              <w:right w:val="single" w:color="auto" w:sz="8" w:space="0"/>
            </w:tcBorders>
            <w:noWrap/>
            <w:vAlign w:val="center"/>
          </w:tcPr>
          <w:p w14:paraId="114F33F9">
            <w:pPr>
              <w:spacing w:line="360" w:lineRule="auto"/>
              <w:jc w:val="center"/>
              <w:rPr>
                <w:rFonts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项</w:t>
            </w:r>
            <w:r>
              <w:rPr>
                <w:rFonts w:hint="eastAsia" w:asciiTheme="minorEastAsia" w:hAnsiTheme="minorEastAsia" w:eastAsiaTheme="minorEastAsia"/>
                <w:b/>
                <w:color w:val="auto"/>
                <w:sz w:val="24"/>
                <w:szCs w:val="24"/>
                <w:highlight w:val="none"/>
              </w:rPr>
              <w:t>目名称</w:t>
            </w:r>
          </w:p>
        </w:tc>
        <w:tc>
          <w:tcPr>
            <w:tcW w:w="7236" w:type="dxa"/>
            <w:tcBorders>
              <w:top w:val="single" w:color="auto" w:sz="8" w:space="0"/>
              <w:left w:val="single" w:color="auto" w:sz="8" w:space="0"/>
              <w:bottom w:val="single" w:color="auto" w:sz="8" w:space="0"/>
              <w:right w:val="single" w:color="auto" w:sz="8" w:space="0"/>
            </w:tcBorders>
            <w:noWrap/>
            <w:vAlign w:val="center"/>
          </w:tcPr>
          <w:p w14:paraId="56A2B110">
            <w:pPr>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val="0"/>
                <w:color w:val="auto"/>
                <w:sz w:val="24"/>
                <w:szCs w:val="24"/>
                <w:highlight w:val="none"/>
                <w:u w:val="single"/>
                <w:lang w:val="en-US" w:eastAsia="zh-CN"/>
              </w:rPr>
              <w:t>铜陵狮子山高新区污水处理厂二期配套工程监理（   标段）</w:t>
            </w:r>
          </w:p>
        </w:tc>
      </w:tr>
      <w:tr w14:paraId="24492F28">
        <w:tblPrEx>
          <w:tblCellMar>
            <w:top w:w="0" w:type="dxa"/>
            <w:left w:w="0" w:type="dxa"/>
            <w:bottom w:w="0" w:type="dxa"/>
            <w:right w:w="0" w:type="dxa"/>
          </w:tblCellMar>
        </w:tblPrEx>
        <w:trPr>
          <w:trHeight w:val="1190" w:hRule="exact"/>
          <w:jc w:val="center"/>
        </w:trPr>
        <w:tc>
          <w:tcPr>
            <w:tcW w:w="1944" w:type="dxa"/>
            <w:tcBorders>
              <w:top w:val="single" w:color="auto" w:sz="8" w:space="0"/>
              <w:left w:val="single" w:color="auto" w:sz="8" w:space="0"/>
              <w:bottom w:val="single" w:color="auto" w:sz="8" w:space="0"/>
              <w:right w:val="single" w:color="auto" w:sz="8" w:space="0"/>
            </w:tcBorders>
            <w:noWrap/>
            <w:vAlign w:val="center"/>
          </w:tcPr>
          <w:p w14:paraId="76C9AA67">
            <w:pPr>
              <w:spacing w:line="36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w:t>
            </w:r>
            <w:r>
              <w:rPr>
                <w:rFonts w:hint="eastAsia" w:cs="宋体" w:asciiTheme="minorEastAsia" w:hAnsiTheme="minorEastAsia" w:eastAsiaTheme="minorEastAsia"/>
                <w:b/>
                <w:color w:val="auto"/>
                <w:sz w:val="24"/>
                <w:szCs w:val="24"/>
                <w:highlight w:val="none"/>
              </w:rPr>
              <w:t>标</w:t>
            </w:r>
            <w:r>
              <w:rPr>
                <w:rFonts w:hint="eastAsia" w:asciiTheme="minorEastAsia" w:hAnsiTheme="minorEastAsia" w:eastAsiaTheme="minorEastAsia"/>
                <w:b/>
                <w:color w:val="auto"/>
                <w:sz w:val="24"/>
                <w:szCs w:val="24"/>
                <w:highlight w:val="none"/>
              </w:rPr>
              <w:t>人名称</w:t>
            </w:r>
          </w:p>
        </w:tc>
        <w:tc>
          <w:tcPr>
            <w:tcW w:w="7236" w:type="dxa"/>
            <w:tcBorders>
              <w:top w:val="single" w:color="auto" w:sz="8" w:space="0"/>
              <w:left w:val="single" w:color="auto" w:sz="8" w:space="0"/>
              <w:bottom w:val="single" w:color="auto" w:sz="8" w:space="0"/>
              <w:right w:val="single" w:color="auto" w:sz="8" w:space="0"/>
            </w:tcBorders>
            <w:noWrap/>
            <w:vAlign w:val="center"/>
          </w:tcPr>
          <w:p w14:paraId="6FA370E6">
            <w:pPr>
              <w:spacing w:line="360" w:lineRule="auto"/>
              <w:jc w:val="both"/>
              <w:rPr>
                <w:rFonts w:asciiTheme="minorEastAsia" w:hAnsiTheme="minorEastAsia" w:eastAsiaTheme="minorEastAsia"/>
                <w:color w:val="auto"/>
                <w:sz w:val="24"/>
                <w:szCs w:val="24"/>
                <w:highlight w:val="none"/>
              </w:rPr>
            </w:pPr>
          </w:p>
        </w:tc>
      </w:tr>
      <w:tr w14:paraId="104606CD">
        <w:tblPrEx>
          <w:tblCellMar>
            <w:top w:w="0" w:type="dxa"/>
            <w:left w:w="0" w:type="dxa"/>
            <w:bottom w:w="0" w:type="dxa"/>
            <w:right w:w="0" w:type="dxa"/>
          </w:tblCellMar>
        </w:tblPrEx>
        <w:trPr>
          <w:trHeight w:val="1199" w:hRule="atLeast"/>
          <w:jc w:val="center"/>
        </w:trPr>
        <w:tc>
          <w:tcPr>
            <w:tcW w:w="1944" w:type="dxa"/>
            <w:tcBorders>
              <w:top w:val="single" w:color="auto" w:sz="8" w:space="0"/>
              <w:left w:val="single" w:color="auto" w:sz="8" w:space="0"/>
              <w:right w:val="single" w:color="auto" w:sz="8" w:space="0"/>
            </w:tcBorders>
            <w:noWrap/>
            <w:vAlign w:val="center"/>
          </w:tcPr>
          <w:p w14:paraId="3ABFF5E5">
            <w:pPr>
              <w:spacing w:line="36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w:t>
            </w:r>
            <w:r>
              <w:rPr>
                <w:rFonts w:hint="eastAsia" w:cs="宋体" w:asciiTheme="minorEastAsia" w:hAnsiTheme="minorEastAsia" w:eastAsiaTheme="minorEastAsia"/>
                <w:b/>
                <w:color w:val="auto"/>
                <w:sz w:val="24"/>
                <w:szCs w:val="24"/>
                <w:highlight w:val="none"/>
              </w:rPr>
              <w:t>标报</w:t>
            </w:r>
            <w:r>
              <w:rPr>
                <w:rFonts w:hint="eastAsia" w:asciiTheme="minorEastAsia" w:hAnsiTheme="minorEastAsia" w:eastAsiaTheme="minorEastAsia"/>
                <w:b/>
                <w:color w:val="auto"/>
                <w:sz w:val="24"/>
                <w:szCs w:val="24"/>
                <w:highlight w:val="none"/>
              </w:rPr>
              <w:t>价（元）</w:t>
            </w:r>
          </w:p>
        </w:tc>
        <w:tc>
          <w:tcPr>
            <w:tcW w:w="7236" w:type="dxa"/>
            <w:tcBorders>
              <w:top w:val="single" w:color="auto" w:sz="8" w:space="0"/>
              <w:left w:val="single" w:color="auto" w:sz="8" w:space="0"/>
              <w:right w:val="single" w:color="auto" w:sz="8" w:space="0"/>
            </w:tcBorders>
            <w:noWrap/>
            <w:vAlign w:val="center"/>
          </w:tcPr>
          <w:p w14:paraId="3529E7E9">
            <w:pPr>
              <w:spacing w:line="360" w:lineRule="auto"/>
              <w:ind w:firstLine="120" w:firstLineChars="5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u w:val="single"/>
              </w:rPr>
              <w:t xml:space="preserve">         元</w:t>
            </w:r>
          </w:p>
        </w:tc>
      </w:tr>
      <w:tr w14:paraId="705E9FFC">
        <w:tblPrEx>
          <w:tblCellMar>
            <w:top w:w="0" w:type="dxa"/>
            <w:left w:w="0" w:type="dxa"/>
            <w:bottom w:w="0" w:type="dxa"/>
            <w:right w:w="0" w:type="dxa"/>
          </w:tblCellMar>
        </w:tblPrEx>
        <w:trPr>
          <w:trHeight w:val="1199" w:hRule="atLeast"/>
          <w:jc w:val="center"/>
        </w:trPr>
        <w:tc>
          <w:tcPr>
            <w:tcW w:w="1944" w:type="dxa"/>
            <w:tcBorders>
              <w:top w:val="single" w:color="auto" w:sz="8" w:space="0"/>
              <w:left w:val="single" w:color="auto" w:sz="8" w:space="0"/>
              <w:right w:val="single" w:color="auto" w:sz="8" w:space="0"/>
            </w:tcBorders>
            <w:noWrap/>
            <w:vAlign w:val="center"/>
          </w:tcPr>
          <w:p w14:paraId="35B63C51">
            <w:pPr>
              <w:spacing w:line="360" w:lineRule="auto"/>
              <w:jc w:val="center"/>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b/>
                <w:color w:val="auto"/>
                <w:sz w:val="24"/>
                <w:szCs w:val="24"/>
                <w:highlight w:val="none"/>
              </w:rPr>
              <w:t>监理</w:t>
            </w:r>
            <w:r>
              <w:rPr>
                <w:rFonts w:hint="eastAsia" w:asciiTheme="minorEastAsia" w:hAnsiTheme="minorEastAsia" w:eastAsiaTheme="minorEastAsia"/>
                <w:b/>
                <w:color w:val="auto"/>
                <w:sz w:val="24"/>
                <w:szCs w:val="24"/>
                <w:highlight w:val="none"/>
                <w:lang w:eastAsia="zh-CN"/>
              </w:rPr>
              <w:t>服务期</w:t>
            </w:r>
          </w:p>
        </w:tc>
        <w:tc>
          <w:tcPr>
            <w:tcW w:w="7236" w:type="dxa"/>
            <w:tcBorders>
              <w:top w:val="single" w:color="auto" w:sz="8" w:space="0"/>
              <w:left w:val="single" w:color="auto" w:sz="8" w:space="0"/>
              <w:right w:val="single" w:color="auto" w:sz="8" w:space="0"/>
            </w:tcBorders>
            <w:noWrap/>
            <w:vAlign w:val="center"/>
          </w:tcPr>
          <w:p w14:paraId="0196AD59">
            <w:pPr>
              <w:spacing w:line="360" w:lineRule="auto"/>
              <w:rPr>
                <w:rFonts w:asciiTheme="minorEastAsia" w:hAnsiTheme="minorEastAsia" w:eastAsiaTheme="minorEastAsia"/>
                <w:b/>
                <w:color w:val="auto"/>
                <w:sz w:val="24"/>
                <w:szCs w:val="24"/>
                <w:highlight w:val="none"/>
              </w:rPr>
            </w:pPr>
            <w:r>
              <w:rPr>
                <w:rFonts w:hint="eastAsia" w:ascii="宋体" w:hAnsi="宋体" w:eastAsia="宋体" w:cs="宋体"/>
                <w:bCs/>
                <w:color w:val="auto"/>
                <w:kern w:val="0"/>
                <w:sz w:val="24"/>
                <w:highlight w:val="none"/>
                <w:u w:val="single"/>
                <w:lang w:val="en-US" w:eastAsia="zh-CN"/>
              </w:rPr>
              <w:t>自合同生效之日起至缺陷责任期结束并交付之日止</w:t>
            </w:r>
          </w:p>
        </w:tc>
      </w:tr>
      <w:tr w14:paraId="0A487218">
        <w:tblPrEx>
          <w:tblCellMar>
            <w:top w:w="0" w:type="dxa"/>
            <w:left w:w="0" w:type="dxa"/>
            <w:bottom w:w="0" w:type="dxa"/>
            <w:right w:w="0" w:type="dxa"/>
          </w:tblCellMar>
        </w:tblPrEx>
        <w:trPr>
          <w:trHeight w:val="2782" w:hRule="exact"/>
          <w:jc w:val="center"/>
        </w:trPr>
        <w:tc>
          <w:tcPr>
            <w:tcW w:w="1944" w:type="dxa"/>
            <w:tcBorders>
              <w:top w:val="single" w:color="auto" w:sz="8" w:space="0"/>
              <w:left w:val="single" w:color="auto" w:sz="8" w:space="0"/>
              <w:bottom w:val="single" w:color="auto" w:sz="8" w:space="0"/>
              <w:right w:val="single" w:color="auto" w:sz="8" w:space="0"/>
            </w:tcBorders>
            <w:noWrap/>
            <w:vAlign w:val="center"/>
          </w:tcPr>
          <w:p w14:paraId="347A58C9">
            <w:pPr>
              <w:spacing w:line="36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c>
          <w:tcPr>
            <w:tcW w:w="7236" w:type="dxa"/>
            <w:tcBorders>
              <w:top w:val="single" w:color="auto" w:sz="8" w:space="0"/>
              <w:left w:val="single" w:color="auto" w:sz="8" w:space="0"/>
              <w:bottom w:val="single" w:color="auto" w:sz="8" w:space="0"/>
              <w:right w:val="single" w:color="auto" w:sz="8" w:space="0"/>
            </w:tcBorders>
            <w:noWrap/>
            <w:vAlign w:val="center"/>
          </w:tcPr>
          <w:p w14:paraId="1EC9277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1.投</w:t>
            </w:r>
            <w:r>
              <w:rPr>
                <w:rFonts w:hint="eastAsia" w:cs="宋体" w:asciiTheme="minorEastAsia" w:hAnsiTheme="minorEastAsia" w:eastAsiaTheme="minorEastAsia"/>
                <w:color w:val="auto"/>
                <w:sz w:val="24"/>
                <w:szCs w:val="24"/>
                <w:highlight w:val="none"/>
              </w:rPr>
              <w:t>标报</w:t>
            </w:r>
            <w:r>
              <w:rPr>
                <w:rFonts w:hint="eastAsia" w:asciiTheme="minorEastAsia" w:hAnsiTheme="minorEastAsia" w:eastAsiaTheme="minorEastAsia"/>
                <w:color w:val="auto"/>
                <w:sz w:val="24"/>
                <w:szCs w:val="24"/>
                <w:highlight w:val="none"/>
              </w:rPr>
              <w:t>价</w:t>
            </w:r>
            <w:r>
              <w:rPr>
                <w:rFonts w:hint="eastAsia" w:cs="宋体" w:asciiTheme="minorEastAsia" w:hAnsiTheme="minorEastAsia" w:eastAsiaTheme="minorEastAsia"/>
                <w:color w:val="auto"/>
                <w:sz w:val="24"/>
                <w:szCs w:val="24"/>
                <w:highlight w:val="none"/>
                <w:u w:val="single"/>
                <w:lang w:val="en-US" w:eastAsia="zh-CN"/>
              </w:rPr>
              <w:t>至多</w:t>
            </w:r>
            <w:r>
              <w:rPr>
                <w:rFonts w:hint="eastAsia" w:asciiTheme="minorEastAsia" w:hAnsiTheme="minorEastAsia" w:eastAsiaTheme="minorEastAsia"/>
                <w:color w:val="auto"/>
                <w:sz w:val="24"/>
                <w:szCs w:val="24"/>
                <w:highlight w:val="none"/>
              </w:rPr>
              <w:t>保留2位小数</w:t>
            </w:r>
          </w:p>
          <w:p w14:paraId="2D69185B">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本投标报价必须以人民币的形式表示。</w:t>
            </w:r>
          </w:p>
          <w:p w14:paraId="2A4D57AF">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.投标人的报价应包含所提供服务、6%增值税费、人员工资等工作可能会发生的一切应有费用；中标后中标供应商不得以不完全了解为由增加任何费用。</w:t>
            </w:r>
          </w:p>
          <w:p w14:paraId="01BC3C14">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.本项目监理费用不因工程结算的调增或工期的顺延增加费用。</w:t>
            </w:r>
          </w:p>
        </w:tc>
      </w:tr>
    </w:tbl>
    <w:p w14:paraId="73E52C08">
      <w:pPr>
        <w:spacing w:line="360" w:lineRule="auto"/>
        <w:ind w:firstLine="480" w:firstLineChars="200"/>
        <w:rPr>
          <w:rFonts w:cs="宋体" w:asciiTheme="minorEastAsia" w:hAnsiTheme="minorEastAsia" w:eastAsiaTheme="minorEastAsia"/>
          <w:color w:val="auto"/>
          <w:sz w:val="24"/>
          <w:szCs w:val="24"/>
          <w:highlight w:val="none"/>
        </w:rPr>
      </w:pPr>
    </w:p>
    <w:p w14:paraId="6372C848">
      <w:pPr>
        <w:pStyle w:val="7"/>
        <w:spacing w:line="360" w:lineRule="auto"/>
        <w:rPr>
          <w:rFonts w:asciiTheme="minorEastAsia" w:hAnsiTheme="minorEastAsia" w:eastAsiaTheme="minorEastAsia"/>
          <w:color w:val="auto"/>
          <w:highlight w:val="none"/>
        </w:rPr>
      </w:pPr>
    </w:p>
    <w:p w14:paraId="588EF7F2">
      <w:pPr>
        <w:spacing w:line="360" w:lineRule="auto"/>
        <w:ind w:firstLine="480" w:firstLineChars="200"/>
        <w:rPr>
          <w:rFonts w:cs="宋体" w:asciiTheme="minorEastAsia" w:hAnsiTheme="minorEastAsia" w:eastAsiaTheme="minorEastAsia"/>
          <w:color w:val="auto"/>
          <w:sz w:val="24"/>
          <w:szCs w:val="24"/>
          <w:highlight w:val="none"/>
        </w:rPr>
      </w:pPr>
    </w:p>
    <w:p w14:paraId="44F829CD">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投标人：</w:t>
      </w:r>
      <w:r>
        <w:rPr>
          <w:rFonts w:hint="eastAsia" w:cs="宋体" w:asciiTheme="minorEastAsia" w:hAnsiTheme="minorEastAsia" w:eastAsiaTheme="minorEastAsia"/>
          <w:color w:val="auto"/>
          <w:sz w:val="24"/>
          <w:szCs w:val="24"/>
          <w:highlight w:val="none"/>
          <w:u w:val="single"/>
        </w:rPr>
        <w:t>（全称）</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b/>
          <w:color w:val="auto"/>
          <w:sz w:val="24"/>
          <w:szCs w:val="24"/>
          <w:highlight w:val="none"/>
          <w:u w:val="single"/>
        </w:rPr>
        <w:t>（盖公章）</w:t>
      </w:r>
    </w:p>
    <w:p w14:paraId="08543B0A">
      <w:pPr>
        <w:spacing w:line="360" w:lineRule="auto"/>
        <w:ind w:firstLine="480" w:firstLineChars="20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地址：</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邮编：</w:t>
      </w:r>
      <w:r>
        <w:rPr>
          <w:rFonts w:cs="宋体" w:asciiTheme="minorEastAsia" w:hAnsiTheme="minorEastAsia" w:eastAsiaTheme="minorEastAsia"/>
          <w:color w:val="auto"/>
          <w:sz w:val="24"/>
          <w:szCs w:val="24"/>
          <w:highlight w:val="none"/>
          <w:u w:val="single"/>
        </w:rPr>
        <w:t xml:space="preserve">      </w:t>
      </w:r>
    </w:p>
    <w:p w14:paraId="691AC501">
      <w:pPr>
        <w:spacing w:line="360" w:lineRule="auto"/>
        <w:ind w:firstLine="480" w:firstLineChars="20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电话：</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传真：</w:t>
      </w:r>
      <w:r>
        <w:rPr>
          <w:rFonts w:cs="宋体" w:asciiTheme="minorEastAsia" w:hAnsiTheme="minorEastAsia" w:eastAsiaTheme="minorEastAsia"/>
          <w:color w:val="auto"/>
          <w:sz w:val="24"/>
          <w:szCs w:val="24"/>
          <w:highlight w:val="none"/>
          <w:u w:val="single"/>
        </w:rPr>
        <w:t xml:space="preserve">      </w:t>
      </w:r>
    </w:p>
    <w:p w14:paraId="0E94F4E8">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法定代表人或授权委托人：</w:t>
      </w:r>
      <w:r>
        <w:rPr>
          <w:rFonts w:hint="eastAsia" w:cs="宋体" w:asciiTheme="minorEastAsia" w:hAnsiTheme="minorEastAsia" w:eastAsiaTheme="minorEastAsia"/>
          <w:b/>
          <w:color w:val="auto"/>
          <w:sz w:val="24"/>
          <w:szCs w:val="24"/>
          <w:highlight w:val="none"/>
          <w:u w:val="single"/>
        </w:rPr>
        <w:t>（签字或盖章）</w:t>
      </w:r>
    </w:p>
    <w:p w14:paraId="32074EC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日期：</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日</w:t>
      </w:r>
    </w:p>
    <w:p w14:paraId="1A5072D9">
      <w:pPr>
        <w:widowControl/>
        <w:spacing w:line="360" w:lineRule="auto"/>
        <w:jc w:val="left"/>
        <w:rPr>
          <w:rFonts w:asciiTheme="minorEastAsia" w:hAnsiTheme="minorEastAsia" w:eastAsiaTheme="minorEastAsia"/>
          <w:color w:val="auto"/>
          <w:highlight w:val="none"/>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E8AD">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098E">
    <w:pPr>
      <w:pStyle w:val="14"/>
      <w:framePr w:wrap="around" w:vAnchor="text" w:hAnchor="margin" w:xAlign="right" w:y="1"/>
      <w:rPr>
        <w:rStyle w:val="25"/>
      </w:rPr>
    </w:pPr>
    <w:r>
      <w:fldChar w:fldCharType="begin"/>
    </w:r>
    <w:r>
      <w:rPr>
        <w:rStyle w:val="25"/>
      </w:rPr>
      <w:instrText xml:space="preserve">PAGE  </w:instrText>
    </w:r>
    <w:r>
      <w:fldChar w:fldCharType="separate"/>
    </w:r>
    <w:r>
      <w:rPr>
        <w:rStyle w:val="25"/>
      </w:rPr>
      <w:t>20</w:t>
    </w:r>
    <w:r>
      <w:fldChar w:fldCharType="end"/>
    </w:r>
  </w:p>
  <w:p w14:paraId="27B3CA41">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40034">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8C9A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C8C9A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BEB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F7BD8">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6F7BD8">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3BF8">
    <w:pPr>
      <w:pStyle w:val="14"/>
      <w:framePr w:wrap="around" w:vAnchor="text" w:hAnchor="margin" w:xAlign="right" w:y="1"/>
      <w:rPr>
        <w:rStyle w:val="25"/>
      </w:rPr>
    </w:pPr>
    <w:r>
      <w:fldChar w:fldCharType="begin"/>
    </w:r>
    <w:r>
      <w:rPr>
        <w:rStyle w:val="25"/>
      </w:rPr>
      <w:instrText xml:space="preserve">PAGE  </w:instrText>
    </w:r>
    <w:r>
      <w:fldChar w:fldCharType="separate"/>
    </w:r>
    <w:r>
      <w:rPr>
        <w:rStyle w:val="25"/>
      </w:rPr>
      <w:t>20</w:t>
    </w:r>
    <w:r>
      <w:fldChar w:fldCharType="end"/>
    </w:r>
  </w:p>
  <w:p w14:paraId="76FB4879">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9229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82BB">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F5992">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7DD9">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F8FB">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YjJlYmVjY2MwZDA2YjI1YjM2NTIwNTg3NjNkNGEifQ=="/>
  </w:docVars>
  <w:rsids>
    <w:rsidRoot w:val="00D0082D"/>
    <w:rsid w:val="00006139"/>
    <w:rsid w:val="000072B7"/>
    <w:rsid w:val="0001699D"/>
    <w:rsid w:val="0004166A"/>
    <w:rsid w:val="00061B87"/>
    <w:rsid w:val="0006580D"/>
    <w:rsid w:val="00070727"/>
    <w:rsid w:val="0007122A"/>
    <w:rsid w:val="00086A69"/>
    <w:rsid w:val="00087D4C"/>
    <w:rsid w:val="000926C0"/>
    <w:rsid w:val="00094981"/>
    <w:rsid w:val="0009573C"/>
    <w:rsid w:val="000A182C"/>
    <w:rsid w:val="000A2995"/>
    <w:rsid w:val="000B283D"/>
    <w:rsid w:val="000B46B5"/>
    <w:rsid w:val="000B72DC"/>
    <w:rsid w:val="000C3FB0"/>
    <w:rsid w:val="000D65E6"/>
    <w:rsid w:val="000F1E2A"/>
    <w:rsid w:val="000F4237"/>
    <w:rsid w:val="00110977"/>
    <w:rsid w:val="00112DF5"/>
    <w:rsid w:val="00115A97"/>
    <w:rsid w:val="00121B2E"/>
    <w:rsid w:val="00140A95"/>
    <w:rsid w:val="00143C6F"/>
    <w:rsid w:val="001522CE"/>
    <w:rsid w:val="00153015"/>
    <w:rsid w:val="00162B31"/>
    <w:rsid w:val="00166A27"/>
    <w:rsid w:val="00177B1F"/>
    <w:rsid w:val="00190B77"/>
    <w:rsid w:val="001A5B64"/>
    <w:rsid w:val="001B4467"/>
    <w:rsid w:val="001C0276"/>
    <w:rsid w:val="001C152E"/>
    <w:rsid w:val="001C18AD"/>
    <w:rsid w:val="001C3CB2"/>
    <w:rsid w:val="001C60FD"/>
    <w:rsid w:val="001D1DDD"/>
    <w:rsid w:val="001D79B3"/>
    <w:rsid w:val="001E2291"/>
    <w:rsid w:val="001E7418"/>
    <w:rsid w:val="001F6B62"/>
    <w:rsid w:val="001F7F07"/>
    <w:rsid w:val="002009F5"/>
    <w:rsid w:val="00202A4E"/>
    <w:rsid w:val="002056F3"/>
    <w:rsid w:val="0021043E"/>
    <w:rsid w:val="00213040"/>
    <w:rsid w:val="00217CDC"/>
    <w:rsid w:val="002239BE"/>
    <w:rsid w:val="0022598D"/>
    <w:rsid w:val="00225B8D"/>
    <w:rsid w:val="00226631"/>
    <w:rsid w:val="0023033E"/>
    <w:rsid w:val="00230BDC"/>
    <w:rsid w:val="002375AC"/>
    <w:rsid w:val="002510B5"/>
    <w:rsid w:val="00256BF2"/>
    <w:rsid w:val="002749E4"/>
    <w:rsid w:val="00277835"/>
    <w:rsid w:val="00281100"/>
    <w:rsid w:val="00283B5F"/>
    <w:rsid w:val="002934C7"/>
    <w:rsid w:val="002C5D49"/>
    <w:rsid w:val="002D0404"/>
    <w:rsid w:val="002E2EC8"/>
    <w:rsid w:val="002E6347"/>
    <w:rsid w:val="002F04B3"/>
    <w:rsid w:val="002F4A8F"/>
    <w:rsid w:val="00310591"/>
    <w:rsid w:val="003161EF"/>
    <w:rsid w:val="00316B72"/>
    <w:rsid w:val="00341092"/>
    <w:rsid w:val="0034138B"/>
    <w:rsid w:val="00343B42"/>
    <w:rsid w:val="00346220"/>
    <w:rsid w:val="00347FD8"/>
    <w:rsid w:val="0035097D"/>
    <w:rsid w:val="00381BCE"/>
    <w:rsid w:val="00383912"/>
    <w:rsid w:val="003840BA"/>
    <w:rsid w:val="00390F9C"/>
    <w:rsid w:val="00393361"/>
    <w:rsid w:val="00393C23"/>
    <w:rsid w:val="00394B00"/>
    <w:rsid w:val="003B350C"/>
    <w:rsid w:val="003B7503"/>
    <w:rsid w:val="003D6AE3"/>
    <w:rsid w:val="003E4486"/>
    <w:rsid w:val="003E6935"/>
    <w:rsid w:val="003F7478"/>
    <w:rsid w:val="00403358"/>
    <w:rsid w:val="00413DC8"/>
    <w:rsid w:val="00415486"/>
    <w:rsid w:val="0042025C"/>
    <w:rsid w:val="00427E82"/>
    <w:rsid w:val="004312E4"/>
    <w:rsid w:val="00431D20"/>
    <w:rsid w:val="004422A7"/>
    <w:rsid w:val="0044271C"/>
    <w:rsid w:val="0045004B"/>
    <w:rsid w:val="0046277B"/>
    <w:rsid w:val="00472A3D"/>
    <w:rsid w:val="0047445E"/>
    <w:rsid w:val="0047675C"/>
    <w:rsid w:val="004930A1"/>
    <w:rsid w:val="004A1ADC"/>
    <w:rsid w:val="004B7186"/>
    <w:rsid w:val="004C0D0E"/>
    <w:rsid w:val="004D0063"/>
    <w:rsid w:val="004D014C"/>
    <w:rsid w:val="004D2950"/>
    <w:rsid w:val="004D6212"/>
    <w:rsid w:val="004D7965"/>
    <w:rsid w:val="004E31D5"/>
    <w:rsid w:val="00500194"/>
    <w:rsid w:val="0051339B"/>
    <w:rsid w:val="0051524C"/>
    <w:rsid w:val="00520685"/>
    <w:rsid w:val="00521264"/>
    <w:rsid w:val="0053060D"/>
    <w:rsid w:val="00540C03"/>
    <w:rsid w:val="00545CB6"/>
    <w:rsid w:val="0055109A"/>
    <w:rsid w:val="00556FB6"/>
    <w:rsid w:val="005642FE"/>
    <w:rsid w:val="00566977"/>
    <w:rsid w:val="00575521"/>
    <w:rsid w:val="00594F49"/>
    <w:rsid w:val="005A5362"/>
    <w:rsid w:val="005A586B"/>
    <w:rsid w:val="005A61C3"/>
    <w:rsid w:val="005B5984"/>
    <w:rsid w:val="005C2CC7"/>
    <w:rsid w:val="005E0653"/>
    <w:rsid w:val="005F2268"/>
    <w:rsid w:val="00601AD7"/>
    <w:rsid w:val="00605543"/>
    <w:rsid w:val="00605BF5"/>
    <w:rsid w:val="00605E79"/>
    <w:rsid w:val="006253A2"/>
    <w:rsid w:val="00643BF0"/>
    <w:rsid w:val="00653AFE"/>
    <w:rsid w:val="00666837"/>
    <w:rsid w:val="00681654"/>
    <w:rsid w:val="006879C6"/>
    <w:rsid w:val="0069455D"/>
    <w:rsid w:val="006A17FE"/>
    <w:rsid w:val="006B0981"/>
    <w:rsid w:val="006B6D14"/>
    <w:rsid w:val="006C5B6E"/>
    <w:rsid w:val="006E7728"/>
    <w:rsid w:val="006F01A7"/>
    <w:rsid w:val="006F4F6E"/>
    <w:rsid w:val="007014D4"/>
    <w:rsid w:val="007235CB"/>
    <w:rsid w:val="007354C6"/>
    <w:rsid w:val="0077128D"/>
    <w:rsid w:val="00781165"/>
    <w:rsid w:val="00795FEE"/>
    <w:rsid w:val="007A2A86"/>
    <w:rsid w:val="007B6DD2"/>
    <w:rsid w:val="007C210F"/>
    <w:rsid w:val="007C7823"/>
    <w:rsid w:val="007D6B15"/>
    <w:rsid w:val="007F1C19"/>
    <w:rsid w:val="007F485A"/>
    <w:rsid w:val="00810988"/>
    <w:rsid w:val="00815F7D"/>
    <w:rsid w:val="00816EBC"/>
    <w:rsid w:val="0081749F"/>
    <w:rsid w:val="00817530"/>
    <w:rsid w:val="008258FD"/>
    <w:rsid w:val="008357BD"/>
    <w:rsid w:val="0084008A"/>
    <w:rsid w:val="00842544"/>
    <w:rsid w:val="00852A86"/>
    <w:rsid w:val="00867660"/>
    <w:rsid w:val="008775A4"/>
    <w:rsid w:val="00877B78"/>
    <w:rsid w:val="00891300"/>
    <w:rsid w:val="008973CC"/>
    <w:rsid w:val="00897DFF"/>
    <w:rsid w:val="008B2835"/>
    <w:rsid w:val="008B5B01"/>
    <w:rsid w:val="008B6763"/>
    <w:rsid w:val="008C51A5"/>
    <w:rsid w:val="008D3D9D"/>
    <w:rsid w:val="008D5F67"/>
    <w:rsid w:val="008F46DE"/>
    <w:rsid w:val="008F515C"/>
    <w:rsid w:val="009033ED"/>
    <w:rsid w:val="0090625C"/>
    <w:rsid w:val="009144A1"/>
    <w:rsid w:val="00915CB2"/>
    <w:rsid w:val="009243A1"/>
    <w:rsid w:val="00924648"/>
    <w:rsid w:val="009250D4"/>
    <w:rsid w:val="00972020"/>
    <w:rsid w:val="00985532"/>
    <w:rsid w:val="00987E24"/>
    <w:rsid w:val="00991F7A"/>
    <w:rsid w:val="00992207"/>
    <w:rsid w:val="009A5DDB"/>
    <w:rsid w:val="009B3A19"/>
    <w:rsid w:val="009B74D0"/>
    <w:rsid w:val="009C096C"/>
    <w:rsid w:val="009C562A"/>
    <w:rsid w:val="009D1BAC"/>
    <w:rsid w:val="009D336C"/>
    <w:rsid w:val="009F18DE"/>
    <w:rsid w:val="009F20E4"/>
    <w:rsid w:val="00A10D47"/>
    <w:rsid w:val="00A129B2"/>
    <w:rsid w:val="00A13090"/>
    <w:rsid w:val="00A3058C"/>
    <w:rsid w:val="00A320A4"/>
    <w:rsid w:val="00A4484F"/>
    <w:rsid w:val="00A47337"/>
    <w:rsid w:val="00A65420"/>
    <w:rsid w:val="00A93354"/>
    <w:rsid w:val="00AA1293"/>
    <w:rsid w:val="00AA54F5"/>
    <w:rsid w:val="00AA6914"/>
    <w:rsid w:val="00AA69A1"/>
    <w:rsid w:val="00AB3926"/>
    <w:rsid w:val="00AC0F6F"/>
    <w:rsid w:val="00AC7575"/>
    <w:rsid w:val="00AC7A47"/>
    <w:rsid w:val="00AD22AF"/>
    <w:rsid w:val="00AD583F"/>
    <w:rsid w:val="00AD659E"/>
    <w:rsid w:val="00AE0BC9"/>
    <w:rsid w:val="00AE3A9A"/>
    <w:rsid w:val="00AE601F"/>
    <w:rsid w:val="00AF1D9A"/>
    <w:rsid w:val="00AF37BB"/>
    <w:rsid w:val="00AF537A"/>
    <w:rsid w:val="00AF6048"/>
    <w:rsid w:val="00AF6C36"/>
    <w:rsid w:val="00B06A75"/>
    <w:rsid w:val="00B26C0F"/>
    <w:rsid w:val="00B31156"/>
    <w:rsid w:val="00B3327D"/>
    <w:rsid w:val="00B36DF5"/>
    <w:rsid w:val="00B37904"/>
    <w:rsid w:val="00B417C7"/>
    <w:rsid w:val="00B47A42"/>
    <w:rsid w:val="00B52205"/>
    <w:rsid w:val="00B5338A"/>
    <w:rsid w:val="00B55FD3"/>
    <w:rsid w:val="00B71658"/>
    <w:rsid w:val="00B72DC9"/>
    <w:rsid w:val="00B77844"/>
    <w:rsid w:val="00B82B02"/>
    <w:rsid w:val="00BA3921"/>
    <w:rsid w:val="00BB11EE"/>
    <w:rsid w:val="00BC5DB4"/>
    <w:rsid w:val="00BD1E14"/>
    <w:rsid w:val="00BF1E52"/>
    <w:rsid w:val="00BF4DF3"/>
    <w:rsid w:val="00C107A8"/>
    <w:rsid w:val="00C1337B"/>
    <w:rsid w:val="00C212AA"/>
    <w:rsid w:val="00C26868"/>
    <w:rsid w:val="00C31D37"/>
    <w:rsid w:val="00C57BF8"/>
    <w:rsid w:val="00C75569"/>
    <w:rsid w:val="00C81034"/>
    <w:rsid w:val="00C8173C"/>
    <w:rsid w:val="00C8594B"/>
    <w:rsid w:val="00C921FE"/>
    <w:rsid w:val="00C92D5B"/>
    <w:rsid w:val="00C95651"/>
    <w:rsid w:val="00CA0887"/>
    <w:rsid w:val="00CA23C0"/>
    <w:rsid w:val="00CA4822"/>
    <w:rsid w:val="00CA6E19"/>
    <w:rsid w:val="00CA75E9"/>
    <w:rsid w:val="00CB2495"/>
    <w:rsid w:val="00CB2AEF"/>
    <w:rsid w:val="00CC314E"/>
    <w:rsid w:val="00CC3C62"/>
    <w:rsid w:val="00CC5F17"/>
    <w:rsid w:val="00CD14D3"/>
    <w:rsid w:val="00CD4786"/>
    <w:rsid w:val="00CD6E8C"/>
    <w:rsid w:val="00CF37F0"/>
    <w:rsid w:val="00CF3A92"/>
    <w:rsid w:val="00CF5ED1"/>
    <w:rsid w:val="00D0082D"/>
    <w:rsid w:val="00D1124F"/>
    <w:rsid w:val="00D302F7"/>
    <w:rsid w:val="00D34FA0"/>
    <w:rsid w:val="00D35153"/>
    <w:rsid w:val="00D42DE2"/>
    <w:rsid w:val="00D44A91"/>
    <w:rsid w:val="00D4741D"/>
    <w:rsid w:val="00D53A3C"/>
    <w:rsid w:val="00D77F1B"/>
    <w:rsid w:val="00D843CE"/>
    <w:rsid w:val="00D87D17"/>
    <w:rsid w:val="00D901FD"/>
    <w:rsid w:val="00D97B62"/>
    <w:rsid w:val="00DA0877"/>
    <w:rsid w:val="00DB2A93"/>
    <w:rsid w:val="00DC40C4"/>
    <w:rsid w:val="00DD35D1"/>
    <w:rsid w:val="00DE034F"/>
    <w:rsid w:val="00DE3251"/>
    <w:rsid w:val="00DF3C9A"/>
    <w:rsid w:val="00DF3FB9"/>
    <w:rsid w:val="00E02F10"/>
    <w:rsid w:val="00E06583"/>
    <w:rsid w:val="00E12384"/>
    <w:rsid w:val="00E15A0C"/>
    <w:rsid w:val="00E33021"/>
    <w:rsid w:val="00E460EC"/>
    <w:rsid w:val="00E47891"/>
    <w:rsid w:val="00E543A7"/>
    <w:rsid w:val="00E57A4B"/>
    <w:rsid w:val="00E57D8C"/>
    <w:rsid w:val="00E7027F"/>
    <w:rsid w:val="00E738F0"/>
    <w:rsid w:val="00E745F0"/>
    <w:rsid w:val="00E76CB2"/>
    <w:rsid w:val="00E810AC"/>
    <w:rsid w:val="00E838E8"/>
    <w:rsid w:val="00EB06AE"/>
    <w:rsid w:val="00EB3C42"/>
    <w:rsid w:val="00EC5576"/>
    <w:rsid w:val="00ED299F"/>
    <w:rsid w:val="00ED4574"/>
    <w:rsid w:val="00EE0B65"/>
    <w:rsid w:val="00EE24EE"/>
    <w:rsid w:val="00EE266B"/>
    <w:rsid w:val="00EE79C3"/>
    <w:rsid w:val="00EF65EC"/>
    <w:rsid w:val="00EF6798"/>
    <w:rsid w:val="00F00793"/>
    <w:rsid w:val="00F05757"/>
    <w:rsid w:val="00F365D5"/>
    <w:rsid w:val="00F568B4"/>
    <w:rsid w:val="00F61922"/>
    <w:rsid w:val="00F70B80"/>
    <w:rsid w:val="00F75677"/>
    <w:rsid w:val="00F75978"/>
    <w:rsid w:val="00F77AC9"/>
    <w:rsid w:val="00F850D4"/>
    <w:rsid w:val="00F921E2"/>
    <w:rsid w:val="00F9630E"/>
    <w:rsid w:val="00F96759"/>
    <w:rsid w:val="00FA1376"/>
    <w:rsid w:val="00FB301E"/>
    <w:rsid w:val="00FB726C"/>
    <w:rsid w:val="00FB7B10"/>
    <w:rsid w:val="00FC01DB"/>
    <w:rsid w:val="00FC0E29"/>
    <w:rsid w:val="00FC3615"/>
    <w:rsid w:val="00FC5EE3"/>
    <w:rsid w:val="00FD6326"/>
    <w:rsid w:val="00FD6345"/>
    <w:rsid w:val="00FE2B4D"/>
    <w:rsid w:val="00FE54CE"/>
    <w:rsid w:val="00FF2EE1"/>
    <w:rsid w:val="00FF56BA"/>
    <w:rsid w:val="010A3488"/>
    <w:rsid w:val="019E6667"/>
    <w:rsid w:val="01E05581"/>
    <w:rsid w:val="023C7298"/>
    <w:rsid w:val="02506C5A"/>
    <w:rsid w:val="025C6318"/>
    <w:rsid w:val="02765563"/>
    <w:rsid w:val="0336317E"/>
    <w:rsid w:val="035E0DBD"/>
    <w:rsid w:val="041A1188"/>
    <w:rsid w:val="0462143F"/>
    <w:rsid w:val="055C2944"/>
    <w:rsid w:val="05C618F6"/>
    <w:rsid w:val="05DC6403"/>
    <w:rsid w:val="06A7650D"/>
    <w:rsid w:val="070F6F60"/>
    <w:rsid w:val="07290F6C"/>
    <w:rsid w:val="073B1373"/>
    <w:rsid w:val="0795516F"/>
    <w:rsid w:val="07D75A96"/>
    <w:rsid w:val="0845254C"/>
    <w:rsid w:val="08E8410B"/>
    <w:rsid w:val="08EE315B"/>
    <w:rsid w:val="09C54FC6"/>
    <w:rsid w:val="0A211B06"/>
    <w:rsid w:val="0B5E5DFE"/>
    <w:rsid w:val="0BC72610"/>
    <w:rsid w:val="0C012C2E"/>
    <w:rsid w:val="0E654777"/>
    <w:rsid w:val="0EA033F1"/>
    <w:rsid w:val="0F2A25BC"/>
    <w:rsid w:val="0F4B17B5"/>
    <w:rsid w:val="0FD743DF"/>
    <w:rsid w:val="101417FA"/>
    <w:rsid w:val="10886958"/>
    <w:rsid w:val="110C2314"/>
    <w:rsid w:val="132C6D05"/>
    <w:rsid w:val="13AB7A93"/>
    <w:rsid w:val="13E01958"/>
    <w:rsid w:val="141352AC"/>
    <w:rsid w:val="1461426A"/>
    <w:rsid w:val="14807228"/>
    <w:rsid w:val="1485766E"/>
    <w:rsid w:val="14976FD1"/>
    <w:rsid w:val="14BC3C23"/>
    <w:rsid w:val="14E31122"/>
    <w:rsid w:val="14FC0436"/>
    <w:rsid w:val="153C4705"/>
    <w:rsid w:val="15C63D18"/>
    <w:rsid w:val="15D942D4"/>
    <w:rsid w:val="16811870"/>
    <w:rsid w:val="16973047"/>
    <w:rsid w:val="1794273A"/>
    <w:rsid w:val="17AE61A2"/>
    <w:rsid w:val="17CC40F0"/>
    <w:rsid w:val="1A7152CE"/>
    <w:rsid w:val="1AB260E3"/>
    <w:rsid w:val="1AC003FF"/>
    <w:rsid w:val="1B252CBE"/>
    <w:rsid w:val="1BDC7EBC"/>
    <w:rsid w:val="1D0165EA"/>
    <w:rsid w:val="1EC00BFA"/>
    <w:rsid w:val="1EE874F1"/>
    <w:rsid w:val="1F5E37B4"/>
    <w:rsid w:val="1F875C17"/>
    <w:rsid w:val="1F9B68EE"/>
    <w:rsid w:val="1FB34AD5"/>
    <w:rsid w:val="20921EA9"/>
    <w:rsid w:val="215F78C1"/>
    <w:rsid w:val="216D3965"/>
    <w:rsid w:val="21F514CA"/>
    <w:rsid w:val="226D62E8"/>
    <w:rsid w:val="22CD3A61"/>
    <w:rsid w:val="22F65B9C"/>
    <w:rsid w:val="230528DF"/>
    <w:rsid w:val="24276F64"/>
    <w:rsid w:val="24685CB4"/>
    <w:rsid w:val="24D9650F"/>
    <w:rsid w:val="24E440C9"/>
    <w:rsid w:val="25890B8B"/>
    <w:rsid w:val="26203836"/>
    <w:rsid w:val="26203E16"/>
    <w:rsid w:val="26717AE6"/>
    <w:rsid w:val="26792F35"/>
    <w:rsid w:val="27961640"/>
    <w:rsid w:val="27C26BE0"/>
    <w:rsid w:val="2846255D"/>
    <w:rsid w:val="28AD3ACA"/>
    <w:rsid w:val="29895804"/>
    <w:rsid w:val="2A37355B"/>
    <w:rsid w:val="2B146082"/>
    <w:rsid w:val="2B962D07"/>
    <w:rsid w:val="2BB566CD"/>
    <w:rsid w:val="2C3748DB"/>
    <w:rsid w:val="2C526E62"/>
    <w:rsid w:val="2D3B7B0D"/>
    <w:rsid w:val="2D8170ED"/>
    <w:rsid w:val="2DA37311"/>
    <w:rsid w:val="2DCE2518"/>
    <w:rsid w:val="2DFF6B75"/>
    <w:rsid w:val="2F6B6DAC"/>
    <w:rsid w:val="2F6C5969"/>
    <w:rsid w:val="2FED0C50"/>
    <w:rsid w:val="2FFD47A3"/>
    <w:rsid w:val="30361DA1"/>
    <w:rsid w:val="31121B73"/>
    <w:rsid w:val="314059BE"/>
    <w:rsid w:val="31620FB7"/>
    <w:rsid w:val="31643C9B"/>
    <w:rsid w:val="32D979E1"/>
    <w:rsid w:val="3390201E"/>
    <w:rsid w:val="33A81B96"/>
    <w:rsid w:val="33E77D8A"/>
    <w:rsid w:val="34A67315"/>
    <w:rsid w:val="3559239E"/>
    <w:rsid w:val="35681B74"/>
    <w:rsid w:val="357716E7"/>
    <w:rsid w:val="35A11C60"/>
    <w:rsid w:val="35D074E3"/>
    <w:rsid w:val="3666502E"/>
    <w:rsid w:val="367724C2"/>
    <w:rsid w:val="368303D4"/>
    <w:rsid w:val="36994BAA"/>
    <w:rsid w:val="36E378A5"/>
    <w:rsid w:val="36FA5747"/>
    <w:rsid w:val="37645ED6"/>
    <w:rsid w:val="37B07132"/>
    <w:rsid w:val="38516738"/>
    <w:rsid w:val="38770C3F"/>
    <w:rsid w:val="388163D9"/>
    <w:rsid w:val="38A447D8"/>
    <w:rsid w:val="392121F8"/>
    <w:rsid w:val="397D0E24"/>
    <w:rsid w:val="39EA3743"/>
    <w:rsid w:val="3A6000EE"/>
    <w:rsid w:val="3BA73025"/>
    <w:rsid w:val="3BAE1BDB"/>
    <w:rsid w:val="3BF51605"/>
    <w:rsid w:val="3C433EB9"/>
    <w:rsid w:val="3CA713B9"/>
    <w:rsid w:val="3D066A4E"/>
    <w:rsid w:val="3D0965BC"/>
    <w:rsid w:val="3D1B32A0"/>
    <w:rsid w:val="3DB27571"/>
    <w:rsid w:val="3DB72B79"/>
    <w:rsid w:val="3DFE221F"/>
    <w:rsid w:val="3FC733A8"/>
    <w:rsid w:val="40754A75"/>
    <w:rsid w:val="408518F5"/>
    <w:rsid w:val="40881A24"/>
    <w:rsid w:val="41030516"/>
    <w:rsid w:val="411C50F4"/>
    <w:rsid w:val="41257B6B"/>
    <w:rsid w:val="414A7CB0"/>
    <w:rsid w:val="41821A8B"/>
    <w:rsid w:val="41F738E7"/>
    <w:rsid w:val="41FB3191"/>
    <w:rsid w:val="422B213B"/>
    <w:rsid w:val="422F5790"/>
    <w:rsid w:val="429623B6"/>
    <w:rsid w:val="43D75EC8"/>
    <w:rsid w:val="44032691"/>
    <w:rsid w:val="45CB7DE5"/>
    <w:rsid w:val="45DE7FCF"/>
    <w:rsid w:val="45E76DFF"/>
    <w:rsid w:val="46222FA9"/>
    <w:rsid w:val="46664F49"/>
    <w:rsid w:val="46885B8A"/>
    <w:rsid w:val="47607AD6"/>
    <w:rsid w:val="47D248C5"/>
    <w:rsid w:val="48035ED6"/>
    <w:rsid w:val="481C7A95"/>
    <w:rsid w:val="48816D4E"/>
    <w:rsid w:val="489F2696"/>
    <w:rsid w:val="48DD62EB"/>
    <w:rsid w:val="49A759C4"/>
    <w:rsid w:val="4A42555D"/>
    <w:rsid w:val="4C8B1D2E"/>
    <w:rsid w:val="4DA42E3E"/>
    <w:rsid w:val="4FA632AD"/>
    <w:rsid w:val="50B612DA"/>
    <w:rsid w:val="50E61077"/>
    <w:rsid w:val="52400EF9"/>
    <w:rsid w:val="54405FB6"/>
    <w:rsid w:val="549763F7"/>
    <w:rsid w:val="55F32DE5"/>
    <w:rsid w:val="56C019A0"/>
    <w:rsid w:val="57165243"/>
    <w:rsid w:val="573B2837"/>
    <w:rsid w:val="585475B4"/>
    <w:rsid w:val="58661A1D"/>
    <w:rsid w:val="586D448F"/>
    <w:rsid w:val="588E0972"/>
    <w:rsid w:val="5899250C"/>
    <w:rsid w:val="590F5916"/>
    <w:rsid w:val="5997568F"/>
    <w:rsid w:val="59A81C5F"/>
    <w:rsid w:val="5A816620"/>
    <w:rsid w:val="5CB24F0F"/>
    <w:rsid w:val="5D655E4C"/>
    <w:rsid w:val="5DC46246"/>
    <w:rsid w:val="5F0A5597"/>
    <w:rsid w:val="5F575E04"/>
    <w:rsid w:val="5FF81282"/>
    <w:rsid w:val="6051584F"/>
    <w:rsid w:val="62126AA0"/>
    <w:rsid w:val="642073B7"/>
    <w:rsid w:val="64A1537F"/>
    <w:rsid w:val="64A3164B"/>
    <w:rsid w:val="64B701D2"/>
    <w:rsid w:val="64BD6867"/>
    <w:rsid w:val="64DD0CB7"/>
    <w:rsid w:val="652052AC"/>
    <w:rsid w:val="66371F90"/>
    <w:rsid w:val="664663E8"/>
    <w:rsid w:val="67D31D89"/>
    <w:rsid w:val="68EC40B3"/>
    <w:rsid w:val="68FE5622"/>
    <w:rsid w:val="6913095F"/>
    <w:rsid w:val="69730926"/>
    <w:rsid w:val="69AA3179"/>
    <w:rsid w:val="69C75A92"/>
    <w:rsid w:val="6A741446"/>
    <w:rsid w:val="6A92057A"/>
    <w:rsid w:val="6B7C365E"/>
    <w:rsid w:val="6F0137F4"/>
    <w:rsid w:val="6FA5605D"/>
    <w:rsid w:val="720D3568"/>
    <w:rsid w:val="726F528C"/>
    <w:rsid w:val="730B1327"/>
    <w:rsid w:val="734F0FD2"/>
    <w:rsid w:val="753F5076"/>
    <w:rsid w:val="75C50CE4"/>
    <w:rsid w:val="76374214"/>
    <w:rsid w:val="76594217"/>
    <w:rsid w:val="76FD6F97"/>
    <w:rsid w:val="77C92171"/>
    <w:rsid w:val="78285630"/>
    <w:rsid w:val="78857278"/>
    <w:rsid w:val="790A14F7"/>
    <w:rsid w:val="79B80F53"/>
    <w:rsid w:val="7A3C7DD6"/>
    <w:rsid w:val="7A5D7401"/>
    <w:rsid w:val="7ACD33EF"/>
    <w:rsid w:val="7B594858"/>
    <w:rsid w:val="7BA14FFF"/>
    <w:rsid w:val="7CA01D93"/>
    <w:rsid w:val="7CE431F0"/>
    <w:rsid w:val="7D423956"/>
    <w:rsid w:val="7E077E17"/>
    <w:rsid w:val="7E401299"/>
    <w:rsid w:val="7E6C18D4"/>
    <w:rsid w:val="7E6D055E"/>
    <w:rsid w:val="7E6F0780"/>
    <w:rsid w:val="7F522B15"/>
    <w:rsid w:val="7F9E2999"/>
    <w:rsid w:val="7FA2134F"/>
    <w:rsid w:val="7FB523B7"/>
    <w:rsid w:val="FEFB9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eastAsia="仿宋_GB2312"/>
      <w:b/>
      <w:kern w:val="44"/>
      <w:sz w:val="24"/>
      <w:szCs w:val="24"/>
    </w:rPr>
  </w:style>
  <w:style w:type="paragraph" w:styleId="3">
    <w:name w:val="heading 2"/>
    <w:basedOn w:val="1"/>
    <w:next w:val="1"/>
    <w:qFormat/>
    <w:uiPriority w:val="0"/>
    <w:pPr>
      <w:keepNext/>
      <w:keepLines/>
      <w:widowControl/>
      <w:spacing w:before="260" w:after="260" w:line="415" w:lineRule="auto"/>
      <w:jc w:val="center"/>
      <w:outlineLvl w:val="1"/>
    </w:pPr>
    <w:rPr>
      <w:rFonts w:ascii="Arial" w:hAnsi="Arial" w:eastAsia="黑体"/>
      <w:b/>
      <w:sz w:val="36"/>
      <w:lang w:val="zh-CN"/>
    </w:rPr>
  </w:style>
  <w:style w:type="paragraph" w:styleId="4">
    <w:name w:val="heading 3"/>
    <w:basedOn w:val="1"/>
    <w:next w:val="1"/>
    <w:qFormat/>
    <w:uiPriority w:val="0"/>
    <w:pPr>
      <w:keepNext/>
      <w:keepLines/>
      <w:spacing w:before="20" w:after="20" w:line="416" w:lineRule="auto"/>
      <w:outlineLvl w:val="2"/>
    </w:pPr>
    <w:rPr>
      <w:rFonts w:eastAsia="黑体"/>
      <w:bCs/>
      <w:kern w:val="0"/>
      <w:sz w:val="24"/>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4"/>
    </w:rPr>
  </w:style>
  <w:style w:type="paragraph" w:styleId="6">
    <w:name w:val="annotation text"/>
    <w:basedOn w:val="1"/>
    <w:semiHidden/>
    <w:unhideWhenUsed/>
    <w:qFormat/>
    <w:uiPriority w:val="99"/>
    <w:pPr>
      <w:jc w:val="left"/>
    </w:pPr>
  </w:style>
  <w:style w:type="paragraph" w:styleId="7">
    <w:name w:val="Body Text"/>
    <w:basedOn w:val="1"/>
    <w:link w:val="43"/>
    <w:qFormat/>
    <w:uiPriority w:val="0"/>
    <w:pPr>
      <w:spacing w:after="120"/>
    </w:pPr>
    <w:rPr>
      <w:szCs w:val="24"/>
    </w:rPr>
  </w:style>
  <w:style w:type="paragraph" w:styleId="8">
    <w:name w:val="Body Text Indent"/>
    <w:basedOn w:val="1"/>
    <w:next w:val="9"/>
    <w:link w:val="46"/>
    <w:qFormat/>
    <w:uiPriority w:val="0"/>
    <w:pPr>
      <w:ind w:firstLine="420"/>
    </w:pPr>
    <w:rPr>
      <w:sz w:val="24"/>
    </w:rPr>
  </w:style>
  <w:style w:type="paragraph" w:styleId="9">
    <w:name w:val="envelope return"/>
    <w:basedOn w:val="1"/>
    <w:qFormat/>
    <w:uiPriority w:val="0"/>
    <w:pPr>
      <w:snapToGrid w:val="0"/>
    </w:pPr>
    <w:rPr>
      <w:rFonts w:ascii="Arial" w:hAnsi="Arial"/>
    </w:rPr>
  </w:style>
  <w:style w:type="paragraph" w:styleId="10">
    <w:name w:val="Plain Text"/>
    <w:basedOn w:val="1"/>
    <w:link w:val="41"/>
    <w:qFormat/>
    <w:uiPriority w:val="0"/>
    <w:rPr>
      <w:rFonts w:ascii="宋体" w:hAnsi="Courier New" w:cstheme="minorBidi"/>
      <w:szCs w:val="22"/>
    </w:rPr>
  </w:style>
  <w:style w:type="paragraph" w:styleId="11">
    <w:name w:val="Date"/>
    <w:basedOn w:val="1"/>
    <w:next w:val="1"/>
    <w:link w:val="44"/>
    <w:qFormat/>
    <w:uiPriority w:val="0"/>
    <w:rPr>
      <w:sz w:val="24"/>
    </w:rPr>
  </w:style>
  <w:style w:type="paragraph" w:styleId="12">
    <w:name w:val="Body Text Indent 2"/>
    <w:basedOn w:val="1"/>
    <w:link w:val="47"/>
    <w:qFormat/>
    <w:uiPriority w:val="0"/>
    <w:pPr>
      <w:spacing w:after="120" w:line="480" w:lineRule="auto"/>
      <w:ind w:left="420" w:leftChars="200"/>
    </w:pPr>
  </w:style>
  <w:style w:type="paragraph" w:styleId="13">
    <w:name w:val="Balloon Text"/>
    <w:basedOn w:val="1"/>
    <w:link w:val="45"/>
    <w:qFormat/>
    <w:uiPriority w:val="0"/>
    <w:rPr>
      <w:sz w:val="18"/>
      <w:szCs w:val="18"/>
    </w:rPr>
  </w:style>
  <w:style w:type="paragraph" w:styleId="14">
    <w:name w:val="footer"/>
    <w:basedOn w:val="1"/>
    <w:link w:val="39"/>
    <w:unhideWhenUsed/>
    <w:qFormat/>
    <w:uiPriority w:val="0"/>
    <w:pPr>
      <w:tabs>
        <w:tab w:val="center" w:pos="4153"/>
        <w:tab w:val="right" w:pos="8306"/>
      </w:tabs>
      <w:snapToGrid w:val="0"/>
      <w:jc w:val="left"/>
    </w:pPr>
    <w:rPr>
      <w:sz w:val="18"/>
      <w:szCs w:val="18"/>
    </w:rPr>
  </w:style>
  <w:style w:type="paragraph" w:styleId="15">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Body Text Indent 3"/>
    <w:basedOn w:val="1"/>
    <w:link w:val="42"/>
    <w:qFormat/>
    <w:uiPriority w:val="0"/>
    <w:pPr>
      <w:ind w:firstLine="480"/>
    </w:pPr>
    <w:rPr>
      <w:rFonts w:ascii="宋体" w:hAnsi="宋体"/>
      <w:sz w:val="24"/>
    </w:rPr>
  </w:style>
  <w:style w:type="paragraph" w:styleId="18">
    <w:name w:val="Normal (Web)"/>
    <w:basedOn w:val="1"/>
    <w:qFormat/>
    <w:uiPriority w:val="0"/>
    <w:pPr>
      <w:widowControl/>
      <w:spacing w:before="100" w:beforeAutospacing="1" w:after="100" w:afterAutospacing="1"/>
      <w:jc w:val="left"/>
    </w:pPr>
    <w:rPr>
      <w:rFonts w:ascii="宋体" w:hAnsi="宋体" w:eastAsiaTheme="minorEastAsia" w:cstheme="minorBidi"/>
      <w:kern w:val="0"/>
      <w:sz w:val="24"/>
      <w:szCs w:val="24"/>
    </w:rPr>
  </w:style>
  <w:style w:type="paragraph" w:styleId="19">
    <w:name w:val="index 1"/>
    <w:basedOn w:val="1"/>
    <w:next w:val="1"/>
    <w:qFormat/>
    <w:uiPriority w:val="0"/>
    <w:rPr>
      <w:rFonts w:ascii="宋体" w:hAnsi="宋体"/>
      <w:b/>
      <w:bCs/>
      <w:szCs w:val="24"/>
    </w:rPr>
  </w:style>
  <w:style w:type="paragraph" w:styleId="20">
    <w:name w:val="Body Text First Indent 2"/>
    <w:basedOn w:val="8"/>
    <w:next w:val="1"/>
    <w:qFormat/>
    <w:uiPriority w:val="99"/>
    <w:pPr>
      <w:ind w:firstLine="200" w:firstLineChars="200"/>
    </w:p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style>
  <w:style w:type="character" w:styleId="25">
    <w:name w:val="page number"/>
    <w:basedOn w:val="23"/>
    <w:qFormat/>
    <w:uiPriority w:val="0"/>
  </w:style>
  <w:style w:type="character" w:styleId="26">
    <w:name w:val="Emphasis"/>
    <w:basedOn w:val="23"/>
    <w:qFormat/>
    <w:uiPriority w:val="20"/>
  </w:style>
  <w:style w:type="character" w:styleId="27">
    <w:name w:val="HTML Definition"/>
    <w:basedOn w:val="23"/>
    <w:semiHidden/>
    <w:unhideWhenUsed/>
    <w:qFormat/>
    <w:uiPriority w:val="99"/>
  </w:style>
  <w:style w:type="character" w:styleId="28">
    <w:name w:val="HTML Typewriter"/>
    <w:basedOn w:val="23"/>
    <w:semiHidden/>
    <w:unhideWhenUsed/>
    <w:qFormat/>
    <w:uiPriority w:val="99"/>
    <w:rPr>
      <w:rFonts w:hint="default" w:ascii="monospace" w:hAnsi="monospace" w:eastAsia="monospace" w:cs="monospace"/>
      <w:sz w:val="20"/>
    </w:rPr>
  </w:style>
  <w:style w:type="character" w:styleId="29">
    <w:name w:val="HTML Acronym"/>
    <w:basedOn w:val="23"/>
    <w:semiHidden/>
    <w:unhideWhenUsed/>
    <w:qFormat/>
    <w:uiPriority w:val="99"/>
  </w:style>
  <w:style w:type="character" w:styleId="30">
    <w:name w:val="HTML Variable"/>
    <w:basedOn w:val="23"/>
    <w:semiHidden/>
    <w:unhideWhenUsed/>
    <w:qFormat/>
    <w:uiPriority w:val="99"/>
  </w:style>
  <w:style w:type="character" w:styleId="31">
    <w:name w:val="Hyperlink"/>
    <w:basedOn w:val="23"/>
    <w:qFormat/>
    <w:uiPriority w:val="0"/>
    <w:rPr>
      <w:color w:val="0000FF"/>
      <w:u w:val="single"/>
    </w:rPr>
  </w:style>
  <w:style w:type="character" w:styleId="32">
    <w:name w:val="HTML Code"/>
    <w:basedOn w:val="23"/>
    <w:semiHidden/>
    <w:unhideWhenUsed/>
    <w:qFormat/>
    <w:uiPriority w:val="99"/>
    <w:rPr>
      <w:rFonts w:ascii="monospace" w:hAnsi="monospace" w:eastAsia="monospace" w:cs="monospace"/>
      <w:sz w:val="20"/>
    </w:rPr>
  </w:style>
  <w:style w:type="character" w:styleId="33">
    <w:name w:val="annotation reference"/>
    <w:basedOn w:val="23"/>
    <w:semiHidden/>
    <w:unhideWhenUsed/>
    <w:qFormat/>
    <w:uiPriority w:val="99"/>
    <w:rPr>
      <w:sz w:val="21"/>
      <w:szCs w:val="21"/>
    </w:rPr>
  </w:style>
  <w:style w:type="character" w:styleId="34">
    <w:name w:val="HTML Cite"/>
    <w:basedOn w:val="23"/>
    <w:semiHidden/>
    <w:unhideWhenUsed/>
    <w:qFormat/>
    <w:uiPriority w:val="99"/>
  </w:style>
  <w:style w:type="character" w:styleId="35">
    <w:name w:val="HTML Keyboard"/>
    <w:basedOn w:val="23"/>
    <w:semiHidden/>
    <w:unhideWhenUsed/>
    <w:qFormat/>
    <w:uiPriority w:val="99"/>
    <w:rPr>
      <w:rFonts w:hint="default" w:ascii="monospace" w:hAnsi="monospace" w:eastAsia="monospace" w:cs="monospace"/>
      <w:sz w:val="20"/>
    </w:rPr>
  </w:style>
  <w:style w:type="character" w:styleId="36">
    <w:name w:val="HTML Sample"/>
    <w:basedOn w:val="23"/>
    <w:semiHidden/>
    <w:unhideWhenUsed/>
    <w:qFormat/>
    <w:uiPriority w:val="99"/>
    <w:rPr>
      <w:rFonts w:hint="default" w:ascii="monospace" w:hAnsi="monospace" w:eastAsia="monospace" w:cs="monospace"/>
    </w:rPr>
  </w:style>
  <w:style w:type="paragraph" w:customStyle="1" w:styleId="37">
    <w:name w:val="样式 ！正文 + 首行缩进:  2 字符"/>
    <w:basedOn w:val="1"/>
    <w:next w:val="1"/>
    <w:qFormat/>
    <w:uiPriority w:val="0"/>
    <w:pPr>
      <w:adjustRightInd w:val="0"/>
      <w:spacing w:line="360" w:lineRule="atLeast"/>
      <w:ind w:firstLine="480" w:firstLineChars="200"/>
      <w:textAlignment w:val="baseline"/>
    </w:pPr>
    <w:rPr>
      <w:rFonts w:hint="eastAsia" w:ascii="Arial" w:hAnsi="Arial" w:cs="宋体"/>
      <w:kern w:val="0"/>
      <w:sz w:val="20"/>
    </w:rPr>
  </w:style>
  <w:style w:type="character" w:customStyle="1" w:styleId="38">
    <w:name w:val="页眉 Char"/>
    <w:basedOn w:val="23"/>
    <w:link w:val="15"/>
    <w:qFormat/>
    <w:uiPriority w:val="99"/>
    <w:rPr>
      <w:sz w:val="18"/>
      <w:szCs w:val="18"/>
    </w:rPr>
  </w:style>
  <w:style w:type="character" w:customStyle="1" w:styleId="39">
    <w:name w:val="页脚 Char"/>
    <w:basedOn w:val="23"/>
    <w:link w:val="14"/>
    <w:qFormat/>
    <w:uiPriority w:val="99"/>
    <w:rPr>
      <w:sz w:val="18"/>
      <w:szCs w:val="18"/>
    </w:rPr>
  </w:style>
  <w:style w:type="character" w:customStyle="1" w:styleId="40">
    <w:name w:val="标题 1 Char"/>
    <w:basedOn w:val="23"/>
    <w:link w:val="2"/>
    <w:qFormat/>
    <w:uiPriority w:val="0"/>
    <w:rPr>
      <w:rFonts w:ascii="Times New Roman" w:hAnsi="Times New Roman" w:eastAsia="仿宋_GB2312" w:cs="Times New Roman"/>
      <w:b/>
      <w:kern w:val="44"/>
      <w:sz w:val="24"/>
      <w:szCs w:val="24"/>
    </w:rPr>
  </w:style>
  <w:style w:type="character" w:customStyle="1" w:styleId="41">
    <w:name w:val="纯文本 Char"/>
    <w:basedOn w:val="23"/>
    <w:link w:val="10"/>
    <w:qFormat/>
    <w:uiPriority w:val="0"/>
    <w:rPr>
      <w:rFonts w:ascii="宋体" w:hAnsi="Courier New" w:eastAsia="宋体"/>
    </w:rPr>
  </w:style>
  <w:style w:type="character" w:customStyle="1" w:styleId="42">
    <w:name w:val="正文文本缩进 3 Char"/>
    <w:basedOn w:val="23"/>
    <w:link w:val="17"/>
    <w:qFormat/>
    <w:uiPriority w:val="0"/>
    <w:rPr>
      <w:rFonts w:ascii="宋体" w:hAnsi="宋体" w:eastAsia="宋体" w:cs="Times New Roman"/>
      <w:sz w:val="24"/>
      <w:szCs w:val="20"/>
    </w:rPr>
  </w:style>
  <w:style w:type="character" w:customStyle="1" w:styleId="43">
    <w:name w:val="正文文本 Char"/>
    <w:basedOn w:val="23"/>
    <w:link w:val="7"/>
    <w:qFormat/>
    <w:uiPriority w:val="0"/>
    <w:rPr>
      <w:rFonts w:ascii="Times New Roman" w:hAnsi="Times New Roman" w:eastAsia="宋体" w:cs="Times New Roman"/>
      <w:szCs w:val="24"/>
    </w:rPr>
  </w:style>
  <w:style w:type="character" w:customStyle="1" w:styleId="44">
    <w:name w:val="日期 Char"/>
    <w:basedOn w:val="23"/>
    <w:link w:val="11"/>
    <w:qFormat/>
    <w:uiPriority w:val="0"/>
    <w:rPr>
      <w:rFonts w:ascii="Times New Roman" w:hAnsi="Times New Roman" w:eastAsia="宋体" w:cs="Times New Roman"/>
      <w:sz w:val="24"/>
      <w:szCs w:val="20"/>
    </w:rPr>
  </w:style>
  <w:style w:type="character" w:customStyle="1" w:styleId="45">
    <w:name w:val="批注框文本 Char"/>
    <w:basedOn w:val="23"/>
    <w:link w:val="13"/>
    <w:qFormat/>
    <w:uiPriority w:val="0"/>
    <w:rPr>
      <w:rFonts w:ascii="Times New Roman" w:hAnsi="Times New Roman" w:eastAsia="宋体" w:cs="Times New Roman"/>
      <w:sz w:val="18"/>
      <w:szCs w:val="18"/>
    </w:rPr>
  </w:style>
  <w:style w:type="character" w:customStyle="1" w:styleId="46">
    <w:name w:val="正文文本缩进 Char"/>
    <w:basedOn w:val="23"/>
    <w:link w:val="8"/>
    <w:qFormat/>
    <w:uiPriority w:val="0"/>
    <w:rPr>
      <w:rFonts w:ascii="Times New Roman" w:hAnsi="Times New Roman" w:eastAsia="宋体" w:cs="Times New Roman"/>
      <w:sz w:val="24"/>
      <w:szCs w:val="20"/>
    </w:rPr>
  </w:style>
  <w:style w:type="character" w:customStyle="1" w:styleId="47">
    <w:name w:val="正文文本缩进 2 Char"/>
    <w:basedOn w:val="23"/>
    <w:link w:val="12"/>
    <w:qFormat/>
    <w:uiPriority w:val="0"/>
    <w:rPr>
      <w:rFonts w:ascii="Times New Roman" w:hAnsi="Times New Roman" w:eastAsia="宋体" w:cs="Times New Roman"/>
      <w:szCs w:val="20"/>
    </w:rPr>
  </w:style>
  <w:style w:type="character" w:customStyle="1" w:styleId="48">
    <w:name w:val="纯文本 Char1"/>
    <w:basedOn w:val="23"/>
    <w:semiHidden/>
    <w:qFormat/>
    <w:uiPriority w:val="99"/>
    <w:rPr>
      <w:rFonts w:ascii="宋体" w:hAnsi="Courier New" w:eastAsia="宋体" w:cs="Courier New"/>
      <w:szCs w:val="21"/>
    </w:rPr>
  </w:style>
  <w:style w:type="paragraph" w:customStyle="1" w:styleId="49">
    <w:name w:val="Char1 Char Char Char"/>
    <w:basedOn w:val="1"/>
    <w:qFormat/>
    <w:uiPriority w:val="0"/>
    <w:rPr>
      <w:rFonts w:ascii="Tahoma" w:hAnsi="Tahoma"/>
      <w:sz w:val="30"/>
      <w:szCs w:val="30"/>
    </w:rPr>
  </w:style>
  <w:style w:type="paragraph" w:customStyle="1" w:styleId="50">
    <w:name w:val="p0"/>
    <w:basedOn w:val="1"/>
    <w:qFormat/>
    <w:uiPriority w:val="0"/>
    <w:pPr>
      <w:widowControl/>
    </w:pPr>
    <w:rPr>
      <w:kern w:val="0"/>
      <w:szCs w:val="21"/>
    </w:rPr>
  </w:style>
  <w:style w:type="paragraph" w:customStyle="1" w:styleId="51">
    <w:name w:val="Char Char Char Char"/>
    <w:basedOn w:val="1"/>
    <w:qFormat/>
    <w:uiPriority w:val="0"/>
    <w:pPr>
      <w:widowControl/>
      <w:spacing w:after="160" w:line="240" w:lineRule="exact"/>
      <w:jc w:val="left"/>
    </w:pPr>
    <w:rPr>
      <w:sz w:val="28"/>
      <w:szCs w:val="24"/>
    </w:rPr>
  </w:style>
  <w:style w:type="paragraph" w:customStyle="1" w:styleId="52">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53">
    <w:name w:val="List Paragraph"/>
    <w:basedOn w:val="1"/>
    <w:unhideWhenUsed/>
    <w:qFormat/>
    <w:uiPriority w:val="99"/>
    <w:pPr>
      <w:ind w:firstLine="420" w:firstLineChars="200"/>
    </w:pPr>
  </w:style>
  <w:style w:type="character" w:customStyle="1" w:styleId="54">
    <w:name w:val="add1"/>
    <w:basedOn w:val="23"/>
    <w:qFormat/>
    <w:uiPriority w:val="0"/>
  </w:style>
  <w:style w:type="character" w:customStyle="1" w:styleId="55">
    <w:name w:val="del"/>
    <w:basedOn w:val="23"/>
    <w:qFormat/>
    <w:uiPriority w:val="0"/>
  </w:style>
  <w:style w:type="character" w:customStyle="1" w:styleId="56">
    <w:name w:val="del1"/>
    <w:basedOn w:val="23"/>
    <w:qFormat/>
    <w:uiPriority w:val="0"/>
  </w:style>
  <w:style w:type="character" w:customStyle="1" w:styleId="57">
    <w:name w:val="del2"/>
    <w:basedOn w:val="23"/>
    <w:qFormat/>
    <w:uiPriority w:val="0"/>
  </w:style>
  <w:style w:type="character" w:customStyle="1" w:styleId="58">
    <w:name w:val="share"/>
    <w:basedOn w:val="23"/>
    <w:qFormat/>
    <w:uiPriority w:val="0"/>
  </w:style>
  <w:style w:type="character" w:customStyle="1" w:styleId="59">
    <w:name w:val="new"/>
    <w:basedOn w:val="23"/>
    <w:qFormat/>
    <w:uiPriority w:val="0"/>
  </w:style>
  <w:style w:type="character" w:customStyle="1" w:styleId="60">
    <w:name w:val="search"/>
    <w:basedOn w:val="23"/>
    <w:qFormat/>
    <w:uiPriority w:val="0"/>
  </w:style>
  <w:style w:type="character" w:customStyle="1" w:styleId="61">
    <w:name w:val="search1"/>
    <w:basedOn w:val="23"/>
    <w:qFormat/>
    <w:uiPriority w:val="0"/>
  </w:style>
  <w:style w:type="character" w:customStyle="1" w:styleId="62">
    <w:name w:val="modify"/>
    <w:basedOn w:val="23"/>
    <w:qFormat/>
    <w:uiPriority w:val="0"/>
  </w:style>
  <w:style w:type="character" w:customStyle="1" w:styleId="63">
    <w:name w:val="modify1"/>
    <w:basedOn w:val="23"/>
    <w:qFormat/>
    <w:uiPriority w:val="0"/>
  </w:style>
  <w:style w:type="character" w:customStyle="1" w:styleId="64">
    <w:name w:val="letter"/>
    <w:basedOn w:val="23"/>
    <w:qFormat/>
    <w:uiPriority w:val="0"/>
  </w:style>
  <w:style w:type="character" w:customStyle="1" w:styleId="65">
    <w:name w:val="send"/>
    <w:basedOn w:val="23"/>
    <w:qFormat/>
    <w:uiPriority w:val="0"/>
  </w:style>
  <w:style w:type="character" w:customStyle="1" w:styleId="66">
    <w:name w:val="call"/>
    <w:basedOn w:val="23"/>
    <w:qFormat/>
    <w:uiPriority w:val="0"/>
  </w:style>
  <w:style w:type="character" w:customStyle="1" w:styleId="67">
    <w:name w:val="mail"/>
    <w:basedOn w:val="23"/>
    <w:qFormat/>
    <w:uiPriority w:val="0"/>
  </w:style>
  <w:style w:type="character" w:customStyle="1" w:styleId="68">
    <w:name w:val="file"/>
    <w:basedOn w:val="23"/>
    <w:qFormat/>
    <w:uiPriority w:val="0"/>
  </w:style>
  <w:style w:type="character" w:customStyle="1" w:styleId="69">
    <w:name w:val="read"/>
    <w:basedOn w:val="23"/>
    <w:qFormat/>
    <w:uiPriority w:val="0"/>
  </w:style>
  <w:style w:type="character" w:customStyle="1" w:styleId="70">
    <w:name w:val="access"/>
    <w:basedOn w:val="23"/>
    <w:qFormat/>
    <w:uiPriority w:val="0"/>
  </w:style>
  <w:style w:type="character" w:customStyle="1" w:styleId="71">
    <w:name w:val="home"/>
    <w:basedOn w:val="23"/>
    <w:qFormat/>
    <w:uiPriority w:val="0"/>
  </w:style>
  <w:style w:type="character" w:customStyle="1" w:styleId="72">
    <w:name w:val="num2"/>
    <w:basedOn w:val="23"/>
    <w:qFormat/>
    <w:uiPriority w:val="0"/>
    <w:rPr>
      <w:color w:val="FF0000"/>
    </w:rPr>
  </w:style>
  <w:style w:type="character" w:customStyle="1" w:styleId="73">
    <w:name w:val="cut"/>
    <w:basedOn w:val="23"/>
    <w:qFormat/>
    <w:uiPriority w:val="0"/>
  </w:style>
  <w:style w:type="character" w:customStyle="1" w:styleId="74">
    <w:name w:val="cut1"/>
    <w:basedOn w:val="23"/>
    <w:qFormat/>
    <w:uiPriority w:val="0"/>
  </w:style>
  <w:style w:type="character" w:customStyle="1" w:styleId="75">
    <w:name w:val="year"/>
    <w:basedOn w:val="23"/>
    <w:qFormat/>
    <w:uiPriority w:val="0"/>
  </w:style>
  <w:style w:type="character" w:customStyle="1" w:styleId="76">
    <w:name w:val="num1"/>
    <w:basedOn w:val="23"/>
    <w:qFormat/>
    <w:uiPriority w:val="0"/>
    <w:rPr>
      <w:b/>
      <w:color w:val="FF0000"/>
    </w:rPr>
  </w:style>
  <w:style w:type="character" w:customStyle="1" w:styleId="77">
    <w:name w:val="sortdown"/>
    <w:basedOn w:val="23"/>
    <w:qFormat/>
    <w:uiPriority w:val="0"/>
  </w:style>
  <w:style w:type="character" w:customStyle="1" w:styleId="78">
    <w:name w:val="boot"/>
    <w:basedOn w:val="23"/>
    <w:qFormat/>
    <w:uiPriority w:val="0"/>
  </w:style>
  <w:style w:type="character" w:customStyle="1" w:styleId="79">
    <w:name w:val="plantime"/>
    <w:basedOn w:val="23"/>
    <w:qFormat/>
    <w:uiPriority w:val="0"/>
    <w:rPr>
      <w:color w:val="B30000"/>
    </w:rPr>
  </w:style>
  <w:style w:type="character" w:customStyle="1" w:styleId="80">
    <w:name w:val="plancontent"/>
    <w:basedOn w:val="23"/>
    <w:qFormat/>
    <w:uiPriority w:val="0"/>
    <w:rPr>
      <w:color w:val="555555"/>
    </w:rPr>
  </w:style>
  <w:style w:type="character" w:customStyle="1" w:styleId="81">
    <w:name w:val="accbak"/>
    <w:basedOn w:val="23"/>
    <w:qFormat/>
    <w:uiPriority w:val="0"/>
  </w:style>
  <w:style w:type="character" w:customStyle="1" w:styleId="82">
    <w:name w:val="export"/>
    <w:basedOn w:val="23"/>
    <w:qFormat/>
    <w:uiPriority w:val="0"/>
  </w:style>
  <w:style w:type="character" w:customStyle="1" w:styleId="83">
    <w:name w:val="leftcorn"/>
    <w:basedOn w:val="23"/>
    <w:qFormat/>
    <w:uiPriority w:val="0"/>
  </w:style>
  <w:style w:type="character" w:customStyle="1" w:styleId="84">
    <w:name w:val="rightcorn"/>
    <w:basedOn w:val="23"/>
    <w:qFormat/>
    <w:uiPriority w:val="0"/>
  </w:style>
  <w:style w:type="character" w:customStyle="1" w:styleId="85">
    <w:name w:val="setdept"/>
    <w:basedOn w:val="23"/>
    <w:qFormat/>
    <w:uiPriority w:val="0"/>
  </w:style>
  <w:style w:type="character" w:customStyle="1" w:styleId="86">
    <w:name w:val="contactadd"/>
    <w:basedOn w:val="23"/>
    <w:qFormat/>
    <w:uiPriority w:val="0"/>
  </w:style>
  <w:style w:type="character" w:customStyle="1" w:styleId="87">
    <w:name w:val="refresh"/>
    <w:basedOn w:val="23"/>
    <w:qFormat/>
    <w:uiPriority w:val="0"/>
  </w:style>
  <w:style w:type="character" w:customStyle="1" w:styleId="88">
    <w:name w:val="tag"/>
    <w:basedOn w:val="23"/>
    <w:qFormat/>
    <w:uiPriority w:val="0"/>
  </w:style>
  <w:style w:type="character" w:customStyle="1" w:styleId="89">
    <w:name w:val="layui-this2"/>
    <w:basedOn w:val="23"/>
    <w:qFormat/>
    <w:uiPriority w:val="0"/>
    <w:rPr>
      <w:bdr w:val="single" w:color="EEEEEE" w:sz="6" w:space="0"/>
      <w:shd w:val="clear" w:color="auto" w:fill="FFFFFF"/>
    </w:rPr>
  </w:style>
  <w:style w:type="character" w:customStyle="1" w:styleId="90">
    <w:name w:val="dview"/>
    <w:basedOn w:val="23"/>
    <w:qFormat/>
    <w:uiPriority w:val="0"/>
  </w:style>
  <w:style w:type="character" w:customStyle="1" w:styleId="91">
    <w:name w:val="sort"/>
    <w:basedOn w:val="23"/>
    <w:qFormat/>
    <w:uiPriority w:val="0"/>
  </w:style>
  <w:style w:type="character" w:customStyle="1" w:styleId="92">
    <w:name w:val="sortup"/>
    <w:basedOn w:val="23"/>
    <w:qFormat/>
    <w:uiPriority w:val="0"/>
  </w:style>
  <w:style w:type="character" w:customStyle="1" w:styleId="93">
    <w:name w:val="remove"/>
    <w:basedOn w:val="23"/>
    <w:qFormat/>
    <w:uiPriority w:val="0"/>
  </w:style>
  <w:style w:type="character" w:customStyle="1" w:styleId="94">
    <w:name w:val="play"/>
    <w:basedOn w:val="23"/>
    <w:qFormat/>
    <w:uiPriority w:val="0"/>
  </w:style>
  <w:style w:type="character" w:customStyle="1" w:styleId="95">
    <w:name w:val="auth"/>
    <w:basedOn w:val="23"/>
    <w:qFormat/>
    <w:uiPriority w:val="0"/>
  </w:style>
  <w:style w:type="character" w:customStyle="1" w:styleId="96">
    <w:name w:val="stop"/>
    <w:basedOn w:val="23"/>
    <w:qFormat/>
    <w:uiPriority w:val="0"/>
  </w:style>
  <w:style w:type="character" w:customStyle="1" w:styleId="97">
    <w:name w:val="assign"/>
    <w:basedOn w:val="23"/>
    <w:qFormat/>
    <w:uiPriority w:val="0"/>
  </w:style>
  <w:style w:type="character" w:customStyle="1" w:styleId="98">
    <w:name w:val="confirm"/>
    <w:basedOn w:val="23"/>
    <w:qFormat/>
    <w:uiPriority w:val="0"/>
  </w:style>
  <w:style w:type="character" w:customStyle="1" w:styleId="99">
    <w:name w:val="back"/>
    <w:basedOn w:val="23"/>
    <w:qFormat/>
    <w:uiPriority w:val="0"/>
  </w:style>
  <w:style w:type="character" w:customStyle="1" w:styleId="100">
    <w:name w:val="copy"/>
    <w:basedOn w:val="23"/>
    <w:qFormat/>
    <w:uiPriority w:val="0"/>
  </w:style>
  <w:style w:type="character" w:customStyle="1" w:styleId="101">
    <w:name w:val="belong"/>
    <w:basedOn w:val="23"/>
    <w:qFormat/>
    <w:uiPriority w:val="0"/>
  </w:style>
  <w:style w:type="character" w:customStyle="1" w:styleId="102">
    <w:name w:val="mstate"/>
    <w:basedOn w:val="23"/>
    <w:qFormat/>
    <w:uiPriority w:val="0"/>
  </w:style>
  <w:style w:type="character" w:customStyle="1" w:styleId="103">
    <w:name w:val="accall"/>
    <w:basedOn w:val="23"/>
    <w:qFormat/>
    <w:uiPriority w:val="0"/>
  </w:style>
  <w:style w:type="character" w:customStyle="1" w:styleId="104">
    <w:name w:val="drop"/>
    <w:basedOn w:val="23"/>
    <w:qFormat/>
    <w:uiPriority w:val="0"/>
  </w:style>
  <w:style w:type="character" w:customStyle="1" w:styleId="105">
    <w:name w:val="zero"/>
    <w:basedOn w:val="23"/>
    <w:qFormat/>
    <w:uiPriority w:val="0"/>
  </w:style>
  <w:style w:type="character" w:customStyle="1" w:styleId="106">
    <w:name w:val="upload"/>
    <w:basedOn w:val="23"/>
    <w:qFormat/>
    <w:uiPriority w:val="0"/>
  </w:style>
  <w:style w:type="character" w:customStyle="1" w:styleId="107">
    <w:name w:val="accwrite"/>
    <w:basedOn w:val="23"/>
    <w:qFormat/>
    <w:uiPriority w:val="0"/>
  </w:style>
  <w:style w:type="character" w:customStyle="1" w:styleId="108">
    <w:name w:val="hover10"/>
    <w:basedOn w:val="23"/>
    <w:qFormat/>
    <w:uiPriority w:val="0"/>
    <w:rPr>
      <w:color w:val="5FB878"/>
    </w:rPr>
  </w:style>
  <w:style w:type="character" w:customStyle="1" w:styleId="109">
    <w:name w:val="hover11"/>
    <w:basedOn w:val="23"/>
    <w:qFormat/>
    <w:uiPriority w:val="0"/>
    <w:rPr>
      <w:color w:val="5FB878"/>
    </w:rPr>
  </w:style>
  <w:style w:type="character" w:customStyle="1" w:styleId="110">
    <w:name w:val="hover12"/>
    <w:basedOn w:val="23"/>
    <w:qFormat/>
    <w:uiPriority w:val="0"/>
    <w:rPr>
      <w:color w:val="FFFFFF"/>
    </w:rPr>
  </w:style>
  <w:style w:type="character" w:customStyle="1" w:styleId="111">
    <w:name w:val="first-child"/>
    <w:basedOn w:val="23"/>
    <w:qFormat/>
    <w:uiPriority w:val="0"/>
  </w:style>
  <w:style w:type="paragraph" w:customStyle="1" w:styleId="11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13">
    <w:name w:val="Body text|1"/>
    <w:basedOn w:val="1"/>
    <w:qFormat/>
    <w:uiPriority w:val="0"/>
    <w:pPr>
      <w:spacing w:after="120" w:line="401" w:lineRule="auto"/>
      <w:ind w:firstLine="400"/>
    </w:pPr>
    <w:rPr>
      <w:rFonts w:ascii="宋体" w:hAnsi="宋体" w:cs="宋体"/>
      <w:sz w:val="26"/>
      <w:szCs w:val="26"/>
      <w:lang w:val="zh-TW" w:eastAsia="zh-TW" w:bidi="zh-TW"/>
    </w:rPr>
  </w:style>
  <w:style w:type="paragraph" w:customStyle="1" w:styleId="1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标题 2_0"/>
    <w:basedOn w:val="116"/>
    <w:next w:val="117"/>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1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72</Pages>
  <Words>18368</Words>
  <Characters>19482</Characters>
  <Lines>162</Lines>
  <Paragraphs>45</Paragraphs>
  <TotalTime>10</TotalTime>
  <ScaleCrop>false</ScaleCrop>
  <LinksUpToDate>false</LinksUpToDate>
  <CharactersWithSpaces>21044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2024-02-19T15:08:00Z</dcterms:created>
  <dc:creator>Windows 用户</dc:creator>
  <cp:lastModifiedBy>ZJ</cp:lastModifiedBy>
  <cp:lastPrinted>2024-10-24T06:27:00Z</cp:lastPrinted>
  <dcterms:modified xsi:type="dcterms:W3CDTF">2025-09-01T03:07:05Z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7964AE0E493746EEA4D5A8CBEDB6C4BF_13</vt:lpwstr>
  </property>
  <property fmtid="{D5CDD505-2E9C-101B-9397-08002B2CF9AE}" pid="4" name="KSOTemplateDocerSaveRecord">
    <vt:lpwstr>eyJoZGlkIjoiMDRhMWE1ZGEyYTY5YTZiY2ExZTIyNzMzNmM2ZThkMDYiLCJ1c2VySWQiOiI1OTI3MjY5ODEifQ==</vt:lpwstr>
  </property>
</Properties>
</file>