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E221">
      <w:pPr>
        <w:pStyle w:val="2"/>
        <w:tabs>
          <w:tab w:val="left" w:pos="7169"/>
        </w:tabs>
        <w:ind w:firstLine="0" w:firstLineChars="0"/>
        <w:jc w:val="center"/>
        <w:rPr>
          <w:rFonts w:hint="default" w:ascii="宋体" w:hAnsi="宋体"/>
          <w:b/>
          <w:color w:val="auto"/>
          <w:sz w:val="52"/>
          <w:szCs w:val="44"/>
          <w:highlight w:val="none"/>
        </w:rPr>
      </w:pPr>
      <w:r>
        <w:rPr>
          <w:rFonts w:ascii="宋体" w:hAnsi="宋体"/>
          <w:b/>
          <w:color w:val="auto"/>
          <w:sz w:val="52"/>
          <w:szCs w:val="44"/>
          <w:highlight w:val="none"/>
        </w:rPr>
        <w:t xml:space="preserve">                                   </w:t>
      </w:r>
    </w:p>
    <w:p w14:paraId="73760530">
      <w:pPr>
        <w:jc w:val="center"/>
        <w:rPr>
          <w:rFonts w:hint="eastAsia" w:ascii="宋体" w:hAnsi="宋体" w:eastAsia="宋体" w:cs="宋体"/>
          <w:b/>
          <w:color w:val="auto"/>
          <w:kern w:val="0"/>
          <w:sz w:val="60"/>
          <w:szCs w:val="52"/>
          <w:highlight w:val="none"/>
          <w:lang w:eastAsia="zh-CN"/>
        </w:rPr>
      </w:pPr>
      <w:r>
        <w:rPr>
          <w:rFonts w:hint="eastAsia" w:ascii="宋体" w:hAnsi="宋体" w:cs="宋体"/>
          <w:b/>
          <w:color w:val="auto"/>
          <w:kern w:val="0"/>
          <w:sz w:val="60"/>
          <w:szCs w:val="52"/>
          <w:highlight w:val="none"/>
          <w:lang w:eastAsia="zh-CN"/>
        </w:rPr>
        <w:t>铜陵狮子山高新区2026年度10KV及以下配电工程</w:t>
      </w:r>
    </w:p>
    <w:p w14:paraId="609A12C7">
      <w:pPr>
        <w:pStyle w:val="2"/>
        <w:ind w:firstLine="400"/>
        <w:rPr>
          <w:rFonts w:hint="default"/>
          <w:color w:val="auto"/>
          <w:highlight w:val="none"/>
        </w:rPr>
      </w:pPr>
    </w:p>
    <w:p w14:paraId="71B4B50B">
      <w:pPr>
        <w:adjustRightInd w:val="0"/>
        <w:spacing w:before="624" w:beforeLines="200" w:after="62" w:afterLines="20" w:line="360" w:lineRule="auto"/>
        <w:jc w:val="center"/>
        <w:rPr>
          <w:rFonts w:ascii="宋体" w:hAnsi="宋体"/>
          <w:b/>
          <w:bCs/>
          <w:color w:val="auto"/>
          <w:sz w:val="120"/>
          <w:szCs w:val="120"/>
          <w:highlight w:val="none"/>
        </w:rPr>
      </w:pPr>
      <w:r>
        <w:rPr>
          <w:rFonts w:hint="eastAsia" w:ascii="宋体" w:hAnsi="宋体"/>
          <w:b/>
          <w:bCs/>
          <w:color w:val="auto"/>
          <w:sz w:val="120"/>
          <w:szCs w:val="120"/>
          <w:highlight w:val="none"/>
        </w:rPr>
        <w:t>招标文件</w:t>
      </w:r>
    </w:p>
    <w:p w14:paraId="16AE879C">
      <w:pPr>
        <w:spacing w:line="360" w:lineRule="auto"/>
        <w:jc w:val="center"/>
        <w:rPr>
          <w:rFonts w:ascii="宋体" w:hAnsi="宋体"/>
          <w:b/>
          <w:color w:val="auto"/>
          <w:sz w:val="28"/>
          <w:highlight w:val="none"/>
        </w:rPr>
      </w:pPr>
      <w:r>
        <w:rPr>
          <w:rFonts w:hint="eastAsia" w:ascii="宋体" w:hAnsi="宋体"/>
          <w:b/>
          <w:color w:val="auto"/>
          <w:sz w:val="28"/>
          <w:highlight w:val="none"/>
        </w:rPr>
        <w:t>招标编号：</w:t>
      </w:r>
      <w:r>
        <w:rPr>
          <w:rFonts w:hint="eastAsia" w:ascii="宋体" w:hAnsi="宋体"/>
          <w:b/>
          <w:color w:val="auto"/>
          <w:sz w:val="28"/>
          <w:highlight w:val="none"/>
          <w:lang w:eastAsia="zh-CN"/>
        </w:rPr>
        <w:t>AHGD-2025-075</w:t>
      </w:r>
      <w:r>
        <w:rPr>
          <w:rFonts w:hint="eastAsia" w:ascii="宋体" w:hAnsi="宋体"/>
          <w:b/>
          <w:color w:val="auto"/>
          <w:sz w:val="28"/>
          <w:highlight w:val="none"/>
        </w:rPr>
        <w:t xml:space="preserve"> </w:t>
      </w:r>
    </w:p>
    <w:p w14:paraId="2E06793B">
      <w:pPr>
        <w:adjustRightInd w:val="0"/>
        <w:spacing w:before="62" w:beforeLines="20" w:after="62" w:afterLines="20" w:line="360" w:lineRule="auto"/>
        <w:rPr>
          <w:rFonts w:ascii="宋体" w:hAnsi="宋体"/>
          <w:bCs/>
          <w:color w:val="auto"/>
          <w:sz w:val="28"/>
          <w:highlight w:val="none"/>
        </w:rPr>
      </w:pPr>
    </w:p>
    <w:p w14:paraId="14F73930">
      <w:pPr>
        <w:adjustRightInd w:val="0"/>
        <w:spacing w:before="62" w:beforeLines="20" w:after="62" w:afterLines="20" w:line="360" w:lineRule="auto"/>
        <w:jc w:val="center"/>
        <w:rPr>
          <w:rFonts w:ascii="宋体" w:hAnsi="宋体"/>
          <w:b/>
          <w:bCs/>
          <w:color w:val="auto"/>
          <w:sz w:val="30"/>
          <w:szCs w:val="30"/>
          <w:highlight w:val="none"/>
        </w:rPr>
      </w:pPr>
    </w:p>
    <w:p w14:paraId="20341D0E">
      <w:pPr>
        <w:adjustRightInd w:val="0"/>
        <w:spacing w:before="62" w:beforeLines="20" w:after="62" w:afterLines="20" w:line="360" w:lineRule="auto"/>
        <w:jc w:val="center"/>
        <w:rPr>
          <w:rFonts w:ascii="宋体" w:hAnsi="宋体"/>
          <w:b/>
          <w:bCs/>
          <w:color w:val="auto"/>
          <w:sz w:val="30"/>
          <w:szCs w:val="30"/>
          <w:highlight w:val="none"/>
        </w:rPr>
      </w:pPr>
    </w:p>
    <w:p w14:paraId="1AE3DF68">
      <w:pPr>
        <w:adjustRightInd w:val="0"/>
        <w:spacing w:before="62" w:beforeLines="20" w:after="62" w:afterLines="20" w:line="360" w:lineRule="auto"/>
        <w:jc w:val="center"/>
        <w:rPr>
          <w:rFonts w:ascii="宋体" w:hAnsi="宋体"/>
          <w:b/>
          <w:bCs/>
          <w:color w:val="auto"/>
          <w:sz w:val="30"/>
          <w:szCs w:val="30"/>
          <w:highlight w:val="none"/>
        </w:rPr>
      </w:pPr>
    </w:p>
    <w:p w14:paraId="7D544714">
      <w:pPr>
        <w:pStyle w:val="2"/>
        <w:ind w:firstLine="602"/>
        <w:rPr>
          <w:rFonts w:hint="default" w:ascii="宋体" w:hAnsi="宋体"/>
          <w:b/>
          <w:bCs/>
          <w:color w:val="auto"/>
          <w:sz w:val="30"/>
          <w:szCs w:val="30"/>
          <w:highlight w:val="none"/>
        </w:rPr>
      </w:pPr>
    </w:p>
    <w:p w14:paraId="4C3A5D35">
      <w:pPr>
        <w:rPr>
          <w:rFonts w:ascii="宋体" w:hAnsi="宋体"/>
          <w:b/>
          <w:bCs/>
          <w:color w:val="auto"/>
          <w:sz w:val="30"/>
          <w:szCs w:val="30"/>
          <w:highlight w:val="none"/>
        </w:rPr>
      </w:pPr>
    </w:p>
    <w:p w14:paraId="556F00B0">
      <w:pPr>
        <w:rPr>
          <w:rFonts w:ascii="宋体" w:hAnsi="宋体"/>
          <w:b/>
          <w:bCs/>
          <w:color w:val="auto"/>
          <w:sz w:val="30"/>
          <w:szCs w:val="30"/>
          <w:highlight w:val="none"/>
        </w:rPr>
      </w:pPr>
    </w:p>
    <w:p w14:paraId="089E09D9">
      <w:pPr>
        <w:rPr>
          <w:rFonts w:ascii="宋体" w:hAnsi="宋体"/>
          <w:b/>
          <w:bCs/>
          <w:color w:val="auto"/>
          <w:sz w:val="30"/>
          <w:szCs w:val="30"/>
          <w:highlight w:val="none"/>
        </w:rPr>
      </w:pPr>
    </w:p>
    <w:p w14:paraId="05A13AB2">
      <w:pPr>
        <w:spacing w:line="480" w:lineRule="auto"/>
        <w:ind w:firstLine="723" w:firstLineChars="200"/>
        <w:jc w:val="both"/>
        <w:rPr>
          <w:rFonts w:hAnsi="宋体" w:cs="仿宋"/>
          <w:b/>
          <w:bCs/>
          <w:color w:val="auto"/>
          <w:sz w:val="36"/>
          <w:szCs w:val="36"/>
          <w:highlight w:val="none"/>
        </w:rPr>
      </w:pPr>
      <w:r>
        <w:rPr>
          <w:rFonts w:hint="eastAsia" w:hAnsi="宋体" w:cs="仿宋"/>
          <w:b/>
          <w:bCs/>
          <w:color w:val="auto"/>
          <w:sz w:val="36"/>
          <w:szCs w:val="36"/>
          <w:highlight w:val="none"/>
        </w:rPr>
        <w:t>招</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标</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单</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位</w:t>
      </w:r>
      <w:r>
        <w:rPr>
          <w:rFonts w:hint="eastAsia" w:hAnsi="宋体" w:cs="仿宋"/>
          <w:b/>
          <w:bCs/>
          <w:color w:val="auto"/>
          <w:sz w:val="36"/>
          <w:szCs w:val="36"/>
          <w:highlight w:val="none"/>
          <w:lang w:val="en-US" w:eastAsia="zh-CN"/>
        </w:rPr>
        <w:t xml:space="preserve"> </w:t>
      </w:r>
      <w:r>
        <w:rPr>
          <w:rFonts w:hint="eastAsia" w:hAnsi="宋体" w:cs="仿宋"/>
          <w:b/>
          <w:bCs/>
          <w:color w:val="auto"/>
          <w:sz w:val="36"/>
          <w:szCs w:val="36"/>
          <w:highlight w:val="none"/>
        </w:rPr>
        <w:t>：</w:t>
      </w:r>
      <w:bookmarkStart w:id="0" w:name="OLE_LINK17"/>
      <w:r>
        <w:rPr>
          <w:rFonts w:hint="eastAsia" w:hAnsi="宋体" w:cs="仿宋"/>
          <w:b/>
          <w:bCs/>
          <w:color w:val="auto"/>
          <w:sz w:val="36"/>
          <w:szCs w:val="36"/>
          <w:highlight w:val="none"/>
        </w:rPr>
        <w:t>铜陵高新发展投资有限公司</w:t>
      </w:r>
      <w:bookmarkEnd w:id="0"/>
    </w:p>
    <w:p w14:paraId="4A51BD5F">
      <w:pPr>
        <w:spacing w:line="480" w:lineRule="auto"/>
        <w:ind w:firstLine="723" w:firstLineChars="200"/>
        <w:jc w:val="both"/>
        <w:rPr>
          <w:rFonts w:hint="eastAsia" w:hAnsi="宋体" w:eastAsia="宋体" w:cs="仿宋"/>
          <w:b/>
          <w:bCs/>
          <w:color w:val="auto"/>
          <w:sz w:val="36"/>
          <w:szCs w:val="36"/>
          <w:highlight w:val="none"/>
          <w:lang w:eastAsia="zh-CN"/>
        </w:rPr>
      </w:pPr>
      <w:r>
        <w:rPr>
          <w:rFonts w:hint="eastAsia" w:hAnsi="宋体" w:cs="仿宋"/>
          <w:b/>
          <w:bCs/>
          <w:color w:val="auto"/>
          <w:sz w:val="36"/>
          <w:szCs w:val="36"/>
          <w:highlight w:val="none"/>
        </w:rPr>
        <w:t>招标代理机构：</w:t>
      </w:r>
      <w:r>
        <w:rPr>
          <w:rFonts w:hint="eastAsia" w:hAnsi="宋体" w:cs="仿宋"/>
          <w:b/>
          <w:bCs/>
          <w:color w:val="auto"/>
          <w:sz w:val="36"/>
          <w:szCs w:val="36"/>
          <w:highlight w:val="none"/>
          <w:lang w:eastAsia="zh-CN"/>
        </w:rPr>
        <w:t>安徽高度项目管理有限公司</w:t>
      </w:r>
    </w:p>
    <w:p w14:paraId="0452F7BB">
      <w:pPr>
        <w:spacing w:line="480" w:lineRule="auto"/>
        <w:jc w:val="center"/>
        <w:rPr>
          <w:rFonts w:hAnsi="宋体" w:cs="仿宋"/>
          <w:b/>
          <w:bCs/>
          <w:color w:val="auto"/>
          <w:sz w:val="36"/>
          <w:szCs w:val="36"/>
          <w:highlight w:val="none"/>
        </w:rPr>
      </w:pPr>
      <w:r>
        <w:rPr>
          <w:rFonts w:hint="eastAsia" w:hAnsi="宋体" w:cs="仿宋"/>
          <w:b/>
          <w:bCs/>
          <w:color w:val="auto"/>
          <w:sz w:val="36"/>
          <w:szCs w:val="36"/>
          <w:highlight w:val="none"/>
        </w:rPr>
        <w:t>2025年</w:t>
      </w:r>
      <w:r>
        <w:rPr>
          <w:rFonts w:hint="eastAsia" w:hAnsi="宋体" w:cs="仿宋"/>
          <w:b/>
          <w:bCs/>
          <w:color w:val="auto"/>
          <w:sz w:val="36"/>
          <w:szCs w:val="36"/>
          <w:highlight w:val="none"/>
          <w:lang w:val="en-US" w:eastAsia="zh-CN"/>
        </w:rPr>
        <w:t>12</w:t>
      </w:r>
      <w:r>
        <w:rPr>
          <w:rFonts w:hint="eastAsia" w:hAnsi="宋体" w:cs="仿宋"/>
          <w:b/>
          <w:bCs/>
          <w:color w:val="auto"/>
          <w:sz w:val="36"/>
          <w:szCs w:val="36"/>
          <w:highlight w:val="none"/>
        </w:rPr>
        <w:t>月</w:t>
      </w:r>
    </w:p>
    <w:p w14:paraId="54664FF1">
      <w:pPr>
        <w:rPr>
          <w:color w:val="auto"/>
          <w:highlight w:val="none"/>
        </w:rPr>
      </w:pPr>
    </w:p>
    <w:p w14:paraId="7730B878">
      <w:pPr>
        <w:rPr>
          <w:color w:val="auto"/>
          <w:highlight w:val="none"/>
        </w:rPr>
      </w:pPr>
    </w:p>
    <w:p w14:paraId="4855E2BD">
      <w:pPr>
        <w:rPr>
          <w:color w:val="auto"/>
          <w:highlight w:val="none"/>
        </w:rPr>
      </w:pPr>
    </w:p>
    <w:p w14:paraId="7ABE14BB">
      <w:pPr>
        <w:rPr>
          <w:color w:val="auto"/>
          <w:highlight w:val="none"/>
        </w:rPr>
      </w:pPr>
    </w:p>
    <w:p w14:paraId="1057A163">
      <w:pPr>
        <w:pStyle w:val="22"/>
        <w:spacing w:line="360" w:lineRule="auto"/>
        <w:jc w:val="center"/>
        <w:rPr>
          <w:rFonts w:hAnsi="宋体" w:cs="仿宋"/>
          <w:b/>
          <w:color w:val="auto"/>
          <w:kern w:val="44"/>
          <w:sz w:val="44"/>
          <w:szCs w:val="44"/>
          <w:highlight w:val="none"/>
        </w:rPr>
      </w:pPr>
      <w:r>
        <w:rPr>
          <w:rFonts w:hint="eastAsia" w:hAnsi="宋体" w:cs="仿宋"/>
          <w:b/>
          <w:color w:val="auto"/>
          <w:kern w:val="44"/>
          <w:sz w:val="44"/>
          <w:szCs w:val="44"/>
          <w:highlight w:val="none"/>
        </w:rPr>
        <w:t>目  录</w:t>
      </w:r>
    </w:p>
    <w:p w14:paraId="60780A24">
      <w:pPr>
        <w:pStyle w:val="27"/>
        <w:tabs>
          <w:tab w:val="left" w:pos="900"/>
          <w:tab w:val="right" w:leader="dot" w:pos="9345"/>
        </w:tabs>
        <w:adjustRightInd w:val="0"/>
        <w:snapToGrid w:val="0"/>
        <w:spacing w:line="480" w:lineRule="auto"/>
        <w:jc w:val="left"/>
        <w:rPr>
          <w:rFonts w:cs="仿宋"/>
          <w:color w:val="auto"/>
          <w:sz w:val="28"/>
          <w:szCs w:val="28"/>
          <w:highlight w:val="none"/>
        </w:rPr>
      </w:pPr>
    </w:p>
    <w:p w14:paraId="62DAB9FE">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第一章  招标公告</w:t>
      </w:r>
    </w:p>
    <w:p w14:paraId="162E7885">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第二章  投标须知前附表</w:t>
      </w:r>
    </w:p>
    <w:p w14:paraId="40585035">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第三章  投标须知</w:t>
      </w:r>
    </w:p>
    <w:p w14:paraId="3D6EAC9D">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第四章  合同专用条款</w:t>
      </w:r>
    </w:p>
    <w:p w14:paraId="2C9B9B64">
      <w:pPr>
        <w:pStyle w:val="27"/>
        <w:tabs>
          <w:tab w:val="left" w:pos="900"/>
          <w:tab w:val="right" w:leader="dot" w:pos="9345"/>
        </w:tabs>
        <w:adjustRightInd w:val="0"/>
        <w:snapToGrid w:val="0"/>
        <w:spacing w:line="480" w:lineRule="auto"/>
        <w:jc w:val="left"/>
        <w:rPr>
          <w:rFonts w:cs="仿宋"/>
          <w:color w:val="auto"/>
          <w:sz w:val="28"/>
          <w:szCs w:val="28"/>
          <w:highlight w:val="none"/>
        </w:rPr>
      </w:pPr>
      <w:bookmarkStart w:id="1" w:name="OLE_LINK1"/>
      <w:r>
        <w:rPr>
          <w:rFonts w:hint="eastAsia" w:cs="仿宋"/>
          <w:color w:val="auto"/>
          <w:sz w:val="28"/>
          <w:szCs w:val="28"/>
          <w:highlight w:val="none"/>
        </w:rPr>
        <w:t>第五章</w:t>
      </w:r>
      <w:r>
        <w:rPr>
          <w:rFonts w:cs="仿宋"/>
          <w:color w:val="auto"/>
          <w:sz w:val="28"/>
          <w:szCs w:val="28"/>
          <w:highlight w:val="none"/>
        </w:rPr>
        <w:t xml:space="preserve">  </w:t>
      </w:r>
      <w:r>
        <w:rPr>
          <w:rFonts w:hint="eastAsia" w:cs="仿宋"/>
          <w:color w:val="auto"/>
          <w:sz w:val="28"/>
          <w:szCs w:val="28"/>
          <w:highlight w:val="none"/>
        </w:rPr>
        <w:t>发包人要求</w:t>
      </w:r>
    </w:p>
    <w:bookmarkEnd w:id="1"/>
    <w:p w14:paraId="31EC4628">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第六章  评标办法</w:t>
      </w:r>
    </w:p>
    <w:p w14:paraId="17161093">
      <w:pPr>
        <w:pStyle w:val="27"/>
        <w:tabs>
          <w:tab w:val="left" w:pos="900"/>
          <w:tab w:val="right" w:leader="dot" w:pos="9345"/>
        </w:tabs>
        <w:adjustRightInd w:val="0"/>
        <w:snapToGrid w:val="0"/>
        <w:spacing w:line="480" w:lineRule="auto"/>
        <w:jc w:val="left"/>
        <w:rPr>
          <w:rFonts w:cs="仿宋"/>
          <w:color w:val="auto"/>
          <w:sz w:val="28"/>
          <w:szCs w:val="28"/>
          <w:highlight w:val="none"/>
        </w:rPr>
      </w:pPr>
      <w:r>
        <w:rPr>
          <w:rFonts w:hint="eastAsia" w:cs="仿宋"/>
          <w:color w:val="auto"/>
          <w:sz w:val="28"/>
          <w:szCs w:val="28"/>
          <w:highlight w:val="none"/>
        </w:rPr>
        <w:t>第七章  投标文件格式</w:t>
      </w:r>
    </w:p>
    <w:p w14:paraId="57616A24">
      <w:pPr>
        <w:spacing w:line="360" w:lineRule="auto"/>
        <w:rPr>
          <w:rFonts w:ascii="宋体" w:hAnsi="宋体"/>
          <w:color w:val="auto"/>
          <w:sz w:val="24"/>
          <w:highlight w:val="none"/>
        </w:rPr>
      </w:pPr>
    </w:p>
    <w:p w14:paraId="365D69A3">
      <w:pPr>
        <w:spacing w:line="360" w:lineRule="auto"/>
        <w:rPr>
          <w:rFonts w:ascii="宋体" w:hAnsi="宋体"/>
          <w:color w:val="auto"/>
          <w:sz w:val="24"/>
          <w:highlight w:val="none"/>
        </w:rPr>
      </w:pPr>
    </w:p>
    <w:p w14:paraId="21E02867">
      <w:pPr>
        <w:spacing w:line="360" w:lineRule="auto"/>
        <w:rPr>
          <w:rFonts w:ascii="宋体" w:hAnsi="宋体"/>
          <w:color w:val="auto"/>
          <w:sz w:val="24"/>
          <w:highlight w:val="none"/>
        </w:rPr>
      </w:pPr>
    </w:p>
    <w:p w14:paraId="4E303164">
      <w:pPr>
        <w:spacing w:line="360" w:lineRule="auto"/>
        <w:rPr>
          <w:rFonts w:ascii="宋体" w:hAnsi="宋体"/>
          <w:color w:val="auto"/>
          <w:sz w:val="24"/>
          <w:highlight w:val="none"/>
        </w:rPr>
      </w:pPr>
    </w:p>
    <w:p w14:paraId="07C1681C">
      <w:pPr>
        <w:spacing w:line="360" w:lineRule="auto"/>
        <w:rPr>
          <w:rFonts w:ascii="宋体" w:hAnsi="宋体"/>
          <w:color w:val="auto"/>
          <w:sz w:val="24"/>
          <w:highlight w:val="none"/>
        </w:rPr>
      </w:pPr>
    </w:p>
    <w:p w14:paraId="3D9CB23A">
      <w:pPr>
        <w:spacing w:line="360" w:lineRule="auto"/>
        <w:rPr>
          <w:rFonts w:ascii="宋体" w:hAnsi="宋体"/>
          <w:color w:val="auto"/>
          <w:sz w:val="24"/>
          <w:highlight w:val="none"/>
        </w:rPr>
      </w:pPr>
    </w:p>
    <w:p w14:paraId="0BAF0F62">
      <w:pPr>
        <w:spacing w:line="360" w:lineRule="auto"/>
        <w:rPr>
          <w:rFonts w:ascii="宋体" w:hAnsi="宋体"/>
          <w:color w:val="auto"/>
          <w:sz w:val="24"/>
          <w:highlight w:val="none"/>
        </w:rPr>
      </w:pPr>
    </w:p>
    <w:p w14:paraId="09ED5C04">
      <w:pPr>
        <w:spacing w:line="360" w:lineRule="auto"/>
        <w:rPr>
          <w:rFonts w:ascii="宋体" w:hAnsi="宋体"/>
          <w:color w:val="auto"/>
          <w:sz w:val="24"/>
          <w:highlight w:val="none"/>
        </w:rPr>
      </w:pPr>
    </w:p>
    <w:p w14:paraId="7DB9C25E">
      <w:pPr>
        <w:spacing w:line="360" w:lineRule="auto"/>
        <w:rPr>
          <w:rFonts w:ascii="宋体" w:hAnsi="宋体"/>
          <w:color w:val="auto"/>
          <w:sz w:val="24"/>
          <w:highlight w:val="none"/>
        </w:rPr>
      </w:pPr>
    </w:p>
    <w:p w14:paraId="28E39E81">
      <w:pPr>
        <w:spacing w:line="360" w:lineRule="auto"/>
        <w:rPr>
          <w:rFonts w:ascii="宋体" w:hAnsi="宋体"/>
          <w:color w:val="auto"/>
          <w:sz w:val="24"/>
          <w:highlight w:val="none"/>
        </w:rPr>
      </w:pPr>
    </w:p>
    <w:p w14:paraId="2BEAD2BD">
      <w:pPr>
        <w:spacing w:line="360" w:lineRule="auto"/>
        <w:rPr>
          <w:rFonts w:ascii="宋体" w:hAnsi="宋体"/>
          <w:color w:val="auto"/>
          <w:sz w:val="24"/>
          <w:highlight w:val="none"/>
        </w:rPr>
      </w:pPr>
    </w:p>
    <w:p w14:paraId="6E4E7CB3">
      <w:pPr>
        <w:spacing w:line="360" w:lineRule="auto"/>
        <w:rPr>
          <w:rFonts w:ascii="宋体" w:hAnsi="宋体"/>
          <w:color w:val="auto"/>
          <w:sz w:val="24"/>
          <w:highlight w:val="none"/>
        </w:rPr>
      </w:pPr>
    </w:p>
    <w:p w14:paraId="33E648DA">
      <w:pPr>
        <w:spacing w:line="360" w:lineRule="auto"/>
        <w:rPr>
          <w:rFonts w:ascii="宋体" w:hAnsi="宋体"/>
          <w:color w:val="auto"/>
          <w:sz w:val="24"/>
          <w:highlight w:val="none"/>
        </w:rPr>
      </w:pPr>
    </w:p>
    <w:p w14:paraId="46DED431">
      <w:pPr>
        <w:spacing w:line="360" w:lineRule="auto"/>
        <w:rPr>
          <w:rFonts w:ascii="宋体" w:hAnsi="宋体"/>
          <w:color w:val="auto"/>
          <w:sz w:val="24"/>
          <w:highlight w:val="none"/>
        </w:rPr>
      </w:pPr>
    </w:p>
    <w:p w14:paraId="6592D9DF">
      <w:pPr>
        <w:rPr>
          <w:rFonts w:ascii="宋体" w:hAnsi="宋体"/>
          <w:color w:val="auto"/>
          <w:highlight w:val="none"/>
        </w:rPr>
      </w:pPr>
    </w:p>
    <w:p w14:paraId="6C07B508">
      <w:pPr>
        <w:rPr>
          <w:rFonts w:ascii="宋体" w:hAnsi="宋体"/>
          <w:color w:val="auto"/>
          <w:highlight w:val="none"/>
        </w:rPr>
      </w:pPr>
    </w:p>
    <w:p w14:paraId="5673ABB0">
      <w:pPr>
        <w:rPr>
          <w:rFonts w:ascii="宋体" w:hAnsi="宋体"/>
          <w:color w:val="auto"/>
          <w:highlight w:val="none"/>
        </w:rPr>
      </w:pPr>
    </w:p>
    <w:p w14:paraId="0DDC61B2">
      <w:pPr>
        <w:spacing w:line="360" w:lineRule="auto"/>
        <w:jc w:val="center"/>
        <w:rPr>
          <w:rFonts w:hAnsi="宋体" w:cs="仿宋"/>
          <w:b/>
          <w:color w:val="auto"/>
          <w:sz w:val="30"/>
          <w:szCs w:val="30"/>
          <w:highlight w:val="none"/>
        </w:rPr>
      </w:pPr>
      <w:r>
        <w:rPr>
          <w:rFonts w:hint="eastAsia" w:hAnsi="宋体" w:cs="仿宋"/>
          <w:b/>
          <w:color w:val="auto"/>
          <w:sz w:val="30"/>
          <w:szCs w:val="30"/>
          <w:highlight w:val="none"/>
        </w:rPr>
        <w:t xml:space="preserve">第一章  </w:t>
      </w:r>
      <w:bookmarkStart w:id="2" w:name="OLE_LINK2"/>
      <w:r>
        <w:rPr>
          <w:rFonts w:hint="eastAsia" w:hAnsi="宋体" w:cs="仿宋"/>
          <w:b/>
          <w:color w:val="auto"/>
          <w:sz w:val="30"/>
          <w:szCs w:val="30"/>
          <w:highlight w:val="none"/>
        </w:rPr>
        <w:t>招标公告</w:t>
      </w:r>
    </w:p>
    <w:p w14:paraId="078D91FF">
      <w:pPr>
        <w:spacing w:line="480" w:lineRule="exact"/>
        <w:ind w:firstLine="482" w:firstLineChars="200"/>
        <w:rPr>
          <w:rFonts w:asciiTheme="minorEastAsia" w:hAnsiTheme="minorEastAsia" w:eastAsiaTheme="minorEastAsia" w:cstheme="minorEastAsia"/>
          <w:b/>
          <w:bCs/>
          <w:color w:val="auto"/>
          <w:sz w:val="24"/>
          <w:highlight w:val="none"/>
        </w:rPr>
      </w:pPr>
      <w:bookmarkStart w:id="3" w:name="_Toc12008"/>
      <w:r>
        <w:rPr>
          <w:rFonts w:hint="eastAsia" w:asciiTheme="minorEastAsia" w:hAnsiTheme="minorEastAsia" w:eastAsiaTheme="minorEastAsia" w:cstheme="minorEastAsia"/>
          <w:b/>
          <w:bCs/>
          <w:color w:val="auto"/>
          <w:sz w:val="24"/>
          <w:highlight w:val="none"/>
        </w:rPr>
        <w:t>1. 招标条件</w:t>
      </w:r>
      <w:bookmarkEnd w:id="3"/>
    </w:p>
    <w:p w14:paraId="124C3B06">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1.1 项目名称：</w:t>
      </w:r>
      <w:r>
        <w:rPr>
          <w:rFonts w:hint="eastAsia" w:asciiTheme="minorEastAsia" w:hAnsiTheme="minorEastAsia" w:eastAsiaTheme="minorEastAsia" w:cstheme="minorEastAsia"/>
          <w:color w:val="auto"/>
          <w:sz w:val="24"/>
          <w:highlight w:val="none"/>
          <w:u w:val="single"/>
          <w:lang w:eastAsia="zh-CN"/>
        </w:rPr>
        <w:t>铜陵狮子山高新区2026年度10KV及以下配电工程</w:t>
      </w:r>
      <w:r>
        <w:rPr>
          <w:rFonts w:hint="eastAsia" w:asciiTheme="minorEastAsia" w:hAnsiTheme="minorEastAsia" w:eastAsiaTheme="minorEastAsia" w:cstheme="minorEastAsia"/>
          <w:color w:val="auto"/>
          <w:sz w:val="24"/>
          <w:highlight w:val="none"/>
        </w:rPr>
        <w:t>；</w:t>
      </w:r>
    </w:p>
    <w:p w14:paraId="17C48207">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1.2 招标人：</w:t>
      </w:r>
      <w:r>
        <w:rPr>
          <w:rFonts w:hint="eastAsia" w:asciiTheme="minorEastAsia" w:hAnsiTheme="minorEastAsia" w:eastAsiaTheme="minorEastAsia" w:cstheme="minorEastAsia"/>
          <w:color w:val="auto"/>
          <w:sz w:val="24"/>
          <w:highlight w:val="none"/>
          <w:u w:val="single"/>
        </w:rPr>
        <w:t>铜陵高新发展投资有限公司</w:t>
      </w:r>
      <w:r>
        <w:rPr>
          <w:rFonts w:hint="eastAsia" w:asciiTheme="minorEastAsia" w:hAnsiTheme="minorEastAsia" w:eastAsiaTheme="minorEastAsia" w:cstheme="minorEastAsia"/>
          <w:color w:val="auto"/>
          <w:sz w:val="24"/>
          <w:highlight w:val="none"/>
        </w:rPr>
        <w:t>；</w:t>
      </w:r>
    </w:p>
    <w:p w14:paraId="62583934">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1.3 项目业主：</w:t>
      </w:r>
      <w:r>
        <w:rPr>
          <w:rFonts w:hint="eastAsia" w:asciiTheme="minorEastAsia" w:hAnsiTheme="minorEastAsia" w:eastAsiaTheme="minorEastAsia" w:cstheme="minorEastAsia"/>
          <w:color w:val="auto"/>
          <w:sz w:val="24"/>
          <w:highlight w:val="none"/>
          <w:u w:val="single"/>
        </w:rPr>
        <w:t>铜陵高新发展投资有限公司</w:t>
      </w:r>
      <w:r>
        <w:rPr>
          <w:rFonts w:hint="eastAsia" w:asciiTheme="minorEastAsia" w:hAnsiTheme="minorEastAsia" w:eastAsiaTheme="minorEastAsia" w:cstheme="minorEastAsia"/>
          <w:color w:val="auto"/>
          <w:sz w:val="24"/>
          <w:highlight w:val="none"/>
        </w:rPr>
        <w:t>；</w:t>
      </w:r>
    </w:p>
    <w:p w14:paraId="738D9EF8">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1.4 资金来源：</w:t>
      </w:r>
      <w:r>
        <w:rPr>
          <w:rFonts w:hint="eastAsia" w:asciiTheme="minorEastAsia" w:hAnsiTheme="minorEastAsia" w:eastAsiaTheme="minorEastAsia" w:cstheme="minorEastAsia"/>
          <w:color w:val="auto"/>
          <w:sz w:val="24"/>
          <w:highlight w:val="none"/>
          <w:u w:val="single"/>
        </w:rPr>
        <w:t>自筹资金</w:t>
      </w:r>
      <w:r>
        <w:rPr>
          <w:rFonts w:hint="eastAsia" w:asciiTheme="minorEastAsia" w:hAnsiTheme="minorEastAsia" w:eastAsiaTheme="minorEastAsia" w:cstheme="minorEastAsia"/>
          <w:color w:val="auto"/>
          <w:sz w:val="24"/>
          <w:highlight w:val="none"/>
        </w:rPr>
        <w:t>；</w:t>
      </w:r>
    </w:p>
    <w:p w14:paraId="2A4F976B">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招标方式：</w:t>
      </w:r>
      <w:r>
        <w:rPr>
          <w:rFonts w:hint="eastAsia" w:asciiTheme="minorEastAsia" w:hAnsiTheme="minorEastAsia" w:eastAsiaTheme="minorEastAsia" w:cstheme="minorEastAsia"/>
          <w:color w:val="auto"/>
          <w:sz w:val="24"/>
          <w:highlight w:val="none"/>
          <w:u w:val="single"/>
        </w:rPr>
        <w:t>公开招标</w:t>
      </w:r>
      <w:r>
        <w:rPr>
          <w:rFonts w:hint="eastAsia" w:asciiTheme="minorEastAsia" w:hAnsiTheme="minorEastAsia" w:eastAsiaTheme="minorEastAsia" w:cstheme="minorEastAsia"/>
          <w:color w:val="auto"/>
          <w:sz w:val="24"/>
          <w:highlight w:val="none"/>
        </w:rPr>
        <w:t>；</w:t>
      </w:r>
    </w:p>
    <w:p w14:paraId="5EBF0A72">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评标办法：</w:t>
      </w:r>
      <w:r>
        <w:rPr>
          <w:rFonts w:hint="eastAsia" w:asciiTheme="minorEastAsia" w:hAnsiTheme="minorEastAsia" w:eastAsiaTheme="minorEastAsia" w:cstheme="minorEastAsia"/>
          <w:color w:val="auto"/>
          <w:sz w:val="24"/>
          <w:highlight w:val="none"/>
          <w:u w:val="single"/>
        </w:rPr>
        <w:t>综合评分法</w:t>
      </w:r>
      <w:r>
        <w:rPr>
          <w:rFonts w:hint="eastAsia" w:asciiTheme="minorEastAsia" w:hAnsiTheme="minorEastAsia" w:eastAsiaTheme="minorEastAsia" w:cstheme="minorEastAsia"/>
          <w:color w:val="auto"/>
          <w:sz w:val="24"/>
          <w:highlight w:val="none"/>
        </w:rPr>
        <w:t>；</w:t>
      </w:r>
    </w:p>
    <w:p w14:paraId="56128761">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rPr>
        <w:t>定标方法：本次招标</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Cs/>
          <w:snapToGrid w:val="0"/>
          <w:color w:val="auto"/>
          <w:sz w:val="24"/>
          <w:highlight w:val="none"/>
          <w:u w:val="single"/>
        </w:rPr>
        <w:t xml:space="preserve">不采用 </w:t>
      </w:r>
      <w:r>
        <w:rPr>
          <w:rFonts w:hint="eastAsia" w:asciiTheme="minorEastAsia" w:hAnsiTheme="minorEastAsia" w:eastAsiaTheme="minorEastAsia" w:cstheme="minorEastAsia"/>
          <w:bCs/>
          <w:snapToGrid w:val="0"/>
          <w:color w:val="auto"/>
          <w:sz w:val="24"/>
          <w:highlight w:val="none"/>
        </w:rPr>
        <w:t>评定分离。</w:t>
      </w:r>
    </w:p>
    <w:p w14:paraId="4C67BB17">
      <w:pPr>
        <w:spacing w:line="480" w:lineRule="exact"/>
        <w:ind w:firstLine="482" w:firstLineChars="200"/>
        <w:rPr>
          <w:rFonts w:asciiTheme="minorEastAsia" w:hAnsiTheme="minorEastAsia" w:eastAsiaTheme="minorEastAsia" w:cstheme="minorEastAsia"/>
          <w:b/>
          <w:bCs/>
          <w:color w:val="auto"/>
          <w:sz w:val="24"/>
          <w:highlight w:val="none"/>
        </w:rPr>
      </w:pPr>
      <w:bookmarkStart w:id="4" w:name="_Toc27701"/>
      <w:r>
        <w:rPr>
          <w:rFonts w:hint="eastAsia" w:asciiTheme="minorEastAsia" w:hAnsiTheme="minorEastAsia" w:eastAsiaTheme="minorEastAsia" w:cstheme="minorEastAsia"/>
          <w:b/>
          <w:bCs/>
          <w:color w:val="auto"/>
          <w:sz w:val="24"/>
          <w:highlight w:val="none"/>
        </w:rPr>
        <w:t>2. 项目概况与招标范围</w:t>
      </w:r>
      <w:bookmarkEnd w:id="4"/>
    </w:p>
    <w:p w14:paraId="6B2A54FA">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2.1 招标项目名称：</w:t>
      </w:r>
      <w:r>
        <w:rPr>
          <w:rFonts w:hint="eastAsia" w:asciiTheme="minorEastAsia" w:hAnsiTheme="minorEastAsia" w:eastAsiaTheme="minorEastAsia" w:cstheme="minorEastAsia"/>
          <w:color w:val="auto"/>
          <w:sz w:val="24"/>
          <w:highlight w:val="none"/>
          <w:u w:val="single"/>
          <w:lang w:eastAsia="zh-CN"/>
        </w:rPr>
        <w:t>铜陵狮子山高新区2026年度10KV及以下配电工程</w:t>
      </w:r>
      <w:r>
        <w:rPr>
          <w:rFonts w:hint="eastAsia" w:asciiTheme="minorEastAsia" w:hAnsiTheme="minorEastAsia" w:eastAsiaTheme="minorEastAsia" w:cstheme="minorEastAsia"/>
          <w:color w:val="auto"/>
          <w:sz w:val="24"/>
          <w:highlight w:val="none"/>
        </w:rPr>
        <w:t>；</w:t>
      </w:r>
    </w:p>
    <w:p w14:paraId="202AE054">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2.2 招标项目编号：</w:t>
      </w:r>
      <w:r>
        <w:rPr>
          <w:rFonts w:hint="eastAsia" w:asciiTheme="minorEastAsia" w:hAnsiTheme="minorEastAsia" w:eastAsiaTheme="minorEastAsia" w:cstheme="minorEastAsia"/>
          <w:color w:val="auto"/>
          <w:sz w:val="24"/>
          <w:highlight w:val="none"/>
          <w:u w:val="single"/>
          <w:lang w:eastAsia="zh-CN"/>
        </w:rPr>
        <w:t>AHGD-2025-075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73D302DF">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2.3 标段划分：</w:t>
      </w:r>
      <w:r>
        <w:rPr>
          <w:rFonts w:hint="eastAsia" w:asciiTheme="minorEastAsia" w:hAnsiTheme="minorEastAsia" w:eastAsiaTheme="minorEastAsia" w:cstheme="minorEastAsia"/>
          <w:color w:val="auto"/>
          <w:sz w:val="24"/>
          <w:highlight w:val="none"/>
          <w:u w:val="single"/>
        </w:rPr>
        <w:t xml:space="preserve">一个标段 </w:t>
      </w:r>
      <w:r>
        <w:rPr>
          <w:rFonts w:hint="eastAsia" w:asciiTheme="minorEastAsia" w:hAnsiTheme="minorEastAsia" w:eastAsiaTheme="minorEastAsia" w:cstheme="minorEastAsia"/>
          <w:color w:val="auto"/>
          <w:sz w:val="24"/>
          <w:highlight w:val="none"/>
        </w:rPr>
        <w:t>；</w:t>
      </w:r>
    </w:p>
    <w:p w14:paraId="3BE859BC">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2.4 招标项目标段编号：</w:t>
      </w:r>
      <w:r>
        <w:rPr>
          <w:rFonts w:hint="eastAsia" w:asciiTheme="minorEastAsia" w:hAnsiTheme="minorEastAsia" w:eastAsiaTheme="minorEastAsia" w:cstheme="minorEastAsia"/>
          <w:color w:val="auto"/>
          <w:sz w:val="24"/>
          <w:highlight w:val="none"/>
          <w:u w:val="single"/>
          <w:lang w:eastAsia="zh-CN"/>
        </w:rPr>
        <w:t>AHGD-2025-075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09C726B8">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2.5 建设地点：</w:t>
      </w:r>
      <w:bookmarkStart w:id="5" w:name="OLE_LINK18"/>
      <w:r>
        <w:rPr>
          <w:rFonts w:hint="eastAsia" w:asciiTheme="minorEastAsia" w:hAnsiTheme="minorEastAsia" w:eastAsiaTheme="minorEastAsia" w:cstheme="minorEastAsia"/>
          <w:color w:val="auto"/>
          <w:sz w:val="24"/>
          <w:highlight w:val="none"/>
          <w:u w:val="single"/>
        </w:rPr>
        <w:t>铜陵狮子山高新区</w:t>
      </w:r>
      <w:bookmarkEnd w:id="5"/>
      <w:r>
        <w:rPr>
          <w:rFonts w:hint="eastAsia" w:asciiTheme="minorEastAsia" w:hAnsiTheme="minorEastAsia" w:eastAsiaTheme="minorEastAsia" w:cstheme="minorEastAsia"/>
          <w:color w:val="auto"/>
          <w:sz w:val="24"/>
          <w:highlight w:val="none"/>
        </w:rPr>
        <w:t>；</w:t>
      </w:r>
    </w:p>
    <w:p w14:paraId="3A26AACA">
      <w:pPr>
        <w:spacing w:line="480" w:lineRule="exact"/>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bCs/>
          <w:snapToGrid w:val="0"/>
          <w:color w:val="auto"/>
          <w:sz w:val="24"/>
          <w:highlight w:val="none"/>
        </w:rPr>
        <w:t>2.6 建设规模：</w:t>
      </w:r>
      <w:r>
        <w:rPr>
          <w:rFonts w:hint="eastAsia" w:asciiTheme="minorEastAsia" w:hAnsiTheme="minorEastAsia" w:eastAsiaTheme="minorEastAsia" w:cstheme="minorEastAsia"/>
          <w:color w:val="auto"/>
          <w:sz w:val="24"/>
          <w:highlight w:val="none"/>
          <w:u w:val="single"/>
        </w:rPr>
        <w:t>为保障园区基础设施建设，根据企业入住用电需求及建设单位要求，包括不限于电线电缆采购、铺设，电气设备采购安装，以及配管开挖、铺设等工程内容。具体以招标文件中所载明的内容和项目实施过程中的供电方案或任务单为准。项目总建安费约380万元</w:t>
      </w:r>
      <w:r>
        <w:rPr>
          <w:rFonts w:hint="eastAsia" w:asciiTheme="minorEastAsia" w:hAnsiTheme="minorEastAsia" w:eastAsiaTheme="minorEastAsia" w:cstheme="minorEastAsia"/>
          <w:color w:val="auto"/>
          <w:sz w:val="24"/>
          <w:highlight w:val="none"/>
          <w:u w:val="single"/>
          <w:lang w:val="en-US" w:eastAsia="zh-CN"/>
        </w:rPr>
        <w:t>。</w:t>
      </w:r>
    </w:p>
    <w:p w14:paraId="6E80F3CA">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2.7 最高投标限价</w:t>
      </w:r>
      <w:r>
        <w:rPr>
          <w:rFonts w:hint="eastAsia" w:asciiTheme="minorEastAsia" w:hAnsiTheme="minorEastAsia" w:eastAsiaTheme="minorEastAsia" w:cstheme="minorEastAsia"/>
          <w:bCs/>
          <w:snapToGrid w:val="0"/>
          <w:color w:val="auto"/>
          <w:sz w:val="24"/>
          <w:highlight w:val="none"/>
          <w:lang w:eastAsia="zh-CN"/>
        </w:rPr>
        <w:t>（</w:t>
      </w:r>
      <w:r>
        <w:rPr>
          <w:rFonts w:hint="eastAsia" w:asciiTheme="minorEastAsia" w:hAnsiTheme="minorEastAsia" w:eastAsiaTheme="minorEastAsia" w:cstheme="minorEastAsia"/>
          <w:bCs/>
          <w:snapToGrid w:val="0"/>
          <w:color w:val="auto"/>
          <w:sz w:val="24"/>
          <w:highlight w:val="none"/>
          <w:lang w:val="en-US" w:eastAsia="zh-CN"/>
        </w:rPr>
        <w:t>折扣率</w:t>
      </w:r>
      <w:r>
        <w:rPr>
          <w:rFonts w:hint="eastAsia" w:asciiTheme="minorEastAsia" w:hAnsiTheme="minorEastAsia" w:eastAsiaTheme="minorEastAsia" w:cstheme="minorEastAsia"/>
          <w:bCs/>
          <w:snapToGrid w:val="0"/>
          <w:color w:val="auto"/>
          <w:sz w:val="24"/>
          <w:highlight w:val="none"/>
          <w:lang w:eastAsia="zh-CN"/>
        </w:rPr>
        <w:t>）</w:t>
      </w:r>
      <w:r>
        <w:rPr>
          <w:rFonts w:hint="eastAsia" w:asciiTheme="minorEastAsia" w:hAnsiTheme="minorEastAsia" w:eastAsiaTheme="minorEastAsia" w:cstheme="minorEastAsia"/>
          <w:bCs/>
          <w:snapToGrid w:val="0"/>
          <w:color w:val="auto"/>
          <w:sz w:val="24"/>
          <w:highlight w:val="none"/>
        </w:rPr>
        <w:t>：</w:t>
      </w:r>
      <w:r>
        <w:rPr>
          <w:rFonts w:hint="eastAsia" w:asciiTheme="minorEastAsia" w:hAnsiTheme="minorEastAsia" w:eastAsiaTheme="minorEastAsia" w:cstheme="minorEastAsia"/>
          <w:bCs/>
          <w:snapToGrid w:val="0"/>
          <w:color w:val="auto"/>
          <w:sz w:val="24"/>
          <w:highlight w:val="none"/>
          <w:u w:val="single"/>
          <w:lang w:eastAsia="zh-CN"/>
        </w:rPr>
        <w:t>100%</w:t>
      </w:r>
      <w:r>
        <w:rPr>
          <w:rFonts w:hint="eastAsia" w:asciiTheme="minorEastAsia" w:hAnsiTheme="minorEastAsia" w:eastAsiaTheme="minorEastAsia" w:cstheme="minorEastAsia"/>
          <w:color w:val="auto"/>
          <w:sz w:val="24"/>
          <w:highlight w:val="none"/>
        </w:rPr>
        <w:t>；</w:t>
      </w:r>
    </w:p>
    <w:p w14:paraId="18D08A9B">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napToGrid w:val="0"/>
          <w:color w:val="auto"/>
          <w:sz w:val="24"/>
          <w:highlight w:val="none"/>
        </w:rPr>
        <w:t xml:space="preserve">2.8 </w:t>
      </w:r>
      <w:bookmarkStart w:id="6" w:name="OLE_LINK11"/>
      <w:r>
        <w:rPr>
          <w:rFonts w:hint="eastAsia" w:asciiTheme="minorEastAsia" w:hAnsiTheme="minorEastAsia" w:eastAsiaTheme="minorEastAsia" w:cstheme="minorEastAsia"/>
          <w:bCs/>
          <w:snapToGrid w:val="0"/>
          <w:color w:val="auto"/>
          <w:sz w:val="24"/>
          <w:highlight w:val="none"/>
        </w:rPr>
        <w:t>服务期限：</w:t>
      </w:r>
      <w:r>
        <w:rPr>
          <w:rFonts w:hint="eastAsia" w:asciiTheme="minorEastAsia" w:hAnsiTheme="minorEastAsia" w:eastAsiaTheme="minorEastAsia" w:cstheme="minorEastAsia"/>
          <w:color w:val="auto"/>
          <w:sz w:val="24"/>
          <w:highlight w:val="none"/>
          <w:u w:val="single"/>
        </w:rPr>
        <w:t>合同施工服务期为1年(自合同签订之日起算，约365 日历天，若合同施工服务期内施工预算审核价</w:t>
      </w:r>
      <w:r>
        <w:rPr>
          <w:rFonts w:hint="eastAsia" w:asciiTheme="minorEastAsia" w:hAnsiTheme="minorEastAsia" w:eastAsiaTheme="minorEastAsia" w:cstheme="minorEastAsia"/>
          <w:color w:val="auto"/>
          <w:sz w:val="24"/>
          <w:highlight w:val="none"/>
          <w:u w:val="single"/>
          <w:lang w:eastAsia="zh-CN"/>
        </w:rPr>
        <w:t>累计达到总建安费金额</w:t>
      </w:r>
      <w:r>
        <w:rPr>
          <w:rFonts w:hint="eastAsia" w:asciiTheme="minorEastAsia" w:hAnsiTheme="minorEastAsia" w:eastAsiaTheme="minorEastAsia" w:cstheme="minorEastAsia"/>
          <w:color w:val="auto"/>
          <w:sz w:val="24"/>
          <w:highlight w:val="none"/>
          <w:u w:val="single"/>
        </w:rPr>
        <w:t>，则合同施工服务期自动届满)，单项任务的工期以招标人指定为准。如合同施工服务期届满，单个工程尚未竣工的，中标人仍应就该单个工程继续施工且履行该工程所涉合同权利义务直至该工程验收合格、质量回访合格为止。</w:t>
      </w:r>
      <w:bookmarkEnd w:id="6"/>
    </w:p>
    <w:p w14:paraId="170E6692">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2.9 招标范围：</w:t>
      </w:r>
      <w:r>
        <w:rPr>
          <w:rFonts w:hint="eastAsia" w:asciiTheme="minorEastAsia" w:hAnsiTheme="minorEastAsia" w:eastAsiaTheme="minorEastAsia" w:cstheme="minorEastAsia"/>
          <w:bCs/>
          <w:snapToGrid w:val="0"/>
          <w:color w:val="auto"/>
          <w:sz w:val="24"/>
          <w:highlight w:val="none"/>
          <w:u w:val="single"/>
        </w:rPr>
        <w:t>详见招标文件所载明内容。</w:t>
      </w:r>
    </w:p>
    <w:p w14:paraId="24D7429E">
      <w:pPr>
        <w:spacing w:line="480" w:lineRule="exact"/>
        <w:ind w:firstLine="482" w:firstLineChars="200"/>
        <w:rPr>
          <w:rFonts w:asciiTheme="minorEastAsia" w:hAnsiTheme="minorEastAsia" w:eastAsiaTheme="minorEastAsia" w:cstheme="minorEastAsia"/>
          <w:b/>
          <w:bCs/>
          <w:color w:val="auto"/>
          <w:sz w:val="24"/>
          <w:highlight w:val="none"/>
        </w:rPr>
      </w:pPr>
      <w:bookmarkStart w:id="7" w:name="_Toc18735"/>
      <w:r>
        <w:rPr>
          <w:rFonts w:hint="eastAsia" w:asciiTheme="minorEastAsia" w:hAnsiTheme="minorEastAsia" w:eastAsiaTheme="minorEastAsia" w:cstheme="minorEastAsia"/>
          <w:b/>
          <w:bCs/>
          <w:color w:val="auto"/>
          <w:sz w:val="24"/>
          <w:highlight w:val="none"/>
        </w:rPr>
        <w:t>3. 投标人资格要求</w:t>
      </w:r>
      <w:bookmarkEnd w:id="7"/>
    </w:p>
    <w:p w14:paraId="7F64E3E1">
      <w:pPr>
        <w:spacing w:line="480" w:lineRule="exact"/>
        <w:ind w:firstLine="480" w:firstLineChars="200"/>
        <w:rPr>
          <w:rFonts w:hint="eastAsia" w:asciiTheme="minorEastAsia" w:hAnsiTheme="minorEastAsia" w:eastAsiaTheme="minorEastAsia" w:cstheme="minorEastAsia"/>
          <w:bCs/>
          <w:snapToGrid w:val="0"/>
          <w:color w:val="auto"/>
          <w:sz w:val="24"/>
          <w:highlight w:val="none"/>
          <w:u w:val="single"/>
        </w:rPr>
      </w:pPr>
      <w:r>
        <w:rPr>
          <w:rFonts w:hint="eastAsia" w:asciiTheme="minorEastAsia" w:hAnsiTheme="minorEastAsia" w:eastAsiaTheme="minorEastAsia" w:cstheme="minorEastAsia"/>
          <w:bCs/>
          <w:snapToGrid w:val="0"/>
          <w:color w:val="auto"/>
          <w:sz w:val="24"/>
          <w:highlight w:val="none"/>
        </w:rPr>
        <w:t>3.1 投标人资质要求：</w:t>
      </w:r>
      <w:r>
        <w:rPr>
          <w:rFonts w:hint="eastAsia" w:asciiTheme="minorEastAsia" w:hAnsiTheme="minorEastAsia" w:eastAsiaTheme="minorEastAsia" w:cstheme="minorEastAsia"/>
          <w:bCs/>
          <w:snapToGrid w:val="0"/>
          <w:color w:val="auto"/>
          <w:sz w:val="24"/>
          <w:highlight w:val="none"/>
          <w:u w:val="single"/>
        </w:rPr>
        <w:t>具有有效的电力工程施工总承包叁级及以上资质或输变电工程专业承包叁级及以上资质或建筑机电安装工程专业承包贰级及以上资质；同时具备承装（修、试）类电力设施许可证，承装（修、试）类五级及以上资质（老证）或电力设施许可证承装（修、试）三级及以上资质（新证）【根据国家能源局关于做好承装（修、试）电力设施许可证换领和延续工作的通知】</w:t>
      </w:r>
      <w:r>
        <w:rPr>
          <w:rFonts w:hint="eastAsia" w:asciiTheme="minorEastAsia" w:hAnsiTheme="minorEastAsia" w:eastAsiaTheme="minorEastAsia" w:cstheme="minorEastAsia"/>
          <w:bCs/>
          <w:snapToGrid w:val="0"/>
          <w:color w:val="auto"/>
          <w:sz w:val="24"/>
          <w:highlight w:val="none"/>
          <w:u w:val="single"/>
          <w:lang w:eastAsia="zh-CN"/>
        </w:rPr>
        <w:t>；</w:t>
      </w:r>
      <w:r>
        <w:rPr>
          <w:rFonts w:hint="eastAsia" w:asciiTheme="minorEastAsia" w:hAnsiTheme="minorEastAsia" w:eastAsiaTheme="minorEastAsia" w:cstheme="minorEastAsia"/>
          <w:bCs/>
          <w:snapToGrid w:val="0"/>
          <w:color w:val="auto"/>
          <w:sz w:val="24"/>
          <w:highlight w:val="none"/>
          <w:u w:val="single"/>
          <w:lang w:val="en-US" w:eastAsia="zh-CN"/>
        </w:rPr>
        <w:t>同时</w:t>
      </w:r>
      <w:r>
        <w:rPr>
          <w:rFonts w:hint="eastAsia" w:asciiTheme="minorEastAsia" w:hAnsiTheme="minorEastAsia" w:eastAsiaTheme="minorEastAsia" w:cstheme="minorEastAsia"/>
          <w:bCs/>
          <w:snapToGrid w:val="0"/>
          <w:color w:val="auto"/>
          <w:sz w:val="24"/>
          <w:highlight w:val="none"/>
          <w:u w:val="single"/>
        </w:rPr>
        <w:t>具有有效的安全生产许可证。</w:t>
      </w:r>
    </w:p>
    <w:p w14:paraId="25095FFB">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3.2 投标人业绩要求：无。</w:t>
      </w:r>
    </w:p>
    <w:p w14:paraId="51346A36">
      <w:pPr>
        <w:widowControl/>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3.3 项目经理资格要求：</w:t>
      </w:r>
      <w:r>
        <w:rPr>
          <w:rFonts w:hint="eastAsia" w:asciiTheme="minorEastAsia" w:hAnsiTheme="minorEastAsia" w:eastAsiaTheme="minorEastAsia" w:cstheme="minorEastAsia"/>
          <w:color w:val="auto"/>
          <w:sz w:val="24"/>
          <w:highlight w:val="none"/>
          <w:u w:val="single"/>
        </w:rPr>
        <w:t>具备有效的机电工程专业二级及以上注册建造师资格，并具有效的安全生产考核合格证（B类）。提供开标截止时间前半年内在该投标单位(含其分公司)连续三个月的社保缴纳证明。</w:t>
      </w:r>
    </w:p>
    <w:p w14:paraId="590E4792">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3.4  项目经理业绩要求：无</w:t>
      </w:r>
    </w:p>
    <w:p w14:paraId="665845FC">
      <w:pPr>
        <w:tabs>
          <w:tab w:val="center" w:pos="4470"/>
        </w:tabs>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3.5 投标人财务要求：</w:t>
      </w:r>
      <w:r>
        <w:rPr>
          <w:rFonts w:hint="eastAsia" w:asciiTheme="minorEastAsia" w:hAnsiTheme="minorEastAsia" w:eastAsiaTheme="minorEastAsia" w:cstheme="minorEastAsia"/>
          <w:bCs/>
          <w:snapToGrid w:val="0"/>
          <w:color w:val="auto"/>
          <w:sz w:val="24"/>
          <w:highlight w:val="none"/>
          <w:u w:val="single"/>
        </w:rPr>
        <w:t>无</w:t>
      </w:r>
      <w:r>
        <w:rPr>
          <w:rFonts w:hint="eastAsia" w:asciiTheme="minorEastAsia" w:hAnsiTheme="minorEastAsia" w:eastAsiaTheme="minorEastAsia" w:cstheme="minorEastAsia"/>
          <w:bCs/>
          <w:snapToGrid w:val="0"/>
          <w:color w:val="auto"/>
          <w:sz w:val="24"/>
          <w:highlight w:val="none"/>
        </w:rPr>
        <w:t>。</w:t>
      </w:r>
      <w:r>
        <w:rPr>
          <w:rFonts w:hint="eastAsia" w:asciiTheme="minorEastAsia" w:hAnsiTheme="minorEastAsia" w:eastAsiaTheme="minorEastAsia" w:cstheme="minorEastAsia"/>
          <w:bCs/>
          <w:snapToGrid w:val="0"/>
          <w:color w:val="auto"/>
          <w:sz w:val="24"/>
          <w:highlight w:val="none"/>
        </w:rPr>
        <w:tab/>
      </w:r>
    </w:p>
    <w:p w14:paraId="15702B04">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3.6 本次招标</w:t>
      </w:r>
      <w:r>
        <w:rPr>
          <w:rFonts w:hint="eastAsia" w:asciiTheme="minorEastAsia" w:hAnsiTheme="minorEastAsia" w:eastAsiaTheme="minorEastAsia" w:cstheme="minorEastAsia"/>
          <w:bCs/>
          <w:snapToGrid w:val="0"/>
          <w:color w:val="auto"/>
          <w:sz w:val="24"/>
          <w:highlight w:val="none"/>
          <w:u w:val="single"/>
        </w:rPr>
        <w:t>不接受</w:t>
      </w:r>
      <w:r>
        <w:rPr>
          <w:rFonts w:hint="eastAsia" w:asciiTheme="minorEastAsia" w:hAnsiTheme="minorEastAsia" w:eastAsiaTheme="minorEastAsia" w:cstheme="minorEastAsia"/>
          <w:bCs/>
          <w:snapToGrid w:val="0"/>
          <w:color w:val="auto"/>
          <w:sz w:val="24"/>
          <w:highlight w:val="none"/>
        </w:rPr>
        <w:t>联合体投标。</w:t>
      </w:r>
    </w:p>
    <w:p w14:paraId="6870CA60">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3.7本项目</w:t>
      </w:r>
      <w:r>
        <w:rPr>
          <w:rFonts w:hint="eastAsia" w:asciiTheme="minorEastAsia" w:hAnsiTheme="minorEastAsia" w:eastAsiaTheme="minorEastAsia" w:cstheme="minorEastAsia"/>
          <w:bCs/>
          <w:snapToGrid w:val="0"/>
          <w:color w:val="auto"/>
          <w:sz w:val="24"/>
          <w:highlight w:val="none"/>
          <w:u w:val="single"/>
        </w:rPr>
        <w:t xml:space="preserve"> 是 </w:t>
      </w:r>
      <w:r>
        <w:rPr>
          <w:rFonts w:hint="eastAsia" w:asciiTheme="minorEastAsia" w:hAnsiTheme="minorEastAsia" w:eastAsiaTheme="minorEastAsia" w:cstheme="minorEastAsia"/>
          <w:bCs/>
          <w:snapToGrid w:val="0"/>
          <w:color w:val="auto"/>
          <w:sz w:val="24"/>
          <w:highlight w:val="none"/>
        </w:rPr>
        <w:t>专门面向中小企业招标。</w:t>
      </w:r>
    </w:p>
    <w:p w14:paraId="488C0E5B">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3.8其他要求：</w:t>
      </w:r>
      <w:r>
        <w:rPr>
          <w:rFonts w:hint="eastAsia" w:asciiTheme="minorEastAsia" w:hAnsiTheme="minorEastAsia" w:eastAsiaTheme="minorEastAsia" w:cstheme="minorEastAsia"/>
          <w:color w:val="auto"/>
          <w:sz w:val="24"/>
          <w:highlight w:val="none"/>
          <w:u w:val="single"/>
        </w:rPr>
        <w:t>无</w:t>
      </w:r>
      <w:r>
        <w:rPr>
          <w:rFonts w:hint="eastAsia" w:asciiTheme="minorEastAsia" w:hAnsiTheme="minorEastAsia" w:eastAsiaTheme="minorEastAsia" w:cstheme="minorEastAsia"/>
          <w:bCs/>
          <w:snapToGrid w:val="0"/>
          <w:color w:val="auto"/>
          <w:sz w:val="24"/>
          <w:highlight w:val="none"/>
        </w:rPr>
        <w:t>。</w:t>
      </w:r>
    </w:p>
    <w:p w14:paraId="72198AED">
      <w:pPr>
        <w:numPr>
          <w:ilvl w:val="0"/>
          <w:numId w:val="0"/>
        </w:numPr>
        <w:spacing w:line="480" w:lineRule="exact"/>
        <w:ind w:firstLine="482" w:firstLineChars="200"/>
        <w:rPr>
          <w:rFonts w:asciiTheme="minorEastAsia" w:hAnsiTheme="minorEastAsia" w:eastAsiaTheme="minorEastAsia" w:cstheme="minorEastAsia"/>
          <w:b/>
          <w:bCs/>
          <w:color w:val="auto"/>
          <w:sz w:val="24"/>
          <w:highlight w:val="none"/>
        </w:rPr>
      </w:pPr>
      <w:bookmarkStart w:id="8" w:name="_Toc14225"/>
      <w:r>
        <w:rPr>
          <w:rFonts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sz w:val="24"/>
          <w:highlight w:val="none"/>
        </w:rPr>
        <w:t>招标文件的获取</w:t>
      </w:r>
      <w:bookmarkEnd w:id="8"/>
    </w:p>
    <w:p w14:paraId="2C73FF29">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4.1获取时间：起始为公告挂网时间，终止为开标时间。</w:t>
      </w:r>
    </w:p>
    <w:p w14:paraId="158C16A4">
      <w:pPr>
        <w:spacing w:line="480" w:lineRule="exact"/>
        <w:ind w:firstLine="480" w:firstLineChars="200"/>
        <w:rPr>
          <w:rFonts w:asciiTheme="minorEastAsia" w:hAnsiTheme="minorEastAsia" w:eastAsiaTheme="minorEastAsia" w:cstheme="minorEastAsia"/>
          <w:bCs/>
          <w:snapToGrid w:val="0"/>
          <w:color w:val="auto"/>
          <w:sz w:val="24"/>
          <w:highlight w:val="none"/>
        </w:rPr>
      </w:pPr>
      <w:bookmarkStart w:id="9" w:name="_Toc20652"/>
      <w:r>
        <w:rPr>
          <w:rFonts w:hint="eastAsia" w:asciiTheme="minorEastAsia" w:hAnsiTheme="minorEastAsia" w:eastAsiaTheme="minorEastAsia" w:cstheme="minorEastAsia"/>
          <w:bCs/>
          <w:snapToGrid w:val="0"/>
          <w:color w:val="auto"/>
          <w:sz w:val="24"/>
          <w:highlight w:val="none"/>
        </w:rPr>
        <w:t>4.2获取方式：所有招标内容均以铜陵市公共资源交易网（非进场）公布的该工程招标公告、招标文件、附件、答疑为准，投标人自行下载，其它任何形式的内容不作为招标投标以及开标评标的依据。请各投标人注意该网站中关于本项目的信息发布内容，如因投标人自身原因未了解公告、答疑等信息的，责任自负。</w:t>
      </w:r>
    </w:p>
    <w:p w14:paraId="7ACB14E2">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4.3 招标文件价格： 0元 。</w:t>
      </w:r>
    </w:p>
    <w:p w14:paraId="2A57462D">
      <w:pPr>
        <w:spacing w:line="48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 投标文件的递交</w:t>
      </w:r>
      <w:bookmarkEnd w:id="9"/>
    </w:p>
    <w:p w14:paraId="3411DD78">
      <w:pPr>
        <w:spacing w:line="480" w:lineRule="exact"/>
        <w:ind w:firstLine="480" w:firstLineChars="200"/>
        <w:rPr>
          <w:rFonts w:asciiTheme="minorEastAsia" w:hAnsiTheme="minorEastAsia" w:eastAsiaTheme="minorEastAsia" w:cstheme="minorEastAsia"/>
          <w:bCs/>
          <w:snapToGrid w:val="0"/>
          <w:color w:val="auto"/>
          <w:sz w:val="24"/>
          <w:highlight w:val="none"/>
        </w:rPr>
      </w:pPr>
      <w:bookmarkStart w:id="10" w:name="_Toc15366"/>
      <w:r>
        <w:rPr>
          <w:rFonts w:hint="eastAsia" w:asciiTheme="minorEastAsia" w:hAnsiTheme="minorEastAsia" w:eastAsiaTheme="minorEastAsia" w:cstheme="minorEastAsia"/>
          <w:bCs/>
          <w:snapToGrid w:val="0"/>
          <w:color w:val="auto"/>
          <w:sz w:val="24"/>
          <w:highlight w:val="none"/>
        </w:rPr>
        <w:t xml:space="preserve">投标文件递交的截止时间(投标截止时间，下同)为 </w:t>
      </w:r>
      <w:r>
        <w:rPr>
          <w:rFonts w:hint="eastAsia" w:asciiTheme="minorEastAsia" w:hAnsiTheme="minorEastAsia" w:eastAsiaTheme="minorEastAsia" w:cstheme="minorEastAsia"/>
          <w:bCs/>
          <w:snapToGrid w:val="0"/>
          <w:color w:val="auto"/>
          <w:sz w:val="24"/>
          <w:highlight w:val="none"/>
          <w:u w:val="single"/>
        </w:rPr>
        <w:t>2025年</w:t>
      </w:r>
      <w:r>
        <w:rPr>
          <w:rFonts w:hint="eastAsia" w:asciiTheme="minorEastAsia" w:hAnsiTheme="minorEastAsia" w:eastAsiaTheme="minorEastAsia" w:cstheme="minorEastAsia"/>
          <w:bCs/>
          <w:snapToGrid w:val="0"/>
          <w:color w:val="auto"/>
          <w:sz w:val="24"/>
          <w:highlight w:val="none"/>
          <w:u w:val="single"/>
          <w:lang w:val="en-US" w:eastAsia="zh-CN"/>
        </w:rPr>
        <w:t>12</w:t>
      </w:r>
      <w:r>
        <w:rPr>
          <w:rFonts w:hint="eastAsia" w:asciiTheme="minorEastAsia" w:hAnsiTheme="minorEastAsia" w:eastAsiaTheme="minorEastAsia" w:cstheme="minorEastAsia"/>
          <w:bCs/>
          <w:snapToGrid w:val="0"/>
          <w:color w:val="auto"/>
          <w:sz w:val="24"/>
          <w:highlight w:val="none"/>
          <w:u w:val="single"/>
        </w:rPr>
        <w:t>月</w:t>
      </w:r>
      <w:r>
        <w:rPr>
          <w:rFonts w:hint="eastAsia" w:asciiTheme="minorEastAsia" w:hAnsiTheme="minorEastAsia" w:eastAsiaTheme="minorEastAsia" w:cstheme="minorEastAsia"/>
          <w:bCs/>
          <w:snapToGrid w:val="0"/>
          <w:color w:val="auto"/>
          <w:sz w:val="24"/>
          <w:highlight w:val="none"/>
          <w:u w:val="single"/>
          <w:lang w:val="en-US" w:eastAsia="zh-CN"/>
        </w:rPr>
        <w:t>10</w:t>
      </w:r>
      <w:r>
        <w:rPr>
          <w:rFonts w:hint="eastAsia" w:asciiTheme="minorEastAsia" w:hAnsiTheme="minorEastAsia" w:eastAsiaTheme="minorEastAsia" w:cstheme="minorEastAsia"/>
          <w:bCs/>
          <w:snapToGrid w:val="0"/>
          <w:color w:val="auto"/>
          <w:sz w:val="24"/>
          <w:highlight w:val="none"/>
          <w:u w:val="single"/>
        </w:rPr>
        <w:t>日</w:t>
      </w:r>
      <w:r>
        <w:rPr>
          <w:rFonts w:hint="eastAsia" w:asciiTheme="minorEastAsia" w:hAnsiTheme="minorEastAsia" w:eastAsiaTheme="minorEastAsia" w:cstheme="minorEastAsia"/>
          <w:bCs/>
          <w:snapToGrid w:val="0"/>
          <w:color w:val="auto"/>
          <w:sz w:val="24"/>
          <w:highlight w:val="none"/>
          <w:u w:val="single"/>
          <w:lang w:val="en-US" w:eastAsia="zh-CN"/>
        </w:rPr>
        <w:t>9</w:t>
      </w:r>
      <w:r>
        <w:rPr>
          <w:rFonts w:hint="eastAsia" w:asciiTheme="minorEastAsia" w:hAnsiTheme="minorEastAsia" w:eastAsiaTheme="minorEastAsia" w:cstheme="minorEastAsia"/>
          <w:bCs/>
          <w:snapToGrid w:val="0"/>
          <w:color w:val="auto"/>
          <w:sz w:val="24"/>
          <w:highlight w:val="none"/>
          <w:u w:val="single"/>
        </w:rPr>
        <w:t>时</w:t>
      </w:r>
      <w:r>
        <w:rPr>
          <w:rFonts w:hint="eastAsia" w:asciiTheme="minorEastAsia" w:hAnsiTheme="minorEastAsia" w:eastAsiaTheme="minorEastAsia" w:cstheme="minorEastAsia"/>
          <w:bCs/>
          <w:snapToGrid w:val="0"/>
          <w:color w:val="auto"/>
          <w:sz w:val="24"/>
          <w:highlight w:val="none"/>
          <w:u w:val="single"/>
          <w:lang w:val="en-US" w:eastAsia="zh-CN"/>
        </w:rPr>
        <w:t>30</w:t>
      </w:r>
      <w:r>
        <w:rPr>
          <w:rFonts w:hint="eastAsia" w:asciiTheme="minorEastAsia" w:hAnsiTheme="minorEastAsia" w:eastAsiaTheme="minorEastAsia" w:cstheme="minorEastAsia"/>
          <w:bCs/>
          <w:snapToGrid w:val="0"/>
          <w:color w:val="auto"/>
          <w:sz w:val="24"/>
          <w:highlight w:val="none"/>
          <w:u w:val="single"/>
        </w:rPr>
        <w:t>分</w:t>
      </w:r>
      <w:r>
        <w:rPr>
          <w:rFonts w:hint="eastAsia" w:asciiTheme="minorEastAsia" w:hAnsiTheme="minorEastAsia" w:eastAsiaTheme="minorEastAsia" w:cstheme="minorEastAsia"/>
          <w:bCs/>
          <w:snapToGrid w:val="0"/>
          <w:color w:val="auto"/>
          <w:sz w:val="24"/>
          <w:highlight w:val="none"/>
        </w:rPr>
        <w:t>，投标人应在投标截止时间前在</w:t>
      </w:r>
      <w:r>
        <w:rPr>
          <w:rFonts w:hint="eastAsia" w:asciiTheme="minorEastAsia" w:hAnsiTheme="minorEastAsia" w:eastAsiaTheme="minorEastAsia" w:cstheme="minorEastAsia"/>
          <w:bCs/>
          <w:snapToGrid w:val="0"/>
          <w:color w:val="auto"/>
          <w:sz w:val="24"/>
          <w:highlight w:val="none"/>
          <w:u w:val="single"/>
        </w:rPr>
        <w:t xml:space="preserve"> </w:t>
      </w:r>
      <w:r>
        <w:rPr>
          <w:rFonts w:hint="eastAsia" w:ascii="宋体" w:hAnsi="宋体" w:cs="宋体" w:eastAsiaTheme="minorEastAsia"/>
          <w:color w:val="auto"/>
          <w:sz w:val="24"/>
          <w:highlight w:val="none"/>
          <w:u w:val="single"/>
          <w:lang w:eastAsia="zh-CN"/>
        </w:rPr>
        <w:t>安徽高度项目管理有限公司</w:t>
      </w:r>
      <w:r>
        <w:rPr>
          <w:rFonts w:hint="eastAsia" w:ascii="宋体" w:hAnsi="宋体" w:cs="宋体"/>
          <w:color w:val="auto"/>
          <w:sz w:val="24"/>
          <w:highlight w:val="none"/>
          <w:u w:val="single"/>
        </w:rPr>
        <w:t>开标室</w:t>
      </w:r>
      <w:r>
        <w:rPr>
          <w:rFonts w:asciiTheme="minorEastAsia" w:hAnsiTheme="minorEastAsia" w:eastAsiaTheme="minorEastAsia" w:cstheme="minorEastAsia"/>
          <w:bCs/>
          <w:snapToGrid w:val="0"/>
          <w:color w:val="auto"/>
          <w:sz w:val="24"/>
          <w:highlight w:val="none"/>
          <w:u w:val="single"/>
        </w:rPr>
        <w:t xml:space="preserve"> </w:t>
      </w:r>
      <w:r>
        <w:rPr>
          <w:rFonts w:hint="eastAsia" w:asciiTheme="minorEastAsia" w:hAnsiTheme="minorEastAsia" w:eastAsiaTheme="minorEastAsia" w:cstheme="minorEastAsia"/>
          <w:bCs/>
          <w:snapToGrid w:val="0"/>
          <w:color w:val="auto"/>
          <w:sz w:val="24"/>
          <w:highlight w:val="none"/>
        </w:rPr>
        <w:t>提交投标文件。</w:t>
      </w:r>
    </w:p>
    <w:p w14:paraId="6A929B1A">
      <w:pPr>
        <w:spacing w:line="480" w:lineRule="exact"/>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Cs/>
          <w:snapToGrid w:val="0"/>
          <w:color w:val="auto"/>
          <w:sz w:val="24"/>
          <w:highlight w:val="none"/>
        </w:rPr>
        <w:t xml:space="preserve"> </w:t>
      </w:r>
      <w:r>
        <w:rPr>
          <w:rFonts w:hint="eastAsia" w:asciiTheme="minorEastAsia" w:hAnsiTheme="minorEastAsia" w:eastAsiaTheme="minorEastAsia" w:cstheme="minorEastAsia"/>
          <w:b/>
          <w:bCs/>
          <w:color w:val="auto"/>
          <w:sz w:val="24"/>
          <w:highlight w:val="none"/>
        </w:rPr>
        <w:t>6. 开标时间及地点</w:t>
      </w:r>
      <w:bookmarkEnd w:id="10"/>
    </w:p>
    <w:p w14:paraId="09E0184F">
      <w:pPr>
        <w:spacing w:line="480" w:lineRule="exact"/>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bCs/>
          <w:snapToGrid w:val="0"/>
          <w:color w:val="auto"/>
          <w:sz w:val="24"/>
          <w:highlight w:val="none"/>
        </w:rPr>
        <w:t>6.1 开标时间：</w:t>
      </w:r>
      <w:r>
        <w:rPr>
          <w:rFonts w:hint="eastAsia" w:asciiTheme="minorEastAsia" w:hAnsiTheme="minorEastAsia" w:eastAsiaTheme="minorEastAsia" w:cstheme="minorEastAsia"/>
          <w:bCs/>
          <w:snapToGrid w:val="0"/>
          <w:color w:val="auto"/>
          <w:sz w:val="24"/>
          <w:highlight w:val="none"/>
          <w:u w:val="single"/>
        </w:rPr>
        <w:t>2025年</w:t>
      </w:r>
      <w:r>
        <w:rPr>
          <w:rFonts w:hint="eastAsia" w:asciiTheme="minorEastAsia" w:hAnsiTheme="minorEastAsia" w:eastAsiaTheme="minorEastAsia" w:cstheme="minorEastAsia"/>
          <w:bCs/>
          <w:snapToGrid w:val="0"/>
          <w:color w:val="auto"/>
          <w:sz w:val="24"/>
          <w:highlight w:val="none"/>
          <w:u w:val="single"/>
          <w:lang w:val="en-US" w:eastAsia="zh-CN"/>
        </w:rPr>
        <w:t>12</w:t>
      </w:r>
      <w:r>
        <w:rPr>
          <w:rFonts w:hint="eastAsia" w:asciiTheme="minorEastAsia" w:hAnsiTheme="minorEastAsia" w:eastAsiaTheme="minorEastAsia" w:cstheme="minorEastAsia"/>
          <w:bCs/>
          <w:snapToGrid w:val="0"/>
          <w:color w:val="auto"/>
          <w:sz w:val="24"/>
          <w:highlight w:val="none"/>
          <w:u w:val="single"/>
        </w:rPr>
        <w:t>月</w:t>
      </w:r>
      <w:r>
        <w:rPr>
          <w:rFonts w:hint="eastAsia" w:asciiTheme="minorEastAsia" w:hAnsiTheme="minorEastAsia" w:eastAsiaTheme="minorEastAsia" w:cstheme="minorEastAsia"/>
          <w:bCs/>
          <w:snapToGrid w:val="0"/>
          <w:color w:val="auto"/>
          <w:sz w:val="24"/>
          <w:highlight w:val="none"/>
          <w:u w:val="single"/>
          <w:lang w:val="en-US" w:eastAsia="zh-CN"/>
        </w:rPr>
        <w:t>10</w:t>
      </w:r>
      <w:r>
        <w:rPr>
          <w:rFonts w:hint="eastAsia" w:asciiTheme="minorEastAsia" w:hAnsiTheme="minorEastAsia" w:eastAsiaTheme="minorEastAsia" w:cstheme="minorEastAsia"/>
          <w:bCs/>
          <w:snapToGrid w:val="0"/>
          <w:color w:val="auto"/>
          <w:sz w:val="24"/>
          <w:highlight w:val="none"/>
          <w:u w:val="single"/>
        </w:rPr>
        <w:t>日</w:t>
      </w:r>
      <w:r>
        <w:rPr>
          <w:rFonts w:hint="eastAsia" w:asciiTheme="minorEastAsia" w:hAnsiTheme="minorEastAsia" w:eastAsiaTheme="minorEastAsia" w:cstheme="minorEastAsia"/>
          <w:bCs/>
          <w:snapToGrid w:val="0"/>
          <w:color w:val="auto"/>
          <w:sz w:val="24"/>
          <w:highlight w:val="none"/>
          <w:u w:val="single"/>
          <w:lang w:val="en-US" w:eastAsia="zh-CN"/>
        </w:rPr>
        <w:t>9</w:t>
      </w:r>
      <w:r>
        <w:rPr>
          <w:rFonts w:hint="eastAsia" w:asciiTheme="minorEastAsia" w:hAnsiTheme="minorEastAsia" w:eastAsiaTheme="minorEastAsia" w:cstheme="minorEastAsia"/>
          <w:bCs/>
          <w:snapToGrid w:val="0"/>
          <w:color w:val="auto"/>
          <w:sz w:val="24"/>
          <w:highlight w:val="none"/>
          <w:u w:val="single"/>
        </w:rPr>
        <w:t>时</w:t>
      </w:r>
      <w:r>
        <w:rPr>
          <w:rFonts w:hint="eastAsia" w:asciiTheme="minorEastAsia" w:hAnsiTheme="minorEastAsia" w:eastAsiaTheme="minorEastAsia" w:cstheme="minorEastAsia"/>
          <w:bCs/>
          <w:snapToGrid w:val="0"/>
          <w:color w:val="auto"/>
          <w:sz w:val="24"/>
          <w:highlight w:val="none"/>
          <w:u w:val="single"/>
          <w:lang w:val="en-US" w:eastAsia="zh-CN"/>
        </w:rPr>
        <w:t>30</w:t>
      </w:r>
      <w:r>
        <w:rPr>
          <w:rFonts w:hint="eastAsia" w:asciiTheme="minorEastAsia" w:hAnsiTheme="minorEastAsia" w:eastAsiaTheme="minorEastAsia" w:cstheme="minorEastAsia"/>
          <w:bCs/>
          <w:snapToGrid w:val="0"/>
          <w:color w:val="auto"/>
          <w:sz w:val="24"/>
          <w:highlight w:val="none"/>
          <w:u w:val="single"/>
        </w:rPr>
        <w:t>分</w:t>
      </w:r>
    </w:p>
    <w:p w14:paraId="108CC307">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6.2 开标地点：</w:t>
      </w:r>
      <w:r>
        <w:rPr>
          <w:rFonts w:hint="eastAsia" w:ascii="宋体" w:hAnsi="宋体" w:cs="宋体" w:eastAsiaTheme="minorEastAsia"/>
          <w:color w:val="auto"/>
          <w:sz w:val="24"/>
          <w:highlight w:val="none"/>
          <w:u w:val="single"/>
          <w:lang w:eastAsia="zh-CN"/>
        </w:rPr>
        <w:t>安徽高度项目管理有限公司</w:t>
      </w:r>
      <w:r>
        <w:rPr>
          <w:rFonts w:hint="eastAsia" w:ascii="宋体" w:hAnsi="宋体" w:cs="宋体"/>
          <w:color w:val="auto"/>
          <w:sz w:val="24"/>
          <w:highlight w:val="none"/>
          <w:u w:val="single"/>
        </w:rPr>
        <w:t>开标室</w:t>
      </w:r>
      <w:r>
        <w:rPr>
          <w:rFonts w:hint="eastAsia" w:asciiTheme="minorEastAsia" w:hAnsiTheme="minorEastAsia" w:eastAsiaTheme="minorEastAsia" w:cstheme="minorEastAsia"/>
          <w:bCs/>
          <w:snapToGrid w:val="0"/>
          <w:color w:val="auto"/>
          <w:sz w:val="24"/>
          <w:highlight w:val="none"/>
        </w:rPr>
        <w:t>。</w:t>
      </w:r>
    </w:p>
    <w:p w14:paraId="0C13DB70">
      <w:pPr>
        <w:spacing w:line="480" w:lineRule="exact"/>
        <w:ind w:firstLine="482" w:firstLineChars="200"/>
        <w:rPr>
          <w:rFonts w:asciiTheme="minorEastAsia" w:hAnsiTheme="minorEastAsia" w:eastAsiaTheme="minorEastAsia" w:cstheme="minorEastAsia"/>
          <w:b/>
          <w:bCs/>
          <w:color w:val="auto"/>
          <w:sz w:val="24"/>
          <w:highlight w:val="none"/>
        </w:rPr>
      </w:pPr>
      <w:bookmarkStart w:id="11" w:name="_Toc27562"/>
      <w:r>
        <w:rPr>
          <w:rFonts w:hint="eastAsia" w:asciiTheme="minorEastAsia" w:hAnsiTheme="minorEastAsia" w:eastAsiaTheme="minorEastAsia" w:cstheme="minorEastAsia"/>
          <w:b/>
          <w:bCs/>
          <w:color w:val="auto"/>
          <w:sz w:val="24"/>
          <w:highlight w:val="none"/>
        </w:rPr>
        <w:t>7. 发布公告的媒介</w:t>
      </w:r>
      <w:bookmarkEnd w:id="11"/>
    </w:p>
    <w:p w14:paraId="166C8EC1">
      <w:pPr>
        <w:spacing w:line="480" w:lineRule="exact"/>
        <w:ind w:firstLine="480" w:firstLineChars="200"/>
        <w:rPr>
          <w:rFonts w:asciiTheme="minorEastAsia" w:hAnsiTheme="minorEastAsia" w:eastAsiaTheme="minorEastAsia" w:cstheme="minorEastAsia"/>
          <w:bCs/>
          <w:snapToGrid w:val="0"/>
          <w:color w:val="auto"/>
          <w:sz w:val="24"/>
          <w:highlight w:val="none"/>
        </w:rPr>
      </w:pPr>
      <w:bookmarkStart w:id="12" w:name="_Toc1686"/>
      <w:r>
        <w:rPr>
          <w:rFonts w:hint="eastAsia" w:asciiTheme="minorEastAsia" w:hAnsiTheme="minorEastAsia" w:eastAsiaTheme="minorEastAsia" w:cstheme="minorEastAsia"/>
          <w:bCs/>
          <w:snapToGrid w:val="0"/>
          <w:color w:val="auto"/>
          <w:sz w:val="24"/>
          <w:highlight w:val="none"/>
        </w:rPr>
        <w:t xml:space="preserve">本次招标公告在铜陵市公共资源交易网（非进场）发布。 </w:t>
      </w:r>
    </w:p>
    <w:p w14:paraId="4107A4A9">
      <w:pPr>
        <w:spacing w:line="480" w:lineRule="exact"/>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8.联系方式</w:t>
      </w:r>
      <w:bookmarkEnd w:id="12"/>
    </w:p>
    <w:p w14:paraId="633FFC34">
      <w:pPr>
        <w:spacing w:line="480" w:lineRule="exact"/>
        <w:ind w:firstLine="480" w:firstLineChars="200"/>
        <w:rPr>
          <w:rFonts w:asciiTheme="minorEastAsia" w:hAnsiTheme="minorEastAsia" w:eastAsiaTheme="minorEastAsia" w:cstheme="minorEastAsia"/>
          <w:bCs/>
          <w:snapToGrid w:val="0"/>
          <w:color w:val="auto"/>
          <w:sz w:val="24"/>
          <w:highlight w:val="none"/>
        </w:rPr>
      </w:pPr>
      <w:r>
        <w:rPr>
          <w:rFonts w:hint="eastAsia" w:asciiTheme="minorEastAsia" w:hAnsiTheme="minorEastAsia" w:eastAsiaTheme="minorEastAsia" w:cstheme="minorEastAsia"/>
          <w:bCs/>
          <w:snapToGrid w:val="0"/>
          <w:color w:val="auto"/>
          <w:sz w:val="24"/>
          <w:highlight w:val="none"/>
        </w:rPr>
        <w:t>8.1 招标人</w:t>
      </w:r>
    </w:p>
    <w:p w14:paraId="5D48B1B7">
      <w:pPr>
        <w:spacing w:line="480" w:lineRule="exact"/>
        <w:ind w:firstLine="480" w:firstLineChars="200"/>
        <w:rPr>
          <w:rFonts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rPr>
        <w:t>招 标 人：</w:t>
      </w:r>
      <w:bookmarkStart w:id="13" w:name="OLE_LINK20"/>
      <w:r>
        <w:rPr>
          <w:rFonts w:hint="eastAsia" w:asciiTheme="minorEastAsia" w:hAnsiTheme="minorEastAsia" w:eastAsiaTheme="minorEastAsia" w:cstheme="minorEastAsia"/>
          <w:color w:val="auto"/>
          <w:sz w:val="24"/>
          <w:highlight w:val="none"/>
          <w:u w:val="none"/>
        </w:rPr>
        <w:t>铜陵高新发展投资有限公司</w:t>
      </w:r>
      <w:bookmarkEnd w:id="13"/>
    </w:p>
    <w:p w14:paraId="03BE141D">
      <w:pPr>
        <w:snapToGrid w:val="0"/>
        <w:spacing w:line="500" w:lineRule="exact"/>
        <w:ind w:firstLine="480" w:firstLineChars="200"/>
        <w:rPr>
          <w:rStyle w:val="64"/>
          <w:rFonts w:ascii="宋体" w:hAnsi="宋体" w:cs="宋体"/>
          <w:color w:val="auto"/>
          <w:kern w:val="0"/>
          <w:highlight w:val="none"/>
          <w:u w:val="none"/>
        </w:rPr>
      </w:pPr>
      <w:r>
        <w:rPr>
          <w:rStyle w:val="64"/>
          <w:rFonts w:hint="eastAsia" w:ascii="宋体" w:hAnsi="宋体" w:cs="宋体"/>
          <w:color w:val="auto"/>
          <w:kern w:val="0"/>
          <w:highlight w:val="none"/>
          <w:u w:val="none"/>
        </w:rPr>
        <w:t>地    址：铜陵市铜官区狮子山</w:t>
      </w:r>
    </w:p>
    <w:p w14:paraId="5CE759D2">
      <w:pPr>
        <w:snapToGrid w:val="0"/>
        <w:spacing w:line="500" w:lineRule="exact"/>
        <w:ind w:firstLine="480" w:firstLineChars="200"/>
        <w:rPr>
          <w:rStyle w:val="64"/>
          <w:rFonts w:ascii="宋体" w:hAnsi="宋体" w:cs="宋体"/>
          <w:color w:val="auto"/>
          <w:kern w:val="0"/>
          <w:highlight w:val="none"/>
          <w:u w:val="none"/>
        </w:rPr>
      </w:pPr>
      <w:r>
        <w:rPr>
          <w:rStyle w:val="64"/>
          <w:rFonts w:hint="eastAsia" w:ascii="宋体" w:hAnsi="宋体" w:cs="宋体"/>
          <w:color w:val="auto"/>
          <w:kern w:val="0"/>
          <w:highlight w:val="none"/>
          <w:u w:val="none"/>
        </w:rPr>
        <w:t>联 系 人：王先生</w:t>
      </w:r>
    </w:p>
    <w:p w14:paraId="73BD442E">
      <w:pPr>
        <w:snapToGrid w:val="0"/>
        <w:spacing w:line="500" w:lineRule="exact"/>
        <w:ind w:firstLine="480" w:firstLineChars="200"/>
        <w:rPr>
          <w:rStyle w:val="64"/>
          <w:rFonts w:ascii="宋体" w:hAnsi="宋体" w:cs="宋体"/>
          <w:color w:val="auto"/>
          <w:kern w:val="0"/>
          <w:highlight w:val="none"/>
          <w:u w:val="none"/>
        </w:rPr>
      </w:pPr>
      <w:r>
        <w:rPr>
          <w:rStyle w:val="64"/>
          <w:rFonts w:hint="eastAsia" w:ascii="宋体" w:hAnsi="宋体" w:cs="宋体"/>
          <w:color w:val="auto"/>
          <w:kern w:val="0"/>
          <w:highlight w:val="none"/>
          <w:u w:val="none"/>
        </w:rPr>
        <w:t>电    话：</w:t>
      </w:r>
      <w:r>
        <w:rPr>
          <w:rStyle w:val="64"/>
          <w:rFonts w:hint="eastAsia" w:ascii="宋体" w:hAnsi="宋体" w:cs="宋体"/>
          <w:color w:val="auto"/>
          <w:kern w:val="0"/>
          <w:highlight w:val="none"/>
          <w:u w:val="none"/>
          <w:lang w:val="zh-CN"/>
        </w:rPr>
        <w:t>0562-6825006</w:t>
      </w:r>
    </w:p>
    <w:p w14:paraId="6D7DC6ED">
      <w:pPr>
        <w:spacing w:line="480" w:lineRule="exact"/>
        <w:ind w:firstLine="480" w:firstLineChars="200"/>
        <w:rPr>
          <w:rFonts w:asciiTheme="minorEastAsia" w:hAnsiTheme="minorEastAsia" w:eastAsiaTheme="minorEastAsia" w:cstheme="minorEastAsia"/>
          <w:bCs/>
          <w:snapToGrid w:val="0"/>
          <w:color w:val="auto"/>
          <w:sz w:val="24"/>
          <w:highlight w:val="none"/>
          <w:u w:val="none"/>
        </w:rPr>
      </w:pPr>
      <w:r>
        <w:rPr>
          <w:rFonts w:hint="eastAsia" w:asciiTheme="minorEastAsia" w:hAnsiTheme="minorEastAsia" w:eastAsiaTheme="minorEastAsia" w:cstheme="minorEastAsia"/>
          <w:bCs/>
          <w:snapToGrid w:val="0"/>
          <w:color w:val="auto"/>
          <w:sz w:val="24"/>
          <w:highlight w:val="none"/>
          <w:u w:val="none"/>
        </w:rPr>
        <w:t>8.2 招标代理机构</w:t>
      </w:r>
    </w:p>
    <w:p w14:paraId="79B90DA8">
      <w:pPr>
        <w:spacing w:line="50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招标代理机构：</w:t>
      </w:r>
      <w:r>
        <w:rPr>
          <w:rFonts w:hint="eastAsia" w:ascii="宋体" w:hAnsi="宋体" w:cs="宋体"/>
          <w:color w:val="auto"/>
          <w:sz w:val="24"/>
          <w:highlight w:val="none"/>
          <w:u w:val="none"/>
          <w:lang w:eastAsia="zh-CN"/>
        </w:rPr>
        <w:t>安徽高度项目管理有限公司</w:t>
      </w:r>
    </w:p>
    <w:p w14:paraId="36D87B19">
      <w:pPr>
        <w:spacing w:line="500" w:lineRule="exact"/>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地    址：</w:t>
      </w:r>
      <w:r>
        <w:rPr>
          <w:rFonts w:hint="eastAsia" w:ascii="宋体" w:hAnsi="宋体" w:cs="宋体"/>
          <w:color w:val="auto"/>
          <w:sz w:val="24"/>
          <w:highlight w:val="none"/>
          <w:u w:val="none"/>
          <w:lang w:eastAsia="zh-CN"/>
        </w:rPr>
        <w:t>铜陵市北斗星城B4座16层</w:t>
      </w:r>
    </w:p>
    <w:p w14:paraId="4A8D5964">
      <w:pPr>
        <w:spacing w:line="500" w:lineRule="exact"/>
        <w:ind w:firstLine="480" w:firstLineChars="200"/>
        <w:rPr>
          <w:rFonts w:ascii="宋体" w:hAnsi="宋体" w:cs="宋体"/>
          <w:color w:val="auto"/>
          <w:sz w:val="24"/>
          <w:highlight w:val="none"/>
          <w:u w:val="none"/>
        </w:rPr>
      </w:pPr>
      <w:r>
        <w:rPr>
          <w:rFonts w:hint="eastAsia" w:ascii="宋体" w:hAnsi="宋体" w:cs="宋体"/>
          <w:color w:val="auto"/>
          <w:sz w:val="24"/>
          <w:highlight w:val="none"/>
          <w:u w:val="none"/>
        </w:rPr>
        <w:t>联 系 人：</w:t>
      </w:r>
      <w:r>
        <w:rPr>
          <w:rFonts w:hint="eastAsia" w:ascii="宋体" w:hAnsi="宋体" w:cs="宋体"/>
          <w:color w:val="auto"/>
          <w:sz w:val="24"/>
          <w:highlight w:val="none"/>
          <w:u w:val="none"/>
          <w:lang w:eastAsia="zh-CN"/>
        </w:rPr>
        <w:t>金先生</w:t>
      </w:r>
      <w:r>
        <w:rPr>
          <w:rFonts w:hint="eastAsia" w:ascii="宋体" w:hAnsi="宋体" w:cs="宋体"/>
          <w:color w:val="auto"/>
          <w:sz w:val="24"/>
          <w:highlight w:val="none"/>
          <w:u w:val="none"/>
        </w:rPr>
        <w:t xml:space="preserve">                        </w:t>
      </w:r>
    </w:p>
    <w:p w14:paraId="162C469F">
      <w:pPr>
        <w:spacing w:line="480" w:lineRule="exact"/>
        <w:ind w:firstLine="480" w:firstLineChars="20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u w:val="none"/>
        </w:rPr>
        <w:t>电    话：</w:t>
      </w:r>
      <w:r>
        <w:rPr>
          <w:rFonts w:hint="eastAsia" w:ascii="宋体" w:hAnsi="宋体" w:cs="宋体"/>
          <w:color w:val="auto"/>
          <w:sz w:val="24"/>
          <w:highlight w:val="none"/>
          <w:u w:val="none"/>
          <w:lang w:eastAsia="zh-CN"/>
        </w:rPr>
        <w:t>17756280607</w:t>
      </w:r>
      <w:r>
        <w:rPr>
          <w:rFonts w:hint="eastAsia" w:ascii="宋体" w:hAnsi="宋体" w:cs="宋体"/>
          <w:color w:val="auto"/>
          <w:sz w:val="24"/>
          <w:highlight w:val="none"/>
          <w:u w:val="none"/>
        </w:rPr>
        <w:t xml:space="preserve"> </w:t>
      </w:r>
      <w:r>
        <w:rPr>
          <w:rFonts w:hint="eastAsia" w:asciiTheme="minorEastAsia" w:hAnsiTheme="minorEastAsia" w:eastAsiaTheme="minorEastAsia" w:cstheme="minorEastAsia"/>
          <w:color w:val="auto"/>
          <w:sz w:val="24"/>
          <w:highlight w:val="none"/>
        </w:rPr>
        <w:t xml:space="preserve">   </w:t>
      </w:r>
    </w:p>
    <w:p w14:paraId="3D91C6FD">
      <w:pPr>
        <w:spacing w:line="500" w:lineRule="exact"/>
        <w:ind w:firstLine="482" w:firstLineChars="200"/>
        <w:rPr>
          <w:rFonts w:ascii="宋体" w:hAnsi="宋体" w:cs="宋体"/>
          <w:b/>
          <w:bCs/>
          <w:color w:val="auto"/>
          <w:sz w:val="24"/>
          <w:highlight w:val="none"/>
        </w:rPr>
      </w:pPr>
      <w:bookmarkStart w:id="14" w:name="_Toc31612"/>
      <w:r>
        <w:rPr>
          <w:rFonts w:hint="eastAsia" w:ascii="宋体" w:hAnsi="宋体" w:cs="宋体"/>
          <w:b/>
          <w:bCs/>
          <w:color w:val="auto"/>
          <w:sz w:val="24"/>
          <w:highlight w:val="none"/>
        </w:rPr>
        <w:t>9.其他事项说明</w:t>
      </w:r>
      <w:bookmarkEnd w:id="14"/>
    </w:p>
    <w:p w14:paraId="05D122E6">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9.1投标人不得存在的其他关联情形、不得存在的其他不良状况或不良信用记录详见投标人须知前附表。</w:t>
      </w:r>
    </w:p>
    <w:p w14:paraId="19C2054A">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9.2本项目投标保证金为</w:t>
      </w:r>
      <w:r>
        <w:rPr>
          <w:rFonts w:ascii="宋体" w:hAnsi="宋体" w:cs="宋体"/>
          <w:color w:val="auto"/>
          <w:sz w:val="24"/>
          <w:highlight w:val="none"/>
        </w:rPr>
        <w:t>5</w:t>
      </w:r>
      <w:r>
        <w:rPr>
          <w:rFonts w:hint="eastAsia" w:ascii="宋体" w:hAnsi="宋体" w:cs="宋体"/>
          <w:color w:val="auto"/>
          <w:sz w:val="24"/>
          <w:highlight w:val="none"/>
        </w:rPr>
        <w:t>万元，可采用转账、保函等方式缴纳，具体开具方法见投标人须知前附表。</w:t>
      </w:r>
    </w:p>
    <w:p w14:paraId="16E762F6">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10.投标保证金收款银行账户信息</w:t>
      </w:r>
    </w:p>
    <w:p w14:paraId="11D9D21D">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转账形式的保证金请缴至以下账号：</w:t>
      </w:r>
    </w:p>
    <w:p w14:paraId="7842CE1B">
      <w:pPr>
        <w:pStyle w:val="2"/>
        <w:spacing w:line="360" w:lineRule="auto"/>
        <w:rPr>
          <w:rFonts w:hint="eastAsia" w:ascii="宋体" w:hAnsi="宋体" w:eastAsia="宋体" w:cs="仿宋_GB2312"/>
          <w:color w:val="auto"/>
          <w:kern w:val="0"/>
          <w:sz w:val="24"/>
          <w:szCs w:val="24"/>
          <w:highlight w:val="none"/>
          <w:lang w:val="en-US" w:eastAsia="zh-CN" w:bidi="ar-SA"/>
        </w:rPr>
      </w:pPr>
      <w:r>
        <w:rPr>
          <w:rFonts w:hint="eastAsia" w:ascii="宋体" w:hAnsi="宋体" w:eastAsia="宋体" w:cs="仿宋_GB2312"/>
          <w:color w:val="auto"/>
          <w:kern w:val="0"/>
          <w:sz w:val="24"/>
          <w:szCs w:val="24"/>
          <w:highlight w:val="none"/>
          <w:lang w:val="en-US" w:eastAsia="zh-CN" w:bidi="ar-SA"/>
        </w:rPr>
        <w:t>账户名称：</w:t>
      </w:r>
      <w:r>
        <w:rPr>
          <w:rFonts w:hint="eastAsia" w:ascii="宋体" w:hAnsi="宋体" w:cs="仿宋_GB2312"/>
          <w:color w:val="auto"/>
          <w:kern w:val="0"/>
          <w:sz w:val="24"/>
          <w:szCs w:val="24"/>
          <w:highlight w:val="none"/>
          <w:lang w:val="en-US" w:eastAsia="zh-CN" w:bidi="ar-SA"/>
        </w:rPr>
        <w:t>安徽高度项目管理有限公司</w:t>
      </w:r>
      <w:r>
        <w:rPr>
          <w:rFonts w:hint="eastAsia" w:ascii="宋体" w:hAnsi="宋体" w:eastAsia="宋体" w:cs="仿宋_GB2312"/>
          <w:color w:val="auto"/>
          <w:kern w:val="0"/>
          <w:sz w:val="24"/>
          <w:szCs w:val="24"/>
          <w:highlight w:val="none"/>
          <w:lang w:val="en-US" w:eastAsia="zh-CN" w:bidi="ar-SA"/>
        </w:rPr>
        <w:t>；</w:t>
      </w:r>
    </w:p>
    <w:p w14:paraId="575EE244">
      <w:pPr>
        <w:pStyle w:val="2"/>
        <w:spacing w:line="360" w:lineRule="auto"/>
        <w:rPr>
          <w:rFonts w:hint="eastAsia" w:ascii="宋体" w:hAnsi="宋体" w:eastAsia="宋体" w:cs="仿宋_GB2312"/>
          <w:color w:val="auto"/>
          <w:kern w:val="0"/>
          <w:sz w:val="24"/>
          <w:szCs w:val="24"/>
          <w:highlight w:val="none"/>
          <w:lang w:val="en-US" w:eastAsia="zh-CN" w:bidi="ar-SA"/>
        </w:rPr>
      </w:pPr>
      <w:r>
        <w:rPr>
          <w:rFonts w:hint="eastAsia" w:ascii="宋体" w:hAnsi="宋体" w:eastAsia="宋体" w:cs="仿宋_GB2312"/>
          <w:color w:val="auto"/>
          <w:kern w:val="0"/>
          <w:sz w:val="24"/>
          <w:szCs w:val="24"/>
          <w:highlight w:val="none"/>
          <w:lang w:val="en-US" w:eastAsia="zh-CN" w:bidi="ar-SA"/>
        </w:rPr>
        <w:t>账户号码：178266437744；</w:t>
      </w:r>
    </w:p>
    <w:p w14:paraId="7C889F18">
      <w:pPr>
        <w:pStyle w:val="2"/>
        <w:spacing w:line="360" w:lineRule="auto"/>
        <w:rPr>
          <w:rFonts w:hint="eastAsia" w:ascii="宋体" w:hAnsi="宋体" w:eastAsia="宋体" w:cs="仿宋_GB2312"/>
          <w:color w:val="auto"/>
          <w:kern w:val="0"/>
          <w:sz w:val="24"/>
          <w:szCs w:val="24"/>
          <w:highlight w:val="none"/>
          <w:lang w:val="en-US" w:eastAsia="zh-CN" w:bidi="ar-SA"/>
        </w:rPr>
      </w:pPr>
      <w:r>
        <w:rPr>
          <w:rFonts w:hint="eastAsia" w:ascii="宋体" w:hAnsi="宋体" w:eastAsia="宋体" w:cs="仿宋_GB2312"/>
          <w:color w:val="auto"/>
          <w:kern w:val="0"/>
          <w:sz w:val="24"/>
          <w:szCs w:val="24"/>
          <w:highlight w:val="none"/>
          <w:lang w:val="en-US" w:eastAsia="zh-CN" w:bidi="ar-SA"/>
        </w:rPr>
        <w:t>开户银行：中国银行股份有限公司铜陵分行</w:t>
      </w:r>
    </w:p>
    <w:bookmarkEnd w:id="2"/>
    <w:p w14:paraId="21BE58C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p>
    <w:p w14:paraId="202A07F7">
      <w:pPr>
        <w:pStyle w:val="5"/>
        <w:keepNext w:val="0"/>
        <w:keepLines w:val="0"/>
        <w:spacing w:line="240" w:lineRule="auto"/>
        <w:jc w:val="center"/>
        <w:rPr>
          <w:rFonts w:ascii="宋体" w:hAnsi="宋体" w:eastAsia="宋体"/>
          <w:color w:val="auto"/>
          <w:highlight w:val="none"/>
        </w:rPr>
      </w:pPr>
      <w:r>
        <w:rPr>
          <w:rFonts w:hint="eastAsia" w:ascii="宋体" w:hAnsi="宋体" w:eastAsia="宋体"/>
          <w:color w:val="auto"/>
          <w:highlight w:val="none"/>
        </w:rPr>
        <w:t>第二章 投标须知</w:t>
      </w:r>
      <w:bookmarkStart w:id="15" w:name="_一、投标须知前附表"/>
      <w:bookmarkEnd w:id="15"/>
      <w:bookmarkStart w:id="16" w:name="_Toc208106827"/>
      <w:bookmarkStart w:id="17" w:name="_Toc171741987"/>
      <w:r>
        <w:rPr>
          <w:rFonts w:hint="eastAsia" w:ascii="宋体" w:hAnsi="宋体" w:eastAsia="宋体"/>
          <w:color w:val="auto"/>
          <w:highlight w:val="none"/>
        </w:rPr>
        <w:t>前附表</w:t>
      </w:r>
    </w:p>
    <w:bookmarkEnd w:id="16"/>
    <w:bookmarkEnd w:id="17"/>
    <w:tbl>
      <w:tblPr>
        <w:tblStyle w:val="38"/>
        <w:tblW w:w="10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1"/>
        <w:gridCol w:w="1959"/>
        <w:gridCol w:w="7488"/>
      </w:tblGrid>
      <w:tr w14:paraId="689B9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D769B2A">
            <w:pPr>
              <w:spacing w:line="380" w:lineRule="exact"/>
              <w:ind w:firstLine="90" w:firstLineChars="43"/>
              <w:rPr>
                <w:rFonts w:ascii="宋体" w:hAnsi="宋体" w:cs="宋体"/>
                <w:color w:val="auto"/>
                <w:szCs w:val="21"/>
                <w:highlight w:val="none"/>
              </w:rPr>
            </w:pPr>
            <w:r>
              <w:rPr>
                <w:rFonts w:hint="eastAsia" w:ascii="宋体" w:hAnsi="宋体" w:cs="宋体"/>
                <w:color w:val="auto"/>
                <w:szCs w:val="21"/>
                <w:highlight w:val="none"/>
              </w:rPr>
              <w:t>序号</w:t>
            </w:r>
          </w:p>
        </w:tc>
        <w:tc>
          <w:tcPr>
            <w:tcW w:w="1959" w:type="dxa"/>
            <w:tcBorders>
              <w:top w:val="single" w:color="auto" w:sz="4" w:space="0"/>
              <w:left w:val="single" w:color="auto" w:sz="4" w:space="0"/>
              <w:bottom w:val="single" w:color="auto" w:sz="4" w:space="0"/>
              <w:right w:val="single" w:color="auto" w:sz="4" w:space="0"/>
            </w:tcBorders>
            <w:vAlign w:val="center"/>
          </w:tcPr>
          <w:p w14:paraId="71261D7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序列名称</w:t>
            </w:r>
          </w:p>
        </w:tc>
        <w:tc>
          <w:tcPr>
            <w:tcW w:w="7488" w:type="dxa"/>
            <w:tcBorders>
              <w:top w:val="single" w:color="auto" w:sz="4" w:space="0"/>
              <w:left w:val="single" w:color="auto" w:sz="4" w:space="0"/>
              <w:bottom w:val="single" w:color="auto" w:sz="4" w:space="0"/>
              <w:right w:val="single" w:color="auto" w:sz="4" w:space="0"/>
            </w:tcBorders>
            <w:vAlign w:val="center"/>
          </w:tcPr>
          <w:p w14:paraId="6214BFDD">
            <w:pPr>
              <w:tabs>
                <w:tab w:val="left" w:pos="1180"/>
              </w:tabs>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序列</w:t>
            </w:r>
          </w:p>
        </w:tc>
      </w:tr>
      <w:tr w14:paraId="297A5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AB61FE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959" w:type="dxa"/>
            <w:tcBorders>
              <w:top w:val="single" w:color="auto" w:sz="4" w:space="0"/>
              <w:left w:val="single" w:color="auto" w:sz="4" w:space="0"/>
              <w:bottom w:val="single" w:color="auto" w:sz="4" w:space="0"/>
              <w:right w:val="single" w:color="auto" w:sz="4" w:space="0"/>
            </w:tcBorders>
            <w:vAlign w:val="center"/>
          </w:tcPr>
          <w:p w14:paraId="15D3880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工程名称</w:t>
            </w:r>
          </w:p>
        </w:tc>
        <w:tc>
          <w:tcPr>
            <w:tcW w:w="7488" w:type="dxa"/>
            <w:tcBorders>
              <w:top w:val="single" w:color="auto" w:sz="4" w:space="0"/>
              <w:left w:val="single" w:color="auto" w:sz="4" w:space="0"/>
              <w:bottom w:val="single" w:color="auto" w:sz="4" w:space="0"/>
              <w:right w:val="single" w:color="auto" w:sz="4" w:space="0"/>
            </w:tcBorders>
            <w:vAlign w:val="center"/>
          </w:tcPr>
          <w:p w14:paraId="54334B24">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铜陵狮子山高新区2026年度10KV及以下配电工程</w:t>
            </w:r>
          </w:p>
        </w:tc>
      </w:tr>
      <w:tr w14:paraId="34743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93204D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959" w:type="dxa"/>
            <w:tcBorders>
              <w:top w:val="single" w:color="auto" w:sz="4" w:space="0"/>
              <w:left w:val="single" w:color="auto" w:sz="4" w:space="0"/>
              <w:bottom w:val="single" w:color="auto" w:sz="4" w:space="0"/>
              <w:right w:val="single" w:color="auto" w:sz="4" w:space="0"/>
            </w:tcBorders>
            <w:vAlign w:val="center"/>
          </w:tcPr>
          <w:p w14:paraId="3AFF6A3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7488" w:type="dxa"/>
            <w:tcBorders>
              <w:top w:val="single" w:color="auto" w:sz="4" w:space="0"/>
              <w:left w:val="single" w:color="auto" w:sz="4" w:space="0"/>
              <w:bottom w:val="single" w:color="auto" w:sz="4" w:space="0"/>
              <w:right w:val="single" w:color="auto" w:sz="4" w:space="0"/>
            </w:tcBorders>
            <w:vAlign w:val="center"/>
          </w:tcPr>
          <w:p w14:paraId="748C00E3">
            <w:pPr>
              <w:spacing w:line="380" w:lineRule="exact"/>
              <w:rPr>
                <w:rFonts w:ascii="宋体" w:hAnsi="宋体" w:cs="宋体"/>
                <w:color w:val="auto"/>
                <w:szCs w:val="21"/>
                <w:highlight w:val="none"/>
              </w:rPr>
            </w:pPr>
            <w:r>
              <w:rPr>
                <w:rFonts w:hint="eastAsia" w:ascii="宋体" w:hAnsi="宋体" w:cs="宋体"/>
                <w:color w:val="auto"/>
                <w:szCs w:val="21"/>
                <w:highlight w:val="none"/>
              </w:rPr>
              <w:t>铜陵狮子山高新区</w:t>
            </w:r>
          </w:p>
        </w:tc>
      </w:tr>
      <w:tr w14:paraId="4E654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4D9BF8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959" w:type="dxa"/>
            <w:tcBorders>
              <w:top w:val="single" w:color="auto" w:sz="4" w:space="0"/>
              <w:left w:val="single" w:color="auto" w:sz="4" w:space="0"/>
              <w:bottom w:val="single" w:color="auto" w:sz="4" w:space="0"/>
              <w:right w:val="single" w:color="auto" w:sz="4" w:space="0"/>
            </w:tcBorders>
            <w:vAlign w:val="center"/>
          </w:tcPr>
          <w:p w14:paraId="5FC073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488" w:type="dxa"/>
            <w:tcBorders>
              <w:top w:val="single" w:color="auto" w:sz="4" w:space="0"/>
              <w:left w:val="single" w:color="auto" w:sz="4" w:space="0"/>
              <w:bottom w:val="single" w:color="auto" w:sz="4" w:space="0"/>
              <w:right w:val="single" w:color="auto" w:sz="4" w:space="0"/>
            </w:tcBorders>
            <w:vAlign w:val="center"/>
          </w:tcPr>
          <w:p w14:paraId="3420E68F">
            <w:pPr>
              <w:spacing w:line="380" w:lineRule="exact"/>
              <w:rPr>
                <w:rFonts w:ascii="宋体" w:hAnsi="宋体" w:cs="宋体"/>
                <w:color w:val="auto"/>
                <w:szCs w:val="21"/>
                <w:highlight w:val="none"/>
              </w:rPr>
            </w:pPr>
            <w:r>
              <w:rPr>
                <w:rFonts w:hint="eastAsia" w:ascii="宋体" w:hAnsi="宋体" w:cs="宋体"/>
                <w:color w:val="auto"/>
                <w:szCs w:val="21"/>
                <w:highlight w:val="none"/>
              </w:rPr>
              <w:t>铜陵高新发展投资有限公司</w:t>
            </w:r>
          </w:p>
        </w:tc>
      </w:tr>
      <w:tr w14:paraId="62AA1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2C8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959" w:type="dxa"/>
            <w:tcBorders>
              <w:top w:val="single" w:color="auto" w:sz="4" w:space="0"/>
              <w:left w:val="single" w:color="auto" w:sz="4" w:space="0"/>
              <w:bottom w:val="single" w:color="auto" w:sz="4" w:space="0"/>
              <w:right w:val="single" w:color="auto" w:sz="4" w:space="0"/>
            </w:tcBorders>
            <w:vAlign w:val="center"/>
          </w:tcPr>
          <w:p w14:paraId="3E240240">
            <w:pPr>
              <w:spacing w:line="380" w:lineRule="exact"/>
              <w:jc w:val="center"/>
              <w:rPr>
                <w:rFonts w:ascii="宋体" w:hAnsi="宋体" w:cs="宋体"/>
                <w:color w:val="auto"/>
                <w:szCs w:val="21"/>
                <w:highlight w:val="none"/>
              </w:rPr>
            </w:pPr>
            <w:r>
              <w:rPr>
                <w:rFonts w:hint="eastAsia" w:ascii="宋体" w:hAnsi="宋体" w:cs="宋体"/>
                <w:bCs/>
                <w:color w:val="auto"/>
                <w:szCs w:val="21"/>
                <w:highlight w:val="none"/>
              </w:rPr>
              <w:t>工程设计单位</w:t>
            </w:r>
          </w:p>
        </w:tc>
        <w:tc>
          <w:tcPr>
            <w:tcW w:w="7488" w:type="dxa"/>
            <w:tcBorders>
              <w:top w:val="single" w:color="auto" w:sz="4" w:space="0"/>
              <w:left w:val="single" w:color="auto" w:sz="4" w:space="0"/>
              <w:bottom w:val="single" w:color="auto" w:sz="4" w:space="0"/>
              <w:right w:val="single" w:color="auto" w:sz="4" w:space="0"/>
            </w:tcBorders>
            <w:vAlign w:val="center"/>
          </w:tcPr>
          <w:p w14:paraId="3BB31BD1">
            <w:pPr>
              <w:spacing w:line="380" w:lineRule="exact"/>
              <w:rPr>
                <w:rFonts w:ascii="宋体" w:hAnsi="宋体" w:cs="宋体"/>
                <w:color w:val="auto"/>
                <w:szCs w:val="21"/>
                <w:highlight w:val="none"/>
              </w:rPr>
            </w:pPr>
            <w:r>
              <w:rPr>
                <w:rFonts w:hint="eastAsia" w:ascii="宋体" w:hAnsi="宋体" w:cs="宋体"/>
                <w:color w:val="auto"/>
                <w:szCs w:val="21"/>
                <w:highlight w:val="none"/>
              </w:rPr>
              <w:t>/</w:t>
            </w:r>
          </w:p>
        </w:tc>
      </w:tr>
      <w:tr w14:paraId="2F1BD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348CF6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959" w:type="dxa"/>
            <w:tcBorders>
              <w:top w:val="single" w:color="auto" w:sz="4" w:space="0"/>
              <w:left w:val="single" w:color="auto" w:sz="4" w:space="0"/>
              <w:bottom w:val="single" w:color="auto" w:sz="4" w:space="0"/>
              <w:right w:val="single" w:color="auto" w:sz="4" w:space="0"/>
            </w:tcBorders>
            <w:vAlign w:val="center"/>
          </w:tcPr>
          <w:p w14:paraId="1A4B712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488" w:type="dxa"/>
            <w:tcBorders>
              <w:top w:val="single" w:color="auto" w:sz="4" w:space="0"/>
              <w:left w:val="single" w:color="auto" w:sz="4" w:space="0"/>
              <w:bottom w:val="single" w:color="auto" w:sz="4" w:space="0"/>
              <w:right w:val="single" w:color="auto" w:sz="4" w:space="0"/>
            </w:tcBorders>
            <w:vAlign w:val="center"/>
          </w:tcPr>
          <w:p w14:paraId="758C9C0C">
            <w:pPr>
              <w:spacing w:line="380" w:lineRule="exact"/>
              <w:rPr>
                <w:rFonts w:ascii="宋体" w:hAnsi="宋体" w:cs="宋体"/>
                <w:color w:val="auto"/>
                <w:szCs w:val="21"/>
                <w:highlight w:val="none"/>
              </w:rPr>
            </w:pPr>
            <w:r>
              <w:rPr>
                <w:rFonts w:hint="eastAsia" w:ascii="宋体" w:hAnsi="宋体" w:cs="宋体"/>
                <w:color w:val="auto"/>
                <w:szCs w:val="21"/>
                <w:highlight w:val="none"/>
              </w:rPr>
              <w:t>招标文件及补充答疑文件全部内容。</w:t>
            </w:r>
          </w:p>
        </w:tc>
      </w:tr>
      <w:tr w14:paraId="67C3F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B3F841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959" w:type="dxa"/>
            <w:tcBorders>
              <w:top w:val="single" w:color="auto" w:sz="4" w:space="0"/>
              <w:left w:val="single" w:color="auto" w:sz="4" w:space="0"/>
              <w:bottom w:val="single" w:color="auto" w:sz="4" w:space="0"/>
              <w:right w:val="single" w:color="auto" w:sz="4" w:space="0"/>
            </w:tcBorders>
            <w:vAlign w:val="center"/>
          </w:tcPr>
          <w:p w14:paraId="1C60178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承包方式</w:t>
            </w:r>
          </w:p>
        </w:tc>
        <w:tc>
          <w:tcPr>
            <w:tcW w:w="7488" w:type="dxa"/>
            <w:tcBorders>
              <w:top w:val="single" w:color="auto" w:sz="4" w:space="0"/>
              <w:left w:val="single" w:color="auto" w:sz="4" w:space="0"/>
              <w:bottom w:val="single" w:color="auto" w:sz="4" w:space="0"/>
              <w:right w:val="single" w:color="auto" w:sz="4" w:space="0"/>
            </w:tcBorders>
            <w:vAlign w:val="center"/>
          </w:tcPr>
          <w:p w14:paraId="042AF2E1">
            <w:pPr>
              <w:spacing w:line="380" w:lineRule="exact"/>
              <w:rPr>
                <w:rFonts w:ascii="宋体" w:hAnsi="宋体" w:cs="宋体"/>
                <w:color w:val="auto"/>
                <w:szCs w:val="21"/>
                <w:highlight w:val="none"/>
              </w:rPr>
            </w:pPr>
            <w:r>
              <w:rPr>
                <w:rFonts w:hint="eastAsia" w:ascii="宋体" w:hAnsi="宋体" w:cs="宋体"/>
                <w:color w:val="auto"/>
                <w:szCs w:val="21"/>
                <w:highlight w:val="none"/>
              </w:rPr>
              <w:t>施工总承包</w:t>
            </w:r>
          </w:p>
        </w:tc>
      </w:tr>
      <w:tr w14:paraId="0F10B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41710C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959" w:type="dxa"/>
            <w:tcBorders>
              <w:top w:val="single" w:color="auto" w:sz="4" w:space="0"/>
              <w:left w:val="single" w:color="auto" w:sz="4" w:space="0"/>
              <w:bottom w:val="single" w:color="auto" w:sz="4" w:space="0"/>
              <w:right w:val="single" w:color="auto" w:sz="4" w:space="0"/>
            </w:tcBorders>
            <w:vAlign w:val="center"/>
          </w:tcPr>
          <w:p w14:paraId="3FC6147C">
            <w:pPr>
              <w:pStyle w:val="23"/>
              <w:spacing w:line="38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计价方式</w:t>
            </w:r>
          </w:p>
        </w:tc>
        <w:tc>
          <w:tcPr>
            <w:tcW w:w="7488" w:type="dxa"/>
            <w:tcBorders>
              <w:top w:val="single" w:color="auto" w:sz="4" w:space="0"/>
              <w:left w:val="single" w:color="auto" w:sz="4" w:space="0"/>
              <w:bottom w:val="single" w:color="auto" w:sz="4" w:space="0"/>
              <w:right w:val="single" w:color="auto" w:sz="4" w:space="0"/>
            </w:tcBorders>
            <w:vAlign w:val="center"/>
          </w:tcPr>
          <w:p w14:paraId="56125BE3">
            <w:pPr>
              <w:spacing w:line="380" w:lineRule="exact"/>
              <w:rPr>
                <w:rFonts w:ascii="宋体" w:hAnsi="宋体" w:cs="宋体"/>
                <w:bCs/>
                <w:color w:val="auto"/>
                <w:szCs w:val="21"/>
                <w:highlight w:val="none"/>
                <w:u w:val="single"/>
              </w:rPr>
            </w:pPr>
            <w:r>
              <w:rPr>
                <w:rFonts w:hint="eastAsia" w:ascii="宋体" w:hAnsi="宋体" w:cs="宋体"/>
                <w:color w:val="auto"/>
                <w:szCs w:val="21"/>
                <w:highlight w:val="none"/>
              </w:rPr>
              <w:t>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折扣率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报价法。结算按照合同约定方式进行结算</w:t>
            </w:r>
          </w:p>
        </w:tc>
      </w:tr>
      <w:tr w14:paraId="1EEC2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8DF31B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8</w:t>
            </w:r>
          </w:p>
        </w:tc>
        <w:tc>
          <w:tcPr>
            <w:tcW w:w="1959" w:type="dxa"/>
            <w:tcBorders>
              <w:top w:val="single" w:color="auto" w:sz="4" w:space="0"/>
              <w:left w:val="single" w:color="auto" w:sz="4" w:space="0"/>
              <w:bottom w:val="single" w:color="auto" w:sz="4" w:space="0"/>
              <w:right w:val="single" w:color="auto" w:sz="4" w:space="0"/>
            </w:tcBorders>
            <w:vAlign w:val="center"/>
          </w:tcPr>
          <w:p w14:paraId="5D37012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7488" w:type="dxa"/>
            <w:tcBorders>
              <w:top w:val="single" w:color="auto" w:sz="4" w:space="0"/>
              <w:left w:val="single" w:color="auto" w:sz="4" w:space="0"/>
              <w:bottom w:val="single" w:color="auto" w:sz="4" w:space="0"/>
              <w:right w:val="single" w:color="auto" w:sz="4" w:space="0"/>
            </w:tcBorders>
            <w:vAlign w:val="center"/>
          </w:tcPr>
          <w:p w14:paraId="476DC6F8">
            <w:pPr>
              <w:pStyle w:val="61"/>
              <w:widowControl w:val="0"/>
              <w:spacing w:before="0" w:after="0" w:line="380" w:lineRule="exact"/>
              <w:jc w:val="both"/>
              <w:rPr>
                <w:rFonts w:hAnsi="宋体" w:cs="宋体"/>
                <w:bCs/>
                <w:color w:val="auto"/>
                <w:sz w:val="21"/>
                <w:szCs w:val="21"/>
                <w:highlight w:val="none"/>
              </w:rPr>
            </w:pPr>
            <w:r>
              <w:rPr>
                <w:rFonts w:hint="eastAsia" w:hAnsi="宋体" w:cs="宋体"/>
                <w:color w:val="auto"/>
                <w:kern w:val="2"/>
                <w:sz w:val="21"/>
                <w:szCs w:val="21"/>
                <w:highlight w:val="none"/>
              </w:rPr>
              <w:t>合同施工服务期为1年(自合同签订之日起算，约365 日历天，若合同施工服务期内施工预算审核价</w:t>
            </w:r>
            <w:r>
              <w:rPr>
                <w:rFonts w:hint="eastAsia" w:hAnsi="宋体" w:cs="宋体"/>
                <w:color w:val="auto"/>
                <w:kern w:val="2"/>
                <w:sz w:val="21"/>
                <w:szCs w:val="21"/>
                <w:highlight w:val="none"/>
                <w:lang w:eastAsia="zh-CN"/>
              </w:rPr>
              <w:t>累计达到总建安费金额</w:t>
            </w:r>
            <w:r>
              <w:rPr>
                <w:rFonts w:hint="eastAsia" w:hAnsi="宋体" w:cs="宋体"/>
                <w:color w:val="auto"/>
                <w:kern w:val="2"/>
                <w:sz w:val="21"/>
                <w:szCs w:val="21"/>
                <w:highlight w:val="none"/>
              </w:rPr>
              <w:t xml:space="preserve">，则合同施工服务期自动届满)，单项工作任务的工期以招标人指定为准。如合同施工服务期届满，单项工作任务尚未竣工的，中标人仍应就该单项工作任务继续施工且履行该任务所涉合同权利义务直至该工程竣工验收合格、质量回访合格为止。 </w:t>
            </w:r>
          </w:p>
        </w:tc>
      </w:tr>
      <w:tr w14:paraId="39B3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DDAF943">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9</w:t>
            </w:r>
          </w:p>
        </w:tc>
        <w:tc>
          <w:tcPr>
            <w:tcW w:w="1959" w:type="dxa"/>
            <w:tcBorders>
              <w:top w:val="single" w:color="auto" w:sz="4" w:space="0"/>
              <w:left w:val="single" w:color="auto" w:sz="4" w:space="0"/>
              <w:bottom w:val="single" w:color="auto" w:sz="4" w:space="0"/>
              <w:right w:val="single" w:color="auto" w:sz="4" w:space="0"/>
            </w:tcBorders>
            <w:vAlign w:val="center"/>
          </w:tcPr>
          <w:p w14:paraId="257C2D2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质量标准要求</w:t>
            </w:r>
          </w:p>
        </w:tc>
        <w:tc>
          <w:tcPr>
            <w:tcW w:w="7488" w:type="dxa"/>
            <w:tcBorders>
              <w:top w:val="single" w:color="auto" w:sz="4" w:space="0"/>
              <w:left w:val="single" w:color="auto" w:sz="4" w:space="0"/>
              <w:bottom w:val="single" w:color="auto" w:sz="4" w:space="0"/>
              <w:right w:val="single" w:color="auto" w:sz="4" w:space="0"/>
            </w:tcBorders>
            <w:vAlign w:val="center"/>
          </w:tcPr>
          <w:p w14:paraId="3C850BF0">
            <w:pPr>
              <w:pStyle w:val="61"/>
              <w:widowControl w:val="0"/>
              <w:tabs>
                <w:tab w:val="left" w:pos="1152"/>
              </w:tabs>
              <w:spacing w:before="0" w:after="0" w:line="380" w:lineRule="exact"/>
              <w:ind w:left="1050" w:hanging="1050" w:hangingChars="500"/>
              <w:jc w:val="both"/>
              <w:rPr>
                <w:rFonts w:hAnsi="宋体" w:cs="宋体"/>
                <w:bCs/>
                <w:color w:val="auto"/>
                <w:sz w:val="21"/>
                <w:szCs w:val="21"/>
                <w:highlight w:val="none"/>
              </w:rPr>
            </w:pPr>
            <w:r>
              <w:rPr>
                <w:rFonts w:hint="eastAsia" w:hAnsi="宋体" w:cs="宋体"/>
                <w:color w:val="auto"/>
                <w:sz w:val="21"/>
                <w:szCs w:val="21"/>
                <w:highlight w:val="none"/>
              </w:rPr>
              <w:t>质量标准：</w:t>
            </w:r>
            <w:r>
              <w:rPr>
                <w:rFonts w:hint="eastAsia" w:hAnsi="宋体" w:cs="宋体"/>
                <w:bCs/>
                <w:color w:val="auto"/>
                <w:sz w:val="21"/>
                <w:szCs w:val="21"/>
                <w:highlight w:val="none"/>
              </w:rPr>
              <w:t xml:space="preserve">合格 </w:t>
            </w:r>
          </w:p>
        </w:tc>
      </w:tr>
      <w:tr w14:paraId="15EEB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014FA18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59" w:type="dxa"/>
            <w:tcBorders>
              <w:top w:val="single" w:color="auto" w:sz="4" w:space="0"/>
              <w:left w:val="single" w:color="auto" w:sz="4" w:space="0"/>
              <w:bottom w:val="single" w:color="auto" w:sz="4" w:space="0"/>
              <w:right w:val="single" w:color="auto" w:sz="4" w:space="0"/>
            </w:tcBorders>
            <w:vAlign w:val="center"/>
          </w:tcPr>
          <w:p w14:paraId="6608D686">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暂列金额</w:t>
            </w:r>
          </w:p>
        </w:tc>
        <w:tc>
          <w:tcPr>
            <w:tcW w:w="7488" w:type="dxa"/>
            <w:tcBorders>
              <w:top w:val="single" w:color="auto" w:sz="4" w:space="0"/>
              <w:left w:val="single" w:color="auto" w:sz="4" w:space="0"/>
              <w:bottom w:val="single" w:color="auto" w:sz="4" w:space="0"/>
              <w:right w:val="single" w:color="auto" w:sz="4" w:space="0"/>
            </w:tcBorders>
            <w:vAlign w:val="center"/>
          </w:tcPr>
          <w:p w14:paraId="0ABA4D6C">
            <w:pPr>
              <w:pStyle w:val="11"/>
              <w:spacing w:line="380" w:lineRule="exact"/>
              <w:jc w:val="both"/>
              <w:rPr>
                <w:rFonts w:ascii="宋体" w:hAnsi="宋体" w:cs="宋体"/>
                <w:color w:val="auto"/>
                <w:kern w:val="2"/>
                <w:sz w:val="21"/>
                <w:szCs w:val="21"/>
                <w:highlight w:val="none"/>
              </w:rPr>
            </w:pPr>
            <w:r>
              <w:rPr>
                <w:rFonts w:ascii="宋体" w:hAnsi="宋体" w:cs="宋体"/>
                <w:color w:val="auto"/>
                <w:kern w:val="2"/>
                <w:sz w:val="21"/>
                <w:szCs w:val="21"/>
                <w:highlight w:val="none"/>
              </w:rPr>
              <w:t>/</w:t>
            </w:r>
          </w:p>
        </w:tc>
      </w:tr>
      <w:tr w14:paraId="43A1E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32159C1">
            <w:pPr>
              <w:pStyle w:val="61"/>
              <w:widowControl w:val="0"/>
              <w:spacing w:before="0" w:after="0" w:line="380" w:lineRule="exact"/>
              <w:jc w:val="center"/>
              <w:rPr>
                <w:rStyle w:val="41"/>
                <w:rFonts w:hAnsi="宋体" w:cs="宋体"/>
                <w:b w:val="0"/>
                <w:bCs w:val="0"/>
                <w:color w:val="auto"/>
                <w:sz w:val="21"/>
                <w:szCs w:val="21"/>
                <w:highlight w:val="none"/>
              </w:rPr>
            </w:pPr>
            <w:r>
              <w:rPr>
                <w:rStyle w:val="41"/>
                <w:rFonts w:hint="eastAsia" w:hAnsi="宋体" w:cs="宋体"/>
                <w:b w:val="0"/>
                <w:bCs w:val="0"/>
                <w:color w:val="auto"/>
                <w:sz w:val="21"/>
                <w:szCs w:val="21"/>
                <w:highlight w:val="none"/>
              </w:rPr>
              <w:t>11</w:t>
            </w:r>
          </w:p>
        </w:tc>
        <w:tc>
          <w:tcPr>
            <w:tcW w:w="1959" w:type="dxa"/>
            <w:tcBorders>
              <w:top w:val="single" w:color="auto" w:sz="4" w:space="0"/>
              <w:left w:val="single" w:color="auto" w:sz="4" w:space="0"/>
              <w:bottom w:val="single" w:color="auto" w:sz="4" w:space="0"/>
              <w:right w:val="single" w:color="auto" w:sz="4" w:space="0"/>
            </w:tcBorders>
            <w:vAlign w:val="center"/>
          </w:tcPr>
          <w:p w14:paraId="230B53DF">
            <w:pPr>
              <w:pStyle w:val="61"/>
              <w:widowControl w:val="0"/>
              <w:spacing w:before="0" w:after="0" w:line="380" w:lineRule="exact"/>
              <w:jc w:val="center"/>
              <w:rPr>
                <w:rStyle w:val="41"/>
                <w:rFonts w:hAnsi="宋体" w:cs="宋体"/>
                <w:b w:val="0"/>
                <w:color w:val="auto"/>
                <w:sz w:val="21"/>
                <w:szCs w:val="21"/>
                <w:highlight w:val="none"/>
              </w:rPr>
            </w:pPr>
            <w:r>
              <w:rPr>
                <w:rStyle w:val="41"/>
                <w:rFonts w:hint="eastAsia" w:hAnsi="宋体" w:cs="宋体"/>
                <w:b w:val="0"/>
                <w:color w:val="auto"/>
                <w:sz w:val="21"/>
                <w:szCs w:val="21"/>
                <w:highlight w:val="none"/>
              </w:rPr>
              <w:t>评标定标办法</w:t>
            </w:r>
          </w:p>
        </w:tc>
        <w:tc>
          <w:tcPr>
            <w:tcW w:w="7488" w:type="dxa"/>
            <w:tcBorders>
              <w:top w:val="single" w:color="auto" w:sz="4" w:space="0"/>
              <w:left w:val="single" w:color="auto" w:sz="4" w:space="0"/>
              <w:bottom w:val="single" w:color="auto" w:sz="4" w:space="0"/>
              <w:right w:val="single" w:color="auto" w:sz="4" w:space="0"/>
            </w:tcBorders>
            <w:vAlign w:val="center"/>
          </w:tcPr>
          <w:p w14:paraId="6C6793DF">
            <w:pPr>
              <w:pStyle w:val="61"/>
              <w:spacing w:before="0" w:after="0" w:line="380" w:lineRule="exact"/>
              <w:rPr>
                <w:rFonts w:hAnsi="宋体" w:cs="宋体"/>
                <w:color w:val="auto"/>
                <w:sz w:val="21"/>
                <w:szCs w:val="21"/>
                <w:highlight w:val="none"/>
              </w:rPr>
            </w:pPr>
            <w:r>
              <w:rPr>
                <w:rFonts w:hint="eastAsia" w:hAnsi="宋体" w:cs="宋体"/>
                <w:color w:val="auto"/>
                <w:sz w:val="21"/>
                <w:szCs w:val="21"/>
                <w:highlight w:val="none"/>
              </w:rPr>
              <w:t>综合评分法</w:t>
            </w:r>
          </w:p>
        </w:tc>
      </w:tr>
      <w:tr w14:paraId="1792F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0F26796">
            <w:pPr>
              <w:pStyle w:val="61"/>
              <w:widowControl w:val="0"/>
              <w:spacing w:before="0" w:after="0" w:line="380" w:lineRule="exact"/>
              <w:jc w:val="center"/>
              <w:rPr>
                <w:rFonts w:hAnsi="宋体" w:cs="宋体"/>
                <w:color w:val="auto"/>
                <w:sz w:val="21"/>
                <w:szCs w:val="21"/>
                <w:highlight w:val="none"/>
              </w:rPr>
            </w:pPr>
            <w:r>
              <w:rPr>
                <w:rFonts w:hint="eastAsia" w:hAnsi="宋体" w:cs="宋体"/>
                <w:color w:val="auto"/>
                <w:sz w:val="21"/>
                <w:szCs w:val="21"/>
                <w:highlight w:val="none"/>
              </w:rPr>
              <w:t>12</w:t>
            </w:r>
          </w:p>
        </w:tc>
        <w:tc>
          <w:tcPr>
            <w:tcW w:w="1959" w:type="dxa"/>
            <w:tcBorders>
              <w:top w:val="single" w:color="auto" w:sz="4" w:space="0"/>
              <w:left w:val="single" w:color="auto" w:sz="4" w:space="0"/>
              <w:bottom w:val="single" w:color="auto" w:sz="4" w:space="0"/>
              <w:right w:val="single" w:color="auto" w:sz="4" w:space="0"/>
            </w:tcBorders>
            <w:vAlign w:val="center"/>
          </w:tcPr>
          <w:p w14:paraId="361E4F70">
            <w:pPr>
              <w:pStyle w:val="61"/>
              <w:widowControl w:val="0"/>
              <w:spacing w:before="0" w:after="0" w:line="380" w:lineRule="exact"/>
              <w:jc w:val="center"/>
              <w:rPr>
                <w:rStyle w:val="41"/>
                <w:rFonts w:hAnsi="宋体" w:cs="宋体"/>
                <w:b w:val="0"/>
                <w:color w:val="auto"/>
                <w:sz w:val="21"/>
                <w:szCs w:val="21"/>
                <w:highlight w:val="none"/>
              </w:rPr>
            </w:pPr>
            <w:r>
              <w:rPr>
                <w:rStyle w:val="41"/>
                <w:rFonts w:hint="eastAsia" w:hAnsi="宋体" w:cs="宋体"/>
                <w:b w:val="0"/>
                <w:color w:val="auto"/>
                <w:sz w:val="21"/>
                <w:szCs w:val="21"/>
                <w:highlight w:val="none"/>
              </w:rPr>
              <w:t>资格审查方式</w:t>
            </w:r>
          </w:p>
        </w:tc>
        <w:tc>
          <w:tcPr>
            <w:tcW w:w="7488" w:type="dxa"/>
            <w:tcBorders>
              <w:top w:val="single" w:color="auto" w:sz="4" w:space="0"/>
              <w:left w:val="single" w:color="auto" w:sz="4" w:space="0"/>
              <w:bottom w:val="single" w:color="auto" w:sz="4" w:space="0"/>
              <w:right w:val="single" w:color="auto" w:sz="4" w:space="0"/>
            </w:tcBorders>
            <w:vAlign w:val="center"/>
          </w:tcPr>
          <w:p w14:paraId="4BA26AA5">
            <w:pPr>
              <w:spacing w:line="380" w:lineRule="exact"/>
              <w:rPr>
                <w:rStyle w:val="41"/>
                <w:rFonts w:ascii="宋体" w:hAnsi="宋体" w:cs="宋体"/>
                <w:bCs w:val="0"/>
                <w:color w:val="auto"/>
                <w:szCs w:val="21"/>
                <w:highlight w:val="none"/>
              </w:rPr>
            </w:pPr>
            <w:r>
              <w:rPr>
                <w:rStyle w:val="41"/>
                <w:rFonts w:hint="eastAsia" w:ascii="宋体" w:hAnsi="宋体" w:cs="宋体"/>
                <w:bCs w:val="0"/>
                <w:color w:val="auto"/>
                <w:szCs w:val="21"/>
                <w:highlight w:val="none"/>
              </w:rPr>
              <w:t>资格</w:t>
            </w:r>
            <w:r>
              <w:rPr>
                <w:rFonts w:hint="eastAsia" w:ascii="宋体" w:hAnsi="宋体" w:cs="宋体"/>
                <w:b/>
                <w:color w:val="auto"/>
                <w:szCs w:val="21"/>
                <w:highlight w:val="none"/>
              </w:rPr>
              <w:t>后审</w:t>
            </w:r>
          </w:p>
        </w:tc>
      </w:tr>
      <w:tr w14:paraId="4A524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5F3DB98">
            <w:pPr>
              <w:pStyle w:val="61"/>
              <w:widowControl w:val="0"/>
              <w:spacing w:before="0" w:after="0" w:line="380" w:lineRule="exact"/>
              <w:jc w:val="center"/>
              <w:rPr>
                <w:rFonts w:hAnsi="宋体" w:cs="宋体"/>
                <w:color w:val="auto"/>
                <w:sz w:val="21"/>
                <w:szCs w:val="21"/>
                <w:highlight w:val="none"/>
              </w:rPr>
            </w:pPr>
            <w:r>
              <w:rPr>
                <w:rFonts w:hint="eastAsia" w:hAnsi="宋体" w:cs="宋体"/>
                <w:color w:val="auto"/>
                <w:sz w:val="21"/>
                <w:szCs w:val="21"/>
                <w:highlight w:val="none"/>
              </w:rPr>
              <w:t>13</w:t>
            </w:r>
          </w:p>
        </w:tc>
        <w:tc>
          <w:tcPr>
            <w:tcW w:w="1959" w:type="dxa"/>
            <w:tcBorders>
              <w:top w:val="single" w:color="auto" w:sz="4" w:space="0"/>
              <w:left w:val="single" w:color="auto" w:sz="4" w:space="0"/>
              <w:bottom w:val="single" w:color="auto" w:sz="4" w:space="0"/>
              <w:right w:val="single" w:color="auto" w:sz="4" w:space="0"/>
            </w:tcBorders>
            <w:vAlign w:val="center"/>
          </w:tcPr>
          <w:p w14:paraId="3BDBE242">
            <w:pPr>
              <w:pStyle w:val="61"/>
              <w:widowControl w:val="0"/>
              <w:spacing w:before="0" w:after="0" w:line="380" w:lineRule="exact"/>
              <w:jc w:val="center"/>
              <w:rPr>
                <w:rFonts w:hAnsi="宋体" w:cs="宋体"/>
                <w:bCs/>
                <w:color w:val="auto"/>
                <w:sz w:val="21"/>
                <w:szCs w:val="21"/>
                <w:highlight w:val="none"/>
              </w:rPr>
            </w:pPr>
            <w:r>
              <w:rPr>
                <w:rFonts w:hint="eastAsia" w:hAnsi="宋体" w:cs="宋体"/>
                <w:bCs/>
                <w:color w:val="auto"/>
                <w:sz w:val="21"/>
                <w:szCs w:val="21"/>
                <w:highlight w:val="none"/>
              </w:rPr>
              <w:t>投标人资质等级要求</w:t>
            </w:r>
          </w:p>
        </w:tc>
        <w:tc>
          <w:tcPr>
            <w:tcW w:w="7488" w:type="dxa"/>
            <w:tcBorders>
              <w:top w:val="single" w:color="auto" w:sz="4" w:space="0"/>
              <w:left w:val="single" w:color="auto" w:sz="4" w:space="0"/>
              <w:bottom w:val="single" w:color="auto" w:sz="4" w:space="0"/>
              <w:right w:val="single" w:color="auto" w:sz="4" w:space="0"/>
            </w:tcBorders>
            <w:vAlign w:val="center"/>
          </w:tcPr>
          <w:p w14:paraId="52672741">
            <w:pPr>
              <w:spacing w:line="380" w:lineRule="exact"/>
              <w:rPr>
                <w:rFonts w:ascii="宋体" w:hAnsi="宋体" w:cs="宋体"/>
                <w:b/>
                <w:color w:val="auto"/>
                <w:szCs w:val="21"/>
                <w:highlight w:val="none"/>
              </w:rPr>
            </w:pPr>
            <w:r>
              <w:rPr>
                <w:rFonts w:hint="eastAsia" w:ascii="宋体" w:hAnsi="宋体" w:cs="宋体"/>
                <w:b/>
                <w:color w:val="auto"/>
                <w:szCs w:val="21"/>
                <w:highlight w:val="none"/>
              </w:rPr>
              <w:t>见招标公告</w:t>
            </w:r>
          </w:p>
        </w:tc>
      </w:tr>
      <w:tr w14:paraId="35FC8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F44B19A">
            <w:pPr>
              <w:pStyle w:val="61"/>
              <w:widowControl w:val="0"/>
              <w:spacing w:before="0" w:after="0" w:line="380" w:lineRule="exact"/>
              <w:jc w:val="center"/>
              <w:rPr>
                <w:rFonts w:hAnsi="宋体" w:cs="宋体"/>
                <w:color w:val="auto"/>
                <w:sz w:val="21"/>
                <w:szCs w:val="21"/>
                <w:highlight w:val="none"/>
              </w:rPr>
            </w:pPr>
            <w:r>
              <w:rPr>
                <w:rFonts w:hint="eastAsia" w:hAnsi="宋体" w:cs="宋体"/>
                <w:color w:val="auto"/>
                <w:sz w:val="21"/>
                <w:szCs w:val="21"/>
                <w:highlight w:val="none"/>
              </w:rPr>
              <w:t>14</w:t>
            </w:r>
          </w:p>
        </w:tc>
        <w:tc>
          <w:tcPr>
            <w:tcW w:w="1959" w:type="dxa"/>
            <w:tcBorders>
              <w:top w:val="single" w:color="auto" w:sz="4" w:space="0"/>
              <w:left w:val="single" w:color="auto" w:sz="4" w:space="0"/>
              <w:bottom w:val="single" w:color="auto" w:sz="4" w:space="0"/>
              <w:right w:val="single" w:color="auto" w:sz="4" w:space="0"/>
            </w:tcBorders>
            <w:vAlign w:val="center"/>
          </w:tcPr>
          <w:p w14:paraId="3D34434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投标人项目经理要求</w:t>
            </w:r>
          </w:p>
        </w:tc>
        <w:tc>
          <w:tcPr>
            <w:tcW w:w="7488" w:type="dxa"/>
            <w:tcBorders>
              <w:top w:val="single" w:color="auto" w:sz="4" w:space="0"/>
              <w:left w:val="single" w:color="auto" w:sz="4" w:space="0"/>
              <w:bottom w:val="single" w:color="auto" w:sz="4" w:space="0"/>
              <w:right w:val="single" w:color="auto" w:sz="4" w:space="0"/>
            </w:tcBorders>
            <w:vAlign w:val="center"/>
          </w:tcPr>
          <w:p w14:paraId="0F9B0DFB">
            <w:pPr>
              <w:pStyle w:val="61"/>
              <w:widowControl w:val="0"/>
              <w:spacing w:before="0" w:after="0" w:line="380" w:lineRule="exact"/>
              <w:rPr>
                <w:rFonts w:hAnsi="宋体" w:cs="宋体"/>
                <w:color w:val="auto"/>
                <w:sz w:val="21"/>
                <w:szCs w:val="21"/>
                <w:highlight w:val="none"/>
              </w:rPr>
            </w:pPr>
            <w:r>
              <w:rPr>
                <w:rFonts w:hint="eastAsia" w:hAnsi="宋体" w:cs="宋体"/>
                <w:bCs/>
                <w:color w:val="auto"/>
                <w:sz w:val="21"/>
                <w:szCs w:val="21"/>
                <w:highlight w:val="none"/>
              </w:rPr>
              <w:t>见招标公告。</w:t>
            </w:r>
            <w:r>
              <w:rPr>
                <w:rFonts w:hint="eastAsia" w:hAnsi="宋体" w:cs="宋体"/>
                <w:b/>
                <w:color w:val="auto"/>
                <w:sz w:val="21"/>
                <w:szCs w:val="21"/>
                <w:highlight w:val="none"/>
              </w:rPr>
              <w:t>项目经理不得同时担任两个及以上建设工程施工项目负责人，以下情形除外：①符合《注册建造师执业管理办法（试行）》第九条规定的情形；②虽在其他项目上担任项目经理岗位，但承诺在本项目中标后合同签订前能够从其他项目变更至本项目并全面履约。</w:t>
            </w:r>
          </w:p>
        </w:tc>
      </w:tr>
      <w:tr w14:paraId="02F17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EF6B3B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59" w:type="dxa"/>
            <w:tcBorders>
              <w:top w:val="single" w:color="auto" w:sz="4" w:space="0"/>
              <w:left w:val="single" w:color="auto" w:sz="4" w:space="0"/>
              <w:bottom w:val="single" w:color="auto" w:sz="4" w:space="0"/>
              <w:right w:val="single" w:color="auto" w:sz="4" w:space="0"/>
            </w:tcBorders>
            <w:vAlign w:val="center"/>
          </w:tcPr>
          <w:p w14:paraId="7C8251C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投标替代方案</w:t>
            </w:r>
          </w:p>
        </w:tc>
        <w:tc>
          <w:tcPr>
            <w:tcW w:w="7488" w:type="dxa"/>
            <w:tcBorders>
              <w:top w:val="single" w:color="auto" w:sz="4" w:space="0"/>
              <w:left w:val="single" w:color="auto" w:sz="4" w:space="0"/>
              <w:bottom w:val="single" w:color="auto" w:sz="4" w:space="0"/>
              <w:right w:val="single" w:color="auto" w:sz="4" w:space="0"/>
            </w:tcBorders>
            <w:vAlign w:val="center"/>
          </w:tcPr>
          <w:p w14:paraId="6569AE21">
            <w:pPr>
              <w:spacing w:line="380" w:lineRule="exact"/>
              <w:rPr>
                <w:rFonts w:ascii="宋体" w:hAnsi="宋体" w:cs="宋体"/>
                <w:color w:val="auto"/>
                <w:szCs w:val="21"/>
                <w:highlight w:val="none"/>
              </w:rPr>
            </w:pPr>
            <w:r>
              <w:rPr>
                <w:rFonts w:hint="eastAsia" w:ascii="宋体" w:hAnsi="宋体" w:cs="宋体"/>
                <w:color w:val="auto"/>
                <w:szCs w:val="21"/>
                <w:highlight w:val="none"/>
                <w:u w:val="single"/>
              </w:rPr>
              <w:t xml:space="preserve">       无           </w:t>
            </w:r>
          </w:p>
        </w:tc>
      </w:tr>
      <w:tr w14:paraId="726CF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36BCBCB">
            <w:pPr>
              <w:spacing w:line="380" w:lineRule="exact"/>
              <w:jc w:val="center"/>
              <w:rPr>
                <w:rFonts w:ascii="宋体" w:hAnsi="宋体" w:cs="宋体"/>
                <w:color w:val="auto"/>
                <w:szCs w:val="21"/>
                <w:highlight w:val="none"/>
              </w:rPr>
            </w:pPr>
            <w:bookmarkStart w:id="18" w:name="_Toc208106828"/>
            <w:r>
              <w:rPr>
                <w:rFonts w:hint="eastAsia" w:ascii="宋体" w:hAnsi="宋体" w:cs="宋体"/>
                <w:color w:val="auto"/>
                <w:szCs w:val="21"/>
                <w:highlight w:val="none"/>
              </w:rPr>
              <w:t>16</w:t>
            </w:r>
          </w:p>
        </w:tc>
        <w:tc>
          <w:tcPr>
            <w:tcW w:w="1959" w:type="dxa"/>
            <w:tcBorders>
              <w:top w:val="single" w:color="auto" w:sz="4" w:space="0"/>
              <w:left w:val="single" w:color="auto" w:sz="4" w:space="0"/>
              <w:bottom w:val="single" w:color="auto" w:sz="4" w:space="0"/>
              <w:right w:val="single" w:color="auto" w:sz="4" w:space="0"/>
            </w:tcBorders>
            <w:vAlign w:val="center"/>
          </w:tcPr>
          <w:p w14:paraId="15AE5472">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488" w:type="dxa"/>
            <w:tcBorders>
              <w:top w:val="single" w:color="auto" w:sz="4" w:space="0"/>
              <w:left w:val="single" w:color="auto" w:sz="4" w:space="0"/>
              <w:bottom w:val="single" w:color="auto" w:sz="4" w:space="0"/>
              <w:right w:val="single" w:color="auto" w:sz="4" w:space="0"/>
            </w:tcBorders>
            <w:vAlign w:val="center"/>
          </w:tcPr>
          <w:p w14:paraId="0CB0A356">
            <w:pPr>
              <w:spacing w:line="380" w:lineRule="exact"/>
              <w:rPr>
                <w:rFonts w:hint="eastAsia"/>
                <w:color w:val="auto"/>
                <w:highlight w:val="none"/>
                <w:lang w:eastAsia="zh-CN"/>
              </w:rPr>
            </w:pPr>
            <w:r>
              <w:rPr>
                <w:rFonts w:hint="eastAsia"/>
                <w:color w:val="auto"/>
                <w:highlight w:val="none"/>
              </w:rPr>
              <w:t>正本1份和1份电子版</w:t>
            </w:r>
            <w:r>
              <w:rPr>
                <w:rFonts w:hint="eastAsia"/>
                <w:color w:val="auto"/>
                <w:highlight w:val="none"/>
                <w:lang w:val="en-US" w:eastAsia="zh-CN"/>
              </w:rPr>
              <w:t>PDF格式扫描件</w:t>
            </w:r>
            <w:r>
              <w:rPr>
                <w:rFonts w:hint="eastAsia"/>
                <w:color w:val="auto"/>
                <w:highlight w:val="none"/>
              </w:rPr>
              <w:t>投标文件（电子版投标文件</w:t>
            </w:r>
            <w:r>
              <w:rPr>
                <w:rFonts w:hint="eastAsia"/>
                <w:color w:val="auto"/>
                <w:highlight w:val="none"/>
                <w:lang w:val="en-US" w:eastAsia="zh-CN"/>
              </w:rPr>
              <w:t>U盘</w:t>
            </w:r>
            <w:r>
              <w:rPr>
                <w:rFonts w:hint="eastAsia"/>
                <w:color w:val="auto"/>
                <w:highlight w:val="none"/>
              </w:rPr>
              <w:t>单独</w:t>
            </w:r>
            <w:r>
              <w:rPr>
                <w:rFonts w:hint="eastAsia"/>
                <w:color w:val="auto"/>
                <w:highlight w:val="none"/>
                <w:lang w:val="en-US" w:eastAsia="zh-CN"/>
              </w:rPr>
              <w:t>或合并入纸质标书</w:t>
            </w:r>
            <w:r>
              <w:rPr>
                <w:rFonts w:hint="eastAsia"/>
                <w:color w:val="auto"/>
                <w:highlight w:val="none"/>
              </w:rPr>
              <w:t>密封</w:t>
            </w:r>
            <w:r>
              <w:rPr>
                <w:rFonts w:hint="eastAsia"/>
                <w:color w:val="auto"/>
                <w:highlight w:val="none"/>
                <w:lang w:val="en-US" w:eastAsia="zh-CN"/>
              </w:rPr>
              <w:t>均可</w:t>
            </w:r>
            <w:r>
              <w:rPr>
                <w:rFonts w:hint="eastAsia"/>
                <w:color w:val="auto"/>
                <w:highlight w:val="none"/>
              </w:rPr>
              <w:t>）</w:t>
            </w:r>
            <w:r>
              <w:rPr>
                <w:rFonts w:hint="eastAsia"/>
                <w:color w:val="auto"/>
                <w:highlight w:val="none"/>
                <w:lang w:eastAsia="zh-CN"/>
              </w:rPr>
              <w:t>。</w:t>
            </w:r>
          </w:p>
          <w:p w14:paraId="4DCE7CC3">
            <w:pPr>
              <w:spacing w:line="380" w:lineRule="exact"/>
              <w:rPr>
                <w:rFonts w:ascii="宋体" w:hAnsi="宋体" w:cs="宋体"/>
                <w:color w:val="auto"/>
                <w:szCs w:val="21"/>
                <w:highlight w:val="none"/>
                <w:u w:val="single"/>
              </w:rPr>
            </w:pPr>
            <w:r>
              <w:rPr>
                <w:rFonts w:hint="eastAsia"/>
                <w:b/>
                <w:bCs/>
                <w:color w:val="auto"/>
                <w:highlight w:val="none"/>
              </w:rPr>
              <w:t>（中标单位在领取中标通知书时另需提供2份副本纸质投标文件）</w:t>
            </w:r>
          </w:p>
        </w:tc>
      </w:tr>
      <w:tr w14:paraId="72701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ECEF7E0">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17</w:t>
            </w:r>
          </w:p>
        </w:tc>
        <w:tc>
          <w:tcPr>
            <w:tcW w:w="1959" w:type="dxa"/>
            <w:tcBorders>
              <w:top w:val="single" w:color="auto" w:sz="4" w:space="0"/>
              <w:left w:val="single" w:color="auto" w:sz="4" w:space="0"/>
              <w:bottom w:val="single" w:color="auto" w:sz="4" w:space="0"/>
              <w:right w:val="single" w:color="auto" w:sz="4" w:space="0"/>
            </w:tcBorders>
            <w:vAlign w:val="center"/>
          </w:tcPr>
          <w:p w14:paraId="5EE50E66">
            <w:pPr>
              <w:pStyle w:val="61"/>
              <w:widowControl w:val="0"/>
              <w:spacing w:before="0" w:after="0" w:line="380" w:lineRule="exact"/>
              <w:jc w:val="center"/>
              <w:rPr>
                <w:rFonts w:hAnsi="宋体" w:cs="宋体"/>
                <w:color w:val="auto"/>
                <w:sz w:val="21"/>
                <w:szCs w:val="21"/>
                <w:highlight w:val="none"/>
              </w:rPr>
            </w:pPr>
            <w:r>
              <w:rPr>
                <w:rFonts w:hint="eastAsia" w:hAnsi="宋体" w:cs="宋体"/>
                <w:bCs/>
                <w:color w:val="auto"/>
                <w:sz w:val="21"/>
                <w:szCs w:val="21"/>
                <w:highlight w:val="none"/>
              </w:rPr>
              <w:t>投标有效期</w:t>
            </w:r>
          </w:p>
        </w:tc>
        <w:tc>
          <w:tcPr>
            <w:tcW w:w="7488" w:type="dxa"/>
            <w:tcBorders>
              <w:top w:val="single" w:color="auto" w:sz="4" w:space="0"/>
              <w:left w:val="single" w:color="auto" w:sz="4" w:space="0"/>
              <w:bottom w:val="single" w:color="auto" w:sz="4" w:space="0"/>
              <w:right w:val="single" w:color="auto" w:sz="4" w:space="0"/>
            </w:tcBorders>
            <w:vAlign w:val="center"/>
          </w:tcPr>
          <w:p w14:paraId="0022D5E3">
            <w:pPr>
              <w:pStyle w:val="61"/>
              <w:widowControl w:val="0"/>
              <w:spacing w:before="0" w:after="0" w:line="380" w:lineRule="exact"/>
              <w:ind w:left="2520" w:hanging="2520" w:hangingChars="1200"/>
              <w:rPr>
                <w:rFonts w:hAnsi="宋体" w:cs="宋体"/>
                <w:color w:val="auto"/>
                <w:kern w:val="2"/>
                <w:sz w:val="21"/>
                <w:szCs w:val="21"/>
                <w:highlight w:val="none"/>
              </w:rPr>
            </w:pPr>
            <w:r>
              <w:rPr>
                <w:rFonts w:hint="eastAsia" w:hAnsi="宋体" w:cs="宋体"/>
                <w:color w:val="auto"/>
                <w:kern w:val="2"/>
                <w:sz w:val="21"/>
                <w:szCs w:val="21"/>
                <w:highlight w:val="none"/>
              </w:rPr>
              <w:t xml:space="preserve">投标文件提交截止时间后：90天内有效    </w:t>
            </w:r>
          </w:p>
        </w:tc>
      </w:tr>
      <w:tr w14:paraId="6190F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77D7ACE">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18</w:t>
            </w:r>
          </w:p>
        </w:tc>
        <w:tc>
          <w:tcPr>
            <w:tcW w:w="1959" w:type="dxa"/>
            <w:tcBorders>
              <w:top w:val="single" w:color="auto" w:sz="4" w:space="0"/>
              <w:left w:val="single" w:color="auto" w:sz="4" w:space="0"/>
              <w:bottom w:val="single" w:color="auto" w:sz="4" w:space="0"/>
              <w:right w:val="single" w:color="auto" w:sz="4" w:space="0"/>
            </w:tcBorders>
            <w:vAlign w:val="center"/>
          </w:tcPr>
          <w:p w14:paraId="58A9FDE8">
            <w:pPr>
              <w:pStyle w:val="61"/>
              <w:widowControl w:val="0"/>
              <w:spacing w:before="0" w:after="0" w:line="400" w:lineRule="exact"/>
              <w:jc w:val="center"/>
              <w:rPr>
                <w:rFonts w:hAnsi="宋体" w:cs="宋体"/>
                <w:color w:val="auto"/>
                <w:sz w:val="21"/>
                <w:szCs w:val="21"/>
                <w:highlight w:val="none"/>
              </w:rPr>
            </w:pPr>
            <w:r>
              <w:rPr>
                <w:rStyle w:val="41"/>
                <w:rFonts w:hint="eastAsia" w:hAnsi="宋体" w:cs="宋体"/>
                <w:b w:val="0"/>
                <w:color w:val="auto"/>
                <w:sz w:val="21"/>
                <w:szCs w:val="21"/>
                <w:highlight w:val="none"/>
              </w:rPr>
              <w:t>投标保证金</w:t>
            </w:r>
          </w:p>
        </w:tc>
        <w:tc>
          <w:tcPr>
            <w:tcW w:w="7488" w:type="dxa"/>
            <w:tcBorders>
              <w:top w:val="single" w:color="auto" w:sz="4" w:space="0"/>
              <w:left w:val="single" w:color="auto" w:sz="4" w:space="0"/>
              <w:bottom w:val="single" w:color="auto" w:sz="4" w:space="0"/>
              <w:right w:val="single" w:color="auto" w:sz="4" w:space="0"/>
            </w:tcBorders>
          </w:tcPr>
          <w:p w14:paraId="37AF51D5">
            <w:pPr>
              <w:adjustRightInd w:val="0"/>
              <w:snapToGrid w:val="0"/>
              <w:spacing w:line="360" w:lineRule="auto"/>
              <w:rPr>
                <w:rFonts w:hAnsi="宋体" w:cs="宋体"/>
                <w:b/>
                <w:snapToGrid w:val="0"/>
                <w:color w:val="auto"/>
                <w:sz w:val="20"/>
                <w:highlight w:val="none"/>
              </w:rPr>
            </w:pPr>
            <w:r>
              <w:rPr>
                <w:rFonts w:hint="eastAsia" w:hAnsi="宋体" w:cs="宋体"/>
                <w:b/>
                <w:snapToGrid w:val="0"/>
                <w:color w:val="auto"/>
                <w:sz w:val="20"/>
                <w:highlight w:val="none"/>
              </w:rPr>
              <w:t>本项目是否要求投标人提交投标保证金：</w:t>
            </w:r>
          </w:p>
          <w:p w14:paraId="0A0773B6">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□不要求</w:t>
            </w:r>
          </w:p>
          <w:p w14:paraId="669F6C5D">
            <w:pPr>
              <w:adjustRightInd w:val="0"/>
              <w:snapToGrid w:val="0"/>
              <w:spacing w:line="360" w:lineRule="auto"/>
              <w:ind w:firstLine="400" w:firstLineChars="200"/>
              <w:rPr>
                <w:rFonts w:hAnsi="宋体" w:cs="宋体"/>
                <w:b/>
                <w:snapToGrid w:val="0"/>
                <w:color w:val="auto"/>
                <w:sz w:val="20"/>
                <w:highlight w:val="none"/>
              </w:rPr>
            </w:pPr>
            <w:r>
              <w:rPr>
                <w:rFonts w:hint="eastAsia" w:hAnsi="宋体" w:cs="宋体"/>
                <w:bCs/>
                <w:snapToGrid w:val="0"/>
                <w:color w:val="auto"/>
                <w:sz w:val="20"/>
                <w:highlight w:val="none"/>
              </w:rPr>
              <w:t>☑要求，投标保证金金额：</w:t>
            </w:r>
            <w:r>
              <w:rPr>
                <w:rFonts w:hint="eastAsia" w:hAnsi="宋体" w:cs="宋体"/>
                <w:b/>
                <w:snapToGrid w:val="0"/>
                <w:color w:val="auto"/>
                <w:sz w:val="20"/>
                <w:highlight w:val="none"/>
              </w:rPr>
              <w:t>人民币</w:t>
            </w:r>
            <w:r>
              <w:rPr>
                <w:rFonts w:hint="eastAsia" w:hAnsi="宋体" w:cs="宋体"/>
                <w:b/>
                <w:snapToGrid w:val="0"/>
                <w:color w:val="auto"/>
                <w:sz w:val="20"/>
                <w:highlight w:val="none"/>
                <w:u w:val="single"/>
              </w:rPr>
              <w:t xml:space="preserve"> </w:t>
            </w:r>
            <w:r>
              <w:rPr>
                <w:rFonts w:hAnsi="宋体" w:cs="宋体"/>
                <w:b/>
                <w:snapToGrid w:val="0"/>
                <w:color w:val="auto"/>
                <w:sz w:val="20"/>
                <w:highlight w:val="none"/>
                <w:u w:val="single"/>
              </w:rPr>
              <w:t xml:space="preserve">5 </w:t>
            </w:r>
            <w:r>
              <w:rPr>
                <w:rFonts w:hint="eastAsia" w:hAnsi="宋体" w:cs="宋体"/>
                <w:b/>
                <w:snapToGrid w:val="0"/>
                <w:color w:val="auto"/>
                <w:sz w:val="20"/>
                <w:highlight w:val="none"/>
              </w:rPr>
              <w:t>万元</w:t>
            </w:r>
            <w:r>
              <w:rPr>
                <w:rFonts w:hint="eastAsia" w:hAnsi="宋体" w:cs="宋体"/>
                <w:bCs/>
                <w:snapToGrid w:val="0"/>
                <w:color w:val="auto"/>
                <w:sz w:val="20"/>
                <w:highlight w:val="none"/>
              </w:rPr>
              <w:t>。</w:t>
            </w:r>
          </w:p>
          <w:p w14:paraId="5FF0235A">
            <w:pPr>
              <w:adjustRightInd w:val="0"/>
              <w:snapToGrid w:val="0"/>
              <w:spacing w:line="360" w:lineRule="auto"/>
              <w:rPr>
                <w:rFonts w:hAnsi="宋体" w:cs="宋体"/>
                <w:bCs/>
                <w:snapToGrid w:val="0"/>
                <w:color w:val="auto"/>
                <w:sz w:val="20"/>
                <w:highlight w:val="none"/>
              </w:rPr>
            </w:pPr>
            <w:r>
              <w:rPr>
                <w:rFonts w:hint="eastAsia" w:hAnsi="宋体" w:cs="宋体"/>
                <w:b/>
                <w:snapToGrid w:val="0"/>
                <w:color w:val="auto"/>
                <w:sz w:val="20"/>
                <w:highlight w:val="none"/>
              </w:rPr>
              <w:t>投标保证金递交形式，以下形式中的任意一种均可，但不得采用两种（含两种）以上形式：</w:t>
            </w:r>
          </w:p>
          <w:p w14:paraId="73D6A27D">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 xml:space="preserve">第一类：银行转账、银行电汇  </w:t>
            </w:r>
          </w:p>
          <w:p w14:paraId="76EC49E7">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第二类：纸质银行保函</w:t>
            </w:r>
          </w:p>
          <w:p w14:paraId="1CF93336">
            <w:pPr>
              <w:adjustRightInd w:val="0"/>
              <w:snapToGrid w:val="0"/>
              <w:spacing w:line="360" w:lineRule="auto"/>
              <w:ind w:firstLine="400" w:firstLineChars="200"/>
              <w:rPr>
                <w:rFonts w:hAnsi="宋体" w:cs="宋体"/>
                <w:bCs/>
                <w:snapToGrid w:val="0"/>
                <w:color w:val="auto"/>
                <w:sz w:val="20"/>
                <w:highlight w:val="none"/>
              </w:rPr>
            </w:pPr>
            <w:r>
              <w:rPr>
                <w:rFonts w:hint="eastAsia" w:hAnsi="宋体" w:cs="宋体"/>
                <w:bCs/>
                <w:snapToGrid w:val="0"/>
                <w:color w:val="auto"/>
                <w:sz w:val="20"/>
                <w:highlight w:val="none"/>
              </w:rPr>
              <w:t>第三类：纸质保证保险</w:t>
            </w:r>
          </w:p>
          <w:p w14:paraId="4B7759B9">
            <w:pPr>
              <w:adjustRightInd w:val="0"/>
              <w:snapToGrid w:val="0"/>
              <w:spacing w:line="360" w:lineRule="auto"/>
              <w:rPr>
                <w:rFonts w:hAnsi="宋体" w:cs="宋体"/>
                <w:b/>
                <w:snapToGrid w:val="0"/>
                <w:color w:val="auto"/>
                <w:sz w:val="20"/>
                <w:highlight w:val="none"/>
              </w:rPr>
            </w:pPr>
            <w:r>
              <w:rPr>
                <w:rFonts w:hint="eastAsia" w:hAnsi="宋体" w:cs="宋体"/>
                <w:b/>
                <w:snapToGrid w:val="0"/>
                <w:color w:val="auto"/>
                <w:sz w:val="20"/>
                <w:highlight w:val="none"/>
              </w:rPr>
              <w:t>投标保证金递交要求：</w:t>
            </w:r>
          </w:p>
          <w:p w14:paraId="1ADCF934">
            <w:pPr>
              <w:adjustRightInd w:val="0"/>
              <w:snapToGrid w:val="0"/>
              <w:spacing w:line="360" w:lineRule="auto"/>
              <w:ind w:firstLine="201" w:firstLineChars="100"/>
              <w:rPr>
                <w:rFonts w:hAnsi="宋体" w:cs="宋体"/>
                <w:b/>
                <w:snapToGrid w:val="0"/>
                <w:color w:val="auto"/>
                <w:sz w:val="20"/>
                <w:highlight w:val="none"/>
              </w:rPr>
            </w:pPr>
            <w:r>
              <w:rPr>
                <w:rFonts w:hint="eastAsia" w:hAnsi="宋体" w:cs="宋体"/>
                <w:b/>
                <w:snapToGrid w:val="0"/>
                <w:color w:val="auto"/>
                <w:sz w:val="20"/>
                <w:highlight w:val="none"/>
              </w:rPr>
              <w:t>（1）如采用第一类形式：</w:t>
            </w:r>
          </w:p>
          <w:p w14:paraId="7F8A876C">
            <w:pPr>
              <w:adjustRightInd w:val="0"/>
              <w:snapToGrid w:val="0"/>
              <w:spacing w:line="360" w:lineRule="auto"/>
              <w:ind w:firstLine="420" w:firstLineChars="200"/>
              <w:rPr>
                <w:rFonts w:hAnsi="宋体" w:cs="宋体"/>
                <w:bCs/>
                <w:snapToGrid w:val="0"/>
                <w:color w:val="auto"/>
                <w:szCs w:val="21"/>
                <w:highlight w:val="none"/>
              </w:rPr>
            </w:pPr>
            <w:r>
              <w:rPr>
                <w:rFonts w:hint="eastAsia" w:hAnsi="宋体" w:cs="宋体"/>
                <w:bCs/>
                <w:snapToGrid w:val="0"/>
                <w:color w:val="auto"/>
                <w:szCs w:val="21"/>
                <w:highlight w:val="none"/>
              </w:rPr>
              <w:t>①投标保证金的到账截止时间：投标截止时间。</w:t>
            </w:r>
          </w:p>
          <w:p w14:paraId="56AA2FAE">
            <w:pPr>
              <w:adjustRightInd w:val="0"/>
              <w:snapToGrid w:val="0"/>
              <w:spacing w:line="360" w:lineRule="auto"/>
              <w:ind w:firstLine="420" w:firstLineChars="200"/>
              <w:rPr>
                <w:rFonts w:hAnsi="宋体" w:cs="宋体"/>
                <w:bCs/>
                <w:snapToGrid w:val="0"/>
                <w:color w:val="auto"/>
                <w:szCs w:val="21"/>
                <w:highlight w:val="none"/>
              </w:rPr>
            </w:pPr>
            <w:r>
              <w:rPr>
                <w:rFonts w:hint="eastAsia" w:hAnsi="宋体" w:cs="宋体"/>
                <w:bCs/>
                <w:snapToGrid w:val="0"/>
                <w:color w:val="auto"/>
                <w:szCs w:val="21"/>
                <w:highlight w:val="none"/>
              </w:rPr>
              <w:t>②投标保证金应当从投标人基本账户转出，转出保证金的账户与投标人投标文件提供的基本账户不一致的，视为未按招标文件规定要求递交投标保证金。</w:t>
            </w:r>
          </w:p>
          <w:p w14:paraId="21357E61">
            <w:pPr>
              <w:adjustRightInd w:val="0"/>
              <w:snapToGrid w:val="0"/>
              <w:spacing w:line="360" w:lineRule="auto"/>
              <w:ind w:firstLine="420" w:firstLineChars="200"/>
              <w:rPr>
                <w:rFonts w:hAnsi="宋体" w:cs="宋体"/>
                <w:bCs/>
                <w:snapToGrid w:val="0"/>
                <w:color w:val="auto"/>
                <w:szCs w:val="21"/>
                <w:highlight w:val="none"/>
              </w:rPr>
            </w:pPr>
            <w:r>
              <w:rPr>
                <w:rFonts w:hint="eastAsia" w:hAnsi="宋体" w:cs="宋体"/>
                <w:bCs/>
                <w:snapToGrid w:val="0"/>
                <w:color w:val="auto"/>
                <w:szCs w:val="21"/>
                <w:highlight w:val="none"/>
              </w:rPr>
              <w:t>③转入的开户银行及账号见本项目招标公告所示</w:t>
            </w:r>
          </w:p>
          <w:p w14:paraId="6A9C8A2B">
            <w:pPr>
              <w:adjustRightInd w:val="0"/>
              <w:snapToGrid w:val="0"/>
              <w:spacing w:line="360" w:lineRule="auto"/>
              <w:ind w:firstLine="201" w:firstLineChars="100"/>
              <w:rPr>
                <w:rFonts w:hAnsi="宋体" w:cs="宋体"/>
                <w:b/>
                <w:snapToGrid w:val="0"/>
                <w:color w:val="auto"/>
                <w:sz w:val="20"/>
                <w:highlight w:val="none"/>
              </w:rPr>
            </w:pPr>
            <w:r>
              <w:rPr>
                <w:rFonts w:hint="eastAsia" w:hAnsi="宋体" w:cs="宋体"/>
                <w:b/>
                <w:snapToGrid w:val="0"/>
                <w:color w:val="auto"/>
                <w:sz w:val="20"/>
                <w:highlight w:val="none"/>
              </w:rPr>
              <w:t>（2）如采用第二类形式</w:t>
            </w:r>
            <w:r>
              <w:rPr>
                <w:rFonts w:hint="eastAsia" w:hAnsi="宋体" w:cs="宋体"/>
                <w:b/>
                <w:snapToGrid w:val="0"/>
                <w:color w:val="auto"/>
                <w:szCs w:val="21"/>
                <w:highlight w:val="none"/>
              </w:rPr>
              <w:t>：</w:t>
            </w:r>
          </w:p>
          <w:p w14:paraId="4476DF5F">
            <w:pPr>
              <w:adjustRightInd w:val="0"/>
              <w:snapToGrid w:val="0"/>
              <w:spacing w:line="360" w:lineRule="auto"/>
              <w:ind w:firstLine="420" w:firstLineChars="200"/>
              <w:rPr>
                <w:rFonts w:ascii="宋体" w:hAnsi="宋体" w:cs="宋体"/>
                <w:bCs/>
                <w:snapToGrid w:val="0"/>
                <w:color w:val="auto"/>
                <w:szCs w:val="21"/>
                <w:highlight w:val="none"/>
              </w:rPr>
            </w:pPr>
            <w:r>
              <w:rPr>
                <w:rFonts w:hint="eastAsia" w:ascii="宋体" w:hAnsi="宋体" w:cs="宋体"/>
                <w:bCs/>
                <w:snapToGrid w:val="0"/>
                <w:color w:val="auto"/>
                <w:szCs w:val="21"/>
                <w:highlight w:val="none"/>
              </w:rPr>
              <w:t>采用纸质银行保函的，应为投标人基本账户开户行出具的见索即付无条件见索即付银行保函，</w:t>
            </w:r>
            <w:r>
              <w:rPr>
                <w:rFonts w:hint="eastAsia"/>
                <w:bCs/>
                <w:color w:val="auto"/>
                <w:szCs w:val="21"/>
                <w:highlight w:val="none"/>
              </w:rPr>
              <w:t>投标人在投标文件中必须提供“基本账户开户许可证”复印件（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p w14:paraId="16D8F38C">
            <w:pPr>
              <w:adjustRightInd w:val="0"/>
              <w:snapToGrid w:val="0"/>
              <w:spacing w:line="360" w:lineRule="auto"/>
              <w:ind w:firstLine="201" w:firstLineChars="100"/>
              <w:rPr>
                <w:rFonts w:hAnsi="宋体" w:cs="宋体"/>
                <w:b/>
                <w:snapToGrid w:val="0"/>
                <w:color w:val="auto"/>
                <w:szCs w:val="21"/>
                <w:highlight w:val="none"/>
              </w:rPr>
            </w:pPr>
            <w:r>
              <w:rPr>
                <w:rFonts w:hint="eastAsia" w:hAnsi="宋体" w:cs="宋体"/>
                <w:b/>
                <w:snapToGrid w:val="0"/>
                <w:color w:val="auto"/>
                <w:sz w:val="20"/>
                <w:highlight w:val="none"/>
              </w:rPr>
              <w:t>（3）如采用第三类形式</w:t>
            </w:r>
            <w:r>
              <w:rPr>
                <w:rFonts w:hint="eastAsia" w:hAnsi="宋体" w:cs="宋体"/>
                <w:b/>
                <w:snapToGrid w:val="0"/>
                <w:color w:val="auto"/>
                <w:szCs w:val="21"/>
                <w:highlight w:val="none"/>
              </w:rPr>
              <w:t>：</w:t>
            </w:r>
          </w:p>
          <w:p w14:paraId="38CE249B">
            <w:pPr>
              <w:spacing w:line="400" w:lineRule="exact"/>
              <w:ind w:firstLine="420" w:firstLineChars="200"/>
              <w:rPr>
                <w:rFonts w:ascii="宋体" w:hAnsi="宋体" w:cs="宋体"/>
                <w:color w:val="auto"/>
                <w:szCs w:val="21"/>
                <w:highlight w:val="none"/>
              </w:rPr>
            </w:pPr>
            <w:r>
              <w:rPr>
                <w:rFonts w:hint="eastAsia"/>
                <w:bCs/>
                <w:color w:val="auto"/>
                <w:szCs w:val="21"/>
                <w:highlight w:val="none"/>
              </w:rPr>
              <w:t>采用纸质保函保险的，保函保险等费用应使用投标人基本账户支付。转出（支付）账户与投标人提供的投标文件不一致的，视为未按招标文件规定要求递交投标保证金。投标人在投标文件中必须提供纸质保函保险、保函保险等费用支付记录证明资料和“基本账户开户许可证”扫描件（或投标企业基本账户开户银行的基本存款账户信息。中标候选人须在中标结果公示发布前将其开具至本项目的银行保函原件提交招标人（或招标代理机构），且原件须与投标文件中提供的扫描件一致，如存在未按规定提交或提交内容不一致，或发现弄虚作假的，招标人应当报监管部门依法处理）。</w:t>
            </w:r>
          </w:p>
        </w:tc>
      </w:tr>
      <w:tr w14:paraId="3FCAB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093B185">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19</w:t>
            </w:r>
          </w:p>
        </w:tc>
        <w:tc>
          <w:tcPr>
            <w:tcW w:w="1959" w:type="dxa"/>
            <w:tcBorders>
              <w:top w:val="single" w:color="auto" w:sz="4" w:space="0"/>
              <w:left w:val="single" w:color="auto" w:sz="4" w:space="0"/>
              <w:bottom w:val="single" w:color="auto" w:sz="4" w:space="0"/>
              <w:right w:val="single" w:color="auto" w:sz="4" w:space="0"/>
            </w:tcBorders>
            <w:vAlign w:val="center"/>
          </w:tcPr>
          <w:p w14:paraId="65A17D71">
            <w:pPr>
              <w:pStyle w:val="61"/>
              <w:widowControl w:val="0"/>
              <w:spacing w:before="0" w:after="0" w:line="380" w:lineRule="exact"/>
              <w:rPr>
                <w:rFonts w:hAnsi="宋体" w:cs="宋体"/>
                <w:color w:val="auto"/>
                <w:sz w:val="21"/>
                <w:szCs w:val="21"/>
                <w:highlight w:val="none"/>
              </w:rPr>
            </w:pPr>
            <w:r>
              <w:rPr>
                <w:rStyle w:val="41"/>
                <w:rFonts w:hint="eastAsia" w:hAnsi="宋体" w:cs="宋体"/>
                <w:b w:val="0"/>
                <w:color w:val="auto"/>
                <w:sz w:val="21"/>
                <w:szCs w:val="21"/>
                <w:highlight w:val="none"/>
              </w:rPr>
              <w:t>中标人履约保证金</w:t>
            </w:r>
          </w:p>
        </w:tc>
        <w:tc>
          <w:tcPr>
            <w:tcW w:w="7488" w:type="dxa"/>
            <w:tcBorders>
              <w:top w:val="single" w:color="auto" w:sz="4" w:space="0"/>
              <w:left w:val="single" w:color="auto" w:sz="4" w:space="0"/>
              <w:bottom w:val="single" w:color="auto" w:sz="4" w:space="0"/>
              <w:right w:val="single" w:color="auto" w:sz="4" w:space="0"/>
            </w:tcBorders>
            <w:vAlign w:val="center"/>
          </w:tcPr>
          <w:p w14:paraId="681803BC">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中标人提供的履约保证金为合同价款的2%（不含暂列金额及甲供材）。</w:t>
            </w:r>
            <w:r>
              <w:rPr>
                <w:rFonts w:hint="eastAsia" w:ascii="宋体" w:hAnsi="宋体" w:cs="宋体"/>
                <w:bCs/>
                <w:color w:val="auto"/>
                <w:kern w:val="0"/>
                <w:szCs w:val="21"/>
                <w:highlight w:val="none"/>
              </w:rPr>
              <w:t>保证金</w:t>
            </w:r>
            <w:r>
              <w:rPr>
                <w:rFonts w:hint="eastAsia" w:ascii="宋体" w:hAnsi="宋体" w:cs="宋体"/>
                <w:bCs/>
                <w:color w:val="auto"/>
                <w:szCs w:val="21"/>
                <w:highlight w:val="none"/>
              </w:rPr>
              <w:t>形式为</w:t>
            </w:r>
            <w:bookmarkStart w:id="19" w:name="EBbf7d1a7cf1904eb0a9d5ad6f728c2166"/>
            <w:r>
              <w:rPr>
                <w:rFonts w:hint="eastAsia" w:ascii="宋体" w:hAnsi="宋体" w:cs="宋体"/>
                <w:bCs/>
                <w:color w:val="auto"/>
                <w:szCs w:val="21"/>
                <w:highlight w:val="none"/>
              </w:rPr>
              <w:t>银行转账、银行电汇、银行保函、担保机构担保</w:t>
            </w:r>
            <w:bookmarkEnd w:id="19"/>
            <w:r>
              <w:rPr>
                <w:rFonts w:hint="eastAsia" w:ascii="宋体" w:hAnsi="宋体" w:cs="宋体"/>
                <w:bCs/>
                <w:color w:val="auto"/>
                <w:szCs w:val="21"/>
                <w:highlight w:val="none"/>
              </w:rPr>
              <w:t>、保证保险均可</w:t>
            </w:r>
            <w:r>
              <w:rPr>
                <w:rFonts w:hint="eastAsia" w:ascii="宋体" w:hAnsi="宋体" w:cs="宋体"/>
                <w:bCs/>
                <w:color w:val="auto"/>
                <w:kern w:val="0"/>
                <w:szCs w:val="21"/>
                <w:highlight w:val="none"/>
              </w:rPr>
              <w:t>。</w:t>
            </w:r>
          </w:p>
        </w:tc>
      </w:tr>
      <w:tr w14:paraId="6A7F8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6EDB999">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20</w:t>
            </w:r>
          </w:p>
        </w:tc>
        <w:tc>
          <w:tcPr>
            <w:tcW w:w="1959" w:type="dxa"/>
            <w:tcBorders>
              <w:top w:val="single" w:color="auto" w:sz="4" w:space="0"/>
              <w:left w:val="single" w:color="auto" w:sz="4" w:space="0"/>
              <w:bottom w:val="single" w:color="auto" w:sz="4" w:space="0"/>
              <w:right w:val="single" w:color="auto" w:sz="4" w:space="0"/>
            </w:tcBorders>
            <w:vAlign w:val="center"/>
          </w:tcPr>
          <w:p w14:paraId="6AE5569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安全文明要求</w:t>
            </w:r>
          </w:p>
        </w:tc>
        <w:tc>
          <w:tcPr>
            <w:tcW w:w="7488" w:type="dxa"/>
            <w:tcBorders>
              <w:top w:val="single" w:color="auto" w:sz="4" w:space="0"/>
              <w:left w:val="single" w:color="auto" w:sz="4" w:space="0"/>
              <w:bottom w:val="single" w:color="auto" w:sz="4" w:space="0"/>
              <w:right w:val="single" w:color="auto" w:sz="4" w:space="0"/>
            </w:tcBorders>
            <w:vAlign w:val="center"/>
          </w:tcPr>
          <w:p w14:paraId="53E9D67A">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必须确保安全文明施工，国家现行相关规定</w:t>
            </w:r>
          </w:p>
        </w:tc>
      </w:tr>
      <w:tr w14:paraId="46F25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34A65AC">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21</w:t>
            </w:r>
          </w:p>
        </w:tc>
        <w:tc>
          <w:tcPr>
            <w:tcW w:w="1959" w:type="dxa"/>
            <w:tcBorders>
              <w:top w:val="single" w:color="auto" w:sz="4" w:space="0"/>
              <w:left w:val="single" w:color="auto" w:sz="4" w:space="0"/>
              <w:bottom w:val="single" w:color="auto" w:sz="4" w:space="0"/>
              <w:right w:val="single" w:color="auto" w:sz="4" w:space="0"/>
            </w:tcBorders>
            <w:vAlign w:val="center"/>
          </w:tcPr>
          <w:p w14:paraId="6409FB7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总包及分包规定</w:t>
            </w:r>
          </w:p>
        </w:tc>
        <w:tc>
          <w:tcPr>
            <w:tcW w:w="7488" w:type="dxa"/>
            <w:tcBorders>
              <w:top w:val="single" w:color="auto" w:sz="4" w:space="0"/>
              <w:left w:val="single" w:color="auto" w:sz="4" w:space="0"/>
              <w:bottom w:val="single" w:color="auto" w:sz="4" w:space="0"/>
              <w:right w:val="single" w:color="auto" w:sz="4" w:space="0"/>
            </w:tcBorders>
            <w:vAlign w:val="center"/>
          </w:tcPr>
          <w:p w14:paraId="036CD21E">
            <w:pPr>
              <w:spacing w:line="380" w:lineRule="exact"/>
              <w:rPr>
                <w:rFonts w:ascii="宋体" w:hAnsi="宋体" w:cs="宋体"/>
                <w:color w:val="auto"/>
                <w:szCs w:val="21"/>
                <w:highlight w:val="none"/>
                <w:lang w:val="zh-CN"/>
              </w:rPr>
            </w:pPr>
            <w:r>
              <w:rPr>
                <w:rFonts w:hint="eastAsia" w:ascii="宋体" w:hAnsi="宋体" w:cs="宋体"/>
                <w:color w:val="auto"/>
                <w:szCs w:val="21"/>
                <w:highlight w:val="none"/>
                <w:lang w:val="zh-CN"/>
              </w:rPr>
              <w:t>投标人不得在中标后将工程转包给其它单位。</w:t>
            </w:r>
          </w:p>
          <w:p w14:paraId="40F9E9E4">
            <w:pPr>
              <w:spacing w:line="380" w:lineRule="exact"/>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 xml:space="preserve"> 主体、关键 </w:t>
            </w:r>
            <w:r>
              <w:rPr>
                <w:rFonts w:hint="eastAsia" w:ascii="宋体" w:hAnsi="宋体" w:cs="宋体"/>
                <w:color w:val="auto"/>
                <w:szCs w:val="21"/>
                <w:highlight w:val="none"/>
              </w:rPr>
              <w:t>部分不得分包。</w:t>
            </w:r>
          </w:p>
          <w:p w14:paraId="11EB5C35">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非主体、非关键性工程如需分包，分包项目、内容及分包商需符合国家有关规定，并须经监理单位及招标人同意和认可。招标人依法负责对转包、分包行为的监督处理，并在处理的同时及时向工程所在地的行业主管部门报告。若项目实施过程中，出现中标人资质不满足工作任务要求，允许专业分包。</w:t>
            </w:r>
          </w:p>
        </w:tc>
      </w:tr>
      <w:tr w14:paraId="53C8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7769BAD">
            <w:pPr>
              <w:pStyle w:val="61"/>
              <w:widowControl w:val="0"/>
              <w:spacing w:before="0" w:after="0" w:line="380" w:lineRule="exact"/>
              <w:jc w:val="center"/>
              <w:rPr>
                <w:rFonts w:hAnsi="宋体" w:cs="宋体"/>
                <w:color w:val="auto"/>
                <w:sz w:val="21"/>
                <w:szCs w:val="21"/>
                <w:highlight w:val="none"/>
              </w:rPr>
            </w:pPr>
            <w:r>
              <w:rPr>
                <w:rStyle w:val="41"/>
                <w:rFonts w:hint="eastAsia" w:hAnsi="宋体" w:cs="宋体"/>
                <w:b w:val="0"/>
                <w:bCs w:val="0"/>
                <w:color w:val="auto"/>
                <w:sz w:val="21"/>
                <w:szCs w:val="21"/>
                <w:highlight w:val="none"/>
              </w:rPr>
              <w:t>22</w:t>
            </w:r>
          </w:p>
        </w:tc>
        <w:tc>
          <w:tcPr>
            <w:tcW w:w="1959" w:type="dxa"/>
            <w:tcBorders>
              <w:top w:val="single" w:color="auto" w:sz="4" w:space="0"/>
              <w:left w:val="single" w:color="auto" w:sz="4" w:space="0"/>
              <w:bottom w:val="single" w:color="auto" w:sz="4" w:space="0"/>
              <w:right w:val="single" w:color="auto" w:sz="4" w:space="0"/>
            </w:tcBorders>
            <w:vAlign w:val="center"/>
          </w:tcPr>
          <w:p w14:paraId="5CEF7B76">
            <w:pPr>
              <w:spacing w:line="3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主要材料要求</w:t>
            </w:r>
          </w:p>
        </w:tc>
        <w:tc>
          <w:tcPr>
            <w:tcW w:w="7488" w:type="dxa"/>
            <w:tcBorders>
              <w:top w:val="single" w:color="auto" w:sz="4" w:space="0"/>
              <w:left w:val="single" w:color="auto" w:sz="4" w:space="0"/>
              <w:bottom w:val="single" w:color="auto" w:sz="4" w:space="0"/>
              <w:right w:val="single" w:color="auto" w:sz="4" w:space="0"/>
            </w:tcBorders>
            <w:vAlign w:val="center"/>
          </w:tcPr>
          <w:p w14:paraId="5AB79331">
            <w:pPr>
              <w:spacing w:line="360" w:lineRule="auto"/>
              <w:rPr>
                <w:rFonts w:hint="eastAsia" w:hAnsi="宋体" w:cs="宋体"/>
                <w:color w:val="auto"/>
                <w:sz w:val="21"/>
                <w:szCs w:val="21"/>
                <w:highlight w:val="none"/>
              </w:rPr>
            </w:pPr>
            <w:r>
              <w:rPr>
                <w:rFonts w:hint="eastAsia" w:hAnsi="宋体" w:cs="宋体"/>
                <w:color w:val="auto"/>
                <w:sz w:val="21"/>
                <w:szCs w:val="21"/>
                <w:highlight w:val="none"/>
              </w:rPr>
              <w:t>1.中标人自行采购的材料应满足设计和规范要求的质量等级，并须按有关技术规范要求对材料质量进行检验。中标人选定的材料供应厂家和价格须经招标人和监理单位认可。如招标人和监理单位对材料的质量有异议，有权提交具有鉴定资格的机构鉴定</w:t>
            </w:r>
            <w:r>
              <w:rPr>
                <w:rFonts w:hint="eastAsia" w:hAnsi="宋体" w:cs="宋体"/>
                <w:color w:val="auto"/>
                <w:sz w:val="21"/>
                <w:szCs w:val="21"/>
                <w:highlight w:val="none"/>
                <w:lang w:eastAsia="zh-CN"/>
              </w:rPr>
              <w:t>（包括但不限于电线、高低压电缆、高低压柜、变压器、断路器、空气开关等元器件）</w:t>
            </w:r>
            <w:r>
              <w:rPr>
                <w:rFonts w:hint="eastAsia" w:hAnsi="宋体" w:cs="宋体"/>
                <w:color w:val="auto"/>
                <w:sz w:val="21"/>
                <w:szCs w:val="21"/>
                <w:highlight w:val="none"/>
              </w:rPr>
              <w:t>，若经鉴定确有质量问题，由此而发生的一切费用由中标人自负</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检验机构由建设单位委托</w:t>
            </w:r>
            <w:r>
              <w:rPr>
                <w:rFonts w:hint="eastAsia" w:hAnsi="宋体" w:eastAsia="宋体" w:cs="宋体"/>
                <w:color w:val="auto"/>
                <w:sz w:val="21"/>
                <w:szCs w:val="21"/>
                <w:highlight w:val="none"/>
                <w:lang w:eastAsia="zh-CN"/>
              </w:rPr>
              <w:t>）</w:t>
            </w:r>
            <w:r>
              <w:rPr>
                <w:rFonts w:hint="eastAsia" w:hAnsi="宋体" w:cs="宋体"/>
                <w:color w:val="auto"/>
                <w:sz w:val="21"/>
                <w:szCs w:val="21"/>
                <w:highlight w:val="none"/>
              </w:rPr>
              <w:t>。</w:t>
            </w:r>
          </w:p>
          <w:p w14:paraId="1CE58532">
            <w:pPr>
              <w:pageBreakBefore w:val="0"/>
              <w:shd w:val="clear" w:color="auto" w:fill="auto"/>
              <w:kinsoku/>
              <w:overflowPunct/>
              <w:topLinePunct w:val="0"/>
              <w:bidi w:val="0"/>
              <w:snapToGrid w:val="0"/>
              <w:spacing w:line="360" w:lineRule="auto"/>
              <w:rPr>
                <w:rFonts w:hint="eastAsia" w:hAnsi="宋体" w:cs="宋体"/>
                <w:color w:val="auto"/>
                <w:sz w:val="21"/>
                <w:szCs w:val="21"/>
                <w:highlight w:val="none"/>
              </w:rPr>
            </w:pPr>
            <w:r>
              <w:rPr>
                <w:rFonts w:hint="eastAsia" w:hAnsi="宋体" w:cs="宋体"/>
                <w:color w:val="auto"/>
                <w:sz w:val="21"/>
                <w:szCs w:val="21"/>
                <w:highlight w:val="none"/>
              </w:rPr>
              <w:t>2.因中标人自行采购的材料质量引起的工程质量问题由中标人承担所造成的一切损失。</w:t>
            </w:r>
          </w:p>
          <w:p w14:paraId="661049CB">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3.中标人自行采购材料在质量、规格型号、样式等方面不符合发包人或设计</w:t>
            </w:r>
            <w:r>
              <w:rPr>
                <w:rFonts w:hint="eastAsia" w:ascii="宋体" w:hAnsi="宋体" w:cs="宋体"/>
                <w:color w:val="auto"/>
                <w:sz w:val="21"/>
                <w:szCs w:val="21"/>
                <w:highlight w:val="none"/>
                <w:lang w:eastAsia="zh-CN"/>
              </w:rPr>
              <w:t>施工图纸</w:t>
            </w:r>
            <w:r>
              <w:rPr>
                <w:rFonts w:hint="eastAsia" w:ascii="宋体" w:hAnsi="宋体" w:cs="宋体"/>
                <w:color w:val="auto"/>
                <w:sz w:val="21"/>
                <w:szCs w:val="21"/>
                <w:highlight w:val="none"/>
              </w:rPr>
              <w:t>要求，承包人须重新无条件置换，否则发包人有权改为甲供或不支付此项工程款。</w:t>
            </w:r>
          </w:p>
          <w:p w14:paraId="02618610">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4.主要材料由中标人自行采购</w:t>
            </w:r>
          </w:p>
          <w:p w14:paraId="58C86BE9">
            <w:pPr>
              <w:pageBreakBefore w:val="0"/>
              <w:shd w:val="clear" w:color="auto" w:fill="auto"/>
              <w:kinsoku/>
              <w:overflowPunct/>
              <w:topLinePunct w:val="0"/>
              <w:bidi w:val="0"/>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招标人对主要材料、设备的技术性能指标有特殊要求，对于招标人推荐品牌的材料、设备，投标人可选用推荐品牌或不低于推荐品牌技术性能指标的其他品牌。</w:t>
            </w:r>
          </w:p>
          <w:p w14:paraId="250E160D">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☑本工程采用商品砼、商品沥青混凝土。</w:t>
            </w:r>
          </w:p>
          <w:p w14:paraId="7E9C74E2">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☑本项目采用预拌砂浆。</w:t>
            </w:r>
          </w:p>
          <w:p w14:paraId="0686EB86">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☑本项目采用商品水稳、厂拌级配碎石。</w:t>
            </w:r>
          </w:p>
          <w:p w14:paraId="24E488BE">
            <w:pPr>
              <w:pageBreakBefore w:val="0"/>
              <w:shd w:val="clear" w:color="auto" w:fill="auto"/>
              <w:kinsoku/>
              <w:overflowPunct/>
              <w:topLinePunct w:val="0"/>
              <w:bidi w:val="0"/>
              <w:snapToGrid w:val="0"/>
              <w:spacing w:line="360" w:lineRule="auto"/>
              <w:rPr>
                <w:rFonts w:hint="eastAsia"/>
                <w:color w:val="auto"/>
                <w:highlight w:val="none"/>
                <w:lang w:val="en-US" w:eastAsia="zh-CN"/>
              </w:rPr>
            </w:pPr>
            <w:r>
              <w:rPr>
                <w:rFonts w:hint="eastAsia" w:ascii="宋体" w:hAnsi="宋体" w:cs="宋体"/>
                <w:color w:val="auto"/>
                <w:sz w:val="21"/>
                <w:szCs w:val="21"/>
                <w:highlight w:val="none"/>
                <w:lang w:val="en-US" w:eastAsia="zh-CN"/>
              </w:rPr>
              <w:t>☑本工程强电电缆、电线、变压器须采用铜芯材质。</w:t>
            </w:r>
          </w:p>
          <w:p w14:paraId="10D7E497">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本工程所用主要材料（设备）推荐品牌如下（排名不分先后）：</w:t>
            </w:r>
          </w:p>
          <w:p w14:paraId="0F4CADCE">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1）强电电缆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电线推荐品牌：</w:t>
            </w:r>
            <w:r>
              <w:rPr>
                <w:rFonts w:hint="eastAsia" w:ascii="宋体" w:hAnsi="宋体" w:cs="宋体"/>
                <w:color w:val="auto"/>
                <w:sz w:val="21"/>
                <w:szCs w:val="21"/>
                <w:highlight w:val="none"/>
                <w:lang w:eastAsia="zh-CN"/>
              </w:rPr>
              <w:t>铜泉、长江（铜陵长江铜业有限公司）、铜冠电工（铜陵有色股份铜冠电工有限公司）</w:t>
            </w:r>
            <w:r>
              <w:rPr>
                <w:rFonts w:hint="eastAsia" w:ascii="宋体" w:hAnsi="宋体" w:cs="宋体"/>
                <w:color w:val="auto"/>
                <w:sz w:val="21"/>
                <w:szCs w:val="21"/>
                <w:highlight w:val="none"/>
              </w:rPr>
              <w:t>；</w:t>
            </w:r>
          </w:p>
          <w:p w14:paraId="71A45AE2">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）开关插座推荐品牌：</w:t>
            </w:r>
            <w:r>
              <w:rPr>
                <w:rFonts w:hint="eastAsia" w:ascii="宋体" w:hAnsi="宋体" w:cs="宋体"/>
                <w:color w:val="auto"/>
                <w:sz w:val="21"/>
                <w:szCs w:val="21"/>
                <w:highlight w:val="none"/>
                <w:lang w:eastAsia="zh-CN"/>
              </w:rPr>
              <w:t>鸿雁、三雄极光、欧普、雷士</w:t>
            </w:r>
            <w:r>
              <w:rPr>
                <w:rFonts w:hint="eastAsia" w:ascii="宋体" w:hAnsi="宋体" w:cs="宋体"/>
                <w:color w:val="auto"/>
                <w:sz w:val="21"/>
                <w:szCs w:val="21"/>
                <w:highlight w:val="none"/>
              </w:rPr>
              <w:t>；</w:t>
            </w:r>
          </w:p>
          <w:p w14:paraId="6D2D7461">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）低压成套设备推荐品牌：</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w:t>
            </w:r>
          </w:p>
          <w:p w14:paraId="480F9B1E">
            <w:pPr>
              <w:pageBreakBefore w:val="0"/>
              <w:shd w:val="clear" w:color="auto" w:fill="auto"/>
              <w:kinsoku/>
              <w:overflowPunct/>
              <w:topLinePunct w:val="0"/>
              <w:bidi w:val="0"/>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高</w:t>
            </w:r>
            <w:r>
              <w:rPr>
                <w:rFonts w:hint="eastAsia" w:ascii="宋体" w:hAnsi="宋体" w:cs="宋体"/>
                <w:color w:val="auto"/>
                <w:sz w:val="21"/>
                <w:szCs w:val="21"/>
                <w:highlight w:val="none"/>
              </w:rPr>
              <w:t>压成套设备推荐品牌：</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w:t>
            </w:r>
          </w:p>
          <w:p w14:paraId="697D5A10">
            <w:pPr>
              <w:pageBreakBefore w:val="0"/>
              <w:shd w:val="clear" w:color="auto" w:fill="auto"/>
              <w:kinsoku/>
              <w:overflowPunct/>
              <w:topLinePunct w:val="0"/>
              <w:bidi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5) </w:t>
            </w:r>
            <w:r>
              <w:rPr>
                <w:rFonts w:hint="eastAsia" w:ascii="宋体" w:hAnsi="宋体" w:cs="宋体"/>
                <w:color w:val="auto"/>
                <w:sz w:val="21"/>
                <w:szCs w:val="21"/>
                <w:highlight w:val="none"/>
              </w:rPr>
              <w:t>断路器：正泰、华通、德力西； 接触器及辅助元件：施耐德、西门子、</w:t>
            </w:r>
            <w:r>
              <w:rPr>
                <w:rFonts w:hint="default" w:ascii="宋体" w:hAnsi="宋体" w:cs="宋体"/>
                <w:color w:val="auto"/>
                <w:sz w:val="21"/>
                <w:szCs w:val="21"/>
                <w:highlight w:val="none"/>
              </w:rPr>
              <w:t>ABB</w:t>
            </w:r>
          </w:p>
        </w:tc>
      </w:tr>
      <w:tr w14:paraId="7B35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137E7E29">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1959" w:type="dxa"/>
            <w:tcBorders>
              <w:top w:val="single" w:color="auto" w:sz="4" w:space="0"/>
              <w:left w:val="single" w:color="auto" w:sz="4" w:space="0"/>
              <w:bottom w:val="single" w:color="auto" w:sz="4" w:space="0"/>
              <w:right w:val="single" w:color="auto" w:sz="4" w:space="0"/>
            </w:tcBorders>
            <w:vAlign w:val="center"/>
          </w:tcPr>
          <w:p w14:paraId="5548F65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现场条件</w:t>
            </w:r>
          </w:p>
        </w:tc>
        <w:tc>
          <w:tcPr>
            <w:tcW w:w="7488" w:type="dxa"/>
            <w:tcBorders>
              <w:top w:val="single" w:color="auto" w:sz="4" w:space="0"/>
              <w:left w:val="single" w:color="auto" w:sz="4" w:space="0"/>
              <w:bottom w:val="single" w:color="auto" w:sz="4" w:space="0"/>
              <w:right w:val="single" w:color="auto" w:sz="4" w:space="0"/>
            </w:tcBorders>
            <w:vAlign w:val="center"/>
          </w:tcPr>
          <w:p w14:paraId="3BAEEFD0">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具备开工条件</w:t>
            </w:r>
          </w:p>
        </w:tc>
      </w:tr>
      <w:tr w14:paraId="10490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6E542E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1959" w:type="dxa"/>
            <w:tcBorders>
              <w:top w:val="single" w:color="auto" w:sz="4" w:space="0"/>
              <w:left w:val="single" w:color="auto" w:sz="4" w:space="0"/>
              <w:bottom w:val="single" w:color="auto" w:sz="4" w:space="0"/>
              <w:right w:val="single" w:color="auto" w:sz="4" w:space="0"/>
            </w:tcBorders>
            <w:vAlign w:val="center"/>
          </w:tcPr>
          <w:p w14:paraId="0F039D95">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开标注意事项</w:t>
            </w:r>
          </w:p>
        </w:tc>
        <w:tc>
          <w:tcPr>
            <w:tcW w:w="7488" w:type="dxa"/>
            <w:tcBorders>
              <w:top w:val="single" w:color="auto" w:sz="4" w:space="0"/>
              <w:left w:val="single" w:color="auto" w:sz="4" w:space="0"/>
              <w:bottom w:val="single" w:color="auto" w:sz="4" w:space="0"/>
              <w:right w:val="single" w:color="auto" w:sz="4" w:space="0"/>
            </w:tcBorders>
            <w:vAlign w:val="center"/>
          </w:tcPr>
          <w:p w14:paraId="7EE1245E">
            <w:pPr>
              <w:spacing w:line="380" w:lineRule="exact"/>
              <w:rPr>
                <w:rFonts w:ascii="宋体" w:hAnsi="宋体" w:cs="宋体"/>
                <w:color w:val="auto"/>
                <w:szCs w:val="21"/>
                <w:highlight w:val="none"/>
                <w:u w:val="single"/>
              </w:rPr>
            </w:pPr>
            <w:r>
              <w:rPr>
                <w:rFonts w:hint="eastAsia" w:ascii="宋体" w:hAnsi="宋体" w:cs="宋体"/>
                <w:b/>
                <w:color w:val="auto"/>
                <w:szCs w:val="21"/>
                <w:highlight w:val="none"/>
              </w:rPr>
              <w:t>投标人法定代表人或其授权委托代理人须参加开标会议，</w:t>
            </w:r>
            <w:r>
              <w:rPr>
                <w:rFonts w:hint="eastAsia" w:ascii="宋体" w:hAnsi="宋体" w:cs="宋体"/>
                <w:color w:val="auto"/>
                <w:szCs w:val="21"/>
                <w:highlight w:val="none"/>
              </w:rPr>
              <w:t>详见投标须知中开标部分及评标办法。</w:t>
            </w:r>
          </w:p>
        </w:tc>
      </w:tr>
      <w:tr w14:paraId="29D7C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1DC060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1959" w:type="dxa"/>
            <w:tcBorders>
              <w:top w:val="single" w:color="auto" w:sz="4" w:space="0"/>
              <w:left w:val="single" w:color="auto" w:sz="4" w:space="0"/>
              <w:bottom w:val="single" w:color="auto" w:sz="4" w:space="0"/>
              <w:right w:val="single" w:color="auto" w:sz="4" w:space="0"/>
            </w:tcBorders>
            <w:vAlign w:val="center"/>
          </w:tcPr>
          <w:p w14:paraId="1F76A366">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否决投标条款</w:t>
            </w:r>
          </w:p>
        </w:tc>
        <w:tc>
          <w:tcPr>
            <w:tcW w:w="7488" w:type="dxa"/>
            <w:tcBorders>
              <w:top w:val="single" w:color="auto" w:sz="4" w:space="0"/>
              <w:left w:val="single" w:color="auto" w:sz="4" w:space="0"/>
              <w:bottom w:val="single" w:color="auto" w:sz="4" w:space="0"/>
              <w:right w:val="single" w:color="auto" w:sz="4" w:space="0"/>
            </w:tcBorders>
            <w:vAlign w:val="center"/>
          </w:tcPr>
          <w:p w14:paraId="1F0A04E8">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见评标、定标重大偏差部分及评标办法。</w:t>
            </w:r>
          </w:p>
        </w:tc>
      </w:tr>
      <w:tr w14:paraId="3F250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592D30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26</w:t>
            </w:r>
          </w:p>
        </w:tc>
        <w:tc>
          <w:tcPr>
            <w:tcW w:w="1959" w:type="dxa"/>
            <w:tcBorders>
              <w:top w:val="single" w:color="auto" w:sz="4" w:space="0"/>
              <w:left w:val="single" w:color="auto" w:sz="4" w:space="0"/>
              <w:bottom w:val="single" w:color="auto" w:sz="4" w:space="0"/>
              <w:right w:val="single" w:color="auto" w:sz="4" w:space="0"/>
            </w:tcBorders>
            <w:vAlign w:val="center"/>
          </w:tcPr>
          <w:p w14:paraId="1DF26C77">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对招标文件提出异议的最迟时间</w:t>
            </w:r>
          </w:p>
        </w:tc>
        <w:tc>
          <w:tcPr>
            <w:tcW w:w="7488" w:type="dxa"/>
            <w:tcBorders>
              <w:top w:val="single" w:color="auto" w:sz="4" w:space="0"/>
              <w:left w:val="single" w:color="auto" w:sz="4" w:space="0"/>
              <w:bottom w:val="single" w:color="auto" w:sz="4" w:space="0"/>
              <w:right w:val="single" w:color="auto" w:sz="4" w:space="0"/>
            </w:tcBorders>
            <w:vAlign w:val="center"/>
          </w:tcPr>
          <w:p w14:paraId="14E99269">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投标截止3日前</w:t>
            </w:r>
          </w:p>
        </w:tc>
      </w:tr>
      <w:tr w14:paraId="50F24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E3DFFD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27</w:t>
            </w:r>
          </w:p>
        </w:tc>
        <w:tc>
          <w:tcPr>
            <w:tcW w:w="1959" w:type="dxa"/>
            <w:tcBorders>
              <w:top w:val="single" w:color="auto" w:sz="4" w:space="0"/>
              <w:left w:val="single" w:color="auto" w:sz="4" w:space="0"/>
              <w:bottom w:val="single" w:color="auto" w:sz="4" w:space="0"/>
              <w:right w:val="single" w:color="auto" w:sz="4" w:space="0"/>
            </w:tcBorders>
            <w:vAlign w:val="center"/>
          </w:tcPr>
          <w:p w14:paraId="7883854D">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对招标文件提出异议的方法</w:t>
            </w:r>
          </w:p>
        </w:tc>
        <w:tc>
          <w:tcPr>
            <w:tcW w:w="7488" w:type="dxa"/>
            <w:tcBorders>
              <w:top w:val="single" w:color="auto" w:sz="4" w:space="0"/>
              <w:left w:val="single" w:color="auto" w:sz="4" w:space="0"/>
              <w:bottom w:val="single" w:color="auto" w:sz="4" w:space="0"/>
              <w:right w:val="single" w:color="auto" w:sz="4" w:space="0"/>
            </w:tcBorders>
            <w:vAlign w:val="center"/>
          </w:tcPr>
          <w:p w14:paraId="0445DC9C">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见投标须知</w:t>
            </w:r>
          </w:p>
        </w:tc>
      </w:tr>
      <w:tr w14:paraId="4733C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DC118D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1959" w:type="dxa"/>
            <w:tcBorders>
              <w:top w:val="single" w:color="auto" w:sz="4" w:space="0"/>
              <w:left w:val="single" w:color="auto" w:sz="4" w:space="0"/>
              <w:bottom w:val="single" w:color="auto" w:sz="4" w:space="0"/>
              <w:right w:val="single" w:color="auto" w:sz="4" w:space="0"/>
            </w:tcBorders>
            <w:vAlign w:val="center"/>
          </w:tcPr>
          <w:p w14:paraId="65042B57">
            <w:pPr>
              <w:pStyle w:val="23"/>
              <w:spacing w:line="38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招标文件最迟</w:t>
            </w:r>
          </w:p>
          <w:p w14:paraId="58909801">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澄清时间</w:t>
            </w:r>
          </w:p>
        </w:tc>
        <w:tc>
          <w:tcPr>
            <w:tcW w:w="7488" w:type="dxa"/>
            <w:tcBorders>
              <w:top w:val="single" w:color="auto" w:sz="4" w:space="0"/>
              <w:left w:val="single" w:color="auto" w:sz="4" w:space="0"/>
              <w:bottom w:val="single" w:color="auto" w:sz="4" w:space="0"/>
              <w:right w:val="single" w:color="auto" w:sz="4" w:space="0"/>
            </w:tcBorders>
            <w:vAlign w:val="center"/>
          </w:tcPr>
          <w:p w14:paraId="3A8BC1BE">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投标截止前3天，请投标人自行查看铜陵公共资源交易网（非进场交易）。</w:t>
            </w:r>
          </w:p>
        </w:tc>
      </w:tr>
      <w:tr w14:paraId="49A5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67B3A0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29</w:t>
            </w:r>
          </w:p>
        </w:tc>
        <w:tc>
          <w:tcPr>
            <w:tcW w:w="1959" w:type="dxa"/>
            <w:tcBorders>
              <w:top w:val="single" w:color="auto" w:sz="4" w:space="0"/>
              <w:left w:val="single" w:color="auto" w:sz="4" w:space="0"/>
              <w:bottom w:val="single" w:color="auto" w:sz="4" w:space="0"/>
              <w:right w:val="single" w:color="auto" w:sz="4" w:space="0"/>
            </w:tcBorders>
            <w:vAlign w:val="center"/>
          </w:tcPr>
          <w:p w14:paraId="27FE9FD7">
            <w:pPr>
              <w:pStyle w:val="23"/>
              <w:spacing w:line="380" w:lineRule="exact"/>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招标代理服务费</w:t>
            </w:r>
          </w:p>
        </w:tc>
        <w:tc>
          <w:tcPr>
            <w:tcW w:w="7488" w:type="dxa"/>
            <w:tcBorders>
              <w:top w:val="single" w:color="auto" w:sz="4" w:space="0"/>
              <w:left w:val="single" w:color="auto" w:sz="4" w:space="0"/>
              <w:bottom w:val="single" w:color="auto" w:sz="4" w:space="0"/>
              <w:right w:val="single" w:color="auto" w:sz="4" w:space="0"/>
            </w:tcBorders>
            <w:vAlign w:val="center"/>
          </w:tcPr>
          <w:p w14:paraId="4559DD1C">
            <w:pPr>
              <w:snapToGrid w:val="0"/>
              <w:spacing w:line="360" w:lineRule="exact"/>
              <w:ind w:right="105" w:rightChars="50"/>
              <w:rPr>
                <w:rFonts w:ascii="宋体" w:hAnsi="宋体" w:cs="宋体"/>
                <w:color w:val="auto"/>
                <w:sz w:val="24"/>
                <w:highlight w:val="none"/>
                <w:lang w:val="zh-CN"/>
              </w:rPr>
            </w:pPr>
            <w:r>
              <w:rPr>
                <w:rFonts w:hint="eastAsia" w:ascii="宋体" w:hAnsi="宋体" w:eastAsia="宋体" w:cs="宋体"/>
                <w:color w:val="auto"/>
                <w:szCs w:val="21"/>
                <w:highlight w:val="none"/>
              </w:rPr>
              <w:t>招标代理服务费：</w:t>
            </w:r>
            <w:r>
              <w:rPr>
                <w:rFonts w:hint="eastAsia" w:ascii="宋体" w:hAnsi="宋体" w:eastAsia="宋体" w:cs="宋体"/>
                <w:color w:val="auto"/>
                <w:szCs w:val="21"/>
                <w:highlight w:val="none"/>
                <w:lang w:val="en-US" w:eastAsia="zh-CN"/>
              </w:rPr>
              <w:t>12000</w:t>
            </w:r>
            <w:r>
              <w:rPr>
                <w:rFonts w:hint="eastAsia" w:ascii="宋体" w:hAnsi="宋体" w:eastAsia="宋体" w:cs="宋体"/>
                <w:color w:val="auto"/>
                <w:szCs w:val="21"/>
                <w:highlight w:val="none"/>
              </w:rPr>
              <w:t>元。投标人投标报价时综合考虑以上费用成本并包含在投标总价中，中标人向招标代理单位一次性支付。</w:t>
            </w:r>
          </w:p>
        </w:tc>
      </w:tr>
      <w:tr w14:paraId="50ABD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1596A9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30</w:t>
            </w:r>
          </w:p>
        </w:tc>
        <w:tc>
          <w:tcPr>
            <w:tcW w:w="1959" w:type="dxa"/>
            <w:tcBorders>
              <w:top w:val="single" w:color="auto" w:sz="4" w:space="0"/>
              <w:left w:val="single" w:color="auto" w:sz="4" w:space="0"/>
              <w:bottom w:val="single" w:color="auto" w:sz="4" w:space="0"/>
              <w:right w:val="single" w:color="auto" w:sz="4" w:space="0"/>
            </w:tcBorders>
            <w:vAlign w:val="center"/>
          </w:tcPr>
          <w:p w14:paraId="32AA1B1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人员到岗</w:t>
            </w:r>
          </w:p>
          <w:p w14:paraId="29829A7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及履约要求</w:t>
            </w:r>
          </w:p>
        </w:tc>
        <w:tc>
          <w:tcPr>
            <w:tcW w:w="7488" w:type="dxa"/>
            <w:tcBorders>
              <w:top w:val="single" w:color="auto" w:sz="4" w:space="0"/>
              <w:left w:val="single" w:color="auto" w:sz="4" w:space="0"/>
              <w:bottom w:val="single" w:color="auto" w:sz="4" w:space="0"/>
              <w:right w:val="single" w:color="auto" w:sz="4" w:space="0"/>
            </w:tcBorders>
            <w:vAlign w:val="center"/>
          </w:tcPr>
          <w:p w14:paraId="00394F5A">
            <w:pPr>
              <w:spacing w:line="380" w:lineRule="exact"/>
              <w:rPr>
                <w:rFonts w:ascii="宋体" w:hAnsi="宋体" w:cs="宋体"/>
                <w:color w:val="auto"/>
                <w:szCs w:val="21"/>
                <w:highlight w:val="none"/>
              </w:rPr>
            </w:pPr>
            <w:r>
              <w:rPr>
                <w:rFonts w:hint="eastAsia" w:ascii="宋体" w:hAnsi="宋体" w:cs="宋体"/>
                <w:color w:val="auto"/>
                <w:szCs w:val="21"/>
                <w:highlight w:val="none"/>
              </w:rPr>
              <w:t>投标人一旦中标，拟派的建造师必须按照合同专用条款的要求执行，否则招标人有权终止合同。由此造成的损失，中标人自行承担，并赔偿由此给招标人带来的损失。</w:t>
            </w:r>
          </w:p>
          <w:p w14:paraId="1661D12C">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中标人不得擅自更换建造师及项目部主要管理人员，确需更换时，须报经招标人同意。中标人未能按照承诺到岗尽职的，招标人将视情况严重程度对其作出相应处理，给予警告并发出整改通知。如仍未及时整改，招标人有权责令其停工整改、直至终止合同。</w:t>
            </w:r>
          </w:p>
        </w:tc>
      </w:tr>
      <w:tr w14:paraId="78D9C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CDD449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1959" w:type="dxa"/>
            <w:tcBorders>
              <w:top w:val="single" w:color="auto" w:sz="4" w:space="0"/>
              <w:left w:val="single" w:color="auto" w:sz="4" w:space="0"/>
              <w:bottom w:val="single" w:color="auto" w:sz="4" w:space="0"/>
              <w:right w:val="single" w:color="auto" w:sz="4" w:space="0"/>
            </w:tcBorders>
            <w:vAlign w:val="center"/>
          </w:tcPr>
          <w:p w14:paraId="47FF699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材料要求</w:t>
            </w:r>
          </w:p>
        </w:tc>
        <w:tc>
          <w:tcPr>
            <w:tcW w:w="7488" w:type="dxa"/>
            <w:tcBorders>
              <w:top w:val="single" w:color="auto" w:sz="4" w:space="0"/>
              <w:left w:val="single" w:color="auto" w:sz="4" w:space="0"/>
              <w:bottom w:val="single" w:color="auto" w:sz="4" w:space="0"/>
              <w:right w:val="single" w:color="auto" w:sz="4" w:space="0"/>
            </w:tcBorders>
            <w:vAlign w:val="center"/>
          </w:tcPr>
          <w:p w14:paraId="4A604EF3">
            <w:pPr>
              <w:spacing w:line="380" w:lineRule="exact"/>
              <w:rPr>
                <w:rFonts w:ascii="宋体" w:hAnsi="宋体" w:cs="宋体"/>
                <w:color w:val="auto"/>
                <w:szCs w:val="21"/>
                <w:highlight w:val="none"/>
              </w:rPr>
            </w:pPr>
            <w:r>
              <w:rPr>
                <w:rFonts w:hint="eastAsia" w:ascii="宋体" w:hAnsi="宋体" w:cs="宋体"/>
                <w:color w:val="auto"/>
                <w:szCs w:val="21"/>
                <w:highlight w:val="none"/>
              </w:rPr>
              <w:t>1.中标人自行采购的材料应满足设计和规范要求的质量等级，并须按有关技术规范要求对材料质量进行检验。中标人选定的材料供应厂家和价格须经招标人和监理单位认可。如招标人和监理单位对材料的质量有异议，有权提出权威检验部门鉴定的要求，若经鉴定确有质量问题，由此而发生的一切费用由中标人自负。</w:t>
            </w:r>
          </w:p>
          <w:p w14:paraId="760CDE1A">
            <w:pPr>
              <w:spacing w:line="380" w:lineRule="exact"/>
              <w:rPr>
                <w:rFonts w:ascii="宋体" w:hAnsi="宋体" w:cs="宋体"/>
                <w:color w:val="auto"/>
                <w:szCs w:val="21"/>
                <w:highlight w:val="none"/>
              </w:rPr>
            </w:pPr>
            <w:r>
              <w:rPr>
                <w:rFonts w:hint="eastAsia" w:ascii="宋体" w:hAnsi="宋体" w:cs="宋体"/>
                <w:color w:val="auto"/>
                <w:szCs w:val="21"/>
                <w:highlight w:val="none"/>
              </w:rPr>
              <w:t>2.因中标人自行采购的材料质量引起的工程质量问题由中标人承担所造成的一切损失。</w:t>
            </w:r>
          </w:p>
        </w:tc>
      </w:tr>
      <w:tr w14:paraId="2EF39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4C295D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32</w:t>
            </w:r>
          </w:p>
        </w:tc>
        <w:tc>
          <w:tcPr>
            <w:tcW w:w="1959" w:type="dxa"/>
            <w:tcBorders>
              <w:top w:val="single" w:color="auto" w:sz="4" w:space="0"/>
              <w:left w:val="single" w:color="auto" w:sz="4" w:space="0"/>
              <w:bottom w:val="single" w:color="auto" w:sz="4" w:space="0"/>
              <w:right w:val="single" w:color="auto" w:sz="4" w:space="0"/>
            </w:tcBorders>
            <w:vAlign w:val="center"/>
          </w:tcPr>
          <w:p w14:paraId="7752549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施工重点难点</w:t>
            </w:r>
          </w:p>
        </w:tc>
        <w:tc>
          <w:tcPr>
            <w:tcW w:w="7488" w:type="dxa"/>
            <w:tcBorders>
              <w:top w:val="single" w:color="auto" w:sz="4" w:space="0"/>
              <w:left w:val="single" w:color="auto" w:sz="4" w:space="0"/>
              <w:bottom w:val="single" w:color="auto" w:sz="4" w:space="0"/>
              <w:right w:val="single" w:color="auto" w:sz="4" w:space="0"/>
            </w:tcBorders>
            <w:vAlign w:val="center"/>
          </w:tcPr>
          <w:p w14:paraId="0CA4E3C0">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w:t>
            </w:r>
          </w:p>
        </w:tc>
      </w:tr>
      <w:tr w14:paraId="61283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337715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1959" w:type="dxa"/>
            <w:tcBorders>
              <w:top w:val="single" w:color="auto" w:sz="4" w:space="0"/>
              <w:left w:val="single" w:color="auto" w:sz="4" w:space="0"/>
              <w:bottom w:val="single" w:color="auto" w:sz="4" w:space="0"/>
              <w:right w:val="single" w:color="auto" w:sz="4" w:space="0"/>
            </w:tcBorders>
            <w:vAlign w:val="center"/>
          </w:tcPr>
          <w:p w14:paraId="2ACE00C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领取中标通知书及合同签订要求</w:t>
            </w:r>
          </w:p>
        </w:tc>
        <w:tc>
          <w:tcPr>
            <w:tcW w:w="7488" w:type="dxa"/>
            <w:tcBorders>
              <w:top w:val="single" w:color="auto" w:sz="4" w:space="0"/>
              <w:left w:val="single" w:color="auto" w:sz="4" w:space="0"/>
              <w:bottom w:val="single" w:color="auto" w:sz="4" w:space="0"/>
              <w:right w:val="single" w:color="auto" w:sz="4" w:space="0"/>
            </w:tcBorders>
            <w:vAlign w:val="center"/>
          </w:tcPr>
          <w:p w14:paraId="0BBC172E">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1.中标人应在中标公示发布后的 7 天内领取《中标通知书》，逾期不领取视为放弃中标资格，招标人有权取消中标人中标资格，并将相关情况报送监管部门，由监管部门按规定处理。</w:t>
            </w:r>
          </w:p>
          <w:p w14:paraId="28223CF7">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2.中标人应在领取《中标通知书》后的30天内提交履约担保并与招标人签订合同，逾期未提交履约担保或签订合同的，招标人有权拒签合同、取消中标人中标资格，并将相关违约行为报送监管部门，由监管部门按规定处理。</w:t>
            </w:r>
          </w:p>
          <w:p w14:paraId="3C8A3A86">
            <w:pPr>
              <w:tabs>
                <w:tab w:val="left" w:pos="312"/>
              </w:tabs>
              <w:spacing w:line="380" w:lineRule="exact"/>
              <w:rPr>
                <w:rFonts w:ascii="宋体" w:hAnsi="宋体" w:cs="宋体"/>
                <w:color w:val="auto"/>
                <w:szCs w:val="21"/>
                <w:highlight w:val="none"/>
                <w:u w:val="single"/>
              </w:rPr>
            </w:pPr>
            <w:r>
              <w:rPr>
                <w:rFonts w:hint="eastAsia" w:ascii="宋体" w:hAnsi="宋体" w:cs="宋体"/>
                <w:color w:val="auto"/>
                <w:szCs w:val="21"/>
                <w:highlight w:val="none"/>
              </w:rPr>
              <w:t>3.中标人拟派项目经理如在其他项目上担任项目经理岗位，未能按照承诺在合同签订前从其他项目变更至本项目的，招标人有权拒签合同、取消中标人中标资格，并将相关情况报送监管部门，由监管部门按规定处理。</w:t>
            </w:r>
          </w:p>
        </w:tc>
      </w:tr>
      <w:tr w14:paraId="4E2E3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84A571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1959" w:type="dxa"/>
            <w:tcBorders>
              <w:top w:val="single" w:color="auto" w:sz="4" w:space="0"/>
              <w:left w:val="single" w:color="auto" w:sz="4" w:space="0"/>
              <w:bottom w:val="single" w:color="auto" w:sz="4" w:space="0"/>
              <w:right w:val="single" w:color="auto" w:sz="4" w:space="0"/>
            </w:tcBorders>
            <w:vAlign w:val="center"/>
          </w:tcPr>
          <w:p w14:paraId="1FE48407">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重要提示</w:t>
            </w:r>
          </w:p>
        </w:tc>
        <w:tc>
          <w:tcPr>
            <w:tcW w:w="7488" w:type="dxa"/>
            <w:tcBorders>
              <w:top w:val="single" w:color="auto" w:sz="4" w:space="0"/>
              <w:left w:val="single" w:color="auto" w:sz="4" w:space="0"/>
              <w:bottom w:val="single" w:color="auto" w:sz="4" w:space="0"/>
              <w:right w:val="single" w:color="auto" w:sz="4" w:space="0"/>
            </w:tcBorders>
          </w:tcPr>
          <w:p w14:paraId="2989EFF3">
            <w:pPr>
              <w:tabs>
                <w:tab w:val="left" w:pos="312"/>
              </w:tabs>
              <w:spacing w:line="380" w:lineRule="exact"/>
              <w:rPr>
                <w:rFonts w:ascii="宋体" w:hAnsi="宋体" w:cs="宋体"/>
                <w:color w:val="auto"/>
                <w:szCs w:val="21"/>
                <w:highlight w:val="none"/>
                <w:u w:val="single"/>
              </w:rPr>
            </w:pPr>
            <w:r>
              <w:rPr>
                <w:rFonts w:hint="eastAsia" w:ascii="宋体" w:hAnsi="宋体" w:cs="宋体"/>
                <w:color w:val="auto"/>
                <w:szCs w:val="21"/>
                <w:highlight w:val="none"/>
              </w:rPr>
              <w:t>如有多个评审环节需要提供相同的资料，投标人应在最靠前的评审环节提供，并在后续的评审环节中注明见投标文件的某个部分，以方便评委评审。</w:t>
            </w:r>
          </w:p>
        </w:tc>
      </w:tr>
      <w:tr w14:paraId="1C3EB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09D50D25">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1959" w:type="dxa"/>
            <w:tcBorders>
              <w:top w:val="single" w:color="auto" w:sz="4" w:space="0"/>
              <w:left w:val="single" w:color="auto" w:sz="4" w:space="0"/>
              <w:bottom w:val="single" w:color="auto" w:sz="4" w:space="0"/>
              <w:right w:val="single" w:color="auto" w:sz="4" w:space="0"/>
            </w:tcBorders>
            <w:vAlign w:val="center"/>
          </w:tcPr>
          <w:p w14:paraId="52312040">
            <w:pPr>
              <w:spacing w:line="380" w:lineRule="exact"/>
              <w:jc w:val="center"/>
              <w:rPr>
                <w:rFonts w:ascii="宋体" w:hAnsi="宋体" w:cs="宋体"/>
                <w:color w:val="auto"/>
                <w:szCs w:val="21"/>
                <w:highlight w:val="none"/>
              </w:rPr>
            </w:pPr>
            <w:r>
              <w:rPr>
                <w:rFonts w:hint="eastAsia" w:ascii="宋体" w:hAnsi="宋体" w:cs="宋体"/>
                <w:bCs/>
                <w:color w:val="auto"/>
                <w:szCs w:val="21"/>
                <w:highlight w:val="none"/>
              </w:rPr>
              <w:t>招标文件的解释权顺序</w:t>
            </w:r>
          </w:p>
        </w:tc>
        <w:tc>
          <w:tcPr>
            <w:tcW w:w="7488" w:type="dxa"/>
            <w:tcBorders>
              <w:top w:val="single" w:color="auto" w:sz="4" w:space="0"/>
              <w:left w:val="single" w:color="auto" w:sz="4" w:space="0"/>
              <w:bottom w:val="single" w:color="auto" w:sz="4" w:space="0"/>
              <w:right w:val="single" w:color="auto" w:sz="4" w:space="0"/>
            </w:tcBorders>
          </w:tcPr>
          <w:p w14:paraId="53490658">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3DB848">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2.招标文件约定中如有不明确或不一致的，工程量以工程量清单为准；构成合同组成内容的，以合同文件约定内容为准；</w:t>
            </w:r>
          </w:p>
          <w:p w14:paraId="4DE01341">
            <w:pPr>
              <w:tabs>
                <w:tab w:val="left" w:pos="312"/>
              </w:tabs>
              <w:spacing w:line="380" w:lineRule="exact"/>
              <w:rPr>
                <w:rFonts w:ascii="宋体" w:hAnsi="宋体" w:cs="宋体"/>
                <w:color w:val="auto"/>
                <w:szCs w:val="21"/>
                <w:highlight w:val="none"/>
              </w:rPr>
            </w:pPr>
            <w:r>
              <w:rPr>
                <w:rFonts w:hint="eastAsia" w:ascii="宋体" w:hAnsi="宋体" w:cs="宋体"/>
                <w:color w:val="auto"/>
                <w:szCs w:val="21"/>
                <w:highlight w:val="none"/>
              </w:rPr>
              <w:t>3.除招标文件中有特别规定外，仅适用于招标投标阶段的规定，同一组成文件中就同一事项的规定或约定不一致的，按评标办法、招标公告、投标人须知、投标文件格式的优先顺序解释；</w:t>
            </w:r>
          </w:p>
          <w:p w14:paraId="43ED6F4F">
            <w:pPr>
              <w:tabs>
                <w:tab w:val="left" w:pos="312"/>
              </w:tabs>
              <w:spacing w:line="380" w:lineRule="exact"/>
              <w:rPr>
                <w:rFonts w:ascii="宋体" w:hAnsi="宋体" w:cs="宋体"/>
                <w:color w:val="auto"/>
                <w:szCs w:val="21"/>
                <w:highlight w:val="none"/>
                <w:u w:val="single"/>
              </w:rPr>
            </w:pPr>
            <w:r>
              <w:rPr>
                <w:rFonts w:hint="eastAsia" w:ascii="宋体" w:hAnsi="宋体" w:cs="宋体"/>
                <w:color w:val="auto"/>
                <w:szCs w:val="21"/>
                <w:highlight w:val="none"/>
              </w:rPr>
              <w:t>4.按上述规定仍不能形成结论的，由招标人或其委托的招标代理机构负责解释。</w:t>
            </w:r>
          </w:p>
        </w:tc>
      </w:tr>
      <w:tr w14:paraId="16CED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1AF7055">
            <w:pPr>
              <w:pStyle w:val="61"/>
              <w:spacing w:before="0" w:after="0" w:line="380" w:lineRule="exact"/>
              <w:jc w:val="center"/>
              <w:rPr>
                <w:rFonts w:hAnsi="宋体" w:cs="宋体"/>
                <w:color w:val="auto"/>
                <w:kern w:val="2"/>
                <w:sz w:val="21"/>
                <w:szCs w:val="21"/>
                <w:highlight w:val="none"/>
              </w:rPr>
            </w:pPr>
            <w:r>
              <w:rPr>
                <w:rFonts w:hint="eastAsia" w:hAnsi="宋体" w:cs="宋体"/>
                <w:color w:val="auto"/>
                <w:kern w:val="2"/>
                <w:sz w:val="21"/>
                <w:szCs w:val="21"/>
                <w:highlight w:val="none"/>
              </w:rPr>
              <w:t>36</w:t>
            </w:r>
          </w:p>
        </w:tc>
        <w:tc>
          <w:tcPr>
            <w:tcW w:w="1959" w:type="dxa"/>
            <w:tcBorders>
              <w:top w:val="single" w:color="auto" w:sz="4" w:space="0"/>
              <w:left w:val="single" w:color="auto" w:sz="4" w:space="0"/>
              <w:bottom w:val="single" w:color="auto" w:sz="4" w:space="0"/>
              <w:right w:val="single" w:color="auto" w:sz="4" w:space="0"/>
            </w:tcBorders>
            <w:vAlign w:val="center"/>
          </w:tcPr>
          <w:p w14:paraId="04A337D3">
            <w:pPr>
              <w:pStyle w:val="23"/>
              <w:spacing w:line="38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投标人不得存在的其他不良状况或不良信用记录</w:t>
            </w:r>
          </w:p>
        </w:tc>
        <w:tc>
          <w:tcPr>
            <w:tcW w:w="7488" w:type="dxa"/>
            <w:tcBorders>
              <w:top w:val="single" w:color="auto" w:sz="4" w:space="0"/>
              <w:left w:val="single" w:color="auto" w:sz="4" w:space="0"/>
              <w:bottom w:val="single" w:color="auto" w:sz="4" w:space="0"/>
              <w:right w:val="single" w:color="auto" w:sz="4" w:space="0"/>
            </w:tcBorders>
            <w:vAlign w:val="center"/>
          </w:tcPr>
          <w:p w14:paraId="46C768E9">
            <w:pPr>
              <w:pStyle w:val="22"/>
              <w:spacing w:line="380" w:lineRule="exact"/>
              <w:rPr>
                <w:rFonts w:hAnsi="宋体" w:cs="宋体"/>
                <w:color w:val="auto"/>
                <w:kern w:val="2"/>
                <w:sz w:val="21"/>
                <w:szCs w:val="21"/>
                <w:highlight w:val="none"/>
              </w:rPr>
            </w:pPr>
            <w:r>
              <w:rPr>
                <w:rFonts w:hint="eastAsia" w:hAnsi="宋体" w:cs="宋体"/>
                <w:color w:val="auto"/>
                <w:kern w:val="2"/>
                <w:sz w:val="21"/>
                <w:szCs w:val="21"/>
                <w:highlight w:val="none"/>
              </w:rPr>
              <w:t>有下列失信行为之一的，不得推荐为中标候选人：</w:t>
            </w:r>
          </w:p>
          <w:p w14:paraId="3B5C86A6">
            <w:pPr>
              <w:pStyle w:val="22"/>
              <w:spacing w:line="380" w:lineRule="exact"/>
              <w:rPr>
                <w:rFonts w:hAnsi="宋体" w:cs="宋体"/>
                <w:color w:val="auto"/>
                <w:kern w:val="2"/>
                <w:sz w:val="21"/>
                <w:szCs w:val="21"/>
                <w:highlight w:val="none"/>
              </w:rPr>
            </w:pPr>
            <w:r>
              <w:rPr>
                <w:rFonts w:hint="eastAsia" w:hAnsi="宋体" w:cs="宋体"/>
                <w:color w:val="auto"/>
                <w:kern w:val="2"/>
                <w:sz w:val="21"/>
                <w:szCs w:val="21"/>
                <w:highlight w:val="none"/>
              </w:rPr>
              <w:t>（1）被铜陵市住建局纳入“黑名单”管理的；</w:t>
            </w:r>
          </w:p>
          <w:p w14:paraId="674CC7FB">
            <w:pPr>
              <w:pStyle w:val="22"/>
              <w:spacing w:line="380" w:lineRule="exact"/>
              <w:rPr>
                <w:rFonts w:hAnsi="宋体" w:cs="宋体"/>
                <w:color w:val="auto"/>
                <w:kern w:val="2"/>
                <w:sz w:val="21"/>
                <w:szCs w:val="21"/>
                <w:highlight w:val="none"/>
              </w:rPr>
            </w:pPr>
            <w:r>
              <w:rPr>
                <w:rFonts w:hint="eastAsia" w:hAnsi="宋体" w:cs="宋体"/>
                <w:color w:val="auto"/>
                <w:kern w:val="2"/>
                <w:sz w:val="21"/>
                <w:szCs w:val="21"/>
                <w:highlight w:val="none"/>
              </w:rPr>
              <w:t>（2）如本项目为重新招标，在之前投标中放弃中标资格的；</w:t>
            </w:r>
          </w:p>
        </w:tc>
      </w:tr>
      <w:tr w14:paraId="53BA6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48F390A">
            <w:pPr>
              <w:adjustRightInd w:val="0"/>
              <w:spacing w:line="360" w:lineRule="auto"/>
              <w:jc w:val="center"/>
              <w:rPr>
                <w:rFonts w:hAnsi="宋体" w:cs="宋体"/>
                <w:color w:val="auto"/>
                <w:szCs w:val="21"/>
                <w:highlight w:val="none"/>
              </w:rPr>
            </w:pPr>
            <w:r>
              <w:rPr>
                <w:rFonts w:hint="eastAsia" w:ascii="宋体" w:hAnsi="宋体"/>
                <w:color w:val="auto"/>
                <w:szCs w:val="21"/>
                <w:highlight w:val="none"/>
              </w:rPr>
              <w:t>37</w:t>
            </w:r>
          </w:p>
        </w:tc>
        <w:tc>
          <w:tcPr>
            <w:tcW w:w="1959" w:type="dxa"/>
            <w:tcBorders>
              <w:top w:val="single" w:color="auto" w:sz="4" w:space="0"/>
              <w:left w:val="single" w:color="auto" w:sz="4" w:space="0"/>
              <w:bottom w:val="single" w:color="auto" w:sz="4" w:space="0"/>
              <w:right w:val="single" w:color="auto" w:sz="4" w:space="0"/>
            </w:tcBorders>
            <w:vAlign w:val="center"/>
          </w:tcPr>
          <w:p w14:paraId="506F7216">
            <w:pPr>
              <w:pStyle w:val="2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工程结算</w:t>
            </w:r>
          </w:p>
        </w:tc>
        <w:tc>
          <w:tcPr>
            <w:tcW w:w="7488" w:type="dxa"/>
            <w:tcBorders>
              <w:top w:val="single" w:color="auto" w:sz="4" w:space="0"/>
              <w:left w:val="single" w:color="auto" w:sz="4" w:space="0"/>
              <w:bottom w:val="single" w:color="auto" w:sz="4" w:space="0"/>
              <w:right w:val="single" w:color="auto" w:sz="4" w:space="0"/>
            </w:tcBorders>
            <w:vAlign w:val="center"/>
          </w:tcPr>
          <w:p w14:paraId="52B9D08F">
            <w:pPr>
              <w:pStyle w:val="22"/>
              <w:spacing w:line="400" w:lineRule="exact"/>
              <w:rPr>
                <w:rFonts w:hAnsi="宋体" w:cs="宋体"/>
                <w:color w:val="auto"/>
                <w:kern w:val="2"/>
                <w:sz w:val="21"/>
                <w:szCs w:val="21"/>
                <w:highlight w:val="none"/>
              </w:rPr>
            </w:pPr>
            <w:r>
              <w:rPr>
                <w:rFonts w:hint="eastAsia" w:hAnsi="宋体" w:cs="宋体"/>
                <w:color w:val="auto"/>
                <w:kern w:val="2"/>
                <w:sz w:val="21"/>
                <w:szCs w:val="21"/>
                <w:highlight w:val="none"/>
              </w:rPr>
              <w:t>1、工程造价依据</w:t>
            </w:r>
          </w:p>
          <w:p w14:paraId="424F853C">
            <w:pPr>
              <w:pStyle w:val="22"/>
              <w:spacing w:line="360" w:lineRule="auto"/>
              <w:ind w:firstLine="420" w:firstLineChars="200"/>
              <w:jc w:val="left"/>
              <w:rPr>
                <w:rFonts w:hAnsi="宋体" w:cs="宋体"/>
                <w:bCs/>
                <w:color w:val="auto"/>
                <w:sz w:val="22"/>
                <w:szCs w:val="22"/>
                <w:highlight w:val="none"/>
              </w:rPr>
            </w:pPr>
            <w:r>
              <w:rPr>
                <w:rFonts w:hint="eastAsia" w:hAnsi="宋体" w:cs="宋体"/>
                <w:color w:val="auto"/>
                <w:kern w:val="2"/>
                <w:sz w:val="21"/>
                <w:szCs w:val="21"/>
                <w:highlight w:val="none"/>
              </w:rPr>
              <w:t xml:space="preserve"> </w:t>
            </w:r>
            <w:bookmarkStart w:id="20" w:name="OLE_LINK8"/>
            <w:r>
              <w:rPr>
                <w:rFonts w:hint="eastAsia" w:hAnsi="宋体" w:cs="宋体"/>
                <w:color w:val="auto"/>
                <w:kern w:val="2"/>
                <w:sz w:val="21"/>
                <w:szCs w:val="21"/>
                <w:highlight w:val="none"/>
                <w:lang w:eastAsia="zh-CN"/>
              </w:rPr>
              <w:t>配电改造工作内容执行2018年《安徽省建设工程工程量清单计价办法》</w:t>
            </w:r>
            <w:r>
              <w:rPr>
                <w:rFonts w:hint="eastAsia" w:hAnsi="宋体" w:cs="宋体"/>
                <w:color w:val="auto"/>
                <w:kern w:val="2"/>
                <w:sz w:val="21"/>
                <w:szCs w:val="21"/>
                <w:highlight w:val="none"/>
              </w:rPr>
              <w:t>、《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w:t>
            </w:r>
            <w:r>
              <w:rPr>
                <w:rFonts w:hint="eastAsia" w:hAnsi="宋体" w:cs="宋体"/>
                <w:bCs/>
                <w:color w:val="auto"/>
                <w:sz w:val="22"/>
                <w:szCs w:val="22"/>
                <w:highlight w:val="none"/>
              </w:rPr>
              <w:t>、《安徽省建设工程计价依据动态调整（第1号）》。人工费执行安徽省建设工程</w:t>
            </w:r>
            <w:r>
              <w:rPr>
                <w:rFonts w:hint="eastAsia" w:hAnsi="宋体" w:cs="宋体"/>
                <w:bCs/>
                <w:color w:val="auto"/>
                <w:sz w:val="22"/>
                <w:szCs w:val="22"/>
                <w:highlight w:val="none"/>
                <w:lang w:eastAsia="zh-CN"/>
              </w:rPr>
              <w:t>人工费调整规定（按2025年第4季度铜陵市信息价人工费单价）</w:t>
            </w:r>
            <w:r>
              <w:rPr>
                <w:rFonts w:hint="eastAsia" w:hAnsi="宋体" w:cs="宋体"/>
                <w:bCs/>
                <w:color w:val="auto"/>
                <w:sz w:val="22"/>
                <w:szCs w:val="22"/>
                <w:highlight w:val="none"/>
              </w:rPr>
              <w:t>；</w:t>
            </w:r>
            <w:r>
              <w:rPr>
                <w:rFonts w:hint="eastAsia" w:hAnsi="宋体" w:cs="宋体"/>
                <w:bCs/>
                <w:color w:val="auto"/>
                <w:sz w:val="22"/>
                <w:szCs w:val="22"/>
                <w:highlight w:val="none"/>
                <w:lang w:eastAsia="zh-CN"/>
              </w:rPr>
              <w:t>强电电缆、强电电线、低压成套设备、高压成套设备执行单个零星工程派工单建设单位签署日期的当期月度铜陵市信息价税前价，</w:t>
            </w:r>
            <w:r>
              <w:rPr>
                <w:rFonts w:hint="eastAsia" w:hAnsi="宋体" w:cs="宋体"/>
                <w:bCs/>
                <w:color w:val="auto"/>
                <w:sz w:val="22"/>
                <w:szCs w:val="22"/>
                <w:highlight w:val="none"/>
                <w:lang w:val="en-US" w:eastAsia="zh-CN"/>
              </w:rPr>
              <w:t>其他</w:t>
            </w:r>
            <w:r>
              <w:rPr>
                <w:rFonts w:hint="eastAsia" w:hAnsi="宋体" w:cs="宋体"/>
                <w:bCs/>
                <w:color w:val="auto"/>
                <w:sz w:val="22"/>
                <w:szCs w:val="22"/>
                <w:highlight w:val="none"/>
                <w:lang w:eastAsia="zh-CN"/>
              </w:rPr>
              <w:t>材料价格</w:t>
            </w:r>
            <w:r>
              <w:rPr>
                <w:rFonts w:hint="eastAsia" w:hAnsi="宋体" w:cs="宋体"/>
                <w:bCs/>
                <w:color w:val="auto"/>
                <w:sz w:val="22"/>
                <w:szCs w:val="22"/>
                <w:highlight w:val="none"/>
                <w:lang w:val="en-US" w:eastAsia="zh-CN"/>
              </w:rPr>
              <w:t>均</w:t>
            </w:r>
            <w:r>
              <w:rPr>
                <w:rFonts w:hint="eastAsia" w:hAnsi="宋体" w:cs="宋体"/>
                <w:bCs/>
                <w:color w:val="auto"/>
                <w:sz w:val="22"/>
                <w:szCs w:val="22"/>
                <w:highlight w:val="none"/>
                <w:lang w:eastAsia="zh-CN"/>
              </w:rPr>
              <w:t>执行合同签订当月铜陵市信息价税前价</w:t>
            </w:r>
            <w:r>
              <w:rPr>
                <w:rFonts w:hint="eastAsia" w:hAnsi="宋体" w:cs="宋体"/>
                <w:bCs/>
                <w:color w:val="auto"/>
                <w:sz w:val="22"/>
                <w:szCs w:val="22"/>
                <w:highlight w:val="none"/>
              </w:rPr>
              <w:t>，铜陵信息价没有的</w:t>
            </w:r>
            <w:r>
              <w:rPr>
                <w:rFonts w:hint="eastAsia" w:hAnsi="宋体" w:cs="宋体"/>
                <w:bCs/>
                <w:color w:val="auto"/>
                <w:sz w:val="22"/>
                <w:szCs w:val="22"/>
                <w:highlight w:val="none"/>
                <w:lang w:val="en-US" w:eastAsia="zh-CN"/>
              </w:rPr>
              <w:t>依次参考所对应月度的合肥</w:t>
            </w:r>
            <w:r>
              <w:rPr>
                <w:rFonts w:hint="eastAsia" w:hAnsi="宋体" w:cs="宋体"/>
                <w:bCs/>
                <w:color w:val="auto"/>
                <w:sz w:val="22"/>
                <w:szCs w:val="22"/>
                <w:highlight w:val="none"/>
                <w:lang w:eastAsia="zh-CN"/>
              </w:rPr>
              <w:t>、</w:t>
            </w:r>
            <w:r>
              <w:rPr>
                <w:rFonts w:hint="eastAsia" w:hAnsi="宋体" w:cs="宋体"/>
                <w:bCs/>
                <w:color w:val="auto"/>
                <w:sz w:val="22"/>
                <w:szCs w:val="22"/>
                <w:highlight w:val="none"/>
              </w:rPr>
              <w:t>芜湖</w:t>
            </w:r>
            <w:r>
              <w:rPr>
                <w:rFonts w:hint="eastAsia" w:hAnsi="宋体" w:cs="宋体"/>
                <w:bCs/>
                <w:color w:val="auto"/>
                <w:sz w:val="22"/>
                <w:szCs w:val="22"/>
                <w:highlight w:val="none"/>
                <w:lang w:eastAsia="zh-CN"/>
              </w:rPr>
              <w:t>、</w:t>
            </w:r>
            <w:r>
              <w:rPr>
                <w:rFonts w:hint="eastAsia" w:hAnsi="宋体" w:cs="宋体"/>
                <w:bCs/>
                <w:color w:val="auto"/>
                <w:sz w:val="22"/>
                <w:szCs w:val="22"/>
                <w:highlight w:val="none"/>
                <w:lang w:val="en-US" w:eastAsia="zh-CN"/>
              </w:rPr>
              <w:t>亳州</w:t>
            </w:r>
            <w:r>
              <w:rPr>
                <w:rFonts w:hint="eastAsia" w:hAnsi="宋体" w:cs="宋体"/>
                <w:bCs/>
                <w:color w:val="auto"/>
                <w:sz w:val="22"/>
                <w:szCs w:val="22"/>
                <w:highlight w:val="none"/>
              </w:rPr>
              <w:t>的信息价</w:t>
            </w:r>
            <w:r>
              <w:rPr>
                <w:rFonts w:hint="eastAsia" w:hAnsi="宋体" w:cs="宋体"/>
                <w:bCs/>
                <w:color w:val="auto"/>
                <w:sz w:val="22"/>
                <w:szCs w:val="22"/>
                <w:highlight w:val="none"/>
                <w:lang w:eastAsia="zh-CN"/>
              </w:rPr>
              <w:t>税前价，</w:t>
            </w:r>
            <w:r>
              <w:rPr>
                <w:rFonts w:hint="eastAsia" w:hAnsi="宋体" w:cs="宋体"/>
                <w:bCs/>
                <w:color w:val="auto"/>
                <w:sz w:val="22"/>
                <w:szCs w:val="22"/>
                <w:highlight w:val="none"/>
                <w:lang w:val="en-US" w:eastAsia="zh-CN"/>
              </w:rPr>
              <w:t>仍</w:t>
            </w:r>
            <w:r>
              <w:rPr>
                <w:rFonts w:hint="eastAsia" w:hAnsi="宋体" w:cs="宋体"/>
                <w:bCs/>
                <w:color w:val="auto"/>
                <w:sz w:val="22"/>
                <w:szCs w:val="22"/>
                <w:highlight w:val="none"/>
              </w:rPr>
              <w:t>无信息价的按询价方式确定市场价（询价确认的综合单价或材料价格不再</w:t>
            </w:r>
            <w:r>
              <w:rPr>
                <w:rFonts w:hint="eastAsia" w:hAnsi="宋体" w:cs="宋体"/>
                <w:bCs/>
                <w:color w:val="auto"/>
                <w:sz w:val="22"/>
                <w:szCs w:val="22"/>
                <w:highlight w:val="none"/>
                <w:lang w:val="en-US" w:eastAsia="zh-CN"/>
              </w:rPr>
              <w:t>折扣</w:t>
            </w:r>
            <w:r>
              <w:rPr>
                <w:rFonts w:hint="eastAsia" w:hAnsi="宋体" w:cs="宋体"/>
                <w:bCs/>
                <w:color w:val="auto"/>
                <w:sz w:val="22"/>
                <w:szCs w:val="22"/>
                <w:highlight w:val="none"/>
              </w:rPr>
              <w:t>下浮），价格由建设单位、招标代理机构单位共同询价确认。税金费率执行安徽省建设工程造价管理总站造价【2019】7号文《关于调整我省现行建设工程计价依据增值税税率的通知》（税金9%）及现行税务文件，若乙方无法开具9%增值税专用发票，最终工程费=合同工程费/(1+9%）*(1+实际开票税率）。合同履行过程中，若国家增值税税率发生调整，审计结算时，按送审计结算时执行的税率进行结算。</w:t>
            </w:r>
          </w:p>
          <w:p w14:paraId="2B8B724F">
            <w:pPr>
              <w:pStyle w:val="22"/>
              <w:spacing w:line="400" w:lineRule="exact"/>
              <w:rPr>
                <w:rFonts w:hAnsi="宋体" w:cs="宋体"/>
                <w:color w:val="auto"/>
                <w:kern w:val="2"/>
                <w:sz w:val="21"/>
                <w:szCs w:val="21"/>
                <w:highlight w:val="none"/>
              </w:rPr>
            </w:pPr>
            <w:r>
              <w:rPr>
                <w:rFonts w:hint="eastAsia" w:hAnsi="宋体" w:cs="宋体"/>
                <w:color w:val="auto"/>
                <w:kern w:val="2"/>
                <w:sz w:val="21"/>
                <w:szCs w:val="21"/>
                <w:highlight w:val="none"/>
              </w:rPr>
              <w:t>2、</w:t>
            </w:r>
            <w:r>
              <w:rPr>
                <w:rFonts w:hint="eastAsia" w:hAnsi="宋体" w:cs="宋体"/>
                <w:color w:val="auto"/>
                <w:kern w:val="2"/>
                <w:sz w:val="21"/>
                <w:szCs w:val="21"/>
                <w:highlight w:val="none"/>
                <w:lang w:val="en-US" w:eastAsia="zh-CN"/>
              </w:rPr>
              <w:t>折扣</w:t>
            </w:r>
            <w:r>
              <w:rPr>
                <w:rFonts w:hint="eastAsia" w:hAnsi="宋体" w:cs="宋体"/>
                <w:color w:val="auto"/>
                <w:kern w:val="2"/>
                <w:sz w:val="21"/>
                <w:szCs w:val="21"/>
                <w:highlight w:val="none"/>
              </w:rPr>
              <w:t>比例</w:t>
            </w:r>
          </w:p>
          <w:p w14:paraId="3969BE4A">
            <w:pPr>
              <w:pStyle w:val="22"/>
              <w:spacing w:line="400" w:lineRule="exact"/>
              <w:rPr>
                <w:rFonts w:hAnsi="宋体" w:cs="宋体"/>
                <w:color w:val="auto"/>
                <w:kern w:val="2"/>
                <w:sz w:val="21"/>
                <w:szCs w:val="21"/>
                <w:highlight w:val="none"/>
              </w:rPr>
            </w:pPr>
            <w:bookmarkStart w:id="21" w:name="OLE_LINK7"/>
            <w:r>
              <w:rPr>
                <w:rFonts w:hint="eastAsia" w:hAnsi="宋体" w:cs="宋体"/>
                <w:color w:val="auto"/>
                <w:kern w:val="2"/>
                <w:sz w:val="21"/>
                <w:szCs w:val="21"/>
                <w:highlight w:val="none"/>
              </w:rPr>
              <w:t>所有工程按上述计价取费标准计价后，按工程总造价</w:t>
            </w:r>
            <w:r>
              <w:rPr>
                <w:rFonts w:hint="eastAsia" w:hAnsi="宋体" w:cs="宋体"/>
                <w:color w:val="auto"/>
                <w:kern w:val="2"/>
                <w:sz w:val="21"/>
                <w:szCs w:val="21"/>
                <w:highlight w:val="none"/>
                <w:lang w:val="en-US" w:eastAsia="zh-CN"/>
              </w:rPr>
              <w:t>*</w:t>
            </w:r>
            <w:r>
              <w:rPr>
                <w:rFonts w:hint="eastAsia" w:hAnsi="宋体" w:cs="宋体"/>
                <w:color w:val="auto"/>
                <w:szCs w:val="24"/>
                <w:highlight w:val="none"/>
                <w:u w:val="single"/>
              </w:rPr>
              <w:t xml:space="preserve">   </w:t>
            </w:r>
            <w:r>
              <w:rPr>
                <w:rFonts w:hint="eastAsia" w:hAnsi="宋体" w:cs="宋体"/>
                <w:color w:val="auto"/>
                <w:kern w:val="2"/>
                <w:sz w:val="21"/>
                <w:szCs w:val="21"/>
                <w:highlight w:val="none"/>
              </w:rPr>
              <w:t>%</w:t>
            </w:r>
            <w:r>
              <w:rPr>
                <w:rFonts w:hint="eastAsia" w:hAnsi="宋体" w:cs="宋体"/>
                <w:b/>
                <w:bCs/>
                <w:color w:val="auto"/>
                <w:kern w:val="2"/>
                <w:sz w:val="21"/>
                <w:szCs w:val="21"/>
                <w:highlight w:val="none"/>
              </w:rPr>
              <w:t>（</w:t>
            </w:r>
            <w:r>
              <w:rPr>
                <w:rFonts w:hint="eastAsia" w:hAnsi="宋体" w:cs="宋体"/>
                <w:b/>
                <w:bCs/>
                <w:color w:val="auto"/>
                <w:kern w:val="2"/>
                <w:sz w:val="21"/>
                <w:szCs w:val="21"/>
                <w:highlight w:val="none"/>
                <w:lang w:val="en-US" w:eastAsia="zh-CN"/>
              </w:rPr>
              <w:t>报价折扣率</w:t>
            </w:r>
            <w:r>
              <w:rPr>
                <w:rFonts w:hint="eastAsia" w:hAnsi="宋体" w:cs="宋体"/>
                <w:b/>
                <w:bCs/>
                <w:color w:val="auto"/>
                <w:kern w:val="2"/>
                <w:sz w:val="21"/>
                <w:szCs w:val="21"/>
                <w:highlight w:val="none"/>
              </w:rPr>
              <w:t>）</w:t>
            </w:r>
            <w:r>
              <w:rPr>
                <w:rFonts w:hint="eastAsia" w:hAnsi="宋体" w:cs="宋体"/>
                <w:color w:val="auto"/>
                <w:kern w:val="2"/>
                <w:sz w:val="21"/>
                <w:szCs w:val="21"/>
                <w:highlight w:val="none"/>
              </w:rPr>
              <w:t>作为工程结算价。</w:t>
            </w:r>
            <w:bookmarkEnd w:id="20"/>
            <w:bookmarkEnd w:id="21"/>
          </w:p>
        </w:tc>
      </w:tr>
      <w:tr w14:paraId="1F0B9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E39C03B">
            <w:pPr>
              <w:adjustRightInd w:val="0"/>
              <w:spacing w:line="360" w:lineRule="auto"/>
              <w:jc w:val="center"/>
              <w:rPr>
                <w:rFonts w:hAnsi="宋体" w:cs="宋体"/>
                <w:color w:val="auto"/>
                <w:szCs w:val="21"/>
                <w:highlight w:val="none"/>
              </w:rPr>
            </w:pPr>
            <w:r>
              <w:rPr>
                <w:rFonts w:hint="eastAsia" w:ascii="宋体" w:hAnsi="宋体"/>
                <w:color w:val="auto"/>
                <w:szCs w:val="21"/>
                <w:highlight w:val="none"/>
              </w:rPr>
              <w:t>38</w:t>
            </w:r>
          </w:p>
        </w:tc>
        <w:tc>
          <w:tcPr>
            <w:tcW w:w="1959" w:type="dxa"/>
            <w:tcBorders>
              <w:top w:val="single" w:color="auto" w:sz="4" w:space="0"/>
              <w:left w:val="single" w:color="auto" w:sz="4" w:space="0"/>
              <w:bottom w:val="single" w:color="auto" w:sz="4" w:space="0"/>
              <w:right w:val="single" w:color="auto" w:sz="4" w:space="0"/>
            </w:tcBorders>
            <w:vAlign w:val="center"/>
          </w:tcPr>
          <w:p w14:paraId="6DA0E87E">
            <w:pPr>
              <w:pStyle w:val="2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工程款支付</w:t>
            </w:r>
          </w:p>
        </w:tc>
        <w:tc>
          <w:tcPr>
            <w:tcW w:w="7488" w:type="dxa"/>
            <w:tcBorders>
              <w:top w:val="single" w:color="auto" w:sz="4" w:space="0"/>
              <w:left w:val="single" w:color="auto" w:sz="4" w:space="0"/>
              <w:bottom w:val="single" w:color="auto" w:sz="4" w:space="0"/>
              <w:right w:val="single" w:color="auto" w:sz="4" w:space="0"/>
            </w:tcBorders>
            <w:vAlign w:val="center"/>
          </w:tcPr>
          <w:p w14:paraId="08AF8FB4">
            <w:pPr>
              <w:pStyle w:val="22"/>
              <w:spacing w:line="400" w:lineRule="exact"/>
              <w:rPr>
                <w:rFonts w:hAnsi="宋体" w:cs="宋体"/>
                <w:color w:val="auto"/>
                <w:kern w:val="2"/>
                <w:sz w:val="21"/>
                <w:szCs w:val="21"/>
                <w:highlight w:val="none"/>
              </w:rPr>
            </w:pPr>
            <w:r>
              <w:rPr>
                <w:rFonts w:hint="eastAsia" w:hAnsi="宋体" w:cs="宋体"/>
                <w:color w:val="auto"/>
                <w:kern w:val="2"/>
                <w:sz w:val="21"/>
                <w:szCs w:val="21"/>
                <w:highlight w:val="none"/>
                <w:lang w:val="zh-CN"/>
              </w:rPr>
              <w:t>每月按已完成形象进度的80%支付，</w:t>
            </w:r>
            <w:r>
              <w:rPr>
                <w:rFonts w:hint="eastAsia" w:hAnsi="宋体" w:cs="宋体"/>
                <w:color w:val="auto"/>
                <w:kern w:val="2"/>
                <w:sz w:val="21"/>
                <w:szCs w:val="21"/>
                <w:highlight w:val="none"/>
              </w:rPr>
              <w:t>工程</w:t>
            </w:r>
            <w:r>
              <w:rPr>
                <w:rFonts w:hint="eastAsia" w:hAnsi="宋体" w:cs="宋体"/>
                <w:color w:val="auto"/>
                <w:kern w:val="2"/>
                <w:sz w:val="21"/>
                <w:szCs w:val="21"/>
                <w:highlight w:val="none"/>
                <w:lang w:val="zh-CN"/>
              </w:rPr>
              <w:t>竣工验收合格后，竣工资料齐备移交发包人</w:t>
            </w:r>
            <w:r>
              <w:rPr>
                <w:rFonts w:hint="eastAsia" w:hAnsi="宋体" w:cs="宋体"/>
                <w:color w:val="auto"/>
                <w:kern w:val="2"/>
                <w:sz w:val="21"/>
                <w:szCs w:val="21"/>
                <w:highlight w:val="none"/>
              </w:rPr>
              <w:t>并</w:t>
            </w:r>
            <w:r>
              <w:rPr>
                <w:rFonts w:hint="eastAsia" w:hAnsi="宋体" w:cs="宋体"/>
                <w:color w:val="auto"/>
                <w:kern w:val="2"/>
                <w:sz w:val="21"/>
                <w:szCs w:val="21"/>
                <w:highlight w:val="none"/>
                <w:lang w:val="zh-CN"/>
              </w:rPr>
              <w:t>提交完整有效的结算资料后付至已完合格工程价款且不超合同价款的85%；结算经审核结束后付至结算价款的100%。（质量保证金比例为工程价款结算总额的3%；质量保证金推行工程担保制度，可通过银行保函、保证保险等方式提供。）付款前需要提供完成项目的竣工图（</w:t>
            </w:r>
            <w:r>
              <w:rPr>
                <w:rFonts w:hint="eastAsia" w:hAnsi="宋体" w:cs="宋体"/>
                <w:color w:val="auto"/>
                <w:kern w:val="2"/>
                <w:sz w:val="21"/>
                <w:szCs w:val="21"/>
                <w:highlight w:val="none"/>
              </w:rPr>
              <w:t>若有</w:t>
            </w:r>
            <w:r>
              <w:rPr>
                <w:rFonts w:hint="eastAsia" w:hAnsi="宋体" w:cs="宋体"/>
                <w:color w:val="auto"/>
                <w:kern w:val="2"/>
                <w:sz w:val="21"/>
                <w:szCs w:val="21"/>
                <w:highlight w:val="none"/>
                <w:lang w:val="zh-CN"/>
              </w:rPr>
              <w:t>）、工程量确认单。</w:t>
            </w:r>
          </w:p>
        </w:tc>
      </w:tr>
      <w:tr w14:paraId="431CF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64FAAD7">
            <w:pPr>
              <w:adjustRightInd w:val="0"/>
              <w:spacing w:line="360" w:lineRule="auto"/>
              <w:jc w:val="center"/>
              <w:rPr>
                <w:rFonts w:hAnsi="宋体" w:cs="宋体"/>
                <w:color w:val="auto"/>
                <w:szCs w:val="21"/>
                <w:highlight w:val="none"/>
              </w:rPr>
            </w:pPr>
            <w:r>
              <w:rPr>
                <w:rFonts w:hint="eastAsia" w:hAnsi="宋体" w:cs="宋体"/>
                <w:color w:val="auto"/>
                <w:szCs w:val="21"/>
                <w:highlight w:val="none"/>
              </w:rPr>
              <w:t>39</w:t>
            </w:r>
          </w:p>
        </w:tc>
        <w:tc>
          <w:tcPr>
            <w:tcW w:w="1959" w:type="dxa"/>
            <w:tcBorders>
              <w:top w:val="single" w:color="auto" w:sz="4" w:space="0"/>
              <w:left w:val="single" w:color="auto" w:sz="4" w:space="0"/>
              <w:bottom w:val="single" w:color="auto" w:sz="4" w:space="0"/>
              <w:right w:val="single" w:color="auto" w:sz="4" w:space="0"/>
            </w:tcBorders>
            <w:vAlign w:val="center"/>
          </w:tcPr>
          <w:p w14:paraId="509ED491">
            <w:pPr>
              <w:pStyle w:val="23"/>
              <w:spacing w:line="400" w:lineRule="exact"/>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重要提示</w:t>
            </w:r>
          </w:p>
        </w:tc>
        <w:tc>
          <w:tcPr>
            <w:tcW w:w="7488" w:type="dxa"/>
            <w:tcBorders>
              <w:top w:val="single" w:color="auto" w:sz="4" w:space="0"/>
              <w:left w:val="single" w:color="auto" w:sz="4" w:space="0"/>
              <w:bottom w:val="single" w:color="auto" w:sz="4" w:space="0"/>
              <w:right w:val="single" w:color="auto" w:sz="4" w:space="0"/>
            </w:tcBorders>
            <w:vAlign w:val="center"/>
          </w:tcPr>
          <w:p w14:paraId="639E4BB4">
            <w:pPr>
              <w:pStyle w:val="22"/>
              <w:spacing w:line="400" w:lineRule="exact"/>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承包人进场施工时，安全措施必须完善到位，须给工程施工人员及进场管理等相关人员购买意外伤害险，一切安全责任或事故由承包人自行负责。</w:t>
            </w:r>
          </w:p>
        </w:tc>
      </w:tr>
      <w:bookmarkEnd w:id="18"/>
    </w:tbl>
    <w:p w14:paraId="6234795F">
      <w:pPr>
        <w:rPr>
          <w:rFonts w:ascii="宋体" w:hAnsi="宋体"/>
          <w:b/>
          <w:color w:val="auto"/>
          <w:sz w:val="30"/>
          <w:szCs w:val="30"/>
          <w:highlight w:val="none"/>
        </w:rPr>
      </w:pPr>
      <w:r>
        <w:rPr>
          <w:rFonts w:hint="eastAsia" w:ascii="宋体" w:hAnsi="宋体"/>
          <w:color w:val="auto"/>
          <w:highlight w:val="none"/>
        </w:rPr>
        <w:br w:type="page"/>
      </w:r>
    </w:p>
    <w:p w14:paraId="1081ADCD">
      <w:pPr>
        <w:pStyle w:val="9"/>
        <w:adjustRightInd w:val="0"/>
        <w:snapToGrid w:val="0"/>
        <w:spacing w:line="400" w:lineRule="exact"/>
        <w:ind w:firstLine="0" w:firstLine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第三章  投标须知</w:t>
      </w:r>
    </w:p>
    <w:p w14:paraId="224654E6">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（一）总  则</w:t>
      </w:r>
    </w:p>
    <w:p w14:paraId="54A9EE9F">
      <w:pPr>
        <w:pStyle w:val="22"/>
        <w:adjustRightInd w:val="0"/>
        <w:snapToGrid w:val="0"/>
        <w:spacing w:line="400" w:lineRule="exact"/>
        <w:rPr>
          <w:rFonts w:hAnsi="宋体" w:cs="宋体"/>
          <w:b/>
          <w:bCs/>
          <w:color w:val="auto"/>
          <w:sz w:val="21"/>
          <w:szCs w:val="21"/>
          <w:highlight w:val="none"/>
        </w:rPr>
      </w:pPr>
      <w:r>
        <w:rPr>
          <w:rFonts w:hint="eastAsia" w:hAnsi="宋体" w:cs="宋体"/>
          <w:b/>
          <w:bCs/>
          <w:color w:val="auto"/>
          <w:sz w:val="21"/>
          <w:szCs w:val="21"/>
          <w:highlight w:val="none"/>
        </w:rPr>
        <w:t>1、工程说明</w:t>
      </w:r>
    </w:p>
    <w:p w14:paraId="0A25F0E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1.1本招标工程项目说明详见本须知前附表；</w:t>
      </w:r>
    </w:p>
    <w:p w14:paraId="63487EC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1.2本招标工程项目按照《中华人民共和国招标投标法》、《中华人民共和国招投标法实施条例》、</w:t>
      </w:r>
      <w:r>
        <w:rPr>
          <w:rFonts w:hint="eastAsia" w:ascii="宋体" w:hAnsi="宋体" w:cs="宋体"/>
          <w:b/>
          <w:color w:val="auto"/>
          <w:szCs w:val="21"/>
          <w:highlight w:val="none"/>
        </w:rPr>
        <w:t>《铜陵市工程招标投标管理实施细则》</w:t>
      </w:r>
      <w:r>
        <w:rPr>
          <w:rFonts w:hint="eastAsia" w:ascii="宋体" w:hAnsi="宋体" w:cs="宋体"/>
          <w:color w:val="auto"/>
          <w:szCs w:val="21"/>
          <w:highlight w:val="none"/>
        </w:rPr>
        <w:t>等有关法律、法规和规章要求，通过</w:t>
      </w:r>
      <w:r>
        <w:rPr>
          <w:rFonts w:hint="eastAsia" w:ascii="宋体" w:hAnsi="宋体" w:cs="宋体"/>
          <w:b/>
          <w:color w:val="auto"/>
          <w:szCs w:val="21"/>
          <w:highlight w:val="none"/>
          <w:u w:val="wave"/>
        </w:rPr>
        <w:t>公开招标</w:t>
      </w:r>
      <w:r>
        <w:rPr>
          <w:rFonts w:hint="eastAsia" w:ascii="宋体" w:hAnsi="宋体" w:cs="宋体"/>
          <w:color w:val="auto"/>
          <w:szCs w:val="21"/>
          <w:highlight w:val="none"/>
        </w:rPr>
        <w:t>方式选定承包人。</w:t>
      </w:r>
    </w:p>
    <w:p w14:paraId="4F337CEA">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2、招标范围、承包方式</w:t>
      </w:r>
    </w:p>
    <w:p w14:paraId="5AEAA79D">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 本招标工程项目的招标范围及工程内容见本须知前附表；</w:t>
      </w:r>
    </w:p>
    <w:p w14:paraId="1C858D1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2.2本招标工程项目的承包方式见本须知前附表。</w:t>
      </w:r>
    </w:p>
    <w:p w14:paraId="653EE864">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3、资金来源</w:t>
      </w:r>
    </w:p>
    <w:p w14:paraId="40286D6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本招标工程项目资金来源见本须知前附表。</w:t>
      </w:r>
    </w:p>
    <w:p w14:paraId="512F9CDC">
      <w:pPr>
        <w:adjustRightInd w:val="0"/>
        <w:snapToGrid w:val="0"/>
        <w:spacing w:line="400" w:lineRule="exact"/>
        <w:rPr>
          <w:rFonts w:ascii="宋体" w:hAnsi="宋体" w:cs="宋体"/>
          <w:b/>
          <w:color w:val="auto"/>
          <w:szCs w:val="21"/>
          <w:highlight w:val="none"/>
        </w:rPr>
      </w:pPr>
      <w:r>
        <w:rPr>
          <w:rFonts w:hint="eastAsia" w:ascii="宋体" w:hAnsi="宋体" w:cs="宋体"/>
          <w:b/>
          <w:color w:val="auto"/>
          <w:szCs w:val="21"/>
          <w:highlight w:val="none"/>
        </w:rPr>
        <w:t>4、合格的投标人</w:t>
      </w:r>
    </w:p>
    <w:p w14:paraId="46655CC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 投标人资质要求及建造师资质要求见本须知前附表；</w:t>
      </w:r>
    </w:p>
    <w:p w14:paraId="75CE87C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投标人合格条件详见本工程招标公告；</w:t>
      </w:r>
    </w:p>
    <w:p w14:paraId="195B47C2">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 本招标工程项目采用本须知前附表所述的资格审查方式确定合格投标人。</w:t>
      </w:r>
    </w:p>
    <w:p w14:paraId="5F43DBC3">
      <w:pPr>
        <w:pStyle w:val="22"/>
        <w:adjustRightInd w:val="0"/>
        <w:snapToGrid w:val="0"/>
        <w:spacing w:line="400" w:lineRule="exact"/>
        <w:jc w:val="left"/>
        <w:rPr>
          <w:rFonts w:hAnsi="宋体" w:cs="宋体"/>
          <w:b/>
          <w:color w:val="auto"/>
          <w:sz w:val="21"/>
          <w:szCs w:val="21"/>
          <w:highlight w:val="none"/>
        </w:rPr>
      </w:pPr>
      <w:r>
        <w:rPr>
          <w:rFonts w:hint="eastAsia" w:hAnsi="宋体" w:cs="宋体"/>
          <w:b/>
          <w:color w:val="auto"/>
          <w:sz w:val="21"/>
          <w:szCs w:val="21"/>
          <w:highlight w:val="none"/>
        </w:rPr>
        <w:t>5、踏勘现场</w:t>
      </w:r>
    </w:p>
    <w:p w14:paraId="657C01DC">
      <w:pPr>
        <w:adjustRightInd w:val="0"/>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按照招标文件所述，自行对工程现场及周围环境进行踏勘现场以获得有关编制投标文件和签署合同所涉及现场的资料。踏勘现场所发生的自身费用由投标人自己承担。经招标人允许，投标人可为踏勘目的进入招标人的项目现场，但投标人不得因此使招标人承担有关的责任和蒙受损失。投标人应承担踏勘现场的责任和风险。</w:t>
      </w:r>
    </w:p>
    <w:p w14:paraId="49A7A40C">
      <w:pPr>
        <w:pStyle w:val="22"/>
        <w:adjustRightInd w:val="0"/>
        <w:snapToGrid w:val="0"/>
        <w:spacing w:line="400" w:lineRule="exact"/>
        <w:jc w:val="left"/>
        <w:rPr>
          <w:rFonts w:hAnsi="宋体" w:cs="宋体"/>
          <w:color w:val="auto"/>
          <w:sz w:val="21"/>
          <w:szCs w:val="21"/>
          <w:highlight w:val="none"/>
        </w:rPr>
      </w:pPr>
      <w:r>
        <w:rPr>
          <w:rFonts w:hint="eastAsia" w:hAnsi="宋体" w:cs="宋体"/>
          <w:b/>
          <w:color w:val="auto"/>
          <w:sz w:val="21"/>
          <w:szCs w:val="21"/>
          <w:highlight w:val="none"/>
        </w:rPr>
        <w:t>6、</w:t>
      </w:r>
      <w:r>
        <w:rPr>
          <w:rFonts w:hint="eastAsia" w:hAnsi="宋体" w:cs="宋体"/>
          <w:color w:val="auto"/>
          <w:sz w:val="21"/>
          <w:szCs w:val="21"/>
          <w:highlight w:val="none"/>
        </w:rPr>
        <w:t>招标人向投标人提供的所有数据和资料</w:t>
      </w:r>
      <w:r>
        <w:rPr>
          <w:rFonts w:hint="eastAsia" w:hAnsi="宋体" w:cs="宋体"/>
          <w:b/>
          <w:color w:val="auto"/>
          <w:sz w:val="21"/>
          <w:szCs w:val="21"/>
          <w:highlight w:val="none"/>
        </w:rPr>
        <w:t>，</w:t>
      </w:r>
      <w:r>
        <w:rPr>
          <w:rFonts w:hint="eastAsia" w:hAnsi="宋体" w:cs="宋体"/>
          <w:color w:val="auto"/>
          <w:sz w:val="21"/>
          <w:szCs w:val="21"/>
          <w:highlight w:val="none"/>
        </w:rPr>
        <w:t>是招标人现有的能被投标人利用的资料，招标人对投标人做出的任何推论、理解和结论均不负责任。</w:t>
      </w:r>
    </w:p>
    <w:p w14:paraId="0DEB86B1">
      <w:pPr>
        <w:pStyle w:val="22"/>
        <w:adjustRightInd w:val="0"/>
        <w:snapToGrid w:val="0"/>
        <w:spacing w:line="400" w:lineRule="exact"/>
        <w:jc w:val="left"/>
        <w:rPr>
          <w:rFonts w:hAnsi="宋体" w:cs="宋体"/>
          <w:b/>
          <w:color w:val="auto"/>
          <w:sz w:val="21"/>
          <w:szCs w:val="21"/>
          <w:highlight w:val="none"/>
        </w:rPr>
      </w:pPr>
      <w:r>
        <w:rPr>
          <w:rFonts w:hint="eastAsia" w:hAnsi="宋体" w:cs="宋体"/>
          <w:b/>
          <w:color w:val="auto"/>
          <w:sz w:val="21"/>
          <w:szCs w:val="21"/>
          <w:highlight w:val="none"/>
        </w:rPr>
        <w:t>7、投标费用</w:t>
      </w:r>
    </w:p>
    <w:p w14:paraId="1407BBA4">
      <w:pPr>
        <w:pStyle w:val="22"/>
        <w:adjustRightInd w:val="0"/>
        <w:snapToGrid w:val="0"/>
        <w:spacing w:line="400" w:lineRule="exact"/>
        <w:ind w:firstLine="420" w:firstLineChars="200"/>
        <w:jc w:val="left"/>
        <w:rPr>
          <w:rFonts w:hAnsi="宋体" w:cs="宋体"/>
          <w:color w:val="auto"/>
          <w:sz w:val="21"/>
          <w:szCs w:val="21"/>
          <w:highlight w:val="none"/>
        </w:rPr>
      </w:pPr>
      <w:r>
        <w:rPr>
          <w:rFonts w:hint="eastAsia" w:hAnsi="宋体" w:cs="宋体"/>
          <w:color w:val="auto"/>
          <w:sz w:val="21"/>
          <w:szCs w:val="21"/>
          <w:highlight w:val="none"/>
        </w:rPr>
        <w:t>投标人应承担其编制投标文件与递交投标文件等投标过程中所涉及的一切费用，不论投标结果如何，招标人将不予承担。</w:t>
      </w:r>
    </w:p>
    <w:p w14:paraId="106BDB9D">
      <w:pPr>
        <w:pStyle w:val="22"/>
        <w:adjustRightInd w:val="0"/>
        <w:snapToGrid w:val="0"/>
        <w:spacing w:line="400" w:lineRule="exact"/>
        <w:jc w:val="center"/>
        <w:rPr>
          <w:rFonts w:hAnsi="宋体" w:cs="宋体"/>
          <w:b/>
          <w:color w:val="auto"/>
          <w:sz w:val="21"/>
          <w:szCs w:val="21"/>
          <w:highlight w:val="none"/>
        </w:rPr>
      </w:pPr>
    </w:p>
    <w:p w14:paraId="5AB1101C">
      <w:pPr>
        <w:pStyle w:val="22"/>
        <w:adjustRightInd w:val="0"/>
        <w:snapToGrid w:val="0"/>
        <w:spacing w:line="400" w:lineRule="exact"/>
        <w:jc w:val="center"/>
        <w:rPr>
          <w:rFonts w:hAnsi="宋体" w:cs="宋体"/>
          <w:b/>
          <w:color w:val="auto"/>
          <w:sz w:val="21"/>
          <w:szCs w:val="21"/>
          <w:highlight w:val="none"/>
        </w:rPr>
      </w:pPr>
      <w:r>
        <w:rPr>
          <w:rFonts w:hint="eastAsia" w:hAnsi="宋体" w:cs="宋体"/>
          <w:b/>
          <w:color w:val="auto"/>
          <w:sz w:val="21"/>
          <w:szCs w:val="21"/>
          <w:highlight w:val="none"/>
        </w:rPr>
        <w:t>（二） 招标文件</w:t>
      </w:r>
    </w:p>
    <w:p w14:paraId="3B0F0D8A">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8、招标文件的组成</w:t>
      </w:r>
    </w:p>
    <w:p w14:paraId="507610BC">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8.1招标文件包括下列内容：</w:t>
      </w:r>
    </w:p>
    <w:p w14:paraId="75535CC1">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8.1.1本招标文件的全部内容；</w:t>
      </w:r>
    </w:p>
    <w:p w14:paraId="13B9F7DE">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8.1.2本工程所有发生的补充公告文件及书面通知；</w:t>
      </w:r>
    </w:p>
    <w:p w14:paraId="5ED7CF1B">
      <w:pPr>
        <w:pStyle w:val="22"/>
        <w:adjustRightInd w:val="0"/>
        <w:snapToGrid w:val="0"/>
        <w:spacing w:line="400" w:lineRule="exact"/>
        <w:ind w:firstLine="315" w:firstLineChars="150"/>
        <w:rPr>
          <w:rFonts w:hAnsi="宋体" w:cs="宋体"/>
          <w:color w:val="auto"/>
          <w:sz w:val="21"/>
          <w:szCs w:val="21"/>
          <w:highlight w:val="none"/>
        </w:rPr>
      </w:pPr>
      <w:r>
        <w:rPr>
          <w:rFonts w:hint="eastAsia" w:hAnsi="宋体" w:cs="宋体"/>
          <w:color w:val="auto"/>
          <w:sz w:val="21"/>
          <w:szCs w:val="21"/>
          <w:highlight w:val="none"/>
        </w:rPr>
        <w:t>8.1.3本工程资格审查文件也为招标文件的组成部分。</w:t>
      </w:r>
    </w:p>
    <w:p w14:paraId="7F0A2C29">
      <w:pPr>
        <w:pStyle w:val="22"/>
        <w:adjustRightInd w:val="0"/>
        <w:snapToGrid w:val="0"/>
        <w:spacing w:line="400" w:lineRule="exact"/>
        <w:ind w:firstLine="315" w:firstLineChars="150"/>
        <w:rPr>
          <w:rFonts w:hAnsi="宋体" w:cs="宋体"/>
          <w:b/>
          <w:color w:val="auto"/>
          <w:sz w:val="21"/>
          <w:szCs w:val="21"/>
          <w:highlight w:val="none"/>
        </w:rPr>
      </w:pPr>
      <w:r>
        <w:rPr>
          <w:rFonts w:hint="eastAsia" w:hAnsi="宋体" w:cs="宋体"/>
          <w:color w:val="auto"/>
          <w:sz w:val="21"/>
          <w:szCs w:val="21"/>
          <w:highlight w:val="none"/>
        </w:rPr>
        <w:t>8.2 投标人获取招标文件后，应仔细检查招标文件的所有内容，如有残缺等问题应在获得招标文件</w:t>
      </w:r>
      <w:r>
        <w:rPr>
          <w:rFonts w:hint="eastAsia" w:hAnsi="宋体" w:cs="宋体"/>
          <w:b/>
          <w:color w:val="auto"/>
          <w:sz w:val="21"/>
          <w:szCs w:val="21"/>
          <w:highlight w:val="none"/>
        </w:rPr>
        <w:t>三日</w:t>
      </w:r>
      <w:r>
        <w:rPr>
          <w:rFonts w:hint="eastAsia" w:hAnsi="宋体" w:cs="宋体"/>
          <w:color w:val="auto"/>
          <w:sz w:val="21"/>
          <w:szCs w:val="21"/>
          <w:highlight w:val="none"/>
        </w:rPr>
        <w:t>内向招标人提出，否则，由此引起的后果由投标人自己承担。</w:t>
      </w:r>
      <w:r>
        <w:rPr>
          <w:rFonts w:hint="eastAsia" w:hAnsi="宋体" w:cs="宋体"/>
          <w:b/>
          <w:color w:val="auto"/>
          <w:sz w:val="21"/>
          <w:szCs w:val="21"/>
          <w:highlight w:val="none"/>
        </w:rPr>
        <w:t>投标人同时应认真审阅招标文件中所有的事项、格式、条款和规范要求等，若投标人的投标文件没有按招标文件要求提交全部资料及自己理解产生的误差，或投标文件没有对招标文件做出实质性响应，其风险由投标人自行承担，并根据有关条款规定，该投标有可能被拒绝。</w:t>
      </w:r>
    </w:p>
    <w:p w14:paraId="240D53D7">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9、招标文件的澄清</w:t>
      </w:r>
    </w:p>
    <w:p w14:paraId="214DE420">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投标人若对招标文件有任何疑问，应在投标截止时间前三日向招标人提出澄清要求。招标文件的澄清将在投标截止时间前三天公布在铜陵市公共资源交易网，但不指明澄清问题的来源。</w:t>
      </w:r>
    </w:p>
    <w:p w14:paraId="2953AF6E">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10、招标文件的修改</w:t>
      </w:r>
    </w:p>
    <w:p w14:paraId="24C40493">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 招标文件发出后，招标人可对招标文件进行必要的修改。</w:t>
      </w:r>
    </w:p>
    <w:p w14:paraId="3F0C0254">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 招标文件的修改将在</w:t>
      </w:r>
      <w:r>
        <w:rPr>
          <w:rFonts w:hint="eastAsia" w:ascii="宋体" w:hAnsi="宋体" w:cs="宋体"/>
          <w:bCs/>
          <w:color w:val="auto"/>
          <w:szCs w:val="21"/>
          <w:highlight w:val="none"/>
          <w:lang w:val="zh-CN"/>
        </w:rPr>
        <w:t>铜陵市公共资源交易网（</w:t>
      </w:r>
      <w:r>
        <w:rPr>
          <w:rFonts w:hint="eastAsia" w:ascii="宋体" w:hAnsi="宋体" w:cs="宋体"/>
          <w:bCs/>
          <w:color w:val="auto"/>
          <w:szCs w:val="21"/>
          <w:highlight w:val="none"/>
        </w:rPr>
        <w:t>非进场交易</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发布，该修改内容作为招标文件的组成部分，具有约束作用。</w:t>
      </w:r>
    </w:p>
    <w:p w14:paraId="4050543B">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10.3当招标文件、招标文件的澄清、修改、补充等在同一内容的表述上不一致时，以最后发出的修改文件为准。</w:t>
      </w:r>
    </w:p>
    <w:p w14:paraId="108A748D">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10.4为使投标人在编制投标文件时有充分的时间对招标文件的澄清、修改、补充等内容进行研究，如果澄清的内容影响投标文件编制的，且发出时间距投标截止时间不足3天的，招标人将依法酌情延长投标截止时间，具体时间将在招标文件的修改、补充通知中予以明确。</w:t>
      </w:r>
    </w:p>
    <w:p w14:paraId="3636EA53">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10.5如果投标人在补充公告截止前未对招标文件有关条款提出质疑，视为充分理解招标文件所有内容，一旦递交投标文件，则认为该投标人接受招标文件所有条款，不再接受对招标文件的异议或投诉。</w:t>
      </w:r>
    </w:p>
    <w:p w14:paraId="5F784C8C">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10.6 </w:t>
      </w:r>
      <w:r>
        <w:rPr>
          <w:rFonts w:hint="eastAsia" w:ascii="宋体" w:hAnsi="宋体" w:cs="宋体"/>
          <w:bCs/>
          <w:color w:val="auto"/>
          <w:szCs w:val="21"/>
          <w:highlight w:val="none"/>
        </w:rPr>
        <w:t>投标人对清单工程量提出异议的</w:t>
      </w:r>
      <w:r>
        <w:rPr>
          <w:rFonts w:hint="eastAsia" w:ascii="宋体" w:hAnsi="宋体" w:cs="宋体"/>
          <w:color w:val="auto"/>
          <w:szCs w:val="21"/>
          <w:highlight w:val="none"/>
        </w:rPr>
        <w:t>，必须附计算书，并接受招标人组织的核对。不能提供计算书或不能参加核对的，招标人对此异议不予受理，以后也不再调整工程量。</w:t>
      </w:r>
    </w:p>
    <w:p w14:paraId="750F3B9D">
      <w:pPr>
        <w:pStyle w:val="22"/>
        <w:adjustRightInd w:val="0"/>
        <w:snapToGrid w:val="0"/>
        <w:spacing w:line="400" w:lineRule="exact"/>
        <w:jc w:val="center"/>
        <w:rPr>
          <w:rFonts w:hAnsi="宋体" w:cs="宋体"/>
          <w:b/>
          <w:color w:val="auto"/>
          <w:sz w:val="21"/>
          <w:szCs w:val="21"/>
          <w:highlight w:val="none"/>
        </w:rPr>
      </w:pPr>
    </w:p>
    <w:p w14:paraId="181A272F">
      <w:pPr>
        <w:pStyle w:val="22"/>
        <w:adjustRightInd w:val="0"/>
        <w:snapToGrid w:val="0"/>
        <w:spacing w:line="400" w:lineRule="exact"/>
        <w:jc w:val="center"/>
        <w:rPr>
          <w:rFonts w:hAnsi="宋体" w:cs="宋体"/>
          <w:b/>
          <w:color w:val="auto"/>
          <w:sz w:val="21"/>
          <w:szCs w:val="21"/>
          <w:highlight w:val="none"/>
        </w:rPr>
      </w:pPr>
      <w:r>
        <w:rPr>
          <w:rFonts w:hint="eastAsia" w:hAnsi="宋体" w:cs="宋体"/>
          <w:b/>
          <w:color w:val="auto"/>
          <w:sz w:val="21"/>
          <w:szCs w:val="21"/>
          <w:highlight w:val="none"/>
        </w:rPr>
        <w:t>（三）投标文件的编制</w:t>
      </w:r>
    </w:p>
    <w:p w14:paraId="0268103E">
      <w:pPr>
        <w:pStyle w:val="28"/>
        <w:adjustRightInd w:val="0"/>
        <w:snapToGrid w:val="0"/>
        <w:spacing w:line="400" w:lineRule="exact"/>
        <w:ind w:left="0" w:leftChars="0"/>
        <w:rPr>
          <w:rFonts w:ascii="宋体" w:hAnsi="宋体" w:cs="宋体"/>
          <w:b/>
          <w:color w:val="auto"/>
          <w:szCs w:val="21"/>
          <w:highlight w:val="none"/>
        </w:rPr>
      </w:pPr>
      <w:r>
        <w:rPr>
          <w:rFonts w:hint="eastAsia" w:ascii="宋体" w:hAnsi="宋体" w:cs="宋体"/>
          <w:b/>
          <w:color w:val="auto"/>
          <w:szCs w:val="21"/>
          <w:highlight w:val="none"/>
        </w:rPr>
        <w:t>11.投标文件的语言及度量衡单位</w:t>
      </w:r>
    </w:p>
    <w:p w14:paraId="34B8B74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11.1投标文件和与投标有关的所有文件均应使用</w:t>
      </w:r>
      <w:r>
        <w:rPr>
          <w:rFonts w:hint="eastAsia" w:ascii="宋体" w:hAnsi="宋体" w:cs="宋体"/>
          <w:color w:val="auto"/>
          <w:szCs w:val="21"/>
          <w:highlight w:val="none"/>
          <w:u w:val="single"/>
        </w:rPr>
        <w:t xml:space="preserve"> 中文 </w:t>
      </w:r>
      <w:r>
        <w:rPr>
          <w:rFonts w:hint="eastAsia" w:ascii="宋体" w:hAnsi="宋体" w:cs="宋体"/>
          <w:color w:val="auto"/>
          <w:szCs w:val="21"/>
          <w:highlight w:val="none"/>
        </w:rPr>
        <w:t>(语言文字)。投标人随投标文件提供的证明文件和印刷品可以是其它语言，但必须附</w:t>
      </w:r>
      <w:r>
        <w:rPr>
          <w:rFonts w:hint="eastAsia" w:ascii="宋体" w:hAnsi="宋体" w:cs="宋体"/>
          <w:bCs/>
          <w:color w:val="auto"/>
          <w:szCs w:val="21"/>
          <w:highlight w:val="none"/>
          <w:lang w:val="zh-CN"/>
        </w:rPr>
        <w:t>有经权威翻译机构核准的</w:t>
      </w:r>
      <w:r>
        <w:rPr>
          <w:rFonts w:hint="eastAsia" w:ascii="宋体" w:hAnsi="宋体" w:cs="宋体"/>
          <w:color w:val="auto"/>
          <w:szCs w:val="21"/>
          <w:highlight w:val="none"/>
        </w:rPr>
        <w:t>中文译文。</w:t>
      </w:r>
    </w:p>
    <w:p w14:paraId="7C71BC1E">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11.2除工程规范另有规定外，投标文件使用的度量衡单位，均采用中华人民共和国法定计量单位。</w:t>
      </w:r>
    </w:p>
    <w:p w14:paraId="7033338D">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 xml:space="preserve">12.投标报价 </w:t>
      </w:r>
    </w:p>
    <w:p w14:paraId="3E1CF813">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本工程的投标报价采用本须知投标须知前附表所规定的方式。综合单价是指完成本工程项目的除措施费、规费、税金外的全费用单价，其组成包括人工费、材料费、机械费、管理费、利润和施工工期内的风险费用。</w:t>
      </w:r>
    </w:p>
    <w:p w14:paraId="6AF8B835">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13. 投标报价书封面相应位置必须加盖本单位公章。</w:t>
      </w:r>
    </w:p>
    <w:p w14:paraId="028AC2FC">
      <w:pPr>
        <w:pStyle w:val="22"/>
        <w:adjustRightInd w:val="0"/>
        <w:snapToGrid w:val="0"/>
        <w:spacing w:line="400" w:lineRule="exact"/>
        <w:rPr>
          <w:rFonts w:hAnsi="宋体" w:cs="宋体"/>
          <w:b/>
          <w:bCs/>
          <w:color w:val="auto"/>
          <w:sz w:val="21"/>
          <w:szCs w:val="21"/>
          <w:highlight w:val="none"/>
        </w:rPr>
      </w:pPr>
      <w:r>
        <w:rPr>
          <w:rFonts w:hint="eastAsia" w:hAnsi="宋体" w:cs="宋体"/>
          <w:b/>
          <w:bCs/>
          <w:color w:val="auto"/>
          <w:sz w:val="21"/>
          <w:szCs w:val="21"/>
          <w:highlight w:val="none"/>
        </w:rPr>
        <w:t>14.投标货币：</w:t>
      </w:r>
    </w:p>
    <w:p w14:paraId="39AEF78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本工程投标报价采用的币种为</w:t>
      </w:r>
      <w:r>
        <w:rPr>
          <w:rFonts w:hint="eastAsia" w:hAnsi="宋体" w:cs="宋体"/>
          <w:color w:val="auto"/>
          <w:sz w:val="21"/>
          <w:szCs w:val="21"/>
          <w:highlight w:val="none"/>
          <w:u w:val="single"/>
        </w:rPr>
        <w:t xml:space="preserve">  人民币  </w:t>
      </w:r>
      <w:r>
        <w:rPr>
          <w:rFonts w:hint="eastAsia" w:hAnsi="宋体" w:cs="宋体"/>
          <w:color w:val="auto"/>
          <w:sz w:val="21"/>
          <w:szCs w:val="21"/>
          <w:highlight w:val="none"/>
        </w:rPr>
        <w:t xml:space="preserve">。 </w:t>
      </w:r>
    </w:p>
    <w:p w14:paraId="455D5DF4">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15.投标有效期</w:t>
      </w:r>
    </w:p>
    <w:p w14:paraId="0F494FDD">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15.1投标有效期见本须知前附表规定的期限，在此期限内，凡符合本招标文件要求的投标文件均保持有效。</w:t>
      </w:r>
    </w:p>
    <w:p w14:paraId="1BF937B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15.2在特殊情况下，招标人在原定投标有效期内，可以根据需要向投标人提出延长投标有效期的要求，投标人可以拒绝招标人这种要求，而不被没收保证金，</w:t>
      </w:r>
      <w:r>
        <w:rPr>
          <w:rFonts w:hint="eastAsia" w:hAnsi="宋体" w:cs="宋体"/>
          <w:bCs/>
          <w:color w:val="auto"/>
          <w:sz w:val="21"/>
          <w:szCs w:val="21"/>
          <w:highlight w:val="none"/>
        </w:rPr>
        <w:t>但是对拒绝延长投标有效期的投标单位招标人有权利拒绝其投标文件。</w:t>
      </w:r>
      <w:r>
        <w:rPr>
          <w:rFonts w:hint="eastAsia" w:hAnsi="宋体" w:cs="宋体"/>
          <w:color w:val="auto"/>
          <w:sz w:val="21"/>
          <w:szCs w:val="21"/>
          <w:highlight w:val="none"/>
        </w:rPr>
        <w:t>同意延长投标有效期的投标人既不能要求也不允许修改其投标文件，但需要相应的延长投标担保的有效期，在延长的投标有效期内关于投标担保的退还与没收的规定仍然适用。</w:t>
      </w:r>
    </w:p>
    <w:p w14:paraId="49C14EC2">
      <w:pPr>
        <w:pStyle w:val="22"/>
        <w:adjustRightInd w:val="0"/>
        <w:snapToGrid w:val="0"/>
        <w:spacing w:line="400" w:lineRule="exact"/>
        <w:rPr>
          <w:rFonts w:hAnsi="宋体" w:cs="宋体"/>
          <w:b/>
          <w:color w:val="auto"/>
          <w:sz w:val="21"/>
          <w:szCs w:val="21"/>
          <w:highlight w:val="none"/>
        </w:rPr>
      </w:pPr>
      <w:r>
        <w:rPr>
          <w:rFonts w:hint="eastAsia" w:hAnsi="宋体" w:cs="宋体"/>
          <w:b/>
          <w:color w:val="auto"/>
          <w:sz w:val="21"/>
          <w:szCs w:val="21"/>
          <w:highlight w:val="none"/>
        </w:rPr>
        <w:t>16.投标担保</w:t>
      </w:r>
    </w:p>
    <w:p w14:paraId="6A8E347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16.1投标人应在本须知前附表规定的时间前提交一笔不少于前附表规定数额的投标担保，并作为其投标文件的一部分。</w:t>
      </w:r>
    </w:p>
    <w:p w14:paraId="659C936E">
      <w:pPr>
        <w:pStyle w:val="22"/>
        <w:adjustRightInd w:val="0"/>
        <w:snapToGrid w:val="0"/>
        <w:spacing w:line="400" w:lineRule="exact"/>
        <w:ind w:firstLine="420" w:firstLineChars="200"/>
        <w:rPr>
          <w:rFonts w:hAnsi="宋体" w:cs="宋体"/>
          <w:bCs/>
          <w:color w:val="auto"/>
          <w:sz w:val="21"/>
          <w:szCs w:val="21"/>
          <w:highlight w:val="none"/>
        </w:rPr>
      </w:pPr>
      <w:r>
        <w:rPr>
          <w:rFonts w:hint="eastAsia" w:hAnsi="宋体" w:cs="宋体"/>
          <w:color w:val="auto"/>
          <w:sz w:val="21"/>
          <w:szCs w:val="21"/>
          <w:highlight w:val="none"/>
        </w:rPr>
        <w:t>16.2</w:t>
      </w:r>
      <w:r>
        <w:rPr>
          <w:rFonts w:hint="eastAsia" w:hAnsi="宋体" w:cs="宋体"/>
          <w:color w:val="auto"/>
          <w:spacing w:val="10"/>
          <w:kern w:val="24"/>
          <w:sz w:val="21"/>
          <w:szCs w:val="21"/>
          <w:highlight w:val="none"/>
        </w:rPr>
        <w:t>投标人应按要求提交投标担保，本工程投标担保采用</w:t>
      </w:r>
      <w:r>
        <w:rPr>
          <w:rFonts w:hint="eastAsia" w:hAnsi="宋体" w:cs="宋体"/>
          <w:color w:val="auto"/>
          <w:sz w:val="21"/>
          <w:szCs w:val="21"/>
          <w:highlight w:val="none"/>
        </w:rPr>
        <w:t>现金、保函等形式；接受投标保证金的银行及帐号等规定详见本须知前附表</w:t>
      </w:r>
      <w:r>
        <w:rPr>
          <w:rFonts w:hint="eastAsia" w:hAnsi="宋体" w:cs="宋体"/>
          <w:b/>
          <w:color w:val="auto"/>
          <w:sz w:val="21"/>
          <w:szCs w:val="21"/>
          <w:highlight w:val="none"/>
        </w:rPr>
        <w:t>。任何未按上述规定提交投标保证金的投标人，将被视为自动放弃投标资格。</w:t>
      </w:r>
    </w:p>
    <w:p w14:paraId="003AB1E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16.3对于未能按要求提交投标担保的投标，招标人将视为不响应招标文件而予以拒绝。</w:t>
      </w:r>
    </w:p>
    <w:p w14:paraId="19A2A672">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16.4投标人的投标担保将在前附表规定时间内予以退还。</w:t>
      </w:r>
    </w:p>
    <w:p w14:paraId="322ACAA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16.5</w:t>
      </w:r>
      <w:r>
        <w:rPr>
          <w:rFonts w:hint="eastAsia" w:hAnsi="宋体" w:cs="宋体"/>
          <w:b/>
          <w:bCs/>
          <w:color w:val="auto"/>
          <w:sz w:val="21"/>
          <w:szCs w:val="21"/>
          <w:highlight w:val="none"/>
        </w:rPr>
        <w:t>如投标人发生下列情况之一时，投标担保金将不予退还：</w:t>
      </w:r>
    </w:p>
    <w:p w14:paraId="56254816">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16.5.1投标人在投标截止后至投标有效期内撤回投标文件的；</w:t>
      </w:r>
    </w:p>
    <w:p w14:paraId="74BED89F">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16.5.2中标人未能在规定期限内按照招标文件内容提交履约担保或签订合同协议；</w:t>
      </w:r>
    </w:p>
    <w:p w14:paraId="1F29ADEA">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16.5.3投标人在招标活动中存在违规和违法行为的。</w:t>
      </w:r>
    </w:p>
    <w:p w14:paraId="46C21EE1">
      <w:pPr>
        <w:pStyle w:val="22"/>
        <w:adjustRightInd w:val="0"/>
        <w:snapToGrid w:val="0"/>
        <w:spacing w:line="400" w:lineRule="exact"/>
        <w:ind w:firstLine="422" w:firstLineChars="200"/>
        <w:rPr>
          <w:rFonts w:hAnsi="宋体" w:cs="宋体"/>
          <w:color w:val="auto"/>
          <w:sz w:val="21"/>
          <w:szCs w:val="21"/>
          <w:highlight w:val="none"/>
        </w:rPr>
      </w:pPr>
      <w:r>
        <w:rPr>
          <w:rFonts w:hint="eastAsia" w:hAnsi="宋体" w:cs="宋体"/>
          <w:b/>
          <w:bCs/>
          <w:color w:val="auto"/>
          <w:sz w:val="21"/>
          <w:szCs w:val="21"/>
          <w:highlight w:val="none"/>
        </w:rPr>
        <w:t>16.5.4投标人中标后因中标人自身原因放弃中标资格的。</w:t>
      </w:r>
    </w:p>
    <w:p w14:paraId="6BAE864F">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17.投标替代方案</w:t>
      </w:r>
    </w:p>
    <w:p w14:paraId="64086091">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17.1 投标人所提交的方案应满足招标文件的要求，除非本须知前附表中允许投标人提交替代方案，否则替代方案将不予考虑。</w:t>
      </w:r>
    </w:p>
    <w:p w14:paraId="3D1F316B">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17.2如果本须知前附表中允许投标人提交替代方案，则投标人除提交正式投标文件外，还应按照招标文件要求提交替代方案。替代方案应包括设计计算书、技术规范、单价分析表、替代方案报价书、所建议的施工方案等满足评审需要的全部资料。</w:t>
      </w:r>
    </w:p>
    <w:p w14:paraId="423B3502">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18.投标文件的份数和签署</w:t>
      </w:r>
    </w:p>
    <w:p w14:paraId="56B2B29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18.1 投标人应按本须知前附表规定的份数和招标文件规定的格式，编制并提交投标文件。</w:t>
      </w:r>
    </w:p>
    <w:p w14:paraId="7A9778B1">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18.2 投标文件的正本和副本均需采用打印或使用不褪色的蓝、黑墨水笔书写，字迹应清晰易于辨认，并应在投标文件封面的右上角清楚地注明“正本”或“副本”。正本和副本如有不一致之处，以正本为准。投标文件“正本”与“副本’字样须使用不能擦去的黑色墨迹打印或书写，若有修改应在修改处加盖投标人法人章</w:t>
      </w:r>
      <w:r>
        <w:rPr>
          <w:rFonts w:hint="eastAsia" w:hAnsi="宋体" w:cs="宋体"/>
          <w:color w:val="auto"/>
          <w:spacing w:val="-2"/>
          <w:sz w:val="21"/>
          <w:szCs w:val="21"/>
          <w:highlight w:val="none"/>
        </w:rPr>
        <w:t>。</w:t>
      </w:r>
    </w:p>
    <w:p w14:paraId="27C1CFE4">
      <w:pPr>
        <w:pStyle w:val="22"/>
        <w:adjustRightInd w:val="0"/>
        <w:snapToGrid w:val="0"/>
        <w:spacing w:line="400" w:lineRule="exact"/>
        <w:ind w:firstLine="420" w:firstLineChars="200"/>
        <w:rPr>
          <w:rFonts w:hAnsi="宋体" w:cs="宋体"/>
          <w:color w:val="auto"/>
          <w:spacing w:val="-2"/>
          <w:sz w:val="21"/>
          <w:szCs w:val="21"/>
          <w:highlight w:val="none"/>
        </w:rPr>
      </w:pPr>
      <w:r>
        <w:rPr>
          <w:rFonts w:hint="eastAsia" w:hAnsi="宋体" w:cs="宋体"/>
          <w:color w:val="auto"/>
          <w:sz w:val="21"/>
          <w:szCs w:val="21"/>
          <w:highlight w:val="none"/>
        </w:rPr>
        <w:t>18.3投标文件均应加盖投标人公章并经法定代表人或其委托代理人签字或加盖印章。由委托代理人签字或盖章的在投标文件中须同时提交投标文件签署授权委托书。投标文件签署授权委托书格式、签字、</w:t>
      </w:r>
      <w:r>
        <w:rPr>
          <w:rFonts w:hint="eastAsia" w:hAnsi="宋体" w:cs="宋体"/>
          <w:color w:val="auto"/>
          <w:spacing w:val="-2"/>
          <w:sz w:val="21"/>
          <w:szCs w:val="21"/>
          <w:highlight w:val="none"/>
        </w:rPr>
        <w:t>盖章及内容均应符合招标文件要求，否则投标文件签署授权委托书无效。</w:t>
      </w:r>
    </w:p>
    <w:p w14:paraId="5E15DE9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18.4 投标人按照规定对其投标文件相关内容签署盖章后，其投标文件所有内容均视为确认，对投标人起约束作用。</w:t>
      </w:r>
    </w:p>
    <w:p w14:paraId="5AF01474">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18.5 除投标人对错误处须修改外，全套投标文件应无涂改或行间插字和增删。如有修改，修改处应由投标人加盖投标人的法人印章或由投标文件签字人签字或盖章。投标文件应尽量避免以涂改及行间插字方式进行修改，若投标文件存在涂改及行间插字，招标人不承担任何可能因此而造成的辨识错误。</w:t>
      </w:r>
    </w:p>
    <w:p w14:paraId="66F898B0">
      <w:pPr>
        <w:pStyle w:val="22"/>
        <w:adjustRightInd w:val="0"/>
        <w:snapToGrid w:val="0"/>
        <w:spacing w:line="400" w:lineRule="exact"/>
        <w:ind w:firstLine="422" w:firstLineChars="200"/>
        <w:rPr>
          <w:rFonts w:hAnsi="宋体" w:cs="宋体"/>
          <w:b/>
          <w:color w:val="auto"/>
          <w:sz w:val="21"/>
          <w:szCs w:val="21"/>
          <w:highlight w:val="none"/>
        </w:rPr>
      </w:pPr>
      <w:r>
        <w:rPr>
          <w:rFonts w:hint="eastAsia" w:hAnsi="宋体" w:cs="宋体"/>
          <w:b/>
          <w:color w:val="auto"/>
          <w:sz w:val="21"/>
          <w:szCs w:val="21"/>
          <w:highlight w:val="none"/>
        </w:rPr>
        <w:t>18.6纸质投标文件建议采用双面打印(此条不作为废标条件)。</w:t>
      </w:r>
    </w:p>
    <w:p w14:paraId="361AB6B2">
      <w:pPr>
        <w:pStyle w:val="5"/>
        <w:adjustRightInd w:val="0"/>
        <w:snapToGrid w:val="0"/>
        <w:spacing w:before="0" w:after="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（四）投标文件的提交</w:t>
      </w:r>
    </w:p>
    <w:p w14:paraId="5B5697AA">
      <w:pPr>
        <w:pStyle w:val="22"/>
        <w:adjustRightInd w:val="0"/>
        <w:snapToGrid w:val="0"/>
        <w:spacing w:line="400" w:lineRule="exact"/>
        <w:rPr>
          <w:rFonts w:hAnsi="宋体" w:cs="宋体"/>
          <w:b/>
          <w:bCs/>
          <w:color w:val="auto"/>
          <w:sz w:val="21"/>
          <w:szCs w:val="21"/>
          <w:highlight w:val="none"/>
        </w:rPr>
      </w:pPr>
      <w:r>
        <w:rPr>
          <w:rFonts w:hint="eastAsia" w:hAnsi="宋体" w:cs="宋体"/>
          <w:b/>
          <w:bCs/>
          <w:color w:val="auto"/>
          <w:sz w:val="21"/>
          <w:szCs w:val="21"/>
          <w:highlight w:val="none"/>
        </w:rPr>
        <w:t>19.投标文件的装订、密封和标记</w:t>
      </w:r>
    </w:p>
    <w:p w14:paraId="12F9CAD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19.1投标文件的正本应密封，并在密封袋上清楚地标明“正本”，密封袋封口处应密封，并应加盖投标人法人章或法定代表人印章；</w:t>
      </w:r>
    </w:p>
    <w:p w14:paraId="0EA32BBD">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 投标文件密封袋上均应写明：</w:t>
      </w:r>
    </w:p>
    <w:p w14:paraId="61ADD7B6">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19.2.1 招标人名称；</w:t>
      </w:r>
    </w:p>
    <w:p w14:paraId="28763EB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19.2.2 招标编号；</w:t>
      </w:r>
    </w:p>
    <w:p w14:paraId="61976AB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19.2.3 工程名称；</w:t>
      </w:r>
    </w:p>
    <w:p w14:paraId="7BD9AC6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19.2.4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分开标，此时间以前不得开封；</w:t>
      </w:r>
    </w:p>
    <w:p w14:paraId="42707FBD">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19.2.5投标人名称和地址。</w:t>
      </w:r>
    </w:p>
    <w:p w14:paraId="2C233C00">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20.投标文件的提交</w:t>
      </w:r>
    </w:p>
    <w:p w14:paraId="3D8E16C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20.1投标人应按招标时间安排表中规定的地点，于截止时间前提交投标文件。</w:t>
      </w:r>
    </w:p>
    <w:p w14:paraId="1B26D7FD">
      <w:pPr>
        <w:pStyle w:val="22"/>
        <w:adjustRightInd w:val="0"/>
        <w:snapToGrid w:val="0"/>
        <w:spacing w:line="400" w:lineRule="exact"/>
        <w:ind w:firstLine="420" w:firstLineChars="200"/>
        <w:rPr>
          <w:rFonts w:hAnsi="宋体" w:cs="宋体"/>
          <w:b/>
          <w:color w:val="auto"/>
          <w:sz w:val="21"/>
          <w:szCs w:val="21"/>
          <w:highlight w:val="none"/>
        </w:rPr>
      </w:pPr>
      <w:r>
        <w:rPr>
          <w:rFonts w:hint="eastAsia" w:hAnsi="宋体" w:cs="宋体"/>
          <w:color w:val="auto"/>
          <w:sz w:val="21"/>
          <w:szCs w:val="21"/>
          <w:highlight w:val="none"/>
        </w:rPr>
        <w:t>20.2 投标文件提交的截止时间见招标时间安排表的规定。</w:t>
      </w:r>
    </w:p>
    <w:p w14:paraId="53819016">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20.3 到投标截止时间止，招标人收到的有效投标文件少于3个的，招标人将依法重新组织招标。</w:t>
      </w:r>
    </w:p>
    <w:p w14:paraId="4CDDEC24">
      <w:pPr>
        <w:pStyle w:val="22"/>
        <w:adjustRightInd w:val="0"/>
        <w:snapToGrid w:val="0"/>
        <w:spacing w:line="400" w:lineRule="exact"/>
        <w:rPr>
          <w:rFonts w:hAnsi="宋体" w:cs="宋体"/>
          <w:b/>
          <w:bCs/>
          <w:color w:val="auto"/>
          <w:sz w:val="21"/>
          <w:szCs w:val="21"/>
          <w:highlight w:val="none"/>
        </w:rPr>
      </w:pPr>
      <w:r>
        <w:rPr>
          <w:rFonts w:hint="eastAsia" w:hAnsi="宋体" w:cs="宋体"/>
          <w:color w:val="auto"/>
          <w:sz w:val="21"/>
          <w:szCs w:val="21"/>
          <w:highlight w:val="none"/>
        </w:rPr>
        <w:t>21.</w:t>
      </w:r>
      <w:r>
        <w:rPr>
          <w:rFonts w:hint="eastAsia" w:hAnsi="宋体" w:cs="宋体"/>
          <w:b/>
          <w:bCs/>
          <w:color w:val="auto"/>
          <w:sz w:val="21"/>
          <w:szCs w:val="21"/>
          <w:highlight w:val="none"/>
        </w:rPr>
        <w:t>迟交的投标文件</w:t>
      </w:r>
    </w:p>
    <w:p w14:paraId="727093EB">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招标人在本前附表规定的投标截止时间以后收到的投标文件，将被拒绝并退回给投标人。</w:t>
      </w:r>
    </w:p>
    <w:p w14:paraId="7ADF35B2">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22.投标文件的补充、修改与撤回</w:t>
      </w:r>
    </w:p>
    <w:p w14:paraId="61F102AA">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22.1 投标人在提交投标文件以后，在规定的投标截止时间之前，可以书面形式补充、修改或撤回已提交的投标文件，并以书面形式通知招标人。补充、修改的内容为投标文件的组成部分。</w:t>
      </w:r>
    </w:p>
    <w:p w14:paraId="440FFD26">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22.2 投标人对投标文件的补充、修改或撤回通知，应按须知21条有关规定密封、标记和提交，并在投标文件密封袋上清楚标明“补充、修改”或“撤回”字样。否则，补充、修改或撤回通知无效。</w:t>
      </w:r>
    </w:p>
    <w:p w14:paraId="71E58C6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22.3 在投标截止时间之后，投标人不得补充、修改投标文件。</w:t>
      </w:r>
    </w:p>
    <w:p w14:paraId="784F6A32">
      <w:pPr>
        <w:pStyle w:val="5"/>
        <w:adjustRightInd w:val="0"/>
        <w:snapToGrid w:val="0"/>
        <w:spacing w:before="0" w:after="0" w:line="400" w:lineRule="exact"/>
        <w:rPr>
          <w:rFonts w:ascii="宋体" w:hAnsi="宋体" w:eastAsia="宋体" w:cs="宋体"/>
          <w:color w:val="auto"/>
          <w:sz w:val="21"/>
          <w:szCs w:val="21"/>
          <w:highlight w:val="none"/>
        </w:rPr>
      </w:pPr>
      <w:bookmarkStart w:id="22" w:name="_Toc200336335"/>
      <w:bookmarkStart w:id="23" w:name="_Toc208106834"/>
      <w:r>
        <w:rPr>
          <w:rFonts w:hint="eastAsia" w:ascii="宋体" w:hAnsi="宋体" w:eastAsia="宋体" w:cs="宋体"/>
          <w:color w:val="auto"/>
          <w:sz w:val="21"/>
          <w:szCs w:val="21"/>
          <w:highlight w:val="none"/>
        </w:rPr>
        <w:t>（五）开标</w:t>
      </w:r>
      <w:bookmarkEnd w:id="22"/>
      <w:bookmarkEnd w:id="23"/>
    </w:p>
    <w:p w14:paraId="27B44FC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23.开标</w:t>
      </w:r>
    </w:p>
    <w:p w14:paraId="786F3716">
      <w:pPr>
        <w:pStyle w:val="22"/>
        <w:adjustRightInd w:val="0"/>
        <w:snapToGrid w:val="0"/>
        <w:spacing w:line="400" w:lineRule="exact"/>
        <w:ind w:firstLine="420" w:firstLineChars="200"/>
        <w:rPr>
          <w:rFonts w:hAnsi="宋体" w:cs="宋体"/>
          <w:b/>
          <w:bCs/>
          <w:color w:val="auto"/>
          <w:sz w:val="21"/>
          <w:szCs w:val="21"/>
          <w:highlight w:val="none"/>
        </w:rPr>
      </w:pPr>
      <w:r>
        <w:rPr>
          <w:rFonts w:hint="eastAsia" w:hAnsi="宋体" w:cs="宋体"/>
          <w:bCs/>
          <w:color w:val="auto"/>
          <w:sz w:val="21"/>
          <w:szCs w:val="21"/>
          <w:highlight w:val="none"/>
        </w:rPr>
        <w:t>23.1招标人按</w:t>
      </w:r>
      <w:r>
        <w:rPr>
          <w:rFonts w:hint="eastAsia" w:hAnsi="宋体" w:cs="宋体"/>
          <w:color w:val="auto"/>
          <w:sz w:val="21"/>
          <w:szCs w:val="21"/>
          <w:highlight w:val="none"/>
        </w:rPr>
        <w:t>招标时间安排表</w:t>
      </w:r>
      <w:r>
        <w:rPr>
          <w:rFonts w:hint="eastAsia" w:hAnsi="宋体" w:cs="宋体"/>
          <w:bCs/>
          <w:color w:val="auto"/>
          <w:sz w:val="21"/>
          <w:szCs w:val="21"/>
          <w:highlight w:val="none"/>
        </w:rPr>
        <w:t>所规定的时间和地点公开开标，并邀请所有投标人代表参加。</w:t>
      </w:r>
    </w:p>
    <w:p w14:paraId="1439EC05">
      <w:pPr>
        <w:pStyle w:val="22"/>
        <w:adjustRightInd w:val="0"/>
        <w:snapToGrid w:val="0"/>
        <w:spacing w:line="400" w:lineRule="exact"/>
        <w:ind w:firstLine="420" w:firstLineChars="200"/>
        <w:rPr>
          <w:rFonts w:hAnsi="宋体" w:cs="宋体"/>
          <w:bCs/>
          <w:color w:val="auto"/>
          <w:sz w:val="21"/>
          <w:szCs w:val="21"/>
          <w:highlight w:val="none"/>
        </w:rPr>
      </w:pPr>
      <w:r>
        <w:rPr>
          <w:rFonts w:hint="eastAsia" w:hAnsi="宋体" w:cs="宋体"/>
          <w:bCs/>
          <w:color w:val="auto"/>
          <w:sz w:val="21"/>
          <w:szCs w:val="21"/>
          <w:highlight w:val="none"/>
        </w:rPr>
        <w:t>23.2按规定提交合格的撤回通知的投标文件不予开封，并退回给投标人；按规定确定为无效的投标文件，不予送交评审。</w:t>
      </w:r>
    </w:p>
    <w:p w14:paraId="6790246B">
      <w:pPr>
        <w:pStyle w:val="22"/>
        <w:adjustRightInd w:val="0"/>
        <w:snapToGrid w:val="0"/>
        <w:spacing w:line="400" w:lineRule="exact"/>
        <w:ind w:firstLine="420" w:firstLineChars="200"/>
        <w:rPr>
          <w:rFonts w:hAnsi="宋体" w:cs="宋体"/>
          <w:b/>
          <w:bCs/>
          <w:color w:val="auto"/>
          <w:sz w:val="21"/>
          <w:szCs w:val="21"/>
          <w:highlight w:val="none"/>
        </w:rPr>
      </w:pPr>
      <w:r>
        <w:rPr>
          <w:rFonts w:hint="eastAsia" w:hAnsi="宋体" w:cs="宋体"/>
          <w:bCs/>
          <w:color w:val="auto"/>
          <w:sz w:val="21"/>
          <w:szCs w:val="21"/>
          <w:highlight w:val="none"/>
        </w:rPr>
        <w:t>23.3</w:t>
      </w:r>
      <w:r>
        <w:rPr>
          <w:rFonts w:hint="eastAsia" w:hAnsi="宋体" w:cs="宋体"/>
          <w:b/>
          <w:bCs/>
          <w:color w:val="auto"/>
          <w:sz w:val="21"/>
          <w:szCs w:val="21"/>
          <w:highlight w:val="none"/>
        </w:rPr>
        <w:t>投标人必须保证其标书中所有资料的真实性。</w:t>
      </w:r>
    </w:p>
    <w:p w14:paraId="46544922">
      <w:pPr>
        <w:pStyle w:val="22"/>
        <w:adjustRightInd w:val="0"/>
        <w:snapToGrid w:val="0"/>
        <w:spacing w:line="400" w:lineRule="exact"/>
        <w:ind w:firstLine="420" w:firstLineChars="200"/>
        <w:rPr>
          <w:rFonts w:hAnsi="宋体" w:cs="宋体"/>
          <w:bCs/>
          <w:color w:val="auto"/>
          <w:sz w:val="21"/>
          <w:szCs w:val="21"/>
          <w:highlight w:val="none"/>
        </w:rPr>
      </w:pPr>
      <w:r>
        <w:rPr>
          <w:rFonts w:hint="eastAsia" w:hAnsi="宋体" w:cs="宋体"/>
          <w:bCs/>
          <w:color w:val="auto"/>
          <w:sz w:val="21"/>
          <w:szCs w:val="21"/>
          <w:highlight w:val="none"/>
        </w:rPr>
        <w:t>23.4开标由招标人或招标代理机构主持：</w:t>
      </w:r>
    </w:p>
    <w:p w14:paraId="5657A53A">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24.投标文件的有效性</w:t>
      </w:r>
    </w:p>
    <w:p w14:paraId="711518A2">
      <w:pPr>
        <w:pStyle w:val="22"/>
        <w:adjustRightInd w:val="0"/>
        <w:snapToGrid w:val="0"/>
        <w:spacing w:line="400" w:lineRule="exact"/>
        <w:ind w:firstLine="422" w:firstLineChars="200"/>
        <w:rPr>
          <w:rFonts w:hAnsi="宋体" w:cs="宋体"/>
          <w:color w:val="auto"/>
          <w:sz w:val="21"/>
          <w:szCs w:val="21"/>
          <w:highlight w:val="none"/>
        </w:rPr>
      </w:pPr>
      <w:r>
        <w:rPr>
          <w:rFonts w:hint="eastAsia" w:hAnsi="宋体" w:cs="宋体"/>
          <w:b/>
          <w:bCs/>
          <w:color w:val="auto"/>
          <w:sz w:val="21"/>
          <w:szCs w:val="21"/>
          <w:highlight w:val="none"/>
        </w:rPr>
        <w:t>投标文件有下列情形之一的，招标人将不予接受</w:t>
      </w:r>
      <w:r>
        <w:rPr>
          <w:rFonts w:hint="eastAsia" w:hAnsi="宋体" w:cs="宋体"/>
          <w:color w:val="auto"/>
          <w:sz w:val="21"/>
          <w:szCs w:val="21"/>
          <w:highlight w:val="none"/>
        </w:rPr>
        <w:t xml:space="preserve">： </w:t>
      </w:r>
    </w:p>
    <w:p w14:paraId="136A3765">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（一）逾期送达的或者未送达指定地点的； </w:t>
      </w:r>
    </w:p>
    <w:p w14:paraId="54DC4D8F">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（二）未按招标文件要求包装、密封</w:t>
      </w:r>
      <w:r>
        <w:rPr>
          <w:rFonts w:hint="eastAsia" w:hAnsi="宋体" w:cs="宋体"/>
          <w:bCs/>
          <w:color w:val="auto"/>
          <w:sz w:val="21"/>
          <w:szCs w:val="21"/>
          <w:highlight w:val="none"/>
        </w:rPr>
        <w:t>及加写标记</w:t>
      </w:r>
      <w:r>
        <w:rPr>
          <w:rFonts w:hint="eastAsia" w:hAnsi="宋体" w:cs="宋体"/>
          <w:color w:val="auto"/>
          <w:sz w:val="21"/>
          <w:szCs w:val="21"/>
          <w:highlight w:val="none"/>
        </w:rPr>
        <w:t>的。</w:t>
      </w:r>
    </w:p>
    <w:p w14:paraId="104792A0">
      <w:pPr>
        <w:pStyle w:val="22"/>
        <w:adjustRightInd w:val="0"/>
        <w:snapToGrid w:val="0"/>
        <w:spacing w:line="400" w:lineRule="exact"/>
        <w:ind w:firstLine="422" w:firstLineChars="200"/>
        <w:rPr>
          <w:rFonts w:hAnsi="宋体" w:cs="宋体"/>
          <w:b/>
          <w:bCs/>
          <w:color w:val="auto"/>
          <w:sz w:val="21"/>
          <w:szCs w:val="21"/>
          <w:highlight w:val="none"/>
        </w:rPr>
      </w:pPr>
      <w:r>
        <w:rPr>
          <w:rFonts w:hint="eastAsia" w:hAnsi="宋体" w:cs="宋体"/>
          <w:b/>
          <w:bCs/>
          <w:color w:val="auto"/>
          <w:sz w:val="21"/>
          <w:szCs w:val="21"/>
          <w:highlight w:val="none"/>
        </w:rPr>
        <w:t>（三）投标人未按要求递交投标文件的。</w:t>
      </w:r>
    </w:p>
    <w:p w14:paraId="10796A4D">
      <w:pPr>
        <w:pStyle w:val="5"/>
        <w:adjustRightInd w:val="0"/>
        <w:snapToGrid w:val="0"/>
        <w:spacing w:before="0" w:after="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（六）评标、定标</w:t>
      </w:r>
    </w:p>
    <w:p w14:paraId="6D847249">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25.评标委员会与评标</w:t>
      </w:r>
    </w:p>
    <w:p w14:paraId="6626028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25.1 评标委员会由招标人依法组建，评标活动由评标委员会负责。</w:t>
      </w:r>
    </w:p>
    <w:p w14:paraId="41602D7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25.2 开标结束后，开始评标，评标采用保密方式进行。</w:t>
      </w:r>
    </w:p>
    <w:p w14:paraId="49912C3A">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26.评标过程的保密</w:t>
      </w:r>
    </w:p>
    <w:p w14:paraId="03C92740">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26.1开标后，直至授予中标人合同为止，凡属于对投标文件的审查、澄清、评价和比较的有关资料以及中标候选人的推荐情况，与评标有关的其他任何情况均严格保密。</w:t>
      </w:r>
    </w:p>
    <w:p w14:paraId="28B17CD5">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26.2 在投标文件的评审和比较、中标候选人推荐以及授予合同的过程中，投标人向招标人和评标委员会施加影响的任何行为，都将会导致其投标被拒绝。</w:t>
      </w:r>
    </w:p>
    <w:p w14:paraId="6DF160F9">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26.3中标人确定后，招标人不对未中标人就评标过程以及未能中标原因作出任何解释。未中标人不得向评标委员会组成人员或其他有关人员索问评标过程的情况和材料。</w:t>
      </w:r>
    </w:p>
    <w:p w14:paraId="0F9456D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27.投标文件的澄清</w:t>
      </w:r>
    </w:p>
    <w:p w14:paraId="1F0DC154">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27.1 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凡属于评标委员会在评标中发现的计算错误进行核实的修改不在此列。</w:t>
      </w:r>
    </w:p>
    <w:p w14:paraId="61D1BF39">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27.2 有下列情形之一的，在评标现场评标时，评标委员会可以要求投标人当场作出书面说明并提供相关材料：</w:t>
      </w:r>
    </w:p>
    <w:p w14:paraId="6AE6B87E">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（一）设有</w:t>
      </w:r>
      <w:r>
        <w:rPr>
          <w:rFonts w:hint="eastAsia" w:hAnsi="宋体" w:cs="宋体"/>
          <w:bCs/>
          <w:color w:val="auto"/>
          <w:sz w:val="21"/>
          <w:szCs w:val="21"/>
          <w:highlight w:val="none"/>
        </w:rPr>
        <w:t>控制价</w:t>
      </w:r>
      <w:r>
        <w:rPr>
          <w:rFonts w:hint="eastAsia" w:hAnsi="宋体" w:cs="宋体"/>
          <w:color w:val="auto"/>
          <w:sz w:val="21"/>
          <w:szCs w:val="21"/>
          <w:highlight w:val="none"/>
        </w:rPr>
        <w:t>的，投标报价低于</w:t>
      </w:r>
      <w:r>
        <w:rPr>
          <w:rFonts w:hint="eastAsia" w:hAnsi="宋体" w:cs="宋体"/>
          <w:bCs/>
          <w:color w:val="auto"/>
          <w:sz w:val="21"/>
          <w:szCs w:val="21"/>
          <w:highlight w:val="none"/>
        </w:rPr>
        <w:t>控制价</w:t>
      </w:r>
      <w:r>
        <w:rPr>
          <w:rFonts w:hint="eastAsia" w:hAnsi="宋体" w:cs="宋体"/>
          <w:color w:val="auto"/>
          <w:sz w:val="21"/>
          <w:szCs w:val="21"/>
          <w:highlight w:val="none"/>
        </w:rPr>
        <w:t>合理幅度的；</w:t>
      </w:r>
    </w:p>
    <w:p w14:paraId="12DD7AD5">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（二）不设控制价的，投标报价明显低于其他投标报价，有可能低于其企业成本的。</w:t>
      </w:r>
    </w:p>
    <w:p w14:paraId="0F7463C8">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28.投标文件的评审程序</w:t>
      </w:r>
    </w:p>
    <w:p w14:paraId="0270DDAC">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评标委员会应当根据招标文件有关规定，审查并逐项列出投标文件的全部投标偏差。投标偏差分重大偏差和细微偏差。</w:t>
      </w:r>
    </w:p>
    <w:p w14:paraId="3E011420">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29.投标文件计算错误的修正</w:t>
      </w:r>
    </w:p>
    <w:p w14:paraId="4C24DE93">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评标委员会将对确定为实质上响应招标文件要求的投标文件进行校核，看其是否有计算或表达上的细微偏差。</w:t>
      </w:r>
    </w:p>
    <w:p w14:paraId="09459528">
      <w:pPr>
        <w:widowControl/>
        <w:adjustRightInd w:val="0"/>
        <w:snapToGrid w:val="0"/>
        <w:spacing w:line="400" w:lineRule="exact"/>
        <w:ind w:firstLine="315" w:firstLineChars="150"/>
        <w:rPr>
          <w:rFonts w:ascii="宋体" w:hAnsi="宋体" w:cs="宋体"/>
          <w:color w:val="auto"/>
          <w:szCs w:val="21"/>
          <w:highlight w:val="none"/>
        </w:rPr>
      </w:pPr>
    </w:p>
    <w:p w14:paraId="735F0F97">
      <w:pPr>
        <w:pStyle w:val="22"/>
        <w:adjustRightInd w:val="0"/>
        <w:snapToGrid w:val="0"/>
        <w:spacing w:line="400" w:lineRule="exact"/>
        <w:jc w:val="center"/>
        <w:rPr>
          <w:rFonts w:hAnsi="宋体" w:cs="宋体"/>
          <w:b/>
          <w:color w:val="auto"/>
          <w:sz w:val="21"/>
          <w:szCs w:val="21"/>
          <w:highlight w:val="none"/>
        </w:rPr>
      </w:pPr>
      <w:r>
        <w:rPr>
          <w:rFonts w:hint="eastAsia" w:hAnsi="宋体" w:cs="宋体"/>
          <w:b/>
          <w:color w:val="auto"/>
          <w:sz w:val="21"/>
          <w:szCs w:val="21"/>
          <w:highlight w:val="none"/>
        </w:rPr>
        <w:t>（七）合同的授予</w:t>
      </w:r>
    </w:p>
    <w:p w14:paraId="64649A1D">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30.合同授予标准：本招标工程的施工合同将授予中标人。</w:t>
      </w:r>
    </w:p>
    <w:p w14:paraId="262C3C29">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31.招标人拒绝投标的权力：招标人不承诺将合同授予报价最低的投标人。招标人在发出中标通知书前，有权依据评标委员会的评标报告拒绝不合格的投标。</w:t>
      </w:r>
    </w:p>
    <w:p w14:paraId="77F3C4FD">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32.中标通知书</w:t>
      </w:r>
    </w:p>
    <w:p w14:paraId="2934B0F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32.1招标人将在发出中标通知书的同时,将中标结果以书面形式通知所有未中标的投标人。</w:t>
      </w:r>
    </w:p>
    <w:p w14:paraId="07A8A237">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32.2非预中标人的投标保证金将在中标公示后五日内退还。预中标人（排名第一的预中标候选人）的投标保证金将在合同签订后五日内退还。退还保证金时应当同时退还银行同期存款利息，如有相应的银行手续费用应当先予扣除。（退还利息条款仅限保证金缴入虚拟账户项目）</w:t>
      </w:r>
    </w:p>
    <w:p w14:paraId="336EF736">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33.合同协议书的签订：</w:t>
      </w:r>
    </w:p>
    <w:p w14:paraId="268FCFC9">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 xml:space="preserve"> 招标人与中标人将于中标通知书发出之日起30日内，按照招标文件和中标人的投标文件订立书面工程施工合同，招标人和中标人不得再行订立背离合同实质性内容的其他协议。</w:t>
      </w:r>
    </w:p>
    <w:p w14:paraId="00588E3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34中标人如不按本招标文件规定与招标人订立合同，则招标人将废除授标，投标担保不予退还，给招标人造成的损失超过投标担保数额的，还应当对超过部分予以赔偿，同时依法承担相应法律责任。</w:t>
      </w:r>
    </w:p>
    <w:p w14:paraId="1943EA97">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35中标人应当按照合同约定履行义务，完成中标项目施工，不得将中标项目施工转让（转包）给他人。</w:t>
      </w:r>
    </w:p>
    <w:p w14:paraId="2745972A">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36.履约担保</w:t>
      </w:r>
    </w:p>
    <w:p w14:paraId="43295F73">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36.1 合同协议书签署的同时，中标人应按本须知前附表第22项规定的金额向招标人提交履约担保。</w:t>
      </w:r>
    </w:p>
    <w:p w14:paraId="432F9018">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36.2 若中标人不能按投标须知中相关规定执行，招标人将有权解除合同，并没收其投标保证金，给招标人造成的损失超过投标担保数额的，还应当对超过部分予以赔偿。</w:t>
      </w:r>
    </w:p>
    <w:p w14:paraId="02657F7D">
      <w:pPr>
        <w:pStyle w:val="22"/>
        <w:adjustRightInd w:val="0"/>
        <w:snapToGrid w:val="0"/>
        <w:spacing w:line="400" w:lineRule="exact"/>
        <w:rPr>
          <w:rFonts w:hAnsi="宋体" w:cs="宋体"/>
          <w:color w:val="auto"/>
          <w:sz w:val="21"/>
          <w:szCs w:val="21"/>
          <w:highlight w:val="none"/>
        </w:rPr>
      </w:pPr>
      <w:r>
        <w:rPr>
          <w:rFonts w:hint="eastAsia" w:hAnsi="宋体" w:cs="宋体"/>
          <w:color w:val="auto"/>
          <w:sz w:val="21"/>
          <w:szCs w:val="21"/>
          <w:highlight w:val="none"/>
        </w:rPr>
        <w:t>37.履约担保返还时限</w:t>
      </w:r>
    </w:p>
    <w:p w14:paraId="5788AF12">
      <w:pPr>
        <w:pStyle w:val="22"/>
        <w:adjustRightInd w:val="0"/>
        <w:snapToGrid w:val="0"/>
        <w:spacing w:line="400" w:lineRule="exact"/>
        <w:ind w:firstLine="420" w:firstLineChars="200"/>
        <w:rPr>
          <w:rFonts w:hAnsi="宋体" w:cs="宋体"/>
          <w:color w:val="auto"/>
          <w:sz w:val="21"/>
          <w:szCs w:val="21"/>
          <w:highlight w:val="none"/>
        </w:rPr>
      </w:pPr>
      <w:r>
        <w:rPr>
          <w:rFonts w:hint="eastAsia" w:hAnsi="宋体" w:cs="宋体"/>
          <w:color w:val="auto"/>
          <w:sz w:val="21"/>
          <w:szCs w:val="21"/>
          <w:highlight w:val="none"/>
        </w:rPr>
        <w:t>履约担保返还时限由招标人和中标人自行协商，但最迟返还时限不得超过项目竣工验收后28天。</w:t>
      </w:r>
    </w:p>
    <w:p w14:paraId="0621539D">
      <w:pPr>
        <w:spacing w:line="360" w:lineRule="auto"/>
        <w:jc w:val="center"/>
        <w:outlineLvl w:val="0"/>
        <w:rPr>
          <w:rFonts w:ascii="宋体" w:hAnsi="宋体"/>
          <w:b/>
          <w:color w:val="auto"/>
          <w:sz w:val="30"/>
          <w:szCs w:val="30"/>
          <w:highlight w:val="none"/>
        </w:rPr>
      </w:pPr>
    </w:p>
    <w:p w14:paraId="269F2F11">
      <w:pPr>
        <w:pStyle w:val="7"/>
        <w:spacing w:before="0" w:after="0" w:line="400" w:lineRule="exact"/>
        <w:rPr>
          <w:rFonts w:ascii="宋体" w:hAnsi="宋体" w:eastAsia="宋体" w:cs="宋体"/>
          <w:color w:val="auto"/>
          <w:sz w:val="21"/>
          <w:szCs w:val="21"/>
          <w:highlight w:val="none"/>
        </w:rPr>
      </w:pPr>
    </w:p>
    <w:p w14:paraId="4B917E9A">
      <w:pPr>
        <w:rPr>
          <w:rFonts w:ascii="宋体" w:hAnsi="宋体" w:cs="宋体"/>
          <w:color w:val="auto"/>
          <w:szCs w:val="21"/>
          <w:highlight w:val="none"/>
        </w:rPr>
      </w:pPr>
    </w:p>
    <w:p w14:paraId="40E8264F">
      <w:pPr>
        <w:rPr>
          <w:rFonts w:ascii="宋体" w:hAnsi="宋体" w:cs="宋体"/>
          <w:color w:val="auto"/>
          <w:szCs w:val="21"/>
          <w:highlight w:val="none"/>
        </w:rPr>
      </w:pPr>
    </w:p>
    <w:p w14:paraId="401EF914">
      <w:pPr>
        <w:rPr>
          <w:rFonts w:ascii="宋体" w:hAnsi="宋体" w:cs="宋体"/>
          <w:color w:val="auto"/>
          <w:szCs w:val="21"/>
          <w:highlight w:val="none"/>
        </w:rPr>
      </w:pPr>
    </w:p>
    <w:p w14:paraId="511B770D">
      <w:pPr>
        <w:rPr>
          <w:rFonts w:ascii="宋体" w:hAnsi="宋体" w:cs="宋体"/>
          <w:color w:val="auto"/>
          <w:szCs w:val="21"/>
          <w:highlight w:val="none"/>
        </w:rPr>
      </w:pPr>
    </w:p>
    <w:p w14:paraId="73141002">
      <w:pPr>
        <w:rPr>
          <w:rFonts w:ascii="宋体" w:hAnsi="宋体" w:cs="宋体"/>
          <w:color w:val="auto"/>
          <w:szCs w:val="21"/>
          <w:highlight w:val="none"/>
        </w:rPr>
      </w:pPr>
    </w:p>
    <w:p w14:paraId="79E4FC1C">
      <w:pPr>
        <w:rPr>
          <w:rFonts w:ascii="宋体" w:hAnsi="宋体" w:cs="宋体"/>
          <w:color w:val="auto"/>
          <w:szCs w:val="21"/>
          <w:highlight w:val="none"/>
        </w:rPr>
      </w:pPr>
    </w:p>
    <w:p w14:paraId="45E284E4">
      <w:pPr>
        <w:rPr>
          <w:rFonts w:ascii="宋体" w:hAnsi="宋体" w:cs="宋体"/>
          <w:color w:val="auto"/>
          <w:szCs w:val="21"/>
          <w:highlight w:val="none"/>
        </w:rPr>
      </w:pPr>
    </w:p>
    <w:p w14:paraId="4EBECBFA">
      <w:pPr>
        <w:rPr>
          <w:rFonts w:ascii="宋体" w:hAnsi="宋体" w:cs="宋体"/>
          <w:color w:val="auto"/>
          <w:szCs w:val="21"/>
          <w:highlight w:val="none"/>
        </w:rPr>
      </w:pPr>
    </w:p>
    <w:p w14:paraId="2BFE1B7C">
      <w:pPr>
        <w:rPr>
          <w:rFonts w:ascii="宋体" w:hAnsi="宋体" w:cs="宋体"/>
          <w:color w:val="auto"/>
          <w:szCs w:val="21"/>
          <w:highlight w:val="none"/>
        </w:rPr>
      </w:pPr>
    </w:p>
    <w:p w14:paraId="6E5A37E4">
      <w:pPr>
        <w:rPr>
          <w:rFonts w:ascii="宋体" w:hAnsi="宋体" w:cs="宋体"/>
          <w:color w:val="auto"/>
          <w:szCs w:val="21"/>
          <w:highlight w:val="none"/>
        </w:rPr>
      </w:pPr>
    </w:p>
    <w:p w14:paraId="36E818A7">
      <w:pPr>
        <w:rPr>
          <w:rFonts w:ascii="宋体" w:hAnsi="宋体" w:cs="宋体"/>
          <w:color w:val="auto"/>
          <w:szCs w:val="21"/>
          <w:highlight w:val="none"/>
        </w:rPr>
      </w:pPr>
    </w:p>
    <w:p w14:paraId="0C03B1FB">
      <w:pPr>
        <w:spacing w:line="360" w:lineRule="auto"/>
        <w:jc w:val="center"/>
        <w:rPr>
          <w:rFonts w:hAnsi="宋体" w:cs="仿宋"/>
          <w:b/>
          <w:color w:val="auto"/>
          <w:sz w:val="30"/>
          <w:szCs w:val="30"/>
          <w:highlight w:val="none"/>
        </w:rPr>
      </w:pPr>
      <w:r>
        <w:rPr>
          <w:rFonts w:hint="eastAsia" w:hAnsi="宋体" w:cs="仿宋"/>
          <w:b/>
          <w:color w:val="auto"/>
          <w:sz w:val="30"/>
          <w:szCs w:val="30"/>
          <w:highlight w:val="none"/>
        </w:rPr>
        <w:t>第四章 合同条款</w:t>
      </w:r>
    </w:p>
    <w:p w14:paraId="109F0ADA">
      <w:pPr>
        <w:pStyle w:val="84"/>
        <w:adjustRightInd w:val="0"/>
        <w:snapToGrid w:val="0"/>
        <w:spacing w:before="0" w:after="0"/>
        <w:rPr>
          <w:rStyle w:val="64"/>
          <w:rFonts w:hAnsi="宋体" w:cs="宋体"/>
          <w:color w:val="auto"/>
          <w:highlight w:val="none"/>
        </w:rPr>
      </w:pPr>
    </w:p>
    <w:p w14:paraId="6289F924">
      <w:pPr>
        <w:jc w:val="left"/>
        <w:rPr>
          <w:rFonts w:hAnsi="宋体" w:cs="宋体"/>
          <w:bCs/>
          <w:color w:val="auto"/>
          <w:sz w:val="32"/>
          <w:szCs w:val="32"/>
          <w:highlight w:val="none"/>
        </w:rPr>
      </w:pPr>
      <w:r>
        <w:rPr>
          <w:rFonts w:hint="eastAsia" w:hAnsi="宋体" w:cs="宋体"/>
          <w:bCs/>
          <w:color w:val="auto"/>
          <w:sz w:val="32"/>
          <w:szCs w:val="32"/>
          <w:highlight w:val="none"/>
        </w:rPr>
        <w:t>（GF—2017—0201）</w:t>
      </w:r>
    </w:p>
    <w:p w14:paraId="332A345B">
      <w:pPr>
        <w:jc w:val="center"/>
        <w:rPr>
          <w:rFonts w:hAnsi="宋体" w:cs="宋体"/>
          <w:b/>
          <w:color w:val="auto"/>
          <w:sz w:val="52"/>
          <w:szCs w:val="52"/>
          <w:highlight w:val="none"/>
        </w:rPr>
      </w:pPr>
    </w:p>
    <w:p w14:paraId="51F154C1">
      <w:pPr>
        <w:rPr>
          <w:rFonts w:hAnsi="宋体" w:cs="宋体"/>
          <w:b/>
          <w:color w:val="auto"/>
          <w:sz w:val="52"/>
          <w:szCs w:val="52"/>
          <w:highlight w:val="none"/>
        </w:rPr>
      </w:pPr>
    </w:p>
    <w:p w14:paraId="58B20DB5">
      <w:pPr>
        <w:jc w:val="center"/>
        <w:rPr>
          <w:rFonts w:hAnsi="宋体" w:cs="宋体"/>
          <w:b/>
          <w:color w:val="auto"/>
          <w:sz w:val="52"/>
          <w:szCs w:val="52"/>
          <w:highlight w:val="none"/>
        </w:rPr>
      </w:pPr>
    </w:p>
    <w:p w14:paraId="1B07BE8C">
      <w:pPr>
        <w:jc w:val="center"/>
        <w:rPr>
          <w:rFonts w:hAnsi="宋体" w:cs="宋体"/>
          <w:b/>
          <w:color w:val="auto"/>
          <w:sz w:val="52"/>
          <w:szCs w:val="52"/>
          <w:highlight w:val="none"/>
        </w:rPr>
      </w:pPr>
      <w:r>
        <w:rPr>
          <w:rFonts w:hint="eastAsia" w:hAnsi="宋体" w:cs="宋体"/>
          <w:b/>
          <w:color w:val="auto"/>
          <w:sz w:val="72"/>
          <w:szCs w:val="52"/>
          <w:highlight w:val="none"/>
        </w:rPr>
        <w:t>建设工程施工合同</w:t>
      </w:r>
      <w:r>
        <w:rPr>
          <w:rFonts w:hint="eastAsia" w:hAnsi="宋体" w:cs="宋体"/>
          <w:b/>
          <w:color w:val="auto"/>
          <w:sz w:val="52"/>
          <w:szCs w:val="52"/>
          <w:highlight w:val="none"/>
        </w:rPr>
        <w:br w:type="textWrapping"/>
      </w:r>
      <w:r>
        <w:rPr>
          <w:rFonts w:hint="eastAsia" w:hAnsi="宋体" w:cs="宋体"/>
          <w:b/>
          <w:color w:val="auto"/>
          <w:sz w:val="52"/>
          <w:szCs w:val="52"/>
          <w:highlight w:val="none"/>
        </w:rPr>
        <w:t xml:space="preserve"> </w:t>
      </w:r>
    </w:p>
    <w:p w14:paraId="1BD15A34">
      <w:pPr>
        <w:rPr>
          <w:rFonts w:hAnsi="宋体" w:cs="宋体"/>
          <w:b/>
          <w:color w:val="auto"/>
          <w:sz w:val="72"/>
          <w:szCs w:val="72"/>
          <w:highlight w:val="none"/>
        </w:rPr>
      </w:pPr>
    </w:p>
    <w:p w14:paraId="582760F8">
      <w:pPr>
        <w:ind w:left="2393" w:leftChars="425" w:hanging="1500" w:hangingChars="500"/>
        <w:rPr>
          <w:rFonts w:hAnsi="宋体" w:cs="宋体"/>
          <w:bCs/>
          <w:color w:val="auto"/>
          <w:sz w:val="30"/>
          <w:szCs w:val="30"/>
          <w:highlight w:val="none"/>
        </w:rPr>
      </w:pPr>
      <w:r>
        <w:rPr>
          <w:rFonts w:hint="eastAsia" w:hAnsi="宋体" w:cs="宋体"/>
          <w:bCs/>
          <w:color w:val="auto"/>
          <w:sz w:val="30"/>
          <w:szCs w:val="30"/>
          <w:highlight w:val="none"/>
        </w:rPr>
        <w:t>工程名称</w:t>
      </w:r>
      <w:r>
        <w:rPr>
          <w:rFonts w:hint="eastAsia" w:hAnsi="宋体" w:cs="宋体"/>
          <w:color w:val="auto"/>
          <w:sz w:val="30"/>
          <w:szCs w:val="30"/>
          <w:highlight w:val="none"/>
        </w:rPr>
        <w:t>：</w:t>
      </w:r>
      <w:r>
        <w:rPr>
          <w:rFonts w:hint="eastAsia" w:hAnsi="宋体" w:cs="宋体"/>
          <w:bCs/>
          <w:color w:val="auto"/>
          <w:sz w:val="30"/>
          <w:szCs w:val="30"/>
          <w:highlight w:val="none"/>
          <w:u w:val="single"/>
        </w:rPr>
        <w:t xml:space="preserve"> </w:t>
      </w:r>
      <w:r>
        <w:rPr>
          <w:rFonts w:hint="eastAsia" w:hAnsi="宋体" w:cs="宋体"/>
          <w:bCs/>
          <w:color w:val="auto"/>
          <w:sz w:val="30"/>
          <w:szCs w:val="30"/>
          <w:highlight w:val="none"/>
          <w:u w:val="single"/>
          <w:lang w:eastAsia="zh-CN"/>
        </w:rPr>
        <w:t>铜陵狮子山高新区2026年度10KV及以下配电工程</w:t>
      </w:r>
      <w:r>
        <w:rPr>
          <w:rFonts w:hint="eastAsia" w:hAnsi="宋体" w:cs="宋体"/>
          <w:bCs/>
          <w:color w:val="auto"/>
          <w:sz w:val="30"/>
          <w:szCs w:val="30"/>
          <w:highlight w:val="none"/>
          <w:u w:val="single"/>
        </w:rPr>
        <w:t xml:space="preserve">         </w:t>
      </w:r>
      <w:r>
        <w:rPr>
          <w:rFonts w:hint="eastAsia" w:hAnsi="宋体" w:cs="宋体"/>
          <w:bCs/>
          <w:color w:val="auto"/>
          <w:w w:val="90"/>
          <w:sz w:val="30"/>
          <w:szCs w:val="30"/>
          <w:highlight w:val="none"/>
        </w:rPr>
        <w:t xml:space="preserve">   </w:t>
      </w:r>
      <w:r>
        <w:rPr>
          <w:rFonts w:hint="eastAsia" w:hAnsi="宋体" w:cs="宋体"/>
          <w:bCs/>
          <w:color w:val="auto"/>
          <w:sz w:val="30"/>
          <w:szCs w:val="30"/>
          <w:highlight w:val="none"/>
        </w:rPr>
        <w:t xml:space="preserve">    </w:t>
      </w:r>
    </w:p>
    <w:p w14:paraId="6B057283">
      <w:pPr>
        <w:ind w:left="2400" w:hanging="2400" w:hangingChars="800"/>
        <w:rPr>
          <w:rFonts w:hAnsi="宋体" w:cs="宋体"/>
          <w:b/>
          <w:color w:val="auto"/>
          <w:sz w:val="72"/>
          <w:szCs w:val="72"/>
          <w:highlight w:val="none"/>
        </w:rPr>
      </w:pPr>
      <w:r>
        <w:rPr>
          <w:rFonts w:hint="eastAsia" w:hAnsi="宋体" w:cs="宋体"/>
          <w:bCs/>
          <w:color w:val="auto"/>
          <w:sz w:val="30"/>
          <w:szCs w:val="30"/>
          <w:highlight w:val="none"/>
        </w:rPr>
        <w:t xml:space="preserve">      工程地点：</w:t>
      </w:r>
      <w:r>
        <w:rPr>
          <w:rFonts w:hint="eastAsia" w:hAnsi="宋体" w:cs="宋体"/>
          <w:bCs/>
          <w:color w:val="auto"/>
          <w:sz w:val="30"/>
          <w:szCs w:val="30"/>
          <w:highlight w:val="none"/>
          <w:u w:val="single"/>
        </w:rPr>
        <w:t xml:space="preserve">  铜陵市狮子山高新区                                       </w:t>
      </w:r>
    </w:p>
    <w:p w14:paraId="4F918E52">
      <w:pPr>
        <w:rPr>
          <w:rFonts w:hAnsi="宋体" w:cs="宋体"/>
          <w:b/>
          <w:color w:val="auto"/>
          <w:sz w:val="28"/>
          <w:szCs w:val="28"/>
          <w:highlight w:val="none"/>
        </w:rPr>
      </w:pPr>
    </w:p>
    <w:p w14:paraId="7179B30A">
      <w:pPr>
        <w:rPr>
          <w:rFonts w:hAnsi="宋体" w:cs="宋体"/>
          <w:b/>
          <w:color w:val="auto"/>
          <w:sz w:val="28"/>
          <w:szCs w:val="28"/>
          <w:highlight w:val="none"/>
        </w:rPr>
      </w:pPr>
    </w:p>
    <w:p w14:paraId="1ED9126A">
      <w:pPr>
        <w:rPr>
          <w:rFonts w:hAnsi="宋体" w:cs="宋体"/>
          <w:b/>
          <w:color w:val="auto"/>
          <w:sz w:val="28"/>
          <w:szCs w:val="28"/>
          <w:highlight w:val="none"/>
        </w:rPr>
      </w:pPr>
    </w:p>
    <w:p w14:paraId="393A5E57">
      <w:pPr>
        <w:rPr>
          <w:rFonts w:hAnsi="宋体" w:cs="宋体"/>
          <w:b/>
          <w:color w:val="auto"/>
          <w:sz w:val="28"/>
          <w:szCs w:val="28"/>
          <w:highlight w:val="none"/>
        </w:rPr>
      </w:pPr>
    </w:p>
    <w:p w14:paraId="19AD19CE">
      <w:pPr>
        <w:ind w:right="2719" w:rightChars="1295"/>
        <w:jc w:val="center"/>
        <w:rPr>
          <w:rFonts w:hAnsi="宋体" w:cs="宋体"/>
          <w:b/>
          <w:color w:val="auto"/>
          <w:sz w:val="32"/>
          <w:szCs w:val="28"/>
          <w:highlight w:val="none"/>
        </w:rPr>
      </w:pPr>
      <w:r>
        <w:rPr>
          <w:rFonts w:hint="eastAsia"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3312795</wp:posOffset>
                </wp:positionH>
                <wp:positionV relativeFrom="paragraph">
                  <wp:posOffset>120015</wp:posOffset>
                </wp:positionV>
                <wp:extent cx="828675" cy="466725"/>
                <wp:effectExtent l="4445" t="4445" r="5080" b="16510"/>
                <wp:wrapNone/>
                <wp:docPr id="11" name="文本框 1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18CEC22C">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60.85pt;margin-top:9.45pt;height:36.75pt;width:65.25pt;z-index:251659264;mso-width-relative:page;mso-height-relative:page;" filled="f" stroked="t" coordsize="21600,21600" o:gfxdata="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YcPTZAAAACQEAAA8AAAAAAAAAAQAgAAAA&#10;IgAAAGRycy9kb3ducmV2LnhtbFBLAQIUABQAAAAIAIdO4kC6P36nCgIAABwEAAAOAAAAAAAAAAEA&#10;IAAAACgBAABkcnMvZTJvRG9jLnhtbFBLBQYAAAAABgAGAFkBAACkBQAAAAA=&#10;">
                <v:fill on="f" focussize="0,0"/>
                <v:stroke color="#FFFFFF" joinstyle="miter"/>
                <v:imagedata o:title=""/>
                <o:lock v:ext="edit" aspectratio="f"/>
                <v:textbox>
                  <w:txbxContent>
                    <w:p w14:paraId="18CEC22C">
                      <w:pPr>
                        <w:rPr>
                          <w:b/>
                          <w:bCs/>
                          <w:sz w:val="32"/>
                        </w:rPr>
                      </w:pPr>
                      <w:r>
                        <w:rPr>
                          <w:rFonts w:hint="eastAsia"/>
                          <w:b/>
                          <w:bCs/>
                          <w:sz w:val="32"/>
                        </w:rPr>
                        <w:t>制定</w:t>
                      </w:r>
                    </w:p>
                  </w:txbxContent>
                </v:textbox>
              </v:shape>
            </w:pict>
          </mc:Fallback>
        </mc:AlternateContent>
      </w:r>
      <w:r>
        <w:rPr>
          <w:rFonts w:hint="eastAsia" w:hAnsi="宋体" w:cs="宋体"/>
          <w:b/>
          <w:color w:val="auto"/>
          <w:sz w:val="32"/>
          <w:szCs w:val="28"/>
          <w:highlight w:val="none"/>
        </w:rPr>
        <w:t xml:space="preserve">    住房城乡建设部</w:t>
      </w:r>
    </w:p>
    <w:p w14:paraId="38D6F91F">
      <w:pPr>
        <w:ind w:right="2719" w:rightChars="1295"/>
        <w:jc w:val="center"/>
        <w:rPr>
          <w:rFonts w:hAnsi="宋体" w:cs="宋体"/>
          <w:color w:val="auto"/>
          <w:sz w:val="30"/>
          <w:szCs w:val="30"/>
          <w:highlight w:val="none"/>
        </w:rPr>
        <w:sectPr>
          <w:footerReference r:id="rId3" w:type="default"/>
          <w:pgSz w:w="11906" w:h="16838"/>
          <w:pgMar w:top="1240" w:right="1486" w:bottom="1440" w:left="1600" w:header="851" w:footer="1134" w:gutter="0"/>
          <w:pgNumType w:start="1"/>
          <w:cols w:space="720" w:num="1"/>
          <w:docGrid w:type="lines" w:linePitch="312" w:charSpace="0"/>
        </w:sectPr>
      </w:pPr>
      <w:r>
        <w:rPr>
          <w:rFonts w:hint="eastAsia" w:hAnsi="宋体" w:cs="宋体"/>
          <w:b/>
          <w:color w:val="auto"/>
          <w:sz w:val="32"/>
          <w:szCs w:val="28"/>
          <w:highlight w:val="none"/>
        </w:rPr>
        <w:t xml:space="preserve">      国家工商行政管理</w:t>
      </w:r>
      <w:bookmarkStart w:id="24" w:name="_Toc296503025"/>
      <w:bookmarkStart w:id="25" w:name="_Toc296890982"/>
    </w:p>
    <w:p w14:paraId="5B533D85">
      <w:pPr>
        <w:pStyle w:val="6"/>
        <w:numPr>
          <w:ilvl w:val="2"/>
          <w:numId w:val="2"/>
        </w:numPr>
        <w:spacing w:before="140" w:after="140" w:line="413" w:lineRule="auto"/>
        <w:jc w:val="center"/>
        <w:textAlignment w:val="baseline"/>
        <w:rPr>
          <w:rFonts w:ascii="宋体" w:hAnsi="宋体" w:cs="宋体"/>
          <w:b w:val="0"/>
          <w:color w:val="auto"/>
          <w:sz w:val="44"/>
          <w:szCs w:val="44"/>
          <w:highlight w:val="none"/>
        </w:rPr>
      </w:pPr>
      <w:bookmarkStart w:id="26" w:name="_Toc351203480"/>
      <w:r>
        <w:rPr>
          <w:rFonts w:hint="eastAsia" w:ascii="宋体" w:hAnsi="宋体" w:cs="宋体"/>
          <w:color w:val="auto"/>
          <w:sz w:val="44"/>
          <w:szCs w:val="44"/>
          <w:highlight w:val="none"/>
        </w:rPr>
        <w:t>第一部分 合同协议书</w:t>
      </w:r>
      <w:bookmarkEnd w:id="24"/>
      <w:bookmarkEnd w:id="25"/>
      <w:bookmarkEnd w:id="26"/>
    </w:p>
    <w:p w14:paraId="33AA8398">
      <w:pPr>
        <w:spacing w:line="500" w:lineRule="exact"/>
        <w:rPr>
          <w:rFonts w:ascii="宋体" w:hAnsi="宋体" w:cs="宋体"/>
          <w:color w:val="auto"/>
          <w:highlight w:val="none"/>
          <w:u w:val="single"/>
        </w:rPr>
      </w:pPr>
      <w:r>
        <w:rPr>
          <w:rFonts w:hint="eastAsia" w:ascii="宋体" w:hAnsi="宋体" w:cs="宋体"/>
          <w:b/>
          <w:color w:val="auto"/>
          <w:highlight w:val="none"/>
        </w:rPr>
        <w:t>发包人（全称）：</w:t>
      </w:r>
      <w:r>
        <w:rPr>
          <w:rFonts w:hint="eastAsia" w:ascii="宋体" w:hAnsi="宋体" w:cs="宋体"/>
          <w:bCs/>
          <w:color w:val="auto"/>
          <w:highlight w:val="none"/>
          <w:u w:val="single"/>
        </w:rPr>
        <w:t xml:space="preserve"> </w:t>
      </w:r>
      <w:r>
        <w:rPr>
          <w:rFonts w:hint="eastAsia" w:asciiTheme="minorEastAsia" w:hAnsiTheme="minorEastAsia" w:eastAsiaTheme="minorEastAsia" w:cstheme="minorEastAsia"/>
          <w:color w:val="auto"/>
          <w:szCs w:val="21"/>
          <w:highlight w:val="none"/>
          <w:u w:val="single"/>
        </w:rPr>
        <w:t>铜陵高新发展投资有限公司</w:t>
      </w:r>
      <w:r>
        <w:rPr>
          <w:rFonts w:hint="eastAsia" w:ascii="宋体" w:hAnsi="宋体" w:cs="宋体"/>
          <w:bCs/>
          <w:color w:val="auto"/>
          <w:szCs w:val="21"/>
          <w:highlight w:val="none"/>
          <w:u w:val="single"/>
        </w:rPr>
        <w:t xml:space="preserve"> </w:t>
      </w:r>
      <w:r>
        <w:rPr>
          <w:rFonts w:hint="eastAsia" w:ascii="宋体" w:hAnsi="宋体" w:cs="宋体"/>
          <w:bCs/>
          <w:color w:val="auto"/>
          <w:highlight w:val="none"/>
          <w:u w:val="single"/>
        </w:rPr>
        <w:t xml:space="preserve">          </w:t>
      </w:r>
    </w:p>
    <w:p w14:paraId="781B68D8">
      <w:pPr>
        <w:spacing w:line="500" w:lineRule="exact"/>
        <w:rPr>
          <w:rFonts w:ascii="宋体" w:hAnsi="宋体" w:cs="宋体"/>
          <w:b/>
          <w:color w:val="auto"/>
          <w:highlight w:val="none"/>
          <w:u w:val="single"/>
        </w:rPr>
      </w:pPr>
      <w:r>
        <w:rPr>
          <w:rFonts w:hint="eastAsia" w:ascii="宋体" w:hAnsi="宋体" w:cs="宋体"/>
          <w:b/>
          <w:color w:val="auto"/>
          <w:highlight w:val="none"/>
        </w:rPr>
        <w:t>承包人（全称）：</w:t>
      </w:r>
      <w:r>
        <w:rPr>
          <w:rFonts w:hint="eastAsia" w:ascii="宋体" w:hAnsi="宋体" w:cs="宋体"/>
          <w:bCs/>
          <w:color w:val="auto"/>
          <w:highlight w:val="none"/>
          <w:u w:val="single"/>
        </w:rPr>
        <w:t xml:space="preserve">                                        </w:t>
      </w:r>
    </w:p>
    <w:p w14:paraId="2D7EB502">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根据《中华人民共和国民法典》《中华人民共和国建筑法》及有关法律规定，遵循平等、自愿、公平和诚实信用的原则，双方就</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铜陵狮子山高新区2026年度10KV及以下配电工程</w:t>
      </w:r>
      <w:r>
        <w:rPr>
          <w:rFonts w:hint="eastAsia" w:ascii="宋体" w:hAnsi="宋体" w:cs="宋体"/>
          <w:color w:val="auto"/>
          <w:highlight w:val="none"/>
          <w:u w:val="single"/>
        </w:rPr>
        <w:t xml:space="preserve"> </w:t>
      </w:r>
      <w:r>
        <w:rPr>
          <w:rFonts w:hint="eastAsia" w:ascii="宋体" w:hAnsi="宋体" w:cs="宋体"/>
          <w:color w:val="auto"/>
          <w:highlight w:val="none"/>
        </w:rPr>
        <w:t>施工及有关事项协商一致，共同达成如下协议：</w:t>
      </w:r>
    </w:p>
    <w:p w14:paraId="2AF88424">
      <w:pPr>
        <w:spacing w:line="50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 xml:space="preserve"> </w:t>
      </w:r>
      <w:bookmarkStart w:id="27" w:name="_Toc351203481"/>
      <w:r>
        <w:rPr>
          <w:rFonts w:hint="eastAsia" w:ascii="宋体" w:hAnsi="宋体" w:cs="宋体"/>
          <w:b/>
          <w:color w:val="auto"/>
          <w:sz w:val="24"/>
          <w:highlight w:val="none"/>
        </w:rPr>
        <w:t>一、工程概况</w:t>
      </w:r>
      <w:bookmarkEnd w:id="27"/>
    </w:p>
    <w:p w14:paraId="5829F747">
      <w:pPr>
        <w:spacing w:line="500" w:lineRule="exact"/>
        <w:ind w:firstLine="420" w:firstLineChars="200"/>
        <w:rPr>
          <w:rFonts w:ascii="宋体" w:hAnsi="宋体" w:cs="宋体"/>
          <w:color w:val="auto"/>
          <w:highlight w:val="none"/>
          <w:u w:val="single"/>
        </w:rPr>
      </w:pPr>
      <w:r>
        <w:rPr>
          <w:rFonts w:hint="eastAsia" w:ascii="宋体" w:hAnsi="宋体" w:cs="宋体"/>
          <w:bCs/>
          <w:color w:val="auto"/>
          <w:highlight w:val="none"/>
        </w:rPr>
        <w:t>1.工程名称</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铜陵狮子山高新区2026年度10KV及以下配电工程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A27FEAD">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2.工程地点：</w:t>
      </w:r>
      <w:r>
        <w:rPr>
          <w:rFonts w:hint="eastAsia" w:ascii="宋体" w:hAnsi="宋体" w:cs="宋体"/>
          <w:color w:val="auto"/>
          <w:highlight w:val="none"/>
          <w:u w:val="single"/>
        </w:rPr>
        <w:t xml:space="preserve"> 铜陵市狮子山高新区                                  </w:t>
      </w:r>
      <w:r>
        <w:rPr>
          <w:rFonts w:hint="eastAsia" w:ascii="宋体" w:hAnsi="宋体" w:cs="宋体"/>
          <w:color w:val="auto"/>
          <w:highlight w:val="none"/>
        </w:rPr>
        <w:t>。</w:t>
      </w:r>
    </w:p>
    <w:p w14:paraId="37A11D8B">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3.工程立项批准文号：</w:t>
      </w:r>
      <w:r>
        <w:rPr>
          <w:rFonts w:hint="eastAsia" w:ascii="宋体" w:hAnsi="宋体" w:cs="宋体"/>
          <w:bCs/>
          <w:color w:val="auto"/>
          <w:highlight w:val="none"/>
          <w:u w:val="single"/>
        </w:rPr>
        <w:t xml:space="preserve">  /      </w:t>
      </w:r>
      <w:r>
        <w:rPr>
          <w:rFonts w:hint="eastAsia" w:ascii="宋体" w:hAnsi="宋体" w:cs="宋体"/>
          <w:color w:val="auto"/>
          <w:highlight w:val="none"/>
          <w:u w:val="single"/>
        </w:rPr>
        <w:t xml:space="preserve">                         </w:t>
      </w:r>
      <w:r>
        <w:rPr>
          <w:rFonts w:hint="eastAsia" w:ascii="宋体" w:hAnsi="宋体" w:cs="宋体"/>
          <w:bCs/>
          <w:color w:val="auto"/>
          <w:highlight w:val="none"/>
        </w:rPr>
        <w:t>。</w:t>
      </w:r>
    </w:p>
    <w:p w14:paraId="64B33DCB">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4.资金来源：</w:t>
      </w:r>
      <w:r>
        <w:rPr>
          <w:rFonts w:hint="eastAsia" w:ascii="宋体" w:hAnsi="宋体" w:cs="宋体"/>
          <w:bCs/>
          <w:color w:val="auto"/>
          <w:highlight w:val="none"/>
          <w:u w:val="single"/>
        </w:rPr>
        <w:t xml:space="preserve"> 自筹资金</w:t>
      </w:r>
      <w:r>
        <w:rPr>
          <w:rFonts w:hint="eastAsia" w:ascii="宋体" w:hAnsi="宋体" w:cs="宋体"/>
          <w:color w:val="auto"/>
          <w:highlight w:val="none"/>
          <w:u w:val="single"/>
        </w:rPr>
        <w:t xml:space="preserve">                                        </w:t>
      </w:r>
      <w:r>
        <w:rPr>
          <w:rFonts w:hint="eastAsia" w:ascii="宋体" w:hAnsi="宋体" w:cs="宋体"/>
          <w:bCs/>
          <w:color w:val="auto"/>
          <w:highlight w:val="none"/>
        </w:rPr>
        <w:t>。</w:t>
      </w:r>
    </w:p>
    <w:p w14:paraId="2CF52E1A">
      <w:pPr>
        <w:spacing w:line="500" w:lineRule="exact"/>
        <w:ind w:firstLine="420" w:firstLineChars="200"/>
        <w:rPr>
          <w:rFonts w:ascii="宋体" w:hAnsi="宋体" w:cs="宋体"/>
          <w:bCs/>
          <w:color w:val="auto"/>
          <w:highlight w:val="none"/>
          <w:u w:val="single"/>
        </w:rPr>
      </w:pPr>
      <w:r>
        <w:rPr>
          <w:rFonts w:hint="eastAsia" w:ascii="宋体" w:hAnsi="宋体" w:cs="宋体"/>
          <w:bCs/>
          <w:color w:val="auto"/>
          <w:highlight w:val="none"/>
        </w:rPr>
        <w:t>5.工程内容：</w:t>
      </w:r>
      <w:r>
        <w:rPr>
          <w:rFonts w:hint="eastAsia" w:ascii="宋体" w:hAnsi="宋体" w:cs="宋体"/>
          <w:bCs/>
          <w:color w:val="auto"/>
          <w:highlight w:val="none"/>
          <w:u w:val="single"/>
        </w:rPr>
        <w:t xml:space="preserve">  为保障企业服务基础设施，现对</w:t>
      </w:r>
      <w:r>
        <w:rPr>
          <w:rFonts w:hint="eastAsia" w:ascii="宋体" w:hAnsi="宋体" w:cs="宋体"/>
          <w:bCs/>
          <w:color w:val="auto"/>
          <w:highlight w:val="none"/>
          <w:u w:val="single"/>
          <w:lang w:eastAsia="zh-CN"/>
        </w:rPr>
        <w:t>铜陵狮子山高新区2026年度10KV及以下配电工程</w:t>
      </w:r>
      <w:r>
        <w:rPr>
          <w:rFonts w:hint="eastAsia" w:ascii="宋体" w:hAnsi="宋体" w:cs="宋体"/>
          <w:bCs/>
          <w:color w:val="auto"/>
          <w:highlight w:val="none"/>
          <w:u w:val="single"/>
        </w:rPr>
        <w:t>进行招标，主要内容</w:t>
      </w:r>
      <w:r>
        <w:rPr>
          <w:rFonts w:hint="eastAsia" w:ascii="宋体" w:hAnsi="宋体" w:cs="宋体"/>
          <w:bCs/>
          <w:color w:val="auto"/>
          <w:highlight w:val="none"/>
          <w:u w:val="single"/>
          <w:lang w:val="en-US"/>
        </w:rPr>
        <w:t>按</w:t>
      </w:r>
      <w:r>
        <w:rPr>
          <w:rFonts w:hint="eastAsia" w:ascii="宋体" w:hAnsi="宋体" w:cs="宋体"/>
          <w:bCs/>
          <w:color w:val="auto"/>
          <w:highlight w:val="none"/>
          <w:u w:val="single"/>
        </w:rPr>
        <w:t>高新区</w:t>
      </w:r>
      <w:r>
        <w:rPr>
          <w:rFonts w:hint="eastAsia" w:ascii="宋体" w:hAnsi="宋体" w:cs="宋体"/>
          <w:bCs/>
          <w:color w:val="auto"/>
          <w:highlight w:val="none"/>
          <w:u w:val="single"/>
          <w:lang w:val="en-US"/>
        </w:rPr>
        <w:t>内企业年度需求情况及建设方要求按需实施</w:t>
      </w:r>
      <w:r>
        <w:rPr>
          <w:rFonts w:hint="eastAsia" w:ascii="宋体" w:hAnsi="宋体" w:cs="宋体"/>
          <w:bCs/>
          <w:color w:val="auto"/>
          <w:highlight w:val="none"/>
          <w:u w:val="single"/>
        </w:rPr>
        <w:t>，含电气设备、配管及电缆等工程。具体以招标文件中所载明的内容和项目实施过程中的供电方案或任务单</w:t>
      </w:r>
      <w:r>
        <w:rPr>
          <w:rFonts w:hint="eastAsia" w:ascii="宋体" w:hAnsi="宋体" w:cs="宋体"/>
          <w:bCs/>
          <w:color w:val="auto"/>
          <w:highlight w:val="none"/>
          <w:u w:val="single"/>
          <w:lang w:eastAsia="zh-CN"/>
        </w:rPr>
        <w:t>为准</w:t>
      </w:r>
      <w:r>
        <w:rPr>
          <w:rFonts w:hint="eastAsia" w:ascii="宋体" w:hAnsi="宋体" w:cs="宋体"/>
          <w:bCs/>
          <w:color w:val="auto"/>
          <w:highlight w:val="none"/>
          <w:u w:val="single"/>
        </w:rPr>
        <w:t>。</w:t>
      </w:r>
    </w:p>
    <w:p w14:paraId="06A373AD">
      <w:pPr>
        <w:spacing w:line="500" w:lineRule="exact"/>
        <w:ind w:firstLine="420" w:firstLineChars="200"/>
        <w:rPr>
          <w:rFonts w:ascii="宋体" w:hAnsi="宋体" w:cs="宋体"/>
          <w:bCs/>
          <w:color w:val="auto"/>
          <w:highlight w:val="none"/>
          <w:u w:val="single"/>
        </w:rPr>
      </w:pPr>
      <w:r>
        <w:rPr>
          <w:rFonts w:hint="eastAsia" w:ascii="宋体" w:hAnsi="宋体" w:cs="宋体"/>
          <w:bCs/>
          <w:color w:val="auto"/>
          <w:highlight w:val="none"/>
        </w:rPr>
        <w:t>6.工程承包范围：</w:t>
      </w:r>
      <w:bookmarkStart w:id="28" w:name="_Toc351203482"/>
      <w:r>
        <w:rPr>
          <w:rFonts w:hint="eastAsia" w:ascii="宋体" w:hAnsi="宋体" w:cs="宋体"/>
          <w:bCs/>
          <w:color w:val="auto"/>
          <w:highlight w:val="none"/>
          <w:u w:val="single"/>
        </w:rPr>
        <w:t xml:space="preserve">     /        </w:t>
      </w:r>
      <w:r>
        <w:rPr>
          <w:rFonts w:hint="eastAsia" w:ascii="宋体" w:hAnsi="宋体" w:cs="宋体"/>
          <w:bCs/>
          <w:color w:val="auto"/>
          <w:highlight w:val="none"/>
        </w:rPr>
        <w:t>。</w:t>
      </w:r>
    </w:p>
    <w:p w14:paraId="48D42719">
      <w:pPr>
        <w:spacing w:line="500" w:lineRule="exact"/>
        <w:ind w:firstLine="422" w:firstLineChars="200"/>
        <w:rPr>
          <w:rFonts w:ascii="宋体" w:hAnsi="宋体" w:cs="宋体"/>
          <w:b/>
          <w:bCs/>
          <w:color w:val="auto"/>
          <w:highlight w:val="none"/>
        </w:rPr>
      </w:pPr>
      <w:r>
        <w:rPr>
          <w:rFonts w:hint="eastAsia" w:ascii="宋体" w:hAnsi="宋体" w:cs="宋体"/>
          <w:b/>
          <w:color w:val="auto"/>
          <w:highlight w:val="none"/>
        </w:rPr>
        <w:t>二、</w:t>
      </w:r>
      <w:r>
        <w:rPr>
          <w:rFonts w:hint="eastAsia" w:ascii="宋体" w:hAnsi="宋体" w:cs="宋体"/>
          <w:b/>
          <w:bCs/>
          <w:color w:val="auto"/>
          <w:highlight w:val="none"/>
        </w:rPr>
        <w:t>合同工期</w:t>
      </w:r>
      <w:bookmarkEnd w:id="28"/>
    </w:p>
    <w:p w14:paraId="7907C88A">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开工日期同开工报告</w:t>
      </w:r>
    </w:p>
    <w:p w14:paraId="6B1021B4">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计划开工日期：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日（以开工令为准）。</w:t>
      </w:r>
    </w:p>
    <w:p w14:paraId="2F61E0ED">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计划竣工日期：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日（以竣工报告为准）。</w:t>
      </w:r>
    </w:p>
    <w:p w14:paraId="5CE138DA">
      <w:pPr>
        <w:spacing w:line="500" w:lineRule="exact"/>
        <w:ind w:firstLine="420" w:firstLineChars="200"/>
        <w:rPr>
          <w:rFonts w:ascii="宋体" w:hAnsi="宋体" w:cs="宋体"/>
          <w:color w:val="auto"/>
          <w:highlight w:val="none"/>
          <w:shd w:val="clear" w:color="auto" w:fill="FFFFFF"/>
          <w:lang w:bidi="ar"/>
        </w:rPr>
      </w:pPr>
      <w:r>
        <w:rPr>
          <w:rFonts w:hint="eastAsia" w:ascii="宋体" w:hAnsi="宋体" w:cs="宋体"/>
          <w:color w:val="auto"/>
          <w:highlight w:val="none"/>
        </w:rPr>
        <w:t>工期总日历天数：</w:t>
      </w:r>
      <w:r>
        <w:rPr>
          <w:rFonts w:ascii="宋体" w:hAnsi="宋体" w:cs="宋体"/>
          <w:color w:val="auto"/>
          <w:highlight w:val="none"/>
          <w:u w:val="single"/>
        </w:rPr>
        <w:t xml:space="preserve">  </w:t>
      </w:r>
      <w:r>
        <w:rPr>
          <w:rFonts w:hint="eastAsia" w:ascii="宋体" w:hAnsi="宋体" w:cs="宋体"/>
          <w:color w:val="auto"/>
          <w:highlight w:val="none"/>
          <w:u w:val="single"/>
        </w:rPr>
        <w:t>365日历天</w:t>
      </w:r>
      <w:r>
        <w:rPr>
          <w:rFonts w:hint="eastAsia" w:ascii="宋体" w:hAnsi="宋体" w:cs="宋体"/>
          <w:color w:val="auto"/>
          <w:highlight w:val="none"/>
        </w:rPr>
        <w:t>。</w:t>
      </w:r>
      <w:r>
        <w:rPr>
          <w:rFonts w:hint="eastAsia" w:ascii="宋体" w:hAnsi="宋体" w:cs="宋体"/>
          <w:color w:val="auto"/>
          <w:highlight w:val="none"/>
          <w:shd w:val="clear" w:color="auto" w:fill="FFFFFF"/>
          <w:lang w:bidi="ar"/>
        </w:rPr>
        <w:t xml:space="preserve">  </w:t>
      </w:r>
    </w:p>
    <w:p w14:paraId="66B4B59E">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工期总日历天数与根据前述计划开竣工日期计算的工期天数不一致的，以工期总日历天数为准。</w:t>
      </w:r>
    </w:p>
    <w:p w14:paraId="7DCA874C">
      <w:pPr>
        <w:spacing w:line="500" w:lineRule="exact"/>
        <w:ind w:firstLine="482" w:firstLineChars="200"/>
        <w:rPr>
          <w:rFonts w:ascii="宋体" w:hAnsi="宋体" w:cs="宋体"/>
          <w:color w:val="auto"/>
          <w:sz w:val="24"/>
          <w:highlight w:val="none"/>
        </w:rPr>
      </w:pPr>
      <w:bookmarkStart w:id="29" w:name="_Toc351203483"/>
      <w:r>
        <w:rPr>
          <w:rFonts w:hint="eastAsia" w:ascii="宋体" w:hAnsi="宋体" w:cs="宋体"/>
          <w:b/>
          <w:color w:val="auto"/>
          <w:sz w:val="24"/>
          <w:highlight w:val="none"/>
        </w:rPr>
        <w:t>三、质量标准</w:t>
      </w:r>
      <w:bookmarkEnd w:id="29"/>
    </w:p>
    <w:p w14:paraId="48C175A0">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工程质量符合</w:t>
      </w:r>
      <w:r>
        <w:rPr>
          <w:rFonts w:hint="eastAsia" w:ascii="宋体" w:hAnsi="宋体" w:cs="宋体"/>
          <w:color w:val="auto"/>
          <w:highlight w:val="none"/>
          <w:u w:val="single"/>
        </w:rPr>
        <w:t xml:space="preserve">                   </w:t>
      </w:r>
      <w:r>
        <w:rPr>
          <w:rFonts w:hint="eastAsia" w:ascii="宋体" w:hAnsi="宋体" w:cs="宋体"/>
          <w:color w:val="auto"/>
          <w:highlight w:val="none"/>
        </w:rPr>
        <w:t>标准。</w:t>
      </w:r>
    </w:p>
    <w:p w14:paraId="26A9F7C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bookmarkStart w:id="30" w:name="_Toc351203484"/>
      <w:r>
        <w:rPr>
          <w:rFonts w:hint="eastAsia" w:ascii="宋体" w:hAnsi="宋体" w:cs="宋体"/>
          <w:b/>
          <w:color w:val="auto"/>
          <w:sz w:val="24"/>
          <w:highlight w:val="none"/>
        </w:rPr>
        <w:t>四、签约合同价与合同价格形式</w:t>
      </w:r>
      <w:bookmarkEnd w:id="30"/>
      <w:r>
        <w:rPr>
          <w:rFonts w:hint="eastAsia" w:ascii="宋体" w:hAnsi="宋体" w:cs="宋体"/>
          <w:color w:val="auto"/>
          <w:sz w:val="24"/>
          <w:highlight w:val="none"/>
        </w:rPr>
        <w:tab/>
      </w:r>
    </w:p>
    <w:p w14:paraId="6A9A2A52">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1.签约合同价暂定价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即总建安费</w:t>
      </w:r>
      <w:r>
        <w:rPr>
          <w:rFonts w:hint="eastAsia" w:ascii="宋体" w:hAnsi="宋体" w:cs="宋体"/>
          <w:color w:val="auto"/>
          <w:highlight w:val="none"/>
          <w:lang w:eastAsia="zh-CN"/>
        </w:rPr>
        <w:t>）</w:t>
      </w:r>
      <w:r>
        <w:rPr>
          <w:rFonts w:hint="eastAsia" w:ascii="宋体" w:hAnsi="宋体" w:cs="宋体"/>
          <w:color w:val="auto"/>
          <w:highlight w:val="none"/>
        </w:rPr>
        <w:t>为：</w:t>
      </w:r>
    </w:p>
    <w:p w14:paraId="01CE64F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人民币（大写）</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叁佰捌拾万元整</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3800000.00</w:t>
      </w:r>
      <w:r>
        <w:rPr>
          <w:rFonts w:hint="eastAsia" w:ascii="宋体" w:hAnsi="宋体" w:cs="宋体"/>
          <w:color w:val="auto"/>
          <w:highlight w:val="none"/>
          <w:u w:val="single"/>
        </w:rPr>
        <w:t>元）</w:t>
      </w:r>
      <w:r>
        <w:rPr>
          <w:rFonts w:hint="eastAsia" w:ascii="宋体" w:hAnsi="宋体" w:cs="宋体"/>
          <w:color w:val="auto"/>
          <w:highlight w:val="none"/>
          <w:u w:val="single"/>
          <w:lang w:eastAsia="zh-CN"/>
        </w:rPr>
        <w:t>；</w:t>
      </w:r>
    </w:p>
    <w:p w14:paraId="3D6B12A5">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2.合同价格形式：</w:t>
      </w:r>
      <w:r>
        <w:rPr>
          <w:rFonts w:hint="eastAsia" w:ascii="宋体" w:hAnsi="宋体" w:cs="宋体"/>
          <w:color w:val="auto"/>
          <w:highlight w:val="none"/>
          <w:u w:val="single"/>
          <w:lang w:val="en-US" w:eastAsia="zh-CN"/>
        </w:rPr>
        <w:t>折扣</w:t>
      </w:r>
      <w:r>
        <w:rPr>
          <w:rFonts w:hint="eastAsia" w:ascii="宋体" w:hAnsi="宋体" w:cs="宋体"/>
          <w:color w:val="auto"/>
          <w:highlight w:val="none"/>
          <w:u w:val="single"/>
        </w:rPr>
        <w:t>率</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折扣率为      %</w:t>
      </w:r>
      <w:r>
        <w:rPr>
          <w:rFonts w:hint="eastAsia" w:ascii="宋体" w:hAnsi="宋体" w:cs="宋体"/>
          <w:color w:val="auto"/>
          <w:highlight w:val="none"/>
        </w:rPr>
        <w:t>。</w:t>
      </w:r>
    </w:p>
    <w:p w14:paraId="5BF18447">
      <w:pPr>
        <w:spacing w:line="500" w:lineRule="exact"/>
        <w:ind w:firstLine="482" w:firstLineChars="200"/>
        <w:rPr>
          <w:rFonts w:ascii="宋体" w:hAnsi="宋体" w:cs="宋体"/>
          <w:color w:val="auto"/>
          <w:sz w:val="24"/>
          <w:highlight w:val="none"/>
        </w:rPr>
      </w:pPr>
      <w:bookmarkStart w:id="31" w:name="_Toc351203485"/>
      <w:r>
        <w:rPr>
          <w:rFonts w:hint="eastAsia" w:ascii="宋体" w:hAnsi="宋体" w:cs="宋体"/>
          <w:b/>
          <w:color w:val="auto"/>
          <w:sz w:val="24"/>
          <w:highlight w:val="none"/>
        </w:rPr>
        <w:t>五、</w:t>
      </w:r>
      <w:bookmarkEnd w:id="31"/>
      <w:r>
        <w:rPr>
          <w:rFonts w:hint="eastAsia" w:ascii="宋体" w:hAnsi="宋体" w:cs="宋体"/>
          <w:b/>
          <w:color w:val="auto"/>
          <w:sz w:val="24"/>
          <w:highlight w:val="none"/>
        </w:rPr>
        <w:t>项目负责人</w:t>
      </w:r>
    </w:p>
    <w:p w14:paraId="54FF8EB1">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承包人项目负责人：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EA91F85">
      <w:pPr>
        <w:spacing w:line="500" w:lineRule="exact"/>
        <w:ind w:firstLine="482" w:firstLineChars="200"/>
        <w:rPr>
          <w:rFonts w:ascii="宋体" w:hAnsi="宋体" w:cs="宋体"/>
          <w:color w:val="auto"/>
          <w:sz w:val="24"/>
          <w:highlight w:val="none"/>
        </w:rPr>
      </w:pPr>
      <w:bookmarkStart w:id="32" w:name="_Toc351203486"/>
      <w:r>
        <w:rPr>
          <w:rFonts w:hint="eastAsia" w:ascii="宋体" w:hAnsi="宋体" w:cs="宋体"/>
          <w:b/>
          <w:color w:val="auto"/>
          <w:sz w:val="24"/>
          <w:highlight w:val="none"/>
        </w:rPr>
        <w:t>六、合同文件构成</w:t>
      </w:r>
      <w:bookmarkEnd w:id="32"/>
    </w:p>
    <w:p w14:paraId="3CB11F85">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本协议书与下列文件一起构成合同文件：</w:t>
      </w:r>
    </w:p>
    <w:p w14:paraId="18C4D93D">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（1）中标通知书（如果有）；</w:t>
      </w:r>
    </w:p>
    <w:p w14:paraId="2AA9DE06">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 xml:space="preserve">（2）投标函及其附录（如果有）； </w:t>
      </w:r>
    </w:p>
    <w:p w14:paraId="769960F7">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（3）专用合同条款及其附件；</w:t>
      </w:r>
    </w:p>
    <w:p w14:paraId="6FEED66A">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（4）通用合同条款；</w:t>
      </w:r>
    </w:p>
    <w:p w14:paraId="12EC8E2B">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（5）技术标准和要求；</w:t>
      </w:r>
    </w:p>
    <w:p w14:paraId="0246537C">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（6）图纸；</w:t>
      </w:r>
    </w:p>
    <w:p w14:paraId="3A9F8E31">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）其他合同文件。</w:t>
      </w:r>
    </w:p>
    <w:p w14:paraId="697452E6">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在合同订立及履行过程中形成的与合同有关的文件均构成合同文件组成部分。</w:t>
      </w:r>
    </w:p>
    <w:p w14:paraId="58B1BDCF">
      <w:pPr>
        <w:autoSpaceDE w:val="0"/>
        <w:autoSpaceDN w:val="0"/>
        <w:spacing w:line="500" w:lineRule="exact"/>
        <w:ind w:firstLine="420" w:firstLineChars="200"/>
        <w:rPr>
          <w:rFonts w:ascii="宋体" w:hAnsi="宋体" w:cs="宋体"/>
          <w:color w:val="auto"/>
          <w:highlight w:val="none"/>
        </w:rPr>
      </w:pPr>
      <w:r>
        <w:rPr>
          <w:rFonts w:hint="eastAsia" w:ascii="宋体" w:hAnsi="宋体" w:cs="宋体"/>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7B044F59">
      <w:pPr>
        <w:spacing w:line="500" w:lineRule="exact"/>
        <w:ind w:firstLine="482" w:firstLineChars="200"/>
        <w:rPr>
          <w:rFonts w:ascii="宋体" w:hAnsi="宋体" w:cs="宋体"/>
          <w:color w:val="auto"/>
          <w:sz w:val="24"/>
          <w:highlight w:val="none"/>
        </w:rPr>
      </w:pPr>
      <w:bookmarkStart w:id="33" w:name="_Toc351203487"/>
      <w:r>
        <w:rPr>
          <w:rFonts w:hint="eastAsia" w:ascii="宋体" w:hAnsi="宋体" w:cs="宋体"/>
          <w:b/>
          <w:color w:val="auto"/>
          <w:sz w:val="24"/>
          <w:highlight w:val="none"/>
        </w:rPr>
        <w:t>七、承诺</w:t>
      </w:r>
      <w:bookmarkEnd w:id="33"/>
    </w:p>
    <w:p w14:paraId="7649D67C">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1.发包人承诺按照法律规定履行项目审批手续、筹集工程建设资金并按照合同约定的期限和方式支付合同价款。</w:t>
      </w:r>
    </w:p>
    <w:p w14:paraId="7D7C160B">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2.承包人承诺按照法律规定及合同约定组织完成工程施工，确保工程质量和安全，不进行转包及违法分包，并在缺陷责任期及保修期内承担相应的工程维修责任。</w:t>
      </w:r>
    </w:p>
    <w:p w14:paraId="3B60B248">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3.发包人和承包人通过招投标形式签订合同的，双方理解并承诺不再就同一工程另行签订与合同实质性内容相背离的协议。</w:t>
      </w:r>
    </w:p>
    <w:p w14:paraId="6994515E">
      <w:pPr>
        <w:spacing w:line="500" w:lineRule="exact"/>
        <w:ind w:firstLine="422" w:firstLineChars="200"/>
        <w:rPr>
          <w:rFonts w:ascii="宋体" w:hAnsi="宋体" w:cs="宋体"/>
          <w:bCs/>
          <w:color w:val="auto"/>
          <w:highlight w:val="none"/>
        </w:rPr>
      </w:pPr>
      <w:bookmarkStart w:id="34" w:name="_Toc351203488"/>
      <w:r>
        <w:rPr>
          <w:rFonts w:hint="eastAsia" w:ascii="宋体" w:hAnsi="宋体" w:cs="宋体"/>
          <w:b/>
          <w:color w:val="auto"/>
          <w:highlight w:val="none"/>
        </w:rPr>
        <w:t>八、词语含义</w:t>
      </w:r>
      <w:bookmarkEnd w:id="34"/>
    </w:p>
    <w:p w14:paraId="7CFCE4D7">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本协议书中词语含义与第二部分通用合同条款中赋予的含义相同。</w:t>
      </w:r>
    </w:p>
    <w:p w14:paraId="52043A77">
      <w:pPr>
        <w:spacing w:line="500" w:lineRule="exact"/>
        <w:ind w:firstLine="482" w:firstLineChars="200"/>
        <w:rPr>
          <w:rFonts w:ascii="宋体" w:hAnsi="宋体" w:cs="宋体"/>
          <w:color w:val="auto"/>
          <w:sz w:val="24"/>
          <w:highlight w:val="none"/>
        </w:rPr>
      </w:pPr>
      <w:bookmarkStart w:id="35" w:name="_Toc351203489"/>
      <w:r>
        <w:rPr>
          <w:rFonts w:hint="eastAsia" w:ascii="宋体" w:hAnsi="宋体" w:cs="宋体"/>
          <w:b/>
          <w:color w:val="auto"/>
          <w:sz w:val="24"/>
          <w:highlight w:val="none"/>
        </w:rPr>
        <w:t>九、签订时间</w:t>
      </w:r>
      <w:bookmarkEnd w:id="35"/>
    </w:p>
    <w:p w14:paraId="1981C0D0">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本合同于</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日签订。</w:t>
      </w:r>
    </w:p>
    <w:p w14:paraId="70D5EDD3">
      <w:pPr>
        <w:spacing w:line="500" w:lineRule="exact"/>
        <w:ind w:firstLine="482" w:firstLineChars="200"/>
        <w:rPr>
          <w:rFonts w:ascii="宋体" w:hAnsi="宋体" w:cs="宋体"/>
          <w:color w:val="auto"/>
          <w:sz w:val="24"/>
          <w:highlight w:val="none"/>
        </w:rPr>
      </w:pPr>
      <w:bookmarkStart w:id="36" w:name="_Toc351203490"/>
      <w:r>
        <w:rPr>
          <w:rFonts w:hint="eastAsia" w:ascii="宋体" w:hAnsi="宋体" w:cs="宋体"/>
          <w:b/>
          <w:color w:val="auto"/>
          <w:sz w:val="24"/>
          <w:highlight w:val="none"/>
        </w:rPr>
        <w:t>十、签订地点</w:t>
      </w:r>
      <w:bookmarkEnd w:id="36"/>
    </w:p>
    <w:p w14:paraId="76685DBE">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本合同在</w:t>
      </w:r>
      <w:r>
        <w:rPr>
          <w:rFonts w:hint="eastAsia" w:ascii="宋体" w:hAnsi="宋体" w:cs="宋体"/>
          <w:bCs/>
          <w:color w:val="auto"/>
          <w:highlight w:val="none"/>
          <w:u w:val="single"/>
        </w:rPr>
        <w:t xml:space="preserve">               </w:t>
      </w:r>
      <w:r>
        <w:rPr>
          <w:rFonts w:hint="eastAsia" w:ascii="宋体" w:hAnsi="宋体" w:cs="宋体"/>
          <w:bCs/>
          <w:color w:val="auto"/>
          <w:highlight w:val="none"/>
        </w:rPr>
        <w:t>签订。</w:t>
      </w:r>
    </w:p>
    <w:p w14:paraId="5AE193FE">
      <w:pPr>
        <w:spacing w:line="500" w:lineRule="exact"/>
        <w:ind w:firstLine="482" w:firstLineChars="200"/>
        <w:rPr>
          <w:rFonts w:ascii="宋体" w:hAnsi="宋体" w:cs="宋体"/>
          <w:color w:val="auto"/>
          <w:sz w:val="24"/>
          <w:highlight w:val="none"/>
        </w:rPr>
      </w:pPr>
      <w:bookmarkStart w:id="37" w:name="_Toc351203491"/>
      <w:r>
        <w:rPr>
          <w:rFonts w:hint="eastAsia" w:ascii="宋体" w:hAnsi="宋体" w:cs="宋体"/>
          <w:b/>
          <w:color w:val="auto"/>
          <w:sz w:val="24"/>
          <w:highlight w:val="none"/>
        </w:rPr>
        <w:t>十一、补充协议</w:t>
      </w:r>
      <w:bookmarkEnd w:id="37"/>
    </w:p>
    <w:p w14:paraId="5DF51729">
      <w:pPr>
        <w:spacing w:line="500" w:lineRule="exact"/>
        <w:ind w:firstLine="420" w:firstLineChars="200"/>
        <w:rPr>
          <w:rFonts w:ascii="宋体" w:hAnsi="宋体" w:cs="宋体"/>
          <w:b/>
          <w:bCs/>
          <w:color w:val="auto"/>
          <w:highlight w:val="none"/>
        </w:rPr>
      </w:pPr>
      <w:r>
        <w:rPr>
          <w:rFonts w:hint="eastAsia" w:ascii="宋体" w:hAnsi="宋体" w:cs="宋体"/>
          <w:bCs/>
          <w:color w:val="auto"/>
          <w:highlight w:val="none"/>
        </w:rPr>
        <w:t>合同未尽事宜，合同当事人另行签订补充协议，补充协议是合同的组成部分。</w:t>
      </w:r>
    </w:p>
    <w:p w14:paraId="2905D319">
      <w:pPr>
        <w:spacing w:line="500" w:lineRule="exact"/>
        <w:ind w:firstLine="482" w:firstLineChars="200"/>
        <w:rPr>
          <w:rFonts w:ascii="宋体" w:hAnsi="宋体" w:cs="宋体"/>
          <w:color w:val="auto"/>
          <w:sz w:val="24"/>
          <w:highlight w:val="none"/>
        </w:rPr>
      </w:pPr>
      <w:bookmarkStart w:id="38" w:name="_Toc351203492"/>
      <w:r>
        <w:rPr>
          <w:rFonts w:hint="eastAsia" w:ascii="宋体" w:hAnsi="宋体" w:cs="宋体"/>
          <w:b/>
          <w:color w:val="auto"/>
          <w:sz w:val="24"/>
          <w:highlight w:val="none"/>
        </w:rPr>
        <w:t>十二、合同生效</w:t>
      </w:r>
      <w:bookmarkEnd w:id="38"/>
    </w:p>
    <w:p w14:paraId="59322478">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本合同自</w:t>
      </w:r>
      <w:r>
        <w:rPr>
          <w:rFonts w:hint="eastAsia" w:ascii="宋体" w:hAnsi="宋体" w:cs="宋体"/>
          <w:bCs/>
          <w:color w:val="auto"/>
          <w:highlight w:val="none"/>
          <w:u w:val="single"/>
        </w:rPr>
        <w:t xml:space="preserve">   双方签字盖章后   </w:t>
      </w:r>
      <w:r>
        <w:rPr>
          <w:rFonts w:hint="eastAsia" w:ascii="宋体" w:hAnsi="宋体" w:cs="宋体"/>
          <w:bCs/>
          <w:color w:val="auto"/>
          <w:highlight w:val="none"/>
        </w:rPr>
        <w:t>生效。</w:t>
      </w:r>
    </w:p>
    <w:p w14:paraId="2168FB13">
      <w:pPr>
        <w:spacing w:line="500" w:lineRule="exact"/>
        <w:ind w:firstLine="482" w:firstLineChars="200"/>
        <w:rPr>
          <w:rFonts w:ascii="宋体" w:hAnsi="宋体" w:cs="宋体"/>
          <w:color w:val="auto"/>
          <w:sz w:val="24"/>
          <w:highlight w:val="none"/>
        </w:rPr>
      </w:pPr>
      <w:bookmarkStart w:id="39" w:name="_Toc351203493"/>
      <w:r>
        <w:rPr>
          <w:rFonts w:hint="eastAsia" w:ascii="宋体" w:hAnsi="宋体" w:cs="宋体"/>
          <w:b/>
          <w:color w:val="auto"/>
          <w:sz w:val="24"/>
          <w:highlight w:val="none"/>
        </w:rPr>
        <w:t>十三、合同份数</w:t>
      </w:r>
      <w:bookmarkEnd w:id="39"/>
    </w:p>
    <w:p w14:paraId="3C35D30F">
      <w:pPr>
        <w:spacing w:line="500" w:lineRule="exact"/>
        <w:ind w:firstLine="420" w:firstLineChars="200"/>
        <w:rPr>
          <w:rFonts w:ascii="宋体" w:hAnsi="宋体" w:cs="宋体"/>
          <w:bCs/>
          <w:color w:val="auto"/>
          <w:highlight w:val="none"/>
        </w:rPr>
      </w:pPr>
      <w:r>
        <w:rPr>
          <w:rFonts w:hint="eastAsia" w:ascii="宋体" w:hAnsi="宋体" w:cs="宋体"/>
          <w:bCs/>
          <w:color w:val="auto"/>
          <w:highlight w:val="none"/>
        </w:rPr>
        <w:t>本合同一式</w:t>
      </w:r>
      <w:r>
        <w:rPr>
          <w:rFonts w:hint="eastAsia" w:ascii="宋体" w:hAnsi="宋体" w:cs="宋体"/>
          <w:color w:val="auto"/>
          <w:highlight w:val="none"/>
          <w:u w:val="single"/>
        </w:rPr>
        <w:t>拾</w:t>
      </w:r>
      <w:r>
        <w:rPr>
          <w:rFonts w:hint="eastAsia" w:ascii="宋体" w:hAnsi="宋体" w:cs="宋体"/>
          <w:bCs/>
          <w:color w:val="auto"/>
          <w:highlight w:val="none"/>
        </w:rPr>
        <w:t>份，均具有同等法律效力，发包人执</w:t>
      </w:r>
      <w:r>
        <w:rPr>
          <w:rFonts w:hint="eastAsia" w:ascii="宋体" w:hAnsi="宋体" w:cs="宋体"/>
          <w:bCs/>
          <w:color w:val="auto"/>
          <w:highlight w:val="none"/>
          <w:u w:val="single"/>
        </w:rPr>
        <w:t xml:space="preserve"> </w:t>
      </w:r>
      <w:r>
        <w:rPr>
          <w:rFonts w:hint="eastAsia" w:ascii="宋体" w:hAnsi="宋体" w:cs="宋体"/>
          <w:color w:val="auto"/>
          <w:highlight w:val="none"/>
          <w:u w:val="single"/>
        </w:rPr>
        <w:t>陆</w:t>
      </w:r>
      <w:r>
        <w:rPr>
          <w:rFonts w:hint="eastAsia" w:ascii="宋体" w:hAnsi="宋体" w:cs="宋体"/>
          <w:bCs/>
          <w:color w:val="auto"/>
          <w:highlight w:val="none"/>
          <w:u w:val="single"/>
        </w:rPr>
        <w:t xml:space="preserve"> </w:t>
      </w:r>
      <w:r>
        <w:rPr>
          <w:rFonts w:hint="eastAsia" w:ascii="宋体" w:hAnsi="宋体" w:cs="宋体"/>
          <w:bCs/>
          <w:color w:val="auto"/>
          <w:highlight w:val="none"/>
        </w:rPr>
        <w:t>份，承包人执</w:t>
      </w:r>
      <w:r>
        <w:rPr>
          <w:rFonts w:hint="eastAsia" w:ascii="宋体" w:hAnsi="宋体" w:cs="宋体"/>
          <w:bCs/>
          <w:color w:val="auto"/>
          <w:highlight w:val="none"/>
          <w:u w:val="single"/>
        </w:rPr>
        <w:t xml:space="preserve"> 肆 </w:t>
      </w:r>
      <w:r>
        <w:rPr>
          <w:rFonts w:hint="eastAsia" w:ascii="宋体" w:hAnsi="宋体" w:cs="宋体"/>
          <w:bCs/>
          <w:color w:val="auto"/>
          <w:highlight w:val="none"/>
        </w:rPr>
        <w:t>份。</w:t>
      </w:r>
    </w:p>
    <w:p w14:paraId="02186CF7">
      <w:pPr>
        <w:spacing w:line="360" w:lineRule="auto"/>
        <w:rPr>
          <w:rFonts w:hAnsi="宋体" w:cs="宋体"/>
          <w:color w:val="auto"/>
          <w:highlight w:val="none"/>
        </w:rPr>
      </w:pPr>
    </w:p>
    <w:p w14:paraId="7B11DFBA">
      <w:pPr>
        <w:spacing w:line="360" w:lineRule="auto"/>
        <w:rPr>
          <w:rFonts w:hAnsi="宋体" w:cs="宋体"/>
          <w:color w:val="auto"/>
          <w:highlight w:val="none"/>
        </w:rPr>
      </w:pPr>
    </w:p>
    <w:p w14:paraId="219FD947">
      <w:pPr>
        <w:spacing w:line="360" w:lineRule="auto"/>
        <w:ind w:firstLine="420" w:firstLineChars="200"/>
        <w:rPr>
          <w:rFonts w:hAnsi="宋体" w:cs="宋体"/>
          <w:color w:val="auto"/>
          <w:highlight w:val="none"/>
        </w:rPr>
      </w:pPr>
      <w:r>
        <w:rPr>
          <w:rFonts w:hint="eastAsia" w:hAnsi="宋体" w:cs="宋体"/>
          <w:color w:val="auto"/>
          <w:highlight w:val="none"/>
        </w:rPr>
        <w:t>发包人：  (公章)                      承包人：  (公章)</w:t>
      </w:r>
    </w:p>
    <w:p w14:paraId="5C075802">
      <w:pPr>
        <w:spacing w:line="360" w:lineRule="auto"/>
        <w:ind w:firstLine="420" w:firstLineChars="200"/>
        <w:rPr>
          <w:rFonts w:hAnsi="宋体" w:cs="宋体"/>
          <w:color w:val="auto"/>
          <w:highlight w:val="none"/>
          <w:u w:val="single"/>
        </w:rPr>
      </w:pPr>
      <w:r>
        <w:rPr>
          <w:rFonts w:hint="eastAsia" w:hAnsi="宋体" w:cs="宋体"/>
          <w:color w:val="auto"/>
          <w:highlight w:val="none"/>
        </w:rPr>
        <w:t xml:space="preserve">                                 </w:t>
      </w:r>
    </w:p>
    <w:p w14:paraId="7727612F">
      <w:pPr>
        <w:spacing w:line="360" w:lineRule="auto"/>
        <w:ind w:firstLine="420" w:firstLineChars="200"/>
        <w:rPr>
          <w:rFonts w:hAnsi="宋体" w:cs="宋体"/>
          <w:color w:val="auto"/>
          <w:highlight w:val="none"/>
        </w:rPr>
      </w:pPr>
      <w:r>
        <w:rPr>
          <w:rFonts w:hint="eastAsia" w:hAnsi="宋体" w:cs="宋体"/>
          <w:color w:val="auto"/>
          <w:highlight w:val="none"/>
        </w:rPr>
        <w:t>法定代表人或其委托代理人：           法定代表人或其委托代理人：</w:t>
      </w:r>
    </w:p>
    <w:p w14:paraId="76E700F9">
      <w:pPr>
        <w:spacing w:line="360" w:lineRule="auto"/>
        <w:ind w:firstLine="3150" w:firstLineChars="1500"/>
        <w:rPr>
          <w:rFonts w:hAnsi="宋体" w:cs="宋体"/>
          <w:color w:val="auto"/>
          <w:highlight w:val="none"/>
        </w:rPr>
      </w:pPr>
      <w:r>
        <w:rPr>
          <w:rFonts w:hint="eastAsia" w:hAnsi="宋体" w:cs="宋体"/>
          <w:color w:val="auto"/>
          <w:highlight w:val="none"/>
        </w:rPr>
        <w:t>（签字）                            （签字）</w:t>
      </w:r>
    </w:p>
    <w:p w14:paraId="3364C875">
      <w:pPr>
        <w:pStyle w:val="37"/>
        <w:tabs>
          <w:tab w:val="left" w:pos="0"/>
          <w:tab w:val="left" w:pos="993"/>
          <w:tab w:val="left" w:pos="1134"/>
        </w:tabs>
        <w:ind w:firstLine="400"/>
        <w:rPr>
          <w:color w:val="auto"/>
          <w:highlight w:val="none"/>
        </w:rPr>
      </w:pPr>
    </w:p>
    <w:p w14:paraId="7D7A3D09">
      <w:pPr>
        <w:tabs>
          <w:tab w:val="left" w:pos="4410"/>
        </w:tabs>
        <w:spacing w:line="360" w:lineRule="auto"/>
        <w:ind w:firstLine="420" w:firstLineChars="200"/>
        <w:rPr>
          <w:rFonts w:hAnsi="宋体" w:cs="宋体"/>
          <w:color w:val="auto"/>
          <w:highlight w:val="none"/>
        </w:rPr>
      </w:pPr>
      <w:r>
        <w:rPr>
          <w:rFonts w:hint="eastAsia" w:hAnsi="宋体" w:cs="宋体"/>
          <w:color w:val="auto"/>
          <w:highlight w:val="none"/>
        </w:rPr>
        <w:t>组织机构代码:</w:t>
      </w:r>
      <w:r>
        <w:rPr>
          <w:rFonts w:hint="eastAsia" w:hAnsi="宋体" w:cs="宋体"/>
          <w:color w:val="auto"/>
          <w:highlight w:val="none"/>
          <w:u w:val="single"/>
        </w:rPr>
        <w:t xml:space="preserve">                     </w:t>
      </w:r>
      <w:r>
        <w:rPr>
          <w:rFonts w:hint="eastAsia" w:hAnsi="宋体" w:cs="宋体"/>
          <w:color w:val="auto"/>
          <w:highlight w:val="none"/>
        </w:rPr>
        <w:t xml:space="preserve"> 组织机构代码:</w:t>
      </w:r>
      <w:r>
        <w:rPr>
          <w:rFonts w:hint="eastAsia" w:hAnsi="宋体" w:cs="宋体"/>
          <w:color w:val="auto"/>
          <w:highlight w:val="none"/>
          <w:u w:val="single"/>
        </w:rPr>
        <w:t xml:space="preserve">                           </w:t>
      </w:r>
      <w:r>
        <w:rPr>
          <w:rFonts w:hint="eastAsia" w:hAnsi="宋体" w:cs="宋体"/>
          <w:color w:val="auto"/>
          <w:highlight w:val="none"/>
        </w:rPr>
        <w:t xml:space="preserve">                             </w:t>
      </w:r>
    </w:p>
    <w:p w14:paraId="74FDEF7A">
      <w:pPr>
        <w:spacing w:line="360" w:lineRule="auto"/>
        <w:ind w:firstLine="420" w:firstLineChars="200"/>
        <w:rPr>
          <w:rFonts w:hAnsi="宋体" w:cs="宋体"/>
          <w:color w:val="auto"/>
          <w:spacing w:val="-22"/>
          <w:highlight w:val="none"/>
          <w:u w:val="single"/>
        </w:rPr>
      </w:pPr>
      <w:r>
        <w:rPr>
          <w:rFonts w:hint="eastAsia" w:hAnsi="宋体" w:cs="宋体"/>
          <w:color w:val="auto"/>
          <w:highlight w:val="none"/>
        </w:rPr>
        <w:t>地  址：</w:t>
      </w:r>
      <w:r>
        <w:rPr>
          <w:rFonts w:hint="eastAsia" w:hAnsi="宋体" w:cs="宋体"/>
          <w:color w:val="auto"/>
          <w:highlight w:val="none"/>
          <w:u w:val="single"/>
        </w:rPr>
        <w:t xml:space="preserve">                          </w:t>
      </w:r>
      <w:r>
        <w:rPr>
          <w:rFonts w:hint="eastAsia" w:hAnsi="宋体" w:cs="宋体"/>
          <w:color w:val="auto"/>
          <w:highlight w:val="none"/>
        </w:rPr>
        <w:t xml:space="preserve"> 地  址：</w:t>
      </w:r>
      <w:r>
        <w:rPr>
          <w:rFonts w:hint="eastAsia" w:hAnsi="宋体" w:cs="宋体"/>
          <w:color w:val="auto"/>
          <w:spacing w:val="-22"/>
          <w:highlight w:val="none"/>
          <w:u w:val="single"/>
        </w:rPr>
        <w:t xml:space="preserve">                                                     </w:t>
      </w:r>
    </w:p>
    <w:p w14:paraId="15260966">
      <w:pPr>
        <w:spacing w:line="360" w:lineRule="auto"/>
        <w:ind w:firstLine="420" w:firstLineChars="200"/>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14:paraId="684E6A95">
      <w:pPr>
        <w:spacing w:line="360" w:lineRule="auto"/>
        <w:ind w:firstLine="420" w:firstLineChars="200"/>
        <w:rPr>
          <w:rFonts w:hAnsi="宋体" w:cs="宋体"/>
          <w:color w:val="auto"/>
          <w:highlight w:val="none"/>
        </w:rPr>
      </w:pPr>
      <w:r>
        <w:rPr>
          <w:rFonts w:hint="eastAsia" w:hAnsi="宋体" w:cs="宋体"/>
          <w:color w:val="auto"/>
          <w:highlight w:val="none"/>
        </w:rPr>
        <w:t>法定代表人：</w:t>
      </w:r>
      <w:r>
        <w:rPr>
          <w:rFonts w:hint="eastAsia" w:hAnsi="宋体" w:cs="宋体"/>
          <w:color w:val="auto"/>
          <w:highlight w:val="none"/>
          <w:u w:val="single"/>
        </w:rPr>
        <w:t xml:space="preserve">                      </w:t>
      </w:r>
      <w:r>
        <w:rPr>
          <w:rFonts w:hint="eastAsia" w:hAnsi="宋体" w:cs="宋体"/>
          <w:color w:val="auto"/>
          <w:highlight w:val="none"/>
        </w:rPr>
        <w:t xml:space="preserve"> 法定代表人：</w:t>
      </w:r>
      <w:r>
        <w:rPr>
          <w:rFonts w:hint="eastAsia" w:hAnsi="宋体" w:cs="宋体"/>
          <w:color w:val="auto"/>
          <w:highlight w:val="none"/>
          <w:u w:val="single"/>
        </w:rPr>
        <w:t xml:space="preserve">                           </w:t>
      </w:r>
    </w:p>
    <w:p w14:paraId="42797A6E">
      <w:pPr>
        <w:spacing w:line="360" w:lineRule="auto"/>
        <w:ind w:firstLine="420" w:firstLineChars="200"/>
        <w:rPr>
          <w:rFonts w:hAnsi="宋体" w:cs="宋体"/>
          <w:color w:val="auto"/>
          <w:highlight w:val="none"/>
        </w:rPr>
      </w:pPr>
      <w:r>
        <w:rPr>
          <w:rFonts w:hint="eastAsia" w:hAnsi="宋体" w:cs="宋体"/>
          <w:color w:val="auto"/>
          <w:highlight w:val="none"/>
        </w:rPr>
        <w:t>委托代理人：</w:t>
      </w:r>
      <w:r>
        <w:rPr>
          <w:rFonts w:hint="eastAsia" w:hAnsi="宋体" w:cs="宋体"/>
          <w:color w:val="auto"/>
          <w:highlight w:val="none"/>
          <w:u w:val="single"/>
        </w:rPr>
        <w:t xml:space="preserve">                     </w:t>
      </w:r>
      <w:r>
        <w:rPr>
          <w:rFonts w:hint="eastAsia" w:hAnsi="宋体" w:cs="宋体"/>
          <w:color w:val="auto"/>
          <w:highlight w:val="none"/>
        </w:rPr>
        <w:t xml:space="preserve">  委托代理人：</w:t>
      </w:r>
      <w:r>
        <w:rPr>
          <w:rFonts w:hint="eastAsia" w:hAnsi="宋体" w:cs="宋体"/>
          <w:color w:val="auto"/>
          <w:highlight w:val="none"/>
          <w:u w:val="single"/>
        </w:rPr>
        <w:t xml:space="preserve">                           </w:t>
      </w:r>
    </w:p>
    <w:p w14:paraId="4C1ADDCE">
      <w:pPr>
        <w:spacing w:line="360" w:lineRule="auto"/>
        <w:ind w:firstLine="420" w:firstLineChars="200"/>
        <w:rPr>
          <w:rFonts w:hAnsi="宋体" w:cs="宋体"/>
          <w:color w:val="auto"/>
          <w:highlight w:val="none"/>
          <w:u w:val="single"/>
        </w:rPr>
      </w:pPr>
      <w:r>
        <w:rPr>
          <w:rFonts w:hint="eastAsia" w:hAnsi="宋体" w:cs="宋体"/>
          <w:color w:val="auto"/>
          <w:highlight w:val="none"/>
        </w:rPr>
        <w:t>电  话：</w:t>
      </w:r>
      <w:r>
        <w:rPr>
          <w:rFonts w:hint="eastAsia" w:hAnsi="宋体" w:cs="宋体"/>
          <w:color w:val="auto"/>
          <w:highlight w:val="none"/>
          <w:u w:val="single"/>
        </w:rPr>
        <w:t xml:space="preserve">                         </w:t>
      </w:r>
      <w:r>
        <w:rPr>
          <w:rFonts w:hint="eastAsia" w:hAnsi="宋体" w:cs="宋体"/>
          <w:color w:val="auto"/>
          <w:highlight w:val="none"/>
        </w:rPr>
        <w:t xml:space="preserve">  电  话：</w:t>
      </w:r>
      <w:r>
        <w:rPr>
          <w:rFonts w:hint="eastAsia" w:hAnsi="宋体" w:cs="宋体"/>
          <w:color w:val="auto"/>
          <w:highlight w:val="none"/>
          <w:u w:val="single"/>
        </w:rPr>
        <w:t xml:space="preserve">                               </w:t>
      </w:r>
    </w:p>
    <w:p w14:paraId="31B96920">
      <w:pPr>
        <w:tabs>
          <w:tab w:val="left" w:pos="4410"/>
        </w:tabs>
        <w:spacing w:line="360" w:lineRule="auto"/>
        <w:ind w:firstLine="420" w:firstLineChars="200"/>
        <w:rPr>
          <w:rFonts w:hAnsi="宋体" w:cs="宋体"/>
          <w:color w:val="auto"/>
          <w:highlight w:val="none"/>
        </w:rPr>
      </w:pPr>
      <w:r>
        <w:rPr>
          <w:rFonts w:hint="eastAsia" w:hAnsi="宋体" w:cs="宋体"/>
          <w:color w:val="auto"/>
          <w:highlight w:val="none"/>
        </w:rPr>
        <w:t>电子信箱：</w:t>
      </w:r>
      <w:r>
        <w:rPr>
          <w:rFonts w:hint="eastAsia" w:hAnsi="宋体" w:cs="宋体"/>
          <w:color w:val="auto"/>
          <w:highlight w:val="none"/>
          <w:u w:val="single"/>
        </w:rPr>
        <w:t xml:space="preserve">                       </w:t>
      </w:r>
      <w:r>
        <w:rPr>
          <w:rFonts w:hint="eastAsia" w:hAnsi="宋体" w:cs="宋体"/>
          <w:color w:val="auto"/>
          <w:highlight w:val="none"/>
        </w:rPr>
        <w:t xml:space="preserve">  电子信箱：</w:t>
      </w:r>
      <w:r>
        <w:rPr>
          <w:rFonts w:hint="eastAsia" w:hAnsi="宋体" w:cs="宋体"/>
          <w:color w:val="auto"/>
          <w:highlight w:val="none"/>
          <w:u w:val="single"/>
        </w:rPr>
        <w:t xml:space="preserve">                             </w:t>
      </w:r>
    </w:p>
    <w:p w14:paraId="5DDAE08E">
      <w:pPr>
        <w:tabs>
          <w:tab w:val="left" w:pos="4410"/>
        </w:tabs>
        <w:spacing w:line="360" w:lineRule="auto"/>
        <w:ind w:firstLine="420" w:firstLineChars="200"/>
        <w:rPr>
          <w:rFonts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开户银行：</w:t>
      </w:r>
      <w:r>
        <w:rPr>
          <w:rFonts w:hint="eastAsia" w:hAnsi="宋体" w:cs="宋体"/>
          <w:color w:val="auto"/>
          <w:highlight w:val="none"/>
          <w:u w:val="single"/>
        </w:rPr>
        <w:t xml:space="preserve">                             </w:t>
      </w:r>
    </w:p>
    <w:p w14:paraId="0B271834">
      <w:pPr>
        <w:pStyle w:val="2"/>
        <w:ind w:firstLine="420"/>
        <w:rPr>
          <w:rFonts w:hint="default"/>
          <w:color w:val="auto"/>
          <w:highlight w:val="none"/>
        </w:rPr>
      </w:pPr>
      <w:r>
        <w:rPr>
          <w:rFonts w:ascii="宋体" w:hAnsi="宋体"/>
          <w:color w:val="auto"/>
          <w:sz w:val="21"/>
          <w:szCs w:val="21"/>
          <w:highlight w:val="none"/>
        </w:rPr>
        <w:t>账  号：</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账  号：</w:t>
      </w:r>
      <w:r>
        <w:rPr>
          <w:rFonts w:ascii="宋体" w:hAnsi="宋体"/>
          <w:color w:val="auto"/>
          <w:sz w:val="21"/>
          <w:szCs w:val="21"/>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5821182A">
      <w:pPr>
        <w:spacing w:line="360" w:lineRule="auto"/>
        <w:rPr>
          <w:rFonts w:hAnsi="宋体" w:cs="宋体"/>
          <w:b/>
          <w:bCs/>
          <w:color w:val="auto"/>
          <w:sz w:val="44"/>
          <w:szCs w:val="44"/>
          <w:highlight w:val="none"/>
        </w:rPr>
      </w:pPr>
    </w:p>
    <w:p w14:paraId="345B5F4F">
      <w:pPr>
        <w:spacing w:line="360" w:lineRule="auto"/>
        <w:jc w:val="center"/>
        <w:rPr>
          <w:rFonts w:hAnsi="宋体" w:cs="宋体"/>
          <w:b/>
          <w:bCs/>
          <w:color w:val="auto"/>
          <w:sz w:val="44"/>
          <w:szCs w:val="44"/>
          <w:highlight w:val="none"/>
        </w:rPr>
      </w:pPr>
    </w:p>
    <w:p w14:paraId="31873F91">
      <w:pPr>
        <w:pStyle w:val="2"/>
        <w:rPr>
          <w:rFonts w:hAnsi="宋体" w:cs="宋体"/>
          <w:b/>
          <w:bCs/>
          <w:color w:val="auto"/>
          <w:sz w:val="44"/>
          <w:szCs w:val="44"/>
          <w:highlight w:val="none"/>
        </w:rPr>
      </w:pPr>
    </w:p>
    <w:p w14:paraId="384F8F44">
      <w:pPr>
        <w:rPr>
          <w:rFonts w:hAnsi="宋体" w:cs="宋体"/>
          <w:b/>
          <w:bCs/>
          <w:color w:val="auto"/>
          <w:sz w:val="44"/>
          <w:szCs w:val="44"/>
          <w:highlight w:val="none"/>
        </w:rPr>
      </w:pPr>
    </w:p>
    <w:p w14:paraId="0DE28B8B">
      <w:pPr>
        <w:pStyle w:val="2"/>
        <w:rPr>
          <w:rFonts w:hAnsi="宋体" w:cs="宋体"/>
          <w:b/>
          <w:bCs/>
          <w:color w:val="auto"/>
          <w:sz w:val="44"/>
          <w:szCs w:val="44"/>
          <w:highlight w:val="none"/>
        </w:rPr>
      </w:pPr>
    </w:p>
    <w:p w14:paraId="7755B14F">
      <w:pPr>
        <w:rPr>
          <w:rFonts w:hAnsi="宋体" w:cs="宋体"/>
          <w:b/>
          <w:bCs/>
          <w:color w:val="auto"/>
          <w:sz w:val="44"/>
          <w:szCs w:val="44"/>
          <w:highlight w:val="none"/>
        </w:rPr>
      </w:pPr>
    </w:p>
    <w:p w14:paraId="43886E52">
      <w:pPr>
        <w:pStyle w:val="2"/>
        <w:rPr>
          <w:color w:val="auto"/>
          <w:highlight w:val="none"/>
        </w:rPr>
      </w:pPr>
    </w:p>
    <w:p w14:paraId="0D04A01A">
      <w:pPr>
        <w:pStyle w:val="2"/>
        <w:rPr>
          <w:color w:val="auto"/>
          <w:highlight w:val="none"/>
        </w:rPr>
      </w:pPr>
    </w:p>
    <w:p w14:paraId="3C54F7A5">
      <w:pPr>
        <w:spacing w:line="360" w:lineRule="auto"/>
        <w:jc w:val="center"/>
        <w:rPr>
          <w:rFonts w:hAnsi="宋体" w:cs="宋体"/>
          <w:b/>
          <w:bCs/>
          <w:color w:val="auto"/>
          <w:sz w:val="44"/>
          <w:szCs w:val="44"/>
          <w:highlight w:val="none"/>
        </w:rPr>
      </w:pPr>
    </w:p>
    <w:p w14:paraId="00860129">
      <w:pPr>
        <w:spacing w:line="360" w:lineRule="auto"/>
        <w:jc w:val="center"/>
        <w:rPr>
          <w:rStyle w:val="64"/>
          <w:rFonts w:hAnsi="宋体" w:cs="宋体"/>
          <w:b/>
          <w:color w:val="auto"/>
          <w:highlight w:val="none"/>
        </w:rPr>
      </w:pPr>
      <w:r>
        <w:rPr>
          <w:rFonts w:hint="eastAsia" w:hAnsi="宋体" w:cs="宋体"/>
          <w:b/>
          <w:bCs/>
          <w:color w:val="auto"/>
          <w:sz w:val="44"/>
          <w:szCs w:val="44"/>
          <w:highlight w:val="none"/>
        </w:rPr>
        <w:t>第二部分  合同通用条款</w:t>
      </w:r>
    </w:p>
    <w:p w14:paraId="108F8C87">
      <w:pPr>
        <w:pStyle w:val="84"/>
        <w:widowControl w:val="0"/>
        <w:spacing w:before="0" w:after="0" w:line="500" w:lineRule="exact"/>
        <w:ind w:firstLine="482" w:firstLineChars="200"/>
        <w:textAlignment w:val="auto"/>
        <w:rPr>
          <w:rStyle w:val="64"/>
          <w:rFonts w:hAnsi="宋体" w:cs="宋体"/>
          <w:color w:val="auto"/>
          <w:highlight w:val="none"/>
        </w:rPr>
      </w:pPr>
      <w:r>
        <w:rPr>
          <w:rStyle w:val="64"/>
          <w:rFonts w:hint="eastAsia" w:hAnsi="宋体" w:cs="宋体"/>
          <w:color w:val="auto"/>
          <w:highlight w:val="none"/>
        </w:rPr>
        <w:t>本工程通用合同条款按建设工程施工合同（示范文本）（GF—2017—0201）的通用合同条款执行。</w:t>
      </w:r>
    </w:p>
    <w:p w14:paraId="3F325C81">
      <w:pPr>
        <w:rPr>
          <w:rStyle w:val="64"/>
          <w:rFonts w:hAnsi="宋体" w:cs="宋体"/>
          <w:bCs/>
          <w:color w:val="auto"/>
          <w:highlight w:val="none"/>
        </w:rPr>
      </w:pPr>
    </w:p>
    <w:p w14:paraId="059A75DA">
      <w:pPr>
        <w:rPr>
          <w:rStyle w:val="64"/>
          <w:rFonts w:hAnsi="宋体" w:cs="宋体"/>
          <w:bCs/>
          <w:color w:val="auto"/>
          <w:highlight w:val="none"/>
        </w:rPr>
      </w:pPr>
    </w:p>
    <w:p w14:paraId="16B255D1">
      <w:pPr>
        <w:rPr>
          <w:rStyle w:val="64"/>
          <w:rFonts w:hAnsi="宋体" w:cs="宋体"/>
          <w:bCs/>
          <w:color w:val="auto"/>
          <w:highlight w:val="none"/>
        </w:rPr>
      </w:pPr>
    </w:p>
    <w:p w14:paraId="1208374F">
      <w:pPr>
        <w:pStyle w:val="84"/>
        <w:keepNext w:val="0"/>
        <w:keepLines w:val="0"/>
        <w:widowControl w:val="0"/>
        <w:numPr>
          <w:ilvl w:val="0"/>
          <w:numId w:val="3"/>
        </w:numPr>
        <w:adjustRightInd w:val="0"/>
        <w:snapToGrid w:val="0"/>
        <w:spacing w:before="0" w:after="0" w:line="240" w:lineRule="auto"/>
        <w:jc w:val="center"/>
        <w:textAlignment w:val="auto"/>
        <w:rPr>
          <w:rFonts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 xml:space="preserve"> 合同专用条款</w:t>
      </w:r>
    </w:p>
    <w:p w14:paraId="515D6909">
      <w:pPr>
        <w:pStyle w:val="7"/>
        <w:spacing w:before="0" w:after="0" w:line="400" w:lineRule="exact"/>
        <w:rPr>
          <w:rFonts w:ascii="宋体" w:hAnsi="宋体" w:eastAsia="宋体" w:cs="宋体"/>
          <w:bCs w:val="0"/>
          <w:color w:val="auto"/>
          <w:sz w:val="24"/>
          <w:szCs w:val="21"/>
          <w:highlight w:val="none"/>
        </w:rPr>
      </w:pPr>
      <w:bookmarkStart w:id="40" w:name="_Toc351203633"/>
      <w:r>
        <w:rPr>
          <w:rFonts w:hint="eastAsia" w:ascii="宋体" w:hAnsi="宋体" w:eastAsia="宋体" w:cs="宋体"/>
          <w:bCs w:val="0"/>
          <w:color w:val="auto"/>
          <w:sz w:val="24"/>
          <w:szCs w:val="21"/>
          <w:highlight w:val="none"/>
        </w:rPr>
        <w:t>1</w:t>
      </w:r>
      <w:bookmarkStart w:id="41" w:name="_Toc296503156"/>
      <w:bookmarkStart w:id="42" w:name="_Toc292559361"/>
      <w:bookmarkStart w:id="43" w:name="_Toc296944495"/>
      <w:bookmarkStart w:id="44" w:name="_Toc297048342"/>
      <w:bookmarkStart w:id="45" w:name="_Toc297120456"/>
      <w:bookmarkStart w:id="46" w:name="_Toc296891196"/>
      <w:bookmarkStart w:id="47" w:name="_Toc296347155"/>
      <w:bookmarkStart w:id="48" w:name="_Toc296346657"/>
      <w:bookmarkStart w:id="49" w:name="_Toc296890984"/>
      <w:bookmarkStart w:id="50" w:name="_Toc292559866"/>
      <w:r>
        <w:rPr>
          <w:rFonts w:hint="eastAsia" w:ascii="宋体" w:hAnsi="宋体" w:eastAsia="宋体" w:cs="宋体"/>
          <w:bCs w:val="0"/>
          <w:color w:val="auto"/>
          <w:sz w:val="24"/>
          <w:szCs w:val="21"/>
          <w:highlight w:val="none"/>
        </w:rPr>
        <w:t>. 一般约定</w:t>
      </w:r>
      <w:bookmarkEnd w:id="40"/>
    </w:p>
    <w:bookmarkEnd w:id="41"/>
    <w:bookmarkEnd w:id="42"/>
    <w:bookmarkEnd w:id="43"/>
    <w:bookmarkEnd w:id="44"/>
    <w:bookmarkEnd w:id="45"/>
    <w:bookmarkEnd w:id="46"/>
    <w:bookmarkEnd w:id="47"/>
    <w:bookmarkEnd w:id="48"/>
    <w:bookmarkEnd w:id="49"/>
    <w:bookmarkEnd w:id="50"/>
    <w:p w14:paraId="3077A3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词语定义</w:t>
      </w:r>
    </w:p>
    <w:p w14:paraId="41E58C3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1.1.1合同</w:t>
      </w:r>
    </w:p>
    <w:p w14:paraId="2457D900">
      <w:pPr>
        <w:spacing w:line="400" w:lineRule="exact"/>
        <w:ind w:left="1155" w:hanging="1155" w:hangingChars="550"/>
        <w:rPr>
          <w:rFonts w:ascii="宋体" w:hAnsi="宋体" w:cs="宋体"/>
          <w:color w:val="auto"/>
          <w:szCs w:val="21"/>
          <w:highlight w:val="none"/>
          <w:u w:val="single"/>
        </w:rPr>
      </w:pPr>
      <w:r>
        <w:rPr>
          <w:rFonts w:hint="eastAsia" w:ascii="宋体" w:hAnsi="宋体" w:cs="宋体"/>
          <w:color w:val="auto"/>
          <w:kern w:val="0"/>
          <w:szCs w:val="21"/>
          <w:highlight w:val="none"/>
        </w:rPr>
        <w:t xml:space="preserve">    1.1.1.1其他合同文件包括：</w:t>
      </w:r>
      <w:r>
        <w:rPr>
          <w:rFonts w:hint="eastAsia" w:ascii="宋体" w:hAnsi="宋体" w:cs="宋体"/>
          <w:color w:val="auto"/>
          <w:szCs w:val="21"/>
          <w:highlight w:val="none"/>
          <w:u w:val="single"/>
        </w:rPr>
        <w:t>招标文件、最高投标限价、施工图纸（若有）、经业主审批的供电方案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任务单、影像资料等。 </w:t>
      </w:r>
    </w:p>
    <w:p w14:paraId="0B2054F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1.1.2 合同当事人及其他相关方</w:t>
      </w:r>
    </w:p>
    <w:p w14:paraId="278C704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w:t>
      </w:r>
      <w:r>
        <w:rPr>
          <w:rFonts w:ascii="宋体" w:hAnsi="宋体" w:cs="宋体"/>
          <w:color w:val="auto"/>
          <w:szCs w:val="21"/>
          <w:highlight w:val="none"/>
        </w:rPr>
        <w:t>1</w:t>
      </w:r>
      <w:r>
        <w:rPr>
          <w:rFonts w:hint="eastAsia" w:ascii="宋体" w:hAnsi="宋体" w:cs="宋体"/>
          <w:color w:val="auto"/>
          <w:szCs w:val="21"/>
          <w:highlight w:val="none"/>
        </w:rPr>
        <w:t>监理人：</w:t>
      </w:r>
    </w:p>
    <w:p w14:paraId="4B31AE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28A976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D9EB35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013D8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24D544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189345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w:t>
      </w:r>
      <w:r>
        <w:rPr>
          <w:rFonts w:ascii="宋体" w:hAnsi="宋体" w:cs="宋体"/>
          <w:color w:val="auto"/>
          <w:szCs w:val="21"/>
          <w:highlight w:val="none"/>
        </w:rPr>
        <w:t>2</w:t>
      </w:r>
      <w:r>
        <w:rPr>
          <w:rFonts w:hint="eastAsia" w:ascii="宋体" w:hAnsi="宋体" w:cs="宋体"/>
          <w:color w:val="auto"/>
          <w:szCs w:val="21"/>
          <w:highlight w:val="none"/>
        </w:rPr>
        <w:t xml:space="preserve"> 设计人：</w:t>
      </w:r>
    </w:p>
    <w:p w14:paraId="15B485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ascii="宋体" w:hAnsi="宋体" w:cs="宋体"/>
          <w:color w:val="auto"/>
          <w:szCs w:val="21"/>
          <w:highlight w:val="none"/>
          <w:u w:val="single"/>
        </w:rPr>
        <w:t>/</w:t>
      </w:r>
      <w:r>
        <w:rPr>
          <w:rFonts w:hint="eastAsia" w:ascii="宋体" w:hAnsi="宋体" w:cs="宋体"/>
          <w:color w:val="auto"/>
          <w:szCs w:val="21"/>
          <w:highlight w:val="none"/>
        </w:rPr>
        <w:t>；</w:t>
      </w:r>
    </w:p>
    <w:p w14:paraId="755E88C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资质类别和等级：</w:t>
      </w:r>
      <w:r>
        <w:rPr>
          <w:rFonts w:ascii="宋体" w:hAnsi="宋体" w:cs="宋体"/>
          <w:color w:val="auto"/>
          <w:szCs w:val="21"/>
          <w:highlight w:val="none"/>
          <w:u w:val="single"/>
        </w:rPr>
        <w:t>/</w:t>
      </w:r>
      <w:r>
        <w:rPr>
          <w:rFonts w:hint="eastAsia" w:ascii="宋体" w:hAnsi="宋体" w:cs="宋体"/>
          <w:color w:val="auto"/>
          <w:szCs w:val="21"/>
          <w:highlight w:val="none"/>
        </w:rPr>
        <w:t>；</w:t>
      </w:r>
    </w:p>
    <w:p w14:paraId="6498DB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u w:val="single"/>
        </w:rPr>
        <w:t>/</w:t>
      </w:r>
      <w:r>
        <w:rPr>
          <w:rFonts w:hint="eastAsia" w:ascii="宋体" w:hAnsi="宋体" w:cs="宋体"/>
          <w:color w:val="auto"/>
          <w:szCs w:val="21"/>
          <w:highlight w:val="none"/>
        </w:rPr>
        <w:t>；</w:t>
      </w:r>
    </w:p>
    <w:p w14:paraId="31731D4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ascii="宋体" w:hAnsi="宋体" w:cs="宋体"/>
          <w:color w:val="auto"/>
          <w:szCs w:val="21"/>
          <w:highlight w:val="none"/>
          <w:u w:val="single"/>
        </w:rPr>
        <w:t>/</w:t>
      </w:r>
      <w:r>
        <w:rPr>
          <w:rFonts w:hint="eastAsia" w:ascii="宋体" w:hAnsi="宋体" w:cs="宋体"/>
          <w:color w:val="auto"/>
          <w:szCs w:val="21"/>
          <w:highlight w:val="none"/>
        </w:rPr>
        <w:t>；</w:t>
      </w:r>
    </w:p>
    <w:p w14:paraId="6351FF7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ascii="宋体" w:hAnsi="宋体" w:cs="宋体"/>
          <w:color w:val="auto"/>
          <w:szCs w:val="21"/>
          <w:highlight w:val="none"/>
          <w:u w:val="single"/>
        </w:rPr>
        <w:t>/</w:t>
      </w:r>
      <w:r>
        <w:rPr>
          <w:rFonts w:hint="eastAsia" w:ascii="宋体" w:hAnsi="宋体" w:cs="宋体"/>
          <w:color w:val="auto"/>
          <w:szCs w:val="21"/>
          <w:highlight w:val="none"/>
        </w:rPr>
        <w:t>。</w:t>
      </w:r>
    </w:p>
    <w:p w14:paraId="751C0B4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工程和设备</w:t>
      </w:r>
    </w:p>
    <w:p w14:paraId="3D65E2D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1.1.3.</w:t>
      </w:r>
      <w:r>
        <w:rPr>
          <w:rFonts w:ascii="宋体" w:hAnsi="宋体" w:cs="宋体"/>
          <w:color w:val="auto"/>
          <w:szCs w:val="21"/>
          <w:highlight w:val="none"/>
        </w:rPr>
        <w:t>1</w:t>
      </w:r>
      <w:r>
        <w:rPr>
          <w:rFonts w:hint="eastAsia" w:ascii="宋体" w:hAnsi="宋体" w:cs="宋体"/>
          <w:color w:val="auto"/>
          <w:szCs w:val="21"/>
          <w:highlight w:val="none"/>
        </w:rPr>
        <w:t xml:space="preserve"> 作为施工现场组成部分的其他场所包括：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706C57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1.1.3.</w:t>
      </w: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 永久占地包括：</w:t>
      </w:r>
      <w:r>
        <w:rPr>
          <w:rFonts w:hint="eastAsia" w:ascii="宋体" w:hAnsi="宋体" w:cs="宋体"/>
          <w:color w:val="auto"/>
          <w:szCs w:val="21"/>
          <w:highlight w:val="none"/>
          <w:u w:val="single"/>
        </w:rPr>
        <w:t xml:space="preserve">             /          </w:t>
      </w:r>
      <w:r>
        <w:rPr>
          <w:rFonts w:hint="eastAsia" w:ascii="宋体" w:hAnsi="宋体" w:cs="宋体"/>
          <w:color w:val="auto"/>
          <w:kern w:val="0"/>
          <w:szCs w:val="21"/>
          <w:highlight w:val="none"/>
        </w:rPr>
        <w:t>。</w:t>
      </w:r>
    </w:p>
    <w:p w14:paraId="2B089EB1">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1.1.3.</w:t>
      </w:r>
      <w:r>
        <w:rPr>
          <w:rFonts w:ascii="宋体" w:hAnsi="宋体" w:cs="宋体"/>
          <w:color w:val="auto"/>
          <w:kern w:val="0"/>
          <w:szCs w:val="21"/>
          <w:highlight w:val="none"/>
        </w:rPr>
        <w:t>3</w:t>
      </w:r>
      <w:r>
        <w:rPr>
          <w:rFonts w:hint="eastAsia" w:ascii="宋体" w:hAnsi="宋体" w:cs="宋体"/>
          <w:color w:val="auto"/>
          <w:kern w:val="0"/>
          <w:szCs w:val="21"/>
          <w:highlight w:val="none"/>
        </w:rPr>
        <w:t xml:space="preserve"> 临时占地包括：</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14:paraId="340F60A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1.3法律 </w:t>
      </w:r>
    </w:p>
    <w:p w14:paraId="7C7AF8A3">
      <w:pPr>
        <w:autoSpaceDE w:val="0"/>
        <w:autoSpaceDN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《中华人民共和国民法典》《中华人民共和国建筑法》《中华人民共和国招标投标法》等相关法律法规</w:t>
      </w:r>
      <w:r>
        <w:rPr>
          <w:rFonts w:hint="eastAsia" w:ascii="宋体" w:hAnsi="宋体" w:cs="宋体"/>
          <w:color w:val="auto"/>
          <w:szCs w:val="21"/>
          <w:highlight w:val="none"/>
        </w:rPr>
        <w:t>。</w:t>
      </w:r>
    </w:p>
    <w:p w14:paraId="2AA9163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 标准和规范</w:t>
      </w:r>
    </w:p>
    <w:p w14:paraId="219CE48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1.4.1适用于工程的标准规范包括：</w:t>
      </w:r>
      <w:r>
        <w:rPr>
          <w:rFonts w:hint="eastAsia" w:ascii="宋体" w:hAnsi="宋体" w:cs="宋体"/>
          <w:color w:val="auto"/>
          <w:szCs w:val="21"/>
          <w:highlight w:val="none"/>
          <w:u w:val="single"/>
        </w:rPr>
        <w:t>国家现行的行业施工及验收标准规范</w:t>
      </w:r>
      <w:r>
        <w:rPr>
          <w:rFonts w:hint="eastAsia" w:ascii="宋体" w:hAnsi="宋体" w:cs="宋体"/>
          <w:color w:val="auto"/>
          <w:szCs w:val="21"/>
          <w:highlight w:val="none"/>
        </w:rPr>
        <w:t>。</w:t>
      </w:r>
    </w:p>
    <w:p w14:paraId="5E4E6ED5">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1.4.2 发包人提供国外标准、规范的名称：</w:t>
      </w:r>
      <w:r>
        <w:rPr>
          <w:rFonts w:hint="eastAsia" w:ascii="宋体" w:hAnsi="宋体" w:cs="宋体"/>
          <w:color w:val="auto"/>
          <w:kern w:val="0"/>
          <w:szCs w:val="21"/>
          <w:highlight w:val="none"/>
          <w:u w:val="single"/>
        </w:rPr>
        <w:t xml:space="preserve">      不提供    </w:t>
      </w:r>
      <w:r>
        <w:rPr>
          <w:rFonts w:hint="eastAsia" w:ascii="宋体" w:hAnsi="宋体" w:cs="宋体"/>
          <w:color w:val="auto"/>
          <w:kern w:val="0"/>
          <w:szCs w:val="21"/>
          <w:highlight w:val="none"/>
        </w:rPr>
        <w:t>。</w:t>
      </w:r>
    </w:p>
    <w:p w14:paraId="202D875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发包人提供国外标准、规范的份数：</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17AE5A9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发包人提供国外标准、规范的名称：</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6C13BCA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1.4.3发包人对工程的技术标准和功能要求的特殊要求：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6CA102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 合同文件的优先顺序</w:t>
      </w:r>
    </w:p>
    <w:p w14:paraId="08E5BC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1）合同协议书；（2）中标通知书；（3）投标函及其附录条款；（4）专用合同条款及其附件（含补充条款，补充条款与专用条款不一致的以补充条款为准）；（5）通用条款；（6）技术标准和要求；（7）图纸（如有）；（9）承包人承诺；（10）招标文件及答疑、澄清文件（如有）；（11）经监理工程师、发包人代表批准的施工组织设计；（12）合同履行过程中双方就有关工程洽商、变更达成的书面协议或文件（如有）</w:t>
      </w:r>
      <w:r>
        <w:rPr>
          <w:rFonts w:hint="eastAsia" w:ascii="宋体" w:hAnsi="宋体" w:cs="宋体"/>
          <w:color w:val="auto"/>
          <w:szCs w:val="21"/>
          <w:highlight w:val="none"/>
        </w:rPr>
        <w:t>。</w:t>
      </w:r>
    </w:p>
    <w:p w14:paraId="71FFF3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 承包人文件</w:t>
      </w:r>
      <w:r>
        <w:rPr>
          <w:rFonts w:hint="eastAsia" w:ascii="宋体" w:hAnsi="宋体" w:cs="宋体"/>
          <w:color w:val="auto"/>
          <w:szCs w:val="21"/>
          <w:highlight w:val="none"/>
        </w:rPr>
        <w:tab/>
      </w:r>
    </w:p>
    <w:p w14:paraId="6E29F7C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1</w:t>
      </w:r>
      <w:r>
        <w:rPr>
          <w:rFonts w:hint="eastAsia" w:ascii="宋体" w:hAnsi="宋体" w:cs="宋体"/>
          <w:color w:val="auto"/>
          <w:szCs w:val="21"/>
          <w:highlight w:val="none"/>
        </w:rPr>
        <w:t>承包人文件</w:t>
      </w:r>
    </w:p>
    <w:p w14:paraId="4D0C28E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投标文件原样副本（含商务标电子版）、施工组织设计和单项工做任务进度计划</w:t>
      </w:r>
      <w:r>
        <w:rPr>
          <w:rFonts w:hint="eastAsia" w:ascii="宋体" w:hAnsi="宋体" w:cs="宋体"/>
          <w:color w:val="auto"/>
          <w:szCs w:val="21"/>
          <w:highlight w:val="none"/>
        </w:rPr>
        <w:t>；</w:t>
      </w:r>
    </w:p>
    <w:p w14:paraId="6F9D9F3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开工前三天        </w:t>
      </w:r>
      <w:r>
        <w:rPr>
          <w:rFonts w:hint="eastAsia" w:ascii="宋体" w:hAnsi="宋体" w:cs="宋体"/>
          <w:color w:val="auto"/>
          <w:szCs w:val="21"/>
          <w:highlight w:val="none"/>
        </w:rPr>
        <w:t>；</w:t>
      </w:r>
    </w:p>
    <w:p w14:paraId="66CB64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肆份              </w:t>
      </w:r>
      <w:r>
        <w:rPr>
          <w:rFonts w:hint="eastAsia" w:ascii="宋体" w:hAnsi="宋体" w:cs="宋体"/>
          <w:color w:val="auto"/>
          <w:szCs w:val="21"/>
          <w:highlight w:val="none"/>
        </w:rPr>
        <w:t>；</w:t>
      </w:r>
    </w:p>
    <w:p w14:paraId="30A1F0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以书面形式提供    </w:t>
      </w:r>
      <w:r>
        <w:rPr>
          <w:rFonts w:hint="eastAsia" w:ascii="宋体" w:hAnsi="宋体" w:cs="宋体"/>
          <w:color w:val="auto"/>
          <w:szCs w:val="21"/>
          <w:highlight w:val="none"/>
        </w:rPr>
        <w:t>；</w:t>
      </w:r>
    </w:p>
    <w:p w14:paraId="467755C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 xml:space="preserve">收到后三日内              </w:t>
      </w:r>
      <w:r>
        <w:rPr>
          <w:rFonts w:hint="eastAsia" w:ascii="宋体" w:hAnsi="宋体" w:cs="宋体"/>
          <w:color w:val="auto"/>
          <w:szCs w:val="21"/>
          <w:highlight w:val="none"/>
        </w:rPr>
        <w:t>。</w:t>
      </w:r>
    </w:p>
    <w:p w14:paraId="351F001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 联络</w:t>
      </w:r>
    </w:p>
    <w:p w14:paraId="239A34E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7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6C4BCF4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工地现场     </w:t>
      </w:r>
      <w:r>
        <w:rPr>
          <w:rFonts w:hint="eastAsia" w:ascii="宋体" w:hAnsi="宋体" w:cs="宋体"/>
          <w:color w:val="auto"/>
          <w:kern w:val="0"/>
          <w:szCs w:val="21"/>
          <w:highlight w:val="none"/>
        </w:rPr>
        <w:t>；</w:t>
      </w:r>
    </w:p>
    <w:p w14:paraId="4A25F69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              </w:t>
      </w:r>
      <w:r>
        <w:rPr>
          <w:rFonts w:hint="eastAsia" w:ascii="宋体" w:hAnsi="宋体" w:cs="宋体"/>
          <w:color w:val="auto"/>
          <w:kern w:val="0"/>
          <w:szCs w:val="21"/>
          <w:highlight w:val="none"/>
        </w:rPr>
        <w:t>。</w:t>
      </w:r>
    </w:p>
    <w:p w14:paraId="566854F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14:paraId="2BB3937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14:paraId="2AFDA264">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14:paraId="09FE3FAD">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14:paraId="602DDD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 xml:space="preserve"> 交通运输</w:t>
      </w:r>
    </w:p>
    <w:p w14:paraId="290A85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51" w:name="_Toc318581155"/>
      <w:bookmarkStart w:id="52" w:name="_Toc304295521"/>
      <w:bookmarkStart w:id="53" w:name="_Toc303539100"/>
      <w:bookmarkStart w:id="54" w:name="_Toc300934943"/>
      <w:bookmarkStart w:id="55" w:name="_Toc312677986"/>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.1 出入现场的权利</w:t>
      </w:r>
    </w:p>
    <w:p w14:paraId="5152F248">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bookmarkEnd w:id="51"/>
    <w:bookmarkEnd w:id="52"/>
    <w:bookmarkEnd w:id="53"/>
    <w:bookmarkEnd w:id="54"/>
    <w:bookmarkEnd w:id="55"/>
    <w:p w14:paraId="2A7B033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56" w:name="_Toc303539101"/>
      <w:bookmarkStart w:id="57" w:name="_Toc304295522"/>
      <w:bookmarkStart w:id="58" w:name="_Toc312677987"/>
      <w:bookmarkStart w:id="59" w:name="_Toc318581156"/>
      <w:bookmarkStart w:id="60" w:name="_Toc300934944"/>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 xml:space="preserve"> 场内交通</w:t>
      </w:r>
    </w:p>
    <w:p w14:paraId="0C7D9E6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1FD5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bookmarkEnd w:id="56"/>
      <w:bookmarkEnd w:id="57"/>
      <w:bookmarkEnd w:id="58"/>
      <w:bookmarkEnd w:id="59"/>
      <w:bookmarkEnd w:id="60"/>
      <w:bookmarkStart w:id="61" w:name="_Toc318581157"/>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D1174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超大件和超重件的运输</w:t>
      </w:r>
    </w:p>
    <w:p w14:paraId="35DF94F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bookmarkEnd w:id="61"/>
    <w:p w14:paraId="6C3DD78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 xml:space="preserve"> 知识产权</w:t>
      </w:r>
    </w:p>
    <w:p w14:paraId="4A7EE2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 发包人  </w:t>
      </w:r>
      <w:r>
        <w:rPr>
          <w:rFonts w:hint="eastAsia" w:ascii="宋体" w:hAnsi="宋体" w:cs="宋体"/>
          <w:color w:val="auto"/>
          <w:szCs w:val="21"/>
          <w:highlight w:val="none"/>
        </w:rPr>
        <w:t>。</w:t>
      </w:r>
    </w:p>
    <w:p w14:paraId="53119F6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A3DC53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.2 关于承包人为实施工程所编制文件的著作权的归属：</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1214B71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C6AAF5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9</w:t>
      </w:r>
      <w:r>
        <w:rPr>
          <w:rFonts w:hint="eastAsia" w:ascii="宋体" w:hAnsi="宋体" w:cs="宋体"/>
          <w:color w:val="auto"/>
          <w:szCs w:val="21"/>
          <w:highlight w:val="none"/>
        </w:rPr>
        <w:t>.3 承包人在施工过程中所采用的专利、专有技术、技术秘密的使用费的承担方式：</w:t>
      </w:r>
      <w:r>
        <w:rPr>
          <w:rFonts w:hint="eastAsia" w:ascii="宋体" w:hAnsi="宋体" w:cs="宋体"/>
          <w:color w:val="auto"/>
          <w:szCs w:val="21"/>
          <w:highlight w:val="none"/>
          <w:u w:val="single"/>
        </w:rPr>
        <w:t xml:space="preserve"> / </w:t>
      </w:r>
      <w:r>
        <w:rPr>
          <w:rFonts w:hint="eastAsia" w:ascii="宋体" w:hAnsi="宋体" w:cs="宋体"/>
          <w:color w:val="auto"/>
          <w:kern w:val="0"/>
          <w:szCs w:val="21"/>
          <w:highlight w:val="none"/>
        </w:rPr>
        <w:t>。</w:t>
      </w:r>
    </w:p>
    <w:p w14:paraId="7519CA1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10</w:t>
      </w:r>
      <w:r>
        <w:rPr>
          <w:rFonts w:hint="eastAsia" w:ascii="宋体" w:hAnsi="宋体" w:cs="宋体"/>
          <w:color w:val="auto"/>
          <w:szCs w:val="21"/>
          <w:highlight w:val="none"/>
        </w:rPr>
        <w:t>工程量清单错误的修正</w:t>
      </w:r>
    </w:p>
    <w:p w14:paraId="4A9D53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7821246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16C9B21">
      <w:pPr>
        <w:pStyle w:val="7"/>
        <w:spacing w:before="0" w:after="0" w:line="400" w:lineRule="exact"/>
        <w:rPr>
          <w:rFonts w:ascii="宋体" w:hAnsi="宋体" w:eastAsia="宋体" w:cs="宋体"/>
          <w:color w:val="auto"/>
          <w:sz w:val="24"/>
          <w:szCs w:val="24"/>
          <w:highlight w:val="none"/>
        </w:rPr>
      </w:pPr>
      <w:bookmarkStart w:id="62" w:name="_Toc351203634"/>
      <w:r>
        <w:rPr>
          <w:rFonts w:hint="eastAsia" w:ascii="宋体" w:hAnsi="宋体" w:eastAsia="宋体" w:cs="宋体"/>
          <w:color w:val="auto"/>
          <w:sz w:val="24"/>
          <w:szCs w:val="24"/>
          <w:highlight w:val="none"/>
        </w:rPr>
        <w:t>2</w:t>
      </w:r>
      <w:bookmarkStart w:id="63" w:name="_Toc292559867"/>
      <w:bookmarkStart w:id="64" w:name="_Toc296503157"/>
      <w:bookmarkStart w:id="65" w:name="_Toc296890985"/>
      <w:bookmarkStart w:id="66" w:name="_Toc297048343"/>
      <w:bookmarkStart w:id="67" w:name="_Toc296891197"/>
      <w:bookmarkStart w:id="68" w:name="_Toc292559362"/>
      <w:bookmarkStart w:id="69" w:name="_Toc296346658"/>
      <w:bookmarkStart w:id="70" w:name="_Toc296347156"/>
      <w:bookmarkStart w:id="71" w:name="_Toc297120457"/>
      <w:bookmarkStart w:id="72" w:name="_Toc296944496"/>
      <w:r>
        <w:rPr>
          <w:rFonts w:hint="eastAsia" w:ascii="宋体" w:hAnsi="宋体" w:eastAsia="宋体" w:cs="宋体"/>
          <w:color w:val="auto"/>
          <w:sz w:val="24"/>
          <w:szCs w:val="24"/>
          <w:highlight w:val="none"/>
        </w:rPr>
        <w:t>. 发包人</w:t>
      </w:r>
      <w:bookmarkEnd w:id="62"/>
    </w:p>
    <w:bookmarkEnd w:id="63"/>
    <w:bookmarkEnd w:id="64"/>
    <w:bookmarkEnd w:id="65"/>
    <w:bookmarkEnd w:id="66"/>
    <w:bookmarkEnd w:id="67"/>
    <w:bookmarkEnd w:id="68"/>
    <w:bookmarkEnd w:id="69"/>
    <w:bookmarkEnd w:id="70"/>
    <w:bookmarkEnd w:id="71"/>
    <w:bookmarkEnd w:id="72"/>
    <w:p w14:paraId="7A73816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发包人代表</w:t>
      </w:r>
    </w:p>
    <w:p w14:paraId="5126A51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发包人代表：</w:t>
      </w:r>
    </w:p>
    <w:p w14:paraId="2FEF20D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049F32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FF21BE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B85AC8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F0552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1499E7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5B86288">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 xml:space="preserve">（1）对工程进度、质量、投资负责，抽查隐蔽工程现场和验收记录，按照规定程序办理经济签证；（2）负责协调外部关系，监督检查监理单位、施工单位工作。 </w:t>
      </w:r>
    </w:p>
    <w:p w14:paraId="22B6B6D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 xml:space="preserve"> 施工现场、施工条件和基础资料的提供</w:t>
      </w:r>
    </w:p>
    <w:p w14:paraId="727A4C2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.1 提供施工现场</w:t>
      </w:r>
    </w:p>
    <w:p w14:paraId="3AEF47A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关于发包人移交施工现场的期限要求：</w:t>
      </w:r>
    </w:p>
    <w:p w14:paraId="140253BA">
      <w:pPr>
        <w:spacing w:line="400" w:lineRule="exact"/>
        <w:ind w:firstLine="422" w:firstLineChars="200"/>
        <w:rPr>
          <w:rFonts w:ascii="宋体" w:hAnsi="宋体" w:cs="宋体"/>
          <w:b/>
          <w:bCs/>
          <w:color w:val="auto"/>
          <w:szCs w:val="21"/>
          <w:highlight w:val="none"/>
          <w:u w:val="single"/>
        </w:rPr>
      </w:pPr>
      <w:r>
        <w:rPr>
          <w:rFonts w:hint="eastAsia" w:ascii="宋体" w:hAnsi="宋体" w:cs="宋体"/>
          <w:b/>
          <w:bCs/>
          <w:color w:val="auto"/>
          <w:szCs w:val="21"/>
          <w:highlight w:val="none"/>
          <w:u w:val="single"/>
        </w:rPr>
        <w:t>（1）施工场地具备施工条件的要求及完成的时间：</w:t>
      </w:r>
      <w:r>
        <w:rPr>
          <w:rFonts w:hint="eastAsia" w:ascii="宋体" w:hAnsi="宋体" w:cs="宋体"/>
          <w:b/>
          <w:color w:val="auto"/>
          <w:szCs w:val="21"/>
          <w:highlight w:val="none"/>
          <w:u w:val="single"/>
        </w:rPr>
        <w:t>开工前7日内由发包人完成。（2</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zh-CN"/>
        </w:rPr>
        <w:t>施工所需的临时水、电、电讯线路由发包人协调接口</w:t>
      </w:r>
      <w:r>
        <w:rPr>
          <w:rFonts w:hint="eastAsia" w:ascii="宋体" w:hAnsi="宋体" w:cs="宋体"/>
          <w:b/>
          <w:bCs/>
          <w:color w:val="auto"/>
          <w:szCs w:val="21"/>
          <w:highlight w:val="none"/>
          <w:u w:val="single"/>
        </w:rPr>
        <w:t xml:space="preserve">（3）施工现场地与公共道路的通道开通时间和要求：现场现状，承包人自行踏勘现场，开通临时便道，以满足文明施工要求为准。（4）单项工程地质和地下管线资料的提供时间：开工前5日内由发包人提供相关资料，同时承包人需自行核查现场杆管线，并做好相关保护措施。(5）由发包人办理的施工所需证件、批件的名称和完成时间：由承包人配合发包人在开工前5日内完成。（6）双方约定发包人应做的其他工作：开工前3日组织图纸会审和设计交底。 </w:t>
      </w:r>
    </w:p>
    <w:p w14:paraId="08F110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.2 提供施工条件</w:t>
      </w:r>
    </w:p>
    <w:p w14:paraId="7C8E149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7CF3EA9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资金来源证明及支付担保</w:t>
      </w:r>
    </w:p>
    <w:p w14:paraId="5C72EFF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CDF58D0">
      <w:pPr>
        <w:pStyle w:val="7"/>
        <w:spacing w:before="0" w:after="0" w:line="400" w:lineRule="exact"/>
        <w:ind w:firstLine="420" w:firstLineChars="200"/>
        <w:rPr>
          <w:rFonts w:ascii="宋体" w:hAnsi="宋体" w:eastAsia="宋体" w:cs="宋体"/>
          <w:b w:val="0"/>
          <w:bCs w:val="0"/>
          <w:color w:val="auto"/>
          <w:sz w:val="21"/>
          <w:szCs w:val="21"/>
          <w:highlight w:val="none"/>
        </w:rPr>
      </w:pPr>
      <w:bookmarkStart w:id="73" w:name="_Toc351203635"/>
      <w:r>
        <w:rPr>
          <w:rFonts w:hint="eastAsia" w:ascii="宋体" w:hAnsi="宋体" w:eastAsia="宋体" w:cs="宋体"/>
          <w:b w:val="0"/>
          <w:bCs w:val="0"/>
          <w:color w:val="auto"/>
          <w:sz w:val="21"/>
          <w:szCs w:val="21"/>
          <w:highlight w:val="none"/>
        </w:rPr>
        <w:t>发包人是否提供支付担保：</w:t>
      </w:r>
      <w:r>
        <w:rPr>
          <w:rFonts w:hint="eastAsia" w:ascii="宋体" w:hAnsi="宋体" w:eastAsia="宋体" w:cs="宋体"/>
          <w:b w:val="0"/>
          <w:bCs w:val="0"/>
          <w:color w:val="auto"/>
          <w:sz w:val="21"/>
          <w:szCs w:val="21"/>
          <w:highlight w:val="none"/>
          <w:u w:val="single"/>
        </w:rPr>
        <w:t xml:space="preserve">   </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29CB5A02">
      <w:pPr>
        <w:pStyle w:val="7"/>
        <w:spacing w:before="0" w:after="0" w:line="40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发包人提供的支付担保金额：</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rPr>
        <w:t xml:space="preserve">。 </w:t>
      </w:r>
    </w:p>
    <w:p w14:paraId="74245F02">
      <w:pPr>
        <w:pStyle w:val="7"/>
        <w:spacing w:before="0" w:after="0" w:line="40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工程款支付担保保证期限：</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rPr>
        <w:t>。</w:t>
      </w:r>
    </w:p>
    <w:p w14:paraId="20E5BB03">
      <w:pPr>
        <w:pStyle w:val="7"/>
        <w:spacing w:before="0" w:after="0" w:line="40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发包人提供支付担保的形式：</w:t>
      </w:r>
      <w:r>
        <w:rPr>
          <w:rFonts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rPr>
        <w:t>。</w:t>
      </w:r>
    </w:p>
    <w:p w14:paraId="573F56C7">
      <w:pPr>
        <w:pStyle w:val="7"/>
        <w:spacing w:before="0"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74" w:name="_Toc296890986"/>
      <w:bookmarkStart w:id="75" w:name="_Toc297120458"/>
      <w:bookmarkStart w:id="76" w:name="_Toc296347157"/>
      <w:bookmarkStart w:id="77" w:name="_Toc292559363"/>
      <w:bookmarkStart w:id="78" w:name="_Toc296891198"/>
      <w:bookmarkStart w:id="79" w:name="_Toc296503158"/>
      <w:bookmarkStart w:id="80" w:name="_Toc297048344"/>
      <w:bookmarkStart w:id="81" w:name="_Toc296944497"/>
      <w:bookmarkStart w:id="82" w:name="_Toc292559868"/>
      <w:bookmarkStart w:id="83" w:name="_Toc296346659"/>
      <w:r>
        <w:rPr>
          <w:rFonts w:hint="eastAsia" w:ascii="宋体" w:hAnsi="宋体" w:eastAsia="宋体" w:cs="宋体"/>
          <w:color w:val="auto"/>
          <w:sz w:val="24"/>
          <w:szCs w:val="24"/>
          <w:highlight w:val="none"/>
        </w:rPr>
        <w:t>. 承包人</w:t>
      </w:r>
      <w:bookmarkEnd w:id="73"/>
    </w:p>
    <w:bookmarkEnd w:id="74"/>
    <w:bookmarkEnd w:id="75"/>
    <w:bookmarkEnd w:id="76"/>
    <w:bookmarkEnd w:id="77"/>
    <w:bookmarkEnd w:id="78"/>
    <w:bookmarkEnd w:id="79"/>
    <w:bookmarkEnd w:id="80"/>
    <w:bookmarkEnd w:id="81"/>
    <w:bookmarkEnd w:id="82"/>
    <w:bookmarkEnd w:id="83"/>
    <w:p w14:paraId="6BAECCB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 承包人的一般义务</w:t>
      </w:r>
    </w:p>
    <w:p w14:paraId="726582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（5）承包人提交的竣工资料的内容：</w:t>
      </w:r>
      <w:r>
        <w:rPr>
          <w:rFonts w:hint="eastAsia" w:ascii="宋体" w:hAnsi="宋体" w:cs="宋体"/>
          <w:color w:val="auto"/>
          <w:szCs w:val="21"/>
          <w:highlight w:val="none"/>
          <w:u w:val="single"/>
        </w:rPr>
        <w:t>提供完整的竣工资料肆套(含竣工图（若有）、影像资料,其中二套是原件)和可编辑电子文件一份；承包人未按发包人要求提供竣工资料或资料不符合要求的(含发包人及分包工程资料的整理、扫描)，扣2%的工程结算总价作为抵押金，直至提交符合要求为止资料后退还抵押金。</w:t>
      </w:r>
    </w:p>
    <w:p w14:paraId="71A9AEC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肆套               </w:t>
      </w:r>
      <w:r>
        <w:rPr>
          <w:rFonts w:hint="eastAsia" w:ascii="宋体" w:hAnsi="宋体" w:cs="宋体"/>
          <w:color w:val="auto"/>
          <w:szCs w:val="21"/>
          <w:highlight w:val="none"/>
        </w:rPr>
        <w:t>。</w:t>
      </w:r>
    </w:p>
    <w:p w14:paraId="39B70A6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承包人承担           </w:t>
      </w:r>
      <w:r>
        <w:rPr>
          <w:rFonts w:hint="eastAsia" w:ascii="宋体" w:hAnsi="宋体" w:cs="宋体"/>
          <w:color w:val="auto"/>
          <w:szCs w:val="21"/>
          <w:highlight w:val="none"/>
        </w:rPr>
        <w:t>。</w:t>
      </w:r>
    </w:p>
    <w:p w14:paraId="2A52C4E0">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工程竣工并通过验收后30日内 。</w:t>
      </w:r>
    </w:p>
    <w:p w14:paraId="1192855B">
      <w:pPr>
        <w:spacing w:line="400" w:lineRule="exact"/>
        <w:ind w:left="1" w:firstLine="417" w:firstLineChars="199"/>
        <w:jc w:val="left"/>
        <w:rPr>
          <w:rFonts w:ascii="宋体" w:hAnsi="宋体" w:cs="宋体"/>
          <w:color w:val="auto"/>
          <w:szCs w:val="21"/>
          <w:highlight w:val="none"/>
          <w:u w:val="singl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所有竣工资料都是肆份（两份必须是原件），加可编辑电子版一份。（肆套竣工图（若有）必须全部为原件）</w:t>
      </w:r>
    </w:p>
    <w:p w14:paraId="14A3182F">
      <w:pPr>
        <w:spacing w:line="400" w:lineRule="exact"/>
        <w:ind w:left="1" w:firstLine="417" w:firstLineChars="199"/>
        <w:jc w:val="left"/>
        <w:rPr>
          <w:rFonts w:ascii="宋体" w:hAnsi="宋体" w:cs="宋体"/>
          <w:color w:val="auto"/>
          <w:szCs w:val="21"/>
          <w:highlight w:val="none"/>
        </w:rPr>
      </w:pPr>
      <w:r>
        <w:rPr>
          <w:rFonts w:hint="eastAsia" w:ascii="宋体" w:hAnsi="宋体" w:cs="宋体"/>
          <w:color w:val="auto"/>
          <w:kern w:val="0"/>
          <w:szCs w:val="21"/>
          <w:highlight w:val="none"/>
        </w:rPr>
        <w:t>（6）承包人应履行的其他义务：</w:t>
      </w:r>
      <w:r>
        <w:rPr>
          <w:rFonts w:hint="eastAsia" w:ascii="宋体" w:hAnsi="宋体" w:cs="宋体"/>
          <w:color w:val="auto"/>
          <w:szCs w:val="21"/>
          <w:highlight w:val="none"/>
          <w:u w:val="single"/>
        </w:rPr>
        <w:t>执行合同通用条款及招标文件规定。</w:t>
      </w:r>
    </w:p>
    <w:p w14:paraId="419F3B2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 项目经理</w:t>
      </w:r>
    </w:p>
    <w:p w14:paraId="1A254D53">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23F143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14:paraId="0C557BC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8EAD70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1BFE65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032D3D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7B8C9E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874E5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2683A0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13A11B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4C982A1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执行通用合同条款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B713F">
      <w:pPr>
        <w:spacing w:line="400" w:lineRule="exact"/>
        <w:ind w:firstLine="420" w:firstLineChars="200"/>
        <w:jc w:val="left"/>
        <w:rPr>
          <w:rFonts w:ascii="宋体" w:hAnsi="宋体" w:cs="宋体"/>
          <w:bCs/>
          <w:color w:val="auto"/>
          <w:szCs w:val="21"/>
          <w:highlight w:val="none"/>
          <w:u w:val="single"/>
        </w:rPr>
      </w:pPr>
      <w:r>
        <w:rPr>
          <w:rFonts w:hint="eastAsia" w:ascii="宋体" w:hAnsi="宋体" w:cs="宋体"/>
          <w:color w:val="auto"/>
          <w:kern w:val="0"/>
          <w:szCs w:val="21"/>
          <w:highlight w:val="none"/>
        </w:rPr>
        <w:t>关于项目经理每月在施工现场的时间要求：</w:t>
      </w:r>
      <w:r>
        <w:rPr>
          <w:rFonts w:hint="eastAsia" w:ascii="宋体" w:hAnsi="宋体" w:cs="宋体"/>
          <w:bCs/>
          <w:color w:val="auto"/>
          <w:szCs w:val="21"/>
          <w:highlight w:val="none"/>
          <w:u w:val="single"/>
        </w:rPr>
        <w:t>不少于本月施工时间的 80%，离开施工现场需要向发包人现场代表报告请假。</w:t>
      </w:r>
    </w:p>
    <w:p w14:paraId="7D47A171">
      <w:pPr>
        <w:spacing w:line="400" w:lineRule="exact"/>
        <w:ind w:firstLine="420" w:firstLineChars="200"/>
        <w:jc w:val="left"/>
        <w:rPr>
          <w:rFonts w:ascii="宋体" w:hAnsi="宋体" w:cs="宋体"/>
          <w:color w:val="auto"/>
          <w:szCs w:val="21"/>
          <w:highlight w:val="none"/>
          <w:u w:val="single"/>
          <w:shd w:val="clear" w:color="auto" w:fill="FFFFFF"/>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bCs/>
          <w:color w:val="auto"/>
          <w:szCs w:val="21"/>
          <w:highlight w:val="none"/>
          <w:u w:val="single"/>
        </w:rPr>
        <w:t>执行合同通用条款</w:t>
      </w:r>
      <w:r>
        <w:rPr>
          <w:rFonts w:hint="eastAsia" w:ascii="宋体" w:hAnsi="宋体" w:cs="宋体"/>
          <w:color w:val="auto"/>
          <w:szCs w:val="21"/>
          <w:highlight w:val="none"/>
          <w:u w:val="single"/>
          <w:shd w:val="clear" w:color="auto" w:fill="FFFFFF"/>
        </w:rPr>
        <w:t>。</w:t>
      </w:r>
    </w:p>
    <w:p w14:paraId="2B768D26">
      <w:pPr>
        <w:spacing w:line="400" w:lineRule="exact"/>
        <w:ind w:firstLine="420" w:firstLineChars="200"/>
        <w:jc w:val="left"/>
        <w:rPr>
          <w:rFonts w:ascii="宋体" w:hAnsi="宋体" w:cs="宋体"/>
          <w:bCs/>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bCs/>
          <w:color w:val="auto"/>
          <w:szCs w:val="21"/>
          <w:highlight w:val="none"/>
          <w:u w:val="single"/>
        </w:rPr>
        <w:t xml:space="preserve">发包人有权按500-2000元/天在当月进度款中扣除违约金。如特殊情况下，建造师离开现场的，须经发包人同意，并指定临时代表，代为行使建造师的权利；该临时代表的一切行为，发包人均认为是建造师的行为。建造师、项目技术负责人任何一人离开现场应征得发包人同意。 </w:t>
      </w:r>
    </w:p>
    <w:p w14:paraId="0349311F">
      <w:pPr>
        <w:spacing w:line="400" w:lineRule="exact"/>
        <w:ind w:firstLine="457" w:firstLineChars="218"/>
        <w:outlineLvl w:val="0"/>
        <w:rPr>
          <w:rFonts w:ascii="宋体" w:hAnsi="宋体" w:cs="宋体"/>
          <w:bCs/>
          <w:color w:val="auto"/>
          <w:szCs w:val="21"/>
          <w:highlight w:val="none"/>
          <w:u w:val="single"/>
        </w:rPr>
      </w:pPr>
      <w:r>
        <w:rPr>
          <w:rFonts w:hint="eastAsia" w:ascii="宋体" w:hAnsi="宋体" w:cs="宋体"/>
          <w:color w:val="auto"/>
          <w:szCs w:val="21"/>
          <w:highlight w:val="none"/>
        </w:rPr>
        <w:t>3.2.</w:t>
      </w:r>
      <w:r>
        <w:rPr>
          <w:rFonts w:ascii="宋体" w:hAnsi="宋体" w:cs="宋体"/>
          <w:color w:val="auto"/>
          <w:szCs w:val="21"/>
          <w:highlight w:val="none"/>
        </w:rPr>
        <w:t>2</w:t>
      </w:r>
      <w:r>
        <w:rPr>
          <w:rFonts w:hint="eastAsia" w:ascii="宋体" w:hAnsi="宋体" w:cs="宋体"/>
          <w:color w:val="auto"/>
          <w:szCs w:val="21"/>
          <w:highlight w:val="none"/>
        </w:rPr>
        <w:t xml:space="preserve"> 承包人擅自更换项目经理的违约责任：</w:t>
      </w:r>
      <w:r>
        <w:rPr>
          <w:rFonts w:hint="eastAsia" w:ascii="宋体" w:hAnsi="宋体" w:cs="宋体"/>
          <w:bCs/>
          <w:color w:val="auto"/>
          <w:szCs w:val="21"/>
          <w:highlight w:val="none"/>
          <w:u w:val="single"/>
        </w:rPr>
        <w:t>项目经理不得更换，如需更换，须经发包人同意。未经发包人同意，承包人私自变更建造师，除没收建造师履约保证金（履约保证金的 20%）外，发包人有权终止合同，并按已完工程量的 80%与承包人结算。</w:t>
      </w:r>
    </w:p>
    <w:p w14:paraId="0D94C169">
      <w:pPr>
        <w:spacing w:line="400" w:lineRule="exact"/>
        <w:ind w:firstLine="457" w:firstLineChars="218"/>
        <w:outlineLvl w:val="0"/>
        <w:rPr>
          <w:rFonts w:ascii="宋体" w:hAnsi="宋体" w:cs="宋体"/>
          <w:color w:val="auto"/>
          <w:szCs w:val="21"/>
          <w:highlight w:val="none"/>
        </w:rPr>
      </w:pPr>
      <w:r>
        <w:rPr>
          <w:rFonts w:hint="eastAsia" w:ascii="宋体" w:hAnsi="宋体" w:cs="宋体"/>
          <w:color w:val="auto"/>
          <w:szCs w:val="21"/>
          <w:highlight w:val="none"/>
        </w:rPr>
        <w:t>3.2.</w:t>
      </w:r>
      <w:r>
        <w:rPr>
          <w:rFonts w:ascii="宋体" w:hAnsi="宋体" w:cs="宋体"/>
          <w:color w:val="auto"/>
          <w:szCs w:val="21"/>
          <w:highlight w:val="none"/>
        </w:rPr>
        <w:t>3</w:t>
      </w:r>
      <w:r>
        <w:rPr>
          <w:rFonts w:hint="eastAsia" w:ascii="宋体" w:hAnsi="宋体" w:cs="宋体"/>
          <w:color w:val="auto"/>
          <w:szCs w:val="21"/>
          <w:highlight w:val="none"/>
        </w:rPr>
        <w:t xml:space="preserve"> 承包人无正当理由拒绝更换项目经理的违约责任：</w:t>
      </w:r>
      <w:r>
        <w:rPr>
          <w:rFonts w:hint="eastAsia" w:ascii="宋体" w:hAnsi="宋体" w:cs="宋体"/>
          <w:bCs/>
          <w:color w:val="auto"/>
          <w:szCs w:val="21"/>
          <w:highlight w:val="none"/>
          <w:u w:val="single"/>
        </w:rPr>
        <w:t>监理人在承包人接到第二次更换通知第28天后书面通知该人员停止工作，并指示暂停施工，并按照承包人原因引起的暂停工作处理。</w:t>
      </w:r>
    </w:p>
    <w:p w14:paraId="11EFF6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 承包人人员</w:t>
      </w:r>
    </w:p>
    <w:p w14:paraId="697ECEFB">
      <w:pPr>
        <w:spacing w:line="40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bCs/>
          <w:color w:val="auto"/>
          <w:szCs w:val="21"/>
          <w:highlight w:val="none"/>
          <w:u w:val="single"/>
        </w:rPr>
        <w:t>开工前提供。</w:t>
      </w:r>
    </w:p>
    <w:p w14:paraId="43639E6F">
      <w:pPr>
        <w:spacing w:line="34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3.3.</w:t>
      </w:r>
      <w:r>
        <w:rPr>
          <w:rFonts w:ascii="宋体" w:hAnsi="宋体" w:cs="宋体"/>
          <w:color w:val="auto"/>
          <w:szCs w:val="21"/>
          <w:highlight w:val="none"/>
        </w:rPr>
        <w:t>2</w:t>
      </w:r>
      <w:r>
        <w:rPr>
          <w:rFonts w:hint="eastAsia" w:ascii="宋体" w:hAnsi="宋体" w:cs="宋体"/>
          <w:color w:val="auto"/>
          <w:szCs w:val="21"/>
          <w:highlight w:val="none"/>
        </w:rPr>
        <w:t>承包人无正当理由拒绝撤换主要施工管理人员的违约责任：</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双方另行商定 。</w:t>
      </w:r>
    </w:p>
    <w:p w14:paraId="7510860E">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3.3.</w:t>
      </w:r>
      <w:r>
        <w:rPr>
          <w:rFonts w:ascii="宋体" w:hAnsi="宋体" w:cs="宋体"/>
          <w:color w:val="auto"/>
          <w:szCs w:val="21"/>
          <w:highlight w:val="none"/>
        </w:rPr>
        <w:t>3</w:t>
      </w:r>
      <w:r>
        <w:rPr>
          <w:rFonts w:hint="eastAsia" w:ascii="宋体" w:hAnsi="宋体" w:cs="宋体"/>
          <w:color w:val="auto"/>
          <w:szCs w:val="21"/>
          <w:highlight w:val="none"/>
        </w:rPr>
        <w:t xml:space="preserve"> 承包人主要施工管理人员离开施工现场的批准要求：</w:t>
      </w:r>
      <w:r>
        <w:rPr>
          <w:rFonts w:hint="eastAsia" w:ascii="宋体" w:hAnsi="宋体" w:cs="宋体"/>
          <w:color w:val="auto"/>
          <w:kern w:val="0"/>
          <w:szCs w:val="21"/>
          <w:highlight w:val="none"/>
          <w:u w:val="single"/>
        </w:rPr>
        <w:t>须经业主方及监理方同意。</w:t>
      </w:r>
    </w:p>
    <w:p w14:paraId="4882902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w:t>
      </w:r>
      <w:r>
        <w:rPr>
          <w:rFonts w:ascii="宋体" w:hAnsi="宋体" w:cs="宋体"/>
          <w:color w:val="auto"/>
          <w:szCs w:val="21"/>
          <w:highlight w:val="none"/>
        </w:rPr>
        <w:t>4</w:t>
      </w:r>
      <w:r>
        <w:rPr>
          <w:rFonts w:hint="eastAsia" w:ascii="宋体" w:hAnsi="宋体" w:cs="宋体"/>
          <w:color w:val="auto"/>
          <w:szCs w:val="21"/>
          <w:highlight w:val="none"/>
        </w:rPr>
        <w:t>承包人擅自更换主要施工管理人员的违约责任：</w:t>
      </w:r>
      <w:r>
        <w:rPr>
          <w:rFonts w:hint="eastAsia" w:ascii="宋体" w:hAnsi="宋体" w:cs="宋体"/>
          <w:bCs/>
          <w:color w:val="auto"/>
          <w:szCs w:val="21"/>
          <w:highlight w:val="none"/>
          <w:u w:val="single"/>
        </w:rPr>
        <w:t>须经发包人同意。</w:t>
      </w:r>
    </w:p>
    <w:p w14:paraId="4B723403">
      <w:pPr>
        <w:spacing w:line="40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承包人承担</w:t>
      </w:r>
      <w:r>
        <w:rPr>
          <w:rFonts w:hint="eastAsia" w:ascii="宋体" w:hAnsi="宋体" w:cs="宋体"/>
          <w:bCs/>
          <w:color w:val="auto"/>
          <w:szCs w:val="21"/>
          <w:highlight w:val="none"/>
          <w:u w:val="single"/>
        </w:rPr>
        <w:t xml:space="preserve">每人500元/天违约金并在当月工程款中扣除 </w:t>
      </w:r>
      <w:r>
        <w:rPr>
          <w:rFonts w:hint="eastAsia" w:ascii="宋体" w:hAnsi="宋体" w:cs="宋体"/>
          <w:color w:val="auto"/>
          <w:sz w:val="24"/>
          <w:highlight w:val="none"/>
        </w:rPr>
        <w:t>。</w:t>
      </w:r>
    </w:p>
    <w:p w14:paraId="3A216C0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84" w:name="_Toc297123492"/>
      <w:bookmarkStart w:id="85" w:name="_Toc296503159"/>
      <w:bookmarkStart w:id="86" w:name="_Toc296890987"/>
      <w:bookmarkStart w:id="87" w:name="_Toc292559869"/>
      <w:bookmarkStart w:id="88" w:name="_Toc304295523"/>
      <w:bookmarkStart w:id="89" w:name="_Toc296891199"/>
      <w:bookmarkStart w:id="90" w:name="_Toc300934945"/>
      <w:bookmarkStart w:id="91" w:name="_Toc303539102"/>
      <w:bookmarkStart w:id="92" w:name="_Toc296347158"/>
      <w:bookmarkStart w:id="93" w:name="_Toc297120459"/>
      <w:bookmarkStart w:id="94" w:name="_Toc296346660"/>
      <w:bookmarkStart w:id="95" w:name="_Toc296944498"/>
      <w:bookmarkStart w:id="96" w:name="_Toc297048345"/>
      <w:bookmarkStart w:id="97" w:name="_Toc297216151"/>
      <w:bookmarkStart w:id="98" w:name="_Toc312677988"/>
      <w:bookmarkStart w:id="99" w:name="_Toc292559364"/>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 xml:space="preserve"> 分包</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69522D8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100" w:name="_Toc292559870"/>
      <w:bookmarkStart w:id="101" w:name="_Toc296503160"/>
      <w:bookmarkStart w:id="102" w:name="_Toc296891200"/>
      <w:bookmarkStart w:id="103" w:name="_Toc304295524"/>
      <w:bookmarkStart w:id="104" w:name="_Toc296944499"/>
      <w:bookmarkStart w:id="105" w:name="_Toc297120460"/>
      <w:bookmarkStart w:id="106" w:name="_Toc297048346"/>
      <w:bookmarkStart w:id="107" w:name="_Toc296346661"/>
      <w:bookmarkStart w:id="108" w:name="_Toc292559365"/>
      <w:bookmarkStart w:id="109" w:name="_Toc297216152"/>
      <w:bookmarkStart w:id="110" w:name="_Toc300934946"/>
      <w:bookmarkStart w:id="111" w:name="_Toc303539103"/>
      <w:bookmarkStart w:id="112" w:name="_Toc296347159"/>
      <w:bookmarkStart w:id="113" w:name="_Toc297123493"/>
      <w:bookmarkStart w:id="114" w:name="_Toc296890988"/>
      <w:bookmarkStart w:id="115" w:name="_Toc312677989"/>
      <w:bookmarkStart w:id="116" w:name="_Toc318581158"/>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.1 分包的一般约定</w:t>
      </w:r>
    </w:p>
    <w:p w14:paraId="342B8BD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rPr>
        <w:t xml:space="preserve">    执行通用合同条款         </w:t>
      </w:r>
      <w:r>
        <w:rPr>
          <w:rFonts w:hint="eastAsia" w:ascii="宋体" w:hAnsi="宋体" w:cs="宋体"/>
          <w:color w:val="auto"/>
          <w:szCs w:val="21"/>
          <w:highlight w:val="none"/>
        </w:rPr>
        <w:t>。</w:t>
      </w:r>
    </w:p>
    <w:p w14:paraId="32417DF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主体结构、关键性工作的范围：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7" w:name="_Toc297120461"/>
      <w:bookmarkStart w:id="118" w:name="_Toc297216153"/>
      <w:bookmarkStart w:id="119" w:name="_Toc297123494"/>
      <w:bookmarkStart w:id="120" w:name="_Toc304295525"/>
      <w:bookmarkStart w:id="121" w:name="_Toc296944500"/>
      <w:bookmarkStart w:id="122" w:name="_Toc296891201"/>
      <w:bookmarkStart w:id="123" w:name="_Toc296347160"/>
      <w:bookmarkStart w:id="124" w:name="_Toc300934947"/>
      <w:bookmarkStart w:id="125" w:name="_Toc296890989"/>
      <w:bookmarkStart w:id="126" w:name="_Toc303539104"/>
      <w:bookmarkStart w:id="127" w:name="_Toc296346662"/>
      <w:bookmarkStart w:id="128" w:name="_Toc297048347"/>
      <w:bookmarkStart w:id="129" w:name="_Toc296503161"/>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02E5A1A4">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3</w:t>
      </w:r>
      <w:bookmarkStart w:id="130" w:name="_Toc312677990"/>
      <w:bookmarkStart w:id="131" w:name="_Toc318581159"/>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.2分包的确定</w:t>
      </w:r>
    </w:p>
    <w:p w14:paraId="2102AA57">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1D76AE9">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24374F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4</w:t>
      </w:r>
      <w:r>
        <w:rPr>
          <w:rFonts w:hint="eastAsia" w:ascii="宋体" w:hAnsi="宋体" w:cs="宋体"/>
          <w:color w:val="auto"/>
          <w:szCs w:val="21"/>
          <w:highlight w:val="none"/>
        </w:rPr>
        <w:t>.4 分包合同价款</w:t>
      </w:r>
    </w:p>
    <w:p w14:paraId="11204EA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130"/>
    <w:bookmarkEnd w:id="131"/>
    <w:p w14:paraId="1CF83AC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 xml:space="preserve"> 工程照管与成品、半成品保护</w:t>
      </w:r>
    </w:p>
    <w:p w14:paraId="07A5448C">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1、工程现场照管由承包人负责，相关处理及保护费用已包含在合同价款内，发包人负责协调相关单位进行处理；2、工程竣工前，承包人负责已完工程的保护工作，费用由承包人承担。  </w:t>
      </w:r>
    </w:p>
    <w:p w14:paraId="76923A3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履约保证金</w:t>
      </w:r>
    </w:p>
    <w:p w14:paraId="11D0E6F0">
      <w:pPr>
        <w:spacing w:line="360" w:lineRule="auto"/>
        <w:ind w:firstLine="420" w:firstLineChars="200"/>
        <w:rPr>
          <w:rFonts w:ascii="宋体" w:hAnsi="宋体" w:cs="宋体"/>
          <w:color w:val="auto"/>
          <w:szCs w:val="21"/>
          <w:highlight w:val="none"/>
        </w:rPr>
      </w:pPr>
      <w:bookmarkStart w:id="132" w:name="_Toc351203636"/>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14:paraId="57B87FAB">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承包人提供履约担保的形式、金额及期限：</w:t>
      </w:r>
      <w:r>
        <w:rPr>
          <w:rFonts w:hint="eastAsia" w:ascii="宋体" w:hAnsi="宋体" w:cs="宋体"/>
          <w:color w:val="auto"/>
          <w:szCs w:val="21"/>
          <w:highlight w:val="none"/>
          <w:u w:val="single"/>
        </w:rPr>
        <w:t>以转账或银行保函或保证保险形式提交履 约担保（若承包人履约担保形式为银行保函或保证保险，在签订合同时必须以发包人提供的银行保函格式、保证保险格式为准，不得以任何理由拒绝）。履约担保金额为合同价款（不含暂列金额）的 2%（其中质量履约保证金占40%，工期履约保证金占40%，建造师履约保证金占20%），缴纳时间为领取中标通知书后十个工作日内缴纳。</w:t>
      </w:r>
    </w:p>
    <w:p w14:paraId="044AC0E0">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履约保证金的退还：</w:t>
      </w:r>
      <w:r>
        <w:rPr>
          <w:rFonts w:hint="eastAsia" w:ascii="宋体" w:hAnsi="宋体" w:cs="宋体"/>
          <w:color w:val="auto"/>
          <w:szCs w:val="21"/>
          <w:highlight w:val="none"/>
          <w:u w:val="single"/>
        </w:rPr>
        <w:t>竣工验收合格后，承包人无其他违约行为的，予以退还。施工过程中，若承包方出现本合同约定的违约行为，则从履约保证金中直接扣除，履约保证金不足以支付各项违约金的，则从未付工程款中扣减。</w:t>
      </w:r>
    </w:p>
    <w:p w14:paraId="1DC35EF5">
      <w:pPr>
        <w:spacing w:line="40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t>4</w:t>
      </w:r>
      <w:bookmarkStart w:id="133" w:name="_Toc292559366"/>
      <w:bookmarkStart w:id="134" w:name="_Toc297048348"/>
      <w:bookmarkStart w:id="135" w:name="_Toc292559871"/>
      <w:bookmarkStart w:id="136" w:name="_Toc296503162"/>
      <w:bookmarkStart w:id="137" w:name="_Toc296347161"/>
      <w:bookmarkStart w:id="138" w:name="_Toc296944501"/>
      <w:bookmarkStart w:id="139" w:name="_Toc296346663"/>
      <w:bookmarkStart w:id="140" w:name="_Toc267251413"/>
      <w:bookmarkStart w:id="141" w:name="_Toc297120462"/>
      <w:bookmarkStart w:id="142" w:name="_Toc296891202"/>
      <w:bookmarkStart w:id="143" w:name="_Toc296890990"/>
      <w:r>
        <w:rPr>
          <w:rFonts w:hint="eastAsia" w:ascii="宋体" w:hAnsi="宋体" w:cs="宋体"/>
          <w:b/>
          <w:bCs/>
          <w:color w:val="auto"/>
          <w:kern w:val="0"/>
          <w:sz w:val="24"/>
          <w:highlight w:val="none"/>
        </w:rPr>
        <w:t>. 监</w:t>
      </w:r>
      <w:bookmarkEnd w:id="133"/>
      <w:bookmarkEnd w:id="134"/>
      <w:bookmarkEnd w:id="135"/>
      <w:bookmarkEnd w:id="136"/>
      <w:bookmarkEnd w:id="137"/>
      <w:bookmarkEnd w:id="138"/>
      <w:bookmarkEnd w:id="139"/>
      <w:bookmarkEnd w:id="140"/>
      <w:bookmarkEnd w:id="141"/>
      <w:bookmarkEnd w:id="142"/>
      <w:bookmarkEnd w:id="143"/>
      <w:r>
        <w:rPr>
          <w:rFonts w:hint="eastAsia" w:ascii="宋体" w:hAnsi="宋体" w:cs="宋体"/>
          <w:b/>
          <w:bCs/>
          <w:color w:val="auto"/>
          <w:kern w:val="0"/>
          <w:sz w:val="24"/>
          <w:highlight w:val="none"/>
        </w:rPr>
        <w:t>理人</w:t>
      </w:r>
      <w:bookmarkEnd w:id="132"/>
    </w:p>
    <w:p w14:paraId="2FE5019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4.1监理人的一般规定</w:t>
      </w:r>
    </w:p>
    <w:p w14:paraId="288D270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D467C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0CECF9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 xml:space="preserve">承包人为发包人和监理单位免费提供足够的办公用房和会议室   </w:t>
      </w:r>
      <w:r>
        <w:rPr>
          <w:rFonts w:hint="eastAsia" w:ascii="宋体" w:hAnsi="宋体" w:cs="宋体"/>
          <w:color w:val="auto"/>
          <w:szCs w:val="21"/>
          <w:highlight w:val="none"/>
        </w:rPr>
        <w:t>。</w:t>
      </w:r>
    </w:p>
    <w:p w14:paraId="27571A0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监理人员</w:t>
      </w:r>
    </w:p>
    <w:p w14:paraId="2F0572E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3FAE9C2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1BF224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7BDA6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268C97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543423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804AA3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3F7C33F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488F98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 xml:space="preserve"> 商定或确定</w:t>
      </w:r>
    </w:p>
    <w:p w14:paraId="798CE3C0">
      <w:pPr>
        <w:spacing w:line="400" w:lineRule="exact"/>
        <w:ind w:firstLine="420" w:firstLineChars="200"/>
        <w:rPr>
          <w:rFonts w:ascii="宋体" w:hAnsi="宋体" w:cs="宋体"/>
          <w:color w:val="auto"/>
          <w:szCs w:val="21"/>
          <w:highlight w:val="none"/>
        </w:rPr>
      </w:pPr>
      <w:bookmarkStart w:id="144" w:name="_Toc267251418"/>
      <w:r>
        <w:rPr>
          <w:rFonts w:hint="eastAsia" w:ascii="宋体" w:hAnsi="宋体" w:cs="宋体"/>
          <w:color w:val="auto"/>
          <w:szCs w:val="21"/>
          <w:highlight w:val="none"/>
        </w:rPr>
        <w:t>在发包人和承包人不能通过协商达成一致意见时，发包人授权监理人对以下事项进行确定：</w:t>
      </w:r>
    </w:p>
    <w:p w14:paraId="4258D957">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54B8656">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4D214FE">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E7D1530">
      <w:pPr>
        <w:spacing w:line="400" w:lineRule="exact"/>
        <w:rPr>
          <w:rFonts w:ascii="宋体" w:hAnsi="宋体" w:cs="宋体"/>
          <w:b/>
          <w:bCs/>
          <w:color w:val="auto"/>
          <w:kern w:val="0"/>
          <w:sz w:val="24"/>
          <w:highlight w:val="none"/>
        </w:rPr>
      </w:pPr>
      <w:bookmarkStart w:id="145" w:name="_Toc351203637"/>
      <w:r>
        <w:rPr>
          <w:rFonts w:hint="eastAsia" w:ascii="宋体" w:hAnsi="宋体" w:cs="宋体"/>
          <w:b/>
          <w:bCs/>
          <w:color w:val="auto"/>
          <w:kern w:val="0"/>
          <w:sz w:val="24"/>
          <w:highlight w:val="none"/>
        </w:rPr>
        <w:t>5</w:t>
      </w:r>
      <w:bookmarkEnd w:id="144"/>
      <w:bookmarkStart w:id="146" w:name="_Toc296503163"/>
      <w:bookmarkStart w:id="147" w:name="_Toc292559872"/>
      <w:bookmarkStart w:id="148" w:name="_Toc296347162"/>
      <w:bookmarkStart w:id="149" w:name="_Toc292559367"/>
      <w:bookmarkStart w:id="150" w:name="_Toc296890991"/>
      <w:bookmarkStart w:id="151" w:name="_Toc296944502"/>
      <w:bookmarkStart w:id="152" w:name="_Toc296891203"/>
      <w:bookmarkStart w:id="153" w:name="_Toc296346664"/>
      <w:bookmarkStart w:id="154" w:name="_Toc297120463"/>
      <w:bookmarkStart w:id="155" w:name="_Toc297048349"/>
      <w:r>
        <w:rPr>
          <w:rFonts w:hint="eastAsia" w:ascii="宋体" w:hAnsi="宋体" w:cs="宋体"/>
          <w:b/>
          <w:bCs/>
          <w:color w:val="auto"/>
          <w:kern w:val="0"/>
          <w:sz w:val="24"/>
          <w:highlight w:val="none"/>
        </w:rPr>
        <w:t>. 工程质量</w:t>
      </w:r>
      <w:bookmarkEnd w:id="145"/>
    </w:p>
    <w:p w14:paraId="7CC9594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 质量要求</w:t>
      </w:r>
    </w:p>
    <w:p w14:paraId="1AAD162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bookmarkStart w:id="156" w:name="_Toc303539106"/>
      <w:bookmarkStart w:id="157" w:name="_Toc297216155"/>
      <w:bookmarkStart w:id="158" w:name="_Toc304295527"/>
      <w:bookmarkStart w:id="159" w:name="_Toc312677997"/>
      <w:bookmarkStart w:id="160" w:name="_Toc318581164"/>
      <w:bookmarkStart w:id="161" w:name="_Toc300934949"/>
      <w:bookmarkStart w:id="162" w:name="_Toc297123496"/>
      <w:r>
        <w:rPr>
          <w:rFonts w:hint="eastAsia" w:ascii="宋体" w:hAnsi="宋体" w:cs="宋体"/>
          <w:color w:val="auto"/>
          <w:szCs w:val="21"/>
          <w:highlight w:val="none"/>
        </w:rPr>
        <w:t>.1.1 质量标准和要求：</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rPr>
        <w:t>合格。</w:t>
      </w:r>
    </w:p>
    <w:p w14:paraId="25546E8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 隐蔽工程检查</w:t>
      </w:r>
    </w:p>
    <w:p w14:paraId="5CFB95D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5.2.1承包人提前通知监理人隐蔽工程检查的期限的约定：</w:t>
      </w:r>
      <w:r>
        <w:rPr>
          <w:rFonts w:hint="eastAsia" w:ascii="宋体" w:hAnsi="宋体" w:cs="宋体"/>
          <w:color w:val="auto"/>
          <w:szCs w:val="21"/>
          <w:highlight w:val="none"/>
          <w:u w:val="single"/>
        </w:rPr>
        <w:t xml:space="preserve">执行通用合同条款  </w:t>
      </w:r>
      <w:r>
        <w:rPr>
          <w:rFonts w:hint="eastAsia" w:ascii="宋体" w:hAnsi="宋体" w:cs="宋体"/>
          <w:color w:val="auto"/>
          <w:szCs w:val="21"/>
          <w:highlight w:val="none"/>
        </w:rPr>
        <w:t>。</w:t>
      </w:r>
    </w:p>
    <w:p w14:paraId="55A5BB5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4958636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2BF64829">
      <w:pPr>
        <w:pStyle w:val="7"/>
        <w:spacing w:before="0" w:after="0" w:line="400" w:lineRule="exact"/>
        <w:rPr>
          <w:rFonts w:ascii="宋体" w:hAnsi="宋体" w:eastAsia="宋体" w:cs="宋体"/>
          <w:color w:val="auto"/>
          <w:sz w:val="24"/>
          <w:szCs w:val="24"/>
          <w:highlight w:val="none"/>
        </w:rPr>
      </w:pPr>
      <w:bookmarkStart w:id="163" w:name="_Toc351203638"/>
      <w:r>
        <w:rPr>
          <w:rFonts w:hint="eastAsia" w:ascii="宋体" w:hAnsi="宋体" w:eastAsia="宋体" w:cs="宋体"/>
          <w:color w:val="auto"/>
          <w:sz w:val="24"/>
          <w:szCs w:val="24"/>
          <w:highlight w:val="none"/>
        </w:rPr>
        <w:t>6. 安全文明施工与环境保护</w:t>
      </w:r>
      <w:bookmarkEnd w:id="156"/>
      <w:bookmarkEnd w:id="157"/>
      <w:bookmarkEnd w:id="158"/>
      <w:bookmarkEnd w:id="159"/>
      <w:bookmarkEnd w:id="160"/>
      <w:bookmarkEnd w:id="161"/>
      <w:bookmarkEnd w:id="162"/>
      <w:bookmarkEnd w:id="163"/>
      <w:bookmarkStart w:id="164" w:name="_Toc351203639"/>
    </w:p>
    <w:p w14:paraId="2035FE5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6.1安全文明施工</w:t>
      </w:r>
    </w:p>
    <w:p w14:paraId="1139798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6.1.1 关于治安保卫的特别约定：</w:t>
      </w:r>
      <w:r>
        <w:rPr>
          <w:rFonts w:hint="eastAsia" w:ascii="宋体" w:hAnsi="宋体" w:cs="宋体"/>
          <w:color w:val="auto"/>
          <w:szCs w:val="21"/>
          <w:highlight w:val="none"/>
          <w:u w:val="single"/>
        </w:rPr>
        <w:t>承包人的投标报价已包含安全生产、文明施工及文明创建的所有费用，发包人不因此而支付任何额外费用。施工过程中，承包人必须按安全生产、文明施工及文明创建的要求组织施工，如达不到要求，并拒不整改的，竣工结算中发包人将全额扣除承包人安全防护、文明施工及其相关措施费，且承包人须向发包人承担履约保证金的10%违约金。由于承包人安全措施不力造成事故（包括第三方事故）的责任和隐藏发生的费用，由承包人承担</w:t>
      </w:r>
      <w:r>
        <w:rPr>
          <w:rFonts w:hint="eastAsia" w:ascii="宋体" w:hAnsi="宋体" w:cs="宋体"/>
          <w:color w:val="auto"/>
          <w:szCs w:val="21"/>
          <w:highlight w:val="none"/>
        </w:rPr>
        <w:t>。</w:t>
      </w:r>
    </w:p>
    <w:p w14:paraId="6640AD7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800599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6.1.2 文明施工</w:t>
      </w:r>
    </w:p>
    <w:p w14:paraId="68412920">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协助发包人对市容、环保、交通等部门和周边居民的协调工作，相关费用已包含在</w:t>
      </w:r>
      <w:r>
        <w:rPr>
          <w:rFonts w:hint="eastAsia" w:ascii="宋体" w:hAnsi="宋体"/>
          <w:color w:val="auto"/>
          <w:szCs w:val="21"/>
          <w:highlight w:val="none"/>
          <w:u w:val="single"/>
          <w:lang w:val="en-US" w:eastAsia="zh-CN"/>
        </w:rPr>
        <w:t>投</w:t>
      </w:r>
      <w:r>
        <w:rPr>
          <w:rFonts w:hint="eastAsia" w:ascii="宋体" w:hAnsi="宋体"/>
          <w:color w:val="auto"/>
          <w:szCs w:val="21"/>
          <w:highlight w:val="none"/>
          <w:u w:val="single"/>
        </w:rPr>
        <w:t>标总价款中，发包人不再另行支付。施工场地清洁卫生符合安徽省及各地市对施工场地文明施工和清洁卫生的有关规定。</w:t>
      </w:r>
    </w:p>
    <w:p w14:paraId="4BBFF02A">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6.1.3</w:t>
      </w:r>
      <w:r>
        <w:rPr>
          <w:rFonts w:hint="eastAsia" w:hAnsi="宋体"/>
          <w:color w:val="auto"/>
          <w:szCs w:val="21"/>
          <w:highlight w:val="none"/>
        </w:rPr>
        <w:t xml:space="preserve"> 关于安全文明施工费支付比例和支付期限的约定：</w:t>
      </w:r>
      <w:r>
        <w:rPr>
          <w:rFonts w:ascii="宋体" w:hAnsi="宋体"/>
          <w:color w:val="auto"/>
          <w:szCs w:val="21"/>
          <w:highlight w:val="none"/>
          <w:u w:val="single"/>
        </w:rPr>
        <w:t>/</w:t>
      </w:r>
      <w:r>
        <w:rPr>
          <w:rFonts w:hint="eastAsia" w:ascii="宋体" w:hAnsi="宋体"/>
          <w:color w:val="auto"/>
          <w:szCs w:val="21"/>
          <w:highlight w:val="none"/>
          <w:u w:val="single"/>
        </w:rPr>
        <w:t>。</w:t>
      </w:r>
    </w:p>
    <w:p w14:paraId="53655B9E">
      <w:pPr>
        <w:spacing w:line="400" w:lineRule="exact"/>
        <w:ind w:firstLine="420" w:firstLineChars="200"/>
        <w:rPr>
          <w:rFonts w:ascii="宋体" w:hAnsi="宋体"/>
          <w:color w:val="auto"/>
          <w:sz w:val="24"/>
          <w:highlight w:val="none"/>
        </w:rPr>
      </w:pPr>
      <w:r>
        <w:rPr>
          <w:rFonts w:hint="eastAsia" w:ascii="宋体" w:hAnsi="宋体"/>
          <w:color w:val="auto"/>
          <w:szCs w:val="21"/>
          <w:highlight w:val="none"/>
        </w:rPr>
        <w:t>6.1.</w:t>
      </w:r>
      <w:r>
        <w:rPr>
          <w:rFonts w:ascii="宋体" w:hAnsi="宋体"/>
          <w:color w:val="auto"/>
          <w:szCs w:val="21"/>
          <w:highlight w:val="none"/>
        </w:rPr>
        <w:t>4</w:t>
      </w:r>
      <w:r>
        <w:rPr>
          <w:rFonts w:hint="eastAsia" w:ascii="宋体" w:hAnsi="宋体"/>
          <w:color w:val="auto"/>
          <w:szCs w:val="21"/>
          <w:highlight w:val="none"/>
        </w:rPr>
        <w:t xml:space="preserve"> 承包人应为进场施工人员购买意外伤害保险等相关保险，并切实做到安全生产要求，提供安全的生产作业环境及设备，若安全事故或设备毁损的，或造成第三人人身或财产伤害的，承包人对此承担责任。</w:t>
      </w:r>
    </w:p>
    <w:p w14:paraId="2B2DAD92">
      <w:pPr>
        <w:pStyle w:val="7"/>
        <w:spacing w:before="0"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 工期和进度</w:t>
      </w:r>
      <w:bookmarkEnd w:id="164"/>
      <w:r>
        <w:rPr>
          <w:rFonts w:hint="eastAsia" w:ascii="宋体" w:hAnsi="宋体" w:eastAsia="宋体" w:cs="宋体"/>
          <w:color w:val="auto"/>
          <w:sz w:val="24"/>
          <w:szCs w:val="24"/>
          <w:highlight w:val="none"/>
        </w:rPr>
        <w:t>：</w:t>
      </w:r>
    </w:p>
    <w:p w14:paraId="1E49BC4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 施工组织设计</w:t>
      </w:r>
    </w:p>
    <w:p w14:paraId="5D5F53EB">
      <w:pPr>
        <w:autoSpaceDE w:val="0"/>
        <w:autoSpaceDN w:val="0"/>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color w:val="auto"/>
          <w:kern w:val="0"/>
          <w:szCs w:val="21"/>
          <w:highlight w:val="none"/>
          <w:u w:val="single"/>
        </w:rPr>
        <w:t>1、承包人提供施工组织设计（施工方案）和进度计划的时间：开工前7日内承包人向发包人提供施工组织设计和单项任务进度计划（含进度计划网络图、横道图）工程师确认的时间：收到后 7日内工程师进行确认和提出修改意见。2、群体工程中有关进度计划的要求：承包人合同段范围内的工程进度计划安排应服从和满足发包人对于整个项目群体工程总体进度计划的安排，并能根据总体进度计划的需要进行调整。</w:t>
      </w:r>
    </w:p>
    <w:p w14:paraId="1DC439EC">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43D1664F">
      <w:pPr>
        <w:autoSpaceDE w:val="0"/>
        <w:autoSpaceDN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开工前3日     </w:t>
      </w:r>
      <w:r>
        <w:rPr>
          <w:rFonts w:hint="eastAsia" w:ascii="宋体" w:hAnsi="宋体" w:cs="宋体"/>
          <w:color w:val="auto"/>
          <w:szCs w:val="21"/>
          <w:highlight w:val="none"/>
        </w:rPr>
        <w:t>。</w:t>
      </w:r>
    </w:p>
    <w:p w14:paraId="1C5A2CA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收到之日起3日  </w:t>
      </w:r>
      <w:r>
        <w:rPr>
          <w:rFonts w:hint="eastAsia" w:ascii="宋体" w:hAnsi="宋体" w:cs="宋体"/>
          <w:color w:val="auto"/>
          <w:szCs w:val="21"/>
          <w:highlight w:val="none"/>
        </w:rPr>
        <w:t>。</w:t>
      </w:r>
    </w:p>
    <w:p w14:paraId="480F79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65" w:name="_Toc300934966"/>
      <w:bookmarkStart w:id="166" w:name="_Toc304295541"/>
      <w:bookmarkStart w:id="167" w:name="_Toc303539123"/>
      <w:bookmarkStart w:id="168" w:name="_Toc312678005"/>
      <w:bookmarkStart w:id="169" w:name="_Toc297123514"/>
      <w:bookmarkStart w:id="170" w:name="_Toc297216173"/>
      <w:bookmarkStart w:id="171" w:name="_Toc312677479"/>
      <w:r>
        <w:rPr>
          <w:rFonts w:hint="eastAsia" w:ascii="宋体" w:hAnsi="宋体" w:cs="宋体"/>
          <w:color w:val="auto"/>
          <w:szCs w:val="21"/>
          <w:highlight w:val="none"/>
        </w:rPr>
        <w:t>.2 施工进度计划</w:t>
      </w:r>
    </w:p>
    <w:p w14:paraId="5097C1B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ascii="宋体" w:hAnsi="宋体" w:cs="宋体"/>
          <w:color w:val="auto"/>
          <w:szCs w:val="21"/>
          <w:highlight w:val="none"/>
        </w:rPr>
        <w:t>1</w:t>
      </w:r>
      <w:r>
        <w:rPr>
          <w:rFonts w:hint="eastAsia" w:ascii="宋体" w:hAnsi="宋体" w:cs="宋体"/>
          <w:color w:val="auto"/>
          <w:szCs w:val="21"/>
          <w:highlight w:val="none"/>
        </w:rPr>
        <w:t xml:space="preserve"> 施工进度计划的修订</w:t>
      </w:r>
    </w:p>
    <w:p w14:paraId="676E3E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收到之日起3日   </w:t>
      </w:r>
      <w:r>
        <w:rPr>
          <w:rFonts w:hint="eastAsia" w:ascii="宋体" w:hAnsi="宋体" w:cs="宋体"/>
          <w:color w:val="auto"/>
          <w:szCs w:val="21"/>
          <w:highlight w:val="none"/>
        </w:rPr>
        <w:t>。</w:t>
      </w:r>
    </w:p>
    <w:p w14:paraId="34B90DD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 开工</w:t>
      </w:r>
    </w:p>
    <w:p w14:paraId="544AA71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7.3.1 开工准备</w:t>
      </w:r>
    </w:p>
    <w:p w14:paraId="0876CD4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开工前            </w:t>
      </w:r>
      <w:r>
        <w:rPr>
          <w:rFonts w:hint="eastAsia" w:ascii="宋体" w:hAnsi="宋体" w:cs="宋体"/>
          <w:color w:val="auto"/>
          <w:szCs w:val="21"/>
          <w:highlight w:val="none"/>
        </w:rPr>
        <w:t>。</w:t>
      </w:r>
    </w:p>
    <w:p w14:paraId="74A94C7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关于发包人应完成的其他开工准备工作及期限：</w:t>
      </w:r>
      <w:r>
        <w:rPr>
          <w:rFonts w:hint="eastAsia" w:ascii="宋体" w:hAnsi="宋体" w:cs="宋体"/>
          <w:color w:val="auto"/>
          <w:szCs w:val="21"/>
          <w:highlight w:val="none"/>
          <w:u w:val="single"/>
        </w:rPr>
        <w:t xml:space="preserve">  开工前      </w:t>
      </w:r>
      <w:r>
        <w:rPr>
          <w:rFonts w:hint="eastAsia" w:ascii="宋体" w:hAnsi="宋体" w:cs="宋体"/>
          <w:color w:val="auto"/>
          <w:szCs w:val="21"/>
          <w:highlight w:val="none"/>
        </w:rPr>
        <w:t>。</w:t>
      </w:r>
    </w:p>
    <w:p w14:paraId="763034A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关于承包人应完成的其他开工准备工作及期限：</w:t>
      </w:r>
      <w:r>
        <w:rPr>
          <w:rFonts w:hint="eastAsia" w:ascii="宋体" w:hAnsi="宋体" w:cs="宋体"/>
          <w:color w:val="auto"/>
          <w:szCs w:val="21"/>
          <w:highlight w:val="none"/>
          <w:u w:val="single"/>
        </w:rPr>
        <w:t xml:space="preserve"> 开工前       </w:t>
      </w:r>
      <w:r>
        <w:rPr>
          <w:rFonts w:hint="eastAsia" w:ascii="宋体" w:hAnsi="宋体" w:cs="宋体"/>
          <w:color w:val="auto"/>
          <w:szCs w:val="21"/>
          <w:highlight w:val="none"/>
        </w:rPr>
        <w:t>。</w:t>
      </w:r>
    </w:p>
    <w:bookmarkEnd w:id="165"/>
    <w:bookmarkEnd w:id="166"/>
    <w:bookmarkEnd w:id="167"/>
    <w:bookmarkEnd w:id="168"/>
    <w:bookmarkEnd w:id="169"/>
    <w:bookmarkEnd w:id="170"/>
    <w:bookmarkEnd w:id="171"/>
    <w:p w14:paraId="7905F95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 测量放线</w:t>
      </w:r>
    </w:p>
    <w:p w14:paraId="4A9DD979">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 xml:space="preserve"> 开工前7日 </w:t>
      </w:r>
      <w:r>
        <w:rPr>
          <w:rFonts w:hint="eastAsia" w:ascii="宋体" w:hAnsi="宋体" w:cs="宋体"/>
          <w:color w:val="auto"/>
          <w:szCs w:val="21"/>
          <w:highlight w:val="none"/>
        </w:rPr>
        <w:t>。</w:t>
      </w:r>
    </w:p>
    <w:p w14:paraId="46D3BF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72" w:name="_Toc312678010"/>
      <w:bookmarkStart w:id="173" w:name="_Toc312677484"/>
      <w:bookmarkStart w:id="174" w:name="_Toc303539125"/>
      <w:bookmarkStart w:id="175" w:name="_Toc297123516"/>
      <w:bookmarkStart w:id="176" w:name="_Toc297216175"/>
      <w:bookmarkStart w:id="177" w:name="_Toc304295546"/>
      <w:bookmarkStart w:id="178" w:name="_Toc300934968"/>
      <w:r>
        <w:rPr>
          <w:rFonts w:hint="eastAsia" w:ascii="宋体" w:hAnsi="宋体" w:cs="宋体"/>
          <w:color w:val="auto"/>
          <w:szCs w:val="21"/>
          <w:highlight w:val="none"/>
        </w:rPr>
        <w:t>.5 工期延误</w:t>
      </w:r>
    </w:p>
    <w:bookmarkEnd w:id="172"/>
    <w:bookmarkEnd w:id="173"/>
    <w:bookmarkEnd w:id="174"/>
    <w:bookmarkEnd w:id="175"/>
    <w:bookmarkEnd w:id="176"/>
    <w:bookmarkEnd w:id="177"/>
    <w:bookmarkEnd w:id="178"/>
    <w:p w14:paraId="3FA286E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14:paraId="760A88C2">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（1）因发包人原因导致工期延误的其他情形：</w:t>
      </w:r>
      <w:r>
        <w:rPr>
          <w:rFonts w:hint="eastAsia" w:ascii="宋体" w:hAnsi="宋体" w:cs="宋体"/>
          <w:color w:val="auto"/>
          <w:szCs w:val="21"/>
          <w:highlight w:val="none"/>
          <w:u w:val="single"/>
        </w:rPr>
        <w:t xml:space="preserve">/。 </w:t>
      </w:r>
    </w:p>
    <w:p w14:paraId="20C35D4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79" w:name="_Toc303539127"/>
      <w:bookmarkStart w:id="180" w:name="_Toc312677486"/>
      <w:bookmarkStart w:id="181" w:name="_Toc300934970"/>
      <w:bookmarkStart w:id="182" w:name="_Toc297216177"/>
      <w:bookmarkStart w:id="183" w:name="_Toc312678012"/>
      <w:bookmarkStart w:id="184" w:name="_Toc304295548"/>
      <w:bookmarkStart w:id="185" w:name="_Toc297123518"/>
      <w:bookmarkStart w:id="186" w:name="_Toc318581169"/>
      <w:r>
        <w:rPr>
          <w:rFonts w:hint="eastAsia" w:ascii="宋体" w:hAnsi="宋体" w:cs="宋体"/>
          <w:color w:val="auto"/>
          <w:szCs w:val="21"/>
          <w:highlight w:val="none"/>
        </w:rPr>
        <w:t xml:space="preserve">.5.2 </w:t>
      </w:r>
      <w:bookmarkStart w:id="187" w:name="OLE_LINK13"/>
      <w:r>
        <w:rPr>
          <w:rFonts w:hint="eastAsia" w:ascii="宋体" w:hAnsi="宋体" w:cs="宋体"/>
          <w:color w:val="auto"/>
          <w:szCs w:val="21"/>
          <w:highlight w:val="none"/>
        </w:rPr>
        <w:t>因承包人原因导致工期延误</w:t>
      </w:r>
      <w:bookmarkEnd w:id="187"/>
    </w:p>
    <w:bookmarkEnd w:id="179"/>
    <w:bookmarkEnd w:id="180"/>
    <w:bookmarkEnd w:id="181"/>
    <w:bookmarkEnd w:id="182"/>
    <w:bookmarkEnd w:id="183"/>
    <w:bookmarkEnd w:id="184"/>
    <w:bookmarkEnd w:id="185"/>
    <w:bookmarkEnd w:id="186"/>
    <w:p w14:paraId="7F41C02C">
      <w:pPr>
        <w:spacing w:line="400" w:lineRule="exact"/>
        <w:ind w:firstLine="420" w:firstLineChars="200"/>
        <w:rPr>
          <w:rFonts w:ascii="宋体" w:hAnsi="宋体" w:cs="宋体"/>
          <w:color w:val="auto"/>
          <w:szCs w:val="21"/>
          <w:highlight w:val="none"/>
        </w:rPr>
      </w:pPr>
      <w:bookmarkStart w:id="188" w:name="OLE_LINK10"/>
      <w:r>
        <w:rPr>
          <w:rFonts w:hint="eastAsia" w:ascii="宋体" w:hAnsi="宋体" w:cs="宋体"/>
          <w:color w:val="auto"/>
          <w:szCs w:val="21"/>
          <w:highlight w:val="none"/>
        </w:rPr>
        <w:t>因承包人原因造成工期延误，逾期竣工违约金的计算方法为：处1000元/日（不可抗力除外）、累计最高赔偿金额为合同履约保证金的40%。（以开工之日至完工初验合格之日为计算工期，若初验不通过以开工之日至主管部门验收时间为计算工期)。但因延期导致发包人相应损失的，发包人有权增加赔偿比例。</w:t>
      </w:r>
    </w:p>
    <w:bookmarkEnd w:id="188"/>
    <w:p w14:paraId="07A75EB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189" w:name="_Toc297123519"/>
      <w:bookmarkStart w:id="190" w:name="_Toc297216178"/>
      <w:bookmarkStart w:id="191" w:name="_Toc304295549"/>
      <w:bookmarkStart w:id="192" w:name="_Toc303539128"/>
      <w:bookmarkStart w:id="193" w:name="_Toc300934971"/>
      <w:bookmarkStart w:id="194" w:name="_Toc312678015"/>
      <w:r>
        <w:rPr>
          <w:rFonts w:hint="eastAsia" w:ascii="宋体" w:hAnsi="宋体" w:cs="宋体"/>
          <w:color w:val="auto"/>
          <w:szCs w:val="21"/>
          <w:highlight w:val="none"/>
        </w:rPr>
        <w:t>.6 不</w:t>
      </w:r>
      <w:bookmarkEnd w:id="189"/>
      <w:bookmarkEnd w:id="190"/>
      <w:bookmarkEnd w:id="191"/>
      <w:bookmarkEnd w:id="192"/>
      <w:bookmarkEnd w:id="193"/>
      <w:bookmarkEnd w:id="194"/>
      <w:r>
        <w:rPr>
          <w:rFonts w:hint="eastAsia" w:ascii="宋体" w:hAnsi="宋体" w:cs="宋体"/>
          <w:color w:val="auto"/>
          <w:szCs w:val="21"/>
          <w:highlight w:val="none"/>
        </w:rPr>
        <w:t>利物质条件</w:t>
      </w:r>
    </w:p>
    <w:p w14:paraId="5E66B15D">
      <w:pPr>
        <w:spacing w:line="400" w:lineRule="exact"/>
        <w:ind w:firstLine="420" w:firstLineChars="200"/>
        <w:rPr>
          <w:rFonts w:ascii="宋体" w:hAnsi="宋体" w:cs="宋体"/>
          <w:color w:val="auto"/>
          <w:szCs w:val="21"/>
          <w:highlight w:val="none"/>
          <w:u w:val="single"/>
        </w:rPr>
      </w:pPr>
      <w:bookmarkStart w:id="195" w:name="_Toc312678016"/>
      <w:bookmarkStart w:id="196" w:name="_Toc297216179"/>
      <w:bookmarkStart w:id="197" w:name="_Toc304295550"/>
      <w:bookmarkStart w:id="198" w:name="_Toc300934972"/>
      <w:bookmarkStart w:id="199" w:name="_Toc303539129"/>
      <w:bookmarkStart w:id="200" w:name="_Toc297123520"/>
      <w:bookmarkStart w:id="201" w:name="_Toc318581172"/>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195"/>
    <w:bookmarkEnd w:id="196"/>
    <w:bookmarkEnd w:id="197"/>
    <w:bookmarkEnd w:id="198"/>
    <w:bookmarkEnd w:id="199"/>
    <w:bookmarkEnd w:id="200"/>
    <w:bookmarkEnd w:id="201"/>
    <w:p w14:paraId="5E9A974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bookmarkStart w:id="202" w:name="_Toc297216180"/>
      <w:bookmarkStart w:id="203" w:name="_Toc304295551"/>
      <w:bookmarkStart w:id="204" w:name="_Toc297123521"/>
      <w:bookmarkStart w:id="205" w:name="_Toc312678017"/>
      <w:bookmarkStart w:id="206" w:name="_Toc303539130"/>
      <w:bookmarkStart w:id="207" w:name="_Toc300934973"/>
      <w:r>
        <w:rPr>
          <w:rFonts w:hint="eastAsia" w:ascii="宋体" w:hAnsi="宋体" w:cs="宋体"/>
          <w:color w:val="auto"/>
          <w:szCs w:val="21"/>
          <w:highlight w:val="none"/>
        </w:rPr>
        <w:t>.7异常恶劣的气候条件</w:t>
      </w:r>
    </w:p>
    <w:bookmarkEnd w:id="202"/>
    <w:bookmarkEnd w:id="203"/>
    <w:bookmarkEnd w:id="204"/>
    <w:bookmarkEnd w:id="205"/>
    <w:bookmarkEnd w:id="206"/>
    <w:bookmarkEnd w:id="207"/>
    <w:p w14:paraId="14D7169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719D556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7DB61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B86C00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57B6A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8</w:t>
      </w:r>
      <w:r>
        <w:rPr>
          <w:rFonts w:hint="eastAsia" w:ascii="宋体" w:hAnsi="宋体" w:cs="宋体"/>
          <w:color w:val="auto"/>
          <w:szCs w:val="21"/>
          <w:highlight w:val="none"/>
        </w:rPr>
        <w:t xml:space="preserve"> 提前竣工的奖励</w:t>
      </w:r>
    </w:p>
    <w:p w14:paraId="1266BFD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w:t>
      </w:r>
      <w:r>
        <w:rPr>
          <w:rFonts w:ascii="宋体" w:hAnsi="宋体" w:cs="宋体"/>
          <w:color w:val="auto"/>
          <w:szCs w:val="21"/>
          <w:highlight w:val="none"/>
        </w:rPr>
        <w:t>8</w:t>
      </w:r>
      <w:r>
        <w:rPr>
          <w:rFonts w:hint="eastAsia" w:ascii="宋体" w:hAnsi="宋体" w:cs="宋体"/>
          <w:color w:val="auto"/>
          <w:szCs w:val="21"/>
          <w:highlight w:val="none"/>
        </w:rPr>
        <w:t>.1提前竣工的奖励：</w:t>
      </w:r>
      <w:bookmarkStart w:id="208" w:name="_Toc312678014"/>
      <w:bookmarkStart w:id="209" w:name="_Toc318581171"/>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208"/>
    <w:bookmarkEnd w:id="209"/>
    <w:p w14:paraId="50A82136">
      <w:pPr>
        <w:pStyle w:val="7"/>
        <w:spacing w:before="0" w:after="0" w:line="400" w:lineRule="exact"/>
        <w:rPr>
          <w:rFonts w:ascii="宋体" w:hAnsi="宋体" w:eastAsia="宋体" w:cs="宋体"/>
          <w:color w:val="auto"/>
          <w:sz w:val="21"/>
          <w:szCs w:val="21"/>
          <w:highlight w:val="none"/>
        </w:rPr>
      </w:pPr>
      <w:bookmarkStart w:id="210" w:name="_Toc351203640"/>
      <w:r>
        <w:rPr>
          <w:rFonts w:hint="eastAsia" w:ascii="宋体" w:hAnsi="宋体" w:eastAsia="宋体" w:cs="宋体"/>
          <w:color w:val="auto"/>
          <w:sz w:val="21"/>
          <w:szCs w:val="21"/>
          <w:highlight w:val="none"/>
        </w:rPr>
        <w:t>8. 材料与设备</w:t>
      </w:r>
      <w:bookmarkEnd w:id="210"/>
    </w:p>
    <w:bookmarkEnd w:id="146"/>
    <w:bookmarkEnd w:id="147"/>
    <w:bookmarkEnd w:id="148"/>
    <w:bookmarkEnd w:id="149"/>
    <w:bookmarkEnd w:id="150"/>
    <w:bookmarkEnd w:id="151"/>
    <w:bookmarkEnd w:id="152"/>
    <w:bookmarkEnd w:id="153"/>
    <w:bookmarkEnd w:id="154"/>
    <w:bookmarkEnd w:id="155"/>
    <w:p w14:paraId="0D1B643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bookmarkStart w:id="211" w:name="_Toc296346668"/>
      <w:bookmarkStart w:id="212" w:name="_Toc280868654"/>
      <w:bookmarkStart w:id="213" w:name="_Toc297048353"/>
      <w:bookmarkStart w:id="214" w:name="_Toc292559372"/>
      <w:bookmarkStart w:id="215" w:name="_Toc296890995"/>
      <w:bookmarkStart w:id="216" w:name="_Toc297120467"/>
      <w:bookmarkStart w:id="217" w:name="_Toc303539136"/>
      <w:bookmarkStart w:id="218" w:name="_Toc312677493"/>
      <w:bookmarkStart w:id="219" w:name="_Toc296891207"/>
      <w:bookmarkStart w:id="220" w:name="_Toc296347166"/>
      <w:bookmarkStart w:id="221" w:name="_Toc312678019"/>
      <w:bookmarkStart w:id="222" w:name="_Toc297216186"/>
      <w:bookmarkStart w:id="223" w:name="_Toc304295556"/>
      <w:bookmarkStart w:id="224" w:name="_Toc296503167"/>
      <w:bookmarkStart w:id="225" w:name="_Toc300934979"/>
      <w:bookmarkStart w:id="226" w:name="_Toc297123527"/>
      <w:bookmarkStart w:id="227" w:name="_Toc296944506"/>
      <w:bookmarkStart w:id="228" w:name="_Toc292559877"/>
      <w:bookmarkStart w:id="229" w:name="_Toc280868656"/>
      <w:bookmarkStart w:id="230" w:name="_Toc267251424"/>
      <w:bookmarkStart w:id="231" w:name="_Toc280868655"/>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材料与工程设备的保管与使用</w:t>
      </w:r>
    </w:p>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1CBEEDC4">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8</w:t>
      </w:r>
      <w:bookmarkStart w:id="232" w:name="_Toc292559878"/>
      <w:bookmarkStart w:id="233" w:name="_Toc292559373"/>
      <w:bookmarkStart w:id="234" w:name="_Toc296503168"/>
      <w:bookmarkStart w:id="235" w:name="_Toc304295557"/>
      <w:bookmarkStart w:id="236" w:name="_Toc297216187"/>
      <w:bookmarkStart w:id="237" w:name="_Toc297048354"/>
      <w:bookmarkStart w:id="238" w:name="_Toc312678020"/>
      <w:bookmarkStart w:id="239" w:name="_Toc297120468"/>
      <w:bookmarkStart w:id="240" w:name="_Toc296891208"/>
      <w:bookmarkStart w:id="241" w:name="_Toc296347167"/>
      <w:bookmarkStart w:id="242" w:name="_Toc296346669"/>
      <w:bookmarkStart w:id="243" w:name="_Toc312677494"/>
      <w:bookmarkStart w:id="244" w:name="_Toc296890996"/>
      <w:bookmarkStart w:id="245" w:name="_Toc303539137"/>
      <w:bookmarkStart w:id="246" w:name="_Toc296944507"/>
      <w:bookmarkStart w:id="247" w:name="_Toc318581173"/>
      <w:bookmarkStart w:id="248" w:name="_Toc300934980"/>
      <w:bookmarkStart w:id="249" w:name="_Toc297123528"/>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.1发包人供应的材料设备的保管费用的承担：</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232"/>
    <w:bookmarkEnd w:id="233"/>
    <w:p w14:paraId="527690C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2</w:t>
      </w:r>
      <w:r>
        <w:rPr>
          <w:rFonts w:hint="eastAsia" w:ascii="宋体" w:hAnsi="宋体" w:cs="宋体"/>
          <w:color w:val="auto"/>
          <w:szCs w:val="21"/>
          <w:highlight w:val="none"/>
        </w:rPr>
        <w:t xml:space="preserve"> 样品</w:t>
      </w:r>
    </w:p>
    <w:p w14:paraId="1D1266DF">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w:t>
      </w:r>
      <w:r>
        <w:rPr>
          <w:rFonts w:ascii="宋体" w:hAnsi="宋体" w:cs="宋体"/>
          <w:color w:val="auto"/>
          <w:kern w:val="0"/>
          <w:szCs w:val="21"/>
          <w:highlight w:val="none"/>
        </w:rPr>
        <w:t>2</w:t>
      </w:r>
      <w:r>
        <w:rPr>
          <w:rFonts w:hint="eastAsia" w:ascii="宋体" w:hAnsi="宋体" w:cs="宋体"/>
          <w:color w:val="auto"/>
          <w:kern w:val="0"/>
          <w:szCs w:val="21"/>
          <w:highlight w:val="none"/>
        </w:rPr>
        <w:t>.1 样品的报送与封存</w:t>
      </w:r>
    </w:p>
    <w:p w14:paraId="404C0556">
      <w:pPr>
        <w:autoSpaceDE w:val="0"/>
        <w:autoSpaceDN w:val="0"/>
        <w:adjustRightInd w:val="0"/>
        <w:spacing w:line="40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材料进场前发包人有权要求承包人先提供样品，样品经监理单位和发包人确认后材料方可进场；审查不通过的，发包人有权要求承包人重新报送，直至通过发包人、监理单位的审查后方可进场。因承包人自行采购的材料质量引起的工程质量问题由承包人承担所造成的一切损失。对承包人不能确保工程质量的材料，发包人有权指定采购</w:t>
      </w:r>
      <w:r>
        <w:rPr>
          <w:rFonts w:hint="eastAsia" w:ascii="宋体" w:hAnsi="宋体" w:cs="宋体"/>
          <w:color w:val="auto"/>
          <w:szCs w:val="21"/>
          <w:highlight w:val="none"/>
        </w:rPr>
        <w:t>。</w:t>
      </w:r>
    </w:p>
    <w:p w14:paraId="490DF2B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3</w:t>
      </w:r>
      <w:r>
        <w:rPr>
          <w:rFonts w:hint="eastAsia" w:ascii="宋体" w:hAnsi="宋体" w:cs="宋体"/>
          <w:color w:val="auto"/>
          <w:szCs w:val="21"/>
          <w:highlight w:val="none"/>
        </w:rPr>
        <w:t xml:space="preserve"> 施工设备和临时设施</w:t>
      </w:r>
    </w:p>
    <w:p w14:paraId="1C72A0CB">
      <w:pPr>
        <w:autoSpaceDE w:val="0"/>
        <w:autoSpaceDN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3</w:t>
      </w:r>
      <w:r>
        <w:rPr>
          <w:rFonts w:hint="eastAsia" w:ascii="宋体" w:hAnsi="宋体" w:cs="宋体"/>
          <w:color w:val="auto"/>
          <w:szCs w:val="21"/>
          <w:highlight w:val="none"/>
        </w:rPr>
        <w:t>.1 承包人提供的施工设备和临时设施</w:t>
      </w:r>
    </w:p>
    <w:p w14:paraId="3813D247">
      <w:pPr>
        <w:autoSpaceDE w:val="0"/>
        <w:autoSpaceDN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关于修建临时设施费用承担的约定：</w:t>
      </w:r>
      <w:r>
        <w:rPr>
          <w:rFonts w:hint="eastAsia" w:ascii="宋体" w:hAnsi="宋体" w:cs="宋体"/>
          <w:color w:val="auto"/>
          <w:szCs w:val="21"/>
          <w:highlight w:val="none"/>
          <w:u w:val="single"/>
        </w:rPr>
        <w:t xml:space="preserve"> 承包人承担          </w:t>
      </w:r>
      <w:r>
        <w:rPr>
          <w:rFonts w:hint="eastAsia" w:ascii="宋体" w:hAnsi="宋体" w:cs="宋体"/>
          <w:color w:val="auto"/>
          <w:szCs w:val="21"/>
          <w:highlight w:val="none"/>
        </w:rPr>
        <w:t>。</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14:paraId="3BE94ACB">
      <w:pPr>
        <w:pStyle w:val="7"/>
        <w:spacing w:before="0" w:after="0" w:line="400" w:lineRule="exact"/>
        <w:rPr>
          <w:rFonts w:ascii="宋体" w:hAnsi="宋体" w:eastAsia="宋体" w:cs="宋体"/>
          <w:color w:val="auto"/>
          <w:sz w:val="21"/>
          <w:szCs w:val="21"/>
          <w:highlight w:val="none"/>
        </w:rPr>
      </w:pPr>
      <w:bookmarkStart w:id="250" w:name="_Toc351203641"/>
      <w:r>
        <w:rPr>
          <w:rFonts w:hint="eastAsia" w:ascii="宋体" w:hAnsi="宋体" w:eastAsia="宋体" w:cs="宋体"/>
          <w:color w:val="auto"/>
          <w:sz w:val="21"/>
          <w:szCs w:val="21"/>
          <w:highlight w:val="none"/>
        </w:rPr>
        <w:t>9</w:t>
      </w:r>
      <w:bookmarkEnd w:id="229"/>
      <w:bookmarkEnd w:id="230"/>
      <w:bookmarkEnd w:id="231"/>
      <w:bookmarkStart w:id="251" w:name="_Toc297123533"/>
      <w:bookmarkStart w:id="252" w:name="_Toc312678021"/>
      <w:bookmarkStart w:id="253" w:name="_Toc303539139"/>
      <w:bookmarkStart w:id="254" w:name="_Toc312677495"/>
      <w:bookmarkStart w:id="255" w:name="_Toc304295559"/>
      <w:bookmarkStart w:id="256" w:name="_Toc297216192"/>
      <w:bookmarkStart w:id="257" w:name="_Toc300934982"/>
      <w:bookmarkStart w:id="258" w:name="_Toc267251428"/>
      <w:bookmarkStart w:id="259" w:name="_Toc296891213"/>
      <w:bookmarkStart w:id="260" w:name="_Toc296346674"/>
      <w:bookmarkStart w:id="261" w:name="_Toc297048359"/>
      <w:bookmarkStart w:id="262" w:name="_Toc292559883"/>
      <w:bookmarkStart w:id="263" w:name="_Toc296347172"/>
      <w:bookmarkStart w:id="264" w:name="_Toc292559378"/>
      <w:bookmarkStart w:id="265" w:name="_Toc267251427"/>
      <w:bookmarkStart w:id="266" w:name="_Toc296503173"/>
      <w:bookmarkStart w:id="267" w:name="_Toc297120473"/>
      <w:bookmarkStart w:id="268" w:name="_Toc296944512"/>
      <w:bookmarkStart w:id="269" w:name="_Toc296891001"/>
      <w:r>
        <w:rPr>
          <w:rFonts w:hint="eastAsia" w:ascii="宋体" w:hAnsi="宋体" w:eastAsia="宋体" w:cs="宋体"/>
          <w:color w:val="auto"/>
          <w:sz w:val="21"/>
          <w:szCs w:val="21"/>
          <w:highlight w:val="none"/>
        </w:rPr>
        <w:t>. 试验与检验</w:t>
      </w:r>
      <w:bookmarkEnd w:id="250"/>
    </w:p>
    <w:bookmarkEnd w:id="251"/>
    <w:bookmarkEnd w:id="252"/>
    <w:bookmarkEnd w:id="253"/>
    <w:bookmarkEnd w:id="254"/>
    <w:bookmarkEnd w:id="255"/>
    <w:bookmarkEnd w:id="256"/>
    <w:bookmarkEnd w:id="257"/>
    <w:p w14:paraId="3AA5C3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w:t>
      </w:r>
      <w:bookmarkStart w:id="270" w:name="_Toc300934983"/>
      <w:bookmarkStart w:id="271" w:name="_Toc303539140"/>
      <w:bookmarkStart w:id="272" w:name="_Toc312678022"/>
      <w:bookmarkStart w:id="273" w:name="_Toc304295560"/>
      <w:bookmarkStart w:id="274" w:name="_Toc297123534"/>
      <w:bookmarkStart w:id="275" w:name="_Toc297216193"/>
      <w:bookmarkStart w:id="276" w:name="_Toc312677496"/>
      <w:r>
        <w:rPr>
          <w:rFonts w:hint="eastAsia" w:ascii="宋体" w:hAnsi="宋体" w:cs="宋体"/>
          <w:color w:val="auto"/>
          <w:szCs w:val="21"/>
          <w:highlight w:val="none"/>
        </w:rPr>
        <w:t>.1试验设备与试验人员</w:t>
      </w:r>
    </w:p>
    <w:bookmarkEnd w:id="270"/>
    <w:bookmarkEnd w:id="271"/>
    <w:bookmarkEnd w:id="272"/>
    <w:bookmarkEnd w:id="273"/>
    <w:bookmarkEnd w:id="274"/>
    <w:bookmarkEnd w:id="275"/>
    <w:bookmarkEnd w:id="276"/>
    <w:p w14:paraId="0B7918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w:t>
      </w:r>
      <w:bookmarkStart w:id="277" w:name="_Toc304295561"/>
      <w:bookmarkStart w:id="278" w:name="_Toc297123535"/>
      <w:bookmarkStart w:id="279" w:name="_Toc300934984"/>
      <w:bookmarkStart w:id="280" w:name="_Toc297216194"/>
      <w:bookmarkStart w:id="281" w:name="_Toc303539141"/>
      <w:bookmarkStart w:id="282" w:name="_Toc312677497"/>
      <w:bookmarkStart w:id="283" w:name="_Toc312678023"/>
      <w:bookmarkStart w:id="284" w:name="_Toc318581174"/>
      <w:r>
        <w:rPr>
          <w:rFonts w:hint="eastAsia" w:ascii="宋体" w:hAnsi="宋体" w:cs="宋体"/>
          <w:color w:val="auto"/>
          <w:szCs w:val="21"/>
          <w:highlight w:val="none"/>
        </w:rPr>
        <w:t>.1.2 试验设备</w:t>
      </w:r>
    </w:p>
    <w:p w14:paraId="43398E06">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施工现场需要配置的试验场所：</w:t>
      </w:r>
      <w:bookmarkEnd w:id="277"/>
      <w:bookmarkEnd w:id="278"/>
      <w:bookmarkEnd w:id="279"/>
      <w:bookmarkEnd w:id="280"/>
      <w:bookmarkEnd w:id="281"/>
      <w:bookmarkEnd w:id="282"/>
      <w:bookmarkEnd w:id="283"/>
      <w:bookmarkStart w:id="285" w:name="_Toc312677498"/>
      <w:bookmarkStart w:id="286" w:name="_Toc312678024"/>
      <w:bookmarkStart w:id="287" w:name="_Toc297123536"/>
      <w:bookmarkStart w:id="288" w:name="_Toc297216195"/>
      <w:bookmarkStart w:id="289" w:name="_Toc303539142"/>
      <w:bookmarkStart w:id="290" w:name="_Toc304295562"/>
      <w:bookmarkStart w:id="291" w:name="_Toc300934985"/>
      <w:r>
        <w:rPr>
          <w:rFonts w:hint="eastAsia" w:ascii="宋体" w:hAnsi="宋体" w:cs="宋体"/>
          <w:color w:val="auto"/>
          <w:szCs w:val="21"/>
          <w:highlight w:val="none"/>
          <w:u w:val="single"/>
        </w:rPr>
        <w:t xml:space="preserve">     满足要求            </w:t>
      </w:r>
      <w:r>
        <w:rPr>
          <w:rFonts w:hint="eastAsia" w:ascii="宋体" w:hAnsi="宋体" w:cs="宋体"/>
          <w:color w:val="auto"/>
          <w:szCs w:val="21"/>
          <w:highlight w:val="none"/>
        </w:rPr>
        <w:t>。</w:t>
      </w:r>
    </w:p>
    <w:p w14:paraId="7B419D5E">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施工现场需要配备的试验设备：</w:t>
      </w:r>
      <w:r>
        <w:rPr>
          <w:rFonts w:hint="eastAsia" w:ascii="宋体" w:hAnsi="宋体" w:cs="宋体"/>
          <w:color w:val="auto"/>
          <w:szCs w:val="21"/>
          <w:highlight w:val="none"/>
          <w:u w:val="single"/>
        </w:rPr>
        <w:t xml:space="preserve">      同上               </w:t>
      </w:r>
      <w:r>
        <w:rPr>
          <w:rFonts w:hint="eastAsia" w:ascii="宋体" w:hAnsi="宋体" w:cs="宋体"/>
          <w:color w:val="auto"/>
          <w:szCs w:val="21"/>
          <w:highlight w:val="none"/>
        </w:rPr>
        <w:t>。</w:t>
      </w:r>
    </w:p>
    <w:p w14:paraId="70795543">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同上               </w:t>
      </w:r>
      <w:r>
        <w:rPr>
          <w:rFonts w:hint="eastAsia" w:ascii="宋体" w:hAnsi="宋体" w:cs="宋体"/>
          <w:color w:val="auto"/>
          <w:szCs w:val="21"/>
          <w:highlight w:val="none"/>
        </w:rPr>
        <w:t>。</w:t>
      </w:r>
    </w:p>
    <w:p w14:paraId="3D9F1E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 xml:space="preserve"> 现场工艺试验 </w:t>
      </w:r>
    </w:p>
    <w:p w14:paraId="5DA039B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同上               </w:t>
      </w:r>
      <w:r>
        <w:rPr>
          <w:rFonts w:hint="eastAsia" w:ascii="宋体" w:hAnsi="宋体" w:cs="宋体"/>
          <w:color w:val="auto"/>
          <w:szCs w:val="21"/>
          <w:highlight w:val="none"/>
        </w:rPr>
        <w:t>。</w:t>
      </w:r>
    </w:p>
    <w:p w14:paraId="26AB7CDE">
      <w:pPr>
        <w:pStyle w:val="7"/>
        <w:spacing w:before="0" w:after="0" w:line="400" w:lineRule="exact"/>
        <w:rPr>
          <w:rFonts w:ascii="宋体" w:hAnsi="宋体" w:eastAsia="宋体" w:cs="宋体"/>
          <w:color w:val="auto"/>
          <w:sz w:val="21"/>
          <w:szCs w:val="21"/>
          <w:highlight w:val="none"/>
        </w:rPr>
      </w:pPr>
      <w:bookmarkStart w:id="292" w:name="_Toc351203642"/>
      <w:r>
        <w:rPr>
          <w:rFonts w:hint="eastAsia" w:ascii="宋体" w:hAnsi="宋体" w:eastAsia="宋体" w:cs="宋体"/>
          <w:color w:val="auto"/>
          <w:sz w:val="21"/>
          <w:szCs w:val="21"/>
          <w:highlight w:val="none"/>
        </w:rPr>
        <w:t>1</w:t>
      </w:r>
      <w:bookmarkStart w:id="293" w:name="_Toc312677499"/>
      <w:bookmarkStart w:id="294" w:name="_Toc304295566"/>
      <w:bookmarkStart w:id="295" w:name="_Toc297123540"/>
      <w:bookmarkStart w:id="296" w:name="_Toc296891233"/>
      <w:bookmarkStart w:id="297" w:name="_Toc297216199"/>
      <w:bookmarkStart w:id="298" w:name="_Toc296891021"/>
      <w:bookmarkStart w:id="299" w:name="_Toc300934989"/>
      <w:bookmarkStart w:id="300" w:name="_Toc303539146"/>
      <w:bookmarkStart w:id="301" w:name="_Toc292559903"/>
      <w:bookmarkStart w:id="302" w:name="_Toc297048379"/>
      <w:bookmarkStart w:id="303" w:name="_Toc296346694"/>
      <w:bookmarkStart w:id="304" w:name="_Toc292559398"/>
      <w:bookmarkStart w:id="305" w:name="_Toc297120493"/>
      <w:bookmarkStart w:id="306" w:name="_Toc296503193"/>
      <w:bookmarkStart w:id="307" w:name="_Toc296944532"/>
      <w:bookmarkStart w:id="308" w:name="_Toc296347192"/>
      <w:bookmarkStart w:id="309" w:name="_Toc312678025"/>
      <w:r>
        <w:rPr>
          <w:rFonts w:hint="eastAsia" w:ascii="宋体" w:hAnsi="宋体" w:eastAsia="宋体" w:cs="宋体"/>
          <w:color w:val="auto"/>
          <w:sz w:val="21"/>
          <w:szCs w:val="21"/>
          <w:highlight w:val="none"/>
        </w:rPr>
        <w:t>0. 变更</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bookmarkEnd w:id="258"/>
    <w:bookmarkEnd w:id="259"/>
    <w:bookmarkEnd w:id="260"/>
    <w:bookmarkEnd w:id="261"/>
    <w:bookmarkEnd w:id="262"/>
    <w:bookmarkEnd w:id="263"/>
    <w:bookmarkEnd w:id="264"/>
    <w:bookmarkEnd w:id="265"/>
    <w:bookmarkEnd w:id="266"/>
    <w:bookmarkEnd w:id="267"/>
    <w:bookmarkEnd w:id="268"/>
    <w:bookmarkEnd w:id="269"/>
    <w:bookmarkEnd w:id="284"/>
    <w:bookmarkEnd w:id="285"/>
    <w:bookmarkEnd w:id="286"/>
    <w:bookmarkEnd w:id="287"/>
    <w:bookmarkEnd w:id="288"/>
    <w:bookmarkEnd w:id="289"/>
    <w:bookmarkEnd w:id="290"/>
    <w:bookmarkEnd w:id="291"/>
    <w:p w14:paraId="4B7D453C">
      <w:pPr>
        <w:spacing w:line="400" w:lineRule="exact"/>
        <w:ind w:firstLine="420" w:firstLineChars="200"/>
        <w:rPr>
          <w:rFonts w:ascii="宋体" w:hAnsi="宋体" w:cs="宋体"/>
          <w:color w:val="auto"/>
          <w:szCs w:val="21"/>
          <w:highlight w:val="none"/>
        </w:rPr>
      </w:pPr>
      <w:bookmarkStart w:id="310" w:name="_Toc267251435"/>
      <w:bookmarkStart w:id="311" w:name="_Toc267251439"/>
      <w:bookmarkStart w:id="312" w:name="_Toc267251440"/>
      <w:bookmarkStart w:id="313" w:name="_Toc267251441"/>
      <w:bookmarkStart w:id="314" w:name="_Toc267251433"/>
      <w:bookmarkStart w:id="315" w:name="_Toc267251437"/>
      <w:r>
        <w:rPr>
          <w:rFonts w:hint="eastAsia" w:ascii="宋体" w:hAnsi="宋体" w:cs="宋体"/>
          <w:color w:val="auto"/>
          <w:szCs w:val="21"/>
          <w:highlight w:val="none"/>
        </w:rPr>
        <w:t>1</w:t>
      </w:r>
      <w:bookmarkStart w:id="316" w:name="_Toc296346695"/>
      <w:bookmarkStart w:id="317" w:name="_Toc297120494"/>
      <w:bookmarkStart w:id="318" w:name="_Toc297048380"/>
      <w:bookmarkStart w:id="319" w:name="_Toc304295567"/>
      <w:bookmarkStart w:id="320" w:name="_Toc296347193"/>
      <w:bookmarkStart w:id="321" w:name="_Toc297123541"/>
      <w:bookmarkStart w:id="322" w:name="_Toc292559399"/>
      <w:bookmarkStart w:id="323" w:name="_Toc303539147"/>
      <w:bookmarkStart w:id="324" w:name="_Toc296503194"/>
      <w:bookmarkStart w:id="325" w:name="_Toc296891234"/>
      <w:bookmarkStart w:id="326" w:name="_Toc296944533"/>
      <w:bookmarkStart w:id="327" w:name="_Toc292559904"/>
      <w:bookmarkStart w:id="328" w:name="_Toc300934990"/>
      <w:bookmarkStart w:id="329" w:name="_Toc296891022"/>
      <w:bookmarkStart w:id="330" w:name="_Toc297216200"/>
      <w:bookmarkStart w:id="331" w:name="_Toc312677500"/>
      <w:bookmarkStart w:id="332" w:name="_Toc312678026"/>
      <w:r>
        <w:rPr>
          <w:rFonts w:hint="eastAsia" w:ascii="宋体" w:hAnsi="宋体" w:cs="宋体"/>
          <w:color w:val="auto"/>
          <w:szCs w:val="21"/>
          <w:highlight w:val="none"/>
        </w:rPr>
        <w:t>0.1变更的范围</w:t>
      </w:r>
    </w:p>
    <w:p w14:paraId="7EA2E59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执行合同通用条款。1、本工程在施工过程中，因施工图需要修改变更，承包人不得以任何理由拒绝 2、本工程设计单位出具的图纸变更、修改以设计部门签发、并经监理工程师、建设单位认可的书面形式为准。</w:t>
      </w:r>
    </w:p>
    <w:p w14:paraId="5048B57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2</w:t>
      </w:r>
      <w:r>
        <w:rPr>
          <w:rFonts w:hint="eastAsia" w:ascii="宋体" w:hAnsi="宋体" w:cs="宋体"/>
          <w:color w:val="auto"/>
          <w:szCs w:val="21"/>
          <w:highlight w:val="none"/>
        </w:rPr>
        <w:t xml:space="preserve"> 变更估价</w:t>
      </w:r>
    </w:p>
    <w:p w14:paraId="5902A96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2</w:t>
      </w:r>
      <w:r>
        <w:rPr>
          <w:rFonts w:hint="eastAsia" w:ascii="宋体" w:hAnsi="宋体" w:cs="宋体"/>
          <w:color w:val="auto"/>
          <w:szCs w:val="21"/>
          <w:highlight w:val="none"/>
        </w:rPr>
        <w:t>.1 变更估价原则</w:t>
      </w:r>
    </w:p>
    <w:p w14:paraId="01CE4AF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关于变更估价的约定:</w:t>
      </w:r>
      <w:r>
        <w:rPr>
          <w:rFonts w:hint="eastAsia" w:ascii="宋体" w:hAnsi="宋体" w:cs="宋体"/>
          <w:color w:val="auto"/>
          <w:szCs w:val="21"/>
          <w:highlight w:val="none"/>
          <w:u w:val="single"/>
        </w:rPr>
        <w:t xml:space="preserve">提出变更申请报告，说明变更的理由及依据交由监理方、建设方审核认为确需变更另请设计单位出具盖章签字的设计变更通知单（建设方签字盖章确认）后下发实施 </w:t>
      </w:r>
      <w:r>
        <w:rPr>
          <w:rFonts w:hint="eastAsia" w:ascii="宋体" w:hAnsi="宋体" w:cs="宋体"/>
          <w:color w:val="auto"/>
          <w:szCs w:val="21"/>
          <w:highlight w:val="none"/>
        </w:rPr>
        <w:t>。</w:t>
      </w:r>
    </w:p>
    <w:p w14:paraId="30EA2AD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Toc297120497"/>
      <w:bookmarkStart w:id="334" w:name="_Toc300934993"/>
      <w:bookmarkStart w:id="335" w:name="_Toc297123544"/>
      <w:bookmarkStart w:id="336" w:name="_Toc303539150"/>
      <w:bookmarkStart w:id="337" w:name="_Toc296346698"/>
      <w:bookmarkStart w:id="338" w:name="_Toc296891025"/>
      <w:bookmarkStart w:id="339" w:name="_Toc296503197"/>
      <w:bookmarkStart w:id="340" w:name="_Toc296944536"/>
      <w:bookmarkStart w:id="341" w:name="_Toc292559907"/>
      <w:bookmarkStart w:id="342" w:name="_Toc296347196"/>
      <w:bookmarkStart w:id="343" w:name="_Toc296891237"/>
      <w:bookmarkStart w:id="344" w:name="_Toc297216203"/>
      <w:bookmarkStart w:id="345" w:name="_Toc297048383"/>
      <w:bookmarkStart w:id="346" w:name="_Toc292559402"/>
      <w:bookmarkStart w:id="347" w:name="_Toc312678029"/>
      <w:bookmarkStart w:id="348" w:name="_Toc312677503"/>
      <w:bookmarkStart w:id="349" w:name="_Toc304295570"/>
      <w:r>
        <w:rPr>
          <w:rFonts w:hint="eastAsia" w:ascii="宋体" w:hAnsi="宋体" w:cs="宋体"/>
          <w:color w:val="auto"/>
          <w:szCs w:val="21"/>
          <w:highlight w:val="none"/>
        </w:rPr>
        <w:t>0.</w:t>
      </w:r>
      <w:r>
        <w:rPr>
          <w:rFonts w:ascii="宋体" w:hAnsi="宋体" w:cs="宋体"/>
          <w:color w:val="auto"/>
          <w:szCs w:val="21"/>
          <w:highlight w:val="none"/>
        </w:rPr>
        <w:t>3</w:t>
      </w:r>
      <w:r>
        <w:rPr>
          <w:rFonts w:hint="eastAsia" w:ascii="宋体" w:hAnsi="宋体" w:cs="宋体"/>
          <w:color w:val="auto"/>
          <w:szCs w:val="21"/>
          <w:highlight w:val="none"/>
        </w:rPr>
        <w:t>承</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296503203"/>
      <w:bookmarkStart w:id="351" w:name="_Toc297216204"/>
      <w:bookmarkStart w:id="352" w:name="_Toc296346704"/>
      <w:bookmarkStart w:id="353" w:name="_Toc297123545"/>
      <w:bookmarkStart w:id="354" w:name="_Toc297048389"/>
      <w:bookmarkStart w:id="355" w:name="_Toc296347202"/>
      <w:bookmarkStart w:id="356" w:name="_Toc296891031"/>
      <w:bookmarkStart w:id="357" w:name="_Toc303539151"/>
      <w:bookmarkStart w:id="358" w:name="_Toc296944542"/>
      <w:bookmarkStart w:id="359" w:name="_Toc292559913"/>
      <w:bookmarkStart w:id="360" w:name="_Toc296891243"/>
      <w:bookmarkStart w:id="361" w:name="_Toc300934994"/>
      <w:bookmarkStart w:id="362" w:name="_Toc297120503"/>
      <w:bookmarkStart w:id="363" w:name="_Toc292559408"/>
      <w:r>
        <w:rPr>
          <w:rFonts w:hint="eastAsia" w:ascii="宋体" w:hAnsi="宋体" w:cs="宋体"/>
          <w:color w:val="auto"/>
          <w:szCs w:val="21"/>
          <w:highlight w:val="none"/>
        </w:rPr>
        <w:t>包人的合理化建议</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B89BF4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 xml:space="preserve">  收到7日内         </w:t>
      </w:r>
      <w:r>
        <w:rPr>
          <w:rFonts w:hint="eastAsia" w:ascii="宋体" w:hAnsi="宋体" w:cs="宋体"/>
          <w:color w:val="auto"/>
          <w:szCs w:val="21"/>
          <w:highlight w:val="none"/>
        </w:rPr>
        <w:t>。</w:t>
      </w:r>
    </w:p>
    <w:p w14:paraId="366CA78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 xml:space="preserve">收到监理报送后七天内 </w:t>
      </w:r>
      <w:r>
        <w:rPr>
          <w:rFonts w:hint="eastAsia" w:ascii="宋体" w:hAnsi="宋体" w:cs="宋体"/>
          <w:color w:val="auto"/>
          <w:szCs w:val="21"/>
          <w:highlight w:val="none"/>
        </w:rPr>
        <w:t>。</w:t>
      </w:r>
    </w:p>
    <w:p w14:paraId="48BBE0B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w:t>
      </w:r>
      <w:bookmarkStart w:id="364" w:name="_Toc297123546"/>
      <w:bookmarkStart w:id="365" w:name="_Toc297048390"/>
      <w:bookmarkStart w:id="366" w:name="_Toc297120504"/>
      <w:bookmarkStart w:id="367" w:name="_Toc300934995"/>
      <w:bookmarkStart w:id="368" w:name="_Toc303539152"/>
      <w:bookmarkStart w:id="369" w:name="_Toc318581175"/>
      <w:bookmarkStart w:id="370" w:name="_Toc292559409"/>
      <w:bookmarkStart w:id="371" w:name="_Toc312677504"/>
      <w:bookmarkStart w:id="372" w:name="_Toc296891032"/>
      <w:bookmarkStart w:id="373" w:name="_Toc297216205"/>
      <w:bookmarkStart w:id="374" w:name="_Toc296944543"/>
      <w:bookmarkStart w:id="375" w:name="_Toc304295571"/>
      <w:bookmarkStart w:id="376" w:name="_Toc296503204"/>
      <w:bookmarkStart w:id="377" w:name="_Toc292559914"/>
      <w:bookmarkStart w:id="378" w:name="_Toc296891244"/>
      <w:bookmarkStart w:id="379" w:name="_Toc296346705"/>
      <w:bookmarkStart w:id="380" w:name="_Toc296347203"/>
      <w:bookmarkStart w:id="381" w:name="_Toc312678030"/>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26E7A9C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382" w:name="_Toc297048385"/>
      <w:bookmarkStart w:id="383" w:name="_Toc297123548"/>
      <w:bookmarkStart w:id="384" w:name="_Toc296891239"/>
      <w:bookmarkStart w:id="385" w:name="_Toc292559404"/>
      <w:bookmarkStart w:id="386" w:name="_Toc304295574"/>
      <w:bookmarkStart w:id="387" w:name="_Toc296944538"/>
      <w:bookmarkStart w:id="388" w:name="_Toc312678033"/>
      <w:bookmarkStart w:id="389" w:name="_Toc296503199"/>
      <w:bookmarkStart w:id="390" w:name="_Toc300934997"/>
      <w:bookmarkStart w:id="391" w:name="_Toc296346700"/>
      <w:bookmarkStart w:id="392" w:name="_Toc296891027"/>
      <w:bookmarkStart w:id="393" w:name="_Toc292559909"/>
      <w:bookmarkStart w:id="394" w:name="_Toc297120499"/>
      <w:bookmarkStart w:id="395" w:name="_Toc303539154"/>
      <w:bookmarkStart w:id="396" w:name="_Toc296347198"/>
      <w:bookmarkStart w:id="397" w:name="_Toc297216207"/>
      <w:bookmarkStart w:id="398" w:name="_Toc312677507"/>
      <w:r>
        <w:rPr>
          <w:rFonts w:hint="eastAsia" w:ascii="宋体" w:hAnsi="宋体" w:cs="宋体"/>
          <w:color w:val="auto"/>
          <w:szCs w:val="21"/>
          <w:highlight w:val="none"/>
        </w:rPr>
        <w:t>0.</w:t>
      </w:r>
      <w:r>
        <w:rPr>
          <w:rFonts w:ascii="宋体" w:hAnsi="宋体" w:cs="宋体"/>
          <w:color w:val="auto"/>
          <w:szCs w:val="21"/>
          <w:highlight w:val="none"/>
        </w:rPr>
        <w:t>4</w:t>
      </w:r>
      <w:r>
        <w:rPr>
          <w:rFonts w:hint="eastAsia" w:ascii="宋体" w:hAnsi="宋体" w:cs="宋体"/>
          <w:color w:val="auto"/>
          <w:szCs w:val="21"/>
          <w:highlight w:val="none"/>
        </w:rPr>
        <w:t xml:space="preserve"> 暂估价</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52BEDE9">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暂</w:t>
      </w:r>
      <w:bookmarkStart w:id="399" w:name="_Toc312677508"/>
      <w:bookmarkStart w:id="400" w:name="_Toc318581176"/>
      <w:bookmarkStart w:id="401" w:name="_Toc312678034"/>
      <w:r>
        <w:rPr>
          <w:rFonts w:hint="eastAsia" w:ascii="宋体" w:hAnsi="宋体" w:cs="宋体"/>
          <w:color w:val="auto"/>
          <w:kern w:val="0"/>
          <w:szCs w:val="21"/>
          <w:highlight w:val="none"/>
        </w:rPr>
        <w:t>估价材料和工程设备的明细：</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bookmarkEnd w:id="399"/>
    <w:bookmarkEnd w:id="400"/>
    <w:bookmarkEnd w:id="401"/>
    <w:p w14:paraId="54B96EF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Start w:id="402" w:name="_Toc312678035"/>
      <w:bookmarkStart w:id="403" w:name="_Toc312677509"/>
      <w:bookmarkStart w:id="404" w:name="_Toc318581177"/>
      <w:r>
        <w:rPr>
          <w:rFonts w:hint="eastAsia" w:ascii="宋体" w:hAnsi="宋体" w:cs="宋体"/>
          <w:color w:val="auto"/>
          <w:szCs w:val="21"/>
          <w:highlight w:val="none"/>
        </w:rPr>
        <w:t>0.</w:t>
      </w:r>
      <w:r>
        <w:rPr>
          <w:rFonts w:ascii="宋体" w:hAnsi="宋体" w:cs="宋体"/>
          <w:color w:val="auto"/>
          <w:szCs w:val="21"/>
          <w:highlight w:val="none"/>
        </w:rPr>
        <w:t>4</w:t>
      </w:r>
      <w:r>
        <w:rPr>
          <w:rFonts w:hint="eastAsia" w:ascii="宋体" w:hAnsi="宋体" w:cs="宋体"/>
          <w:color w:val="auto"/>
          <w:szCs w:val="21"/>
          <w:highlight w:val="none"/>
        </w:rPr>
        <w:t>.1 依法必须招标的暂估价项目</w:t>
      </w:r>
    </w:p>
    <w:bookmarkEnd w:id="402"/>
    <w:bookmarkEnd w:id="403"/>
    <w:bookmarkEnd w:id="404"/>
    <w:p w14:paraId="2CB986D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500B774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4</w:t>
      </w:r>
      <w:r>
        <w:rPr>
          <w:rFonts w:hint="eastAsia" w:ascii="宋体" w:hAnsi="宋体" w:cs="宋体"/>
          <w:color w:val="auto"/>
          <w:szCs w:val="21"/>
          <w:highlight w:val="none"/>
        </w:rPr>
        <w:t>.2 不属于依法必须招标的暂估价项目</w:t>
      </w:r>
    </w:p>
    <w:p w14:paraId="32A6A57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55418A9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357D4CF7">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96B85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5</w:t>
      </w:r>
      <w:r>
        <w:rPr>
          <w:rFonts w:hint="eastAsia" w:ascii="宋体" w:hAnsi="宋体" w:cs="宋体"/>
          <w:color w:val="auto"/>
          <w:szCs w:val="21"/>
          <w:highlight w:val="none"/>
        </w:rPr>
        <w:t xml:space="preserve"> 暂列金额</w:t>
      </w:r>
    </w:p>
    <w:p w14:paraId="110BE106">
      <w:pPr>
        <w:autoSpaceDE w:val="0"/>
        <w:autoSpaceDN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bookmarkStart w:id="405" w:name="_Toc351203643"/>
      <w:r>
        <w:rPr>
          <w:rFonts w:ascii="宋体" w:hAnsi="宋体" w:cs="宋体"/>
          <w:color w:val="auto"/>
          <w:szCs w:val="21"/>
          <w:highlight w:val="none"/>
          <w:u w:val="single"/>
        </w:rPr>
        <w:t>/</w:t>
      </w:r>
      <w:r>
        <w:rPr>
          <w:rFonts w:hint="eastAsia" w:ascii="宋体" w:hAnsi="宋体" w:cs="宋体"/>
          <w:color w:val="auto"/>
          <w:szCs w:val="21"/>
          <w:highlight w:val="none"/>
        </w:rPr>
        <w:t>。</w:t>
      </w:r>
    </w:p>
    <w:bookmarkEnd w:id="310"/>
    <w:bookmarkEnd w:id="311"/>
    <w:bookmarkEnd w:id="312"/>
    <w:bookmarkEnd w:id="313"/>
    <w:bookmarkEnd w:id="314"/>
    <w:bookmarkEnd w:id="315"/>
    <w:bookmarkEnd w:id="405"/>
    <w:p w14:paraId="3DC490D3">
      <w:pPr>
        <w:pStyle w:val="7"/>
        <w:spacing w:before="0" w:after="0" w:line="400" w:lineRule="exact"/>
        <w:rPr>
          <w:rFonts w:ascii="宋体" w:hAnsi="宋体" w:eastAsia="宋体" w:cs="宋体"/>
          <w:color w:val="auto"/>
          <w:sz w:val="21"/>
          <w:szCs w:val="21"/>
          <w:highlight w:val="none"/>
        </w:rPr>
      </w:pPr>
      <w:bookmarkStart w:id="406" w:name="_Toc296346706"/>
      <w:bookmarkStart w:id="407" w:name="_Toc297048391"/>
      <w:bookmarkStart w:id="408" w:name="_Toc297120505"/>
      <w:bookmarkStart w:id="409" w:name="_Toc296891033"/>
      <w:bookmarkStart w:id="410" w:name="_Toc296347204"/>
      <w:bookmarkStart w:id="411" w:name="_Toc292559410"/>
      <w:bookmarkStart w:id="412" w:name="_Toc296503205"/>
      <w:bookmarkStart w:id="413" w:name="_Toc296891245"/>
      <w:bookmarkStart w:id="414" w:name="_Toc292559915"/>
      <w:bookmarkStart w:id="415" w:name="_Toc296944544"/>
      <w:bookmarkStart w:id="416" w:name="_Toc351203644"/>
      <w:bookmarkStart w:id="417" w:name="_Toc297216211"/>
      <w:bookmarkStart w:id="418" w:name="_Toc303539159"/>
      <w:bookmarkStart w:id="419" w:name="_Toc300935002"/>
      <w:bookmarkStart w:id="420" w:name="_Toc297123552"/>
      <w:bookmarkStart w:id="421" w:name="_Toc304295579"/>
      <w:bookmarkStart w:id="422" w:name="_Toc312678040"/>
      <w:r>
        <w:rPr>
          <w:rFonts w:hint="eastAsia" w:ascii="宋体" w:hAnsi="宋体" w:eastAsia="宋体" w:cs="宋体"/>
          <w:color w:val="auto"/>
          <w:sz w:val="21"/>
          <w:szCs w:val="21"/>
          <w:highlight w:val="none"/>
        </w:rPr>
        <w:t>11. 价格调整</w:t>
      </w:r>
    </w:p>
    <w:p w14:paraId="49039A1A">
      <w:pPr>
        <w:spacing w:line="400" w:lineRule="exact"/>
        <w:ind w:firstLine="420" w:firstLineChars="200"/>
        <w:rPr>
          <w:rFonts w:hAnsi="宋体"/>
          <w:color w:val="auto"/>
          <w:szCs w:val="21"/>
          <w:highlight w:val="none"/>
        </w:rPr>
      </w:pPr>
      <w:bookmarkStart w:id="423" w:name="_Toc292559406"/>
      <w:bookmarkStart w:id="424" w:name="_Toc297120501"/>
      <w:bookmarkStart w:id="425" w:name="_Toc292559911"/>
      <w:bookmarkStart w:id="426" w:name="_Toc304295577"/>
      <w:bookmarkStart w:id="427" w:name="_Toc296891241"/>
      <w:bookmarkStart w:id="428" w:name="_Toc296944540"/>
      <w:bookmarkStart w:id="429" w:name="_Toc297048387"/>
      <w:bookmarkStart w:id="430" w:name="_Toc296891029"/>
      <w:bookmarkStart w:id="431" w:name="_Toc297123550"/>
      <w:bookmarkStart w:id="432" w:name="_Toc296503201"/>
      <w:bookmarkStart w:id="433" w:name="_Toc296346702"/>
      <w:bookmarkStart w:id="434" w:name="_Toc300935000"/>
      <w:bookmarkStart w:id="435" w:name="_Toc303539157"/>
      <w:bookmarkStart w:id="436" w:name="_Toc312678039"/>
      <w:bookmarkStart w:id="437" w:name="_Toc296347200"/>
      <w:bookmarkStart w:id="438" w:name="_Toc297216209"/>
      <w:r>
        <w:rPr>
          <w:rFonts w:hint="eastAsia" w:hAnsi="宋体"/>
          <w:color w:val="auto"/>
          <w:szCs w:val="21"/>
          <w:highlight w:val="none"/>
        </w:rPr>
        <w:t>11.1 市场价格波动引起的调整</w:t>
      </w: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14:paraId="494FA4E9">
      <w:pPr>
        <w:spacing w:line="400" w:lineRule="exact"/>
        <w:ind w:firstLine="420" w:firstLineChars="200"/>
        <w:rPr>
          <w:rFonts w:hAnsi="宋体"/>
          <w:color w:val="auto"/>
          <w:szCs w:val="21"/>
          <w:highlight w:val="none"/>
        </w:rPr>
      </w:pPr>
      <w:r>
        <w:rPr>
          <w:rFonts w:hint="eastAsia" w:hAnsi="宋体"/>
          <w:color w:val="auto"/>
          <w:szCs w:val="21"/>
          <w:highlight w:val="none"/>
        </w:rPr>
        <w:t>市场价格波动是否调整合同价格的约定：</w:t>
      </w:r>
      <w:r>
        <w:rPr>
          <w:rFonts w:hint="eastAsia" w:hAnsi="宋体"/>
          <w:color w:val="auto"/>
          <w:szCs w:val="21"/>
          <w:highlight w:val="none"/>
          <w:u w:val="single"/>
          <w:lang w:val="en-US" w:eastAsia="zh-CN"/>
        </w:rPr>
        <w:t>按招标文件</w:t>
      </w:r>
      <w:r>
        <w:rPr>
          <w:rFonts w:hint="eastAsia" w:hAnsi="宋体"/>
          <w:color w:val="auto"/>
          <w:szCs w:val="21"/>
          <w:highlight w:val="none"/>
          <w:u w:val="single"/>
        </w:rPr>
        <w:t>投标须知前附表</w:t>
      </w:r>
      <w:r>
        <w:rPr>
          <w:rFonts w:hint="eastAsia" w:hAnsi="宋体"/>
          <w:color w:val="auto"/>
          <w:szCs w:val="21"/>
          <w:highlight w:val="none"/>
          <w:u w:val="single"/>
          <w:lang w:val="en-US" w:eastAsia="zh-CN"/>
        </w:rPr>
        <w:t>第37款“工程结算”执行</w:t>
      </w:r>
      <w:r>
        <w:rPr>
          <w:rFonts w:hint="eastAsia" w:hAnsi="宋体"/>
          <w:color w:val="auto"/>
          <w:szCs w:val="21"/>
          <w:highlight w:val="none"/>
          <w:u w:val="single"/>
        </w:rPr>
        <w:t xml:space="preserve"> </w:t>
      </w:r>
      <w:r>
        <w:rPr>
          <w:rFonts w:hint="eastAsia" w:hAnsi="宋体"/>
          <w:color w:val="auto"/>
          <w:szCs w:val="21"/>
          <w:highlight w:val="none"/>
        </w:rPr>
        <w:t>。</w:t>
      </w:r>
    </w:p>
    <w:p w14:paraId="6C587ADC">
      <w:pPr>
        <w:spacing w:line="400" w:lineRule="exact"/>
        <w:ind w:firstLine="420" w:firstLineChars="200"/>
        <w:rPr>
          <w:rFonts w:hAnsi="宋体"/>
          <w:color w:val="auto"/>
          <w:szCs w:val="21"/>
          <w:highlight w:val="none"/>
        </w:rPr>
      </w:pPr>
      <w:r>
        <w:rPr>
          <w:rFonts w:hint="eastAsia" w:hAnsi="宋体"/>
          <w:color w:val="auto"/>
          <w:szCs w:val="21"/>
          <w:highlight w:val="none"/>
        </w:rPr>
        <w:t>因市场价格波动调整合同价格，采用以下第</w:t>
      </w:r>
      <w:r>
        <w:rPr>
          <w:rFonts w:hint="eastAsia" w:hAnsi="宋体"/>
          <w:color w:val="auto"/>
          <w:szCs w:val="21"/>
          <w:highlight w:val="none"/>
          <w:u w:val="single"/>
        </w:rPr>
        <w:t xml:space="preserve">  / </w:t>
      </w:r>
      <w:r>
        <w:rPr>
          <w:rFonts w:hint="eastAsia" w:hAnsi="宋体"/>
          <w:color w:val="auto"/>
          <w:szCs w:val="21"/>
          <w:highlight w:val="none"/>
        </w:rPr>
        <w:t>种方式对合同价格进行调整：</w:t>
      </w:r>
    </w:p>
    <w:p w14:paraId="40261B1B">
      <w:pPr>
        <w:spacing w:line="400" w:lineRule="exact"/>
        <w:ind w:firstLine="420" w:firstLineChars="200"/>
        <w:rPr>
          <w:rFonts w:hAnsi="宋体"/>
          <w:color w:val="auto"/>
          <w:szCs w:val="21"/>
          <w:highlight w:val="none"/>
        </w:rPr>
      </w:pPr>
      <w:r>
        <w:rPr>
          <w:rFonts w:hint="eastAsia" w:hAnsi="宋体"/>
          <w:color w:val="auto"/>
          <w:szCs w:val="21"/>
          <w:highlight w:val="none"/>
        </w:rPr>
        <w:t>第1种方式：采用价格指数进行价格调整。</w:t>
      </w:r>
    </w:p>
    <w:p w14:paraId="4AB0C0F3">
      <w:pPr>
        <w:spacing w:line="400" w:lineRule="exact"/>
        <w:ind w:firstLine="420" w:firstLineChars="200"/>
        <w:rPr>
          <w:rFonts w:hAnsi="宋体"/>
          <w:color w:val="auto"/>
          <w:szCs w:val="21"/>
          <w:highlight w:val="none"/>
          <w:u w:val="single"/>
        </w:rPr>
      </w:pPr>
      <w:r>
        <w:rPr>
          <w:rFonts w:hint="eastAsia" w:hAnsi="宋体"/>
          <w:color w:val="auto"/>
          <w:szCs w:val="21"/>
          <w:highlight w:val="none"/>
        </w:rPr>
        <w:t>关于各可调因子、定值和变值权重，以及基本价格指数及其来源的约定：</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2539CABF">
      <w:pPr>
        <w:spacing w:line="400" w:lineRule="exact"/>
        <w:ind w:firstLine="420" w:firstLineChars="200"/>
        <w:rPr>
          <w:rFonts w:hAnsi="宋体"/>
          <w:color w:val="auto"/>
          <w:szCs w:val="21"/>
          <w:highlight w:val="none"/>
        </w:rPr>
      </w:pPr>
      <w:r>
        <w:rPr>
          <w:rFonts w:hint="eastAsia" w:hAnsi="宋体"/>
          <w:color w:val="auto"/>
          <w:szCs w:val="21"/>
          <w:highlight w:val="none"/>
        </w:rPr>
        <w:t>第2种方式：采用造价信息进行价格调整。</w:t>
      </w:r>
    </w:p>
    <w:p w14:paraId="65418A3F">
      <w:pPr>
        <w:spacing w:line="400" w:lineRule="exact"/>
        <w:ind w:firstLine="420" w:firstLineChars="200"/>
        <w:rPr>
          <w:rFonts w:hAnsi="宋体"/>
          <w:color w:val="auto"/>
          <w:szCs w:val="21"/>
          <w:highlight w:val="none"/>
        </w:rPr>
      </w:pPr>
      <w:r>
        <w:rPr>
          <w:rFonts w:hint="eastAsia" w:hAnsi="宋体"/>
          <w:color w:val="auto"/>
          <w:szCs w:val="21"/>
          <w:highlight w:val="none"/>
        </w:rPr>
        <w:t>（2）关于基准价格的约定：</w:t>
      </w:r>
      <w:r>
        <w:rPr>
          <w:rFonts w:hint="eastAsia" w:hAnsi="宋体"/>
          <w:color w:val="auto"/>
          <w:szCs w:val="21"/>
          <w:highlight w:val="none"/>
          <w:u w:val="single"/>
        </w:rPr>
        <w:t xml:space="preserve">            /             </w:t>
      </w:r>
      <w:r>
        <w:rPr>
          <w:rFonts w:hint="eastAsia" w:hAnsi="宋体"/>
          <w:color w:val="auto"/>
          <w:szCs w:val="21"/>
          <w:highlight w:val="none"/>
        </w:rPr>
        <w:t>。</w:t>
      </w:r>
    </w:p>
    <w:p w14:paraId="7FEAEA5E">
      <w:pPr>
        <w:spacing w:line="400" w:lineRule="exact"/>
        <w:ind w:firstLine="420" w:firstLineChars="200"/>
        <w:rPr>
          <w:rFonts w:hAnsi="宋体"/>
          <w:color w:val="auto"/>
          <w:szCs w:val="21"/>
          <w:highlight w:val="none"/>
        </w:rPr>
      </w:pPr>
      <w:r>
        <w:rPr>
          <w:rFonts w:hint="eastAsia" w:hAnsi="宋体"/>
          <w:color w:val="auto"/>
          <w:szCs w:val="21"/>
          <w:highlight w:val="none"/>
        </w:rPr>
        <w:t>第3种方式：其他价格调整方式：</w:t>
      </w:r>
      <w:r>
        <w:rPr>
          <w:rFonts w:hint="eastAsia" w:hAnsi="宋体"/>
          <w:color w:val="auto"/>
          <w:szCs w:val="21"/>
          <w:highlight w:val="none"/>
          <w:u w:val="single"/>
        </w:rPr>
        <w:t xml:space="preserve">            /                 </w:t>
      </w:r>
    </w:p>
    <w:p w14:paraId="5A70B627">
      <w:pPr>
        <w:pStyle w:val="7"/>
        <w:spacing w:before="0" w:after="0" w:line="360" w:lineRule="auto"/>
        <w:rPr>
          <w:rFonts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1"/>
          <w:szCs w:val="21"/>
          <w:highlight w:val="none"/>
        </w:rPr>
        <w:t xml:space="preserve">2. </w:t>
      </w:r>
      <w:bookmarkEnd w:id="406"/>
      <w:bookmarkEnd w:id="407"/>
      <w:bookmarkEnd w:id="408"/>
      <w:bookmarkEnd w:id="409"/>
      <w:bookmarkEnd w:id="410"/>
      <w:bookmarkEnd w:id="411"/>
      <w:bookmarkEnd w:id="412"/>
      <w:bookmarkEnd w:id="413"/>
      <w:bookmarkEnd w:id="414"/>
      <w:bookmarkEnd w:id="415"/>
      <w:r>
        <w:rPr>
          <w:rFonts w:hint="eastAsia" w:ascii="宋体" w:hAnsi="宋体" w:eastAsia="宋体" w:cs="宋体"/>
          <w:color w:val="auto"/>
          <w:sz w:val="21"/>
          <w:szCs w:val="21"/>
          <w:highlight w:val="none"/>
        </w:rPr>
        <w:t>合同价格、计量与支付</w:t>
      </w:r>
      <w:bookmarkEnd w:id="416"/>
    </w:p>
    <w:p w14:paraId="1E147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合同价格形式：</w:t>
      </w:r>
      <w:r>
        <w:rPr>
          <w:rFonts w:hint="eastAsia" w:ascii="宋体" w:hAnsi="宋体" w:cs="宋体"/>
          <w:b/>
          <w:color w:val="auto"/>
          <w:szCs w:val="21"/>
          <w:highlight w:val="none"/>
          <w:u w:val="single"/>
        </w:rPr>
        <w:t>采用</w:t>
      </w:r>
      <w:r>
        <w:rPr>
          <w:rFonts w:hint="eastAsia" w:ascii="宋体" w:hAnsi="宋体" w:cs="宋体"/>
          <w:b/>
          <w:color w:val="auto"/>
          <w:szCs w:val="21"/>
          <w:highlight w:val="none"/>
          <w:u w:val="single"/>
          <w:lang w:eastAsia="zh-CN"/>
        </w:rPr>
        <w:t>折扣</w:t>
      </w:r>
      <w:r>
        <w:rPr>
          <w:rFonts w:hint="eastAsia" w:ascii="宋体" w:hAnsi="宋体" w:cs="宋体"/>
          <w:b/>
          <w:color w:val="auto"/>
          <w:szCs w:val="21"/>
          <w:highlight w:val="none"/>
          <w:u w:val="single"/>
        </w:rPr>
        <w:t xml:space="preserve">率 </w:t>
      </w:r>
      <w:r>
        <w:rPr>
          <w:rFonts w:hint="eastAsia" w:ascii="宋体" w:hAnsi="宋体" w:cs="宋体"/>
          <w:b/>
          <w:color w:val="auto"/>
          <w:szCs w:val="21"/>
          <w:highlight w:val="none"/>
        </w:rPr>
        <w:t>。</w:t>
      </w:r>
    </w:p>
    <w:bookmarkEnd w:id="417"/>
    <w:bookmarkEnd w:id="418"/>
    <w:bookmarkEnd w:id="419"/>
    <w:bookmarkEnd w:id="420"/>
    <w:bookmarkEnd w:id="421"/>
    <w:bookmarkEnd w:id="422"/>
    <w:p w14:paraId="201A1D2B">
      <w:pPr>
        <w:pStyle w:val="22"/>
        <w:spacing w:line="360" w:lineRule="auto"/>
        <w:ind w:firstLine="400" w:firstLineChars="200"/>
        <w:rPr>
          <w:rFonts w:hint="eastAsia" w:ascii="宋体" w:hAnsi="宋体" w:eastAsia="宋体" w:cs="宋体"/>
          <w:color w:val="auto"/>
          <w:kern w:val="2"/>
          <w:sz w:val="21"/>
          <w:szCs w:val="21"/>
          <w:highlight w:val="none"/>
          <w:lang w:val="en-US" w:eastAsia="zh-CN" w:bidi="ar-SA"/>
        </w:rPr>
      </w:pPr>
      <w:bookmarkStart w:id="439" w:name="_Toc312678042"/>
      <w:bookmarkStart w:id="440" w:name="_Toc303539161"/>
      <w:bookmarkStart w:id="441" w:name="_Toc297123554"/>
      <w:bookmarkStart w:id="442" w:name="_Toc297216213"/>
      <w:bookmarkStart w:id="443" w:name="_Toc300935004"/>
      <w:bookmarkStart w:id="444" w:name="_Toc304295581"/>
      <w:bookmarkStart w:id="445" w:name="_Toc296891035"/>
      <w:bookmarkStart w:id="446" w:name="_Toc296503207"/>
      <w:bookmarkStart w:id="447" w:name="_Toc296346708"/>
      <w:bookmarkStart w:id="448" w:name="_Toc296944546"/>
      <w:bookmarkStart w:id="449" w:name="_Toc296347206"/>
      <w:bookmarkStart w:id="450" w:name="_Toc297120507"/>
      <w:bookmarkStart w:id="451" w:name="_Toc292559412"/>
      <w:bookmarkStart w:id="452" w:name="_Toc296891247"/>
      <w:bookmarkStart w:id="453" w:name="_Toc292559917"/>
      <w:bookmarkStart w:id="454" w:name="_Toc297048393"/>
      <w:r>
        <w:rPr>
          <w:rFonts w:hint="eastAsia" w:ascii="宋体" w:hAnsi="宋体" w:cs="宋体"/>
          <w:color w:val="auto"/>
          <w:szCs w:val="21"/>
          <w:highlight w:val="none"/>
        </w:rPr>
        <w:t>12.1</w:t>
      </w:r>
      <w:r>
        <w:rPr>
          <w:rFonts w:hint="eastAsia" w:hAnsi="宋体" w:cs="宋体"/>
          <w:color w:val="auto"/>
          <w:szCs w:val="21"/>
          <w:highlight w:val="none"/>
          <w:lang w:val="en-US" w:eastAsia="zh-CN"/>
        </w:rPr>
        <w:t>.</w:t>
      </w:r>
      <w:r>
        <w:rPr>
          <w:rFonts w:hint="eastAsia" w:ascii="宋体" w:hAnsi="宋体" w:eastAsia="宋体" w:cs="宋体"/>
          <w:color w:val="auto"/>
          <w:kern w:val="2"/>
          <w:sz w:val="21"/>
          <w:szCs w:val="21"/>
          <w:highlight w:val="none"/>
          <w:lang w:val="en-US" w:eastAsia="zh-CN" w:bidi="ar-SA"/>
        </w:rPr>
        <w:t>1工程造价依据</w:t>
      </w:r>
    </w:p>
    <w:p w14:paraId="445FDF91">
      <w:pPr>
        <w:pStyle w:val="22"/>
        <w:spacing w:line="360" w:lineRule="auto"/>
        <w:ind w:left="420" w:leftChars="20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r>
        <w:rPr>
          <w:rFonts w:hint="eastAsia"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配电改造工作内容执行2018年《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安徽省建设工程计价依据动态调整（第1号）》。人工费执行安徽省建设工程人工费调整规定（按2025年第4季度铜陵市信息价人工费单价）；强电电缆、强电电线、低压成套设备、高压成套设备执行单个零星工程派工单建设单位签署日期的当期月度铜陵市信息价税前价，其他材料价格均执行合同签订当月铜陵市信息价税前价，铜陵信息价没有的依次参考所对应月度的合肥、芜湖、亳州的信息价税前价，仍无信息价的按询价方式确定市场价（询价确认的综合单价或材料价格不再折扣下浮），价格由建设单位、招标代理机构单位共同询价确认。税金费率执行安徽省建设工程造价管理总站造价【2019】7号文《关于调整我省现行建设工程计价依据增值税税率的通知》（税金9%）及现行税务文件，若乙方无法开具9%增值税专用发票，最终工程费=合同工程费/(1+9%）*(1+实际开票税率）。合同履行过程中，若国家增值税税率发生调整，审计结算时，按送审计结算时执行的税率进行结算。</w:t>
      </w:r>
    </w:p>
    <w:p w14:paraId="322B6178">
      <w:pPr>
        <w:pStyle w:val="22"/>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12.1.</w:t>
      </w:r>
      <w:r>
        <w:rPr>
          <w:rFonts w:hint="eastAsia" w:ascii="宋体" w:hAnsi="宋体" w:eastAsia="宋体" w:cs="宋体"/>
          <w:color w:val="auto"/>
          <w:kern w:val="2"/>
          <w:sz w:val="21"/>
          <w:szCs w:val="21"/>
          <w:highlight w:val="none"/>
          <w:lang w:val="en-US" w:eastAsia="zh-CN" w:bidi="ar-SA"/>
        </w:rPr>
        <w:t>2折扣比例</w:t>
      </w:r>
    </w:p>
    <w:p w14:paraId="2AC6EC5F">
      <w:pPr>
        <w:spacing w:line="360" w:lineRule="auto"/>
        <w:ind w:firstLine="840" w:firstLineChars="4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所有工程按上述计价取费标准计价后，按工程总造价*</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%（报价折扣率）作为工程结算价。</w:t>
      </w:r>
    </w:p>
    <w:p w14:paraId="5FB673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预付款</w:t>
      </w:r>
    </w:p>
    <w:bookmarkEnd w:id="439"/>
    <w:bookmarkEnd w:id="440"/>
    <w:bookmarkEnd w:id="441"/>
    <w:bookmarkEnd w:id="442"/>
    <w:bookmarkEnd w:id="443"/>
    <w:bookmarkEnd w:id="444"/>
    <w:p w14:paraId="6B09052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12.2.1 预付款的支付</w:t>
      </w:r>
    </w:p>
    <w:p w14:paraId="55276FC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FC948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预付款支付期限：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17D033C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预付款扣回的方式：</w:t>
      </w:r>
      <w:r>
        <w:rPr>
          <w:rFonts w:ascii="宋体" w:hAnsi="宋体" w:cs="宋体"/>
          <w:color w:val="auto"/>
          <w:szCs w:val="21"/>
          <w:highlight w:val="none"/>
          <w:u w:val="single"/>
        </w:rPr>
        <w:t>/</w:t>
      </w:r>
      <w:r>
        <w:rPr>
          <w:rFonts w:hint="eastAsia" w:ascii="宋体" w:hAnsi="宋体" w:cs="宋体"/>
          <w:color w:val="auto"/>
          <w:szCs w:val="21"/>
          <w:highlight w:val="none"/>
        </w:rPr>
        <w:t>。</w:t>
      </w:r>
    </w:p>
    <w:p w14:paraId="623960E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12.2.2 预付款担保</w:t>
      </w:r>
    </w:p>
    <w:p w14:paraId="22DBAFE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665B555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ascii="宋体" w:hAnsi="宋体" w:cs="宋体"/>
          <w:color w:val="auto"/>
          <w:szCs w:val="21"/>
          <w:highlight w:val="none"/>
          <w:u w:val="single"/>
        </w:rPr>
        <w:t>/</w:t>
      </w:r>
      <w:r>
        <w:rPr>
          <w:rFonts w:hint="eastAsia" w:ascii="宋体" w:hAnsi="宋体" w:cs="宋体"/>
          <w:color w:val="auto"/>
          <w:szCs w:val="21"/>
          <w:highlight w:val="none"/>
        </w:rPr>
        <w:t>。</w:t>
      </w:r>
    </w:p>
    <w:bookmarkEnd w:id="445"/>
    <w:bookmarkEnd w:id="446"/>
    <w:bookmarkEnd w:id="447"/>
    <w:bookmarkEnd w:id="448"/>
    <w:bookmarkEnd w:id="449"/>
    <w:bookmarkEnd w:id="450"/>
    <w:bookmarkEnd w:id="451"/>
    <w:bookmarkEnd w:id="452"/>
    <w:bookmarkEnd w:id="453"/>
    <w:bookmarkEnd w:id="454"/>
    <w:p w14:paraId="5276F15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 计量</w:t>
      </w:r>
    </w:p>
    <w:p w14:paraId="4E61423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12.3.1 计量原则</w:t>
      </w:r>
    </w:p>
    <w:p w14:paraId="615FE1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见发包人要求</w:t>
      </w:r>
    </w:p>
    <w:p w14:paraId="3CF66BF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12.3.2 计量周期</w:t>
      </w:r>
    </w:p>
    <w:p w14:paraId="7B8E205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3C914A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12.3.3 单价合同的计量</w:t>
      </w:r>
    </w:p>
    <w:p w14:paraId="42FFD3E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8A442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12.3.4 总价合同的计量</w:t>
      </w:r>
    </w:p>
    <w:p w14:paraId="53D193F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关于总价合同计量的约定：</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C8484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809E0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12.3.6 其他价格形式合同的计量</w:t>
      </w:r>
    </w:p>
    <w:p w14:paraId="0F173417">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                   。</w:t>
      </w:r>
    </w:p>
    <w:p w14:paraId="5367846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12.4 工程进度款支付</w:t>
      </w:r>
    </w:p>
    <w:p w14:paraId="6EA385EB">
      <w:pPr>
        <w:spacing w:line="400" w:lineRule="exact"/>
        <w:ind w:firstLine="420" w:firstLineChars="200"/>
        <w:rPr>
          <w:rFonts w:ascii="宋体" w:hAnsi="宋体" w:cs="宋体"/>
          <w:color w:val="auto"/>
          <w:szCs w:val="21"/>
          <w:highlight w:val="none"/>
        </w:rPr>
      </w:pPr>
      <w:bookmarkStart w:id="455" w:name="_Toc297216215"/>
      <w:bookmarkStart w:id="456" w:name="_Toc296346712"/>
      <w:bookmarkStart w:id="457" w:name="_Toc300935006"/>
      <w:bookmarkStart w:id="458" w:name="_Toc297123556"/>
      <w:bookmarkStart w:id="459" w:name="_Toc292559416"/>
      <w:bookmarkStart w:id="460" w:name="_Toc303539163"/>
      <w:bookmarkStart w:id="461" w:name="_Toc297120511"/>
      <w:bookmarkStart w:id="462" w:name="_Toc297048397"/>
      <w:bookmarkStart w:id="463" w:name="_Toc296891039"/>
      <w:bookmarkStart w:id="464" w:name="_Toc292559921"/>
      <w:bookmarkStart w:id="465" w:name="_Toc296944550"/>
      <w:bookmarkStart w:id="466" w:name="_Toc296503211"/>
      <w:bookmarkStart w:id="467" w:name="_Toc296891251"/>
      <w:bookmarkStart w:id="468" w:name="_Toc296347210"/>
      <w:r>
        <w:rPr>
          <w:rFonts w:hint="eastAsia" w:ascii="宋体" w:hAnsi="宋体" w:cs="宋体"/>
          <w:color w:val="auto"/>
          <w:szCs w:val="21"/>
          <w:highlight w:val="none"/>
        </w:rPr>
        <w:t>12.4.1 付款周期</w:t>
      </w:r>
    </w:p>
    <w:p w14:paraId="3722AF3B">
      <w:pPr>
        <w:spacing w:line="400" w:lineRule="exact"/>
        <w:ind w:firstLine="480"/>
        <w:rPr>
          <w:rFonts w:ascii="宋体" w:hAnsi="宋体" w:cs="宋体"/>
          <w:b/>
          <w:color w:val="auto"/>
          <w:szCs w:val="21"/>
          <w:highlight w:val="none"/>
        </w:rPr>
      </w:pPr>
      <w:r>
        <w:rPr>
          <w:rFonts w:hint="eastAsia" w:ascii="宋体" w:hAnsi="宋体" w:cs="宋体"/>
          <w:b/>
          <w:color w:val="auto"/>
          <w:szCs w:val="21"/>
          <w:highlight w:val="none"/>
        </w:rPr>
        <w:t>双方约定工程款（进度款）支付的方式和时间：</w:t>
      </w:r>
    </w:p>
    <w:p w14:paraId="3355F72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每月按已完成形象进度的80%支付，</w:t>
      </w:r>
      <w:r>
        <w:rPr>
          <w:rFonts w:hint="eastAsia" w:ascii="宋体" w:hAnsi="宋体" w:cs="宋体"/>
          <w:color w:val="auto"/>
          <w:szCs w:val="21"/>
          <w:highlight w:val="none"/>
        </w:rPr>
        <w:t>工程</w:t>
      </w:r>
      <w:r>
        <w:rPr>
          <w:rFonts w:hint="eastAsia" w:ascii="宋体" w:hAnsi="宋体" w:cs="宋体"/>
          <w:color w:val="auto"/>
          <w:szCs w:val="21"/>
          <w:highlight w:val="none"/>
          <w:lang w:val="zh-CN"/>
        </w:rPr>
        <w:t>竣工验收合格后，竣工资料齐备移交发包人</w:t>
      </w:r>
      <w:r>
        <w:rPr>
          <w:rFonts w:hint="eastAsia" w:ascii="宋体" w:hAnsi="宋体" w:cs="宋体"/>
          <w:color w:val="auto"/>
          <w:szCs w:val="21"/>
          <w:highlight w:val="none"/>
        </w:rPr>
        <w:t>并</w:t>
      </w:r>
      <w:r>
        <w:rPr>
          <w:rFonts w:hint="eastAsia" w:ascii="宋体" w:hAnsi="宋体" w:cs="宋体"/>
          <w:color w:val="auto"/>
          <w:szCs w:val="21"/>
          <w:highlight w:val="none"/>
          <w:lang w:val="zh-CN"/>
        </w:rPr>
        <w:t>提交完整有效的结算资料后付至已完合格工程价款且不超合同价款的85%；结算经审核结束后付至结算价款的100%。（质量保证金比例为工程价款结算总额的3%；质量保证金推行工程担保制度，可通过银行保函、保证保险等方式提供。）</w:t>
      </w:r>
      <w:r>
        <w:rPr>
          <w:rFonts w:hint="eastAsia" w:hAnsi="宋体" w:cs="宋体"/>
          <w:color w:val="auto"/>
          <w:szCs w:val="21"/>
          <w:highlight w:val="none"/>
          <w:lang w:val="zh-CN"/>
        </w:rPr>
        <w:t>付款前需要提供完成项目的竣工图（</w:t>
      </w:r>
      <w:r>
        <w:rPr>
          <w:rFonts w:hint="eastAsia" w:hAnsi="宋体" w:cs="宋体"/>
          <w:color w:val="auto"/>
          <w:szCs w:val="21"/>
          <w:highlight w:val="none"/>
        </w:rPr>
        <w:t>若有</w:t>
      </w:r>
      <w:r>
        <w:rPr>
          <w:rFonts w:hint="eastAsia" w:hAnsi="宋体" w:cs="宋体"/>
          <w:color w:val="auto"/>
          <w:szCs w:val="21"/>
          <w:highlight w:val="none"/>
          <w:lang w:val="zh-CN"/>
        </w:rPr>
        <w:t>）、工程量确认单、</w:t>
      </w:r>
      <w:r>
        <w:rPr>
          <w:rFonts w:hint="eastAsia" w:hAnsi="宋体" w:cs="宋体"/>
          <w:color w:val="auto"/>
          <w:szCs w:val="21"/>
          <w:highlight w:val="none"/>
        </w:rPr>
        <w:t>已完工程预算书</w:t>
      </w:r>
      <w:r>
        <w:rPr>
          <w:rFonts w:hint="eastAsia" w:ascii="宋体" w:hAnsi="宋体" w:cs="宋体"/>
          <w:color w:val="auto"/>
          <w:szCs w:val="21"/>
          <w:highlight w:val="none"/>
        </w:rPr>
        <w:t>。</w:t>
      </w:r>
    </w:p>
    <w:p w14:paraId="41AF09B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3E56D3B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关于进度付款申请单编制的约定：</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25B9F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宋体" w:hAnsi="宋体" w:cs="宋体"/>
          <w:color w:val="auto"/>
          <w:szCs w:val="21"/>
          <w:highlight w:val="none"/>
        </w:rPr>
        <w:t>2.4.3 进度付款申请单的提交</w:t>
      </w:r>
    </w:p>
    <w:p w14:paraId="64BB722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DFA8BD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ascii="宋体" w:hAnsi="宋体" w:cs="宋体"/>
          <w:color w:val="auto"/>
          <w:szCs w:val="21"/>
          <w:highlight w:val="none"/>
          <w:u w:val="single"/>
        </w:rPr>
        <w:t>/</w:t>
      </w:r>
      <w:r>
        <w:rPr>
          <w:rFonts w:hint="eastAsia" w:ascii="宋体" w:hAnsi="宋体" w:cs="宋体"/>
          <w:color w:val="auto"/>
          <w:szCs w:val="21"/>
          <w:highlight w:val="none"/>
        </w:rPr>
        <w:t>。</w:t>
      </w:r>
    </w:p>
    <w:p w14:paraId="4E63BDB6">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C97BD3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4588C8F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0F9AB41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6695831">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（2）发包人支付进度款的期限</w:t>
      </w:r>
      <w:r>
        <w:rPr>
          <w:rFonts w:ascii="宋体" w:hAnsi="宋体" w:cs="宋体"/>
          <w:color w:val="auto"/>
          <w:szCs w:val="21"/>
          <w:highlight w:val="none"/>
          <w:u w:val="single"/>
        </w:rPr>
        <w:t>/</w:t>
      </w:r>
      <w:r>
        <w:rPr>
          <w:rFonts w:hint="eastAsia" w:ascii="宋体" w:hAnsi="宋体" w:cs="宋体"/>
          <w:color w:val="auto"/>
          <w:szCs w:val="21"/>
          <w:highlight w:val="none"/>
        </w:rPr>
        <w:t>。</w:t>
      </w:r>
    </w:p>
    <w:p w14:paraId="5993E0C3">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EE1100C">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12.4.</w:t>
      </w:r>
      <w:r>
        <w:rPr>
          <w:rFonts w:ascii="宋体" w:hAnsi="宋体" w:cs="宋体"/>
          <w:color w:val="auto"/>
          <w:szCs w:val="21"/>
          <w:highlight w:val="none"/>
        </w:rPr>
        <w:t>5</w:t>
      </w:r>
      <w:r>
        <w:rPr>
          <w:rFonts w:hint="eastAsia" w:ascii="宋体" w:hAnsi="宋体" w:cs="宋体"/>
          <w:color w:val="auto"/>
          <w:szCs w:val="21"/>
          <w:highlight w:val="none"/>
        </w:rPr>
        <w:t xml:space="preserve"> 支付分解表的编制</w:t>
      </w:r>
    </w:p>
    <w:p w14:paraId="004DAA9A">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489FF82">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84265E4">
      <w:pPr>
        <w:pStyle w:val="7"/>
        <w:spacing w:before="0" w:after="0" w:line="400" w:lineRule="exact"/>
        <w:rPr>
          <w:rFonts w:ascii="宋体" w:hAnsi="宋体" w:eastAsia="宋体" w:cs="宋体"/>
          <w:color w:val="auto"/>
          <w:sz w:val="21"/>
          <w:szCs w:val="21"/>
          <w:highlight w:val="none"/>
        </w:rPr>
      </w:pPr>
      <w:bookmarkStart w:id="469" w:name="_Toc351203645"/>
      <w:bookmarkStart w:id="470" w:name="_Toc292559424"/>
      <w:bookmarkStart w:id="471" w:name="_Toc304295593"/>
      <w:bookmarkStart w:id="472" w:name="_Toc297048405"/>
      <w:bookmarkStart w:id="473" w:name="_Toc296891259"/>
      <w:bookmarkStart w:id="474" w:name="_Toc296944558"/>
      <w:bookmarkStart w:id="475" w:name="_Toc292559929"/>
      <w:bookmarkStart w:id="476" w:name="_Toc300935015"/>
      <w:bookmarkStart w:id="477" w:name="_Toc296503219"/>
      <w:bookmarkStart w:id="478" w:name="_Toc296347218"/>
      <w:bookmarkStart w:id="479" w:name="_Toc296891047"/>
      <w:bookmarkStart w:id="480" w:name="_Toc303539172"/>
      <w:bookmarkStart w:id="481" w:name="_Toc297123564"/>
      <w:bookmarkStart w:id="482" w:name="_Toc297216223"/>
      <w:bookmarkStart w:id="483" w:name="_Toc297120519"/>
      <w:bookmarkStart w:id="484" w:name="_Toc296346720"/>
      <w:bookmarkStart w:id="485" w:name="_Toc312678053"/>
      <w:r>
        <w:rPr>
          <w:rFonts w:hint="eastAsia" w:ascii="宋体" w:hAnsi="宋体" w:eastAsia="宋体" w:cs="宋体"/>
          <w:color w:val="auto"/>
          <w:sz w:val="21"/>
          <w:szCs w:val="21"/>
          <w:highlight w:val="none"/>
        </w:rPr>
        <w:t>13. 验收和工程试车</w:t>
      </w:r>
      <w:bookmarkEnd w:id="469"/>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14:paraId="6EEC9F5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 分部分项工程验收</w:t>
      </w:r>
    </w:p>
    <w:p w14:paraId="5B1C8AC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3825A126">
      <w:pPr>
        <w:spacing w:line="4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307431A1">
      <w:pPr>
        <w:spacing w:line="400" w:lineRule="exact"/>
        <w:ind w:firstLine="420" w:firstLineChars="200"/>
        <w:rPr>
          <w:rFonts w:ascii="宋体" w:hAnsi="宋体" w:cs="宋体"/>
          <w:color w:val="auto"/>
          <w:szCs w:val="21"/>
          <w:highlight w:val="none"/>
        </w:rPr>
      </w:pPr>
      <w:bookmarkStart w:id="486" w:name="_Toc296347222"/>
      <w:bookmarkStart w:id="487" w:name="_Toc297216224"/>
      <w:bookmarkStart w:id="488" w:name="_Toc297123565"/>
      <w:bookmarkStart w:id="489" w:name="_Toc296346724"/>
      <w:bookmarkStart w:id="490" w:name="_Toc292559933"/>
      <w:bookmarkStart w:id="491" w:name="_Toc296944562"/>
      <w:bookmarkStart w:id="492" w:name="_Toc300935016"/>
      <w:bookmarkStart w:id="493" w:name="_Toc297120523"/>
      <w:bookmarkStart w:id="494" w:name="_Toc296503223"/>
      <w:bookmarkStart w:id="495" w:name="_Toc296891051"/>
      <w:bookmarkStart w:id="496" w:name="_Toc296891263"/>
      <w:bookmarkStart w:id="497" w:name="_Toc292559428"/>
      <w:bookmarkStart w:id="498" w:name="_Toc304295596"/>
      <w:bookmarkStart w:id="499" w:name="_Toc297048409"/>
      <w:bookmarkStart w:id="500" w:name="_Toc303539173"/>
      <w:bookmarkStart w:id="501" w:name="_Toc312678056"/>
      <w:bookmarkStart w:id="502" w:name="_Toc267251471"/>
      <w:bookmarkStart w:id="503" w:name="_Toc267251470"/>
      <w:bookmarkStart w:id="504" w:name="_Toc267251472"/>
      <w:bookmarkStart w:id="505" w:name="_Toc267251473"/>
      <w:bookmarkStart w:id="506" w:name="_Toc267251475"/>
      <w:bookmarkStart w:id="507" w:name="_Toc267251474"/>
      <w:bookmarkStart w:id="508" w:name="_Toc267251476"/>
      <w:r>
        <w:rPr>
          <w:rFonts w:hint="eastAsia" w:ascii="宋体" w:hAnsi="宋体" w:cs="宋体"/>
          <w:color w:val="auto"/>
          <w:szCs w:val="21"/>
          <w:highlight w:val="none"/>
        </w:rPr>
        <w:t>13.2 竣工验收</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17F08A17">
      <w:pPr>
        <w:spacing w:line="400" w:lineRule="exact"/>
        <w:ind w:firstLine="420" w:firstLineChars="200"/>
        <w:rPr>
          <w:rFonts w:ascii="宋体" w:hAnsi="宋体" w:cs="宋体"/>
          <w:color w:val="auto"/>
          <w:szCs w:val="21"/>
          <w:highlight w:val="none"/>
        </w:rPr>
      </w:pPr>
      <w:bookmarkStart w:id="509" w:name="_Toc280868704"/>
      <w:bookmarkStart w:id="510" w:name="_Toc280868705"/>
      <w:bookmarkStart w:id="511" w:name="_Toc280868706"/>
      <w:bookmarkStart w:id="512" w:name="_Toc280868707"/>
      <w:bookmarkStart w:id="513" w:name="_Toc280868708"/>
      <w:bookmarkStart w:id="514" w:name="_Toc280868709"/>
      <w:r>
        <w:rPr>
          <w:rFonts w:hint="eastAsia" w:ascii="宋体" w:hAnsi="宋体" w:cs="宋体"/>
          <w:color w:val="auto"/>
          <w:szCs w:val="21"/>
          <w:highlight w:val="none"/>
        </w:rPr>
        <w:t>13.2.2竣工验收程序</w:t>
      </w:r>
    </w:p>
    <w:bookmarkEnd w:id="509"/>
    <w:p w14:paraId="16E9BD96">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szCs w:val="21"/>
          <w:highlight w:val="none"/>
          <w:u w:val="single"/>
        </w:rPr>
        <w:t xml:space="preserve">执行通用合同条款              </w:t>
      </w:r>
      <w:r>
        <w:rPr>
          <w:rFonts w:hint="eastAsia" w:ascii="宋体" w:hAnsi="宋体" w:cs="宋体"/>
          <w:color w:val="auto"/>
          <w:szCs w:val="21"/>
          <w:highlight w:val="none"/>
        </w:rPr>
        <w:t>。</w:t>
      </w:r>
    </w:p>
    <w:p w14:paraId="02A0C4B4">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510"/>
    <w:p w14:paraId="2F90CA4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w:t>
      </w:r>
      <w:r>
        <w:rPr>
          <w:rFonts w:ascii="宋体" w:hAnsi="宋体" w:cs="宋体"/>
          <w:color w:val="auto"/>
          <w:szCs w:val="21"/>
          <w:highlight w:val="none"/>
        </w:rPr>
        <w:t>3</w:t>
      </w:r>
      <w:r>
        <w:rPr>
          <w:rFonts w:hint="eastAsia" w:ascii="宋体" w:hAnsi="宋体" w:cs="宋体"/>
          <w:color w:val="auto"/>
          <w:szCs w:val="21"/>
          <w:highlight w:val="none"/>
        </w:rPr>
        <w:t>移交、接收全部与部分工程</w:t>
      </w:r>
    </w:p>
    <w:bookmarkEnd w:id="511"/>
    <w:p w14:paraId="6DC635AF">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在颁发工程接受证书后7天内  </w:t>
      </w:r>
      <w:r>
        <w:rPr>
          <w:rFonts w:hint="eastAsia" w:ascii="宋体" w:hAnsi="宋体" w:cs="宋体"/>
          <w:color w:val="auto"/>
          <w:szCs w:val="21"/>
          <w:highlight w:val="none"/>
        </w:rPr>
        <w:t>。</w:t>
      </w:r>
    </w:p>
    <w:p w14:paraId="1740BA9D">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512"/>
    <w:p w14:paraId="25824D0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执行通用合同条款 </w:t>
      </w:r>
      <w:r>
        <w:rPr>
          <w:rFonts w:hint="eastAsia" w:ascii="宋体" w:hAnsi="宋体" w:cs="宋体"/>
          <w:color w:val="auto"/>
          <w:szCs w:val="21"/>
          <w:highlight w:val="none"/>
        </w:rPr>
        <w:t>。</w:t>
      </w:r>
    </w:p>
    <w:p w14:paraId="434301E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工程试车</w:t>
      </w:r>
    </w:p>
    <w:bookmarkEnd w:id="513"/>
    <w:p w14:paraId="5993FDAB">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2D7AB7DB">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合同工程内容            </w:t>
      </w:r>
      <w:r>
        <w:rPr>
          <w:rFonts w:hint="eastAsia" w:ascii="宋体" w:hAnsi="宋体" w:cs="宋体"/>
          <w:color w:val="auto"/>
          <w:szCs w:val="21"/>
          <w:highlight w:val="none"/>
        </w:rPr>
        <w:t>。</w:t>
      </w:r>
    </w:p>
    <w:p w14:paraId="7304D85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182B34B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0202150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13.3.</w:t>
      </w:r>
      <w:r>
        <w:rPr>
          <w:rFonts w:ascii="宋体" w:hAnsi="宋体" w:cs="宋体"/>
          <w:color w:val="auto"/>
          <w:kern w:val="0"/>
          <w:szCs w:val="21"/>
          <w:highlight w:val="none"/>
        </w:rPr>
        <w:t>2</w:t>
      </w:r>
      <w:r>
        <w:rPr>
          <w:rFonts w:hint="eastAsia" w:ascii="宋体" w:hAnsi="宋体" w:cs="宋体"/>
          <w:color w:val="auto"/>
          <w:kern w:val="0"/>
          <w:szCs w:val="21"/>
          <w:highlight w:val="none"/>
        </w:rPr>
        <w:t>投料试车</w:t>
      </w:r>
    </w:p>
    <w:p w14:paraId="0A3B1A44">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74AC37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ascii="宋体" w:hAnsi="宋体" w:cs="宋体"/>
          <w:color w:val="auto"/>
          <w:szCs w:val="21"/>
          <w:highlight w:val="none"/>
        </w:rPr>
        <w:t>4</w:t>
      </w:r>
      <w:r>
        <w:rPr>
          <w:rFonts w:hint="eastAsia" w:ascii="宋体" w:hAnsi="宋体" w:cs="宋体"/>
          <w:color w:val="auto"/>
          <w:szCs w:val="21"/>
          <w:highlight w:val="none"/>
        </w:rPr>
        <w:t xml:space="preserve"> 竣工退场</w:t>
      </w:r>
    </w:p>
    <w:p w14:paraId="45A2F618">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13.</w:t>
      </w:r>
      <w:r>
        <w:rPr>
          <w:rFonts w:ascii="宋体" w:hAnsi="宋体" w:cs="宋体"/>
          <w:color w:val="auto"/>
          <w:kern w:val="0"/>
          <w:szCs w:val="21"/>
          <w:highlight w:val="none"/>
        </w:rPr>
        <w:t>4</w:t>
      </w:r>
      <w:r>
        <w:rPr>
          <w:rFonts w:hint="eastAsia" w:ascii="宋体" w:hAnsi="宋体" w:cs="宋体"/>
          <w:color w:val="auto"/>
          <w:kern w:val="0"/>
          <w:szCs w:val="21"/>
          <w:highlight w:val="none"/>
        </w:rPr>
        <w:t>.1 竣工退场</w:t>
      </w:r>
    </w:p>
    <w:p w14:paraId="5B345DE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执行通用合同条款        </w:t>
      </w:r>
      <w:r>
        <w:rPr>
          <w:rFonts w:hint="eastAsia" w:ascii="宋体" w:hAnsi="宋体" w:cs="宋体"/>
          <w:color w:val="auto"/>
          <w:kern w:val="0"/>
          <w:szCs w:val="21"/>
          <w:highlight w:val="none"/>
        </w:rPr>
        <w:t>。</w:t>
      </w:r>
    </w:p>
    <w:p w14:paraId="5DCE63EC">
      <w:pPr>
        <w:pStyle w:val="7"/>
        <w:spacing w:before="0" w:after="0" w:line="400" w:lineRule="exact"/>
        <w:rPr>
          <w:rFonts w:ascii="宋体" w:hAnsi="宋体" w:eastAsia="宋体" w:cs="宋体"/>
          <w:color w:val="auto"/>
          <w:sz w:val="21"/>
          <w:szCs w:val="21"/>
          <w:highlight w:val="none"/>
        </w:rPr>
      </w:pPr>
      <w:bookmarkStart w:id="515" w:name="_Toc351203646"/>
      <w:r>
        <w:rPr>
          <w:rFonts w:hint="eastAsia" w:ascii="宋体" w:hAnsi="宋体" w:eastAsia="宋体" w:cs="宋体"/>
          <w:color w:val="auto"/>
          <w:sz w:val="21"/>
          <w:szCs w:val="21"/>
          <w:highlight w:val="none"/>
        </w:rPr>
        <w:t>14. 竣工结算</w:t>
      </w:r>
      <w:bookmarkEnd w:id="515"/>
    </w:p>
    <w:p w14:paraId="33F88D1B">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14.1 竣工付款申请</w:t>
      </w:r>
    </w:p>
    <w:p w14:paraId="31B56270">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承包人提交竣工付款申请单的期限：</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43055FCE">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竣工付款申请单应包括的内容：</w:t>
      </w:r>
      <w:r>
        <w:rPr>
          <w:rFonts w:hint="eastAsia" w:hAnsi="宋体" w:cs="宋体"/>
          <w:color w:val="auto"/>
          <w:sz w:val="21"/>
          <w:szCs w:val="21"/>
          <w:highlight w:val="none"/>
          <w:u w:val="single"/>
        </w:rPr>
        <w:t xml:space="preserve">执行通用合同条款   </w:t>
      </w:r>
      <w:r>
        <w:rPr>
          <w:rFonts w:hint="eastAsia" w:hAnsi="宋体" w:cs="宋体"/>
          <w:color w:val="auto"/>
          <w:sz w:val="21"/>
          <w:szCs w:val="21"/>
          <w:highlight w:val="none"/>
        </w:rPr>
        <w:t xml:space="preserve"> 。</w:t>
      </w:r>
    </w:p>
    <w:p w14:paraId="3E29410E">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 xml:space="preserve">14.2 </w:t>
      </w:r>
      <w:bookmarkStart w:id="516" w:name="OLE_LINK9"/>
      <w:r>
        <w:rPr>
          <w:rFonts w:hint="eastAsia" w:hAnsi="宋体" w:cs="宋体"/>
          <w:color w:val="auto"/>
          <w:sz w:val="21"/>
          <w:szCs w:val="21"/>
          <w:highlight w:val="none"/>
        </w:rPr>
        <w:t>竣工结算</w:t>
      </w:r>
      <w:bookmarkEnd w:id="516"/>
      <w:r>
        <w:rPr>
          <w:rFonts w:hint="eastAsia" w:hAnsi="宋体" w:cs="宋体"/>
          <w:color w:val="auto"/>
          <w:sz w:val="21"/>
          <w:szCs w:val="21"/>
          <w:highlight w:val="none"/>
        </w:rPr>
        <w:t>审核</w:t>
      </w:r>
    </w:p>
    <w:p w14:paraId="0735F80D">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 xml:space="preserve">发包人审批竣工付款申请单的期限：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9141EF8">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发包人完成竣工付款的期限：</w:t>
      </w:r>
      <w:r>
        <w:rPr>
          <w:rFonts w:hint="eastAsia" w:hAnsi="宋体" w:cs="宋体"/>
          <w:color w:val="auto"/>
          <w:sz w:val="21"/>
          <w:szCs w:val="21"/>
          <w:highlight w:val="none"/>
          <w:u w:val="single"/>
        </w:rPr>
        <w:t xml:space="preserve"> 按发包人规定的时间  </w:t>
      </w:r>
      <w:r>
        <w:rPr>
          <w:rFonts w:hint="eastAsia" w:hAnsi="宋体" w:cs="宋体"/>
          <w:color w:val="auto"/>
          <w:sz w:val="21"/>
          <w:szCs w:val="21"/>
          <w:highlight w:val="none"/>
        </w:rPr>
        <w:t xml:space="preserve"> 。</w:t>
      </w:r>
    </w:p>
    <w:p w14:paraId="438896F1">
      <w:pPr>
        <w:pStyle w:val="22"/>
        <w:spacing w:line="360" w:lineRule="auto"/>
        <w:ind w:firstLine="420" w:firstLineChars="200"/>
        <w:rPr>
          <w:rFonts w:hAnsi="宋体" w:cs="宋体"/>
          <w:color w:val="auto"/>
          <w:highlight w:val="none"/>
        </w:rPr>
      </w:pPr>
      <w:r>
        <w:rPr>
          <w:rFonts w:hint="eastAsia" w:hAnsi="宋体" w:cs="宋体"/>
          <w:color w:val="auto"/>
          <w:sz w:val="21"/>
          <w:szCs w:val="21"/>
          <w:highlight w:val="none"/>
        </w:rPr>
        <w:t>关于竣工付款证书异议部分复核的方式和程序：</w:t>
      </w:r>
      <w:r>
        <w:rPr>
          <w:rFonts w:hint="eastAsia" w:hAnsi="宋体" w:cs="宋体"/>
          <w:color w:val="auto"/>
          <w:sz w:val="21"/>
          <w:szCs w:val="21"/>
          <w:highlight w:val="none"/>
          <w:u w:val="single"/>
        </w:rPr>
        <w:t xml:space="preserve">执行通用合同条款 </w:t>
      </w:r>
      <w:r>
        <w:rPr>
          <w:rFonts w:hint="eastAsia" w:hAnsi="宋体" w:cs="宋体"/>
          <w:color w:val="auto"/>
          <w:sz w:val="21"/>
          <w:szCs w:val="21"/>
          <w:highlight w:val="none"/>
        </w:rPr>
        <w:t>。</w:t>
      </w:r>
    </w:p>
    <w:p w14:paraId="5B5E3E6A">
      <w:pPr>
        <w:pStyle w:val="22"/>
        <w:spacing w:line="360" w:lineRule="auto"/>
        <w:ind w:firstLine="420" w:firstLineChars="200"/>
        <w:rPr>
          <w:rFonts w:hAnsi="宋体" w:cs="宋体"/>
          <w:color w:val="auto"/>
          <w:highlight w:val="none"/>
          <w:u w:val="single"/>
        </w:rPr>
      </w:pPr>
      <w:r>
        <w:rPr>
          <w:rFonts w:hint="eastAsia" w:hAnsi="宋体" w:cs="宋体"/>
          <w:color w:val="auto"/>
          <w:sz w:val="21"/>
          <w:szCs w:val="21"/>
          <w:highlight w:val="none"/>
        </w:rPr>
        <w:t>竣工结算补充：</w:t>
      </w:r>
      <w:r>
        <w:rPr>
          <w:rFonts w:hint="eastAsia" w:hAnsi="宋体" w:cs="宋体"/>
          <w:color w:val="auto"/>
          <w:sz w:val="21"/>
          <w:szCs w:val="21"/>
          <w:highlight w:val="none"/>
          <w:u w:val="single"/>
        </w:rPr>
        <w:t>工程价款的结算依据《安徽省建设工程价款结算暂行办法》等有关规定执行。</w:t>
      </w:r>
    </w:p>
    <w:p w14:paraId="2892140C">
      <w:pPr>
        <w:pStyle w:val="22"/>
        <w:spacing w:line="360" w:lineRule="auto"/>
        <w:ind w:firstLine="420" w:firstLineChars="200"/>
        <w:rPr>
          <w:rFonts w:hAnsi="宋体" w:cs="宋体"/>
          <w:color w:val="auto"/>
          <w:highlight w:val="none"/>
          <w:u w:val="single"/>
        </w:rPr>
      </w:pPr>
      <w:r>
        <w:rPr>
          <w:rFonts w:hint="eastAsia" w:hAnsi="宋体" w:cs="宋体"/>
          <w:color w:val="auto"/>
          <w:sz w:val="21"/>
          <w:szCs w:val="21"/>
          <w:highlight w:val="none"/>
          <w:u w:val="single"/>
        </w:rPr>
        <w:t xml:space="preserve">竣工结算审核承包人违约责任：承包人应在工程竣工验收合格后及时内上报工程结算，并对上报的结算金额负责。竣工结算过程中，承包人对上报的结算金额负责。竣工结算过程中，施工单位必须认真编制工程结算，如竣工结算经建设单位内审机构审计核减额超过（含）施工单位报审额5%的，承包方承担全额审计费用。若审计核减额未超过5%，审计费用由建设单位承担。 </w:t>
      </w:r>
    </w:p>
    <w:p w14:paraId="530BC9DD">
      <w:pPr>
        <w:spacing w:line="360" w:lineRule="auto"/>
        <w:ind w:firstLine="420" w:firstLineChars="200"/>
        <w:rPr>
          <w:rFonts w:hAnsi="宋体"/>
          <w:color w:val="auto"/>
          <w:szCs w:val="21"/>
          <w:highlight w:val="none"/>
          <w:u w:val="single"/>
        </w:rPr>
      </w:pPr>
      <w:r>
        <w:rPr>
          <w:rFonts w:hint="eastAsia" w:hAnsi="宋体"/>
          <w:color w:val="auto"/>
          <w:szCs w:val="21"/>
          <w:highlight w:val="none"/>
          <w:u w:val="single"/>
        </w:rPr>
        <w:t>发包人内审机构审计均采用“审减不审增”的原则，如承包人提交的竣工结算报告和竣工结算资料有漏算、少算以及由于清单计算错误、定额套用错误等引起价款减少的，发包人均不予调整增加，该部分价款视为承包人自愿放弃，其损失由承包人自行承担。</w:t>
      </w:r>
    </w:p>
    <w:p w14:paraId="6DC7AD2A">
      <w:pPr>
        <w:pStyle w:val="22"/>
        <w:spacing w:line="400" w:lineRule="exact"/>
        <w:ind w:firstLine="420" w:firstLineChars="200"/>
        <w:rPr>
          <w:color w:val="auto"/>
          <w:highlight w:val="none"/>
        </w:rPr>
      </w:pPr>
      <w:r>
        <w:rPr>
          <w:rFonts w:hAnsi="宋体" w:cs="宋体"/>
          <w:color w:val="auto"/>
          <w:kern w:val="2"/>
          <w:sz w:val="21"/>
          <w:szCs w:val="21"/>
          <w:highlight w:val="none"/>
        </w:rPr>
        <w:t>14.3</w:t>
      </w:r>
      <w:r>
        <w:rPr>
          <w:rFonts w:hint="eastAsia" w:hAnsi="宋体" w:cs="宋体"/>
          <w:color w:val="auto"/>
          <w:sz w:val="21"/>
          <w:szCs w:val="21"/>
          <w:highlight w:val="none"/>
        </w:rPr>
        <w:t>竣工结算依据：</w:t>
      </w:r>
      <w:r>
        <w:rPr>
          <w:rFonts w:hint="eastAsia" w:hAnsi="宋体" w:cs="宋体"/>
          <w:color w:val="auto"/>
          <w:sz w:val="21"/>
          <w:szCs w:val="21"/>
          <w:highlight w:val="none"/>
          <w:u w:val="single"/>
        </w:rPr>
        <w:t>见发包人要求</w:t>
      </w:r>
      <w:r>
        <w:rPr>
          <w:rFonts w:hint="eastAsia" w:hAnsi="宋体" w:cs="宋体"/>
          <w:color w:val="auto"/>
          <w:sz w:val="21"/>
          <w:szCs w:val="21"/>
          <w:highlight w:val="none"/>
        </w:rPr>
        <w:t>。</w:t>
      </w:r>
    </w:p>
    <w:p w14:paraId="74932AD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14.4 最终结清</w:t>
      </w:r>
    </w:p>
    <w:p w14:paraId="191E5A5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33DDD0D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按相关规定执行     </w:t>
      </w:r>
      <w:r>
        <w:rPr>
          <w:rFonts w:hint="eastAsia" w:ascii="宋体" w:hAnsi="宋体" w:cs="宋体"/>
          <w:color w:val="auto"/>
          <w:szCs w:val="21"/>
          <w:highlight w:val="none"/>
        </w:rPr>
        <w:t>。</w:t>
      </w:r>
    </w:p>
    <w:p w14:paraId="4F1D6944">
      <w:pPr>
        <w:spacing w:line="40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在缺陷责任期终止证书颁发后七天内   </w:t>
      </w:r>
      <w:r>
        <w:rPr>
          <w:rFonts w:hint="eastAsia" w:ascii="宋体" w:hAnsi="宋体" w:cs="宋体"/>
          <w:color w:val="auto"/>
          <w:szCs w:val="21"/>
          <w:highlight w:val="none"/>
        </w:rPr>
        <w:t xml:space="preserve">。 </w:t>
      </w:r>
    </w:p>
    <w:p w14:paraId="61396B3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14.4.2 最终结清证书和支付</w:t>
      </w:r>
    </w:p>
    <w:p w14:paraId="00D657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35F444F">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502"/>
    <w:bookmarkEnd w:id="503"/>
    <w:bookmarkEnd w:id="504"/>
    <w:bookmarkEnd w:id="505"/>
    <w:bookmarkEnd w:id="506"/>
    <w:bookmarkEnd w:id="507"/>
    <w:bookmarkEnd w:id="508"/>
    <w:bookmarkEnd w:id="514"/>
    <w:p w14:paraId="492496D4">
      <w:pPr>
        <w:pStyle w:val="7"/>
        <w:spacing w:before="0" w:after="0" w:line="400" w:lineRule="exact"/>
        <w:rPr>
          <w:rFonts w:ascii="宋体" w:hAnsi="宋体" w:eastAsia="宋体" w:cs="宋体"/>
          <w:color w:val="auto"/>
          <w:sz w:val="21"/>
          <w:szCs w:val="21"/>
          <w:highlight w:val="none"/>
        </w:rPr>
      </w:pPr>
      <w:bookmarkStart w:id="517" w:name="_Toc351203647"/>
      <w:bookmarkStart w:id="518" w:name="_Toc267251483"/>
      <w:bookmarkStart w:id="519" w:name="_Toc267251484"/>
      <w:bookmarkStart w:id="520" w:name="_Toc267251482"/>
      <w:bookmarkStart w:id="521" w:name="_Toc267251485"/>
      <w:bookmarkStart w:id="522" w:name="_Toc267251488"/>
      <w:bookmarkStart w:id="523" w:name="_Toc267251486"/>
      <w:bookmarkStart w:id="524" w:name="_Toc267251490"/>
      <w:bookmarkStart w:id="525" w:name="_Toc267251489"/>
      <w:bookmarkStart w:id="526" w:name="_Toc267251499"/>
      <w:bookmarkStart w:id="527" w:name="_Toc267251501"/>
      <w:bookmarkStart w:id="528" w:name="_Toc267251502"/>
      <w:bookmarkStart w:id="529" w:name="_Toc267251497"/>
      <w:bookmarkStart w:id="530" w:name="_Toc267251491"/>
      <w:bookmarkStart w:id="531" w:name="_Toc267251503"/>
      <w:bookmarkStart w:id="532" w:name="_Toc267251498"/>
      <w:bookmarkStart w:id="533" w:name="_Toc267251496"/>
      <w:bookmarkStart w:id="534" w:name="_Toc267251492"/>
      <w:bookmarkStart w:id="535" w:name="_Toc267251494"/>
      <w:bookmarkStart w:id="536" w:name="_Toc267251493"/>
      <w:bookmarkStart w:id="537" w:name="_Toc267251495"/>
      <w:bookmarkStart w:id="538" w:name="_Toc267251504"/>
      <w:bookmarkStart w:id="539" w:name="_Toc267251506"/>
      <w:bookmarkStart w:id="540" w:name="_Toc267251507"/>
      <w:bookmarkStart w:id="541" w:name="_Toc267251508"/>
      <w:bookmarkStart w:id="542" w:name="_Toc267251515"/>
      <w:bookmarkStart w:id="543" w:name="_Toc267251511"/>
      <w:bookmarkStart w:id="544" w:name="_Toc267251513"/>
      <w:bookmarkStart w:id="545" w:name="_Toc267251514"/>
      <w:bookmarkStart w:id="546" w:name="_Toc267251509"/>
      <w:bookmarkStart w:id="547" w:name="_Toc267251510"/>
      <w:r>
        <w:rPr>
          <w:rFonts w:hint="eastAsia" w:ascii="宋体" w:hAnsi="宋体" w:eastAsia="宋体" w:cs="宋体"/>
          <w:color w:val="auto"/>
          <w:sz w:val="21"/>
          <w:szCs w:val="21"/>
          <w:highlight w:val="none"/>
        </w:rPr>
        <w:t>15. 缺陷责任期与保修</w:t>
      </w:r>
      <w:bookmarkEnd w:id="517"/>
    </w:p>
    <w:p w14:paraId="4FEF5B9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1</w:t>
      </w:r>
      <w:r>
        <w:rPr>
          <w:rFonts w:hint="eastAsia" w:ascii="宋体" w:hAnsi="宋体" w:cs="宋体"/>
          <w:color w:val="auto"/>
          <w:szCs w:val="21"/>
          <w:highlight w:val="none"/>
        </w:rPr>
        <w:t>缺陷责任期</w:t>
      </w:r>
      <w:bookmarkEnd w:id="518"/>
    </w:p>
    <w:p w14:paraId="5376E68F">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 xml:space="preserve"> 竣工验收合格后两年    </w:t>
      </w:r>
      <w:r>
        <w:rPr>
          <w:rFonts w:hint="eastAsia" w:ascii="宋体" w:hAnsi="宋体" w:cs="宋体"/>
          <w:color w:val="auto"/>
          <w:szCs w:val="21"/>
          <w:highlight w:val="none"/>
        </w:rPr>
        <w:t>。</w:t>
      </w:r>
    </w:p>
    <w:p w14:paraId="480BCE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2</w:t>
      </w:r>
      <w:r>
        <w:rPr>
          <w:rFonts w:hint="eastAsia" w:ascii="宋体" w:hAnsi="宋体" w:cs="宋体"/>
          <w:color w:val="auto"/>
          <w:szCs w:val="21"/>
          <w:highlight w:val="none"/>
        </w:rPr>
        <w:t xml:space="preserve"> 质量保证金</w:t>
      </w:r>
    </w:p>
    <w:p w14:paraId="095B3FF6">
      <w:pPr>
        <w:spacing w:line="40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40577C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2</w:t>
      </w:r>
      <w:r>
        <w:rPr>
          <w:rFonts w:hint="eastAsia" w:ascii="宋体" w:hAnsi="宋体" w:cs="宋体"/>
          <w:color w:val="auto"/>
          <w:szCs w:val="21"/>
          <w:highlight w:val="none"/>
        </w:rPr>
        <w:t xml:space="preserve">.1 </w:t>
      </w:r>
    </w:p>
    <w:p w14:paraId="069F1882">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质量保证金采用以下</w:t>
      </w:r>
      <w:r>
        <w:rPr>
          <w:rFonts w:hint="eastAsia" w:ascii="宋体" w:hAnsi="宋体" w:cs="宋体"/>
          <w:color w:val="auto"/>
          <w:szCs w:val="21"/>
          <w:highlight w:val="none"/>
          <w:u w:val="single"/>
        </w:rPr>
        <w:t xml:space="preserve"> （1）或（3） </w:t>
      </w:r>
      <w:r>
        <w:rPr>
          <w:rFonts w:hint="eastAsia" w:ascii="宋体" w:hAnsi="宋体" w:cs="宋体"/>
          <w:color w:val="auto"/>
          <w:szCs w:val="21"/>
          <w:highlight w:val="none"/>
        </w:rPr>
        <w:t>种方式（由承包人自行选择）：</w:t>
      </w:r>
    </w:p>
    <w:p w14:paraId="5A7725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（1）质量保证金，保证金额为：</w:t>
      </w:r>
      <w:r>
        <w:rPr>
          <w:rFonts w:hint="eastAsia" w:ascii="宋体" w:hAnsi="宋体" w:cs="宋体"/>
          <w:color w:val="auto"/>
          <w:szCs w:val="21"/>
          <w:highlight w:val="none"/>
          <w:u w:val="single"/>
        </w:rPr>
        <w:t xml:space="preserve">  审定价款3% </w:t>
      </w:r>
      <w:r>
        <w:rPr>
          <w:rFonts w:hint="eastAsia" w:ascii="宋体" w:hAnsi="宋体" w:cs="宋体"/>
          <w:color w:val="auto"/>
          <w:szCs w:val="21"/>
          <w:highlight w:val="none"/>
        </w:rPr>
        <w:t xml:space="preserve">； </w:t>
      </w:r>
    </w:p>
    <w:p w14:paraId="6AA9E5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的工程款；</w:t>
      </w:r>
    </w:p>
    <w:p w14:paraId="328587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（3）其他方式:</w:t>
      </w:r>
      <w:r>
        <w:rPr>
          <w:rFonts w:hint="eastAsia" w:ascii="宋体" w:hAnsi="宋体" w:cs="宋体"/>
          <w:color w:val="auto"/>
          <w:szCs w:val="21"/>
          <w:highlight w:val="none"/>
          <w:u w:val="single"/>
        </w:rPr>
        <w:t>承包人须提供与审定价款3%等额的银行保函、保证保险等方式。</w:t>
      </w:r>
    </w:p>
    <w:p w14:paraId="1219E2D0">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如提供银行保函、保证保险则银行保函、保证保险期限不早于工程缺陷责任期满</w:t>
      </w:r>
      <w:r>
        <w:rPr>
          <w:rFonts w:hint="eastAsia" w:ascii="宋体" w:hAnsi="宋体" w:cs="宋体"/>
          <w:color w:val="auto"/>
          <w:kern w:val="0"/>
          <w:szCs w:val="21"/>
          <w:highlight w:val="none"/>
        </w:rPr>
        <w:t>。</w:t>
      </w:r>
    </w:p>
    <w:bookmarkEnd w:id="519"/>
    <w:bookmarkEnd w:id="520"/>
    <w:p w14:paraId="5F6ADE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3</w:t>
      </w:r>
      <w:r>
        <w:rPr>
          <w:rFonts w:hint="eastAsia" w:ascii="宋体" w:hAnsi="宋体" w:cs="宋体"/>
          <w:color w:val="auto"/>
          <w:szCs w:val="21"/>
          <w:highlight w:val="none"/>
        </w:rPr>
        <w:t>保修</w:t>
      </w:r>
    </w:p>
    <w:bookmarkEnd w:id="521"/>
    <w:p w14:paraId="29FB94C9">
      <w:pPr>
        <w:spacing w:line="400" w:lineRule="exact"/>
        <w:ind w:firstLine="409" w:firstLineChars="195"/>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3</w:t>
      </w:r>
      <w:r>
        <w:rPr>
          <w:rFonts w:hint="eastAsia" w:ascii="宋体" w:hAnsi="宋体" w:cs="宋体"/>
          <w:color w:val="auto"/>
          <w:szCs w:val="21"/>
          <w:highlight w:val="none"/>
        </w:rPr>
        <w:t>.1 保修责任</w:t>
      </w:r>
    </w:p>
    <w:p w14:paraId="5583FF00">
      <w:pPr>
        <w:spacing w:line="400" w:lineRule="exact"/>
        <w:ind w:firstLine="409" w:firstLineChars="195"/>
        <w:rPr>
          <w:rFonts w:ascii="宋体" w:hAnsi="宋体" w:cs="宋体"/>
          <w:color w:val="auto"/>
          <w:kern w:val="0"/>
          <w:szCs w:val="21"/>
          <w:highlight w:val="none"/>
          <w:u w:val="singl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竣工验收合格后两年   </w:t>
      </w:r>
      <w:r>
        <w:rPr>
          <w:rFonts w:hint="eastAsia" w:ascii="宋体" w:hAnsi="宋体" w:cs="宋体"/>
          <w:color w:val="auto"/>
          <w:kern w:val="0"/>
          <w:szCs w:val="21"/>
          <w:highlight w:val="none"/>
        </w:rPr>
        <w:t>。</w:t>
      </w:r>
    </w:p>
    <w:p w14:paraId="5E91F130">
      <w:pPr>
        <w:spacing w:line="400" w:lineRule="exact"/>
        <w:ind w:firstLine="409" w:firstLineChars="195"/>
        <w:rPr>
          <w:rFonts w:ascii="宋体" w:hAnsi="宋体" w:cs="宋体"/>
          <w:color w:val="auto"/>
          <w:szCs w:val="21"/>
          <w:highlight w:val="none"/>
        </w:rPr>
      </w:pPr>
      <w:r>
        <w:rPr>
          <w:rFonts w:hint="eastAsia" w:ascii="宋体" w:hAnsi="宋体" w:cs="宋体"/>
          <w:color w:val="auto"/>
          <w:szCs w:val="21"/>
          <w:highlight w:val="none"/>
        </w:rPr>
        <w:t>15.</w:t>
      </w: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 xml:space="preserve"> 修复通知</w:t>
      </w:r>
    </w:p>
    <w:p w14:paraId="691DA1A5">
      <w:pPr>
        <w:spacing w:line="400" w:lineRule="exact"/>
        <w:ind w:firstLine="409" w:firstLineChars="195"/>
        <w:rPr>
          <w:rFonts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4小时到达，如果为外省市的承包人不得迟于24小时到达。</w:t>
      </w:r>
      <w:r>
        <w:rPr>
          <w:rFonts w:hint="eastAsia" w:ascii="宋体" w:hAnsi="宋体" w:cs="宋体"/>
          <w:color w:val="auto"/>
          <w:kern w:val="0"/>
          <w:szCs w:val="21"/>
          <w:highlight w:val="none"/>
        </w:rPr>
        <w:t>。</w:t>
      </w:r>
    </w:p>
    <w:bookmarkEnd w:id="522"/>
    <w:bookmarkEnd w:id="523"/>
    <w:bookmarkEnd w:id="524"/>
    <w:bookmarkEnd w:id="525"/>
    <w:p w14:paraId="498A2C81">
      <w:pPr>
        <w:pStyle w:val="7"/>
        <w:spacing w:before="0" w:after="0" w:line="400" w:lineRule="exact"/>
        <w:rPr>
          <w:rFonts w:ascii="宋体" w:hAnsi="宋体" w:eastAsia="宋体" w:cs="宋体"/>
          <w:color w:val="auto"/>
          <w:sz w:val="21"/>
          <w:szCs w:val="21"/>
          <w:highlight w:val="none"/>
        </w:rPr>
      </w:pPr>
      <w:bookmarkStart w:id="548" w:name="_Toc351203648"/>
      <w:bookmarkStart w:id="549" w:name="_Toc280868717"/>
      <w:bookmarkStart w:id="550" w:name="_Toc280868718"/>
      <w:r>
        <w:rPr>
          <w:rFonts w:hint="eastAsia" w:ascii="宋体" w:hAnsi="宋体" w:eastAsia="宋体" w:cs="宋体"/>
          <w:color w:val="auto"/>
          <w:sz w:val="21"/>
          <w:szCs w:val="21"/>
          <w:highlight w:val="none"/>
        </w:rPr>
        <w:t>16. 违约</w:t>
      </w:r>
      <w:bookmarkEnd w:id="548"/>
    </w:p>
    <w:p w14:paraId="5AF6BD96">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 发包人违约</w:t>
      </w:r>
    </w:p>
    <w:p w14:paraId="7C71D9F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5D9196B9">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执行合同通用条款           </w:t>
      </w:r>
      <w:r>
        <w:rPr>
          <w:rFonts w:hint="eastAsia" w:ascii="宋体" w:hAnsi="宋体" w:cs="宋体"/>
          <w:color w:val="auto"/>
          <w:kern w:val="0"/>
          <w:szCs w:val="21"/>
          <w:highlight w:val="none"/>
        </w:rPr>
        <w:t>。</w:t>
      </w:r>
    </w:p>
    <w:p w14:paraId="23E6A87C">
      <w:pPr>
        <w:spacing w:line="400" w:lineRule="exact"/>
        <w:ind w:left="1050" w:hanging="1050" w:hangingChars="500"/>
        <w:rPr>
          <w:rFonts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14:paraId="167A238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026062BE">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0737DD9C">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A10AC9F">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FD9D5AA">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F0A6B90">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67EE9A3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33B430C">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172AC372">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3DB160A5">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B282EE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 承包人违约</w:t>
      </w:r>
    </w:p>
    <w:p w14:paraId="4FB7E15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23DACCB9">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olor w:val="auto"/>
          <w:kern w:val="0"/>
          <w:szCs w:val="21"/>
          <w:highlight w:val="none"/>
        </w:rPr>
        <w:t>承包人违约的其他情形：</w:t>
      </w:r>
      <w:r>
        <w:rPr>
          <w:rFonts w:hint="eastAsia" w:ascii="宋体" w:hAnsi="宋体" w:cs="宋体"/>
          <w:color w:val="auto"/>
          <w:kern w:val="0"/>
          <w:szCs w:val="21"/>
          <w:highlight w:val="none"/>
          <w:u w:val="single"/>
        </w:rPr>
        <w:t>1、合同实施期间，如发现承包人名不副实（存在挂靠、借用 资质、转包、违法分包等行为），发包人有权单方面终止合同并清退出场，没收全部履约保证金，同时按已完工程量的 80%与承包人结算，并追究其他相关责任，包括但不限于重新招标的费用、清场损失费用、诉讼费用、工程鉴定费用、律师服务费用、取证费用等。发包人在实际施工过程中发现承包方存在上述违约行为，但基于工期考虑未清场的，不视为发包人默认接受现状，发包方仍有权利向承包方主张上述违约责任。</w:t>
      </w:r>
    </w:p>
    <w:p w14:paraId="59EDD9E5">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2、工程竣工后，承包人以外的有关单位或个人包括但不限于违法转包人、挂靠人、分包单位、劳务公司、机械租赁单位等向发包人主张工程款的，发包人为应对诉讼所发生的一切费用包括但不限于诉讼费用、工程鉴定费用、律师服务费用、取证费用等均由承包人承担，发包人有权在未付工程款及保证金范围内直接扣减，未付工程款及保证金不足以偿付的，承包人应当另行支付。</w:t>
      </w:r>
    </w:p>
    <w:p w14:paraId="2053EE5A">
      <w:pPr>
        <w:spacing w:line="360" w:lineRule="auto"/>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3、合同履约不力、承包人不守承诺、严重影响工程进度、不能按期保质完成施工任务、发包人有权扣除承包履约保证金，并可单方面终止合同，将承包人清退出场，并追究相关责任。包括但不限于重新招标的费用、清场损失费用、诉讼费用、工程鉴定费用、律师服务费用、取证费用等。</w:t>
      </w:r>
    </w:p>
    <w:p w14:paraId="06CD169E">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4、在施工过程中发现承包人弄虚作假、偷工减料、不按图纸及规范施工，每发现一次发包人将扣除承包人10%履约保证金，且承包人必须立即采取措施处理直至合格。如承包人拒不整改、整改不到位或造成其他损失的，发包人有权单方面终止合同，将承包人清退出场，没收全部履约保证金，同时按已完工程量的80%与承包人结算，并追究其他相关责任。包括但不限于重新招标的费用、清场损失费用、诉讼费用、工程鉴定费用、律师服务费用、取证费用等。</w:t>
      </w:r>
    </w:p>
    <w:p w14:paraId="7EB429B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35DDD69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r>
        <w:rPr>
          <w:rFonts w:hint="eastAsia" w:ascii="宋体" w:hAnsi="宋体" w:cs="宋体"/>
          <w:color w:val="auto"/>
          <w:kern w:val="0"/>
          <w:szCs w:val="21"/>
          <w:highlight w:val="none"/>
          <w:u w:val="single"/>
        </w:rPr>
        <w:t xml:space="preserve">     同上    </w:t>
      </w:r>
      <w:r>
        <w:rPr>
          <w:rFonts w:hint="eastAsia" w:ascii="宋体" w:hAnsi="宋体" w:cs="宋体"/>
          <w:color w:val="auto"/>
          <w:kern w:val="0"/>
          <w:szCs w:val="21"/>
          <w:highlight w:val="none"/>
        </w:rPr>
        <w:t>。</w:t>
      </w:r>
    </w:p>
    <w:p w14:paraId="1939010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35ABFA92">
      <w:pPr>
        <w:spacing w:line="400" w:lineRule="exact"/>
        <w:ind w:firstLine="420" w:firstLineChars="200"/>
        <w:rPr>
          <w:rFonts w:ascii="宋体" w:hAnsi="宋体" w:cs="宋体"/>
          <w:bCs/>
          <w:color w:val="auto"/>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 xml:space="preserve">       </w:t>
      </w:r>
      <w:r>
        <w:rPr>
          <w:rFonts w:hint="eastAsia" w:ascii="宋体" w:hAnsi="宋体" w:cs="宋体"/>
          <w:bCs/>
          <w:color w:val="auto"/>
          <w:szCs w:val="21"/>
          <w:highlight w:val="none"/>
          <w:u w:val="single"/>
        </w:rPr>
        <w:t xml:space="preserve">同上    </w:t>
      </w:r>
      <w:r>
        <w:rPr>
          <w:rFonts w:hint="eastAsia" w:ascii="宋体" w:hAnsi="宋体" w:cs="宋体"/>
          <w:bCs/>
          <w:color w:val="auto"/>
          <w:szCs w:val="21"/>
          <w:highlight w:val="none"/>
        </w:rPr>
        <w:t>。</w:t>
      </w:r>
    </w:p>
    <w:p w14:paraId="3717A95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执行合同通用条款     </w:t>
      </w:r>
      <w:r>
        <w:rPr>
          <w:rFonts w:hint="eastAsia" w:ascii="宋体" w:hAnsi="宋体" w:cs="宋体"/>
          <w:color w:val="auto"/>
          <w:kern w:val="0"/>
          <w:szCs w:val="21"/>
          <w:highlight w:val="none"/>
        </w:rPr>
        <w:t>。</w:t>
      </w:r>
    </w:p>
    <w:p w14:paraId="68953322">
      <w:pPr>
        <w:pStyle w:val="7"/>
        <w:spacing w:before="0" w:after="0" w:line="400" w:lineRule="exact"/>
        <w:rPr>
          <w:rFonts w:ascii="宋体" w:hAnsi="宋体" w:eastAsia="宋体" w:cs="宋体"/>
          <w:color w:val="auto"/>
          <w:sz w:val="21"/>
          <w:szCs w:val="21"/>
          <w:highlight w:val="none"/>
        </w:rPr>
      </w:pPr>
      <w:bookmarkStart w:id="551" w:name="_Toc351203649"/>
      <w:r>
        <w:rPr>
          <w:rFonts w:hint="eastAsia" w:ascii="宋体" w:hAnsi="宋体" w:eastAsia="宋体" w:cs="宋体"/>
          <w:color w:val="auto"/>
          <w:sz w:val="21"/>
          <w:szCs w:val="21"/>
          <w:highlight w:val="none"/>
        </w:rPr>
        <w:t>17. 不可抗力</w:t>
      </w:r>
      <w:bookmarkEnd w:id="551"/>
      <w:r>
        <w:rPr>
          <w:rFonts w:hint="eastAsia" w:ascii="宋体" w:hAnsi="宋体" w:eastAsia="宋体" w:cs="宋体"/>
          <w:color w:val="auto"/>
          <w:sz w:val="21"/>
          <w:szCs w:val="21"/>
          <w:highlight w:val="none"/>
        </w:rPr>
        <w:t xml:space="preserve"> </w:t>
      </w:r>
      <w:bookmarkEnd w:id="549"/>
    </w:p>
    <w:p w14:paraId="7276DA48">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17.1 不可抗力的确认</w:t>
      </w:r>
    </w:p>
    <w:p w14:paraId="47130AC6">
      <w:pPr>
        <w:spacing w:line="40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szCs w:val="21"/>
          <w:highlight w:val="none"/>
          <w:u w:val="single"/>
        </w:rPr>
        <w:t xml:space="preserve">执行通用合同条款  </w:t>
      </w:r>
      <w:r>
        <w:rPr>
          <w:rFonts w:hint="eastAsia" w:ascii="宋体" w:hAnsi="宋体" w:cs="宋体"/>
          <w:color w:val="auto"/>
          <w:kern w:val="0"/>
          <w:szCs w:val="21"/>
          <w:highlight w:val="none"/>
        </w:rPr>
        <w:t>。</w:t>
      </w:r>
    </w:p>
    <w:p w14:paraId="2047E6A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w:t>
      </w:r>
      <w:r>
        <w:rPr>
          <w:rFonts w:ascii="宋体" w:hAnsi="宋体" w:cs="宋体"/>
          <w:color w:val="auto"/>
          <w:szCs w:val="21"/>
          <w:highlight w:val="none"/>
        </w:rPr>
        <w:t>2</w:t>
      </w:r>
      <w:r>
        <w:rPr>
          <w:rFonts w:hint="eastAsia" w:ascii="宋体" w:hAnsi="宋体" w:cs="宋体"/>
          <w:color w:val="auto"/>
          <w:szCs w:val="21"/>
          <w:highlight w:val="none"/>
        </w:rPr>
        <w:t xml:space="preserve"> 因不可抗力解除合同</w:t>
      </w:r>
    </w:p>
    <w:p w14:paraId="684C05C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天内完成款项的支付。</w:t>
      </w:r>
    </w:p>
    <w:p w14:paraId="25D53013">
      <w:pPr>
        <w:pStyle w:val="7"/>
        <w:spacing w:before="0" w:after="0" w:line="400" w:lineRule="exact"/>
        <w:rPr>
          <w:rFonts w:ascii="宋体" w:hAnsi="宋体" w:eastAsia="宋体" w:cs="宋体"/>
          <w:color w:val="auto"/>
          <w:sz w:val="21"/>
          <w:szCs w:val="21"/>
          <w:highlight w:val="none"/>
        </w:rPr>
      </w:pPr>
      <w:bookmarkStart w:id="552" w:name="_Toc351203650"/>
      <w:r>
        <w:rPr>
          <w:rFonts w:hint="eastAsia" w:ascii="宋体" w:hAnsi="宋体" w:eastAsia="宋体" w:cs="宋体"/>
          <w:color w:val="auto"/>
          <w:sz w:val="21"/>
          <w:szCs w:val="21"/>
          <w:highlight w:val="none"/>
        </w:rPr>
        <w:t>18. 保险</w:t>
      </w:r>
      <w:bookmarkEnd w:id="552"/>
    </w:p>
    <w:bookmarkEnd w:id="550"/>
    <w:p w14:paraId="0769E87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 工程保险</w:t>
      </w:r>
    </w:p>
    <w:p w14:paraId="2E39222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szCs w:val="21"/>
          <w:highlight w:val="none"/>
          <w:u w:val="single"/>
        </w:rPr>
        <w:t xml:space="preserve">执行通用合同条款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D63401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ascii="宋体" w:hAnsi="宋体" w:cs="宋体"/>
          <w:color w:val="auto"/>
          <w:szCs w:val="21"/>
          <w:highlight w:val="none"/>
        </w:rPr>
        <w:t>2</w:t>
      </w:r>
      <w:r>
        <w:rPr>
          <w:rFonts w:hint="eastAsia" w:ascii="宋体" w:hAnsi="宋体" w:cs="宋体"/>
          <w:color w:val="auto"/>
          <w:szCs w:val="21"/>
          <w:highlight w:val="none"/>
        </w:rPr>
        <w:t xml:space="preserve"> 其他保险</w:t>
      </w:r>
    </w:p>
    <w:p w14:paraId="744A379E">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 xml:space="preserve">承包人须为其施工现场的全部人员办理意外伤害保险并支付保险费，包括其员工及为履行合同聘请的第三方的人员，所有安全责任有承包人承担   </w:t>
      </w:r>
      <w:r>
        <w:rPr>
          <w:rFonts w:hint="eastAsia" w:ascii="宋体" w:hAnsi="宋体" w:cs="宋体"/>
          <w:color w:val="auto"/>
          <w:kern w:val="0"/>
          <w:szCs w:val="21"/>
          <w:highlight w:val="none"/>
        </w:rPr>
        <w:t>。</w:t>
      </w:r>
    </w:p>
    <w:p w14:paraId="50152209">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B70A55">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w:t>
      </w:r>
      <w:r>
        <w:rPr>
          <w:rFonts w:ascii="宋体" w:hAnsi="宋体" w:cs="宋体"/>
          <w:color w:val="auto"/>
          <w:szCs w:val="21"/>
          <w:highlight w:val="none"/>
        </w:rPr>
        <w:t>3</w:t>
      </w:r>
      <w:r>
        <w:rPr>
          <w:rFonts w:hint="eastAsia" w:ascii="宋体" w:hAnsi="宋体" w:cs="宋体"/>
          <w:color w:val="auto"/>
          <w:szCs w:val="21"/>
          <w:highlight w:val="none"/>
        </w:rPr>
        <w:t xml:space="preserve"> 通知义务</w:t>
      </w:r>
    </w:p>
    <w:p w14:paraId="01B18555">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bookmarkEnd w:id="526"/>
    <w:bookmarkEnd w:id="527"/>
    <w:bookmarkEnd w:id="528"/>
    <w:bookmarkEnd w:id="529"/>
    <w:bookmarkEnd w:id="530"/>
    <w:bookmarkEnd w:id="531"/>
    <w:bookmarkEnd w:id="532"/>
    <w:bookmarkEnd w:id="533"/>
    <w:bookmarkEnd w:id="534"/>
    <w:bookmarkEnd w:id="535"/>
    <w:bookmarkEnd w:id="536"/>
    <w:bookmarkEnd w:id="537"/>
    <w:p w14:paraId="2368960D">
      <w:pPr>
        <w:pStyle w:val="7"/>
        <w:spacing w:before="0" w:after="0" w:line="400" w:lineRule="exact"/>
        <w:rPr>
          <w:rFonts w:ascii="宋体" w:hAnsi="宋体" w:eastAsia="宋体" w:cs="宋体"/>
          <w:color w:val="auto"/>
          <w:sz w:val="21"/>
          <w:szCs w:val="21"/>
          <w:highlight w:val="none"/>
        </w:rPr>
      </w:pPr>
      <w:bookmarkStart w:id="553" w:name="_Toc351203651"/>
      <w:r>
        <w:rPr>
          <w:rFonts w:hint="eastAsia" w:ascii="宋体" w:hAnsi="宋体" w:eastAsia="宋体" w:cs="宋体"/>
          <w:color w:val="auto"/>
          <w:sz w:val="21"/>
          <w:szCs w:val="21"/>
          <w:highlight w:val="none"/>
        </w:rPr>
        <w:t>20. 争议解决</w:t>
      </w:r>
      <w:bookmarkEnd w:id="553"/>
    </w:p>
    <w:bookmarkEnd w:id="538"/>
    <w:bookmarkEnd w:id="539"/>
    <w:p w14:paraId="0CBEC65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1</w:t>
      </w:r>
      <w:r>
        <w:rPr>
          <w:rFonts w:hint="eastAsia" w:ascii="宋体" w:hAnsi="宋体" w:cs="宋体"/>
          <w:color w:val="auto"/>
          <w:szCs w:val="21"/>
          <w:highlight w:val="none"/>
        </w:rPr>
        <w:t xml:space="preserve"> 争</w:t>
      </w:r>
      <w:bookmarkEnd w:id="540"/>
      <w:r>
        <w:rPr>
          <w:rFonts w:hint="eastAsia" w:ascii="宋体" w:hAnsi="宋体" w:cs="宋体"/>
          <w:color w:val="auto"/>
          <w:szCs w:val="21"/>
          <w:highlight w:val="none"/>
        </w:rPr>
        <w:t>议评审</w:t>
      </w:r>
    </w:p>
    <w:p w14:paraId="0898236D">
      <w:pPr>
        <w:spacing w:line="400" w:lineRule="exact"/>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6ED789A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1</w:t>
      </w:r>
      <w:r>
        <w:rPr>
          <w:rFonts w:hint="eastAsia" w:ascii="宋体" w:hAnsi="宋体" w:cs="宋体"/>
          <w:color w:val="auto"/>
          <w:szCs w:val="21"/>
          <w:highlight w:val="none"/>
        </w:rPr>
        <w:t>.1 争议评审小组的确定</w:t>
      </w:r>
    </w:p>
    <w:p w14:paraId="7C399428">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715F8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D85507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0AE52E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E4AC25">
      <w:pPr>
        <w:autoSpaceDE w:val="0"/>
        <w:autoSpaceDN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w:t>
      </w:r>
      <w:r>
        <w:rPr>
          <w:rFonts w:ascii="宋体" w:hAnsi="宋体" w:cs="宋体"/>
          <w:color w:val="auto"/>
          <w:kern w:val="0"/>
          <w:szCs w:val="21"/>
          <w:highlight w:val="none"/>
        </w:rPr>
        <w:t>1</w:t>
      </w:r>
      <w:r>
        <w:rPr>
          <w:rFonts w:hint="eastAsia" w:ascii="宋体" w:hAnsi="宋体" w:cs="宋体"/>
          <w:color w:val="auto"/>
          <w:kern w:val="0"/>
          <w:szCs w:val="21"/>
          <w:highlight w:val="none"/>
        </w:rPr>
        <w:t>.2 争议评审小组的决定</w:t>
      </w:r>
    </w:p>
    <w:p w14:paraId="0E7C391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8BFC8E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2</w:t>
      </w:r>
      <w:r>
        <w:rPr>
          <w:rFonts w:hint="eastAsia" w:ascii="宋体" w:hAnsi="宋体" w:cs="宋体"/>
          <w:color w:val="auto"/>
          <w:szCs w:val="21"/>
          <w:highlight w:val="none"/>
        </w:rPr>
        <w:t>仲裁或诉讼</w:t>
      </w:r>
      <w:bookmarkEnd w:id="541"/>
    </w:p>
    <w:p w14:paraId="12468E89">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3E73962A">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仲裁委员会申请仲裁；</w:t>
      </w:r>
    </w:p>
    <w:p w14:paraId="084F8571">
      <w:pPr>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工程所在地    </w:t>
      </w:r>
      <w:r>
        <w:rPr>
          <w:rFonts w:hint="eastAsia" w:ascii="宋体" w:hAnsi="宋体" w:cs="宋体"/>
          <w:color w:val="auto"/>
          <w:szCs w:val="21"/>
          <w:highlight w:val="none"/>
        </w:rPr>
        <w:t>人民法院起诉。</w:t>
      </w:r>
      <w:bookmarkEnd w:id="542"/>
      <w:bookmarkEnd w:id="543"/>
      <w:bookmarkEnd w:id="544"/>
      <w:bookmarkEnd w:id="545"/>
      <w:bookmarkEnd w:id="546"/>
      <w:bookmarkEnd w:id="547"/>
    </w:p>
    <w:p w14:paraId="5A1C3FFC">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21补充条款</w:t>
      </w:r>
    </w:p>
    <w:p w14:paraId="1E147E39">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1</w:t>
      </w:r>
      <w:r>
        <w:rPr>
          <w:rFonts w:hint="eastAsia" w:ascii="宋体" w:hAnsi="宋体" w:cs="宋体"/>
          <w:color w:val="auto"/>
          <w:szCs w:val="21"/>
          <w:highlight w:val="none"/>
        </w:rPr>
        <w:t xml:space="preserve"> 税金执行安徽省《关于调整我省现行建设工程计价依据增值税税率的通知》（造价〔2019〕7号）按9%计取。合同履行过程中，若国家增值税税率发生调整，审计结算时，按送审计结算时执行的税率进行结算。</w:t>
      </w:r>
    </w:p>
    <w:p w14:paraId="4EDE3111">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2</w:t>
      </w:r>
      <w:r>
        <w:rPr>
          <w:rFonts w:hint="eastAsia" w:ascii="宋体" w:hAnsi="宋体" w:cs="宋体"/>
          <w:color w:val="auto"/>
          <w:szCs w:val="21"/>
          <w:highlight w:val="none"/>
        </w:rPr>
        <w:t>监理单位确认的工程量确认单须经甲方代表书面确认同意后方才生效。</w:t>
      </w:r>
    </w:p>
    <w:p w14:paraId="53FE8B08">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3</w:t>
      </w:r>
      <w:r>
        <w:rPr>
          <w:rFonts w:hint="eastAsia" w:ascii="宋体" w:hAnsi="宋体" w:cs="宋体"/>
          <w:color w:val="auto"/>
          <w:szCs w:val="21"/>
          <w:highlight w:val="none"/>
        </w:rPr>
        <w:t xml:space="preserve"> 本合同未尽事宜之处，中标后由双方协商进行补充，以实际签订的合同有关条款为准。</w:t>
      </w:r>
    </w:p>
    <w:p w14:paraId="36ED2F78">
      <w:pPr>
        <w:spacing w:line="360" w:lineRule="auto"/>
        <w:jc w:val="left"/>
        <w:rPr>
          <w:rFonts w:ascii="宋体" w:hAnsi="宋体" w:cs="宋体"/>
          <w:b/>
          <w:bCs/>
          <w:color w:val="auto"/>
          <w:szCs w:val="21"/>
          <w:highlight w:val="none"/>
        </w:rPr>
      </w:pPr>
    </w:p>
    <w:p w14:paraId="446F554C">
      <w:pPr>
        <w:pStyle w:val="47"/>
        <w:ind w:firstLine="422"/>
        <w:rPr>
          <w:rFonts w:ascii="宋体" w:hAnsi="宋体" w:cs="宋体"/>
          <w:b/>
          <w:bCs/>
          <w:color w:val="auto"/>
          <w:szCs w:val="21"/>
          <w:highlight w:val="none"/>
        </w:rPr>
      </w:pPr>
    </w:p>
    <w:p w14:paraId="50F3E059">
      <w:pPr>
        <w:pStyle w:val="47"/>
        <w:ind w:firstLine="422"/>
        <w:rPr>
          <w:rFonts w:ascii="宋体" w:hAnsi="宋体" w:cs="宋体"/>
          <w:b/>
          <w:bCs/>
          <w:color w:val="auto"/>
          <w:szCs w:val="21"/>
          <w:highlight w:val="none"/>
        </w:rPr>
      </w:pPr>
    </w:p>
    <w:p w14:paraId="63A4BD95">
      <w:pPr>
        <w:pStyle w:val="47"/>
        <w:ind w:firstLine="422"/>
        <w:rPr>
          <w:rFonts w:ascii="宋体" w:hAnsi="宋体" w:cs="宋体"/>
          <w:b/>
          <w:bCs/>
          <w:color w:val="auto"/>
          <w:szCs w:val="21"/>
          <w:highlight w:val="none"/>
        </w:rPr>
      </w:pPr>
    </w:p>
    <w:p w14:paraId="6A6B4378">
      <w:pPr>
        <w:pStyle w:val="47"/>
        <w:ind w:firstLine="422"/>
        <w:rPr>
          <w:rFonts w:ascii="宋体" w:hAnsi="宋体" w:cs="宋体"/>
          <w:b/>
          <w:bCs/>
          <w:color w:val="auto"/>
          <w:szCs w:val="21"/>
          <w:highlight w:val="none"/>
        </w:rPr>
      </w:pPr>
    </w:p>
    <w:p w14:paraId="07D81443">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b/>
          <w:bCs/>
          <w:color w:val="auto"/>
          <w:szCs w:val="21"/>
          <w:highlight w:val="none"/>
        </w:rPr>
        <w:t>合同附件：</w:t>
      </w:r>
    </w:p>
    <w:p w14:paraId="52ACBD70">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color w:val="auto"/>
          <w:position w:val="6"/>
          <w:szCs w:val="21"/>
          <w:highlight w:val="none"/>
        </w:rPr>
        <w:t>附件1：工程质量保修书</w:t>
      </w:r>
    </w:p>
    <w:p w14:paraId="1397FF96">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color w:val="auto"/>
          <w:position w:val="6"/>
          <w:szCs w:val="21"/>
          <w:highlight w:val="none"/>
        </w:rPr>
        <w:t>附件2： 安全生产合同</w:t>
      </w:r>
    </w:p>
    <w:p w14:paraId="688D3B67">
      <w:pPr>
        <w:widowControl/>
        <w:adjustRightInd w:val="0"/>
        <w:snapToGrid w:val="0"/>
        <w:spacing w:line="360" w:lineRule="auto"/>
        <w:jc w:val="left"/>
        <w:rPr>
          <w:rFonts w:ascii="宋体" w:hAnsi="宋体" w:cs="宋体"/>
          <w:color w:val="auto"/>
          <w:position w:val="6"/>
          <w:szCs w:val="21"/>
          <w:highlight w:val="none"/>
        </w:rPr>
      </w:pPr>
      <w:r>
        <w:rPr>
          <w:rFonts w:hint="eastAsia" w:ascii="宋体" w:hAnsi="宋体" w:cs="宋体"/>
          <w:color w:val="auto"/>
          <w:position w:val="6"/>
          <w:szCs w:val="21"/>
          <w:highlight w:val="none"/>
        </w:rPr>
        <w:t>附件3：发包人要求</w:t>
      </w:r>
    </w:p>
    <w:p w14:paraId="77DCE1AC">
      <w:pPr>
        <w:spacing w:line="360" w:lineRule="auto"/>
        <w:jc w:val="left"/>
        <w:rPr>
          <w:rFonts w:ascii="宋体" w:hAnsi="宋体" w:cs="宋体"/>
          <w:b/>
          <w:bCs/>
          <w:color w:val="auto"/>
          <w:szCs w:val="21"/>
          <w:highlight w:val="none"/>
        </w:rPr>
      </w:pPr>
    </w:p>
    <w:p w14:paraId="608393B9">
      <w:pPr>
        <w:spacing w:line="360" w:lineRule="auto"/>
        <w:jc w:val="left"/>
        <w:rPr>
          <w:rFonts w:ascii="宋体" w:hAnsi="宋体" w:cs="宋体"/>
          <w:b/>
          <w:bCs/>
          <w:color w:val="auto"/>
          <w:szCs w:val="21"/>
          <w:highlight w:val="none"/>
        </w:rPr>
      </w:pPr>
    </w:p>
    <w:p w14:paraId="2D9B7FC5">
      <w:pPr>
        <w:spacing w:line="360" w:lineRule="auto"/>
        <w:jc w:val="left"/>
        <w:rPr>
          <w:rFonts w:ascii="宋体" w:hAnsi="宋体" w:cs="宋体"/>
          <w:b/>
          <w:bCs/>
          <w:color w:val="auto"/>
          <w:szCs w:val="21"/>
          <w:highlight w:val="none"/>
        </w:rPr>
      </w:pPr>
    </w:p>
    <w:p w14:paraId="4DAC6E8F">
      <w:pPr>
        <w:spacing w:line="360" w:lineRule="auto"/>
        <w:jc w:val="left"/>
        <w:rPr>
          <w:rFonts w:ascii="宋体" w:hAnsi="宋体" w:cs="宋体"/>
          <w:b/>
          <w:bCs/>
          <w:color w:val="auto"/>
          <w:szCs w:val="21"/>
          <w:highlight w:val="none"/>
        </w:rPr>
      </w:pPr>
    </w:p>
    <w:p w14:paraId="70352F27">
      <w:pPr>
        <w:spacing w:line="360" w:lineRule="auto"/>
        <w:jc w:val="left"/>
        <w:rPr>
          <w:rFonts w:ascii="宋体" w:hAnsi="宋体" w:cs="宋体"/>
          <w:b/>
          <w:bCs/>
          <w:color w:val="auto"/>
          <w:szCs w:val="21"/>
          <w:highlight w:val="none"/>
        </w:rPr>
      </w:pPr>
    </w:p>
    <w:p w14:paraId="5234D580">
      <w:pPr>
        <w:spacing w:line="360" w:lineRule="auto"/>
        <w:jc w:val="left"/>
        <w:rPr>
          <w:rFonts w:ascii="宋体" w:hAnsi="宋体" w:cs="宋体"/>
          <w:b/>
          <w:bCs/>
          <w:color w:val="auto"/>
          <w:szCs w:val="21"/>
          <w:highlight w:val="none"/>
        </w:rPr>
      </w:pPr>
    </w:p>
    <w:p w14:paraId="3C83494D">
      <w:pPr>
        <w:pStyle w:val="4"/>
        <w:keepNext w:val="0"/>
        <w:keepLines w:val="0"/>
        <w:spacing w:before="0" w:after="0" w:line="360" w:lineRule="auto"/>
        <w:rPr>
          <w:rFonts w:ascii="宋体" w:hAnsi="宋体" w:cs="宋体"/>
          <w:color w:val="auto"/>
          <w:sz w:val="21"/>
          <w:szCs w:val="21"/>
          <w:highlight w:val="none"/>
          <w:shd w:val="clear" w:color="auto" w:fill="FFFFFF"/>
        </w:rPr>
      </w:pPr>
      <w:r>
        <w:rPr>
          <w:rFonts w:hint="eastAsia" w:ascii="宋体" w:hAnsi="宋体" w:cs="宋体"/>
          <w:b w:val="0"/>
          <w:bCs w:val="0"/>
          <w:color w:val="auto"/>
          <w:sz w:val="21"/>
          <w:szCs w:val="21"/>
          <w:highlight w:val="none"/>
        </w:rPr>
        <w:t>附件1：</w:t>
      </w:r>
    </w:p>
    <w:p w14:paraId="0EFD64DF">
      <w:pPr>
        <w:adjustRightInd w:val="0"/>
        <w:snapToGrid w:val="0"/>
        <w:spacing w:line="360" w:lineRule="auto"/>
        <w:jc w:val="center"/>
        <w:rPr>
          <w:rFonts w:ascii="宋体" w:hAnsi="宋体" w:cs="宋体"/>
          <w:color w:val="auto"/>
          <w:sz w:val="32"/>
          <w:szCs w:val="32"/>
          <w:highlight w:val="none"/>
        </w:rPr>
      </w:pPr>
      <w:bookmarkStart w:id="554" w:name="OLE_LINK4"/>
      <w:r>
        <w:rPr>
          <w:rFonts w:hint="eastAsia" w:ascii="宋体" w:hAnsi="宋体" w:cs="宋体"/>
          <w:color w:val="auto"/>
          <w:sz w:val="32"/>
          <w:szCs w:val="32"/>
          <w:highlight w:val="none"/>
        </w:rPr>
        <w:t>工程质量保修书</w:t>
      </w:r>
      <w:bookmarkEnd w:id="554"/>
    </w:p>
    <w:p w14:paraId="1B9D81D2">
      <w:pPr>
        <w:adjustRightInd w:val="0"/>
        <w:snapToGrid w:val="0"/>
        <w:spacing w:line="360" w:lineRule="auto"/>
        <w:ind w:firstLine="420" w:firstLineChars="200"/>
        <w:rPr>
          <w:rFonts w:ascii="宋体" w:hAnsi="宋体" w:cs="宋体"/>
          <w:color w:val="auto"/>
          <w:position w:val="14"/>
          <w:szCs w:val="21"/>
          <w:highlight w:val="none"/>
          <w:u w:val="single"/>
        </w:rPr>
      </w:pPr>
      <w:r>
        <w:rPr>
          <w:rFonts w:hint="eastAsia" w:ascii="宋体" w:hAnsi="宋体" w:cs="宋体"/>
          <w:color w:val="auto"/>
          <w:position w:val="6"/>
          <w:szCs w:val="21"/>
          <w:highlight w:val="none"/>
        </w:rPr>
        <w:t xml:space="preserve">发包人： </w:t>
      </w:r>
      <w:r>
        <w:rPr>
          <w:rFonts w:hint="eastAsia" w:ascii="宋体" w:hAnsi="宋体" w:cs="宋体"/>
          <w:color w:val="auto"/>
          <w:position w:val="6"/>
          <w:szCs w:val="21"/>
          <w:highlight w:val="none"/>
          <w:u w:val="single"/>
        </w:rPr>
        <w:t xml:space="preserve">铜陵高新发展投资有限公司  </w:t>
      </w:r>
    </w:p>
    <w:p w14:paraId="769F9EF1">
      <w:pPr>
        <w:widowControl/>
        <w:adjustRightInd w:val="0"/>
        <w:snapToGrid w:val="0"/>
        <w:spacing w:line="360" w:lineRule="auto"/>
        <w:ind w:firstLine="420" w:firstLineChars="200"/>
        <w:jc w:val="left"/>
        <w:rPr>
          <w:rFonts w:ascii="宋体" w:hAnsi="宋体" w:cs="宋体"/>
          <w:color w:val="auto"/>
          <w:position w:val="14"/>
          <w:szCs w:val="21"/>
          <w:highlight w:val="none"/>
          <w:u w:val="single"/>
        </w:rPr>
      </w:pPr>
      <w:r>
        <w:rPr>
          <w:rFonts w:hint="eastAsia" w:ascii="宋体" w:hAnsi="宋体" w:cs="宋体"/>
          <w:bCs/>
          <w:color w:val="auto"/>
          <w:position w:val="14"/>
          <w:szCs w:val="21"/>
          <w:highlight w:val="none"/>
        </w:rPr>
        <w:t>承包人</w:t>
      </w:r>
      <w:r>
        <w:rPr>
          <w:rFonts w:hint="eastAsia" w:ascii="宋体" w:hAnsi="宋体" w:cs="宋体"/>
          <w:color w:val="auto"/>
          <w:position w:val="14"/>
          <w:szCs w:val="21"/>
          <w:highlight w:val="none"/>
        </w:rPr>
        <w:t>：</w:t>
      </w:r>
      <w:r>
        <w:rPr>
          <w:rFonts w:hint="eastAsia" w:ascii="宋体" w:hAnsi="宋体" w:cs="宋体"/>
          <w:color w:val="auto"/>
          <w:position w:val="14"/>
          <w:szCs w:val="21"/>
          <w:highlight w:val="none"/>
          <w:u w:val="single"/>
        </w:rPr>
        <w:t xml:space="preserve">                         </w:t>
      </w:r>
    </w:p>
    <w:p w14:paraId="0E0ED0EA">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发包人、承包人根据《中华人民共和国建筑法》《建设工程质量管理条例》,参照《房屋建筑工程质量保修办法》，经协商一致，对</w:t>
      </w:r>
      <w:r>
        <w:rPr>
          <w:rFonts w:hint="eastAsia" w:ascii="宋体" w:hAnsi="宋体" w:cs="宋体"/>
          <w:color w:val="auto"/>
          <w:position w:val="6"/>
          <w:szCs w:val="21"/>
          <w:highlight w:val="none"/>
          <w:u w:val="single"/>
          <w:lang w:eastAsia="zh-CN"/>
        </w:rPr>
        <w:t>铜陵狮子山高新区2026年度10KV及以下配电工程</w:t>
      </w:r>
      <w:r>
        <w:rPr>
          <w:rFonts w:hint="eastAsia" w:ascii="宋体" w:hAnsi="宋体" w:cs="宋体"/>
          <w:color w:val="auto"/>
          <w:position w:val="6"/>
          <w:szCs w:val="21"/>
          <w:highlight w:val="none"/>
          <w:u w:val="single"/>
        </w:rPr>
        <w:t xml:space="preserve"> </w:t>
      </w:r>
      <w:r>
        <w:rPr>
          <w:rFonts w:hint="eastAsia" w:ascii="宋体" w:hAnsi="宋体" w:cs="宋体"/>
          <w:color w:val="auto"/>
          <w:position w:val="6"/>
          <w:szCs w:val="21"/>
          <w:highlight w:val="none"/>
        </w:rPr>
        <w:t>签订工程质量保修书。</w:t>
      </w:r>
    </w:p>
    <w:p w14:paraId="2CE45D40">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bCs/>
          <w:color w:val="auto"/>
          <w:position w:val="6"/>
          <w:szCs w:val="21"/>
          <w:highlight w:val="none"/>
        </w:rPr>
        <w:t>一、工程质量保修范围和内容</w:t>
      </w:r>
    </w:p>
    <w:p w14:paraId="73A04B6E">
      <w:pPr>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5BD21FB">
      <w:pPr>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r>
        <w:rPr>
          <w:rFonts w:hint="eastAsia" w:ascii="宋体" w:hAnsi="宋体" w:cs="宋体"/>
          <w:color w:val="auto"/>
          <w:position w:val="6"/>
          <w:szCs w:val="21"/>
          <w:highlight w:val="none"/>
          <w:u w:val="single"/>
        </w:rPr>
        <w:t>施工图纸、招标文件范围内项目</w:t>
      </w:r>
      <w:r>
        <w:rPr>
          <w:rFonts w:hint="eastAsia" w:ascii="宋体" w:hAnsi="宋体" w:cs="宋体"/>
          <w:color w:val="auto"/>
          <w:position w:val="6"/>
          <w:szCs w:val="21"/>
          <w:highlight w:val="none"/>
        </w:rPr>
        <w:t>__。</w:t>
      </w:r>
      <w:r>
        <w:rPr>
          <w:rFonts w:hint="eastAsia" w:ascii="宋体" w:hAnsi="宋体" w:cs="宋体"/>
          <w:bCs/>
          <w:color w:val="auto"/>
          <w:position w:val="6"/>
          <w:szCs w:val="21"/>
          <w:highlight w:val="none"/>
        </w:rPr>
        <w:t>因不可抗力或使用不当造成的质量缺陷，不属保修范围。</w:t>
      </w:r>
    </w:p>
    <w:p w14:paraId="68273A89">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bCs/>
          <w:color w:val="auto"/>
          <w:position w:val="6"/>
          <w:szCs w:val="21"/>
          <w:highlight w:val="none"/>
        </w:rPr>
        <w:t>二、质量保修期</w:t>
      </w:r>
    </w:p>
    <w:p w14:paraId="6827B08E">
      <w:pPr>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双方根据《建设工程质量管理条例》及有关规定，约定本工程的质量保修期如下：</w:t>
      </w:r>
    </w:p>
    <w:p w14:paraId="204063FD">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1. 主体结构和基础工程，为</w:t>
      </w:r>
      <w:r>
        <w:rPr>
          <w:rFonts w:hint="eastAsia" w:ascii="宋体" w:hAnsi="宋体" w:cs="宋体"/>
          <w:color w:val="auto"/>
          <w:position w:val="6"/>
          <w:szCs w:val="21"/>
          <w:highlight w:val="none"/>
          <w:u w:val="single"/>
        </w:rPr>
        <w:t xml:space="preserve">  设计文件规定的合理使用年限   </w:t>
      </w:r>
      <w:r>
        <w:rPr>
          <w:rFonts w:hint="eastAsia" w:ascii="宋体" w:hAnsi="宋体" w:cs="宋体"/>
          <w:color w:val="auto"/>
          <w:position w:val="6"/>
          <w:szCs w:val="21"/>
          <w:highlight w:val="none"/>
        </w:rPr>
        <w:t>年；</w:t>
      </w:r>
    </w:p>
    <w:p w14:paraId="3DC12634">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2. 屋面防水工程、有防水要求的卫生间、房间和外墙面的防渗为 5 年；</w:t>
      </w:r>
    </w:p>
    <w:p w14:paraId="1F3432D9">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3. 装修工程为 2 年；</w:t>
      </w:r>
    </w:p>
    <w:p w14:paraId="71C93ED3">
      <w:pPr>
        <w:widowControl/>
        <w:adjustRightInd w:val="0"/>
        <w:snapToGrid w:val="0"/>
        <w:spacing w:line="360" w:lineRule="auto"/>
        <w:ind w:left="420" w:leftChars="200" w:firstLine="58" w:firstLineChars="28"/>
        <w:jc w:val="left"/>
        <w:rPr>
          <w:rFonts w:ascii="宋体" w:hAnsi="宋体" w:cs="宋体"/>
          <w:color w:val="auto"/>
          <w:position w:val="6"/>
          <w:szCs w:val="21"/>
          <w:highlight w:val="none"/>
        </w:rPr>
      </w:pPr>
      <w:r>
        <w:rPr>
          <w:rFonts w:hint="eastAsia" w:ascii="宋体" w:hAnsi="宋体" w:cs="宋体"/>
          <w:color w:val="auto"/>
          <w:position w:val="6"/>
          <w:szCs w:val="21"/>
          <w:highlight w:val="none"/>
        </w:rPr>
        <w:t>4. 电气管线、给排水管道、设备安装工程为 2 年；</w:t>
      </w:r>
    </w:p>
    <w:p w14:paraId="51D3AD0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5.供热与供冷系统为2个采暖期、供冷期:</w:t>
      </w:r>
    </w:p>
    <w:p w14:paraId="0DC58E4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6.给排水设施、道路等配套工程为_2年;</w:t>
      </w:r>
    </w:p>
    <w:p w14:paraId="7A8D69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7.其他项目保修期限约定如下:保温系统工程及幕墙系统为5年，其他未列工程的质量保修期不少于2年且不低于国家现行规定。绿化工程养护期为2</w:t>
      </w:r>
    </w:p>
    <w:p w14:paraId="49D7BA9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年。质量保修期自工程竣工验收合格之日起计算。</w:t>
      </w:r>
    </w:p>
    <w:p w14:paraId="2048E00F">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三、缺陷责任期</w:t>
      </w:r>
    </w:p>
    <w:p w14:paraId="5F2334A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24个月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03DC3D7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0F06D732">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color w:val="auto"/>
          <w:szCs w:val="21"/>
          <w:highlight w:val="none"/>
        </w:rPr>
        <w:t>四、质量保修责任</w:t>
      </w:r>
    </w:p>
    <w:p w14:paraId="17E3D2A7">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1. 属于保修范围、内容的项目，承包人应当在接到保修通知之日起7天内派人保修。承包人不在约定期限内派人保修的，发包人可以委托他人修理。</w:t>
      </w:r>
    </w:p>
    <w:p w14:paraId="0811A253">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2. 发生紧急抢修事故的，承包人在接到事故通知后，应当立即到达事故现场抢修。</w:t>
      </w:r>
    </w:p>
    <w:p w14:paraId="529FB05B">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25D41BF">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4. 质量保修完成后，由发包人组织验收。</w:t>
      </w:r>
    </w:p>
    <w:p w14:paraId="12174CAF">
      <w:pPr>
        <w:widowControl/>
        <w:adjustRightInd w:val="0"/>
        <w:snapToGrid w:val="0"/>
        <w:spacing w:line="360" w:lineRule="auto"/>
        <w:ind w:firstLine="422" w:firstLineChars="200"/>
        <w:jc w:val="left"/>
        <w:rPr>
          <w:rFonts w:ascii="宋体" w:hAnsi="宋体" w:cs="宋体"/>
          <w:b/>
          <w:bCs/>
          <w:color w:val="auto"/>
          <w:position w:val="6"/>
          <w:szCs w:val="21"/>
          <w:highlight w:val="none"/>
        </w:rPr>
      </w:pPr>
      <w:r>
        <w:rPr>
          <w:rFonts w:hint="eastAsia" w:ascii="宋体" w:hAnsi="宋体" w:cs="宋体"/>
          <w:b/>
          <w:bCs/>
          <w:color w:val="auto"/>
          <w:position w:val="6"/>
          <w:szCs w:val="21"/>
          <w:highlight w:val="none"/>
        </w:rPr>
        <w:t>五、保修费用</w:t>
      </w:r>
    </w:p>
    <w:p w14:paraId="10D2B16D">
      <w:pPr>
        <w:widowControl/>
        <w:adjustRightInd w:val="0"/>
        <w:snapToGrid w:val="0"/>
        <w:spacing w:line="360" w:lineRule="auto"/>
        <w:ind w:firstLine="420" w:firstLineChars="200"/>
        <w:jc w:val="left"/>
        <w:rPr>
          <w:rFonts w:ascii="宋体" w:hAnsi="宋体" w:cs="宋体"/>
          <w:color w:val="auto"/>
          <w:position w:val="6"/>
          <w:szCs w:val="21"/>
          <w:highlight w:val="none"/>
        </w:rPr>
      </w:pPr>
      <w:r>
        <w:rPr>
          <w:rFonts w:hint="eastAsia" w:ascii="宋体" w:hAnsi="宋体" w:cs="宋体"/>
          <w:color w:val="auto"/>
          <w:position w:val="6"/>
          <w:szCs w:val="21"/>
          <w:highlight w:val="none"/>
        </w:rPr>
        <w:t>保修费用由造成质量缺陷的责任方承担。</w:t>
      </w:r>
    </w:p>
    <w:p w14:paraId="08F472EF">
      <w:pPr>
        <w:widowControl/>
        <w:adjustRightInd w:val="0"/>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bCs/>
          <w:color w:val="auto"/>
          <w:position w:val="6"/>
          <w:szCs w:val="21"/>
          <w:highlight w:val="none"/>
        </w:rPr>
        <w:t>六、</w:t>
      </w:r>
      <w:r>
        <w:rPr>
          <w:rFonts w:hint="eastAsia" w:ascii="宋体" w:hAnsi="宋体" w:cs="宋体"/>
          <w:b/>
          <w:color w:val="auto"/>
          <w:szCs w:val="21"/>
          <w:highlight w:val="none"/>
        </w:rPr>
        <w:t>双方约定的其他工程质量保修事项：</w:t>
      </w:r>
      <w:r>
        <w:rPr>
          <w:rFonts w:hint="eastAsia" w:ascii="宋体" w:hAnsi="宋体" w:cs="宋体"/>
          <w:b/>
          <w:color w:val="auto"/>
          <w:szCs w:val="21"/>
          <w:highlight w:val="none"/>
          <w:u w:val="single"/>
        </w:rPr>
        <w:t xml:space="preserve">     /        </w:t>
      </w:r>
      <w:r>
        <w:rPr>
          <w:rFonts w:hint="eastAsia" w:ascii="宋体" w:hAnsi="宋体" w:cs="宋体"/>
          <w:b/>
          <w:color w:val="auto"/>
          <w:szCs w:val="21"/>
          <w:highlight w:val="none"/>
        </w:rPr>
        <w:t>。</w:t>
      </w:r>
    </w:p>
    <w:p w14:paraId="19756562">
      <w:pPr>
        <w:widowControl/>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position w:val="6"/>
          <w:szCs w:val="21"/>
          <w:highlight w:val="none"/>
        </w:rPr>
        <w:t>本工程质量保修书，由施工合同发包人、承包人双方在竣工验收前共同签署，作为施工合同附件，其有效期限至保修期满。</w:t>
      </w:r>
    </w:p>
    <w:p w14:paraId="2E8A8055">
      <w:pPr>
        <w:adjustRightInd w:val="0"/>
        <w:snapToGrid w:val="0"/>
        <w:spacing w:line="360" w:lineRule="auto"/>
        <w:ind w:firstLine="420"/>
        <w:rPr>
          <w:rFonts w:ascii="宋体" w:hAnsi="宋体" w:cs="宋体"/>
          <w:color w:val="auto"/>
          <w:szCs w:val="21"/>
          <w:highlight w:val="none"/>
        </w:rPr>
      </w:pPr>
    </w:p>
    <w:p w14:paraId="53CF50B1">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0B7B9129">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1FD7C58C">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45BD768B">
      <w:pPr>
        <w:adjustRightInd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0466BED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57B2C87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077D446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8FAC2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E55BC9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0FD96D9E">
      <w:pPr>
        <w:adjustRightInd w:val="0"/>
        <w:snapToGrid w:val="0"/>
        <w:spacing w:line="400" w:lineRule="exact"/>
        <w:rPr>
          <w:rFonts w:ascii="宋体" w:hAnsi="宋体" w:cs="宋体"/>
          <w:b/>
          <w:color w:val="auto"/>
          <w:szCs w:val="21"/>
          <w:highlight w:val="none"/>
        </w:rPr>
      </w:pPr>
    </w:p>
    <w:p w14:paraId="37EA008A">
      <w:pPr>
        <w:spacing w:line="360" w:lineRule="auto"/>
        <w:ind w:firstLine="500"/>
        <w:rPr>
          <w:rFonts w:ascii="宋体" w:hAnsi="宋体"/>
          <w:color w:val="auto"/>
          <w:sz w:val="24"/>
          <w:highlight w:val="none"/>
        </w:rPr>
      </w:pPr>
    </w:p>
    <w:p w14:paraId="57FF9400">
      <w:pPr>
        <w:pStyle w:val="2"/>
        <w:rPr>
          <w:rFonts w:hint="default" w:ascii="宋体" w:hAnsi="宋体"/>
          <w:color w:val="auto"/>
          <w:sz w:val="24"/>
          <w:highlight w:val="none"/>
        </w:rPr>
      </w:pPr>
    </w:p>
    <w:p w14:paraId="78E4A17F">
      <w:pPr>
        <w:pStyle w:val="2"/>
        <w:rPr>
          <w:rFonts w:hint="default" w:ascii="宋体" w:hAnsi="宋体"/>
          <w:color w:val="auto"/>
          <w:sz w:val="24"/>
          <w:highlight w:val="none"/>
        </w:rPr>
      </w:pPr>
    </w:p>
    <w:p w14:paraId="28B6AEFA">
      <w:pPr>
        <w:widowControl/>
        <w:spacing w:line="360" w:lineRule="auto"/>
        <w:ind w:firstLine="420" w:firstLineChars="200"/>
        <w:jc w:val="left"/>
        <w:rPr>
          <w:rFonts w:ascii="宋体" w:hAnsi="宋体" w:cs="宋体"/>
          <w:color w:val="auto"/>
          <w:kern w:val="0"/>
          <w:szCs w:val="21"/>
          <w:highlight w:val="none"/>
          <w:lang w:bidi="ar"/>
        </w:rPr>
      </w:pPr>
    </w:p>
    <w:p w14:paraId="71ABB89E">
      <w:pPr>
        <w:widowControl/>
        <w:spacing w:line="360" w:lineRule="auto"/>
        <w:ind w:firstLine="420" w:firstLineChars="200"/>
        <w:jc w:val="left"/>
        <w:rPr>
          <w:rFonts w:ascii="宋体" w:hAnsi="宋体" w:cs="宋体"/>
          <w:color w:val="auto"/>
          <w:kern w:val="0"/>
          <w:szCs w:val="21"/>
          <w:highlight w:val="none"/>
          <w:lang w:bidi="ar"/>
        </w:rPr>
      </w:pPr>
    </w:p>
    <w:p w14:paraId="28EEE3EC">
      <w:pPr>
        <w:widowControl/>
        <w:spacing w:line="360" w:lineRule="auto"/>
        <w:ind w:firstLine="420" w:firstLineChars="200"/>
        <w:jc w:val="left"/>
        <w:rPr>
          <w:rFonts w:ascii="宋体" w:hAnsi="宋体" w:cs="宋体"/>
          <w:color w:val="auto"/>
          <w:kern w:val="0"/>
          <w:szCs w:val="21"/>
          <w:highlight w:val="none"/>
          <w:lang w:bidi="ar"/>
        </w:rPr>
      </w:pPr>
    </w:p>
    <w:p w14:paraId="773F3C60">
      <w:pPr>
        <w:widowControl/>
        <w:spacing w:line="360" w:lineRule="auto"/>
        <w:ind w:firstLine="420" w:firstLineChars="200"/>
        <w:jc w:val="left"/>
        <w:rPr>
          <w:rFonts w:ascii="宋体" w:hAnsi="宋体" w:cs="宋体"/>
          <w:color w:val="auto"/>
          <w:kern w:val="0"/>
          <w:szCs w:val="21"/>
          <w:highlight w:val="none"/>
          <w:lang w:bidi="ar"/>
        </w:rPr>
      </w:pPr>
    </w:p>
    <w:p w14:paraId="5913470E">
      <w:pPr>
        <w:widowControl/>
        <w:spacing w:line="360" w:lineRule="auto"/>
        <w:ind w:firstLine="420" w:firstLineChars="200"/>
        <w:jc w:val="left"/>
        <w:rPr>
          <w:rFonts w:ascii="宋体" w:hAnsi="宋体" w:cs="宋体"/>
          <w:color w:val="auto"/>
          <w:kern w:val="0"/>
          <w:szCs w:val="21"/>
          <w:highlight w:val="none"/>
          <w:lang w:bidi="ar"/>
        </w:rPr>
      </w:pPr>
    </w:p>
    <w:p w14:paraId="29C707B8">
      <w:pPr>
        <w:widowControl/>
        <w:spacing w:line="360" w:lineRule="auto"/>
        <w:ind w:firstLine="420" w:firstLineChars="200"/>
        <w:jc w:val="left"/>
        <w:rPr>
          <w:rFonts w:ascii="宋体" w:hAnsi="宋体" w:cs="宋体"/>
          <w:color w:val="auto"/>
          <w:kern w:val="0"/>
          <w:szCs w:val="21"/>
          <w:highlight w:val="none"/>
          <w:lang w:bidi="ar"/>
        </w:rPr>
      </w:pPr>
    </w:p>
    <w:p w14:paraId="029FD057">
      <w:pPr>
        <w:widowControl/>
        <w:spacing w:line="360" w:lineRule="auto"/>
        <w:ind w:firstLine="420" w:firstLineChars="200"/>
        <w:jc w:val="left"/>
        <w:rPr>
          <w:rFonts w:ascii="宋体" w:hAnsi="宋体" w:cs="宋体"/>
          <w:color w:val="auto"/>
          <w:kern w:val="0"/>
          <w:szCs w:val="21"/>
          <w:highlight w:val="none"/>
          <w:lang w:bidi="ar"/>
        </w:rPr>
      </w:pPr>
    </w:p>
    <w:p w14:paraId="32D9CFB6">
      <w:pPr>
        <w:widowControl/>
        <w:spacing w:line="360" w:lineRule="auto"/>
        <w:ind w:firstLine="420" w:firstLineChars="200"/>
        <w:jc w:val="left"/>
        <w:rPr>
          <w:rFonts w:ascii="宋体" w:hAnsi="宋体" w:cs="宋体"/>
          <w:color w:val="auto"/>
          <w:kern w:val="0"/>
          <w:szCs w:val="21"/>
          <w:highlight w:val="none"/>
          <w:lang w:bidi="ar"/>
        </w:rPr>
      </w:pPr>
    </w:p>
    <w:p w14:paraId="403C8E09">
      <w:pPr>
        <w:widowControl/>
        <w:spacing w:line="360" w:lineRule="auto"/>
        <w:ind w:firstLine="420" w:firstLineChars="200"/>
        <w:jc w:val="left"/>
        <w:rPr>
          <w:rFonts w:ascii="宋体" w:hAnsi="宋体" w:cs="宋体"/>
          <w:color w:val="auto"/>
          <w:kern w:val="0"/>
          <w:szCs w:val="21"/>
          <w:highlight w:val="none"/>
          <w:lang w:bidi="ar"/>
        </w:rPr>
      </w:pPr>
    </w:p>
    <w:p w14:paraId="49D8312F">
      <w:pPr>
        <w:widowControl/>
        <w:spacing w:line="360" w:lineRule="auto"/>
        <w:ind w:firstLine="420" w:firstLineChars="200"/>
        <w:jc w:val="left"/>
        <w:rPr>
          <w:rFonts w:ascii="宋体" w:hAnsi="宋体" w:cs="宋体"/>
          <w:color w:val="auto"/>
          <w:kern w:val="0"/>
          <w:szCs w:val="21"/>
          <w:highlight w:val="none"/>
          <w:lang w:bidi="ar"/>
        </w:rPr>
      </w:pPr>
    </w:p>
    <w:p w14:paraId="61D4A7A3">
      <w:pPr>
        <w:widowControl/>
        <w:spacing w:line="360" w:lineRule="auto"/>
        <w:ind w:firstLine="420" w:firstLineChars="200"/>
        <w:jc w:val="left"/>
        <w:rPr>
          <w:rFonts w:ascii="宋体" w:hAnsi="宋体" w:cs="宋体"/>
          <w:color w:val="auto"/>
          <w:kern w:val="0"/>
          <w:szCs w:val="21"/>
          <w:highlight w:val="none"/>
          <w:lang w:bidi="ar"/>
        </w:rPr>
      </w:pPr>
    </w:p>
    <w:p w14:paraId="3F14A4B8">
      <w:pPr>
        <w:widowControl/>
        <w:spacing w:line="360" w:lineRule="auto"/>
        <w:ind w:firstLine="420" w:firstLineChars="200"/>
        <w:jc w:val="left"/>
        <w:rPr>
          <w:rFonts w:ascii="宋体" w:hAnsi="宋体" w:cs="宋体"/>
          <w:color w:val="auto"/>
          <w:kern w:val="0"/>
          <w:szCs w:val="21"/>
          <w:highlight w:val="none"/>
          <w:lang w:bidi="ar"/>
        </w:rPr>
      </w:pPr>
    </w:p>
    <w:p w14:paraId="6FD3F05C">
      <w:pPr>
        <w:widowControl/>
        <w:spacing w:line="360" w:lineRule="auto"/>
        <w:ind w:firstLine="420" w:firstLineChars="200"/>
        <w:jc w:val="left"/>
        <w:rPr>
          <w:rFonts w:ascii="宋体" w:hAnsi="宋体" w:cs="宋体"/>
          <w:color w:val="auto"/>
          <w:kern w:val="0"/>
          <w:szCs w:val="21"/>
          <w:highlight w:val="none"/>
          <w:lang w:bidi="ar"/>
        </w:rPr>
      </w:pPr>
    </w:p>
    <w:p w14:paraId="0C7E043D">
      <w:pPr>
        <w:widowControl/>
        <w:spacing w:line="360" w:lineRule="auto"/>
        <w:ind w:firstLine="420" w:firstLineChars="200"/>
        <w:jc w:val="left"/>
        <w:rPr>
          <w:rFonts w:ascii="宋体" w:hAnsi="宋体" w:cs="宋体"/>
          <w:color w:val="auto"/>
          <w:kern w:val="0"/>
          <w:szCs w:val="21"/>
          <w:highlight w:val="none"/>
          <w:lang w:bidi="ar"/>
        </w:rPr>
      </w:pPr>
    </w:p>
    <w:p w14:paraId="056E71BF">
      <w:pPr>
        <w:widowControl/>
        <w:spacing w:line="360" w:lineRule="auto"/>
        <w:ind w:firstLine="420" w:firstLineChars="200"/>
        <w:jc w:val="left"/>
        <w:rPr>
          <w:rFonts w:ascii="宋体" w:hAnsi="宋体" w:cs="宋体"/>
          <w:color w:val="auto"/>
          <w:kern w:val="0"/>
          <w:szCs w:val="21"/>
          <w:highlight w:val="none"/>
          <w:lang w:bidi="ar"/>
        </w:rPr>
      </w:pPr>
    </w:p>
    <w:p w14:paraId="65470045">
      <w:pPr>
        <w:widowControl/>
        <w:spacing w:line="360" w:lineRule="auto"/>
        <w:ind w:firstLine="420" w:firstLineChars="200"/>
        <w:jc w:val="left"/>
        <w:rPr>
          <w:rFonts w:ascii="宋体" w:hAnsi="宋体" w:cs="宋体"/>
          <w:color w:val="auto"/>
          <w:kern w:val="0"/>
          <w:szCs w:val="21"/>
          <w:highlight w:val="none"/>
          <w:lang w:bidi="ar"/>
        </w:rPr>
      </w:pPr>
    </w:p>
    <w:p w14:paraId="02A7037C">
      <w:pPr>
        <w:rPr>
          <w:rFonts w:ascii="宋体" w:hAnsi="宋体" w:cs="宋体"/>
          <w:color w:val="auto"/>
          <w:szCs w:val="21"/>
          <w:highlight w:val="none"/>
          <w:shd w:val="clear" w:color="auto" w:fill="FFFFFF"/>
        </w:rPr>
      </w:pPr>
      <w:r>
        <w:rPr>
          <w:rFonts w:hint="eastAsia" w:ascii="宋体" w:hAnsi="宋体" w:cs="宋体"/>
          <w:color w:val="auto"/>
          <w:szCs w:val="21"/>
          <w:highlight w:val="none"/>
        </w:rPr>
        <w:t xml:space="preserve">附件2：                             </w:t>
      </w:r>
      <w:r>
        <w:rPr>
          <w:rFonts w:hint="eastAsia" w:ascii="宋体" w:hAnsi="宋体" w:cs="宋体"/>
          <w:color w:val="auto"/>
          <w:szCs w:val="21"/>
          <w:highlight w:val="none"/>
          <w:shd w:val="clear" w:color="auto" w:fill="FFFFFF"/>
        </w:rPr>
        <w:t>安全生产合同</w:t>
      </w:r>
    </w:p>
    <w:p w14:paraId="401EB6E9">
      <w:pPr>
        <w:spacing w:line="360" w:lineRule="auto"/>
        <w:ind w:firstLine="420" w:firstLineChars="200"/>
        <w:rPr>
          <w:rFonts w:ascii="宋体" w:hAnsi="宋体" w:cs="宋体"/>
          <w:color w:val="auto"/>
          <w:kern w:val="0"/>
          <w:szCs w:val="21"/>
          <w:highlight w:val="none"/>
          <w:lang w:bidi="ar"/>
        </w:rPr>
      </w:pPr>
    </w:p>
    <w:p w14:paraId="2675BD3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为在</w:t>
      </w:r>
      <w:r>
        <w:rPr>
          <w:rFonts w:hint="eastAsia" w:ascii="宋体" w:hAnsi="宋体" w:cs="宋体"/>
          <w:color w:val="auto"/>
          <w:highlight w:val="none"/>
          <w:u w:val="single"/>
          <w:lang w:eastAsia="zh-CN"/>
        </w:rPr>
        <w:t>铜陵狮子山高新区2026年度10KV及以下配电工程</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lang w:bidi="ar"/>
        </w:rPr>
        <w:t>（项目名称）</w:t>
      </w:r>
      <w:r>
        <w:rPr>
          <w:rFonts w:hint="eastAsia" w:ascii="宋体" w:hAnsi="宋体" w:cs="宋体"/>
          <w:color w:val="auto"/>
          <w:kern w:val="0"/>
          <w:szCs w:val="21"/>
          <w:highlight w:val="none"/>
          <w:u w:val="single"/>
          <w:lang w:bidi="ar"/>
        </w:rPr>
        <w:t xml:space="preserve">   /   </w:t>
      </w:r>
      <w:r>
        <w:rPr>
          <w:rFonts w:hint="eastAsia" w:ascii="宋体" w:hAnsi="宋体" w:cs="宋体"/>
          <w:color w:val="auto"/>
          <w:kern w:val="0"/>
          <w:szCs w:val="21"/>
          <w:highlight w:val="none"/>
          <w:lang w:bidi="ar"/>
        </w:rPr>
        <w:t>（标段）施工合同的实施过程中创造安全、高效的施工环境，切实搞好本项目的安全管理工作，本项目发包人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（发包人名称，以下简称“发包人”）与承包人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（承包人名称，以下简称“承包人”）特此签订安全生产合同：</w:t>
      </w:r>
    </w:p>
    <w:p w14:paraId="3D7A0EFD">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1.发包人职责</w:t>
      </w:r>
    </w:p>
    <w:p w14:paraId="3FCB384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（1）严格遵守国家有关安全生产的法律法规，认真执行工程承包合同中的有关安全要求。</w:t>
      </w:r>
    </w:p>
    <w:p w14:paraId="34B0C25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（2）按照“安全第一、预防为主”和坚持“管生产必须管安全”的原则进行安全生产管理，做到生产与安全工作同时计划、布置、检查、总结和评比。</w:t>
      </w:r>
    </w:p>
    <w:p w14:paraId="7C342E48">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（3）重要的安全设施必须坚持与主体工程“三同时”的原则，即：同时设计、审批，同时施工，同时验收，投入使用。</w:t>
      </w:r>
    </w:p>
    <w:p w14:paraId="5B22632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（4）定期召开安全生产调度会，及时传达中央及地方有关安全生产的精神。</w:t>
      </w:r>
    </w:p>
    <w:p w14:paraId="5EC7867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（5）组织对承包人施工现场安全生产检查，监督承包人及时处理发现的各种安全隐患。</w:t>
      </w:r>
    </w:p>
    <w:p w14:paraId="1EB3968A">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2.承包人职责</w:t>
      </w:r>
    </w:p>
    <w:p w14:paraId="52C710A9">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0F56A415">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2AF2F91">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2CF49153">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（4）承包人在任何时候都应采取各种合理的预防措施，防止其员工发生任何违法、违禁、暴力或妨碍治安的行为。</w:t>
      </w:r>
    </w:p>
    <w:p w14:paraId="4D43BEF3">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3AF81940">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6E4471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（7）操作人员上岗，必须按规定穿戴防护用品。施工负责人和安全检查员应随时检查劳动防护用品的穿戴情况，不按规定穿戴防护用品的人员不得上岗。</w:t>
      </w:r>
    </w:p>
    <w:p w14:paraId="757DD554">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（8）所有施工机具设备和高空作业的设备均应定期检查，并有安全员的签字记录，保证其经常处于完好状态；不合格的机具、设备和劳动保护用品严禁使用：</w:t>
      </w:r>
    </w:p>
    <w:p w14:paraId="1EE0AF0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（9）施工中采用新技术、新工艺、新设备、新材料时，必须制定相应的安全技术措施，施工现场必须具有相关的安全标志牌。</w:t>
      </w:r>
    </w:p>
    <w:p w14:paraId="64FA4806">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6EA45CF">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（11）安全生产费用按照《建设工程安全生产管理条例》的相关规定使用和管理。</w:t>
      </w:r>
    </w:p>
    <w:p w14:paraId="2560C65B">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3.违约责任</w:t>
      </w:r>
    </w:p>
    <w:p w14:paraId="612A90D8">
      <w:p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如因发包人或承包人违约造成安全事故，将依法追究责任。</w:t>
      </w:r>
    </w:p>
    <w:p w14:paraId="7A3933FE">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4.本合同由双方法定代表人或其授权的代理人签署并加盖单位章后生效，全部工程竣工验收后失效。</w:t>
      </w:r>
    </w:p>
    <w:p w14:paraId="02E39CB6">
      <w:pPr>
        <w:spacing w:line="360" w:lineRule="auto"/>
        <w:rPr>
          <w:rFonts w:ascii="宋体" w:hAnsi="宋体" w:cs="宋体"/>
          <w:color w:val="auto"/>
          <w:szCs w:val="21"/>
          <w:highlight w:val="none"/>
        </w:rPr>
      </w:pPr>
    </w:p>
    <w:p w14:paraId="0E2BC179">
      <w:pPr>
        <w:pStyle w:val="47"/>
        <w:rPr>
          <w:rFonts w:ascii="宋体" w:hAnsi="宋体" w:cs="宋体"/>
          <w:color w:val="auto"/>
          <w:szCs w:val="21"/>
          <w:highlight w:val="none"/>
        </w:rPr>
      </w:pPr>
    </w:p>
    <w:p w14:paraId="56AD5D1D">
      <w:pP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发包人：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（盖单位章）           承包人：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（盖单位章）</w:t>
      </w:r>
    </w:p>
    <w:p w14:paraId="5F671D19">
      <w:pP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法定代表人或其委托代理人：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（签字）          法定代表人或其委托代理人：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（签字）</w:t>
      </w:r>
    </w:p>
    <w:p w14:paraId="36373FD1">
      <w:pPr>
        <w:rPr>
          <w:rStyle w:val="64"/>
          <w:rFonts w:ascii="宋体" w:hAnsi="宋体" w:cs="宋体"/>
          <w:b/>
          <w:color w:val="auto"/>
          <w:sz w:val="30"/>
          <w:szCs w:val="30"/>
          <w:highlight w:val="none"/>
        </w:rPr>
      </w:pP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 xml:space="preserve">日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月</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日</w:t>
      </w:r>
    </w:p>
    <w:p w14:paraId="7EB1F4E4">
      <w:pPr>
        <w:pStyle w:val="4"/>
        <w:keepNext w:val="0"/>
        <w:keepLines w:val="0"/>
        <w:spacing w:before="0" w:after="0" w:line="240" w:lineRule="auto"/>
        <w:rPr>
          <w:rFonts w:ascii="宋体" w:hAnsi="宋体" w:cs="宋体"/>
          <w:color w:val="auto"/>
          <w:sz w:val="22"/>
          <w:szCs w:val="22"/>
          <w:highlight w:val="none"/>
        </w:rPr>
      </w:pPr>
    </w:p>
    <w:p w14:paraId="76983CCF">
      <w:pPr>
        <w:pStyle w:val="47"/>
        <w:rPr>
          <w:rFonts w:ascii="宋体" w:hAnsi="宋体" w:cs="宋体"/>
          <w:color w:val="auto"/>
          <w:szCs w:val="21"/>
          <w:highlight w:val="none"/>
        </w:rPr>
      </w:pPr>
    </w:p>
    <w:p w14:paraId="62AD1027">
      <w:pPr>
        <w:pStyle w:val="47"/>
        <w:rPr>
          <w:rFonts w:ascii="宋体" w:hAnsi="宋体" w:cs="宋体"/>
          <w:color w:val="auto"/>
          <w:szCs w:val="21"/>
          <w:highlight w:val="none"/>
        </w:rPr>
      </w:pPr>
    </w:p>
    <w:p w14:paraId="6DD352D4">
      <w:pPr>
        <w:pStyle w:val="47"/>
        <w:rPr>
          <w:rFonts w:ascii="宋体" w:hAnsi="宋体" w:cs="宋体"/>
          <w:color w:val="auto"/>
          <w:szCs w:val="21"/>
          <w:highlight w:val="none"/>
        </w:rPr>
      </w:pPr>
    </w:p>
    <w:p w14:paraId="54A4D745">
      <w:pPr>
        <w:pStyle w:val="47"/>
        <w:rPr>
          <w:rFonts w:ascii="宋体" w:hAnsi="宋体" w:cs="宋体"/>
          <w:color w:val="auto"/>
          <w:szCs w:val="21"/>
          <w:highlight w:val="none"/>
        </w:rPr>
      </w:pPr>
    </w:p>
    <w:p w14:paraId="6E59FFDB">
      <w:pPr>
        <w:pStyle w:val="47"/>
        <w:rPr>
          <w:rFonts w:ascii="宋体" w:hAnsi="宋体" w:cs="宋体"/>
          <w:color w:val="auto"/>
          <w:szCs w:val="21"/>
          <w:highlight w:val="none"/>
        </w:rPr>
      </w:pPr>
    </w:p>
    <w:p w14:paraId="5F6BC638">
      <w:pPr>
        <w:pStyle w:val="47"/>
        <w:rPr>
          <w:rFonts w:ascii="宋体" w:hAnsi="宋体" w:cs="宋体"/>
          <w:color w:val="auto"/>
          <w:szCs w:val="21"/>
          <w:highlight w:val="none"/>
        </w:rPr>
      </w:pPr>
    </w:p>
    <w:p w14:paraId="767CC123">
      <w:pPr>
        <w:pStyle w:val="47"/>
        <w:rPr>
          <w:rFonts w:ascii="宋体" w:hAnsi="宋体" w:cs="宋体"/>
          <w:color w:val="auto"/>
          <w:szCs w:val="21"/>
          <w:highlight w:val="none"/>
        </w:rPr>
      </w:pPr>
    </w:p>
    <w:p w14:paraId="40476D00">
      <w:pPr>
        <w:pStyle w:val="47"/>
        <w:rPr>
          <w:rFonts w:ascii="宋体" w:hAnsi="宋体" w:cs="宋体"/>
          <w:color w:val="auto"/>
          <w:szCs w:val="21"/>
          <w:highlight w:val="none"/>
        </w:rPr>
      </w:pPr>
    </w:p>
    <w:p w14:paraId="1DFE737B">
      <w:pPr>
        <w:pStyle w:val="47"/>
        <w:rPr>
          <w:rFonts w:ascii="宋体" w:hAnsi="宋体" w:cs="宋体"/>
          <w:color w:val="auto"/>
          <w:szCs w:val="21"/>
          <w:highlight w:val="none"/>
        </w:rPr>
      </w:pPr>
    </w:p>
    <w:p w14:paraId="05C62E20">
      <w:pPr>
        <w:pStyle w:val="47"/>
        <w:rPr>
          <w:rFonts w:ascii="宋体" w:hAnsi="宋体" w:cs="宋体"/>
          <w:color w:val="auto"/>
          <w:szCs w:val="21"/>
          <w:highlight w:val="none"/>
        </w:rPr>
      </w:pPr>
    </w:p>
    <w:p w14:paraId="4A06C1C9">
      <w:pPr>
        <w:pStyle w:val="47"/>
        <w:rPr>
          <w:rFonts w:ascii="宋体" w:hAnsi="宋体" w:cs="宋体"/>
          <w:color w:val="auto"/>
          <w:szCs w:val="21"/>
          <w:highlight w:val="none"/>
        </w:rPr>
      </w:pPr>
    </w:p>
    <w:p w14:paraId="7515AC4C">
      <w:pPr>
        <w:pStyle w:val="47"/>
        <w:rPr>
          <w:rFonts w:ascii="宋体" w:hAnsi="宋体" w:cs="宋体"/>
          <w:color w:val="auto"/>
          <w:szCs w:val="21"/>
          <w:highlight w:val="none"/>
        </w:rPr>
      </w:pPr>
    </w:p>
    <w:p w14:paraId="1B540908">
      <w:pPr>
        <w:pStyle w:val="47"/>
        <w:ind w:left="0" w:leftChars="0" w:firstLine="0" w:firstLineChars="0"/>
        <w:rPr>
          <w:rFonts w:ascii="宋体" w:hAnsi="宋体" w:cs="宋体"/>
          <w:color w:val="auto"/>
          <w:szCs w:val="21"/>
          <w:highlight w:val="none"/>
        </w:rPr>
      </w:pPr>
    </w:p>
    <w:p w14:paraId="0BEC0425">
      <w:pPr>
        <w:pStyle w:val="47"/>
        <w:ind w:left="0" w:leftChars="0" w:firstLine="0" w:firstLineChars="0"/>
        <w:rPr>
          <w:rFonts w:ascii="宋体" w:hAnsi="宋体" w:cs="宋体"/>
          <w:color w:val="auto"/>
          <w:szCs w:val="21"/>
          <w:highlight w:val="none"/>
        </w:rPr>
      </w:pPr>
    </w:p>
    <w:p w14:paraId="73BB2E50">
      <w:pPr>
        <w:rPr>
          <w:rFonts w:ascii="宋体" w:hAnsi="宋体"/>
          <w:color w:val="auto"/>
          <w:sz w:val="24"/>
          <w:highlight w:val="none"/>
        </w:rPr>
      </w:pPr>
      <w:r>
        <w:rPr>
          <w:rFonts w:ascii="宋体" w:hAnsi="宋体"/>
          <w:color w:val="auto"/>
          <w:sz w:val="24"/>
          <w:highlight w:val="none"/>
        </w:rPr>
        <w:br w:type="page"/>
      </w:r>
    </w:p>
    <w:p w14:paraId="5281BD81">
      <w:pPr>
        <w:rPr>
          <w:color w:val="auto"/>
          <w:highlight w:val="none"/>
        </w:rPr>
      </w:pPr>
    </w:p>
    <w:p w14:paraId="212E822C">
      <w:pPr>
        <w:pStyle w:val="22"/>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附件3</w:t>
      </w:r>
    </w:p>
    <w:p w14:paraId="4477814F">
      <w:pPr>
        <w:pStyle w:val="22"/>
        <w:spacing w:line="360" w:lineRule="auto"/>
        <w:jc w:val="center"/>
        <w:rPr>
          <w:rFonts w:hAnsi="宋体"/>
          <w:b/>
          <w:color w:val="auto"/>
          <w:sz w:val="32"/>
          <w:szCs w:val="32"/>
          <w:highlight w:val="none"/>
        </w:rPr>
      </w:pPr>
      <w:r>
        <w:rPr>
          <w:rFonts w:hint="eastAsia" w:hAnsi="宋体"/>
          <w:b/>
          <w:color w:val="auto"/>
          <w:sz w:val="32"/>
          <w:szCs w:val="32"/>
          <w:highlight w:val="none"/>
        </w:rPr>
        <w:t>发包人要求</w:t>
      </w:r>
    </w:p>
    <w:p w14:paraId="4EFA3406">
      <w:pPr>
        <w:pStyle w:val="14"/>
        <w:widowControl/>
        <w:numPr>
          <w:ilvl w:val="0"/>
          <w:numId w:val="4"/>
        </w:numPr>
        <w:kinsoku w:val="0"/>
        <w:autoSpaceDE w:val="0"/>
        <w:autoSpaceDN w:val="0"/>
        <w:adjustRightInd w:val="0"/>
        <w:snapToGrid w:val="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项目概况</w:t>
      </w:r>
    </w:p>
    <w:p w14:paraId="7E6BD144">
      <w:pPr>
        <w:pStyle w:val="22"/>
        <w:numPr>
          <w:ilvl w:val="0"/>
          <w:numId w:val="0"/>
        </w:numPr>
        <w:spacing w:line="360" w:lineRule="auto"/>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为保障企业服务基础设施，现对</w:t>
      </w:r>
      <w:r>
        <w:rPr>
          <w:rFonts w:hint="eastAsia" w:hAnsi="宋体" w:cs="宋体"/>
          <w:bCs/>
          <w:color w:val="auto"/>
          <w:sz w:val="22"/>
          <w:szCs w:val="22"/>
          <w:highlight w:val="none"/>
          <w:lang w:eastAsia="zh-CN"/>
        </w:rPr>
        <w:t>铜陵狮子山高新区2026年度10KV及以下配电工程</w:t>
      </w:r>
      <w:r>
        <w:rPr>
          <w:rFonts w:hint="eastAsia" w:ascii="宋体" w:hAnsi="宋体" w:eastAsia="宋体" w:cs="宋体"/>
          <w:bCs/>
          <w:color w:val="auto"/>
          <w:sz w:val="22"/>
          <w:szCs w:val="22"/>
          <w:highlight w:val="none"/>
        </w:rPr>
        <w:t>进行招标，主要内容</w:t>
      </w:r>
      <w:r>
        <w:rPr>
          <w:rFonts w:hint="eastAsia" w:ascii="宋体" w:hAnsi="宋体" w:eastAsia="宋体" w:cs="宋体"/>
          <w:bCs/>
          <w:color w:val="auto"/>
          <w:sz w:val="22"/>
          <w:szCs w:val="22"/>
          <w:highlight w:val="none"/>
          <w:lang w:val="en-US"/>
        </w:rPr>
        <w:t>按</w:t>
      </w:r>
      <w:r>
        <w:rPr>
          <w:rFonts w:hint="eastAsia" w:ascii="宋体" w:hAnsi="宋体" w:eastAsia="宋体" w:cs="宋体"/>
          <w:bCs/>
          <w:color w:val="auto"/>
          <w:sz w:val="22"/>
          <w:szCs w:val="22"/>
          <w:highlight w:val="none"/>
        </w:rPr>
        <w:t>高新区</w:t>
      </w:r>
      <w:r>
        <w:rPr>
          <w:rFonts w:hint="eastAsia" w:ascii="宋体" w:hAnsi="宋体" w:eastAsia="宋体" w:cs="宋体"/>
          <w:bCs/>
          <w:color w:val="auto"/>
          <w:sz w:val="22"/>
          <w:szCs w:val="22"/>
          <w:highlight w:val="none"/>
          <w:lang w:val="en-US"/>
        </w:rPr>
        <w:t>内企业年度需求情况及建设方要求按需实施</w:t>
      </w:r>
      <w:r>
        <w:rPr>
          <w:rFonts w:hint="eastAsia" w:ascii="宋体" w:hAnsi="宋体" w:eastAsia="宋体" w:cs="宋体"/>
          <w:bCs/>
          <w:color w:val="auto"/>
          <w:sz w:val="22"/>
          <w:szCs w:val="22"/>
          <w:highlight w:val="none"/>
        </w:rPr>
        <w:t>，含电气设备、配管及电缆等工程。具体以招标文件中所载明的内容和项目实施过程中的供电方案或任务单</w:t>
      </w:r>
      <w:r>
        <w:rPr>
          <w:rFonts w:hint="eastAsia" w:ascii="宋体" w:hAnsi="宋体" w:eastAsia="宋体" w:cs="宋体"/>
          <w:bCs/>
          <w:color w:val="auto"/>
          <w:sz w:val="22"/>
          <w:szCs w:val="22"/>
          <w:highlight w:val="none"/>
          <w:lang w:eastAsia="zh-CN"/>
        </w:rPr>
        <w:t>为准</w:t>
      </w:r>
      <w:r>
        <w:rPr>
          <w:rFonts w:hint="eastAsia" w:ascii="宋体" w:hAnsi="宋体" w:eastAsia="宋体" w:cs="宋体"/>
          <w:bCs/>
          <w:color w:val="auto"/>
          <w:sz w:val="22"/>
          <w:szCs w:val="22"/>
          <w:highlight w:val="none"/>
        </w:rPr>
        <w:t>。</w:t>
      </w:r>
    </w:p>
    <w:p w14:paraId="69879A98">
      <w:pPr>
        <w:pStyle w:val="22"/>
        <w:numPr>
          <w:ilvl w:val="0"/>
          <w:numId w:val="4"/>
        </w:numPr>
        <w:spacing w:line="360" w:lineRule="auto"/>
        <w:jc w:val="left"/>
        <w:rPr>
          <w:rFonts w:hAnsi="宋体" w:cs="宋体"/>
          <w:b/>
          <w:bCs/>
          <w:color w:val="auto"/>
          <w:sz w:val="28"/>
          <w:szCs w:val="28"/>
          <w:highlight w:val="none"/>
        </w:rPr>
      </w:pPr>
      <w:r>
        <w:rPr>
          <w:rFonts w:hint="eastAsia" w:hAnsi="宋体" w:cs="宋体"/>
          <w:b/>
          <w:bCs/>
          <w:color w:val="auto"/>
          <w:sz w:val="28"/>
          <w:szCs w:val="28"/>
          <w:highlight w:val="none"/>
        </w:rPr>
        <w:t>服务周期</w:t>
      </w:r>
    </w:p>
    <w:p w14:paraId="3EB15C41">
      <w:pPr>
        <w:pStyle w:val="22"/>
        <w:numPr>
          <w:ilvl w:val="0"/>
          <w:numId w:val="0"/>
        </w:numPr>
        <w:spacing w:line="360" w:lineRule="auto"/>
        <w:ind w:firstLine="440" w:firstLineChars="200"/>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1</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本项目服务有效期1年(自合同签订之日起算365日历天，</w:t>
      </w:r>
      <w:r>
        <w:rPr>
          <w:rFonts w:hint="eastAsia" w:hAnsi="宋体" w:cs="宋体"/>
          <w:bCs/>
          <w:color w:val="auto"/>
          <w:sz w:val="22"/>
          <w:szCs w:val="22"/>
          <w:highlight w:val="none"/>
          <w:lang w:eastAsia="zh-CN"/>
        </w:rPr>
        <w:t>若合同施工服务期内施工金额累计达到总建安费金额</w:t>
      </w:r>
      <w:r>
        <w:rPr>
          <w:rFonts w:hint="eastAsia" w:hAnsi="宋体" w:cs="宋体"/>
          <w:bCs/>
          <w:color w:val="auto"/>
          <w:sz w:val="22"/>
          <w:szCs w:val="22"/>
          <w:highlight w:val="none"/>
        </w:rPr>
        <w:t>，则有效期自动届满)，</w:t>
      </w:r>
    </w:p>
    <w:p w14:paraId="361C0BF6">
      <w:pPr>
        <w:pStyle w:val="22"/>
        <w:numPr>
          <w:ilvl w:val="0"/>
          <w:numId w:val="0"/>
        </w:numPr>
        <w:spacing w:line="360" w:lineRule="auto"/>
        <w:ind w:firstLine="440" w:firstLineChars="200"/>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2</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工作任务的工期以发包人书面通知或指令为准（工程派工单）。如合同施工服务期届满，单个工作任务尚未竣工的，中标人仍应就该单个工作任务继续履行，直至该项任务达到验收合格。</w:t>
      </w:r>
    </w:p>
    <w:p w14:paraId="67F1D63C">
      <w:pPr>
        <w:pStyle w:val="22"/>
        <w:numPr>
          <w:ilvl w:val="0"/>
          <w:numId w:val="0"/>
        </w:numPr>
        <w:spacing w:line="360" w:lineRule="auto"/>
        <w:ind w:firstLine="440" w:firstLineChars="200"/>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3</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中标人依据《工程派工单》进行施工，且24小时内领取《工程派工单》及完成现场查看；没有《工程派工单》的施工项目，发包人将不予认可；且</w:t>
      </w:r>
      <w:r>
        <w:rPr>
          <w:rFonts w:hint="eastAsia" w:hAnsi="宋体" w:cs="宋体"/>
          <w:bCs/>
          <w:color w:val="auto"/>
          <w:sz w:val="22"/>
          <w:szCs w:val="22"/>
          <w:highlight w:val="none"/>
          <w:lang w:val="en-US" w:eastAsia="zh-CN"/>
        </w:rPr>
        <w:t>施工</w:t>
      </w:r>
      <w:r>
        <w:rPr>
          <w:rFonts w:hint="eastAsia" w:hAnsi="宋体" w:cs="宋体"/>
          <w:bCs/>
          <w:color w:val="auto"/>
          <w:sz w:val="22"/>
          <w:szCs w:val="22"/>
          <w:highlight w:val="none"/>
        </w:rPr>
        <w:t>方案须报发包人审批通过后，方可进行施工，否则发包人将不予认可。</w:t>
      </w:r>
    </w:p>
    <w:p w14:paraId="4ABC09A1">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4、因承包人原因导致单项工程工期延误的逾期竣工违约金的计算方法为：处200元/日（不可抗力除外）、累计最高赔偿金额为合同履约保证金的40%。但因延期导致发包人相应损失的，发包人有权增加赔偿比例。</w:t>
      </w:r>
    </w:p>
    <w:p w14:paraId="40A7F852">
      <w:pPr>
        <w:pStyle w:val="22"/>
        <w:numPr>
          <w:ilvl w:val="0"/>
          <w:numId w:val="4"/>
        </w:numPr>
        <w:spacing w:line="360" w:lineRule="auto"/>
        <w:jc w:val="left"/>
        <w:rPr>
          <w:rFonts w:hAnsi="宋体" w:cs="宋体"/>
          <w:b/>
          <w:bCs/>
          <w:color w:val="auto"/>
          <w:sz w:val="28"/>
          <w:szCs w:val="28"/>
          <w:highlight w:val="none"/>
        </w:rPr>
      </w:pPr>
      <w:r>
        <w:rPr>
          <w:rFonts w:hint="eastAsia" w:hAnsi="宋体" w:cs="宋体"/>
          <w:b/>
          <w:bCs/>
          <w:color w:val="auto"/>
          <w:sz w:val="28"/>
          <w:szCs w:val="28"/>
          <w:highlight w:val="none"/>
        </w:rPr>
        <w:t>服务要求</w:t>
      </w:r>
    </w:p>
    <w:p w14:paraId="544BA41F">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1.人员配备</w:t>
      </w:r>
    </w:p>
    <w:p w14:paraId="4D0C5AA9">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本项目为年度</w:t>
      </w:r>
      <w:r>
        <w:rPr>
          <w:rFonts w:hint="eastAsia" w:hAnsi="宋体" w:cs="宋体"/>
          <w:bCs/>
          <w:color w:val="auto"/>
          <w:sz w:val="22"/>
          <w:szCs w:val="22"/>
          <w:highlight w:val="none"/>
          <w:lang w:val="en-US" w:eastAsia="zh-CN"/>
        </w:rPr>
        <w:t>施工</w:t>
      </w:r>
      <w:r>
        <w:rPr>
          <w:rFonts w:hint="eastAsia" w:hAnsi="宋体" w:cs="宋体"/>
          <w:bCs/>
          <w:color w:val="auto"/>
          <w:sz w:val="22"/>
          <w:szCs w:val="22"/>
          <w:highlight w:val="none"/>
        </w:rPr>
        <w:t>工程，中标人须根据发包人的派工单合理安排项目的施工人员。危险性较大的分部分项工程、大型设备安拆、有限空间作业、存在质量通病隐患的隐蔽工程在施工期间管理人员须全天候在岗履责。</w:t>
      </w:r>
    </w:p>
    <w:p w14:paraId="670EF2C5">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关于项目经理每月在施工现场的时间要求：不少于本月施工时间的 80%，离开施工现场需要向发包人现场代表报告请假。</w:t>
      </w:r>
    </w:p>
    <w:p w14:paraId="3748ED74">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 xml:space="preserve">项目经理未经批准，擅自离开施工现场的违约责任：发包人有权按500-2000元/天在当月进度款中扣除违约金。如特殊情况下，建造师离开现场的，须经发包人同意，并指定临时代表，代为行使建造师的权利；该临时代表的一切行为，发包人均认为是建造师的行为。建造师、项目技术负责人任何一人离开现场应征得发包人同意。 </w:t>
      </w:r>
    </w:p>
    <w:p w14:paraId="1011596F">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承包人擅自更换项目经理的违约责任：项目经理不得更换，如需更换，须经发包人同意。未经发包人同意，承包人私自变更建造师，除没收建造师履约保证金（履约保证金的 20%）外，发包人有权终止合同，并按已完工程量的 80%与承包人结算。</w:t>
      </w:r>
    </w:p>
    <w:p w14:paraId="0CD25D03">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承包人主要施工管理人员擅自离开施工现场的违约责任：承包人承担每人500元/天违约金并在当月工程款中扣除 。</w:t>
      </w:r>
    </w:p>
    <w:p w14:paraId="747BF26A">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2.工作流程</w:t>
      </w:r>
    </w:p>
    <w:p w14:paraId="36A21B6D">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中标人接到发包人的《工程派工单》后，应在24小时内响应，在要求时间内提供纸质方案和预算，经发包人、监理、跟踪审计（若有）确认后实施，已完工作任务须及时办理竣工验收移交手续，否则视作违约，发包人有权追究责任。</w:t>
      </w:r>
    </w:p>
    <w:p w14:paraId="6A11A6FA">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对于应急抢修，中标人在接到发包人的通知（电话、短信等），须安排人员1小时内到达</w:t>
      </w:r>
      <w:r>
        <w:rPr>
          <w:rFonts w:hint="eastAsia" w:hAnsi="宋体" w:cs="宋体"/>
          <w:bCs/>
          <w:color w:val="auto"/>
          <w:sz w:val="22"/>
          <w:szCs w:val="22"/>
          <w:highlight w:val="none"/>
          <w:lang w:val="en-US" w:eastAsia="zh-CN"/>
        </w:rPr>
        <w:t>施工</w:t>
      </w:r>
      <w:r>
        <w:rPr>
          <w:rFonts w:hint="eastAsia" w:hAnsi="宋体" w:cs="宋体"/>
          <w:bCs/>
          <w:color w:val="auto"/>
          <w:sz w:val="22"/>
          <w:szCs w:val="22"/>
          <w:highlight w:val="none"/>
        </w:rPr>
        <w:t>现场（施工完成3日内补办相关手续），迟到一次，视作违约，处1000元/次违约金，迟到三次及以上，发包人有权解除合同。</w:t>
      </w:r>
    </w:p>
    <w:p w14:paraId="512ADB15">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任务派工单：承包人依据《工程派工单》进行施工，且24小时内领取《工程派工单》及完成现场查看；没有《工程派工单》的施工项目，发包人将不予认可。</w:t>
      </w:r>
    </w:p>
    <w:p w14:paraId="70C5D23C">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工程联系单：承包人应及时将《工程联系单》上报审批，《工程联系单》应包含工作内容、造价等。</w:t>
      </w:r>
    </w:p>
    <w:p w14:paraId="24E0CA55">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工程联系单》原则上应先报批后实施，不得后补。在工程施工过程中，遇到涉及安全等特殊情况，为保证工程安全及建设进度要求，可由发包人同意，提出明确的处理方案后先行实施，实施后承包人应补办有关手续。</w:t>
      </w:r>
    </w:p>
    <w:p w14:paraId="72888B13">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签证单：承包人在隐蔽前应及时通知发包人及监理单位，及时做好工程量确认，并及时提交工程量签证单(必须附有设计图纸或发包人批准的工程联系单、详细的工程量计算公式和简图影像资料），监理单位及时核签完成，发包人及时完成审核工作。</w:t>
      </w:r>
    </w:p>
    <w:p w14:paraId="57485C26">
      <w:pPr>
        <w:numPr>
          <w:ilvl w:val="0"/>
          <w:numId w:val="5"/>
        </w:num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其它要求</w:t>
      </w:r>
    </w:p>
    <w:p w14:paraId="68BF0CEC">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 xml:space="preserve"> 3.1、文明施工</w:t>
      </w:r>
    </w:p>
    <w:p w14:paraId="72346C7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（1）施工人员须文明规范施工，服从发包人的管理和监督。如在施工过程中，有乱堆、乱扔垃圾，不按施工时间施工等现象，由此造成的损失由投标人自负。</w:t>
      </w:r>
    </w:p>
    <w:p w14:paraId="04FB1AF6">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（2）施工使用电梯时，不得影响他人上下，散装物品须袋装处理。超重、超长及易损坏电梯的建材、工具等物品须走安全通道。</w:t>
      </w:r>
    </w:p>
    <w:p w14:paraId="48D4057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（3）搬运材料或垃圾后应负责及时打扫，保持公共部位清洁。搬运、使用材料或工具时应轻拿轻放，不得磕碰坏户内外墙面、地面及物品。</w:t>
      </w:r>
    </w:p>
    <w:p w14:paraId="3546DC7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（4）对施工现场必须采取必要的防护措施。注重成品保护。</w:t>
      </w:r>
    </w:p>
    <w:p w14:paraId="7B6126E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（5）做好物业与企业沟通保障，施工过程中不得影响企业生产。</w:t>
      </w:r>
    </w:p>
    <w:p w14:paraId="4D11F7A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3.2、安全生产</w:t>
      </w:r>
    </w:p>
    <w:p w14:paraId="04E7709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（1）施工单位安排新工人入场，应接受“安全生产三级教育”。 </w:t>
      </w:r>
    </w:p>
    <w:p w14:paraId="5149AC2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（2）进入施工现场人员必须正确使用个人劳保用品。如安全带、佩带安全帽等。 </w:t>
      </w:r>
    </w:p>
    <w:p w14:paraId="3D9DEBD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（3）现场施工人员必须正确使用相关机具设备。上岗前必须检查好一切安全设施是否安全可靠。 </w:t>
      </w:r>
    </w:p>
    <w:p w14:paraId="464ED08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（4）特殊工种持证上岗，特殊作业配戴相应的劳动安全保护用品。</w:t>
      </w:r>
    </w:p>
    <w:p w14:paraId="4BF5E6F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（5）小型及电动工具由专职人员操作和使用。注意用电安全。使用砂轮机时，先检查砂轮有无裂纹是否有危险。切割材料时用力均匀,被切割件要夹牢。</w:t>
      </w:r>
    </w:p>
    <w:p w14:paraId="3594AD1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（6）高空作业时，要系好安全带。严禁在高空中没有扶手的攀沿物上随意走动。</w:t>
      </w:r>
    </w:p>
    <w:p w14:paraId="4D8402A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（7）施工人员必须遵守安全施工规章制度。有权拒绝违反“安全施工管理制度”的操作方法。</w:t>
      </w:r>
    </w:p>
    <w:p w14:paraId="4FAFC83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（8）施工现场地需挂贴安全施工标牌。</w:t>
      </w:r>
    </w:p>
    <w:p w14:paraId="333E4F4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（9）严禁违章指挥和违章操作。 </w:t>
      </w:r>
    </w:p>
    <w:p w14:paraId="7359B78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3.3、用电安全</w:t>
      </w:r>
    </w:p>
    <w:p w14:paraId="20E8B439">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（1）施工现场所有临时用电由专业电工（持证上岗）负责，其他人员禁止接驳电源。 </w:t>
      </w:r>
    </w:p>
    <w:p w14:paraId="40B43A8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（2）施工现场每个层面必须配备具有安全性的各式配电箱。 </w:t>
      </w:r>
    </w:p>
    <w:p w14:paraId="22DC6E8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（3）临时用电执行三相五线制和三级漏电保护。由专职电工进行检查和维护。 </w:t>
      </w:r>
    </w:p>
    <w:p w14:paraId="143C613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（4）所有临时线路必须使用护套线或海底线。必须架设牢固，一般要架空，不得绑在管道或金属物上。 </w:t>
      </w:r>
    </w:p>
    <w:p w14:paraId="123649C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（5）严禁用花线、铜芯线乱拉乱接，违者将被严厉处罚。 </w:t>
      </w:r>
    </w:p>
    <w:p w14:paraId="3CB9CE7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（6）所有插头及插座应保持完好。</w:t>
      </w:r>
    </w:p>
    <w:p w14:paraId="5C76D33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（7）所有施工机械和电气设备不得带病运转和超负荷使用。 </w:t>
      </w:r>
    </w:p>
    <w:p w14:paraId="06D0A35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（8）施工机械和电气设备及施工用金属平台必须要有可靠接地。 </w:t>
      </w:r>
    </w:p>
    <w:p w14:paraId="5135E116">
      <w:pPr>
        <w:spacing w:line="360" w:lineRule="auto"/>
        <w:ind w:left="359" w:leftChars="171"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（9）接驳电源应先切断电源。若带电作业，必须采取防护措施，并有三级以上电工在场监护才能工作。</w:t>
      </w:r>
    </w:p>
    <w:p w14:paraId="445D83FC">
      <w:pPr>
        <w:spacing w:line="360" w:lineRule="auto"/>
        <w:ind w:left="359" w:leftChars="171" w:firstLine="110" w:firstLineChars="50"/>
        <w:rPr>
          <w:rFonts w:ascii="宋体" w:hAnsi="宋体" w:cs="宋体"/>
          <w:color w:val="auto"/>
          <w:sz w:val="22"/>
          <w:szCs w:val="22"/>
          <w:highlight w:val="none"/>
        </w:rPr>
      </w:pPr>
      <w:r>
        <w:rPr>
          <w:rFonts w:hint="eastAsia" w:ascii="宋体" w:hAnsi="宋体" w:cs="宋体"/>
          <w:color w:val="auto"/>
          <w:sz w:val="22"/>
          <w:szCs w:val="22"/>
          <w:highlight w:val="none"/>
        </w:rPr>
        <w:t xml:space="preserve">（10）选取电源接入点时，必须经过物业公司工作人员或该企业的同意。   </w:t>
      </w:r>
    </w:p>
    <w:p w14:paraId="2565B63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施工期间现场还须遵守如下消防要求：①不得使用电炉及乙炔等易燃易爆物品。②动用明火须拟定防火措施后向发包人申请，得到批准后方可进行；③电气、电焊等特殊工作的操作人员均需有电工、电焊工等操作证，并按相关作业规范操作，不得无证上岗。④施工中若需使用油漆等易燃材料时，需提前做好储存安全工作，妥善保管，控制存放量。施工完毕后，须及时将剩余物品带离现场。⑤施工区域禁止吸烟。⑥现场装修废料及时清理完毕，特别是刨花锯末应每天清除，设专人负责。⑦施工现场所有使用明火的地方，必须保证有专人值守，做到人走火灭。施工人员下班时认真检查施工现场，防止留下火险隐患，人员离开时必须将所有电源切断。⑧保证对所属施工人员进行安全教育，服从配合发包人的消防安全监督检查。</w:t>
      </w:r>
    </w:p>
    <w:p w14:paraId="3DFBCCCE">
      <w:pPr>
        <w:spacing w:line="360" w:lineRule="auto"/>
        <w:ind w:firstLine="440" w:firstLineChars="200"/>
        <w:rPr>
          <w:rFonts w:hAnsi="宋体" w:cs="宋体"/>
          <w:bCs/>
          <w:color w:val="auto"/>
          <w:sz w:val="22"/>
          <w:szCs w:val="22"/>
          <w:highlight w:val="none"/>
        </w:rPr>
      </w:pPr>
      <w:r>
        <w:rPr>
          <w:rFonts w:hint="eastAsia" w:ascii="宋体" w:hAnsi="宋体" w:cs="宋体"/>
          <w:color w:val="auto"/>
          <w:sz w:val="22"/>
          <w:szCs w:val="22"/>
          <w:highlight w:val="none"/>
        </w:rPr>
        <w:t>（12）质量保修期间提供以下服务。①在质量保修期间，当由于工程本身质量原造成损坏，投标人须免费负责修理或更换。②在修理或更换之后，投标人须将损坏原因、整改措施、完成修理情况等，以书面形式提交发包人。③验收交付后二个月内投标人须指派专人对</w:t>
      </w:r>
      <w:r>
        <w:rPr>
          <w:rFonts w:hint="eastAsia" w:ascii="宋体" w:hAnsi="宋体" w:cs="宋体"/>
          <w:color w:val="auto"/>
          <w:sz w:val="22"/>
          <w:szCs w:val="22"/>
          <w:highlight w:val="none"/>
          <w:lang w:val="en-US" w:eastAsia="zh-CN"/>
        </w:rPr>
        <w:t>施工</w:t>
      </w:r>
      <w:r>
        <w:rPr>
          <w:rFonts w:hint="eastAsia" w:ascii="宋体" w:hAnsi="宋体" w:cs="宋体"/>
          <w:color w:val="auto"/>
          <w:sz w:val="22"/>
          <w:szCs w:val="22"/>
          <w:highlight w:val="none"/>
        </w:rPr>
        <w:t>进行工程质量回访，做好《工程回访记录》。④在保修期内，除对有缺陷的部位进行无偿地给予修理与更换处，并承担一切由此而引起对企业或第三者的直接损失，除非该缺陷是由于人为破坏或不可抗力因素造成的损坏。</w:t>
      </w:r>
    </w:p>
    <w:p w14:paraId="0AA3C5E9">
      <w:pPr>
        <w:pStyle w:val="22"/>
        <w:numPr>
          <w:ilvl w:val="0"/>
          <w:numId w:val="4"/>
        </w:numPr>
        <w:spacing w:line="360" w:lineRule="auto"/>
        <w:jc w:val="left"/>
        <w:rPr>
          <w:rFonts w:hAnsi="宋体" w:cs="宋体"/>
          <w:b/>
          <w:bCs/>
          <w:color w:val="auto"/>
          <w:sz w:val="28"/>
          <w:szCs w:val="28"/>
          <w:highlight w:val="none"/>
        </w:rPr>
      </w:pPr>
      <w:r>
        <w:rPr>
          <w:rFonts w:hint="eastAsia" w:hAnsi="宋体" w:cs="宋体"/>
          <w:b/>
          <w:bCs/>
          <w:color w:val="auto"/>
          <w:sz w:val="28"/>
          <w:szCs w:val="28"/>
          <w:highlight w:val="none"/>
        </w:rPr>
        <w:t>合同价款及结算</w:t>
      </w:r>
    </w:p>
    <w:p w14:paraId="6A3C63DD">
      <w:pPr>
        <w:pStyle w:val="22"/>
        <w:numPr>
          <w:ilvl w:val="0"/>
          <w:numId w:val="0"/>
        </w:numPr>
        <w:spacing w:line="360" w:lineRule="auto"/>
        <w:jc w:val="left"/>
        <w:rPr>
          <w:rFonts w:hAnsi="宋体" w:cs="宋体"/>
          <w:bCs/>
          <w:color w:val="auto"/>
          <w:sz w:val="22"/>
          <w:szCs w:val="22"/>
          <w:highlight w:val="none"/>
        </w:rPr>
      </w:pPr>
      <w:r>
        <w:rPr>
          <w:rFonts w:ascii="宋体" w:hAnsi="宋体" w:eastAsia="宋体" w:cs="宋体"/>
          <w:bCs/>
          <w:color w:val="auto"/>
          <w:kern w:val="0"/>
          <w:sz w:val="22"/>
          <w:szCs w:val="22"/>
          <w:highlight w:val="none"/>
          <w:lang w:val="en-US" w:eastAsia="zh-CN" w:bidi="ar-SA"/>
        </w:rPr>
        <w:t>1、</w:t>
      </w:r>
      <w:r>
        <w:rPr>
          <w:rFonts w:hint="eastAsia" w:hAnsi="宋体" w:cs="宋体"/>
          <w:bCs/>
          <w:color w:val="auto"/>
          <w:sz w:val="22"/>
          <w:szCs w:val="22"/>
          <w:highlight w:val="none"/>
        </w:rPr>
        <w:t>工程计价规则：</w:t>
      </w:r>
    </w:p>
    <w:p w14:paraId="00ED35A4">
      <w:pPr>
        <w:pStyle w:val="22"/>
        <w:spacing w:line="360" w:lineRule="auto"/>
        <w:ind w:firstLine="420" w:firstLineChars="200"/>
        <w:jc w:val="left"/>
        <w:rPr>
          <w:rFonts w:hint="eastAsia" w:hAnsi="宋体" w:cs="宋体"/>
          <w:bCs/>
          <w:color w:val="auto"/>
          <w:sz w:val="22"/>
          <w:szCs w:val="22"/>
          <w:highlight w:val="none"/>
        </w:rPr>
      </w:pPr>
      <w:r>
        <w:rPr>
          <w:rFonts w:hint="eastAsia" w:hAnsi="宋体" w:cs="宋体"/>
          <w:color w:val="auto"/>
          <w:kern w:val="2"/>
          <w:sz w:val="21"/>
          <w:szCs w:val="21"/>
          <w:highlight w:val="none"/>
        </w:rPr>
        <w:t xml:space="preserve"> </w:t>
      </w:r>
      <w:r>
        <w:rPr>
          <w:rFonts w:hint="eastAsia" w:hAnsi="宋体" w:cs="宋体"/>
          <w:color w:val="auto"/>
          <w:kern w:val="2"/>
          <w:sz w:val="21"/>
          <w:szCs w:val="21"/>
          <w:highlight w:val="none"/>
          <w:lang w:eastAsia="zh-CN"/>
        </w:rPr>
        <w:t>配电改造工作内容执行2018年《安徽省建设工程工程量清单计价办法》</w:t>
      </w:r>
      <w:r>
        <w:rPr>
          <w:rFonts w:hint="eastAsia" w:hAnsi="宋体" w:cs="宋体"/>
          <w:color w:val="auto"/>
          <w:kern w:val="2"/>
          <w:sz w:val="21"/>
          <w:szCs w:val="21"/>
          <w:highlight w:val="none"/>
        </w:rPr>
        <w:t>、《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w:t>
      </w:r>
      <w:r>
        <w:rPr>
          <w:rFonts w:hint="eastAsia" w:hAnsi="宋体" w:cs="宋体"/>
          <w:bCs/>
          <w:color w:val="auto"/>
          <w:sz w:val="22"/>
          <w:szCs w:val="22"/>
          <w:highlight w:val="none"/>
        </w:rPr>
        <w:t>、《安徽省建设工程计价依据动态调整（第1号）》。</w:t>
      </w:r>
    </w:p>
    <w:p w14:paraId="669DEA8C">
      <w:pPr>
        <w:pStyle w:val="22"/>
        <w:spacing w:line="360" w:lineRule="auto"/>
        <w:ind w:firstLine="440" w:firstLineChars="200"/>
        <w:jc w:val="left"/>
        <w:rPr>
          <w:rFonts w:hint="eastAsia" w:hAnsi="宋体" w:cs="宋体"/>
          <w:bCs/>
          <w:color w:val="auto"/>
          <w:sz w:val="22"/>
          <w:szCs w:val="22"/>
          <w:highlight w:val="none"/>
        </w:rPr>
      </w:pPr>
      <w:r>
        <w:rPr>
          <w:rFonts w:hint="eastAsia" w:hAnsi="宋体" w:cs="宋体"/>
          <w:bCs/>
          <w:color w:val="auto"/>
          <w:sz w:val="22"/>
          <w:szCs w:val="22"/>
          <w:highlight w:val="none"/>
        </w:rPr>
        <w:t>人工费执行安徽省建设工程</w:t>
      </w:r>
      <w:r>
        <w:rPr>
          <w:rFonts w:hint="eastAsia" w:hAnsi="宋体" w:cs="宋体"/>
          <w:bCs/>
          <w:color w:val="auto"/>
          <w:sz w:val="22"/>
          <w:szCs w:val="22"/>
          <w:highlight w:val="none"/>
          <w:lang w:eastAsia="zh-CN"/>
        </w:rPr>
        <w:t>人工费调整规定（按2025年第4季度铜陵市信息价人工费单价）</w:t>
      </w:r>
      <w:r>
        <w:rPr>
          <w:rFonts w:hint="eastAsia" w:hAnsi="宋体" w:cs="宋体"/>
          <w:bCs/>
          <w:color w:val="auto"/>
          <w:sz w:val="22"/>
          <w:szCs w:val="22"/>
          <w:highlight w:val="none"/>
        </w:rPr>
        <w:t>；</w:t>
      </w:r>
    </w:p>
    <w:p w14:paraId="1E403752">
      <w:pPr>
        <w:pStyle w:val="22"/>
        <w:spacing w:line="360" w:lineRule="auto"/>
        <w:ind w:firstLine="440" w:firstLineChars="200"/>
        <w:jc w:val="left"/>
        <w:rPr>
          <w:rFonts w:hint="eastAsia" w:hAnsi="宋体" w:cs="宋体"/>
          <w:bCs/>
          <w:color w:val="auto"/>
          <w:sz w:val="22"/>
          <w:szCs w:val="22"/>
          <w:highlight w:val="none"/>
        </w:rPr>
      </w:pPr>
      <w:r>
        <w:rPr>
          <w:rFonts w:hint="eastAsia" w:hAnsi="宋体" w:cs="宋体"/>
          <w:bCs/>
          <w:color w:val="auto"/>
          <w:sz w:val="22"/>
          <w:szCs w:val="22"/>
          <w:highlight w:val="none"/>
          <w:lang w:eastAsia="zh-CN"/>
        </w:rPr>
        <w:t>强电电缆、强电电线、低压成套设备、高压成套设备执行单个零星工程派工单建设单位签署日期的当期月度铜陵市信息价税前价，</w:t>
      </w:r>
      <w:r>
        <w:rPr>
          <w:rFonts w:hint="eastAsia" w:hAnsi="宋体" w:cs="宋体"/>
          <w:bCs/>
          <w:color w:val="auto"/>
          <w:sz w:val="22"/>
          <w:szCs w:val="22"/>
          <w:highlight w:val="none"/>
          <w:lang w:val="en-US" w:eastAsia="zh-CN"/>
        </w:rPr>
        <w:t>其他</w:t>
      </w:r>
      <w:r>
        <w:rPr>
          <w:rFonts w:hint="eastAsia" w:hAnsi="宋体" w:cs="宋体"/>
          <w:bCs/>
          <w:color w:val="auto"/>
          <w:sz w:val="22"/>
          <w:szCs w:val="22"/>
          <w:highlight w:val="none"/>
          <w:lang w:eastAsia="zh-CN"/>
        </w:rPr>
        <w:t>材料价格</w:t>
      </w:r>
      <w:r>
        <w:rPr>
          <w:rFonts w:hint="eastAsia" w:hAnsi="宋体" w:cs="宋体"/>
          <w:bCs/>
          <w:color w:val="auto"/>
          <w:sz w:val="22"/>
          <w:szCs w:val="22"/>
          <w:highlight w:val="none"/>
          <w:lang w:val="en-US" w:eastAsia="zh-CN"/>
        </w:rPr>
        <w:t>均</w:t>
      </w:r>
      <w:r>
        <w:rPr>
          <w:rFonts w:hint="eastAsia" w:hAnsi="宋体" w:cs="宋体"/>
          <w:bCs/>
          <w:color w:val="auto"/>
          <w:sz w:val="22"/>
          <w:szCs w:val="22"/>
          <w:highlight w:val="none"/>
          <w:lang w:eastAsia="zh-CN"/>
        </w:rPr>
        <w:t xml:space="preserve">执行合同签订当月铜陵市信息价税前价 </w:t>
      </w:r>
      <w:r>
        <w:rPr>
          <w:rFonts w:hint="eastAsia" w:hAnsi="宋体" w:cs="宋体"/>
          <w:bCs/>
          <w:color w:val="auto"/>
          <w:sz w:val="22"/>
          <w:szCs w:val="22"/>
          <w:highlight w:val="none"/>
        </w:rPr>
        <w:t>，铜陵信息价没有的</w:t>
      </w:r>
      <w:r>
        <w:rPr>
          <w:rFonts w:hint="eastAsia" w:hAnsi="宋体" w:cs="宋体"/>
          <w:bCs/>
          <w:color w:val="auto"/>
          <w:sz w:val="22"/>
          <w:szCs w:val="22"/>
          <w:highlight w:val="none"/>
          <w:lang w:val="en-US" w:eastAsia="zh-CN"/>
        </w:rPr>
        <w:t>依次参考所对应月度的合肥</w:t>
      </w:r>
      <w:r>
        <w:rPr>
          <w:rFonts w:hint="eastAsia" w:hAnsi="宋体" w:cs="宋体"/>
          <w:bCs/>
          <w:color w:val="auto"/>
          <w:sz w:val="22"/>
          <w:szCs w:val="22"/>
          <w:highlight w:val="none"/>
          <w:lang w:eastAsia="zh-CN"/>
        </w:rPr>
        <w:t>、</w:t>
      </w:r>
      <w:r>
        <w:rPr>
          <w:rFonts w:hint="eastAsia" w:hAnsi="宋体" w:cs="宋体"/>
          <w:bCs/>
          <w:color w:val="auto"/>
          <w:sz w:val="22"/>
          <w:szCs w:val="22"/>
          <w:highlight w:val="none"/>
        </w:rPr>
        <w:t>芜湖</w:t>
      </w:r>
      <w:r>
        <w:rPr>
          <w:rFonts w:hint="eastAsia" w:hAnsi="宋体" w:cs="宋体"/>
          <w:bCs/>
          <w:color w:val="auto"/>
          <w:sz w:val="22"/>
          <w:szCs w:val="22"/>
          <w:highlight w:val="none"/>
          <w:lang w:eastAsia="zh-CN"/>
        </w:rPr>
        <w:t>、</w:t>
      </w:r>
      <w:r>
        <w:rPr>
          <w:rFonts w:hint="eastAsia" w:hAnsi="宋体" w:cs="宋体"/>
          <w:bCs/>
          <w:color w:val="auto"/>
          <w:sz w:val="22"/>
          <w:szCs w:val="22"/>
          <w:highlight w:val="none"/>
          <w:lang w:val="en-US" w:eastAsia="zh-CN"/>
        </w:rPr>
        <w:t>亳州</w:t>
      </w:r>
      <w:r>
        <w:rPr>
          <w:rFonts w:hint="eastAsia" w:hAnsi="宋体" w:cs="宋体"/>
          <w:bCs/>
          <w:color w:val="auto"/>
          <w:sz w:val="22"/>
          <w:szCs w:val="22"/>
          <w:highlight w:val="none"/>
        </w:rPr>
        <w:t>的信息价</w:t>
      </w:r>
      <w:r>
        <w:rPr>
          <w:rFonts w:hint="eastAsia" w:hAnsi="宋体" w:cs="宋体"/>
          <w:bCs/>
          <w:color w:val="auto"/>
          <w:sz w:val="22"/>
          <w:szCs w:val="22"/>
          <w:highlight w:val="none"/>
          <w:lang w:eastAsia="zh-CN"/>
        </w:rPr>
        <w:t>税前价，</w:t>
      </w:r>
      <w:r>
        <w:rPr>
          <w:rFonts w:hint="eastAsia" w:hAnsi="宋体" w:cs="宋体"/>
          <w:bCs/>
          <w:color w:val="auto"/>
          <w:sz w:val="22"/>
          <w:szCs w:val="22"/>
          <w:highlight w:val="none"/>
          <w:lang w:val="en-US" w:eastAsia="zh-CN"/>
        </w:rPr>
        <w:t>仍</w:t>
      </w:r>
      <w:r>
        <w:rPr>
          <w:rFonts w:hint="eastAsia" w:hAnsi="宋体" w:cs="宋体"/>
          <w:bCs/>
          <w:color w:val="auto"/>
          <w:sz w:val="22"/>
          <w:szCs w:val="22"/>
          <w:highlight w:val="none"/>
        </w:rPr>
        <w:t>无信息价的按询价方式确定市场价（询价确认的综合单价或材料价格不再</w:t>
      </w:r>
      <w:r>
        <w:rPr>
          <w:rFonts w:hint="eastAsia" w:hAnsi="宋体" w:cs="宋体"/>
          <w:bCs/>
          <w:color w:val="auto"/>
          <w:sz w:val="22"/>
          <w:szCs w:val="22"/>
          <w:highlight w:val="none"/>
          <w:lang w:val="en-US" w:eastAsia="zh-CN"/>
        </w:rPr>
        <w:t>折扣</w:t>
      </w:r>
      <w:r>
        <w:rPr>
          <w:rFonts w:hint="eastAsia" w:hAnsi="宋体" w:cs="宋体"/>
          <w:bCs/>
          <w:color w:val="auto"/>
          <w:sz w:val="22"/>
          <w:szCs w:val="22"/>
          <w:highlight w:val="none"/>
        </w:rPr>
        <w:t>下浮），价格由建设单位、招标代理机构单位共同询价确认。</w:t>
      </w:r>
    </w:p>
    <w:p w14:paraId="0991DEFC">
      <w:pPr>
        <w:pStyle w:val="22"/>
        <w:spacing w:line="360" w:lineRule="auto"/>
        <w:ind w:firstLine="440" w:firstLineChars="200"/>
        <w:jc w:val="left"/>
        <w:rPr>
          <w:rFonts w:hint="eastAsia" w:hAnsi="宋体" w:cs="宋体"/>
          <w:bCs/>
          <w:color w:val="auto"/>
          <w:sz w:val="22"/>
          <w:szCs w:val="22"/>
          <w:highlight w:val="none"/>
        </w:rPr>
      </w:pPr>
      <w:r>
        <w:rPr>
          <w:rFonts w:hint="eastAsia" w:hAnsi="宋体" w:cs="宋体"/>
          <w:bCs/>
          <w:color w:val="auto"/>
          <w:sz w:val="22"/>
          <w:szCs w:val="22"/>
          <w:highlight w:val="none"/>
        </w:rPr>
        <w:t>税金费率执行安徽省建设工程造价管理总站造价【2019】7号文《关于调整我省现行建设工程计价依据增值税税率的通知》（税金9%）及现行税务文件，若乙方无法开具9%增值税专用发票，最终工程费=合同工程费/(1+9%）*(1+实际开票税率）。</w:t>
      </w:r>
    </w:p>
    <w:p w14:paraId="1B30E029">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合同履行过程中，若国家增值税税率发生调整，审计结算时，按送审计结算时执行的税率进行结算。</w:t>
      </w:r>
    </w:p>
    <w:p w14:paraId="7367E26D">
      <w:pPr>
        <w:pStyle w:val="22"/>
        <w:numPr>
          <w:ilvl w:val="0"/>
          <w:numId w:val="0"/>
        </w:numPr>
        <w:spacing w:line="360" w:lineRule="auto"/>
        <w:jc w:val="left"/>
        <w:rPr>
          <w:rFonts w:hint="eastAsia" w:hAnsi="宋体" w:cs="宋体"/>
          <w:bCs/>
          <w:color w:val="auto"/>
          <w:kern w:val="0"/>
          <w:sz w:val="22"/>
          <w:szCs w:val="22"/>
          <w:highlight w:val="none"/>
          <w:lang w:val="en-US" w:eastAsia="zh-CN" w:bidi="ar-SA"/>
        </w:rPr>
      </w:pPr>
      <w:r>
        <w:rPr>
          <w:rFonts w:hint="eastAsia" w:hAnsi="宋体" w:cs="宋体"/>
          <w:bCs/>
          <w:color w:val="auto"/>
          <w:kern w:val="0"/>
          <w:sz w:val="22"/>
          <w:szCs w:val="22"/>
          <w:highlight w:val="none"/>
          <w:lang w:val="en-US" w:eastAsia="zh-CN" w:bidi="ar-SA"/>
        </w:rPr>
        <w:t>2、折扣比例</w:t>
      </w:r>
    </w:p>
    <w:p w14:paraId="6862D807">
      <w:pPr>
        <w:pStyle w:val="22"/>
        <w:spacing w:line="360" w:lineRule="auto"/>
        <w:ind w:firstLine="420" w:firstLineChars="200"/>
        <w:jc w:val="left"/>
        <w:rPr>
          <w:rFonts w:hint="eastAsia" w:hAnsi="宋体" w:cs="宋体"/>
          <w:bCs/>
          <w:color w:val="auto"/>
          <w:sz w:val="22"/>
          <w:szCs w:val="22"/>
          <w:highlight w:val="none"/>
        </w:rPr>
      </w:pPr>
      <w:r>
        <w:rPr>
          <w:rFonts w:hint="eastAsia" w:hAnsi="宋体" w:cs="宋体"/>
          <w:color w:val="auto"/>
          <w:kern w:val="2"/>
          <w:sz w:val="21"/>
          <w:szCs w:val="21"/>
          <w:highlight w:val="none"/>
        </w:rPr>
        <w:t>所有工程按上述计价取费标准计价后，按工程总造价</w:t>
      </w:r>
      <w:r>
        <w:rPr>
          <w:rFonts w:hint="eastAsia" w:hAnsi="宋体" w:cs="宋体"/>
          <w:color w:val="auto"/>
          <w:kern w:val="2"/>
          <w:sz w:val="21"/>
          <w:szCs w:val="21"/>
          <w:highlight w:val="none"/>
          <w:lang w:val="en-US" w:eastAsia="zh-CN"/>
        </w:rPr>
        <w:t>*</w:t>
      </w:r>
      <w:r>
        <w:rPr>
          <w:rFonts w:hint="eastAsia" w:hAnsi="宋体" w:cs="宋体"/>
          <w:color w:val="auto"/>
          <w:szCs w:val="24"/>
          <w:highlight w:val="none"/>
          <w:u w:val="single"/>
        </w:rPr>
        <w:t xml:space="preserve">   </w:t>
      </w:r>
      <w:r>
        <w:rPr>
          <w:rFonts w:hint="eastAsia" w:hAnsi="宋体" w:cs="宋体"/>
          <w:color w:val="auto"/>
          <w:kern w:val="2"/>
          <w:sz w:val="21"/>
          <w:szCs w:val="21"/>
          <w:highlight w:val="none"/>
        </w:rPr>
        <w:t>%</w:t>
      </w:r>
      <w:r>
        <w:rPr>
          <w:rFonts w:hint="eastAsia" w:hAnsi="宋体" w:cs="宋体"/>
          <w:b/>
          <w:bCs/>
          <w:color w:val="auto"/>
          <w:kern w:val="2"/>
          <w:sz w:val="21"/>
          <w:szCs w:val="21"/>
          <w:highlight w:val="none"/>
        </w:rPr>
        <w:t>（</w:t>
      </w:r>
      <w:r>
        <w:rPr>
          <w:rFonts w:hint="eastAsia" w:hAnsi="宋体" w:cs="宋体"/>
          <w:b/>
          <w:bCs/>
          <w:color w:val="auto"/>
          <w:kern w:val="2"/>
          <w:sz w:val="21"/>
          <w:szCs w:val="21"/>
          <w:highlight w:val="none"/>
          <w:lang w:val="en-US" w:eastAsia="zh-CN"/>
        </w:rPr>
        <w:t>报价折扣率</w:t>
      </w:r>
      <w:r>
        <w:rPr>
          <w:rFonts w:hint="eastAsia" w:hAnsi="宋体" w:cs="宋体"/>
          <w:b/>
          <w:bCs/>
          <w:color w:val="auto"/>
          <w:kern w:val="2"/>
          <w:sz w:val="21"/>
          <w:szCs w:val="21"/>
          <w:highlight w:val="none"/>
        </w:rPr>
        <w:t>）</w:t>
      </w:r>
      <w:r>
        <w:rPr>
          <w:rFonts w:hint="eastAsia" w:hAnsi="宋体" w:cs="宋体"/>
          <w:color w:val="auto"/>
          <w:kern w:val="2"/>
          <w:sz w:val="21"/>
          <w:szCs w:val="21"/>
          <w:highlight w:val="none"/>
        </w:rPr>
        <w:t>作为工程结算价。</w:t>
      </w:r>
    </w:p>
    <w:p w14:paraId="7BD6D4E3">
      <w:pPr>
        <w:pStyle w:val="22"/>
        <w:numPr>
          <w:ilvl w:val="0"/>
          <w:numId w:val="0"/>
        </w:numPr>
        <w:spacing w:line="360" w:lineRule="auto"/>
        <w:jc w:val="left"/>
        <w:rPr>
          <w:rFonts w:hAnsi="宋体" w:cs="宋体"/>
          <w:bCs/>
          <w:color w:val="auto"/>
          <w:sz w:val="22"/>
          <w:szCs w:val="22"/>
          <w:highlight w:val="none"/>
        </w:rPr>
      </w:pPr>
      <w:r>
        <w:rPr>
          <w:rFonts w:hint="eastAsia" w:hAnsi="宋体" w:cs="宋体"/>
          <w:bCs/>
          <w:color w:val="auto"/>
          <w:kern w:val="0"/>
          <w:sz w:val="22"/>
          <w:szCs w:val="22"/>
          <w:highlight w:val="none"/>
          <w:lang w:val="en-US" w:eastAsia="zh-CN" w:bidi="ar-SA"/>
        </w:rPr>
        <w:t>3</w:t>
      </w:r>
      <w:r>
        <w:rPr>
          <w:rFonts w:ascii="宋体" w:hAnsi="宋体" w:eastAsia="宋体" w:cs="宋体"/>
          <w:bCs/>
          <w:color w:val="auto"/>
          <w:kern w:val="0"/>
          <w:sz w:val="22"/>
          <w:szCs w:val="22"/>
          <w:highlight w:val="none"/>
          <w:lang w:val="en-US" w:eastAsia="zh-CN" w:bidi="ar-SA"/>
        </w:rPr>
        <w:t>、</w:t>
      </w:r>
      <w:r>
        <w:rPr>
          <w:rFonts w:hint="eastAsia" w:hAnsi="宋体" w:cs="宋体"/>
          <w:bCs/>
          <w:color w:val="auto"/>
          <w:sz w:val="22"/>
          <w:szCs w:val="22"/>
          <w:highlight w:val="none"/>
        </w:rPr>
        <w:t>结算编制依据：</w:t>
      </w:r>
    </w:p>
    <w:p w14:paraId="2D754500">
      <w:pPr>
        <w:pStyle w:val="22"/>
        <w:spacing w:line="360" w:lineRule="auto"/>
        <w:ind w:left="420" w:leftChars="200"/>
        <w:jc w:val="left"/>
        <w:rPr>
          <w:rFonts w:hAnsi="宋体" w:cs="宋体"/>
          <w:bCs/>
          <w:color w:val="auto"/>
          <w:sz w:val="22"/>
          <w:szCs w:val="22"/>
          <w:highlight w:val="none"/>
        </w:rPr>
      </w:pPr>
      <w:r>
        <w:rPr>
          <w:rFonts w:hint="eastAsia" w:hAnsi="宋体" w:cs="宋体"/>
          <w:bCs/>
          <w:color w:val="auto"/>
          <w:sz w:val="22"/>
          <w:szCs w:val="22"/>
          <w:highlight w:val="none"/>
          <w:lang w:val="en-US" w:eastAsia="zh-CN"/>
        </w:rPr>
        <w:t>3</w:t>
      </w:r>
      <w:r>
        <w:rPr>
          <w:rFonts w:hint="eastAsia" w:hAnsi="宋体" w:cs="宋体"/>
          <w:bCs/>
          <w:color w:val="auto"/>
          <w:sz w:val="22"/>
          <w:szCs w:val="22"/>
          <w:highlight w:val="none"/>
        </w:rPr>
        <w:t>.1、施工合同、中标通知书、图纸、派工单、工程联系单、签证单、竣工验收资料等所有工程按上述计价取费标准；</w:t>
      </w:r>
    </w:p>
    <w:p w14:paraId="73652671">
      <w:pPr>
        <w:pStyle w:val="22"/>
        <w:spacing w:line="360" w:lineRule="auto"/>
        <w:ind w:left="420" w:leftChars="200"/>
        <w:jc w:val="left"/>
        <w:rPr>
          <w:rFonts w:hAnsi="宋体" w:cs="宋体"/>
          <w:bCs/>
          <w:color w:val="auto"/>
          <w:sz w:val="22"/>
          <w:szCs w:val="22"/>
          <w:highlight w:val="none"/>
        </w:rPr>
      </w:pPr>
      <w:r>
        <w:rPr>
          <w:rFonts w:hint="eastAsia" w:hAnsi="宋体" w:cs="宋体"/>
          <w:bCs/>
          <w:color w:val="auto"/>
          <w:sz w:val="22"/>
          <w:szCs w:val="22"/>
          <w:highlight w:val="none"/>
          <w:lang w:val="en-US" w:eastAsia="zh-CN"/>
        </w:rPr>
        <w:t>3</w:t>
      </w:r>
      <w:r>
        <w:rPr>
          <w:rFonts w:hint="eastAsia" w:hAnsi="宋体" w:cs="宋体"/>
          <w:bCs/>
          <w:color w:val="auto"/>
          <w:sz w:val="22"/>
          <w:szCs w:val="22"/>
          <w:highlight w:val="none"/>
        </w:rPr>
        <w:t>.2、中标人投标</w:t>
      </w:r>
      <w:r>
        <w:rPr>
          <w:rFonts w:hint="eastAsia" w:hAnsi="宋体" w:cs="宋体"/>
          <w:bCs/>
          <w:color w:val="auto"/>
          <w:sz w:val="22"/>
          <w:szCs w:val="22"/>
          <w:highlight w:val="none"/>
          <w:lang w:val="en-US" w:eastAsia="zh-CN"/>
        </w:rPr>
        <w:t>折扣率</w:t>
      </w:r>
      <w:r>
        <w:rPr>
          <w:rFonts w:hint="eastAsia" w:hAnsi="宋体" w:cs="宋体"/>
          <w:bCs/>
          <w:color w:val="auto"/>
          <w:sz w:val="22"/>
          <w:szCs w:val="22"/>
          <w:highlight w:val="none"/>
        </w:rPr>
        <w:t>。</w:t>
      </w:r>
    </w:p>
    <w:p w14:paraId="4C1EF2D6">
      <w:pPr>
        <w:pStyle w:val="22"/>
        <w:spacing w:line="360" w:lineRule="auto"/>
        <w:jc w:val="left"/>
        <w:rPr>
          <w:rFonts w:hAnsi="宋体" w:cs="宋体"/>
          <w:bCs/>
          <w:color w:val="auto"/>
          <w:sz w:val="22"/>
          <w:szCs w:val="22"/>
          <w:highlight w:val="none"/>
        </w:rPr>
      </w:pPr>
      <w:r>
        <w:rPr>
          <w:rFonts w:hint="eastAsia" w:hAnsi="宋体" w:cs="宋体"/>
          <w:bCs/>
          <w:color w:val="auto"/>
          <w:sz w:val="22"/>
          <w:szCs w:val="22"/>
          <w:highlight w:val="none"/>
          <w:lang w:val="en-US" w:eastAsia="zh-CN"/>
        </w:rPr>
        <w:t>4</w:t>
      </w:r>
      <w:r>
        <w:rPr>
          <w:rFonts w:hint="eastAsia" w:hAnsi="宋体" w:cs="宋体"/>
          <w:bCs/>
          <w:color w:val="auto"/>
          <w:sz w:val="22"/>
          <w:szCs w:val="22"/>
          <w:highlight w:val="none"/>
        </w:rPr>
        <w:t>、其他要求</w:t>
      </w:r>
    </w:p>
    <w:p w14:paraId="4D8920D4">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发包人另行委托的第三方检测机构对工程质量进行抽检，中标人必须积极配合原材料取样等工作内容，相应配合费用（包含原材料）投标人在投标报价中应考虑。不合格的由承包人双倍支付检测费用。</w:t>
      </w:r>
    </w:p>
    <w:p w14:paraId="549439A3">
      <w:pPr>
        <w:pStyle w:val="22"/>
        <w:spacing w:line="360" w:lineRule="auto"/>
        <w:ind w:firstLine="440" w:firstLineChars="200"/>
        <w:jc w:val="left"/>
        <w:rPr>
          <w:rFonts w:hAnsi="宋体" w:cs="宋体"/>
          <w:bCs/>
          <w:color w:val="auto"/>
          <w:sz w:val="22"/>
          <w:szCs w:val="22"/>
          <w:highlight w:val="none"/>
        </w:rPr>
      </w:pPr>
      <w:r>
        <w:rPr>
          <w:rFonts w:hint="eastAsia" w:hAnsi="宋体" w:cs="宋体"/>
          <w:bCs/>
          <w:color w:val="auto"/>
          <w:sz w:val="22"/>
          <w:szCs w:val="22"/>
          <w:highlight w:val="none"/>
        </w:rPr>
        <w:t>对于受施工现场场地限制，需要另外寻找场地解决临时住宿、材料及设备堆放，由此所产生的费用由承包人自行承担，发包人不再另行支付。</w:t>
      </w:r>
    </w:p>
    <w:p w14:paraId="03986721">
      <w:pPr>
        <w:rPr>
          <w:color w:val="auto"/>
          <w:sz w:val="48"/>
          <w:szCs w:val="48"/>
          <w:highlight w:val="none"/>
        </w:rPr>
      </w:pPr>
    </w:p>
    <w:p w14:paraId="57474EC1">
      <w:pPr>
        <w:jc w:val="center"/>
        <w:rPr>
          <w:rFonts w:hint="eastAsia"/>
          <w:color w:val="auto"/>
          <w:sz w:val="48"/>
          <w:szCs w:val="48"/>
          <w:highlight w:val="none"/>
        </w:rPr>
      </w:pPr>
    </w:p>
    <w:p w14:paraId="7DED24E6">
      <w:pPr>
        <w:jc w:val="center"/>
        <w:rPr>
          <w:color w:val="auto"/>
          <w:sz w:val="48"/>
          <w:szCs w:val="48"/>
          <w:highlight w:val="none"/>
        </w:rPr>
      </w:pPr>
      <w:r>
        <w:rPr>
          <w:rFonts w:hint="eastAsia"/>
          <w:color w:val="auto"/>
          <w:sz w:val="48"/>
          <w:szCs w:val="48"/>
          <w:highlight w:val="none"/>
        </w:rPr>
        <w:t>工程派工单</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384"/>
        <w:gridCol w:w="2129"/>
        <w:gridCol w:w="1126"/>
        <w:gridCol w:w="3232"/>
      </w:tblGrid>
      <w:tr w14:paraId="07F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58" w:type="dxa"/>
          </w:tcPr>
          <w:p w14:paraId="64F7C52F">
            <w:pPr>
              <w:jc w:val="center"/>
              <w:rPr>
                <w:color w:val="auto"/>
                <w:sz w:val="30"/>
                <w:szCs w:val="30"/>
                <w:highlight w:val="none"/>
              </w:rPr>
            </w:pPr>
            <w:r>
              <w:rPr>
                <w:rFonts w:hint="eastAsia"/>
                <w:color w:val="auto"/>
                <w:sz w:val="30"/>
                <w:szCs w:val="30"/>
                <w:highlight w:val="none"/>
              </w:rPr>
              <w:t>工程名称</w:t>
            </w:r>
          </w:p>
        </w:tc>
        <w:tc>
          <w:tcPr>
            <w:tcW w:w="3513" w:type="dxa"/>
            <w:gridSpan w:val="2"/>
          </w:tcPr>
          <w:p w14:paraId="3514D68D">
            <w:pPr>
              <w:jc w:val="center"/>
              <w:rPr>
                <w:rFonts w:hint="eastAsia" w:eastAsia="宋体"/>
                <w:color w:val="auto"/>
                <w:sz w:val="30"/>
                <w:szCs w:val="30"/>
                <w:highlight w:val="none"/>
                <w:lang w:eastAsia="zh-CN"/>
              </w:rPr>
            </w:pPr>
            <w:r>
              <w:rPr>
                <w:rFonts w:hint="eastAsia" w:asciiTheme="minorEastAsia" w:hAnsiTheme="minorEastAsia" w:eastAsiaTheme="minorEastAsia" w:cstheme="minorEastAsia"/>
                <w:color w:val="auto"/>
                <w:sz w:val="24"/>
                <w:highlight w:val="none"/>
                <w:lang w:eastAsia="zh-CN"/>
              </w:rPr>
              <w:t>铜陵狮子山高新区2026年度10KV及以下配电工程</w:t>
            </w:r>
          </w:p>
        </w:tc>
        <w:tc>
          <w:tcPr>
            <w:tcW w:w="1126" w:type="dxa"/>
          </w:tcPr>
          <w:p w14:paraId="57403FBD">
            <w:pPr>
              <w:jc w:val="center"/>
              <w:rPr>
                <w:color w:val="auto"/>
                <w:sz w:val="30"/>
                <w:szCs w:val="30"/>
                <w:highlight w:val="none"/>
              </w:rPr>
            </w:pPr>
            <w:r>
              <w:rPr>
                <w:rFonts w:hint="eastAsia"/>
                <w:color w:val="auto"/>
                <w:sz w:val="30"/>
                <w:szCs w:val="30"/>
                <w:highlight w:val="none"/>
              </w:rPr>
              <w:t>编号</w:t>
            </w:r>
          </w:p>
        </w:tc>
        <w:tc>
          <w:tcPr>
            <w:tcW w:w="3232" w:type="dxa"/>
          </w:tcPr>
          <w:p w14:paraId="525373E2">
            <w:pPr>
              <w:jc w:val="center"/>
              <w:rPr>
                <w:color w:val="auto"/>
                <w:sz w:val="30"/>
                <w:szCs w:val="30"/>
                <w:highlight w:val="none"/>
              </w:rPr>
            </w:pPr>
            <w:r>
              <w:rPr>
                <w:rFonts w:hint="eastAsia"/>
                <w:color w:val="auto"/>
                <w:sz w:val="30"/>
                <w:szCs w:val="30"/>
                <w:highlight w:val="none"/>
              </w:rPr>
              <w:t>202</w:t>
            </w:r>
            <w:r>
              <w:rPr>
                <w:rFonts w:hint="eastAsia"/>
                <w:color w:val="auto"/>
                <w:sz w:val="30"/>
                <w:szCs w:val="30"/>
                <w:highlight w:val="none"/>
                <w:lang w:val="en-US" w:eastAsia="zh-CN"/>
              </w:rPr>
              <w:t>6</w:t>
            </w:r>
            <w:r>
              <w:rPr>
                <w:rFonts w:hint="eastAsia"/>
                <w:color w:val="auto"/>
                <w:sz w:val="30"/>
                <w:szCs w:val="30"/>
                <w:highlight w:val="none"/>
              </w:rPr>
              <w:t>001</w:t>
            </w:r>
          </w:p>
        </w:tc>
      </w:tr>
      <w:tr w14:paraId="3117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58" w:type="dxa"/>
          </w:tcPr>
          <w:p w14:paraId="788DB0B2">
            <w:pPr>
              <w:jc w:val="center"/>
              <w:rPr>
                <w:color w:val="auto"/>
                <w:sz w:val="30"/>
                <w:szCs w:val="30"/>
                <w:highlight w:val="none"/>
              </w:rPr>
            </w:pPr>
            <w:r>
              <w:rPr>
                <w:rFonts w:hint="eastAsia"/>
                <w:color w:val="auto"/>
                <w:sz w:val="30"/>
                <w:szCs w:val="30"/>
                <w:highlight w:val="none"/>
              </w:rPr>
              <w:t>任务单名称</w:t>
            </w:r>
          </w:p>
        </w:tc>
        <w:tc>
          <w:tcPr>
            <w:tcW w:w="7871" w:type="dxa"/>
            <w:gridSpan w:val="4"/>
          </w:tcPr>
          <w:p w14:paraId="30FD8BDF">
            <w:pPr>
              <w:jc w:val="center"/>
              <w:rPr>
                <w:color w:val="auto"/>
                <w:sz w:val="30"/>
                <w:szCs w:val="30"/>
                <w:highlight w:val="none"/>
              </w:rPr>
            </w:pPr>
          </w:p>
        </w:tc>
      </w:tr>
      <w:tr w14:paraId="17D3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8" w:type="dxa"/>
          </w:tcPr>
          <w:p w14:paraId="6D948561">
            <w:pPr>
              <w:jc w:val="center"/>
              <w:rPr>
                <w:color w:val="auto"/>
                <w:sz w:val="30"/>
                <w:szCs w:val="30"/>
                <w:highlight w:val="none"/>
              </w:rPr>
            </w:pPr>
            <w:r>
              <w:rPr>
                <w:rFonts w:hint="eastAsia"/>
                <w:color w:val="auto"/>
                <w:sz w:val="30"/>
                <w:szCs w:val="30"/>
                <w:highlight w:val="none"/>
              </w:rPr>
              <w:t>工程地点</w:t>
            </w:r>
          </w:p>
        </w:tc>
        <w:tc>
          <w:tcPr>
            <w:tcW w:w="3513" w:type="dxa"/>
            <w:gridSpan w:val="2"/>
          </w:tcPr>
          <w:p w14:paraId="761EF4F7">
            <w:pPr>
              <w:jc w:val="center"/>
              <w:rPr>
                <w:color w:val="auto"/>
                <w:sz w:val="30"/>
                <w:szCs w:val="30"/>
                <w:highlight w:val="none"/>
              </w:rPr>
            </w:pPr>
          </w:p>
        </w:tc>
        <w:tc>
          <w:tcPr>
            <w:tcW w:w="1126" w:type="dxa"/>
          </w:tcPr>
          <w:p w14:paraId="218421C6">
            <w:pPr>
              <w:jc w:val="center"/>
              <w:rPr>
                <w:color w:val="auto"/>
                <w:sz w:val="30"/>
                <w:szCs w:val="30"/>
                <w:highlight w:val="none"/>
              </w:rPr>
            </w:pPr>
            <w:r>
              <w:rPr>
                <w:rFonts w:hint="eastAsia"/>
                <w:color w:val="auto"/>
                <w:sz w:val="30"/>
                <w:szCs w:val="30"/>
                <w:highlight w:val="none"/>
              </w:rPr>
              <w:t>工 期</w:t>
            </w:r>
          </w:p>
        </w:tc>
        <w:tc>
          <w:tcPr>
            <w:tcW w:w="3232" w:type="dxa"/>
          </w:tcPr>
          <w:p w14:paraId="66CC7444">
            <w:pPr>
              <w:jc w:val="center"/>
              <w:rPr>
                <w:color w:val="auto"/>
                <w:sz w:val="30"/>
                <w:szCs w:val="30"/>
                <w:highlight w:val="none"/>
              </w:rPr>
            </w:pPr>
          </w:p>
        </w:tc>
      </w:tr>
      <w:tr w14:paraId="4A9E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758" w:type="dxa"/>
            <w:vAlign w:val="center"/>
          </w:tcPr>
          <w:p w14:paraId="0F53B846">
            <w:pPr>
              <w:jc w:val="center"/>
              <w:rPr>
                <w:color w:val="auto"/>
                <w:sz w:val="30"/>
                <w:szCs w:val="30"/>
                <w:highlight w:val="none"/>
              </w:rPr>
            </w:pPr>
            <w:r>
              <w:rPr>
                <w:rFonts w:hint="eastAsia"/>
                <w:color w:val="auto"/>
                <w:sz w:val="30"/>
                <w:szCs w:val="30"/>
                <w:highlight w:val="none"/>
              </w:rPr>
              <w:t>工作内容</w:t>
            </w:r>
          </w:p>
        </w:tc>
        <w:tc>
          <w:tcPr>
            <w:tcW w:w="7871" w:type="dxa"/>
            <w:gridSpan w:val="4"/>
          </w:tcPr>
          <w:p w14:paraId="53305F47">
            <w:pPr>
              <w:jc w:val="center"/>
              <w:rPr>
                <w:color w:val="auto"/>
                <w:sz w:val="30"/>
                <w:szCs w:val="30"/>
                <w:highlight w:val="none"/>
              </w:rPr>
            </w:pPr>
          </w:p>
          <w:p w14:paraId="177EA039">
            <w:pPr>
              <w:jc w:val="center"/>
              <w:rPr>
                <w:color w:val="auto"/>
                <w:sz w:val="30"/>
                <w:szCs w:val="30"/>
                <w:highlight w:val="none"/>
              </w:rPr>
            </w:pPr>
          </w:p>
          <w:p w14:paraId="66C2C4C4">
            <w:pPr>
              <w:rPr>
                <w:color w:val="auto"/>
                <w:sz w:val="30"/>
                <w:szCs w:val="30"/>
                <w:highlight w:val="none"/>
              </w:rPr>
            </w:pPr>
          </w:p>
          <w:p w14:paraId="1CAEEA37">
            <w:pPr>
              <w:rPr>
                <w:color w:val="auto"/>
                <w:sz w:val="30"/>
                <w:szCs w:val="30"/>
                <w:highlight w:val="none"/>
              </w:rPr>
            </w:pPr>
          </w:p>
          <w:p w14:paraId="48A29774">
            <w:pPr>
              <w:rPr>
                <w:color w:val="auto"/>
                <w:sz w:val="22"/>
                <w:szCs w:val="22"/>
                <w:highlight w:val="none"/>
              </w:rPr>
            </w:pPr>
          </w:p>
          <w:p w14:paraId="2E273CD5">
            <w:pPr>
              <w:rPr>
                <w:color w:val="auto"/>
                <w:sz w:val="22"/>
                <w:szCs w:val="22"/>
                <w:highlight w:val="none"/>
              </w:rPr>
            </w:pPr>
          </w:p>
          <w:p w14:paraId="6A44AABF">
            <w:pPr>
              <w:rPr>
                <w:color w:val="auto"/>
                <w:sz w:val="22"/>
                <w:szCs w:val="22"/>
                <w:highlight w:val="none"/>
              </w:rPr>
            </w:pPr>
          </w:p>
          <w:p w14:paraId="2D5B10A9">
            <w:pPr>
              <w:rPr>
                <w:color w:val="auto"/>
                <w:sz w:val="22"/>
                <w:szCs w:val="22"/>
                <w:highlight w:val="none"/>
              </w:rPr>
            </w:pPr>
          </w:p>
          <w:p w14:paraId="75F9779A">
            <w:pPr>
              <w:rPr>
                <w:color w:val="auto"/>
                <w:sz w:val="22"/>
                <w:szCs w:val="22"/>
                <w:highlight w:val="none"/>
              </w:rPr>
            </w:pPr>
          </w:p>
          <w:p w14:paraId="6AB77A31">
            <w:pPr>
              <w:rPr>
                <w:color w:val="auto"/>
                <w:sz w:val="30"/>
                <w:szCs w:val="30"/>
                <w:highlight w:val="none"/>
              </w:rPr>
            </w:pPr>
            <w:r>
              <w:rPr>
                <w:rFonts w:hint="eastAsia"/>
                <w:color w:val="auto"/>
                <w:sz w:val="22"/>
                <w:szCs w:val="22"/>
                <w:highlight w:val="none"/>
              </w:rPr>
              <w:t>附件：1.图纸或</w:t>
            </w:r>
            <w:r>
              <w:rPr>
                <w:rFonts w:hint="eastAsia"/>
                <w:color w:val="auto"/>
                <w:sz w:val="22"/>
                <w:szCs w:val="22"/>
                <w:highlight w:val="none"/>
                <w:lang w:val="en-US" w:eastAsia="zh-CN"/>
              </w:rPr>
              <w:t>改造</w:t>
            </w:r>
            <w:r>
              <w:rPr>
                <w:rFonts w:hint="eastAsia"/>
                <w:color w:val="auto"/>
                <w:sz w:val="22"/>
                <w:szCs w:val="22"/>
                <w:highlight w:val="none"/>
              </w:rPr>
              <w:t>方案</w:t>
            </w:r>
          </w:p>
        </w:tc>
      </w:tr>
      <w:tr w14:paraId="3C4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58" w:type="dxa"/>
          </w:tcPr>
          <w:p w14:paraId="6A6B2346">
            <w:pPr>
              <w:jc w:val="center"/>
              <w:rPr>
                <w:color w:val="auto"/>
                <w:sz w:val="30"/>
                <w:szCs w:val="30"/>
                <w:highlight w:val="none"/>
              </w:rPr>
            </w:pPr>
            <w:r>
              <w:rPr>
                <w:rFonts w:hint="eastAsia"/>
                <w:color w:val="auto"/>
                <w:sz w:val="30"/>
                <w:szCs w:val="30"/>
                <w:highlight w:val="none"/>
              </w:rPr>
              <w:t>备注</w:t>
            </w:r>
          </w:p>
        </w:tc>
        <w:tc>
          <w:tcPr>
            <w:tcW w:w="7871" w:type="dxa"/>
            <w:gridSpan w:val="4"/>
          </w:tcPr>
          <w:p w14:paraId="367754BB">
            <w:pPr>
              <w:jc w:val="center"/>
              <w:rPr>
                <w:color w:val="auto"/>
                <w:sz w:val="30"/>
                <w:szCs w:val="30"/>
                <w:highlight w:val="none"/>
              </w:rPr>
            </w:pPr>
          </w:p>
        </w:tc>
      </w:tr>
      <w:tr w14:paraId="69D4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2" w:type="dxa"/>
            <w:gridSpan w:val="2"/>
          </w:tcPr>
          <w:p w14:paraId="573F924A">
            <w:pPr>
              <w:jc w:val="center"/>
              <w:rPr>
                <w:color w:val="auto"/>
                <w:sz w:val="30"/>
                <w:szCs w:val="30"/>
                <w:highlight w:val="none"/>
              </w:rPr>
            </w:pPr>
            <w:r>
              <w:rPr>
                <w:rFonts w:hint="eastAsia"/>
                <w:color w:val="auto"/>
                <w:sz w:val="30"/>
                <w:szCs w:val="30"/>
                <w:highlight w:val="none"/>
              </w:rPr>
              <w:t>监理单位</w:t>
            </w:r>
          </w:p>
        </w:tc>
        <w:tc>
          <w:tcPr>
            <w:tcW w:w="3255" w:type="dxa"/>
            <w:gridSpan w:val="2"/>
          </w:tcPr>
          <w:p w14:paraId="1903F7C3">
            <w:pPr>
              <w:jc w:val="center"/>
              <w:rPr>
                <w:color w:val="auto"/>
                <w:sz w:val="30"/>
                <w:szCs w:val="30"/>
                <w:highlight w:val="none"/>
              </w:rPr>
            </w:pPr>
            <w:r>
              <w:rPr>
                <w:rFonts w:hint="eastAsia"/>
                <w:color w:val="auto"/>
                <w:sz w:val="30"/>
                <w:szCs w:val="30"/>
                <w:highlight w:val="none"/>
              </w:rPr>
              <w:t>派受单位</w:t>
            </w:r>
          </w:p>
          <w:p w14:paraId="3BBDAB46">
            <w:pPr>
              <w:jc w:val="center"/>
              <w:rPr>
                <w:color w:val="auto"/>
                <w:sz w:val="30"/>
                <w:szCs w:val="30"/>
                <w:highlight w:val="none"/>
              </w:rPr>
            </w:pPr>
            <w:r>
              <w:rPr>
                <w:rFonts w:hint="eastAsia"/>
                <w:color w:val="auto"/>
                <w:sz w:val="30"/>
                <w:szCs w:val="30"/>
                <w:highlight w:val="none"/>
              </w:rPr>
              <w:t>项目经理</w:t>
            </w:r>
          </w:p>
        </w:tc>
        <w:tc>
          <w:tcPr>
            <w:tcW w:w="3232" w:type="dxa"/>
          </w:tcPr>
          <w:p w14:paraId="06B177AF">
            <w:pPr>
              <w:jc w:val="center"/>
              <w:rPr>
                <w:color w:val="auto"/>
                <w:sz w:val="30"/>
                <w:szCs w:val="30"/>
                <w:highlight w:val="none"/>
              </w:rPr>
            </w:pPr>
            <w:r>
              <w:rPr>
                <w:rFonts w:hint="eastAsia"/>
                <w:color w:val="auto"/>
                <w:sz w:val="30"/>
                <w:szCs w:val="30"/>
                <w:highlight w:val="none"/>
              </w:rPr>
              <w:t>建设单位</w:t>
            </w:r>
          </w:p>
          <w:p w14:paraId="6599AF02">
            <w:pPr>
              <w:jc w:val="center"/>
              <w:rPr>
                <w:color w:val="auto"/>
                <w:sz w:val="30"/>
                <w:szCs w:val="30"/>
                <w:highlight w:val="none"/>
              </w:rPr>
            </w:pPr>
            <w:r>
              <w:rPr>
                <w:rFonts w:hint="eastAsia"/>
                <w:color w:val="auto"/>
                <w:sz w:val="30"/>
                <w:szCs w:val="30"/>
                <w:highlight w:val="none"/>
              </w:rPr>
              <w:t>现场负责人</w:t>
            </w:r>
          </w:p>
        </w:tc>
      </w:tr>
      <w:tr w14:paraId="3B1A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3142" w:type="dxa"/>
            <w:gridSpan w:val="2"/>
          </w:tcPr>
          <w:p w14:paraId="2A1EC483">
            <w:pPr>
              <w:jc w:val="left"/>
              <w:rPr>
                <w:color w:val="auto"/>
                <w:sz w:val="30"/>
                <w:szCs w:val="30"/>
                <w:highlight w:val="none"/>
              </w:rPr>
            </w:pPr>
          </w:p>
          <w:p w14:paraId="6C66413D">
            <w:pPr>
              <w:jc w:val="left"/>
              <w:rPr>
                <w:color w:val="auto"/>
                <w:sz w:val="30"/>
                <w:szCs w:val="30"/>
                <w:highlight w:val="none"/>
              </w:rPr>
            </w:pPr>
          </w:p>
          <w:p w14:paraId="4180F84A">
            <w:pPr>
              <w:jc w:val="left"/>
              <w:rPr>
                <w:color w:val="auto"/>
                <w:sz w:val="30"/>
                <w:szCs w:val="30"/>
                <w:highlight w:val="none"/>
              </w:rPr>
            </w:pPr>
          </w:p>
          <w:p w14:paraId="56FF92F9">
            <w:pPr>
              <w:jc w:val="left"/>
              <w:rPr>
                <w:color w:val="auto"/>
                <w:sz w:val="30"/>
                <w:szCs w:val="30"/>
                <w:highlight w:val="none"/>
              </w:rPr>
            </w:pPr>
            <w:r>
              <w:rPr>
                <w:rFonts w:hint="eastAsia"/>
                <w:color w:val="auto"/>
                <w:sz w:val="30"/>
                <w:szCs w:val="30"/>
                <w:highlight w:val="none"/>
              </w:rPr>
              <w:t>签字：</w:t>
            </w:r>
          </w:p>
          <w:p w14:paraId="5418601F">
            <w:pPr>
              <w:jc w:val="left"/>
              <w:rPr>
                <w:color w:val="auto"/>
                <w:sz w:val="30"/>
                <w:szCs w:val="30"/>
                <w:highlight w:val="none"/>
              </w:rPr>
            </w:pPr>
            <w:r>
              <w:rPr>
                <w:rFonts w:hint="eastAsia"/>
                <w:color w:val="auto"/>
                <w:sz w:val="30"/>
                <w:szCs w:val="30"/>
                <w:highlight w:val="none"/>
              </w:rPr>
              <w:t>日期：</w:t>
            </w:r>
          </w:p>
          <w:p w14:paraId="5BED97F8">
            <w:pPr>
              <w:jc w:val="left"/>
              <w:rPr>
                <w:color w:val="auto"/>
                <w:sz w:val="30"/>
                <w:szCs w:val="30"/>
                <w:highlight w:val="none"/>
              </w:rPr>
            </w:pPr>
          </w:p>
        </w:tc>
        <w:tc>
          <w:tcPr>
            <w:tcW w:w="3255" w:type="dxa"/>
            <w:gridSpan w:val="2"/>
          </w:tcPr>
          <w:p w14:paraId="2DDED4F1">
            <w:pPr>
              <w:ind w:firstLine="1800" w:firstLineChars="600"/>
              <w:jc w:val="left"/>
              <w:rPr>
                <w:color w:val="auto"/>
                <w:sz w:val="30"/>
                <w:szCs w:val="30"/>
                <w:highlight w:val="none"/>
              </w:rPr>
            </w:pPr>
          </w:p>
          <w:p w14:paraId="530BDEE0">
            <w:pPr>
              <w:ind w:firstLine="1800" w:firstLineChars="600"/>
              <w:jc w:val="left"/>
              <w:rPr>
                <w:color w:val="auto"/>
                <w:sz w:val="30"/>
                <w:szCs w:val="30"/>
                <w:highlight w:val="none"/>
              </w:rPr>
            </w:pPr>
          </w:p>
          <w:p w14:paraId="25952EB3">
            <w:pPr>
              <w:ind w:firstLine="1800" w:firstLineChars="600"/>
              <w:jc w:val="left"/>
              <w:rPr>
                <w:color w:val="auto"/>
                <w:sz w:val="30"/>
                <w:szCs w:val="30"/>
                <w:highlight w:val="none"/>
              </w:rPr>
            </w:pPr>
          </w:p>
          <w:p w14:paraId="37E84234">
            <w:pPr>
              <w:jc w:val="left"/>
              <w:rPr>
                <w:color w:val="auto"/>
                <w:sz w:val="30"/>
                <w:szCs w:val="30"/>
                <w:highlight w:val="none"/>
              </w:rPr>
            </w:pPr>
            <w:r>
              <w:rPr>
                <w:rFonts w:hint="eastAsia"/>
                <w:color w:val="auto"/>
                <w:sz w:val="30"/>
                <w:szCs w:val="30"/>
                <w:highlight w:val="none"/>
              </w:rPr>
              <w:t>签字：</w:t>
            </w:r>
          </w:p>
          <w:p w14:paraId="42FE77BB">
            <w:pPr>
              <w:jc w:val="left"/>
              <w:rPr>
                <w:color w:val="auto"/>
                <w:sz w:val="30"/>
                <w:szCs w:val="30"/>
                <w:highlight w:val="none"/>
              </w:rPr>
            </w:pPr>
            <w:r>
              <w:rPr>
                <w:rFonts w:hint="eastAsia"/>
                <w:color w:val="auto"/>
                <w:sz w:val="30"/>
                <w:szCs w:val="30"/>
                <w:highlight w:val="none"/>
              </w:rPr>
              <w:t>日期：</w:t>
            </w:r>
          </w:p>
        </w:tc>
        <w:tc>
          <w:tcPr>
            <w:tcW w:w="3232" w:type="dxa"/>
          </w:tcPr>
          <w:p w14:paraId="3A2E0577">
            <w:pPr>
              <w:ind w:firstLine="1500" w:firstLineChars="500"/>
              <w:jc w:val="left"/>
              <w:rPr>
                <w:color w:val="auto"/>
                <w:sz w:val="30"/>
                <w:szCs w:val="30"/>
                <w:highlight w:val="none"/>
              </w:rPr>
            </w:pPr>
          </w:p>
          <w:p w14:paraId="32B1A13E">
            <w:pPr>
              <w:ind w:firstLine="1500" w:firstLineChars="500"/>
              <w:jc w:val="left"/>
              <w:rPr>
                <w:color w:val="auto"/>
                <w:sz w:val="30"/>
                <w:szCs w:val="30"/>
                <w:highlight w:val="none"/>
              </w:rPr>
            </w:pPr>
          </w:p>
          <w:p w14:paraId="70F5E859">
            <w:pPr>
              <w:ind w:firstLine="1500" w:firstLineChars="500"/>
              <w:jc w:val="left"/>
              <w:rPr>
                <w:color w:val="auto"/>
                <w:sz w:val="30"/>
                <w:szCs w:val="30"/>
                <w:highlight w:val="none"/>
              </w:rPr>
            </w:pPr>
          </w:p>
          <w:p w14:paraId="33CEF8E0">
            <w:pPr>
              <w:jc w:val="left"/>
              <w:rPr>
                <w:color w:val="auto"/>
                <w:sz w:val="30"/>
                <w:szCs w:val="30"/>
                <w:highlight w:val="none"/>
              </w:rPr>
            </w:pPr>
            <w:r>
              <w:rPr>
                <w:rFonts w:hint="eastAsia"/>
                <w:color w:val="auto"/>
                <w:sz w:val="30"/>
                <w:szCs w:val="30"/>
                <w:highlight w:val="none"/>
              </w:rPr>
              <w:t>签字：</w:t>
            </w:r>
          </w:p>
          <w:p w14:paraId="7CBD9B0B">
            <w:pPr>
              <w:jc w:val="left"/>
              <w:rPr>
                <w:color w:val="auto"/>
                <w:sz w:val="30"/>
                <w:szCs w:val="30"/>
                <w:highlight w:val="none"/>
              </w:rPr>
            </w:pPr>
            <w:r>
              <w:rPr>
                <w:rFonts w:hint="eastAsia"/>
                <w:color w:val="auto"/>
                <w:sz w:val="30"/>
                <w:szCs w:val="30"/>
                <w:highlight w:val="none"/>
              </w:rPr>
              <w:t>日期：</w:t>
            </w:r>
          </w:p>
        </w:tc>
      </w:tr>
    </w:tbl>
    <w:p w14:paraId="4EC500DE">
      <w:pPr>
        <w:pStyle w:val="22"/>
        <w:spacing w:line="360" w:lineRule="auto"/>
        <w:ind w:firstLine="480" w:firstLineChars="200"/>
        <w:jc w:val="left"/>
        <w:rPr>
          <w:rFonts w:hAnsi="宋体"/>
          <w:bCs/>
          <w:color w:val="auto"/>
          <w:sz w:val="24"/>
          <w:szCs w:val="24"/>
          <w:highlight w:val="none"/>
        </w:rPr>
      </w:pPr>
    </w:p>
    <w:p w14:paraId="593128BF">
      <w:pPr>
        <w:pStyle w:val="22"/>
        <w:spacing w:line="360" w:lineRule="auto"/>
        <w:ind w:firstLine="480" w:firstLineChars="200"/>
        <w:jc w:val="left"/>
        <w:rPr>
          <w:rFonts w:hAnsi="宋体"/>
          <w:bCs/>
          <w:color w:val="auto"/>
          <w:sz w:val="24"/>
          <w:szCs w:val="24"/>
          <w:highlight w:val="none"/>
        </w:rPr>
      </w:pPr>
    </w:p>
    <w:p w14:paraId="26FDE3E8">
      <w:pPr>
        <w:pStyle w:val="22"/>
        <w:spacing w:line="360" w:lineRule="auto"/>
        <w:ind w:firstLine="480" w:firstLineChars="200"/>
        <w:jc w:val="left"/>
        <w:rPr>
          <w:rFonts w:hAnsi="宋体"/>
          <w:bCs/>
          <w:color w:val="auto"/>
          <w:sz w:val="24"/>
          <w:szCs w:val="24"/>
          <w:highlight w:val="none"/>
        </w:rPr>
      </w:pPr>
    </w:p>
    <w:p w14:paraId="7A45871E">
      <w:pPr>
        <w:pStyle w:val="22"/>
        <w:spacing w:line="360" w:lineRule="auto"/>
        <w:ind w:firstLine="480" w:firstLineChars="200"/>
        <w:jc w:val="left"/>
        <w:rPr>
          <w:rFonts w:hAnsi="宋体"/>
          <w:bCs/>
          <w:color w:val="auto"/>
          <w:sz w:val="24"/>
          <w:szCs w:val="24"/>
          <w:highlight w:val="none"/>
        </w:rPr>
      </w:pPr>
    </w:p>
    <w:p w14:paraId="3AB0CBDB">
      <w:pPr>
        <w:pStyle w:val="22"/>
        <w:spacing w:line="360" w:lineRule="auto"/>
        <w:jc w:val="left"/>
        <w:rPr>
          <w:rFonts w:hAnsi="宋体"/>
          <w:b/>
          <w:color w:val="auto"/>
          <w:sz w:val="24"/>
          <w:szCs w:val="24"/>
          <w:highlight w:val="none"/>
        </w:rPr>
      </w:pPr>
    </w:p>
    <w:p w14:paraId="18B02DD1">
      <w:pPr>
        <w:pStyle w:val="22"/>
        <w:spacing w:line="360" w:lineRule="auto"/>
        <w:jc w:val="center"/>
        <w:rPr>
          <w:rFonts w:hAnsi="宋体"/>
          <w:b/>
          <w:color w:val="auto"/>
          <w:sz w:val="32"/>
          <w:szCs w:val="32"/>
          <w:highlight w:val="none"/>
        </w:rPr>
      </w:pPr>
    </w:p>
    <w:p w14:paraId="4DDE5C18">
      <w:pPr>
        <w:pStyle w:val="22"/>
        <w:spacing w:line="360" w:lineRule="auto"/>
        <w:jc w:val="center"/>
        <w:rPr>
          <w:rFonts w:hAnsi="宋体"/>
          <w:b/>
          <w:color w:val="auto"/>
          <w:sz w:val="32"/>
          <w:szCs w:val="32"/>
          <w:highlight w:val="none"/>
        </w:rPr>
      </w:pPr>
    </w:p>
    <w:p w14:paraId="7DD665AD">
      <w:pPr>
        <w:pStyle w:val="22"/>
        <w:spacing w:line="360" w:lineRule="auto"/>
        <w:rPr>
          <w:rFonts w:hAnsi="宋体"/>
          <w:b/>
          <w:color w:val="auto"/>
          <w:sz w:val="32"/>
          <w:szCs w:val="32"/>
          <w:highlight w:val="none"/>
        </w:rPr>
      </w:pPr>
    </w:p>
    <w:p w14:paraId="5453D77E">
      <w:pPr>
        <w:jc w:val="center"/>
        <w:rPr>
          <w:rFonts w:hAnsi="宋体"/>
          <w:b/>
          <w:color w:val="auto"/>
          <w:sz w:val="24"/>
          <w:szCs w:val="24"/>
          <w:highlight w:val="none"/>
        </w:rPr>
      </w:pPr>
      <w:r>
        <w:rPr>
          <w:rFonts w:hint="eastAsia" w:hAnsi="宋体"/>
          <w:b/>
          <w:color w:val="auto"/>
          <w:sz w:val="32"/>
          <w:szCs w:val="32"/>
          <w:highlight w:val="none"/>
        </w:rPr>
        <w:t>第六章 评标办法</w:t>
      </w:r>
    </w:p>
    <w:p w14:paraId="14B991CF">
      <w:pPr>
        <w:pStyle w:val="67"/>
        <w:spacing w:before="0" w:after="0" w:line="500" w:lineRule="exact"/>
        <w:ind w:firstLine="482" w:firstLineChars="200"/>
        <w:rPr>
          <w:rStyle w:val="64"/>
          <w:rFonts w:ascii="宋体" w:hAnsi="宋体" w:cs="宋体"/>
          <w:color w:val="auto"/>
          <w:highlight w:val="none"/>
        </w:rPr>
      </w:pPr>
      <w:r>
        <w:rPr>
          <w:rStyle w:val="64"/>
          <w:rFonts w:hint="eastAsia" w:ascii="宋体" w:hAnsi="宋体" w:cs="宋体"/>
          <w:color w:val="auto"/>
          <w:highlight w:val="none"/>
        </w:rPr>
        <w:t>1.总则：</w:t>
      </w:r>
    </w:p>
    <w:p w14:paraId="762A869E">
      <w:pPr>
        <w:spacing w:line="500" w:lineRule="exact"/>
        <w:ind w:firstLine="480" w:firstLineChars="200"/>
        <w:rPr>
          <w:rStyle w:val="64"/>
          <w:rFonts w:ascii="宋体" w:hAnsi="宋体" w:cs="宋体"/>
          <w:b/>
          <w:bCs/>
          <w:color w:val="auto"/>
          <w:highlight w:val="none"/>
        </w:rPr>
      </w:pPr>
      <w:r>
        <w:rPr>
          <w:rStyle w:val="64"/>
          <w:rFonts w:hint="eastAsia" w:ascii="宋体" w:hAnsi="宋体" w:cs="宋体"/>
          <w:color w:val="auto"/>
          <w:highlight w:val="none"/>
        </w:rPr>
        <w:t>本着坚持“公开、公平、公正”的原则，为维护招投标双方的合法权益，增加评标工作透明度，保证评标、定标的科学性、公正性和可操作性，根据《中华人民共和国招标投标法》《中华人民共和国招标投标法实施条例》《评标委员会和评标办法暂行规定（七部委12号令）》等法律法规的精神，并结合本市实际制定本办法。</w:t>
      </w:r>
      <w:r>
        <w:rPr>
          <w:rStyle w:val="64"/>
          <w:rFonts w:hint="eastAsia" w:ascii="宋体" w:hAnsi="宋体" w:cs="宋体"/>
          <w:b/>
          <w:bCs/>
          <w:color w:val="auto"/>
          <w:highlight w:val="none"/>
        </w:rPr>
        <w:t>本招标文件其它部分与本评标办法不一致的，以本办法的规定为准。</w:t>
      </w:r>
    </w:p>
    <w:p w14:paraId="4DA9969F">
      <w:pPr>
        <w:spacing w:line="500" w:lineRule="exact"/>
        <w:ind w:firstLine="482" w:firstLineChars="200"/>
        <w:rPr>
          <w:rStyle w:val="64"/>
          <w:rFonts w:ascii="宋体" w:hAnsi="宋体" w:cs="宋体"/>
          <w:color w:val="auto"/>
          <w:kern w:val="1"/>
          <w:highlight w:val="none"/>
        </w:rPr>
      </w:pPr>
      <w:r>
        <w:rPr>
          <w:rStyle w:val="64"/>
          <w:rFonts w:hint="eastAsia" w:ascii="宋体" w:hAnsi="宋体" w:cs="宋体"/>
          <w:b/>
          <w:color w:val="auto"/>
          <w:kern w:val="1"/>
          <w:highlight w:val="none"/>
        </w:rPr>
        <w:t>2.评标程序</w:t>
      </w:r>
    </w:p>
    <w:p w14:paraId="1D775AB6">
      <w:pPr>
        <w:spacing w:line="500" w:lineRule="exact"/>
        <w:ind w:firstLine="480" w:firstLineChars="200"/>
        <w:rPr>
          <w:rStyle w:val="64"/>
          <w:rFonts w:ascii="宋体" w:hAnsi="宋体" w:cs="宋体"/>
          <w:color w:val="auto"/>
          <w:highlight w:val="none"/>
        </w:rPr>
      </w:pPr>
      <w:r>
        <w:rPr>
          <w:rStyle w:val="64"/>
          <w:rFonts w:hint="eastAsia" w:ascii="宋体" w:hAnsi="宋体" w:cs="宋体"/>
          <w:color w:val="auto"/>
          <w:highlight w:val="none"/>
        </w:rPr>
        <w:t>2.1开标时，评标委员会应按照本章规定的评审环节依次进行。评审委员会应在每个阶段进行认真核查，前一顺序评审通过的方可进行下一顺序评审，任一环节未通过的均视为无效投标，已进入下一顺序评审的，除下列所列情形外，评审委员会不得对前面顺序评审的结果进行修改。①分值汇总计算错误的；②分项评分超出评分标准范围的；③评审委员会成员对客观评审因素评分不一致的。</w:t>
      </w:r>
    </w:p>
    <w:p w14:paraId="7A3494BD">
      <w:pPr>
        <w:spacing w:line="500" w:lineRule="exact"/>
        <w:ind w:firstLine="480" w:firstLineChars="200"/>
        <w:rPr>
          <w:rStyle w:val="64"/>
          <w:rFonts w:ascii="宋体" w:hAnsi="宋体" w:cs="宋体"/>
          <w:color w:val="auto"/>
          <w:highlight w:val="none"/>
        </w:rPr>
      </w:pPr>
      <w:r>
        <w:rPr>
          <w:rStyle w:val="64"/>
          <w:rFonts w:hint="eastAsia" w:ascii="宋体" w:hAnsi="宋体" w:cs="宋体"/>
          <w:color w:val="auto"/>
          <w:highlight w:val="none"/>
        </w:rPr>
        <w:t>评标报告签署前，经复核发现存在以上情形之一的，评标委员会应当场修改评标结果，并在评标报告中记载，同时报监管部门备案。</w:t>
      </w:r>
    </w:p>
    <w:p w14:paraId="3A0D1F95">
      <w:pPr>
        <w:spacing w:line="500" w:lineRule="exact"/>
        <w:ind w:firstLine="480" w:firstLineChars="200"/>
        <w:rPr>
          <w:rStyle w:val="64"/>
          <w:rFonts w:ascii="宋体" w:hAnsi="宋体" w:cs="宋体"/>
          <w:color w:val="auto"/>
          <w:highlight w:val="none"/>
        </w:rPr>
      </w:pPr>
      <w:r>
        <w:rPr>
          <w:rStyle w:val="64"/>
          <w:rFonts w:hint="eastAsia" w:ascii="宋体" w:hAnsi="宋体" w:cs="宋体"/>
          <w:color w:val="auto"/>
          <w:highlight w:val="none"/>
        </w:rPr>
        <w:t>2.2评标委员会对招标文件及评标方法中存在模糊不清、不易理解的内容，可要求招标人或代理机构现场解释澄清。解释澄清的内容合理的，评委会应当接受；解释澄清的内容超出了招标文件字面含义、违背了相关法律法规的，评委会应当拒绝并根据自己的专业素质做出判断。</w:t>
      </w:r>
    </w:p>
    <w:p w14:paraId="78305EAC">
      <w:pPr>
        <w:pStyle w:val="37"/>
        <w:tabs>
          <w:tab w:val="left" w:pos="0"/>
          <w:tab w:val="left" w:pos="993"/>
          <w:tab w:val="left" w:pos="1134"/>
        </w:tabs>
        <w:spacing w:line="500" w:lineRule="exact"/>
        <w:ind w:left="0" w:leftChars="0" w:firstLine="480"/>
        <w:rPr>
          <w:rStyle w:val="64"/>
          <w:rFonts w:ascii="宋体" w:hAnsi="宋体" w:cs="宋体"/>
          <w:color w:val="auto"/>
          <w:highlight w:val="none"/>
        </w:rPr>
      </w:pPr>
      <w:r>
        <w:rPr>
          <w:rStyle w:val="64"/>
          <w:rFonts w:hint="eastAsia" w:ascii="宋体" w:hAnsi="宋体" w:cs="宋体"/>
          <w:color w:val="auto"/>
          <w:highlight w:val="none"/>
        </w:rPr>
        <w:t>2.3现场出席开标会议的投标人法定代表人或授权委托人在答复专家质询或对开评标程序提出异议时需出示身份证原件，并提供身份证件复印件交招标代理机构核验（授权委托人同时需提交授权委托书，法人需提供法人身份证明书），不能证明身份的澄清无效，并视为放弃澄清的权力，不能证明身份的异议不被接收。</w:t>
      </w:r>
    </w:p>
    <w:p w14:paraId="1E643EBF">
      <w:pPr>
        <w:spacing w:line="500" w:lineRule="exact"/>
        <w:ind w:firstLine="480" w:firstLineChars="200"/>
        <w:rPr>
          <w:rStyle w:val="64"/>
          <w:rFonts w:ascii="宋体" w:hAnsi="宋体" w:cs="宋体"/>
          <w:color w:val="auto"/>
          <w:highlight w:val="none"/>
        </w:rPr>
      </w:pPr>
      <w:r>
        <w:rPr>
          <w:rStyle w:val="64"/>
          <w:rFonts w:hint="eastAsia" w:ascii="宋体" w:hAnsi="宋体" w:cs="宋体"/>
          <w:bCs/>
          <w:color w:val="auto"/>
          <w:highlight w:val="none"/>
        </w:rPr>
        <w:t>2.4</w:t>
      </w:r>
      <w:r>
        <w:rPr>
          <w:rStyle w:val="64"/>
          <w:rFonts w:hint="eastAsia" w:ascii="宋体" w:hAnsi="宋体" w:cs="宋体"/>
          <w:color w:val="auto"/>
          <w:highlight w:val="none"/>
        </w:rPr>
        <w:t>评标委员会按评标办法，推荐有排序的预中标候选人。对否定的投标文件，评委要提出充足的否定理由，并填写在评标记录上；对认定出现异议的，按照少数服从多数的原则由评委采取投票方式表决确定。评委对评标结论有异议的应用书面方式阐述，评委拒绝在评标报告上签字且不陈述其不同意见和理由的，视为同意评标结论。</w:t>
      </w:r>
    </w:p>
    <w:p w14:paraId="5AA0897B">
      <w:pPr>
        <w:pStyle w:val="37"/>
        <w:tabs>
          <w:tab w:val="left" w:pos="0"/>
          <w:tab w:val="left" w:pos="993"/>
          <w:tab w:val="left" w:pos="1134"/>
        </w:tabs>
        <w:spacing w:line="500" w:lineRule="exact"/>
        <w:ind w:left="0" w:leftChars="0" w:firstLine="480"/>
        <w:rPr>
          <w:color w:val="auto"/>
          <w:highlight w:val="none"/>
        </w:rPr>
      </w:pPr>
      <w:r>
        <w:rPr>
          <w:rStyle w:val="64"/>
          <w:rFonts w:hint="eastAsia" w:ascii="宋体" w:hAnsi="宋体" w:cs="宋体"/>
          <w:color w:val="auto"/>
          <w:highlight w:val="none"/>
        </w:rPr>
        <w:t>2.5当通过投标资格评审或商务标评审的投标人少于3家的，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招标失败处理。</w:t>
      </w:r>
    </w:p>
    <w:p w14:paraId="6AFB63FE">
      <w:pPr>
        <w:spacing w:line="500" w:lineRule="exact"/>
        <w:ind w:firstLine="480" w:firstLineChars="200"/>
        <w:rPr>
          <w:rFonts w:ascii="宋体" w:hAnsi="宋体" w:cs="宋体"/>
          <w:color w:val="auto"/>
          <w:sz w:val="24"/>
          <w:highlight w:val="none"/>
        </w:rPr>
      </w:pPr>
      <w:r>
        <w:rPr>
          <w:rStyle w:val="64"/>
          <w:rFonts w:hint="eastAsia" w:ascii="宋体" w:hAnsi="宋体" w:cs="宋体"/>
          <w:color w:val="auto"/>
          <w:highlight w:val="none"/>
        </w:rPr>
        <w:t>2.6招标失败的项目，评标委员会除应在评标报告上说明认定项目招标失败的理由外，还应分析招标失败产生的可能原因、招标文件有无不合理条款，并提出预防再次招标失败的措施和建议。</w:t>
      </w:r>
    </w:p>
    <w:p w14:paraId="2972049B">
      <w:pPr>
        <w:spacing w:line="500" w:lineRule="exact"/>
        <w:ind w:firstLine="482" w:firstLineChars="200"/>
        <w:rPr>
          <w:rFonts w:asciiTheme="minorEastAsia" w:hAnsiTheme="minorEastAsia" w:cstheme="minorEastAsia"/>
          <w:color w:val="auto"/>
          <w:sz w:val="24"/>
          <w:highlight w:val="none"/>
        </w:rPr>
      </w:pPr>
      <w:r>
        <w:rPr>
          <w:rFonts w:hint="eastAsia" w:asciiTheme="minorEastAsia" w:hAnsiTheme="minorEastAsia" w:cstheme="minorEastAsia"/>
          <w:b/>
          <w:bCs/>
          <w:color w:val="auto"/>
          <w:sz w:val="24"/>
          <w:highlight w:val="none"/>
        </w:rPr>
        <w:t>3.资格审查</w:t>
      </w:r>
    </w:p>
    <w:tbl>
      <w:tblPr>
        <w:tblStyle w:val="38"/>
        <w:tblW w:w="949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2"/>
        <w:gridCol w:w="1453"/>
        <w:gridCol w:w="3728"/>
        <w:gridCol w:w="3562"/>
      </w:tblGrid>
      <w:tr w14:paraId="69BD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1A71FA27">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序</w:t>
            </w:r>
          </w:p>
          <w:p w14:paraId="0070192E">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号</w:t>
            </w:r>
          </w:p>
        </w:tc>
        <w:tc>
          <w:tcPr>
            <w:tcW w:w="1453" w:type="dxa"/>
            <w:tcBorders>
              <w:top w:val="single" w:color="auto" w:sz="4" w:space="0"/>
              <w:left w:val="single" w:color="auto" w:sz="4" w:space="0"/>
              <w:bottom w:val="single" w:color="auto" w:sz="4" w:space="0"/>
              <w:right w:val="single" w:color="auto" w:sz="4" w:space="0"/>
            </w:tcBorders>
            <w:noWrap/>
            <w:vAlign w:val="center"/>
          </w:tcPr>
          <w:p w14:paraId="2E2656B5">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评审项目</w:t>
            </w:r>
          </w:p>
        </w:tc>
        <w:tc>
          <w:tcPr>
            <w:tcW w:w="3728" w:type="dxa"/>
            <w:tcBorders>
              <w:top w:val="single" w:color="auto" w:sz="4" w:space="0"/>
              <w:left w:val="single" w:color="auto" w:sz="4" w:space="0"/>
              <w:bottom w:val="single" w:color="auto" w:sz="4" w:space="0"/>
              <w:right w:val="single" w:color="auto" w:sz="4" w:space="0"/>
            </w:tcBorders>
            <w:noWrap/>
            <w:vAlign w:val="center"/>
          </w:tcPr>
          <w:p w14:paraId="0E6BF138">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证明材料</w:t>
            </w:r>
          </w:p>
        </w:tc>
        <w:tc>
          <w:tcPr>
            <w:tcW w:w="3562" w:type="dxa"/>
            <w:tcBorders>
              <w:top w:val="single" w:color="auto" w:sz="4" w:space="0"/>
              <w:left w:val="single" w:color="auto" w:sz="4" w:space="0"/>
              <w:bottom w:val="single" w:color="auto" w:sz="4" w:space="0"/>
              <w:right w:val="single" w:color="auto" w:sz="4" w:space="0"/>
            </w:tcBorders>
            <w:noWrap/>
            <w:vAlign w:val="center"/>
          </w:tcPr>
          <w:p w14:paraId="334EC41D">
            <w:pPr>
              <w:widowControl/>
              <w:spacing w:line="500" w:lineRule="exact"/>
              <w:jc w:val="center"/>
              <w:rPr>
                <w:rFonts w:ascii="宋体" w:hAnsi="宋体" w:cs="宋体"/>
                <w:b/>
                <w:color w:val="auto"/>
                <w:sz w:val="24"/>
                <w:highlight w:val="none"/>
              </w:rPr>
            </w:pPr>
            <w:r>
              <w:rPr>
                <w:rFonts w:hint="eastAsia" w:ascii="宋体" w:hAnsi="宋体" w:cs="宋体"/>
                <w:b/>
                <w:color w:val="auto"/>
                <w:sz w:val="24"/>
                <w:highlight w:val="none"/>
              </w:rPr>
              <w:t>情况说明</w:t>
            </w:r>
          </w:p>
        </w:tc>
      </w:tr>
      <w:tr w14:paraId="6DBC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0509F421">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3D0B5">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授权委托书、法定代表人身份证明书</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B476">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非法定代表人的，提供授权委托书；法人到场的，无需授权委托书。需按给定的格式填写、盖章</w:t>
            </w:r>
          </w:p>
        </w:tc>
        <w:tc>
          <w:tcPr>
            <w:tcW w:w="3562" w:type="dxa"/>
            <w:tcBorders>
              <w:top w:val="single" w:color="auto" w:sz="4" w:space="0"/>
              <w:left w:val="single" w:color="auto" w:sz="4" w:space="0"/>
              <w:right w:val="single" w:color="auto" w:sz="4" w:space="0"/>
            </w:tcBorders>
            <w:shd w:val="clear" w:color="auto" w:fill="auto"/>
            <w:noWrap/>
            <w:vAlign w:val="center"/>
          </w:tcPr>
          <w:p w14:paraId="5358A407">
            <w:pPr>
              <w:widowControl/>
              <w:spacing w:line="500" w:lineRule="exact"/>
              <w:jc w:val="left"/>
              <w:rPr>
                <w:rFonts w:ascii="宋体" w:hAnsi="宋体" w:cs="宋体"/>
                <w:color w:val="auto"/>
                <w:sz w:val="24"/>
                <w:highlight w:val="none"/>
              </w:rPr>
            </w:pPr>
            <w:r>
              <w:rPr>
                <w:rFonts w:hint="eastAsia" w:ascii="宋体" w:hAnsi="宋体" w:cs="宋体"/>
                <w:color w:val="auto"/>
                <w:sz w:val="24"/>
                <w:highlight w:val="none"/>
              </w:rPr>
              <w:t>①授权委托书及法定代表人身份证明书加盖投标单位公章的原件装订在投标文件内。</w:t>
            </w:r>
          </w:p>
          <w:p w14:paraId="63826015">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②被授权人身份证及法定代表人身份证扫描件（复印件）加盖投标单位公章装订在投标文件中。</w:t>
            </w:r>
          </w:p>
        </w:tc>
      </w:tr>
      <w:tr w14:paraId="524E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7D06D98">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C38E1">
            <w:pPr>
              <w:widowControl/>
              <w:spacing w:line="500" w:lineRule="exact"/>
              <w:ind w:firstLine="120" w:firstLineChars="50"/>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企业资质</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56D64">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按照招标公告(资质最低条件)提供材料</w:t>
            </w:r>
          </w:p>
        </w:tc>
        <w:tc>
          <w:tcPr>
            <w:tcW w:w="3562" w:type="dxa"/>
            <w:tcBorders>
              <w:top w:val="single" w:color="auto" w:sz="4" w:space="0"/>
              <w:left w:val="single" w:color="auto" w:sz="4" w:space="0"/>
              <w:right w:val="single" w:color="auto" w:sz="4" w:space="0"/>
            </w:tcBorders>
            <w:shd w:val="clear" w:color="auto" w:fill="auto"/>
            <w:noWrap/>
            <w:vAlign w:val="center"/>
          </w:tcPr>
          <w:p w14:paraId="3B640A28">
            <w:pPr>
              <w:widowControl/>
              <w:spacing w:line="500" w:lineRule="exact"/>
              <w:jc w:val="center"/>
              <w:rPr>
                <w:rFonts w:ascii="宋体" w:hAnsi="宋体" w:eastAsia="宋体" w:cs="宋体"/>
                <w:color w:val="auto"/>
                <w:kern w:val="2"/>
                <w:sz w:val="24"/>
                <w:szCs w:val="24"/>
                <w:highlight w:val="none"/>
                <w:lang w:val="en-US" w:eastAsia="zh-CN" w:bidi="ar-SA"/>
              </w:rPr>
            </w:pPr>
            <w:r>
              <w:rPr>
                <w:rFonts w:ascii="宋体" w:hAnsi="宋体" w:cs="宋体"/>
                <w:color w:val="auto"/>
                <w:sz w:val="24"/>
                <w:highlight w:val="none"/>
              </w:rPr>
              <w:t>有效的营业执照、企业资质等级证书、安全生产许可证复印件</w:t>
            </w:r>
            <w:r>
              <w:rPr>
                <w:rFonts w:hint="eastAsia" w:ascii="宋体" w:hAnsi="宋体" w:cs="宋体"/>
                <w:color w:val="auto"/>
                <w:sz w:val="24"/>
                <w:highlight w:val="none"/>
              </w:rPr>
              <w:t>或影印件</w:t>
            </w:r>
            <w:r>
              <w:rPr>
                <w:rFonts w:ascii="宋体" w:hAnsi="宋体" w:cs="宋体"/>
                <w:color w:val="auto"/>
                <w:sz w:val="24"/>
                <w:highlight w:val="none"/>
              </w:rPr>
              <w:t>放入投标文件，纸质证照和电子证照皆可。</w:t>
            </w:r>
          </w:p>
        </w:tc>
      </w:tr>
      <w:tr w14:paraId="348D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67CD684B">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64191">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项目经理</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490BC">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按照招标公告（项目经理最低要求）提供材料</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56A3C">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有效的资格证书、安全生产考核B证、</w:t>
            </w:r>
            <w:r>
              <w:rPr>
                <w:rFonts w:hint="eastAsia" w:hAnsi="宋体" w:cs="仿宋_GB2312"/>
                <w:bCs/>
                <w:color w:val="auto"/>
                <w:sz w:val="24"/>
                <w:highlight w:val="none"/>
              </w:rPr>
              <w:t>社保证明</w:t>
            </w:r>
            <w:r>
              <w:rPr>
                <w:rFonts w:hint="eastAsia" w:ascii="宋体" w:hAnsi="宋体" w:cs="宋体"/>
                <w:color w:val="auto"/>
                <w:sz w:val="24"/>
                <w:highlight w:val="none"/>
              </w:rPr>
              <w:t>复印件或影印件加盖公章放入投标文件中，纸质证照和电子证照皆可，</w:t>
            </w:r>
            <w:r>
              <w:rPr>
                <w:rFonts w:hint="eastAsia" w:ascii="宋体" w:hAnsi="宋体" w:cs="宋体"/>
                <w:b/>
                <w:bCs/>
                <w:color w:val="auto"/>
                <w:sz w:val="24"/>
                <w:highlight w:val="none"/>
              </w:rPr>
              <w:t>本项目不接受退休人员参与投标</w:t>
            </w:r>
            <w:r>
              <w:rPr>
                <w:rFonts w:hint="eastAsia" w:ascii="宋体" w:hAnsi="宋体" w:cs="宋体"/>
                <w:color w:val="auto"/>
                <w:sz w:val="24"/>
                <w:highlight w:val="none"/>
              </w:rPr>
              <w:t>。</w:t>
            </w:r>
          </w:p>
        </w:tc>
      </w:tr>
      <w:tr w14:paraId="4F2E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3DF7C3F6">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F36AE">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投标保证金</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74EA1">
            <w:pPr>
              <w:tabs>
                <w:tab w:val="left" w:pos="945"/>
              </w:tabs>
              <w:spacing w:line="52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按投标人须知前附表的要求提供材料</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C61F2">
            <w:pPr>
              <w:tabs>
                <w:tab w:val="left" w:pos="945"/>
              </w:tabs>
              <w:spacing w:line="520" w:lineRule="exact"/>
              <w:rPr>
                <w:rFonts w:ascii="宋体" w:hAnsi="宋体" w:cs="宋体"/>
                <w:color w:val="auto"/>
                <w:sz w:val="24"/>
                <w:highlight w:val="none"/>
              </w:rPr>
            </w:pPr>
            <w:r>
              <w:rPr>
                <w:rFonts w:hint="eastAsia" w:ascii="宋体" w:hAnsi="宋体" w:cs="宋体"/>
                <w:color w:val="auto"/>
                <w:sz w:val="24"/>
                <w:highlight w:val="none"/>
              </w:rPr>
              <w:t>1.转账形式保证金缴纳情况由招标代理机构对比确认。</w:t>
            </w:r>
          </w:p>
          <w:p w14:paraId="0FA94A30">
            <w:pPr>
              <w:tabs>
                <w:tab w:val="left" w:pos="945"/>
              </w:tabs>
              <w:spacing w:line="52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2.投标保证金其他要求见投标人须知前附表。</w:t>
            </w:r>
          </w:p>
        </w:tc>
      </w:tr>
      <w:tr w14:paraId="292D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722813EF">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29B8F">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诚信承诺书</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61DA1">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按给定格式填写盖章</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D590D">
            <w:pPr>
              <w:widowControl/>
              <w:spacing w:line="500" w:lineRule="exact"/>
              <w:jc w:val="left"/>
              <w:rPr>
                <w:rFonts w:ascii="宋体" w:hAnsi="宋体" w:eastAsia="宋体" w:cs="仿宋"/>
                <w:color w:val="auto"/>
                <w:kern w:val="0"/>
                <w:sz w:val="24"/>
                <w:szCs w:val="24"/>
                <w:highlight w:val="none"/>
                <w:lang w:val="en-US" w:eastAsia="zh-CN" w:bidi="ar-SA"/>
              </w:rPr>
            </w:pPr>
            <w:r>
              <w:rPr>
                <w:rFonts w:hint="eastAsia" w:ascii="宋体" w:hAnsi="宋体" w:cs="仿宋"/>
                <w:color w:val="auto"/>
                <w:kern w:val="0"/>
                <w:sz w:val="24"/>
                <w:highlight w:val="none"/>
              </w:rPr>
              <w:t>加盖投标单位公章的原件</w:t>
            </w:r>
            <w:r>
              <w:rPr>
                <w:rFonts w:hint="eastAsia" w:ascii="宋体" w:hAnsi="宋体" w:cs="宋体"/>
                <w:color w:val="auto"/>
                <w:kern w:val="0"/>
                <w:sz w:val="24"/>
                <w:highlight w:val="none"/>
              </w:rPr>
              <w:t>装订在投标文件内</w:t>
            </w:r>
          </w:p>
        </w:tc>
      </w:tr>
      <w:tr w14:paraId="22ED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4F93498">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FB3E1">
            <w:pPr>
              <w:widowControl/>
              <w:spacing w:line="500" w:lineRule="exact"/>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项目经理到岗承诺</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8D53">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按给定的格式填写盖章</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5394D">
            <w:pPr>
              <w:widowControl/>
              <w:spacing w:line="500" w:lineRule="exact"/>
              <w:jc w:val="left"/>
              <w:rPr>
                <w:rFonts w:ascii="宋体" w:hAnsi="宋体" w:eastAsia="宋体" w:cs="宋体"/>
                <w:color w:val="auto"/>
                <w:kern w:val="2"/>
                <w:sz w:val="24"/>
                <w:szCs w:val="24"/>
                <w:highlight w:val="none"/>
                <w:lang w:val="en-US" w:eastAsia="zh-CN" w:bidi="ar-SA"/>
              </w:rPr>
            </w:pPr>
            <w:r>
              <w:rPr>
                <w:rFonts w:hint="eastAsia" w:ascii="宋体" w:hAnsi="宋体" w:cs="仿宋"/>
                <w:color w:val="auto"/>
                <w:kern w:val="0"/>
                <w:sz w:val="24"/>
                <w:highlight w:val="none"/>
              </w:rPr>
              <w:t>加盖投标单位公章的原件</w:t>
            </w:r>
            <w:r>
              <w:rPr>
                <w:rFonts w:hint="eastAsia" w:ascii="宋体" w:hAnsi="宋体" w:cs="宋体"/>
                <w:color w:val="auto"/>
                <w:kern w:val="0"/>
                <w:sz w:val="24"/>
                <w:highlight w:val="none"/>
              </w:rPr>
              <w:t>装订在投标文件内</w:t>
            </w:r>
          </w:p>
        </w:tc>
      </w:tr>
      <w:tr w14:paraId="6238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jc w:val="center"/>
        </w:trPr>
        <w:tc>
          <w:tcPr>
            <w:tcW w:w="752" w:type="dxa"/>
            <w:tcBorders>
              <w:top w:val="single" w:color="auto" w:sz="4" w:space="0"/>
              <w:left w:val="single" w:color="auto" w:sz="4" w:space="0"/>
              <w:bottom w:val="single" w:color="auto" w:sz="4" w:space="0"/>
              <w:right w:val="single" w:color="auto" w:sz="4" w:space="0"/>
            </w:tcBorders>
            <w:noWrap/>
            <w:vAlign w:val="center"/>
          </w:tcPr>
          <w:p w14:paraId="2948B134">
            <w:pPr>
              <w:widowControl/>
              <w:spacing w:line="5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8C8B0">
            <w:pPr>
              <w:widowControl/>
              <w:spacing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中小企业声明函</w:t>
            </w:r>
          </w:p>
        </w:tc>
        <w:tc>
          <w:tcPr>
            <w:tcW w:w="3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B885E">
            <w:pPr>
              <w:widowControl/>
              <w:spacing w:line="5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按给定的格式填写签章</w:t>
            </w:r>
          </w:p>
        </w:tc>
        <w:tc>
          <w:tcPr>
            <w:tcW w:w="35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8374C">
            <w:pPr>
              <w:widowControl/>
              <w:spacing w:line="500" w:lineRule="exact"/>
              <w:jc w:val="left"/>
              <w:rPr>
                <w:rFonts w:hint="eastAsia" w:ascii="宋体" w:hAnsi="宋体" w:eastAsia="宋体" w:cs="宋体"/>
                <w:color w:val="auto"/>
                <w:kern w:val="2"/>
                <w:sz w:val="24"/>
                <w:szCs w:val="24"/>
                <w:highlight w:val="none"/>
                <w:lang w:val="en-US" w:eastAsia="zh-CN" w:bidi="ar-SA"/>
              </w:rPr>
            </w:pPr>
            <w:r>
              <w:rPr>
                <w:rStyle w:val="64"/>
                <w:rFonts w:hint="eastAsia" w:ascii="宋体" w:hAnsi="宋体" w:cs="宋体"/>
                <w:color w:val="auto"/>
                <w:kern w:val="0"/>
                <w:highlight w:val="none"/>
              </w:rPr>
              <w:t>按照格式填写加盖公章放入投标文件中</w:t>
            </w:r>
          </w:p>
        </w:tc>
      </w:tr>
    </w:tbl>
    <w:p w14:paraId="4C5E1BC8">
      <w:pPr>
        <w:spacing w:line="500" w:lineRule="exact"/>
        <w:ind w:firstLine="480" w:firstLineChars="200"/>
        <w:rPr>
          <w:rStyle w:val="64"/>
          <w:rFonts w:asciiTheme="minorEastAsia" w:hAnsiTheme="minorEastAsia" w:eastAsiaTheme="minorEastAsia" w:cstheme="minorEastAsia"/>
          <w:bCs/>
          <w:color w:val="auto"/>
          <w:highlight w:val="none"/>
        </w:rPr>
      </w:pPr>
      <w:r>
        <w:rPr>
          <w:rStyle w:val="64"/>
          <w:rFonts w:hint="eastAsia" w:asciiTheme="minorEastAsia" w:hAnsiTheme="minorEastAsia" w:eastAsiaTheme="minorEastAsia" w:cstheme="minorEastAsia"/>
          <w:color w:val="auto"/>
          <w:highlight w:val="none"/>
        </w:rPr>
        <w:t>备注：（1）以上有一项不符合即为不合格。</w:t>
      </w:r>
      <w:r>
        <w:rPr>
          <w:rStyle w:val="64"/>
          <w:rFonts w:hint="eastAsia" w:asciiTheme="minorEastAsia" w:hAnsiTheme="minorEastAsia" w:eastAsiaTheme="minorEastAsia" w:cstheme="minorEastAsia"/>
          <w:bCs/>
          <w:color w:val="auto"/>
          <w:highlight w:val="none"/>
        </w:rPr>
        <w:t>第</w:t>
      </w:r>
      <w:r>
        <w:rPr>
          <w:rStyle w:val="64"/>
          <w:rFonts w:hint="eastAsia" w:asciiTheme="minorEastAsia" w:hAnsiTheme="minorEastAsia" w:cstheme="minorEastAsia"/>
          <w:bCs/>
          <w:color w:val="auto"/>
          <w:highlight w:val="none"/>
          <w:lang w:val="en-US"/>
        </w:rPr>
        <w:t>1</w:t>
      </w:r>
      <w:r>
        <w:rPr>
          <w:rStyle w:val="64"/>
          <w:rFonts w:hint="eastAsia" w:asciiTheme="minorEastAsia" w:hAnsiTheme="minorEastAsia" w:eastAsiaTheme="minorEastAsia" w:cstheme="minorEastAsia"/>
          <w:bCs/>
          <w:color w:val="auto"/>
          <w:highlight w:val="none"/>
        </w:rPr>
        <w:t>项中的授权委托书及法定代表人身份证明书必须提供，身份证扫描件或复印件不作为废标条件，仅用作判定其现场澄清或异议效力的依据。</w:t>
      </w:r>
    </w:p>
    <w:p w14:paraId="3B39D81E">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（2）各类资质证书、合同、验收报告、营业执照、施工企业及项目负责人资质等级证书、安全生产考核证书等均不要求投标人提供原件。</w:t>
      </w:r>
    </w:p>
    <w:p w14:paraId="11163D7F">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（3）投标文件封面、投标函、投标函附录、投标报价表封面未按招标文件规定的投标文件格式签字或盖章的即为不合格</w:t>
      </w:r>
    </w:p>
    <w:p w14:paraId="585EBB5A">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（4）招标文件规定的不得投标、不得推荐为中标候选人的不良行为记录及失信行为均不需投标人提供相关证明材料，只需按投标文件规定格式填写并提交《诚信承诺书》即可。</w:t>
      </w:r>
    </w:p>
    <w:p w14:paraId="63C660A3">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Cs/>
          <w:color w:val="auto"/>
          <w:sz w:val="24"/>
          <w:highlight w:val="none"/>
        </w:rPr>
        <w:t>未按规定的格式填写，实质性内容不全或关键字迹模糊、无法辨认的资格评审不合格。</w:t>
      </w:r>
    </w:p>
    <w:p w14:paraId="0EF8596D">
      <w:pPr>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rPr>
        <w:t>）本招标文件中要求提供的社保证明材料，投标人可提供社会保险的任一险种，均予认可。</w:t>
      </w:r>
    </w:p>
    <w:p w14:paraId="5E865A07">
      <w:pPr>
        <w:spacing w:line="500" w:lineRule="exact"/>
        <w:ind w:firstLine="482" w:firstLineChars="200"/>
        <w:rPr>
          <w:rFonts w:asciiTheme="minorEastAsia" w:hAnsiTheme="minorEastAsia" w:eastAsiaTheme="minorEastAsia" w:cstheme="minorEastAsia"/>
          <w:b/>
          <w:bCs/>
          <w:color w:val="auto"/>
          <w:sz w:val="24"/>
          <w:highlight w:val="none"/>
        </w:rPr>
      </w:pPr>
      <w:r>
        <w:rPr>
          <w:rFonts w:asciiTheme="minorEastAsia" w:hAnsiTheme="minorEastAsia" w:cstheme="minorEastAsia"/>
          <w:b/>
          <w:bCs/>
          <w:color w:val="auto"/>
          <w:sz w:val="24"/>
          <w:highlight w:val="none"/>
        </w:rPr>
        <w:t>4.</w:t>
      </w:r>
      <w:r>
        <w:rPr>
          <w:rFonts w:hint="eastAsia" w:asciiTheme="minorEastAsia" w:hAnsiTheme="minorEastAsia" w:eastAsiaTheme="minorEastAsia" w:cstheme="minorEastAsia"/>
          <w:b/>
          <w:bCs/>
          <w:color w:val="auto"/>
          <w:sz w:val="24"/>
          <w:highlight w:val="none"/>
        </w:rPr>
        <w:t>商务标审查：</w:t>
      </w:r>
    </w:p>
    <w:p w14:paraId="54CCA0D3">
      <w:pPr>
        <w:spacing w:line="500" w:lineRule="exact"/>
        <w:ind w:firstLine="480" w:firstLineChars="200"/>
        <w:rPr>
          <w:rStyle w:val="64"/>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商务标审查中发现存在以下重大偏差之一者</w:t>
      </w:r>
      <w:r>
        <w:rPr>
          <w:rStyle w:val="64"/>
          <w:rFonts w:hint="eastAsia" w:asciiTheme="minorEastAsia" w:hAnsiTheme="minorEastAsia" w:eastAsiaTheme="minorEastAsia" w:cstheme="minorEastAsia"/>
          <w:color w:val="auto"/>
          <w:highlight w:val="none"/>
        </w:rPr>
        <w:t xml:space="preserve">，将作为废标处理，即为不合格： </w:t>
      </w:r>
    </w:p>
    <w:p w14:paraId="1E41847A">
      <w:pPr>
        <w:spacing w:line="500" w:lineRule="exact"/>
        <w:ind w:firstLine="480" w:firstLineChars="200"/>
        <w:rPr>
          <w:rStyle w:val="64"/>
          <w:rFonts w:asciiTheme="minorEastAsia" w:hAnsiTheme="minorEastAsia" w:eastAsiaTheme="minorEastAsia" w:cstheme="minorEastAsia"/>
          <w:color w:val="auto"/>
          <w:highlight w:val="none"/>
        </w:rPr>
      </w:pPr>
      <w:r>
        <w:rPr>
          <w:rStyle w:val="64"/>
          <w:rFonts w:hint="eastAsia" w:asciiTheme="minorEastAsia" w:hAnsiTheme="minorEastAsia" w:eastAsiaTheme="minorEastAsia" w:cstheme="minorEastAsia"/>
          <w:color w:val="auto"/>
          <w:highlight w:val="none"/>
        </w:rPr>
        <w:t>①</w:t>
      </w:r>
      <w:r>
        <w:rPr>
          <w:rFonts w:hint="eastAsia" w:asciiTheme="minorEastAsia" w:hAnsiTheme="minorEastAsia" w:eastAsiaTheme="minorEastAsia" w:cstheme="minorEastAsia"/>
          <w:color w:val="auto"/>
          <w:sz w:val="24"/>
          <w:highlight w:val="none"/>
        </w:rPr>
        <w:t>投标人投标报价超过最高投标限价的。</w:t>
      </w:r>
    </w:p>
    <w:p w14:paraId="4D01F5B5">
      <w:pPr>
        <w:spacing w:line="500" w:lineRule="exact"/>
        <w:ind w:firstLine="480" w:firstLineChars="200"/>
        <w:rPr>
          <w:rStyle w:val="64"/>
          <w:rFonts w:asciiTheme="minorEastAsia" w:hAnsiTheme="minorEastAsia" w:eastAsiaTheme="minorEastAsia" w:cstheme="minorEastAsia"/>
          <w:color w:val="auto"/>
          <w:highlight w:val="none"/>
        </w:rPr>
      </w:pPr>
      <w:r>
        <w:rPr>
          <w:rStyle w:val="64"/>
          <w:rFonts w:hint="eastAsia" w:asciiTheme="minorEastAsia" w:hAnsiTheme="minorEastAsia" w:eastAsiaTheme="minorEastAsia" w:cstheme="minorEastAsia"/>
          <w:color w:val="auto"/>
          <w:highlight w:val="none"/>
        </w:rPr>
        <w:t>②</w:t>
      </w:r>
      <w:r>
        <w:rPr>
          <w:rStyle w:val="64"/>
          <w:rFonts w:hint="eastAsia" w:asciiTheme="minorEastAsia" w:hAnsiTheme="minorEastAsia" w:eastAsiaTheme="minorEastAsia" w:cstheme="minorEastAsia"/>
          <w:b/>
          <w:bCs/>
          <w:color w:val="auto"/>
          <w:highlight w:val="none"/>
        </w:rPr>
        <w:t>评标委员会认为投标人的报价明显低于其他投标人的报价，有可能影响工程质量或者不能诚信履约的，将要求其在</w:t>
      </w:r>
      <w:r>
        <w:rPr>
          <w:rStyle w:val="64"/>
          <w:rFonts w:hint="eastAsia" w:asciiTheme="minorEastAsia" w:hAnsiTheme="minorEastAsia" w:eastAsiaTheme="minorEastAsia" w:cstheme="minorEastAsia"/>
          <w:b/>
          <w:bCs/>
          <w:color w:val="auto"/>
          <w:highlight w:val="none"/>
          <w:u w:val="single" w:color="000000"/>
        </w:rPr>
        <w:t>0.5</w:t>
      </w:r>
      <w:r>
        <w:rPr>
          <w:rStyle w:val="64"/>
          <w:rFonts w:hint="eastAsia" w:asciiTheme="minorEastAsia" w:hAnsiTheme="minorEastAsia" w:eastAsiaTheme="minorEastAsia" w:cstheme="minorEastAsia"/>
          <w:b/>
          <w:bCs/>
          <w:color w:val="auto"/>
          <w:highlight w:val="none"/>
        </w:rPr>
        <w:t>小时内（具体时间由评委确定）提供书面说明，必要时提交相</w:t>
      </w:r>
      <w:r>
        <w:rPr>
          <w:rStyle w:val="64"/>
          <w:rFonts w:hint="eastAsia" w:asciiTheme="minorEastAsia" w:hAnsiTheme="minorEastAsia" w:eastAsiaTheme="minorEastAsia" w:cstheme="minorEastAsia"/>
          <w:b/>
          <w:color w:val="auto"/>
          <w:highlight w:val="none"/>
        </w:rPr>
        <w:t>关证明材</w:t>
      </w:r>
      <w:r>
        <w:rPr>
          <w:rStyle w:val="64"/>
          <w:rFonts w:hint="eastAsia" w:asciiTheme="minorEastAsia" w:hAnsiTheme="minorEastAsia" w:eastAsiaTheme="minorEastAsia" w:cstheme="minorEastAsia"/>
          <w:b/>
          <w:bCs/>
          <w:color w:val="auto"/>
          <w:highlight w:val="none"/>
        </w:rPr>
        <w:t>料，评标委员会认定其报价低于成本的将否决其投标，未在规定时间递交说明或证明材料的投标也将被否决</w:t>
      </w:r>
      <w:r>
        <w:rPr>
          <w:rStyle w:val="64"/>
          <w:rFonts w:hint="eastAsia" w:asciiTheme="minorEastAsia" w:hAnsiTheme="minorEastAsia" w:eastAsiaTheme="minorEastAsia" w:cstheme="minorEastAsia"/>
          <w:color w:val="auto"/>
          <w:highlight w:val="none"/>
        </w:rPr>
        <w:t>。</w:t>
      </w:r>
    </w:p>
    <w:p w14:paraId="1D491990">
      <w:pPr>
        <w:spacing w:line="500" w:lineRule="exact"/>
        <w:ind w:firstLine="480" w:firstLineChars="200"/>
        <w:rPr>
          <w:rStyle w:val="64"/>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③</w:t>
      </w:r>
      <w:r>
        <w:rPr>
          <w:rStyle w:val="64"/>
          <w:rFonts w:hint="eastAsia" w:asciiTheme="minorEastAsia" w:hAnsiTheme="minorEastAsia" w:eastAsiaTheme="minorEastAsia" w:cstheme="minorEastAsia"/>
          <w:color w:val="auto"/>
          <w:highlight w:val="none"/>
        </w:rPr>
        <w:t>有关法律、法规规定的其它废标条件。</w:t>
      </w:r>
    </w:p>
    <w:p w14:paraId="217A6D15">
      <w:pPr>
        <w:spacing w:line="500" w:lineRule="exact"/>
        <w:ind w:firstLine="482" w:firstLineChars="200"/>
        <w:rPr>
          <w:rFonts w:hint="eastAsia" w:asciiTheme="minorEastAsia" w:hAnsiTheme="minorEastAsia" w:eastAsiaTheme="minorEastAsia" w:cstheme="minorEastAsia"/>
          <w:b/>
          <w:color w:val="auto"/>
          <w:sz w:val="24"/>
          <w:highlight w:val="none"/>
          <w:lang w:eastAsia="zh-CN"/>
        </w:rPr>
      </w:pPr>
      <w:r>
        <w:rPr>
          <w:rFonts w:asciiTheme="minorEastAsia" w:hAnsiTheme="minorEastAsia" w:cstheme="minorEastAsia"/>
          <w:b/>
          <w:color w:val="auto"/>
          <w:sz w:val="24"/>
          <w:highlight w:val="none"/>
        </w:rPr>
        <w:t>4.1</w:t>
      </w:r>
      <w:r>
        <w:rPr>
          <w:rFonts w:hint="eastAsia" w:asciiTheme="minorEastAsia" w:hAnsiTheme="minorEastAsia" w:eastAsiaTheme="minorEastAsia" w:cstheme="minorEastAsia"/>
          <w:b/>
          <w:color w:val="auto"/>
          <w:sz w:val="24"/>
          <w:highlight w:val="none"/>
        </w:rPr>
        <w:t>计算评标基准值B</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lang w:val="en-US" w:eastAsia="zh-CN"/>
        </w:rPr>
        <w:t>94分</w:t>
      </w:r>
      <w:r>
        <w:rPr>
          <w:rFonts w:hint="eastAsia" w:asciiTheme="minorEastAsia" w:hAnsiTheme="minorEastAsia" w:eastAsiaTheme="minorEastAsia" w:cstheme="minorEastAsia"/>
          <w:b/>
          <w:color w:val="auto"/>
          <w:sz w:val="24"/>
          <w:highlight w:val="none"/>
          <w:lang w:eastAsia="zh-CN"/>
        </w:rPr>
        <w:t>）</w:t>
      </w:r>
    </w:p>
    <w:p w14:paraId="7DA413D5">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.1确定参与商务标平均值计算的报价范围</w:t>
      </w:r>
    </w:p>
    <w:p w14:paraId="4CC36426">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（1）投标报价因重大偏差被认定为废标或无效报价的不参与报价的抽取和平均值的计算。</w:t>
      </w:r>
    </w:p>
    <w:p w14:paraId="1818D93C">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（2）低于最高投标限价的</w:t>
      </w:r>
      <w:r>
        <w:rPr>
          <w:rFonts w:hint="eastAsia" w:asciiTheme="minorEastAsia" w:hAnsiTheme="minorEastAsia" w:eastAsiaTheme="minorEastAsia" w:cstheme="minorEastAsia"/>
          <w:color w:val="auto"/>
          <w:sz w:val="24"/>
          <w:highlight w:val="none"/>
          <w:lang w:eastAsia="zh-CN"/>
        </w:rPr>
        <w:t>81%</w:t>
      </w:r>
      <w:r>
        <w:rPr>
          <w:rFonts w:hint="eastAsia" w:asciiTheme="minorEastAsia" w:hAnsiTheme="minorEastAsia" w:eastAsiaTheme="minorEastAsia" w:cstheme="minorEastAsia"/>
          <w:color w:val="auto"/>
          <w:sz w:val="24"/>
          <w:highlight w:val="none"/>
        </w:rPr>
        <w:t>或高于最高投标限价的</w:t>
      </w:r>
      <w:r>
        <w:rPr>
          <w:rFonts w:hint="eastAsia" w:asciiTheme="minorEastAsia" w:hAnsiTheme="minorEastAsia" w:eastAsiaTheme="minorEastAsia" w:cstheme="minorEastAsia"/>
          <w:color w:val="auto"/>
          <w:sz w:val="24"/>
          <w:highlight w:val="none"/>
          <w:lang w:eastAsia="zh-CN"/>
        </w:rPr>
        <w:t>91%</w:t>
      </w:r>
      <w:r>
        <w:rPr>
          <w:rFonts w:hint="eastAsia" w:asciiTheme="minorEastAsia" w:hAnsiTheme="minorEastAsia" w:eastAsiaTheme="minorEastAsia" w:cstheme="minorEastAsia"/>
          <w:color w:val="auto"/>
          <w:sz w:val="24"/>
          <w:highlight w:val="none"/>
        </w:rPr>
        <w:t>的投标报价（不含本数），均不参与以下平均值的计算。</w:t>
      </w:r>
    </w:p>
    <w:p w14:paraId="7C6D1667">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当最高投标限价的</w:t>
      </w:r>
      <w:r>
        <w:rPr>
          <w:rFonts w:hint="eastAsia" w:asciiTheme="minorEastAsia" w:hAnsiTheme="minorEastAsia" w:eastAsiaTheme="minorEastAsia" w:cstheme="minorEastAsia"/>
          <w:color w:val="auto"/>
          <w:sz w:val="24"/>
          <w:highlight w:val="none"/>
          <w:lang w:eastAsia="zh-CN"/>
        </w:rPr>
        <w:t>81%</w:t>
      </w:r>
      <w:r>
        <w:rPr>
          <w:rFonts w:hint="eastAsia" w:asciiTheme="minorEastAsia" w:hAnsiTheme="minorEastAsia" w:eastAsiaTheme="minorEastAsia" w:cstheme="minorEastAsia"/>
          <w:color w:val="auto"/>
          <w:sz w:val="24"/>
          <w:highlight w:val="none"/>
        </w:rPr>
        <w:t>与最高投标限价的</w:t>
      </w:r>
      <w:r>
        <w:rPr>
          <w:rFonts w:hint="eastAsia" w:asciiTheme="minorEastAsia" w:hAnsiTheme="minorEastAsia" w:eastAsiaTheme="minorEastAsia" w:cstheme="minorEastAsia"/>
          <w:color w:val="auto"/>
          <w:sz w:val="24"/>
          <w:highlight w:val="none"/>
          <w:lang w:eastAsia="zh-CN"/>
        </w:rPr>
        <w:t>91%</w:t>
      </w:r>
      <w:r>
        <w:rPr>
          <w:rFonts w:hint="eastAsia" w:asciiTheme="minorEastAsia" w:hAnsiTheme="minorEastAsia" w:eastAsiaTheme="minorEastAsia" w:cstheme="minorEastAsia"/>
          <w:color w:val="auto"/>
          <w:sz w:val="24"/>
          <w:highlight w:val="none"/>
        </w:rPr>
        <w:t>之间无投标报价时（含本数），属于报价异常，本项目做流标处理。</w:t>
      </w:r>
    </w:p>
    <w:p w14:paraId="71C4A492">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.2计算投标报价算术平均值b</w:t>
      </w:r>
    </w:p>
    <w:p w14:paraId="73AF432A">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（1）设通过前述各步骤评审的投标人数量为M,最高投标限价为A。 </w:t>
      </w:r>
    </w:p>
    <w:p w14:paraId="74C4ED66">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（2）当投标单位家数M≤5时，则取所有投标报价的算术平均值为b值</w:t>
      </w:r>
    </w:p>
    <w:p w14:paraId="04B05819">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（3）当M＞5时，按由高到低顺序去掉报价高的M×10%（四舍五入取整数）家和按由低到高顺序去除报价低的M×10%（四舍五入取整数）家后，在此范围内的所有投标报价取算术平均值为b值；</w:t>
      </w:r>
    </w:p>
    <w:p w14:paraId="545ADF96">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（4）计算评标基准值B：对第一次算术平均b值（含）和最高投标限价的</w:t>
      </w:r>
      <w:r>
        <w:rPr>
          <w:rFonts w:hint="eastAsia" w:asciiTheme="minorEastAsia" w:hAnsiTheme="minorEastAsia" w:eastAsiaTheme="minorEastAsia" w:cstheme="minorEastAsia"/>
          <w:color w:val="auto"/>
          <w:sz w:val="24"/>
          <w:highlight w:val="none"/>
          <w:lang w:eastAsia="zh-CN"/>
        </w:rPr>
        <w:t>86%</w:t>
      </w:r>
      <w:r>
        <w:rPr>
          <w:rFonts w:hint="eastAsia" w:asciiTheme="minorEastAsia" w:hAnsiTheme="minorEastAsia" w:eastAsiaTheme="minorEastAsia" w:cstheme="minorEastAsia"/>
          <w:color w:val="auto"/>
          <w:sz w:val="24"/>
          <w:highlight w:val="none"/>
        </w:rPr>
        <w:t>（含）之间的投标报价进行第二次平均，第二次平均值即为评标基准值B。（若第一次算术平均b值（含）和最高投标限价的</w:t>
      </w:r>
      <w:r>
        <w:rPr>
          <w:rFonts w:hint="eastAsia" w:asciiTheme="minorEastAsia" w:hAnsiTheme="minorEastAsia" w:eastAsiaTheme="minorEastAsia" w:cstheme="minorEastAsia"/>
          <w:color w:val="auto"/>
          <w:sz w:val="24"/>
          <w:highlight w:val="none"/>
          <w:lang w:val="en-US" w:eastAsia="zh-CN"/>
        </w:rPr>
        <w:t>86%</w:t>
      </w:r>
      <w:r>
        <w:rPr>
          <w:rFonts w:hint="eastAsia" w:asciiTheme="minorEastAsia" w:hAnsiTheme="minorEastAsia" w:eastAsiaTheme="minorEastAsia" w:cstheme="minorEastAsia"/>
          <w:color w:val="auto"/>
          <w:sz w:val="24"/>
          <w:highlight w:val="none"/>
        </w:rPr>
        <w:t>（含）之间没有投标报价，则以最高投标限价的</w:t>
      </w:r>
      <w:r>
        <w:rPr>
          <w:rFonts w:hint="eastAsia" w:asciiTheme="minorEastAsia" w:hAnsiTheme="minorEastAsia" w:eastAsiaTheme="minorEastAsia" w:cstheme="minorEastAsia"/>
          <w:color w:val="auto"/>
          <w:sz w:val="24"/>
          <w:highlight w:val="none"/>
          <w:lang w:eastAsia="zh-CN"/>
        </w:rPr>
        <w:t>86%</w:t>
      </w:r>
      <w:r>
        <w:rPr>
          <w:rFonts w:hint="eastAsia" w:asciiTheme="minorEastAsia" w:hAnsiTheme="minorEastAsia" w:eastAsiaTheme="minorEastAsia" w:cstheme="minorEastAsia"/>
          <w:color w:val="auto"/>
          <w:sz w:val="24"/>
          <w:highlight w:val="none"/>
        </w:rPr>
        <w:t>为评标基准值B。）</w:t>
      </w:r>
    </w:p>
    <w:p w14:paraId="34E07971">
      <w:pPr>
        <w:tabs>
          <w:tab w:val="left" w:pos="945"/>
        </w:tabs>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（5）有效投标报价等于评标基准值B值的得满分</w:t>
      </w:r>
      <w:r>
        <w:rPr>
          <w:rFonts w:hint="eastAsia" w:asciiTheme="minorEastAsia" w:hAnsiTheme="minorEastAsia" w:eastAsiaTheme="minorEastAsia" w:cstheme="minorEastAsia"/>
          <w:color w:val="auto"/>
          <w:sz w:val="24"/>
          <w:highlight w:val="none"/>
          <w:lang w:val="en-US" w:eastAsia="zh-CN"/>
        </w:rPr>
        <w:t>94</w:t>
      </w:r>
      <w:r>
        <w:rPr>
          <w:rFonts w:hint="eastAsia" w:asciiTheme="minorEastAsia" w:hAnsiTheme="minorEastAsia" w:eastAsiaTheme="minorEastAsia" w:cstheme="minorEastAsia"/>
          <w:color w:val="auto"/>
          <w:sz w:val="24"/>
          <w:highlight w:val="none"/>
        </w:rPr>
        <w:t>分。报价每高于评标基准值1%扣</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分，每低于评标基准值1%扣</w:t>
      </w:r>
      <w:r>
        <w:rPr>
          <w:rFonts w:hint="eastAsia" w:asciiTheme="minorEastAsia" w:hAnsiTheme="minorEastAsia" w:eastAsiaTheme="minorEastAsia" w:cstheme="minorEastAsia"/>
          <w:color w:val="auto"/>
          <w:sz w:val="24"/>
          <w:highlight w:val="none"/>
          <w:lang w:val="en-US" w:eastAsia="zh-CN"/>
        </w:rPr>
        <w:t>0.2</w:t>
      </w:r>
      <w:r>
        <w:rPr>
          <w:rFonts w:hint="eastAsia" w:asciiTheme="minorEastAsia" w:hAnsiTheme="minorEastAsia" w:eastAsiaTheme="minorEastAsia" w:cstheme="minorEastAsia"/>
          <w:color w:val="auto"/>
          <w:sz w:val="24"/>
          <w:highlight w:val="none"/>
        </w:rPr>
        <w:t>分，计算公式为：</w:t>
      </w:r>
      <w:r>
        <w:rPr>
          <w:rFonts w:hint="eastAsia" w:asciiTheme="minorEastAsia" w:hAnsiTheme="minorEastAsia" w:eastAsiaTheme="minorEastAsia" w:cstheme="minorEastAsia"/>
          <w:color w:val="auto"/>
          <w:sz w:val="24"/>
          <w:highlight w:val="none"/>
          <w:lang w:val="en-US" w:eastAsia="zh-CN"/>
        </w:rPr>
        <w:t>94</w:t>
      </w:r>
      <w:r>
        <w:rPr>
          <w:rFonts w:hint="eastAsia" w:asciiTheme="minorEastAsia" w:hAnsiTheme="minorEastAsia" w:eastAsiaTheme="minorEastAsia" w:cstheme="minorEastAsia"/>
          <w:color w:val="auto"/>
          <w:sz w:val="24"/>
          <w:highlight w:val="none"/>
        </w:rPr>
        <w:t>-|投标人报价-评标基准值|/评标基准值*（</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val="en-US" w:eastAsia="zh-CN"/>
        </w:rPr>
        <w:t>0.2</w:t>
      </w:r>
      <w:r>
        <w:rPr>
          <w:rFonts w:hint="eastAsia" w:asciiTheme="minorEastAsia" w:hAnsiTheme="minorEastAsia" w:eastAsiaTheme="minorEastAsia" w:cstheme="minorEastAsia"/>
          <w:color w:val="auto"/>
          <w:sz w:val="24"/>
          <w:highlight w:val="none"/>
        </w:rPr>
        <w:t>）*100。</w:t>
      </w:r>
    </w:p>
    <w:p w14:paraId="6E55C562">
      <w:pPr>
        <w:spacing w:line="500" w:lineRule="exact"/>
        <w:ind w:firstLine="482" w:firstLineChars="200"/>
        <w:rPr>
          <w:rFonts w:ascii="宋体" w:hAnsi="宋体" w:cs="宋体"/>
          <w:color w:val="auto"/>
          <w:sz w:val="24"/>
          <w:highlight w:val="none"/>
        </w:rPr>
      </w:pPr>
      <w:r>
        <w:rPr>
          <w:rFonts w:asciiTheme="minorEastAsia" w:hAnsiTheme="minorEastAsia" w:eastAsiaTheme="minorEastAsia" w:cstheme="minorEastAsia"/>
          <w:b/>
          <w:color w:val="auto"/>
          <w:sz w:val="24"/>
          <w:highlight w:val="none"/>
        </w:rPr>
        <w:t>5.</w:t>
      </w:r>
      <w:r>
        <w:rPr>
          <w:rFonts w:hint="eastAsia" w:ascii="宋体" w:hAnsi="宋体" w:cs="宋体"/>
          <w:b/>
          <w:bCs/>
          <w:color w:val="auto"/>
          <w:sz w:val="24"/>
          <w:highlight w:val="none"/>
        </w:rPr>
        <w:t>技术标评审（6分）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5675"/>
        <w:gridCol w:w="987"/>
      </w:tblGrid>
      <w:tr w14:paraId="154D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56" w:type="dxa"/>
            <w:vAlign w:val="center"/>
          </w:tcPr>
          <w:p w14:paraId="1049C945">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675" w:type="dxa"/>
            <w:vAlign w:val="center"/>
          </w:tcPr>
          <w:p w14:paraId="5DD654C5">
            <w:pPr>
              <w:spacing w:line="400" w:lineRule="exact"/>
              <w:ind w:firstLine="316" w:firstLineChars="150"/>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987" w:type="dxa"/>
            <w:vAlign w:val="center"/>
          </w:tcPr>
          <w:p w14:paraId="6A8205BC">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满分</w:t>
            </w:r>
          </w:p>
        </w:tc>
      </w:tr>
      <w:tr w14:paraId="0506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056" w:type="dxa"/>
            <w:vAlign w:val="center"/>
          </w:tcPr>
          <w:p w14:paraId="5CE3971F">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1.主要施工方法</w:t>
            </w:r>
          </w:p>
        </w:tc>
        <w:tc>
          <w:tcPr>
            <w:tcW w:w="5675" w:type="dxa"/>
            <w:vAlign w:val="center"/>
          </w:tcPr>
          <w:p w14:paraId="6EAC7583">
            <w:pPr>
              <w:spacing w:line="400" w:lineRule="exact"/>
              <w:rPr>
                <w:rFonts w:ascii="宋体" w:hAnsi="宋体" w:cs="宋体"/>
                <w:b w:val="0"/>
                <w:bCs w:val="0"/>
                <w:color w:val="auto"/>
                <w:w w:val="90"/>
                <w:szCs w:val="21"/>
                <w:highlight w:val="none"/>
              </w:rPr>
            </w:pPr>
            <w:r>
              <w:rPr>
                <w:rFonts w:hint="eastAsia" w:ascii="宋体" w:hAnsi="宋体" w:cs="宋体"/>
                <w:b w:val="0"/>
                <w:bCs w:val="0"/>
                <w:color w:val="auto"/>
                <w:w w:val="90"/>
                <w:szCs w:val="21"/>
                <w:highlight w:val="none"/>
              </w:rPr>
              <w:t>各主要分部施工方法符合项目实际，工艺创新、方法科学合理，</w:t>
            </w:r>
            <w:r>
              <w:rPr>
                <w:rFonts w:hint="eastAsia" w:ascii="宋体" w:hAnsi="宋体" w:cs="宋体"/>
                <w:b w:val="0"/>
                <w:bCs w:val="0"/>
                <w:color w:val="auto"/>
                <w:w w:val="90"/>
                <w:szCs w:val="21"/>
                <w:highlight w:val="none"/>
                <w:lang w:eastAsia="zh-CN"/>
              </w:rPr>
              <w:t>好的得1-0.7分，一般得0.7-0.4分，</w:t>
            </w:r>
            <w:r>
              <w:rPr>
                <w:rFonts w:hint="eastAsia" w:ascii="宋体" w:hAnsi="宋体" w:cs="宋体"/>
                <w:b w:val="0"/>
                <w:bCs w:val="0"/>
                <w:color w:val="auto"/>
                <w:w w:val="90"/>
                <w:szCs w:val="21"/>
                <w:highlight w:val="none"/>
                <w:lang w:val="en-US" w:eastAsia="zh-CN"/>
              </w:rPr>
              <w:t>差的</w:t>
            </w:r>
            <w:r>
              <w:rPr>
                <w:rFonts w:hint="eastAsia" w:ascii="宋体" w:hAnsi="宋体" w:cs="宋体"/>
                <w:b w:val="0"/>
                <w:bCs w:val="0"/>
                <w:color w:val="auto"/>
                <w:w w:val="90"/>
                <w:szCs w:val="21"/>
                <w:highlight w:val="none"/>
                <w:lang w:eastAsia="zh-CN"/>
              </w:rPr>
              <w:t>得0.4-0分</w:t>
            </w:r>
            <w:r>
              <w:rPr>
                <w:rFonts w:hint="eastAsia" w:ascii="宋体" w:hAnsi="宋体" w:cs="宋体"/>
                <w:b w:val="0"/>
                <w:bCs w:val="0"/>
                <w:color w:val="auto"/>
                <w:w w:val="90"/>
                <w:szCs w:val="21"/>
                <w:highlight w:val="none"/>
              </w:rPr>
              <w:t>。</w:t>
            </w:r>
          </w:p>
        </w:tc>
        <w:tc>
          <w:tcPr>
            <w:tcW w:w="987" w:type="dxa"/>
            <w:vAlign w:val="center"/>
          </w:tcPr>
          <w:p w14:paraId="1940E3F6">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1</w:t>
            </w:r>
          </w:p>
        </w:tc>
      </w:tr>
      <w:tr w14:paraId="64FD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056" w:type="dxa"/>
            <w:vAlign w:val="center"/>
          </w:tcPr>
          <w:p w14:paraId="1B60DE48">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2.拟投入的主要物资计划</w:t>
            </w:r>
          </w:p>
        </w:tc>
        <w:tc>
          <w:tcPr>
            <w:tcW w:w="5675" w:type="dxa"/>
            <w:vAlign w:val="center"/>
          </w:tcPr>
          <w:p w14:paraId="6A894EFD">
            <w:pPr>
              <w:spacing w:line="400" w:lineRule="exact"/>
              <w:rPr>
                <w:rFonts w:ascii="宋体" w:hAnsi="宋体" w:cs="宋体"/>
                <w:b w:val="0"/>
                <w:bCs w:val="0"/>
                <w:color w:val="auto"/>
                <w:w w:val="90"/>
                <w:szCs w:val="21"/>
                <w:highlight w:val="none"/>
              </w:rPr>
            </w:pPr>
            <w:r>
              <w:rPr>
                <w:rFonts w:hint="eastAsia" w:ascii="宋体" w:hAnsi="宋体" w:cs="宋体"/>
                <w:b w:val="0"/>
                <w:bCs w:val="0"/>
                <w:color w:val="auto"/>
                <w:w w:val="90"/>
                <w:szCs w:val="21"/>
                <w:highlight w:val="none"/>
              </w:rPr>
              <w:t>施工材料有详细计划且计划周密，数量、选型配置、进场数量、进场时间安排合理，投入的施工材料绿色环保，</w:t>
            </w:r>
            <w:r>
              <w:rPr>
                <w:rFonts w:hint="eastAsia" w:ascii="宋体" w:hAnsi="宋体" w:cs="宋体"/>
                <w:b w:val="0"/>
                <w:bCs w:val="0"/>
                <w:color w:val="auto"/>
                <w:w w:val="90"/>
                <w:szCs w:val="21"/>
                <w:highlight w:val="none"/>
                <w:lang w:eastAsia="zh-CN"/>
              </w:rPr>
              <w:t>好的得1-0.7分，一般得0.7-0.4分，</w:t>
            </w:r>
            <w:r>
              <w:rPr>
                <w:rFonts w:hint="eastAsia" w:ascii="宋体" w:hAnsi="宋体" w:cs="宋体"/>
                <w:b w:val="0"/>
                <w:bCs w:val="0"/>
                <w:color w:val="auto"/>
                <w:w w:val="90"/>
                <w:szCs w:val="21"/>
                <w:highlight w:val="none"/>
                <w:lang w:val="en-US" w:eastAsia="zh-CN"/>
              </w:rPr>
              <w:t>差的</w:t>
            </w:r>
            <w:r>
              <w:rPr>
                <w:rFonts w:hint="eastAsia" w:ascii="宋体" w:hAnsi="宋体" w:cs="宋体"/>
                <w:b w:val="0"/>
                <w:bCs w:val="0"/>
                <w:color w:val="auto"/>
                <w:w w:val="90"/>
                <w:szCs w:val="21"/>
                <w:highlight w:val="none"/>
                <w:lang w:eastAsia="zh-CN"/>
              </w:rPr>
              <w:t>得0.4-0分</w:t>
            </w:r>
            <w:r>
              <w:rPr>
                <w:rFonts w:hint="eastAsia" w:ascii="宋体" w:hAnsi="宋体" w:cs="宋体"/>
                <w:b w:val="0"/>
                <w:bCs w:val="0"/>
                <w:color w:val="auto"/>
                <w:w w:val="90"/>
                <w:szCs w:val="21"/>
                <w:highlight w:val="none"/>
              </w:rPr>
              <w:t>。</w:t>
            </w:r>
          </w:p>
        </w:tc>
        <w:tc>
          <w:tcPr>
            <w:tcW w:w="987" w:type="dxa"/>
            <w:vAlign w:val="center"/>
          </w:tcPr>
          <w:p w14:paraId="0EABDCCA">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1</w:t>
            </w:r>
          </w:p>
        </w:tc>
      </w:tr>
      <w:tr w14:paraId="369D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056" w:type="dxa"/>
            <w:vAlign w:val="center"/>
          </w:tcPr>
          <w:p w14:paraId="275445DE">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3.拟投入的主要施工机械、设备计划</w:t>
            </w:r>
          </w:p>
        </w:tc>
        <w:tc>
          <w:tcPr>
            <w:tcW w:w="5675" w:type="dxa"/>
            <w:vAlign w:val="center"/>
          </w:tcPr>
          <w:p w14:paraId="63447805">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投入的施工机械、设备、机具有详细计划且计划周密，设备数量、选型配置、进场数量、进场时间满足需要得0.5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分，不完全满足得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38EBC962">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445B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056" w:type="dxa"/>
            <w:vAlign w:val="center"/>
          </w:tcPr>
          <w:p w14:paraId="0B4CA9D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4.劳动力安排计划</w:t>
            </w:r>
          </w:p>
        </w:tc>
        <w:tc>
          <w:tcPr>
            <w:tcW w:w="5675" w:type="dxa"/>
            <w:vAlign w:val="center"/>
          </w:tcPr>
          <w:p w14:paraId="0522593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劳动力安排计划明细，劳动力投入经济合理，满足施工需要得0.5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分，不完全满足得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分，不满足得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53D95AD2">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1A66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56" w:type="dxa"/>
            <w:vAlign w:val="center"/>
          </w:tcPr>
          <w:p w14:paraId="768B11CE">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5.确保工程质量的技术组织措施</w:t>
            </w:r>
          </w:p>
        </w:tc>
        <w:tc>
          <w:tcPr>
            <w:tcW w:w="5675" w:type="dxa"/>
            <w:vAlign w:val="center"/>
          </w:tcPr>
          <w:p w14:paraId="7256FBFB">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施工项目有专门的质量技术管理班子和制度，且人员配备合理，制度健全。主要工序有质量技术保证措施和手段，自控体系完整合理得0.5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分，较好得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4709DA5B">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777D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056" w:type="dxa"/>
            <w:vAlign w:val="center"/>
          </w:tcPr>
          <w:p w14:paraId="4B160D26">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6.确保安全生产的技术组织措施</w:t>
            </w:r>
          </w:p>
        </w:tc>
        <w:tc>
          <w:tcPr>
            <w:tcW w:w="5675" w:type="dxa"/>
            <w:vAlign w:val="center"/>
          </w:tcPr>
          <w:p w14:paraId="463684F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人员配备合理，制度健全，各道工序安全技术措施针对性强，符合实际且满足有关安全技术标准要求，现场防火、安全防护措施得力，科学合理得0.5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分，较好得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3B231038">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39B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056" w:type="dxa"/>
            <w:vAlign w:val="center"/>
          </w:tcPr>
          <w:p w14:paraId="0DBFBE44">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7.确保工期的技术组织措施</w:t>
            </w:r>
          </w:p>
        </w:tc>
        <w:tc>
          <w:tcPr>
            <w:tcW w:w="5675" w:type="dxa"/>
            <w:vAlign w:val="center"/>
          </w:tcPr>
          <w:p w14:paraId="5F041938">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在施工工艺、方法、材料、劳动力、机械设备、技术等方面有保证工期的具体措施。有控制工期的施工进度计划，有施工总进度表或施工网络图。图表编制完善，安排科学合理；科学合理得0.5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分，较好得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18FCD276">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7184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56" w:type="dxa"/>
            <w:vAlign w:val="center"/>
          </w:tcPr>
          <w:p w14:paraId="47AC0EB0">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8.确保文明施工的技术组织措施</w:t>
            </w:r>
          </w:p>
        </w:tc>
        <w:tc>
          <w:tcPr>
            <w:tcW w:w="5675" w:type="dxa"/>
            <w:vAlign w:val="center"/>
          </w:tcPr>
          <w:p w14:paraId="10EFF6DC">
            <w:pPr>
              <w:spacing w:line="400" w:lineRule="exact"/>
              <w:rPr>
                <w:rFonts w:hint="eastAsia" w:ascii="宋体" w:hAnsi="宋体" w:eastAsia="宋体" w:cs="宋体"/>
                <w:color w:val="auto"/>
                <w:w w:val="90"/>
                <w:szCs w:val="21"/>
                <w:highlight w:val="none"/>
                <w:lang w:val="en-US" w:eastAsia="zh-CN"/>
              </w:rPr>
            </w:pPr>
            <w:r>
              <w:rPr>
                <w:rFonts w:hint="eastAsia" w:ascii="宋体" w:hAnsi="宋体" w:cs="宋体"/>
                <w:color w:val="auto"/>
                <w:w w:val="90"/>
                <w:szCs w:val="21"/>
                <w:highlight w:val="none"/>
              </w:rPr>
              <w:t>针对本工程项目特点，现场文明施工计划、环境保护措施，内容达到“安全文明示范工地”标准，满足得0.5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分，不完全满足得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r>
              <w:rPr>
                <w:rFonts w:hint="eastAsia" w:ascii="宋体" w:hAnsi="宋体" w:cs="宋体"/>
                <w:color w:val="auto"/>
                <w:w w:val="90"/>
                <w:szCs w:val="21"/>
                <w:highlight w:val="none"/>
                <w:lang w:eastAsia="zh-CN"/>
              </w:rPr>
              <w:t>。</w:t>
            </w:r>
          </w:p>
        </w:tc>
        <w:tc>
          <w:tcPr>
            <w:tcW w:w="987" w:type="dxa"/>
            <w:vAlign w:val="center"/>
          </w:tcPr>
          <w:p w14:paraId="7BDD57E3">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5081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2056" w:type="dxa"/>
            <w:vAlign w:val="center"/>
          </w:tcPr>
          <w:p w14:paraId="2745D553">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9.工程施工的重点和难点及保证措施</w:t>
            </w:r>
          </w:p>
        </w:tc>
        <w:tc>
          <w:tcPr>
            <w:tcW w:w="5675" w:type="dxa"/>
            <w:vAlign w:val="center"/>
          </w:tcPr>
          <w:p w14:paraId="0D438E1A">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工程施工的重点和难点保障方案优、措施得当得0.5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分，一般得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w:t>
            </w:r>
            <w:r>
              <w:rPr>
                <w:rFonts w:hint="eastAsia" w:ascii="宋体" w:hAnsi="宋体" w:cs="宋体"/>
                <w:color w:val="auto"/>
                <w:w w:val="90"/>
                <w:szCs w:val="21"/>
                <w:highlight w:val="none"/>
                <w:lang w:val="en-US" w:eastAsia="zh-CN"/>
              </w:rPr>
              <w:t>差的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565AB5AF">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r w14:paraId="1AFD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056" w:type="dxa"/>
            <w:vAlign w:val="center"/>
          </w:tcPr>
          <w:p w14:paraId="460CCA5D">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10.合理化建议</w:t>
            </w:r>
          </w:p>
        </w:tc>
        <w:tc>
          <w:tcPr>
            <w:tcW w:w="5675" w:type="dxa"/>
            <w:vAlign w:val="center"/>
          </w:tcPr>
          <w:p w14:paraId="16A59F7D">
            <w:pPr>
              <w:spacing w:line="400" w:lineRule="exact"/>
              <w:rPr>
                <w:rFonts w:ascii="宋体" w:hAnsi="宋体" w:cs="宋体"/>
                <w:color w:val="auto"/>
                <w:w w:val="90"/>
                <w:szCs w:val="21"/>
                <w:highlight w:val="none"/>
              </w:rPr>
            </w:pPr>
            <w:r>
              <w:rPr>
                <w:rFonts w:hint="eastAsia" w:ascii="宋体" w:hAnsi="宋体" w:cs="宋体"/>
                <w:color w:val="auto"/>
                <w:w w:val="90"/>
                <w:szCs w:val="21"/>
                <w:highlight w:val="none"/>
              </w:rPr>
              <w:t>提出针对本项目的合理化建议和针对性措施。建议可行、有价值得0.5</w:t>
            </w:r>
            <w:r>
              <w:rPr>
                <w:rFonts w:hint="eastAsia" w:ascii="宋体" w:hAnsi="宋体" w:cs="宋体"/>
                <w:color w:val="auto"/>
                <w:w w:val="90"/>
                <w:szCs w:val="21"/>
                <w:highlight w:val="none"/>
                <w:lang w:val="en-US" w:eastAsia="zh-CN"/>
              </w:rPr>
              <w:t>-0.3</w:t>
            </w:r>
            <w:r>
              <w:rPr>
                <w:rFonts w:hint="eastAsia" w:ascii="宋体" w:hAnsi="宋体" w:cs="宋体"/>
                <w:color w:val="auto"/>
                <w:w w:val="90"/>
                <w:szCs w:val="21"/>
                <w:highlight w:val="none"/>
              </w:rPr>
              <w:t>分，建议不完全可行</w:t>
            </w:r>
            <w:r>
              <w:rPr>
                <w:rFonts w:hint="eastAsia" w:ascii="宋体" w:hAnsi="宋体" w:cs="宋体"/>
                <w:color w:val="auto"/>
                <w:w w:val="90"/>
                <w:szCs w:val="21"/>
                <w:highlight w:val="none"/>
                <w:lang w:val="en-US" w:eastAsia="zh-CN"/>
              </w:rPr>
              <w:t>的</w:t>
            </w:r>
            <w:r>
              <w:rPr>
                <w:rFonts w:hint="eastAsia" w:ascii="宋体" w:hAnsi="宋体" w:cs="宋体"/>
                <w:color w:val="auto"/>
                <w:w w:val="90"/>
                <w:szCs w:val="21"/>
                <w:highlight w:val="none"/>
              </w:rPr>
              <w:t>得</w:t>
            </w:r>
            <w:r>
              <w:rPr>
                <w:rFonts w:hint="eastAsia" w:ascii="宋体" w:hAnsi="宋体" w:cs="宋体"/>
                <w:color w:val="auto"/>
                <w:w w:val="90"/>
                <w:szCs w:val="21"/>
                <w:highlight w:val="none"/>
                <w:lang w:val="en-US" w:eastAsia="zh-CN"/>
              </w:rPr>
              <w:t>0.3-0.1</w:t>
            </w:r>
            <w:r>
              <w:rPr>
                <w:rFonts w:hint="eastAsia" w:ascii="宋体" w:hAnsi="宋体" w:cs="宋体"/>
                <w:color w:val="auto"/>
                <w:w w:val="90"/>
                <w:szCs w:val="21"/>
                <w:highlight w:val="none"/>
              </w:rPr>
              <w:t>分，空洞无实质性内容得</w:t>
            </w:r>
            <w:r>
              <w:rPr>
                <w:rFonts w:hint="eastAsia" w:ascii="宋体" w:hAnsi="宋体" w:cs="宋体"/>
                <w:color w:val="auto"/>
                <w:w w:val="90"/>
                <w:szCs w:val="21"/>
                <w:highlight w:val="none"/>
                <w:lang w:val="en-US" w:eastAsia="zh-CN"/>
              </w:rPr>
              <w:t>0.1-</w:t>
            </w:r>
            <w:r>
              <w:rPr>
                <w:rFonts w:hint="eastAsia" w:ascii="宋体" w:hAnsi="宋体" w:cs="宋体"/>
                <w:color w:val="auto"/>
                <w:w w:val="90"/>
                <w:szCs w:val="21"/>
                <w:highlight w:val="none"/>
              </w:rPr>
              <w:t>0分。</w:t>
            </w:r>
          </w:p>
        </w:tc>
        <w:tc>
          <w:tcPr>
            <w:tcW w:w="987" w:type="dxa"/>
            <w:vAlign w:val="center"/>
          </w:tcPr>
          <w:p w14:paraId="5133EB49">
            <w:pPr>
              <w:spacing w:line="400" w:lineRule="exact"/>
              <w:jc w:val="center"/>
              <w:rPr>
                <w:rFonts w:ascii="宋体" w:hAnsi="宋体" w:cs="宋体"/>
                <w:color w:val="auto"/>
                <w:w w:val="90"/>
                <w:szCs w:val="21"/>
                <w:highlight w:val="none"/>
              </w:rPr>
            </w:pPr>
            <w:r>
              <w:rPr>
                <w:rFonts w:hint="eastAsia" w:ascii="宋体" w:hAnsi="宋体" w:cs="宋体"/>
                <w:color w:val="auto"/>
                <w:w w:val="90"/>
                <w:szCs w:val="21"/>
                <w:highlight w:val="none"/>
              </w:rPr>
              <w:t>0.5</w:t>
            </w:r>
          </w:p>
        </w:tc>
      </w:tr>
    </w:tbl>
    <w:p w14:paraId="5B786119">
      <w:pPr>
        <w:spacing w:line="500" w:lineRule="exact"/>
        <w:ind w:firstLine="420" w:firstLineChars="200"/>
        <w:rPr>
          <w:rFonts w:asciiTheme="minorEastAsia" w:hAnsiTheme="minorEastAsia" w:eastAsiaTheme="minorEastAsia" w:cstheme="minorEastAsia"/>
          <w:b/>
          <w:color w:val="auto"/>
          <w:sz w:val="24"/>
          <w:highlight w:val="none"/>
        </w:rPr>
      </w:pPr>
      <w:r>
        <w:rPr>
          <w:rFonts w:hint="eastAsia" w:ascii="宋体" w:hAnsi="宋体" w:cs="宋体"/>
          <w:color w:val="auto"/>
          <w:kern w:val="0"/>
          <w:highlight w:val="none"/>
        </w:rPr>
        <w:t>注：实施方案的最终得分计算方法为：取所有评委评分的算术平均值为投标人为最终得分，四舍五入小数点后保留二位小数。</w:t>
      </w:r>
    </w:p>
    <w:p w14:paraId="7B1F7925">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6.</w:t>
      </w:r>
      <w:r>
        <w:rPr>
          <w:rFonts w:hint="eastAsia" w:asciiTheme="minorEastAsia" w:hAnsiTheme="minorEastAsia" w:eastAsiaTheme="minorEastAsia" w:cstheme="minorEastAsia"/>
          <w:b/>
          <w:bCs/>
          <w:color w:val="auto"/>
          <w:sz w:val="24"/>
          <w:highlight w:val="none"/>
        </w:rPr>
        <w:t>投标人综合得分=技术标得分+商务标得分</w:t>
      </w:r>
    </w:p>
    <w:p w14:paraId="5CF2D508">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.企业信用评审</w:t>
      </w:r>
    </w:p>
    <w:p w14:paraId="0B8E27B5">
      <w:pPr>
        <w:spacing w:line="50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评标委员会现场查询投标人诚信承诺书。</w:t>
      </w:r>
    </w:p>
    <w:p w14:paraId="3DC3047A">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.1 行贿犯罪记录</w:t>
      </w:r>
    </w:p>
    <w:p w14:paraId="7196C6E2">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投标人自投标截止之日起前三年有行贿犯罪记录的，信用评审不合格。</w:t>
      </w:r>
    </w:p>
    <w:p w14:paraId="4FABD723">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.2 限制投标的行政处罚、限制在本市承揽业务的行政处理</w:t>
      </w:r>
    </w:p>
    <w:p w14:paraId="675DCE17">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或项目负责人“受到招投标行政监管部门（或政府行业监管部门）限制投标的行政处罚，受到政府行业监管部门限制在本市承揽业务的行政处理，至投标截止之日仍在处罚、处理期内的”，信用评审不合格。</w:t>
      </w:r>
    </w:p>
    <w:p w14:paraId="66CC0467">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.3 住建部门“黑名单”</w:t>
      </w:r>
    </w:p>
    <w:p w14:paraId="4523419D">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cstheme="minorEastAsia"/>
          <w:bCs/>
          <w:color w:val="auto"/>
          <w:sz w:val="24"/>
          <w:highlight w:val="none"/>
        </w:rPr>
        <w:t>投标人在</w:t>
      </w:r>
      <w:r>
        <w:rPr>
          <w:rFonts w:hint="eastAsia" w:asciiTheme="minorEastAsia" w:hAnsiTheme="minorEastAsia" w:eastAsiaTheme="minorEastAsia" w:cstheme="minorEastAsia"/>
          <w:bCs/>
          <w:color w:val="auto"/>
          <w:sz w:val="24"/>
          <w:highlight w:val="none"/>
        </w:rPr>
        <w:t>市住建局网站“应用平台”栏目下的“铜陵市建筑施工企业和房地产开发企业信用系统”，被列入“黑名单”的信用评审不合格。</w:t>
      </w:r>
    </w:p>
    <w:p w14:paraId="33CDD314">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.4 人力资源社会保障行政部门“失信名单”</w:t>
      </w:r>
    </w:p>
    <w:p w14:paraId="5436E954">
      <w:pPr>
        <w:spacing w:line="50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被人力资源社会保障行政部门列入信用铜陵“失信名单”信用评审不合格，此项以信用铜陵（http://xytl.tl.gov.cn/）“守信失信名单”栏目为准。</w:t>
      </w:r>
    </w:p>
    <w:p w14:paraId="2FFE251C">
      <w:pPr>
        <w:spacing w:line="500" w:lineRule="exact"/>
        <w:ind w:firstLine="482"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b/>
          <w:color w:val="auto"/>
          <w:sz w:val="24"/>
          <w:highlight w:val="none"/>
        </w:rPr>
        <w:t>7</w:t>
      </w:r>
      <w:r>
        <w:rPr>
          <w:rFonts w:hint="eastAsia" w:asciiTheme="minorEastAsia" w:hAnsiTheme="minorEastAsia" w:eastAsiaTheme="minorEastAsia" w:cstheme="minorEastAsia"/>
          <w:b/>
          <w:color w:val="auto"/>
          <w:sz w:val="24"/>
          <w:highlight w:val="none"/>
        </w:rPr>
        <w:t>.5 联合体投标及其他情形的处理</w:t>
      </w:r>
    </w:p>
    <w:p w14:paraId="5D97BD2C">
      <w:pPr>
        <w:spacing w:line="500" w:lineRule="exact"/>
        <w:ind w:firstLine="480" w:firstLineChars="200"/>
        <w:rPr>
          <w:rFonts w:ascii="宋体" w:hAnsi="宋体" w:cs="宋体"/>
          <w:color w:val="auto"/>
          <w:kern w:val="0"/>
          <w:highlight w:val="none"/>
        </w:rPr>
      </w:pPr>
      <w:r>
        <w:rPr>
          <w:rFonts w:hint="eastAsia" w:asciiTheme="minorEastAsia" w:hAnsiTheme="minorEastAsia" w:eastAsiaTheme="minorEastAsia" w:cstheme="minorEastAsia"/>
          <w:color w:val="auto"/>
          <w:sz w:val="24"/>
          <w:highlight w:val="none"/>
        </w:rPr>
        <w:t>联合体成员单位存在失信被执行人信息、行贿犯罪记录、限制投标（或在本市承揽业务）的行政处罚、住建部门黑名单、拖欠农民工工资失信名单的，视为联合体存在相关情形</w:t>
      </w:r>
      <w:r>
        <w:rPr>
          <w:rFonts w:hint="eastAsia" w:asciiTheme="minorEastAsia" w:hAnsiTheme="minorEastAsia" w:eastAsiaTheme="minorEastAsia" w:cstheme="minorEastAsia"/>
          <w:bCs/>
          <w:color w:val="auto"/>
          <w:sz w:val="24"/>
          <w:highlight w:val="none"/>
        </w:rPr>
        <w:t>。</w:t>
      </w:r>
    </w:p>
    <w:p w14:paraId="0E30A30A">
      <w:pPr>
        <w:spacing w:line="500" w:lineRule="exact"/>
        <w:ind w:firstLine="482" w:firstLineChars="200"/>
        <w:rPr>
          <w:rFonts w:asciiTheme="minorEastAsia" w:hAnsiTheme="minorEastAsia" w:eastAsiaTheme="minorEastAsia" w:cstheme="minorEastAsia"/>
          <w:b/>
          <w:bCs/>
          <w:color w:val="auto"/>
          <w:sz w:val="24"/>
          <w:highlight w:val="none"/>
        </w:rPr>
      </w:pPr>
      <w:r>
        <w:rPr>
          <w:rFonts w:ascii="宋体" w:hAnsi="宋体" w:cs="宋体"/>
          <w:b/>
          <w:color w:val="auto"/>
          <w:sz w:val="24"/>
          <w:highlight w:val="none"/>
        </w:rPr>
        <w:t>8</w:t>
      </w:r>
      <w:r>
        <w:rPr>
          <w:rFonts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rPr>
        <w:t xml:space="preserve"> 推荐中标候选人</w:t>
      </w:r>
    </w:p>
    <w:p w14:paraId="6DC02631">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对通过全部评审的，评标委员会按照投标人综合得分由高到低的顺序，推荐有排序的</w:t>
      </w:r>
      <w:r>
        <w:rPr>
          <w:rFonts w:ascii="宋体" w:hAnsi="宋体" w:cs="宋体"/>
          <w:color w:val="auto"/>
          <w:sz w:val="24"/>
          <w:highlight w:val="none"/>
        </w:rPr>
        <w:t>1</w:t>
      </w:r>
      <w:r>
        <w:rPr>
          <w:rFonts w:hint="eastAsia" w:ascii="宋体" w:hAnsi="宋体" w:cs="宋体"/>
          <w:color w:val="auto"/>
          <w:sz w:val="24"/>
          <w:highlight w:val="none"/>
        </w:rPr>
        <w:t xml:space="preserve">名中标候选人。综合得分相等的，投标报价低价者优先；若报价也相同时，由评标委员会现场抽签确定排序。无法推荐招标文件规定数量的，以实际合格的投标人家数为准。 </w:t>
      </w:r>
    </w:p>
    <w:p w14:paraId="5E36F2C5">
      <w:pPr>
        <w:spacing w:line="5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当拟推荐的中标候选人报价存在可能影响合同履行的异常低价的，且投标文件中未附其不属于异常低价的证明材料或材料不足以证明时，评审委员会将要求投标人在30分钟内提供证明相关证明材料或补充证明材料。评审委员会对通过评审的异常低价中标候选人的合同履行能力及工程质量安全等风险应进行全面评估，并作为评标报告的附件；如中标候选人未提供或提供的材料不能证明其不属于异常低价的，评标委员会应否决其投标并将否决的理由写入评标报告，否决后，有其他合格的投标人可供选择的，应递补推荐。</w:t>
      </w:r>
    </w:p>
    <w:p w14:paraId="562EA984">
      <w:pPr>
        <w:spacing w:line="480" w:lineRule="exact"/>
        <w:ind w:firstLine="480" w:firstLineChars="200"/>
        <w:rPr>
          <w:rFonts w:ascii="宋体" w:hAnsi="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p>
    <w:p w14:paraId="329260B9">
      <w:pPr>
        <w:tabs>
          <w:tab w:val="left" w:pos="945"/>
        </w:tabs>
        <w:spacing w:line="500" w:lineRule="exact"/>
        <w:ind w:firstLine="600" w:firstLineChars="200"/>
        <w:rPr>
          <w:rFonts w:ascii="宋体" w:hAnsi="宋体"/>
          <w:color w:val="auto"/>
          <w:sz w:val="30"/>
          <w:szCs w:val="30"/>
          <w:highlight w:val="none"/>
        </w:rPr>
      </w:pPr>
    </w:p>
    <w:p w14:paraId="284AE645">
      <w:pPr>
        <w:pStyle w:val="47"/>
        <w:ind w:firstLine="600"/>
        <w:rPr>
          <w:rFonts w:ascii="宋体" w:hAnsi="宋体"/>
          <w:color w:val="auto"/>
          <w:sz w:val="30"/>
          <w:szCs w:val="30"/>
          <w:highlight w:val="none"/>
        </w:rPr>
      </w:pPr>
    </w:p>
    <w:p w14:paraId="706ADF92">
      <w:pPr>
        <w:pStyle w:val="47"/>
        <w:ind w:firstLine="600"/>
        <w:rPr>
          <w:rFonts w:ascii="宋体" w:hAnsi="宋体"/>
          <w:color w:val="auto"/>
          <w:sz w:val="30"/>
          <w:szCs w:val="30"/>
          <w:highlight w:val="none"/>
        </w:rPr>
      </w:pPr>
    </w:p>
    <w:p w14:paraId="3CB92643">
      <w:pPr>
        <w:pStyle w:val="47"/>
        <w:ind w:firstLine="600"/>
        <w:rPr>
          <w:rFonts w:ascii="宋体" w:hAnsi="宋体"/>
          <w:color w:val="auto"/>
          <w:sz w:val="30"/>
          <w:szCs w:val="30"/>
          <w:highlight w:val="none"/>
        </w:rPr>
      </w:pPr>
    </w:p>
    <w:p w14:paraId="47246ABB">
      <w:pPr>
        <w:tabs>
          <w:tab w:val="left" w:pos="432"/>
        </w:tabs>
        <w:spacing w:line="360" w:lineRule="auto"/>
        <w:jc w:val="center"/>
        <w:outlineLvl w:val="0"/>
        <w:rPr>
          <w:rFonts w:ascii="宋体" w:hAnsi="宋体" w:cs="宋体"/>
          <w:b/>
          <w:color w:val="auto"/>
          <w:sz w:val="32"/>
          <w:szCs w:val="32"/>
          <w:highlight w:val="none"/>
        </w:rPr>
      </w:pPr>
      <w:bookmarkStart w:id="555" w:name="_Toc12829"/>
      <w:bookmarkStart w:id="556" w:name="_Toc171581547"/>
      <w:bookmarkStart w:id="557" w:name="_Toc171741990"/>
      <w:bookmarkStart w:id="558" w:name="_Toc171581367"/>
    </w:p>
    <w:p w14:paraId="43C28005">
      <w:pPr>
        <w:pStyle w:val="47"/>
        <w:rPr>
          <w:color w:val="auto"/>
          <w:highlight w:val="none"/>
        </w:rPr>
      </w:pPr>
    </w:p>
    <w:p w14:paraId="6034D93F">
      <w:pPr>
        <w:pStyle w:val="47"/>
        <w:rPr>
          <w:color w:val="auto"/>
          <w:highlight w:val="none"/>
        </w:rPr>
      </w:pPr>
    </w:p>
    <w:p w14:paraId="1D2B1BBF">
      <w:pPr>
        <w:tabs>
          <w:tab w:val="left" w:pos="432"/>
        </w:tabs>
        <w:spacing w:line="360" w:lineRule="auto"/>
        <w:jc w:val="center"/>
        <w:outlineLvl w:val="0"/>
        <w:rPr>
          <w:rFonts w:ascii="宋体" w:hAnsi="宋体" w:cs="宋体"/>
          <w:b/>
          <w:color w:val="auto"/>
          <w:sz w:val="30"/>
          <w:szCs w:val="30"/>
          <w:highlight w:val="none"/>
        </w:rPr>
      </w:pPr>
      <w:r>
        <w:rPr>
          <w:rFonts w:hint="eastAsia" w:ascii="宋体" w:hAnsi="宋体" w:cs="宋体"/>
          <w:b/>
          <w:color w:val="auto"/>
          <w:sz w:val="32"/>
          <w:szCs w:val="32"/>
          <w:highlight w:val="none"/>
        </w:rPr>
        <w:t>第七章  投标文件格式</w:t>
      </w:r>
      <w:bookmarkEnd w:id="555"/>
    </w:p>
    <w:p w14:paraId="757D3478">
      <w:pPr>
        <w:rPr>
          <w:rFonts w:ascii="宋体" w:hAnsi="宋体" w:cs="宋体"/>
          <w:color w:val="auto"/>
          <w:highlight w:val="none"/>
        </w:rPr>
      </w:pPr>
    </w:p>
    <w:p w14:paraId="2B9BCFFE">
      <w:pPr>
        <w:pStyle w:val="9"/>
        <w:ind w:firstLine="400"/>
        <w:rPr>
          <w:rFonts w:ascii="宋体" w:hAnsi="宋体" w:cs="宋体"/>
          <w:color w:val="auto"/>
          <w:highlight w:val="none"/>
        </w:rPr>
      </w:pPr>
    </w:p>
    <w:p w14:paraId="37A2B9CE">
      <w:pPr>
        <w:adjustRightInd w:val="0"/>
        <w:spacing w:before="48" w:beforeLines="20" w:after="48" w:afterLines="20" w:line="360" w:lineRule="auto"/>
        <w:jc w:val="center"/>
        <w:rPr>
          <w:rFonts w:ascii="宋体" w:hAnsi="宋体" w:cs="宋体"/>
          <w:color w:val="auto"/>
          <w:szCs w:val="21"/>
          <w:highlight w:val="none"/>
        </w:rPr>
      </w:pPr>
    </w:p>
    <w:p w14:paraId="059B778A">
      <w:pPr>
        <w:adjustRightInd w:val="0"/>
        <w:spacing w:before="48" w:beforeLines="20" w:after="48" w:afterLines="20" w:line="360" w:lineRule="auto"/>
        <w:rPr>
          <w:rFonts w:ascii="宋体" w:hAnsi="宋体" w:cs="宋体"/>
          <w:b/>
          <w:color w:val="auto"/>
          <w:sz w:val="24"/>
          <w:highlight w:val="none"/>
          <w:u w:val="single"/>
        </w:rPr>
      </w:pPr>
      <w:r>
        <w:rPr>
          <w:rFonts w:hint="eastAsia" w:ascii="宋体" w:hAnsi="宋体" w:cs="宋体"/>
          <w:b/>
          <w:color w:val="auto"/>
          <w:szCs w:val="21"/>
          <w:highlight w:val="none"/>
        </w:rPr>
        <w:t xml:space="preserve">                   </w:t>
      </w:r>
      <w:r>
        <w:rPr>
          <w:rFonts w:hint="eastAsia" w:ascii="宋体" w:hAnsi="宋体" w:cs="宋体"/>
          <w:b/>
          <w:color w:val="auto"/>
          <w:sz w:val="24"/>
          <w:highlight w:val="none"/>
        </w:rPr>
        <w:t xml:space="preserve">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工程施工招标</w:t>
      </w:r>
    </w:p>
    <w:p w14:paraId="03DC17B5">
      <w:pPr>
        <w:pStyle w:val="15"/>
        <w:adjustRightInd w:val="0"/>
        <w:spacing w:before="48" w:beforeLines="20" w:after="48" w:afterLines="20" w:line="360" w:lineRule="auto"/>
        <w:ind w:left="0" w:leftChars="0"/>
        <w:rPr>
          <w:rFonts w:ascii="宋体" w:hAnsi="宋体" w:cs="宋体"/>
          <w:b/>
          <w:color w:val="auto"/>
          <w:sz w:val="24"/>
          <w:highlight w:val="none"/>
        </w:rPr>
      </w:pPr>
    </w:p>
    <w:p w14:paraId="0CE91E80">
      <w:pPr>
        <w:pStyle w:val="14"/>
        <w:adjustRightInd w:val="0"/>
        <w:spacing w:before="48" w:beforeLines="20" w:after="48" w:afterLines="20"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投  标  文  件</w:t>
      </w:r>
    </w:p>
    <w:p w14:paraId="5255213A">
      <w:pPr>
        <w:pStyle w:val="14"/>
        <w:adjustRightInd w:val="0"/>
        <w:spacing w:before="48" w:beforeLines="20" w:after="48" w:afterLines="20" w:line="360" w:lineRule="auto"/>
        <w:jc w:val="center"/>
        <w:rPr>
          <w:rFonts w:ascii="宋体" w:hAnsi="宋体" w:cs="宋体"/>
          <w:b/>
          <w:color w:val="auto"/>
          <w:sz w:val="24"/>
          <w:highlight w:val="none"/>
        </w:rPr>
      </w:pPr>
      <w:r>
        <w:rPr>
          <w:rFonts w:hint="eastAsia" w:ascii="宋体" w:hAnsi="宋体" w:cs="宋体"/>
          <w:b/>
          <w:color w:val="auto"/>
          <w:sz w:val="24"/>
          <w:highlight w:val="none"/>
        </w:rPr>
        <w:t>招标编号：</w:t>
      </w:r>
    </w:p>
    <w:p w14:paraId="0AC001B6">
      <w:pPr>
        <w:pStyle w:val="14"/>
        <w:adjustRightInd w:val="0"/>
        <w:spacing w:before="48" w:beforeLines="20" w:after="48" w:afterLines="20" w:line="360" w:lineRule="auto"/>
        <w:jc w:val="center"/>
        <w:rPr>
          <w:rFonts w:ascii="宋体" w:hAnsi="宋体" w:cs="宋体"/>
          <w:color w:val="auto"/>
          <w:sz w:val="24"/>
          <w:highlight w:val="none"/>
        </w:rPr>
      </w:pPr>
    </w:p>
    <w:p w14:paraId="31865C01">
      <w:pPr>
        <w:pStyle w:val="14"/>
        <w:adjustRightInd w:val="0"/>
        <w:spacing w:before="48" w:beforeLines="20" w:after="48" w:afterLines="20" w:line="360" w:lineRule="auto"/>
        <w:jc w:val="center"/>
        <w:rPr>
          <w:rFonts w:ascii="宋体" w:hAnsi="宋体" w:cs="宋体"/>
          <w:color w:val="auto"/>
          <w:sz w:val="24"/>
          <w:highlight w:val="none"/>
        </w:rPr>
      </w:pPr>
    </w:p>
    <w:p w14:paraId="7DC6E2C1">
      <w:pPr>
        <w:pStyle w:val="14"/>
        <w:adjustRightInd w:val="0"/>
        <w:spacing w:before="48" w:beforeLines="20" w:after="48" w:afterLines="20" w:line="360" w:lineRule="auto"/>
        <w:jc w:val="center"/>
        <w:rPr>
          <w:rFonts w:ascii="宋体" w:hAnsi="宋体" w:cs="宋体"/>
          <w:color w:val="auto"/>
          <w:sz w:val="24"/>
          <w:highlight w:val="none"/>
        </w:rPr>
      </w:pPr>
    </w:p>
    <w:p w14:paraId="6571929D">
      <w:pPr>
        <w:pStyle w:val="14"/>
        <w:adjustRightInd w:val="0"/>
        <w:spacing w:before="48" w:beforeLines="20" w:after="48" w:afterLines="20" w:line="360" w:lineRule="auto"/>
        <w:jc w:val="center"/>
        <w:rPr>
          <w:rFonts w:ascii="宋体" w:hAnsi="宋体" w:cs="宋体"/>
          <w:color w:val="auto"/>
          <w:sz w:val="24"/>
          <w:highlight w:val="none"/>
        </w:rPr>
      </w:pPr>
    </w:p>
    <w:p w14:paraId="0E6CF050">
      <w:pPr>
        <w:pStyle w:val="14"/>
        <w:adjustRightInd w:val="0"/>
        <w:spacing w:before="48" w:beforeLines="20" w:after="48" w:afterLines="20" w:line="360" w:lineRule="auto"/>
        <w:jc w:val="center"/>
        <w:rPr>
          <w:rFonts w:ascii="宋体" w:hAnsi="宋体" w:cs="宋体"/>
          <w:color w:val="auto"/>
          <w:sz w:val="24"/>
          <w:highlight w:val="none"/>
        </w:rPr>
      </w:pPr>
    </w:p>
    <w:p w14:paraId="3A175182">
      <w:pPr>
        <w:pStyle w:val="14"/>
        <w:adjustRightInd w:val="0"/>
        <w:spacing w:before="48" w:beforeLines="20" w:after="48" w:afterLines="20" w:line="360" w:lineRule="auto"/>
        <w:jc w:val="center"/>
        <w:rPr>
          <w:rFonts w:ascii="宋体" w:hAnsi="宋体" w:cs="宋体"/>
          <w:color w:val="auto"/>
          <w:sz w:val="24"/>
          <w:highlight w:val="none"/>
        </w:rPr>
      </w:pPr>
    </w:p>
    <w:p w14:paraId="4D32A8EA">
      <w:pPr>
        <w:pStyle w:val="14"/>
        <w:adjustRightInd w:val="0"/>
        <w:spacing w:before="48" w:beforeLines="20" w:after="48" w:afterLines="20" w:line="360" w:lineRule="auto"/>
        <w:jc w:val="center"/>
        <w:rPr>
          <w:rFonts w:ascii="宋体" w:hAnsi="宋体" w:cs="宋体"/>
          <w:color w:val="auto"/>
          <w:sz w:val="24"/>
          <w:highlight w:val="none"/>
        </w:rPr>
      </w:pPr>
    </w:p>
    <w:p w14:paraId="146C18E8">
      <w:pPr>
        <w:pStyle w:val="17"/>
        <w:adjustRightInd w:val="0"/>
        <w:spacing w:before="48" w:beforeLines="20" w:after="48" w:afterLines="20" w:line="360" w:lineRule="auto"/>
        <w:ind w:left="130" w:leftChars="62"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rPr>
        <w:t>项目名称：</w:t>
      </w:r>
      <w:r>
        <w:rPr>
          <w:rFonts w:hint="eastAsia" w:ascii="宋体" w:hAnsi="宋体" w:cs="宋体"/>
          <w:b/>
          <w:bCs/>
          <w:color w:val="auto"/>
          <w:sz w:val="24"/>
          <w:highlight w:val="none"/>
          <w:u w:val="single"/>
        </w:rPr>
        <w:t xml:space="preserve">                                                </w:t>
      </w:r>
    </w:p>
    <w:p w14:paraId="58B7B877">
      <w:pPr>
        <w:pStyle w:val="17"/>
        <w:adjustRightInd w:val="0"/>
        <w:spacing w:before="48" w:beforeLines="20" w:after="48" w:afterLines="20" w:line="360" w:lineRule="auto"/>
        <w:ind w:left="130" w:leftChars="62" w:firstLine="1205" w:firstLineChars="500"/>
        <w:rPr>
          <w:rFonts w:ascii="宋体" w:hAnsi="宋体" w:cs="宋体"/>
          <w:b/>
          <w:bCs/>
          <w:color w:val="auto"/>
          <w:sz w:val="24"/>
          <w:highlight w:val="none"/>
        </w:rPr>
      </w:pPr>
      <w:r>
        <w:rPr>
          <w:rFonts w:hint="eastAsia" w:ascii="宋体" w:hAnsi="宋体" w:cs="宋体"/>
          <w:b/>
          <w:bCs/>
          <w:color w:val="auto"/>
          <w:sz w:val="24"/>
          <w:highlight w:val="none"/>
        </w:rPr>
        <w:t>投标文件内容：</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rPr>
        <w:tab/>
      </w:r>
      <w:r>
        <w:rPr>
          <w:rFonts w:hint="eastAsia" w:ascii="宋体" w:hAnsi="宋体" w:cs="宋体"/>
          <w:b/>
          <w:bCs/>
          <w:color w:val="auto"/>
          <w:sz w:val="24"/>
          <w:highlight w:val="none"/>
          <w:u w:val="single"/>
        </w:rPr>
        <w:t xml:space="preserve">    投标文件</w:t>
      </w:r>
      <w:r>
        <w:rPr>
          <w:rFonts w:hint="eastAsia" w:ascii="宋体" w:hAnsi="宋体"/>
          <w:b/>
          <w:bCs/>
          <w:color w:val="auto"/>
          <w:sz w:val="24"/>
          <w:highlight w:val="none"/>
          <w:u w:val="single"/>
        </w:rPr>
        <w:tab/>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ab/>
      </w:r>
      <w:r>
        <w:rPr>
          <w:rFonts w:hint="eastAsia" w:ascii="宋体" w:hAnsi="宋体" w:cs="宋体"/>
          <w:b/>
          <w:bCs/>
          <w:color w:val="auto"/>
          <w:sz w:val="24"/>
          <w:highlight w:val="none"/>
          <w:u w:val="single"/>
        </w:rPr>
        <w:t xml:space="preserve">           </w:t>
      </w:r>
    </w:p>
    <w:p w14:paraId="2EA8732C">
      <w:pPr>
        <w:pStyle w:val="17"/>
        <w:adjustRightInd w:val="0"/>
        <w:spacing w:before="48" w:beforeLines="20" w:after="48" w:afterLines="20" w:line="360" w:lineRule="auto"/>
        <w:ind w:left="145" w:leftChars="69" w:firstLine="1205" w:firstLineChars="500"/>
        <w:rPr>
          <w:rFonts w:ascii="宋体" w:hAnsi="宋体" w:cs="宋体"/>
          <w:b/>
          <w:bCs/>
          <w:color w:val="auto"/>
          <w:sz w:val="24"/>
          <w:highlight w:val="none"/>
          <w:u w:val="single"/>
        </w:rPr>
      </w:pPr>
      <w:r>
        <w:rPr>
          <w:rFonts w:hint="eastAsia" w:ascii="宋体" w:hAnsi="宋体" w:cs="宋体"/>
          <w:b/>
          <w:bCs/>
          <w:color w:val="auto"/>
          <w:sz w:val="24"/>
          <w:highlight w:val="none"/>
        </w:rPr>
        <w:t>投 标 人：</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
          <w:bCs/>
          <w:color w:val="auto"/>
          <w:szCs w:val="21"/>
          <w:highlight w:val="none"/>
          <w:u w:val="single"/>
        </w:rPr>
        <w:t xml:space="preserve">（盖公章）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hint="eastAsia" w:ascii="宋体" w:hAnsi="宋体" w:cs="宋体"/>
          <w:b/>
          <w:bCs/>
          <w:color w:val="auto"/>
          <w:sz w:val="24"/>
          <w:highlight w:val="none"/>
        </w:rPr>
        <w:t xml:space="preserve">    </w:t>
      </w:r>
    </w:p>
    <w:p w14:paraId="35C6D78E">
      <w:pPr>
        <w:pStyle w:val="17"/>
        <w:adjustRightInd w:val="0"/>
        <w:spacing w:before="48" w:beforeLines="20" w:after="48" w:afterLines="20" w:line="360" w:lineRule="auto"/>
        <w:ind w:left="147" w:leftChars="70" w:firstLine="1205" w:firstLineChars="500"/>
        <w:rPr>
          <w:rFonts w:ascii="宋体" w:hAnsi="宋体" w:cs="宋体"/>
          <w:b/>
          <w:bCs/>
          <w:color w:val="auto"/>
          <w:sz w:val="24"/>
          <w:highlight w:val="none"/>
        </w:rPr>
      </w:pPr>
      <w:r>
        <w:rPr>
          <w:rFonts w:hint="eastAsia" w:ascii="宋体" w:hAnsi="宋体" w:cs="宋体"/>
          <w:b/>
          <w:bCs/>
          <w:color w:val="auto"/>
          <w:sz w:val="24"/>
          <w:highlight w:val="none"/>
        </w:rPr>
        <w:t>法定代表人或</w:t>
      </w:r>
    </w:p>
    <w:p w14:paraId="27597195">
      <w:pPr>
        <w:pStyle w:val="17"/>
        <w:adjustRightInd w:val="0"/>
        <w:spacing w:before="48" w:beforeLines="20" w:after="48" w:afterLines="20" w:line="360" w:lineRule="auto"/>
        <w:ind w:left="147" w:leftChars="70" w:firstLine="1205" w:firstLineChars="500"/>
        <w:rPr>
          <w:rFonts w:ascii="宋体" w:hAnsi="宋体" w:cs="宋体"/>
          <w:b/>
          <w:bCs/>
          <w:color w:val="auto"/>
          <w:szCs w:val="21"/>
          <w:highlight w:val="none"/>
          <w:u w:val="single"/>
        </w:rPr>
      </w:pPr>
      <w:r>
        <w:rPr>
          <w:rFonts w:hint="eastAsia" w:ascii="宋体" w:hAnsi="宋体" w:cs="宋体"/>
          <w:b/>
          <w:bCs/>
          <w:color w:val="auto"/>
          <w:sz w:val="24"/>
          <w:highlight w:val="none"/>
        </w:rPr>
        <w:t>其委托代理人：</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Cs w:val="21"/>
          <w:highlight w:val="none"/>
          <w:u w:val="single"/>
        </w:rPr>
        <w:t xml:space="preserve">（签字或盖章） </w:t>
      </w:r>
      <w:r>
        <w:rPr>
          <w:rFonts w:ascii="宋体" w:hAnsi="宋体" w:cs="宋体"/>
          <w:b/>
          <w:bCs/>
          <w:color w:val="auto"/>
          <w:szCs w:val="21"/>
          <w:highlight w:val="none"/>
          <w:u w:val="single"/>
        </w:rPr>
        <w:t xml:space="preserve">                       </w:t>
      </w:r>
    </w:p>
    <w:p w14:paraId="4CB5F206">
      <w:pPr>
        <w:adjustRightInd w:val="0"/>
        <w:spacing w:before="48" w:beforeLines="20" w:after="48" w:afterLines="20" w:line="360" w:lineRule="auto"/>
        <w:ind w:firstLine="1417" w:firstLineChars="588"/>
        <w:rPr>
          <w:rFonts w:ascii="宋体" w:hAnsi="宋体" w:cs="宋体"/>
          <w:b/>
          <w:color w:val="auto"/>
          <w:sz w:val="24"/>
          <w:highlight w:val="none"/>
        </w:rPr>
      </w:pPr>
    </w:p>
    <w:p w14:paraId="7B86E99A">
      <w:pPr>
        <w:adjustRightInd w:val="0"/>
        <w:spacing w:before="48" w:beforeLines="20" w:after="48" w:afterLines="20" w:line="360" w:lineRule="auto"/>
        <w:ind w:firstLine="1417" w:firstLineChars="588"/>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年</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 xml:space="preserve"> 月</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日</w:t>
      </w:r>
    </w:p>
    <w:p w14:paraId="1E8FB483">
      <w:pPr>
        <w:adjustRightInd w:val="0"/>
        <w:spacing w:before="48" w:beforeLines="20" w:after="48" w:afterLines="20" w:line="360" w:lineRule="auto"/>
        <w:rPr>
          <w:rFonts w:ascii="宋体" w:hAnsi="宋体" w:cs="宋体"/>
          <w:b/>
          <w:color w:val="auto"/>
          <w:sz w:val="24"/>
          <w:highlight w:val="none"/>
        </w:rPr>
      </w:pPr>
    </w:p>
    <w:p w14:paraId="77BB87A9">
      <w:pPr>
        <w:adjustRightInd w:val="0"/>
        <w:spacing w:before="48" w:beforeLines="20" w:after="48" w:afterLines="20" w:line="360" w:lineRule="auto"/>
        <w:rPr>
          <w:rFonts w:ascii="宋体" w:hAnsi="宋体" w:cs="宋体"/>
          <w:b/>
          <w:color w:val="auto"/>
          <w:sz w:val="24"/>
          <w:highlight w:val="none"/>
        </w:rPr>
      </w:pPr>
    </w:p>
    <w:p w14:paraId="2662C693">
      <w:pPr>
        <w:adjustRightInd w:val="0"/>
        <w:spacing w:before="48" w:beforeLines="20" w:after="48" w:afterLines="20" w:line="360" w:lineRule="auto"/>
        <w:rPr>
          <w:rFonts w:ascii="宋体" w:hAnsi="宋体" w:cs="宋体"/>
          <w:b/>
          <w:color w:val="auto"/>
          <w:sz w:val="24"/>
          <w:highlight w:val="none"/>
        </w:rPr>
      </w:pPr>
    </w:p>
    <w:p w14:paraId="682AFCBA">
      <w:pPr>
        <w:pStyle w:val="22"/>
        <w:spacing w:line="360" w:lineRule="auto"/>
        <w:jc w:val="center"/>
        <w:rPr>
          <w:rFonts w:hAnsi="宋体" w:cs="宋体"/>
          <w:b/>
          <w:color w:val="auto"/>
          <w:sz w:val="36"/>
          <w:szCs w:val="36"/>
          <w:highlight w:val="none"/>
        </w:rPr>
      </w:pPr>
    </w:p>
    <w:p w14:paraId="099EB967">
      <w:pPr>
        <w:pStyle w:val="22"/>
        <w:spacing w:line="360" w:lineRule="auto"/>
        <w:jc w:val="center"/>
        <w:rPr>
          <w:rFonts w:hAnsi="宋体" w:cs="宋体"/>
          <w:b/>
          <w:color w:val="auto"/>
          <w:sz w:val="36"/>
          <w:szCs w:val="36"/>
          <w:highlight w:val="none"/>
        </w:rPr>
      </w:pPr>
    </w:p>
    <w:p w14:paraId="1ED843CC">
      <w:pPr>
        <w:pStyle w:val="22"/>
        <w:spacing w:line="360" w:lineRule="auto"/>
        <w:jc w:val="center"/>
        <w:rPr>
          <w:rFonts w:hAnsi="宋体" w:cs="宋体"/>
          <w:b/>
          <w:color w:val="auto"/>
          <w:sz w:val="36"/>
          <w:szCs w:val="36"/>
          <w:highlight w:val="none"/>
        </w:rPr>
      </w:pPr>
      <w:r>
        <w:rPr>
          <w:rFonts w:hint="eastAsia" w:hAnsi="宋体" w:cs="宋体"/>
          <w:b/>
          <w:color w:val="auto"/>
          <w:sz w:val="36"/>
          <w:szCs w:val="36"/>
          <w:highlight w:val="none"/>
        </w:rPr>
        <w:t>目录</w:t>
      </w:r>
    </w:p>
    <w:p w14:paraId="24E995AB">
      <w:pPr>
        <w:pStyle w:val="22"/>
        <w:spacing w:line="360" w:lineRule="auto"/>
        <w:ind w:firstLine="562" w:firstLineChars="200"/>
        <w:rPr>
          <w:rFonts w:hAnsi="宋体" w:cs="宋体"/>
          <w:b/>
          <w:color w:val="auto"/>
          <w:sz w:val="28"/>
          <w:szCs w:val="28"/>
          <w:highlight w:val="none"/>
        </w:rPr>
      </w:pPr>
      <w:r>
        <w:rPr>
          <w:rFonts w:hint="eastAsia" w:hAnsi="宋体" w:cs="宋体"/>
          <w:b/>
          <w:color w:val="auto"/>
          <w:sz w:val="28"/>
          <w:szCs w:val="28"/>
          <w:highlight w:val="none"/>
        </w:rPr>
        <w:t>一、资格审查部分</w:t>
      </w:r>
    </w:p>
    <w:p w14:paraId="3BAF5C8C">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（一）法定代表人身份证明书</w:t>
      </w:r>
    </w:p>
    <w:p w14:paraId="4509DC37">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（二）法定代表人身份证复印件或扫描件</w:t>
      </w:r>
    </w:p>
    <w:p w14:paraId="486AC9DB">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（三）授权委托书</w:t>
      </w:r>
    </w:p>
    <w:p w14:paraId="7220EC90">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szCs w:val="24"/>
          <w:highlight w:val="none"/>
        </w:rPr>
        <w:t>（四）授权委托人身份证复印件或扫描件</w:t>
      </w:r>
    </w:p>
    <w:p w14:paraId="4BA25800">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（五）投标人营业执照、企业资质、企业安全生产许可证</w:t>
      </w:r>
      <w:r>
        <w:rPr>
          <w:rFonts w:hint="eastAsia" w:hAnsi="宋体" w:cs="仿宋_GB2312"/>
          <w:bCs/>
          <w:color w:val="auto"/>
          <w:sz w:val="24"/>
          <w:szCs w:val="24"/>
          <w:highlight w:val="none"/>
        </w:rPr>
        <w:t>复印件或扫描件</w:t>
      </w:r>
    </w:p>
    <w:p w14:paraId="584B9E68">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（六）项目经理资格证书、安全生产考核B证、社保证明</w:t>
      </w:r>
      <w:r>
        <w:rPr>
          <w:rFonts w:hint="eastAsia" w:hAnsi="宋体" w:cs="仿宋_GB2312"/>
          <w:bCs/>
          <w:color w:val="auto"/>
          <w:sz w:val="24"/>
          <w:szCs w:val="24"/>
          <w:highlight w:val="none"/>
        </w:rPr>
        <w:t>复印件或扫描件</w:t>
      </w:r>
    </w:p>
    <w:p w14:paraId="6EFB164E">
      <w:pPr>
        <w:pStyle w:val="22"/>
        <w:spacing w:line="560" w:lineRule="exact"/>
        <w:ind w:left="480"/>
        <w:jc w:val="left"/>
        <w:rPr>
          <w:rFonts w:hAnsi="宋体" w:cs="仿宋_GB2312"/>
          <w:bCs/>
          <w:color w:val="auto"/>
          <w:sz w:val="24"/>
          <w:highlight w:val="none"/>
        </w:rPr>
      </w:pPr>
      <w:r>
        <w:rPr>
          <w:rFonts w:hint="eastAsia" w:hAnsi="宋体" w:cs="仿宋_GB2312"/>
          <w:bCs/>
          <w:color w:val="auto"/>
          <w:sz w:val="24"/>
          <w:highlight w:val="none"/>
        </w:rPr>
        <w:t>（七）</w:t>
      </w:r>
      <w:r>
        <w:rPr>
          <w:rFonts w:hint="eastAsia" w:hAnsi="宋体" w:cs="宋体"/>
          <w:color w:val="auto"/>
          <w:sz w:val="24"/>
          <w:highlight w:val="none"/>
        </w:rPr>
        <w:t>投标保函</w:t>
      </w:r>
      <w:r>
        <w:rPr>
          <w:rFonts w:hint="eastAsia" w:hAnsi="宋体" w:cs="仿宋_GB2312"/>
          <w:bCs/>
          <w:color w:val="auto"/>
          <w:sz w:val="24"/>
          <w:highlight w:val="none"/>
        </w:rPr>
        <w:t>或转账记录</w:t>
      </w:r>
    </w:p>
    <w:p w14:paraId="524C0EA2">
      <w:pPr>
        <w:pStyle w:val="22"/>
        <w:spacing w:line="560" w:lineRule="exact"/>
        <w:ind w:left="480"/>
        <w:jc w:val="left"/>
        <w:rPr>
          <w:rFonts w:hAnsi="宋体" w:cs="仿宋_GB2312"/>
          <w:bCs/>
          <w:color w:val="auto"/>
          <w:sz w:val="24"/>
          <w:highlight w:val="none"/>
        </w:rPr>
      </w:pPr>
      <w:r>
        <w:rPr>
          <w:rFonts w:hint="eastAsia" w:hAnsi="宋体" w:cs="仿宋_GB2312"/>
          <w:bCs/>
          <w:color w:val="auto"/>
          <w:sz w:val="24"/>
          <w:highlight w:val="none"/>
        </w:rPr>
        <w:t>（八）诚信承诺书</w:t>
      </w:r>
    </w:p>
    <w:p w14:paraId="59D4A6B1">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（九）项目经理到岗承诺</w:t>
      </w:r>
    </w:p>
    <w:p w14:paraId="571C2C8D">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（十）中小企业材料</w:t>
      </w:r>
    </w:p>
    <w:p w14:paraId="58268010">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（十一）招标文件要求的其他资料</w:t>
      </w:r>
    </w:p>
    <w:p w14:paraId="761E356C">
      <w:pPr>
        <w:pStyle w:val="22"/>
        <w:spacing w:line="560" w:lineRule="exact"/>
        <w:ind w:firstLine="480" w:firstLineChars="200"/>
        <w:rPr>
          <w:rFonts w:hAnsi="宋体" w:cs="仿宋_GB2312"/>
          <w:bCs/>
          <w:color w:val="auto"/>
          <w:sz w:val="24"/>
          <w:szCs w:val="24"/>
          <w:highlight w:val="none"/>
        </w:rPr>
      </w:pPr>
      <w:r>
        <w:rPr>
          <w:rFonts w:hint="eastAsia" w:hAnsi="宋体" w:cs="仿宋_GB2312"/>
          <w:bCs/>
          <w:color w:val="auto"/>
          <w:sz w:val="24"/>
          <w:highlight w:val="none"/>
        </w:rPr>
        <w:t>（十二）</w:t>
      </w:r>
      <w:r>
        <w:rPr>
          <w:rFonts w:hint="eastAsia" w:hAnsi="宋体" w:cs="仿宋_GB2312"/>
          <w:bCs/>
          <w:color w:val="auto"/>
          <w:sz w:val="24"/>
          <w:szCs w:val="24"/>
          <w:highlight w:val="none"/>
        </w:rPr>
        <w:t>投标人认为需要提交的其他资料</w:t>
      </w:r>
    </w:p>
    <w:p w14:paraId="5ACBE9E9">
      <w:pPr>
        <w:pStyle w:val="22"/>
        <w:spacing w:line="560" w:lineRule="exact"/>
        <w:ind w:firstLine="480" w:firstLineChars="200"/>
        <w:rPr>
          <w:rFonts w:hAnsi="宋体" w:cs="仿宋_GB2312"/>
          <w:bCs/>
          <w:color w:val="auto"/>
          <w:sz w:val="24"/>
          <w:szCs w:val="24"/>
          <w:highlight w:val="none"/>
        </w:rPr>
      </w:pPr>
    </w:p>
    <w:p w14:paraId="4EEE040D">
      <w:pPr>
        <w:pStyle w:val="22"/>
        <w:spacing w:line="360" w:lineRule="auto"/>
        <w:ind w:left="420" w:leftChars="200"/>
        <w:rPr>
          <w:rFonts w:hAnsi="宋体" w:cs="宋体"/>
          <w:b/>
          <w:color w:val="auto"/>
          <w:sz w:val="28"/>
          <w:szCs w:val="28"/>
          <w:highlight w:val="none"/>
        </w:rPr>
      </w:pPr>
      <w:r>
        <w:rPr>
          <w:rFonts w:hint="eastAsia" w:hAnsi="宋体" w:cs="宋体"/>
          <w:b/>
          <w:color w:val="auto"/>
          <w:sz w:val="28"/>
          <w:szCs w:val="28"/>
          <w:highlight w:val="none"/>
        </w:rPr>
        <w:t>二、技术标部分</w:t>
      </w:r>
    </w:p>
    <w:p w14:paraId="0F12F2FF">
      <w:pPr>
        <w:pStyle w:val="22"/>
        <w:spacing w:line="560" w:lineRule="exact"/>
        <w:ind w:left="480"/>
        <w:jc w:val="left"/>
        <w:rPr>
          <w:rFonts w:hAnsi="宋体" w:cs="仿宋_GB2312"/>
          <w:bCs/>
          <w:color w:val="auto"/>
          <w:sz w:val="24"/>
          <w:highlight w:val="none"/>
        </w:rPr>
      </w:pPr>
      <w:r>
        <w:rPr>
          <w:rFonts w:hint="eastAsia" w:hAnsi="宋体" w:cs="仿宋_GB2312"/>
          <w:bCs/>
          <w:color w:val="auto"/>
          <w:sz w:val="24"/>
          <w:highlight w:val="none"/>
        </w:rPr>
        <w:t>施工组织设计</w:t>
      </w:r>
    </w:p>
    <w:p w14:paraId="5016B78B">
      <w:pPr>
        <w:pStyle w:val="22"/>
        <w:spacing w:line="360" w:lineRule="auto"/>
        <w:ind w:left="420" w:leftChars="200"/>
        <w:rPr>
          <w:rFonts w:hAnsi="宋体" w:cs="宋体"/>
          <w:b/>
          <w:color w:val="auto"/>
          <w:sz w:val="28"/>
          <w:szCs w:val="28"/>
          <w:highlight w:val="none"/>
        </w:rPr>
      </w:pPr>
    </w:p>
    <w:p w14:paraId="5CD2B96A">
      <w:pPr>
        <w:pStyle w:val="22"/>
        <w:spacing w:line="360" w:lineRule="auto"/>
        <w:ind w:left="420" w:leftChars="200"/>
        <w:rPr>
          <w:rFonts w:hAnsi="宋体" w:cs="宋体"/>
          <w:b/>
          <w:color w:val="auto"/>
          <w:sz w:val="28"/>
          <w:szCs w:val="28"/>
          <w:highlight w:val="none"/>
        </w:rPr>
      </w:pPr>
      <w:r>
        <w:rPr>
          <w:rFonts w:hint="eastAsia" w:hAnsi="宋体" w:cs="宋体"/>
          <w:b/>
          <w:color w:val="auto"/>
          <w:sz w:val="28"/>
          <w:szCs w:val="28"/>
          <w:highlight w:val="none"/>
        </w:rPr>
        <w:t>三、商务标部分</w:t>
      </w:r>
    </w:p>
    <w:p w14:paraId="6D1F8BE1">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（一）投标函</w:t>
      </w:r>
    </w:p>
    <w:p w14:paraId="6F1A8059">
      <w:pPr>
        <w:pStyle w:val="22"/>
        <w:spacing w:line="560" w:lineRule="exact"/>
        <w:ind w:firstLine="480" w:firstLineChars="200"/>
        <w:jc w:val="left"/>
        <w:rPr>
          <w:rFonts w:hAnsi="宋体" w:cs="仿宋_GB2312"/>
          <w:bCs/>
          <w:color w:val="auto"/>
          <w:sz w:val="24"/>
          <w:highlight w:val="none"/>
        </w:rPr>
      </w:pPr>
      <w:r>
        <w:rPr>
          <w:rFonts w:hint="eastAsia" w:hAnsi="宋体" w:cs="仿宋_GB2312"/>
          <w:bCs/>
          <w:color w:val="auto"/>
          <w:sz w:val="24"/>
          <w:highlight w:val="none"/>
        </w:rPr>
        <w:t>（二）投标报价</w:t>
      </w:r>
    </w:p>
    <w:p w14:paraId="3A901B93">
      <w:pPr>
        <w:pStyle w:val="22"/>
        <w:spacing w:line="360" w:lineRule="auto"/>
        <w:ind w:firstLine="560" w:firstLineChars="200"/>
        <w:jc w:val="center"/>
        <w:rPr>
          <w:rFonts w:hAnsi="宋体" w:cs="宋体"/>
          <w:bCs/>
          <w:color w:val="auto"/>
          <w:sz w:val="28"/>
          <w:szCs w:val="28"/>
          <w:highlight w:val="none"/>
        </w:rPr>
      </w:pPr>
    </w:p>
    <w:p w14:paraId="38A5622B">
      <w:pPr>
        <w:pStyle w:val="22"/>
        <w:spacing w:line="360" w:lineRule="auto"/>
        <w:ind w:firstLine="560" w:firstLineChars="200"/>
        <w:jc w:val="center"/>
        <w:rPr>
          <w:rFonts w:hAnsi="宋体" w:cs="宋体"/>
          <w:bCs/>
          <w:color w:val="auto"/>
          <w:sz w:val="28"/>
          <w:szCs w:val="28"/>
          <w:highlight w:val="none"/>
        </w:rPr>
      </w:pPr>
    </w:p>
    <w:p w14:paraId="7B16C4DD">
      <w:pPr>
        <w:rPr>
          <w:rFonts w:hAnsi="宋体" w:cs="宋体"/>
          <w:bCs/>
          <w:color w:val="auto"/>
          <w:sz w:val="28"/>
          <w:szCs w:val="28"/>
          <w:highlight w:val="none"/>
        </w:rPr>
      </w:pPr>
    </w:p>
    <w:bookmarkEnd w:id="556"/>
    <w:bookmarkEnd w:id="557"/>
    <w:bookmarkEnd w:id="558"/>
    <w:p w14:paraId="1B07EBEA">
      <w:pPr>
        <w:pStyle w:val="22"/>
        <w:adjustRightInd w:val="0"/>
        <w:snapToGrid w:val="0"/>
        <w:spacing w:line="360" w:lineRule="auto"/>
        <w:jc w:val="center"/>
        <w:rPr>
          <w:rFonts w:hAnsi="宋体" w:cs="宋体"/>
          <w:b/>
          <w:color w:val="auto"/>
          <w:sz w:val="28"/>
          <w:szCs w:val="28"/>
          <w:highlight w:val="none"/>
        </w:rPr>
      </w:pPr>
    </w:p>
    <w:p w14:paraId="3B03F954">
      <w:pPr>
        <w:pStyle w:val="22"/>
        <w:adjustRightInd w:val="0"/>
        <w:snapToGrid w:val="0"/>
        <w:spacing w:line="360" w:lineRule="auto"/>
        <w:jc w:val="center"/>
        <w:rPr>
          <w:rFonts w:hAnsi="宋体" w:cs="宋体"/>
          <w:b/>
          <w:color w:val="auto"/>
          <w:sz w:val="28"/>
          <w:szCs w:val="28"/>
          <w:highlight w:val="none"/>
        </w:rPr>
      </w:pPr>
    </w:p>
    <w:p w14:paraId="5DF705BD">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一、资格审查部分</w:t>
      </w:r>
    </w:p>
    <w:p w14:paraId="50EBA203">
      <w:pPr>
        <w:pStyle w:val="22"/>
        <w:spacing w:line="360" w:lineRule="auto"/>
        <w:ind w:left="360"/>
        <w:jc w:val="left"/>
        <w:rPr>
          <w:rFonts w:hAnsi="宋体" w:cs="宋体"/>
          <w:bCs/>
          <w:color w:val="auto"/>
          <w:sz w:val="28"/>
          <w:szCs w:val="28"/>
          <w:highlight w:val="none"/>
        </w:rPr>
      </w:pPr>
    </w:p>
    <w:p w14:paraId="6F661405">
      <w:pPr>
        <w:pStyle w:val="22"/>
        <w:spacing w:line="360" w:lineRule="auto"/>
        <w:ind w:left="360"/>
        <w:jc w:val="center"/>
        <w:rPr>
          <w:rFonts w:hAnsi="宋体" w:cs="宋体"/>
          <w:b/>
          <w:color w:val="auto"/>
          <w:sz w:val="28"/>
          <w:szCs w:val="28"/>
          <w:highlight w:val="none"/>
        </w:rPr>
      </w:pPr>
      <w:r>
        <w:rPr>
          <w:rFonts w:hint="eastAsia" w:hAnsi="宋体" w:cs="宋体"/>
          <w:b/>
          <w:color w:val="auto"/>
          <w:sz w:val="28"/>
          <w:szCs w:val="28"/>
          <w:highlight w:val="none"/>
        </w:rPr>
        <w:t>法定代表人身份证明书</w:t>
      </w:r>
    </w:p>
    <w:p w14:paraId="7B68B16C">
      <w:pPr>
        <w:spacing w:before="48" w:beforeLines="20" w:after="48" w:afterLines="20" w:line="360" w:lineRule="auto"/>
        <w:ind w:firstLine="610"/>
        <w:rPr>
          <w:rFonts w:ascii="宋体" w:hAnsi="宋体" w:cs="宋体"/>
          <w:color w:val="auto"/>
          <w:szCs w:val="21"/>
          <w:highlight w:val="none"/>
        </w:rPr>
      </w:pPr>
    </w:p>
    <w:p w14:paraId="2C8CFE03">
      <w:pPr>
        <w:spacing w:before="48" w:beforeLines="20" w:after="48" w:afterLines="20" w:line="360" w:lineRule="auto"/>
        <w:ind w:firstLine="610"/>
        <w:rPr>
          <w:rFonts w:ascii="宋体" w:hAnsi="宋体" w:cs="宋体"/>
          <w:color w:val="auto"/>
          <w:szCs w:val="21"/>
          <w:highlight w:val="none"/>
        </w:rPr>
      </w:pPr>
    </w:p>
    <w:p w14:paraId="4DC7A555">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2D91704">
      <w:pPr>
        <w:spacing w:before="48" w:beforeLines="20" w:after="48" w:afterLines="20" w:line="360" w:lineRule="auto"/>
        <w:ind w:firstLine="610"/>
        <w:rPr>
          <w:rFonts w:ascii="宋体" w:hAnsi="宋体" w:cs="宋体"/>
          <w:color w:val="auto"/>
          <w:szCs w:val="21"/>
          <w:highlight w:val="none"/>
          <w:u w:val="singl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60CF03FD">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p>
    <w:p w14:paraId="7D8D5F48">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0782036">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p>
    <w:p w14:paraId="77246C32">
      <w:pPr>
        <w:spacing w:before="48" w:beforeLines="20" w:after="48" w:afterLines="20" w:line="360" w:lineRule="auto"/>
        <w:ind w:firstLine="610"/>
        <w:rPr>
          <w:rFonts w:ascii="宋体" w:hAnsi="宋体" w:cs="宋体"/>
          <w:color w:val="auto"/>
          <w:szCs w:val="21"/>
          <w:highlight w:val="none"/>
          <w:u w:val="singl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14:paraId="63987965">
      <w:pPr>
        <w:spacing w:before="48" w:beforeLines="20" w:after="48" w:afterLines="20" w:line="360" w:lineRule="auto"/>
        <w:ind w:firstLine="610"/>
        <w:rPr>
          <w:rFonts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rPr>
        <w:tab/>
      </w:r>
      <w:r>
        <w:rPr>
          <w:rFonts w:hint="eastAsia" w:ascii="宋体" w:hAnsi="宋体" w:cs="宋体"/>
          <w:color w:val="auto"/>
          <w:szCs w:val="21"/>
          <w:highlight w:val="none"/>
          <w:u w:val="single"/>
        </w:rPr>
        <w:t xml:space="preserve">                   </w:t>
      </w:r>
    </w:p>
    <w:p w14:paraId="2057333F">
      <w:pPr>
        <w:spacing w:before="48" w:beforeLines="20" w:after="48" w:afterLines="20" w:line="360" w:lineRule="auto"/>
        <w:ind w:firstLine="610"/>
        <w:rPr>
          <w:rFonts w:ascii="宋体" w:hAnsi="宋体" w:cs="宋体"/>
          <w:color w:val="auto"/>
          <w:szCs w:val="21"/>
          <w:highlight w:val="none"/>
        </w:rPr>
      </w:pPr>
      <w:r>
        <w:rPr>
          <w:rFonts w:hint="eastAsia" w:ascii="宋体" w:hAnsi="宋体" w:cs="宋体"/>
          <w:color w:val="auto"/>
          <w:szCs w:val="21"/>
          <w:highlight w:val="none"/>
        </w:rPr>
        <w:t xml:space="preserve">系  </w:t>
      </w:r>
      <w:r>
        <w:rPr>
          <w:rFonts w:hint="eastAsia" w:ascii="宋体" w:hAnsi="宋体" w:cs="宋体"/>
          <w:color w:val="auto"/>
          <w:szCs w:val="21"/>
          <w:highlight w:val="none"/>
          <w:u w:val="single"/>
        </w:rPr>
        <w:t xml:space="preserve">        （投标人单位名称）        </w:t>
      </w:r>
      <w:r>
        <w:rPr>
          <w:rFonts w:hint="eastAsia" w:ascii="宋体" w:hAnsi="宋体" w:cs="宋体"/>
          <w:color w:val="auto"/>
          <w:szCs w:val="21"/>
          <w:highlight w:val="none"/>
        </w:rPr>
        <w:t xml:space="preserve"> 的法定代表人。</w:t>
      </w:r>
    </w:p>
    <w:p w14:paraId="178A11D4">
      <w:pPr>
        <w:spacing w:before="48" w:beforeLines="20" w:after="48" w:afterLines="20" w:line="360" w:lineRule="auto"/>
        <w:ind w:firstLine="610"/>
        <w:rPr>
          <w:rFonts w:ascii="宋体" w:hAnsi="宋体" w:cs="宋体"/>
          <w:color w:val="auto"/>
          <w:szCs w:val="21"/>
          <w:highlight w:val="none"/>
        </w:rPr>
      </w:pPr>
    </w:p>
    <w:p w14:paraId="54FD155F">
      <w:pPr>
        <w:pStyle w:val="15"/>
        <w:spacing w:before="48" w:beforeLines="20" w:after="48" w:afterLines="20" w:line="360" w:lineRule="auto"/>
        <w:ind w:firstLine="200" w:firstLineChars="100"/>
        <w:rPr>
          <w:rFonts w:ascii="宋体" w:hAnsi="宋体" w:cs="宋体"/>
          <w:color w:val="auto"/>
          <w:szCs w:val="21"/>
          <w:highlight w:val="none"/>
        </w:rPr>
      </w:pPr>
      <w:r>
        <w:rPr>
          <w:rFonts w:hint="eastAsia" w:ascii="宋体" w:hAnsi="宋体" w:cs="宋体"/>
          <w:color w:val="auto"/>
          <w:szCs w:val="21"/>
          <w:highlight w:val="none"/>
        </w:rPr>
        <w:t>特此证明。</w:t>
      </w:r>
    </w:p>
    <w:p w14:paraId="783FCB22">
      <w:pPr>
        <w:pStyle w:val="15"/>
        <w:spacing w:before="48" w:beforeLines="20" w:after="48" w:afterLines="20" w:line="360" w:lineRule="auto"/>
        <w:ind w:firstLine="200" w:firstLineChars="100"/>
        <w:rPr>
          <w:rFonts w:ascii="宋体" w:hAnsi="宋体" w:cs="宋体"/>
          <w:color w:val="auto"/>
          <w:szCs w:val="21"/>
          <w:highlight w:val="none"/>
        </w:rPr>
      </w:pPr>
    </w:p>
    <w:p w14:paraId="2FDD6D86">
      <w:pPr>
        <w:pStyle w:val="15"/>
        <w:spacing w:before="48" w:beforeLines="20" w:after="48" w:afterLines="20" w:line="360" w:lineRule="auto"/>
        <w:ind w:firstLine="200" w:firstLineChars="100"/>
        <w:rPr>
          <w:rFonts w:ascii="宋体" w:hAnsi="宋体" w:cs="宋体"/>
          <w:color w:val="auto"/>
          <w:szCs w:val="21"/>
          <w:highlight w:val="none"/>
        </w:rPr>
      </w:pPr>
    </w:p>
    <w:p w14:paraId="05E2D1AC">
      <w:pPr>
        <w:pStyle w:val="15"/>
        <w:spacing w:before="48" w:beforeLines="20" w:after="48" w:afterLines="20" w:line="360" w:lineRule="auto"/>
        <w:ind w:firstLine="200" w:firstLineChars="100"/>
        <w:rPr>
          <w:rFonts w:ascii="宋体" w:hAnsi="宋体" w:cs="宋体"/>
          <w:color w:val="auto"/>
          <w:szCs w:val="21"/>
          <w:highlight w:val="none"/>
        </w:rPr>
      </w:pPr>
    </w:p>
    <w:p w14:paraId="6DAFDECF">
      <w:pPr>
        <w:tabs>
          <w:tab w:val="left" w:pos="720"/>
          <w:tab w:val="left" w:pos="900"/>
        </w:tabs>
        <w:spacing w:before="48" w:beforeLines="20" w:after="48" w:afterLines="20" w:line="360" w:lineRule="auto"/>
        <w:ind w:firstLine="3360" w:firstLineChars="1600"/>
        <w:rPr>
          <w:rFonts w:ascii="宋体" w:hAnsi="宋体" w:cs="宋体"/>
          <w:color w:val="auto"/>
          <w:szCs w:val="21"/>
          <w:highlight w:val="none"/>
          <w:u w:val="singl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（盖公章）</w:t>
      </w:r>
    </w:p>
    <w:p w14:paraId="12191B91">
      <w:pPr>
        <w:spacing w:before="48" w:beforeLines="20" w:after="48" w:afterLines="20" w:line="360" w:lineRule="auto"/>
        <w:ind w:firstLine="3360" w:firstLineChars="1600"/>
        <w:rPr>
          <w:rFonts w:ascii="宋体" w:hAnsi="宋体" w:cs="宋体"/>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6"/>
      </w:tblGrid>
      <w:tr w14:paraId="5C9A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06" w:type="dxa"/>
          </w:tcPr>
          <w:p w14:paraId="44D5031F">
            <w:pPr>
              <w:spacing w:before="48" w:beforeLines="20" w:after="48" w:afterLines="20" w:line="360" w:lineRule="auto"/>
              <w:rPr>
                <w:rFonts w:ascii="宋体" w:hAnsi="宋体"/>
                <w:color w:val="auto"/>
                <w:sz w:val="24"/>
                <w:highlight w:val="none"/>
              </w:rPr>
            </w:pPr>
            <w:bookmarkStart w:id="559" w:name="_Toc171581368"/>
            <w:bookmarkStart w:id="560" w:name="_Toc171581548"/>
            <w:bookmarkStart w:id="561" w:name="_Toc171741991"/>
          </w:p>
          <w:p w14:paraId="46FD7246">
            <w:pPr>
              <w:spacing w:before="48" w:beforeLines="20" w:after="48" w:afterLines="20" w:line="360" w:lineRule="auto"/>
              <w:rPr>
                <w:rFonts w:ascii="宋体" w:hAnsi="宋体"/>
                <w:color w:val="auto"/>
                <w:sz w:val="24"/>
                <w:highlight w:val="none"/>
              </w:rPr>
            </w:pPr>
          </w:p>
          <w:p w14:paraId="40C885CA">
            <w:pPr>
              <w:spacing w:before="48" w:beforeLines="20" w:after="48" w:afterLines="20" w:line="360" w:lineRule="auto"/>
              <w:jc w:val="center"/>
              <w:rPr>
                <w:rFonts w:ascii="宋体" w:hAnsi="宋体"/>
                <w:color w:val="auto"/>
                <w:sz w:val="52"/>
                <w:szCs w:val="52"/>
                <w:highlight w:val="none"/>
              </w:rPr>
            </w:pPr>
            <w:r>
              <w:rPr>
                <w:rFonts w:hint="eastAsia" w:hAnsi="宋体"/>
                <w:b/>
                <w:color w:val="auto"/>
                <w:sz w:val="52"/>
                <w:szCs w:val="52"/>
                <w:highlight w:val="none"/>
              </w:rPr>
              <w:t>法定代表人身份证复印件或扫描件</w:t>
            </w:r>
          </w:p>
          <w:p w14:paraId="3AD5BC00">
            <w:pPr>
              <w:spacing w:before="48" w:beforeLines="20" w:after="48" w:afterLines="20" w:line="360" w:lineRule="auto"/>
              <w:rPr>
                <w:rFonts w:ascii="宋体" w:hAnsi="宋体"/>
                <w:color w:val="auto"/>
                <w:sz w:val="24"/>
                <w:highlight w:val="none"/>
              </w:rPr>
            </w:pPr>
          </w:p>
        </w:tc>
      </w:tr>
    </w:tbl>
    <w:p w14:paraId="22ECAF4B">
      <w:pPr>
        <w:pStyle w:val="22"/>
        <w:spacing w:line="360" w:lineRule="auto"/>
        <w:jc w:val="center"/>
        <w:rPr>
          <w:rFonts w:hAnsi="宋体" w:cs="宋体"/>
          <w:b/>
          <w:color w:val="auto"/>
          <w:sz w:val="28"/>
          <w:szCs w:val="28"/>
          <w:highlight w:val="none"/>
        </w:rPr>
      </w:pPr>
    </w:p>
    <w:p w14:paraId="6F561F54">
      <w:pPr>
        <w:pStyle w:val="22"/>
        <w:spacing w:line="360" w:lineRule="auto"/>
        <w:jc w:val="center"/>
        <w:rPr>
          <w:rFonts w:hAnsi="宋体" w:cs="宋体"/>
          <w:b/>
          <w:color w:val="auto"/>
          <w:sz w:val="28"/>
          <w:szCs w:val="28"/>
          <w:highlight w:val="none"/>
        </w:rPr>
      </w:pPr>
    </w:p>
    <w:p w14:paraId="2A410211">
      <w:pPr>
        <w:pStyle w:val="22"/>
        <w:spacing w:line="360" w:lineRule="auto"/>
        <w:jc w:val="center"/>
        <w:rPr>
          <w:rFonts w:hAnsi="宋体" w:cs="宋体"/>
          <w:b/>
          <w:color w:val="auto"/>
          <w:sz w:val="28"/>
          <w:szCs w:val="28"/>
          <w:highlight w:val="none"/>
        </w:rPr>
      </w:pPr>
    </w:p>
    <w:p w14:paraId="6860A4F7">
      <w:pPr>
        <w:pStyle w:val="22"/>
        <w:spacing w:line="360" w:lineRule="auto"/>
        <w:jc w:val="center"/>
        <w:rPr>
          <w:rFonts w:hAnsi="宋体" w:cs="宋体"/>
          <w:b/>
          <w:color w:val="auto"/>
          <w:sz w:val="28"/>
          <w:szCs w:val="28"/>
          <w:highlight w:val="none"/>
        </w:rPr>
      </w:pPr>
    </w:p>
    <w:p w14:paraId="0BED058A">
      <w:pPr>
        <w:pStyle w:val="22"/>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授权委托书</w:t>
      </w:r>
      <w:bookmarkEnd w:id="559"/>
      <w:bookmarkEnd w:id="560"/>
      <w:bookmarkEnd w:id="561"/>
    </w:p>
    <w:p w14:paraId="69971E89">
      <w:pPr>
        <w:pStyle w:val="18"/>
        <w:adjustRightInd w:val="0"/>
        <w:spacing w:before="48" w:beforeLines="20" w:after="48" w:afterLines="20" w:line="360" w:lineRule="auto"/>
        <w:ind w:firstLine="420" w:firstLineChars="200"/>
        <w:rPr>
          <w:rFonts w:ascii="宋体" w:hAnsi="宋体" w:cs="宋体"/>
          <w:color w:val="auto"/>
          <w:szCs w:val="21"/>
          <w:highlight w:val="none"/>
        </w:rPr>
      </w:pPr>
    </w:p>
    <w:p w14:paraId="00E6B314">
      <w:pPr>
        <w:pStyle w:val="18"/>
        <w:adjustRightInd w:val="0"/>
        <w:spacing w:before="48" w:beforeLines="20" w:after="48" w:afterLines="2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本授权委托书声明：我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（投 标 人 名 称）</w:t>
      </w:r>
      <w:r>
        <w:rPr>
          <w:rFonts w:hint="eastAsia" w:ascii="宋体" w:hAnsi="宋体" w:cs="宋体"/>
          <w:color w:val="auto"/>
          <w:szCs w:val="21"/>
          <w:highlight w:val="none"/>
        </w:rPr>
        <w:t xml:space="preserve">的法定代表人，现授权委托 </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 xml:space="preserve"> 的 </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为我公司的合法代理人，就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（合同名称）的投标、施工、竣工和保修，以本公司的名义签署投标书，解释投标文件，进行谈判、签署合同和处理与之有关的一切事宜。</w:t>
      </w:r>
    </w:p>
    <w:p w14:paraId="574452A3">
      <w:pPr>
        <w:pStyle w:val="15"/>
        <w:adjustRightInd w:val="0"/>
        <w:spacing w:before="48" w:beforeLines="20" w:after="48" w:afterLines="20" w:line="360" w:lineRule="auto"/>
        <w:rPr>
          <w:rFonts w:ascii="宋体" w:hAnsi="宋体" w:cs="宋体"/>
          <w:color w:val="auto"/>
          <w:szCs w:val="21"/>
          <w:highlight w:val="none"/>
        </w:rPr>
      </w:pPr>
      <w:r>
        <w:rPr>
          <w:rFonts w:hint="eastAsia" w:ascii="宋体" w:hAnsi="宋体" w:cs="宋体"/>
          <w:color w:val="auto"/>
          <w:highlight w:val="none"/>
        </w:rPr>
        <w:t>代理人无转委托权，特此委托。</w:t>
      </w:r>
    </w:p>
    <w:p w14:paraId="07412859">
      <w:pPr>
        <w:adjustRightInd w:val="0"/>
        <w:spacing w:before="48" w:beforeLines="20" w:after="48" w:afterLines="20" w:line="500" w:lineRule="exact"/>
        <w:ind w:firstLine="1155" w:firstLineChars="550"/>
        <w:rPr>
          <w:rFonts w:ascii="宋体" w:hAnsi="宋体" w:cs="宋体"/>
          <w:color w:val="auto"/>
          <w:szCs w:val="21"/>
          <w:highlight w:val="none"/>
        </w:rPr>
      </w:pPr>
    </w:p>
    <w:p w14:paraId="6104D253">
      <w:pPr>
        <w:adjustRightInd w:val="0"/>
        <w:spacing w:before="48" w:beforeLines="20" w:after="48" w:afterLines="20" w:line="500" w:lineRule="exact"/>
        <w:ind w:firstLine="1155" w:firstLineChars="550"/>
        <w:rPr>
          <w:rFonts w:ascii="宋体" w:hAnsi="宋体" w:cs="宋体"/>
          <w:color w:val="auto"/>
          <w:szCs w:val="21"/>
          <w:highlight w:val="none"/>
        </w:rPr>
      </w:pPr>
    </w:p>
    <w:p w14:paraId="59F87C5E">
      <w:pPr>
        <w:adjustRightInd w:val="0"/>
        <w:spacing w:before="48" w:beforeLines="20" w:after="48" w:afterLines="20" w:line="500" w:lineRule="exact"/>
        <w:ind w:firstLine="1155" w:firstLineChars="550"/>
        <w:rPr>
          <w:rFonts w:ascii="宋体" w:hAnsi="宋体" w:cs="宋体"/>
          <w:color w:val="auto"/>
          <w:szCs w:val="21"/>
          <w:highlight w:val="none"/>
          <w:u w:val="single"/>
        </w:rPr>
      </w:pPr>
      <w:r>
        <w:rPr>
          <w:rFonts w:hint="eastAsia" w:ascii="宋体" w:hAnsi="宋体" w:cs="宋体"/>
          <w:color w:val="auto"/>
          <w:szCs w:val="21"/>
          <w:highlight w:val="none"/>
        </w:rPr>
        <w:t>代  理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p>
    <w:p w14:paraId="5EDDDA06">
      <w:pPr>
        <w:adjustRightInd w:val="0"/>
        <w:spacing w:before="48" w:beforeLines="20" w:after="48" w:afterLines="20"/>
        <w:ind w:left="2699"/>
        <w:rPr>
          <w:rFonts w:ascii="宋体" w:hAnsi="宋体" w:cs="宋体"/>
          <w:color w:val="auto"/>
          <w:sz w:val="10"/>
          <w:szCs w:val="10"/>
          <w:highlight w:val="none"/>
        </w:rPr>
      </w:pPr>
    </w:p>
    <w:p w14:paraId="5CED0BDD">
      <w:pPr>
        <w:adjustRightInd w:val="0"/>
        <w:spacing w:before="48" w:beforeLines="20" w:after="48" w:afterLines="20" w:line="500" w:lineRule="exact"/>
        <w:ind w:left="120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2DC9D2A9">
      <w:pPr>
        <w:adjustRightInd w:val="0"/>
        <w:spacing w:before="48" w:beforeLines="20" w:after="48" w:afterLines="20"/>
        <w:ind w:left="2699"/>
        <w:rPr>
          <w:rFonts w:ascii="宋体" w:hAnsi="宋体" w:cs="宋体"/>
          <w:color w:val="auto"/>
          <w:sz w:val="10"/>
          <w:szCs w:val="10"/>
          <w:highlight w:val="none"/>
        </w:rPr>
      </w:pPr>
    </w:p>
    <w:p w14:paraId="6EF8E60F">
      <w:pPr>
        <w:adjustRightInd w:val="0"/>
        <w:spacing w:before="48" w:beforeLines="20" w:after="48" w:afterLines="20" w:line="500" w:lineRule="exact"/>
        <w:ind w:left="1200"/>
        <w:rPr>
          <w:rFonts w:ascii="宋体" w:hAnsi="宋体" w:cs="宋体"/>
          <w:color w:val="auto"/>
          <w:szCs w:val="21"/>
          <w:highlight w:val="none"/>
          <w:u w:val="singl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（盖公章）</w:t>
      </w:r>
    </w:p>
    <w:p w14:paraId="492BB4E6">
      <w:pPr>
        <w:adjustRightInd w:val="0"/>
        <w:spacing w:before="48" w:beforeLines="20" w:after="48" w:afterLines="20"/>
        <w:ind w:left="2699"/>
        <w:rPr>
          <w:rFonts w:ascii="宋体" w:hAnsi="宋体" w:cs="宋体"/>
          <w:color w:val="auto"/>
          <w:sz w:val="10"/>
          <w:szCs w:val="10"/>
          <w:highlight w:val="none"/>
        </w:rPr>
      </w:pPr>
    </w:p>
    <w:p w14:paraId="4DC87532">
      <w:pPr>
        <w:adjustRightInd w:val="0"/>
        <w:spacing w:before="48" w:beforeLines="20" w:after="48" w:afterLines="20" w:line="500" w:lineRule="exact"/>
        <w:ind w:left="1200"/>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（签字或盖章）</w:t>
      </w:r>
      <w:bookmarkStart w:id="562" w:name="_Toc171581369"/>
      <w:bookmarkStart w:id="563" w:name="_Toc171581549"/>
      <w:bookmarkStart w:id="564" w:name="_Toc171741992"/>
    </w:p>
    <w:p w14:paraId="586A2F2F">
      <w:pPr>
        <w:adjustRightInd w:val="0"/>
        <w:spacing w:before="48" w:beforeLines="20" w:after="48" w:afterLines="20" w:line="500" w:lineRule="exact"/>
        <w:ind w:left="1200"/>
        <w:rPr>
          <w:rFonts w:ascii="宋体" w:hAnsi="宋体" w:cs="宋体"/>
          <w:color w:val="auto"/>
          <w:szCs w:val="21"/>
          <w:highlight w:val="none"/>
          <w:u w:val="single"/>
        </w:rPr>
      </w:pPr>
      <w:r>
        <w:rPr>
          <w:rFonts w:hint="eastAsia" w:ascii="宋体" w:hAnsi="宋体" w:cs="宋体"/>
          <w:color w:val="auto"/>
          <w:highlight w:val="none"/>
        </w:rPr>
        <w:t>授权委托日期：     年     月     日</w:t>
      </w:r>
      <w:bookmarkEnd w:id="562"/>
      <w:bookmarkEnd w:id="563"/>
      <w:bookmarkEnd w:id="564"/>
    </w:p>
    <w:p w14:paraId="7F72E118">
      <w:pPr>
        <w:tabs>
          <w:tab w:val="left" w:pos="7560"/>
        </w:tabs>
        <w:adjustRightInd w:val="0"/>
        <w:spacing w:before="48" w:beforeLines="20" w:after="48" w:afterLines="20" w:line="360" w:lineRule="auto"/>
        <w:ind w:firstLine="562" w:firstLineChars="200"/>
        <w:jc w:val="center"/>
        <w:rPr>
          <w:rFonts w:ascii="宋体" w:hAnsi="宋体" w:cs="宋体"/>
          <w:b/>
          <w:bCs/>
          <w:color w:val="auto"/>
          <w:sz w:val="28"/>
          <w:szCs w:val="28"/>
          <w:highlight w:val="none"/>
        </w:rPr>
      </w:pPr>
    </w:p>
    <w:p w14:paraId="43815945">
      <w:pPr>
        <w:tabs>
          <w:tab w:val="left" w:pos="7560"/>
        </w:tabs>
        <w:adjustRightInd w:val="0"/>
        <w:spacing w:before="48" w:beforeLines="20" w:after="48" w:afterLines="20" w:line="360" w:lineRule="auto"/>
        <w:ind w:firstLine="562" w:firstLineChars="2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注：法人签署投标文件并到开标现场则投标文件中无需提供授权委托书，提供法定代表人身份证明书即可。</w:t>
      </w:r>
    </w:p>
    <w:p w14:paraId="79C97136">
      <w:pPr>
        <w:tabs>
          <w:tab w:val="left" w:pos="7560"/>
        </w:tabs>
        <w:adjustRightInd w:val="0"/>
        <w:spacing w:before="48" w:beforeLines="20" w:after="48" w:afterLines="20" w:line="360" w:lineRule="auto"/>
        <w:ind w:firstLine="562" w:firstLineChars="200"/>
        <w:jc w:val="left"/>
        <w:rPr>
          <w:rFonts w:ascii="宋体" w:hAnsi="宋体" w:cs="宋体"/>
          <w:b/>
          <w:bCs/>
          <w:color w:val="auto"/>
          <w:sz w:val="28"/>
          <w:szCs w:val="28"/>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6"/>
      </w:tblGrid>
      <w:tr w14:paraId="2B58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6" w:type="dxa"/>
          </w:tcPr>
          <w:p w14:paraId="6D8C9967">
            <w:pPr>
              <w:spacing w:before="48" w:beforeLines="20" w:after="48" w:afterLines="20" w:line="360" w:lineRule="auto"/>
              <w:rPr>
                <w:rFonts w:ascii="宋体" w:hAnsi="宋体"/>
                <w:color w:val="auto"/>
                <w:sz w:val="24"/>
                <w:highlight w:val="none"/>
              </w:rPr>
            </w:pPr>
          </w:p>
          <w:p w14:paraId="2AEB2255">
            <w:pPr>
              <w:spacing w:before="48" w:beforeLines="20" w:after="48" w:afterLines="20" w:line="360" w:lineRule="auto"/>
              <w:rPr>
                <w:rFonts w:ascii="宋体" w:hAnsi="宋体"/>
                <w:color w:val="auto"/>
                <w:sz w:val="24"/>
                <w:highlight w:val="none"/>
              </w:rPr>
            </w:pPr>
          </w:p>
          <w:p w14:paraId="50772B1B">
            <w:pPr>
              <w:spacing w:before="48" w:beforeLines="20" w:after="48" w:afterLines="20" w:line="360" w:lineRule="auto"/>
              <w:jc w:val="center"/>
              <w:rPr>
                <w:rFonts w:ascii="宋体" w:hAnsi="宋体"/>
                <w:color w:val="auto"/>
                <w:sz w:val="52"/>
                <w:szCs w:val="52"/>
                <w:highlight w:val="none"/>
              </w:rPr>
            </w:pPr>
            <w:r>
              <w:rPr>
                <w:rFonts w:hint="eastAsia" w:hAnsi="宋体"/>
                <w:b/>
                <w:color w:val="auto"/>
                <w:sz w:val="52"/>
                <w:szCs w:val="52"/>
                <w:highlight w:val="none"/>
              </w:rPr>
              <w:t>授权委托人身份证复印件或扫描件</w:t>
            </w:r>
          </w:p>
          <w:p w14:paraId="0A08D510">
            <w:pPr>
              <w:spacing w:before="48" w:beforeLines="20" w:after="48" w:afterLines="20" w:line="360" w:lineRule="auto"/>
              <w:rPr>
                <w:rFonts w:ascii="宋体" w:hAnsi="宋体"/>
                <w:color w:val="auto"/>
                <w:sz w:val="24"/>
                <w:highlight w:val="none"/>
              </w:rPr>
            </w:pPr>
          </w:p>
        </w:tc>
      </w:tr>
    </w:tbl>
    <w:p w14:paraId="7B657F0F">
      <w:pPr>
        <w:spacing w:line="360" w:lineRule="auto"/>
        <w:jc w:val="center"/>
        <w:rPr>
          <w:rFonts w:ascii="宋体" w:hAnsi="宋体"/>
          <w:b/>
          <w:bCs/>
          <w:color w:val="auto"/>
          <w:sz w:val="32"/>
          <w:szCs w:val="32"/>
          <w:highlight w:val="none"/>
        </w:rPr>
      </w:pPr>
    </w:p>
    <w:p w14:paraId="1ABA9047">
      <w:pPr>
        <w:spacing w:line="360" w:lineRule="auto"/>
        <w:jc w:val="center"/>
        <w:rPr>
          <w:rFonts w:ascii="宋体" w:hAnsi="宋体"/>
          <w:b/>
          <w:bCs/>
          <w:color w:val="auto"/>
          <w:sz w:val="32"/>
          <w:szCs w:val="32"/>
          <w:highlight w:val="none"/>
        </w:rPr>
      </w:pPr>
    </w:p>
    <w:p w14:paraId="359A4362">
      <w:pPr>
        <w:pStyle w:val="22"/>
        <w:spacing w:line="360" w:lineRule="auto"/>
        <w:jc w:val="center"/>
        <w:rPr>
          <w:rFonts w:hAnsi="宋体"/>
          <w:color w:val="auto"/>
          <w:sz w:val="28"/>
          <w:szCs w:val="28"/>
          <w:highlight w:val="none"/>
        </w:rPr>
      </w:pPr>
    </w:p>
    <w:p w14:paraId="6F0B037E">
      <w:pPr>
        <w:pStyle w:val="22"/>
        <w:spacing w:line="360" w:lineRule="auto"/>
        <w:jc w:val="center"/>
        <w:rPr>
          <w:rFonts w:hAnsi="宋体"/>
          <w:color w:val="auto"/>
          <w:sz w:val="28"/>
          <w:szCs w:val="28"/>
          <w:highlight w:val="none"/>
        </w:rPr>
      </w:pPr>
    </w:p>
    <w:p w14:paraId="3D627FE4">
      <w:pPr>
        <w:pStyle w:val="22"/>
        <w:spacing w:line="360" w:lineRule="auto"/>
        <w:jc w:val="center"/>
        <w:rPr>
          <w:rFonts w:hAnsi="宋体"/>
          <w:b/>
          <w:color w:val="auto"/>
          <w:sz w:val="28"/>
          <w:szCs w:val="28"/>
          <w:highlight w:val="none"/>
        </w:rPr>
      </w:pPr>
      <w:r>
        <w:rPr>
          <w:rFonts w:hint="eastAsia" w:hAnsi="宋体"/>
          <w:b/>
          <w:color w:val="auto"/>
          <w:sz w:val="28"/>
          <w:szCs w:val="28"/>
          <w:highlight w:val="none"/>
        </w:rPr>
        <w:t>投标人营业执照、企业资质、企业安全生产许可证</w:t>
      </w:r>
      <w:r>
        <w:rPr>
          <w:rFonts w:hint="eastAsia" w:hAnsi="宋体"/>
          <w:b/>
          <w:bCs/>
          <w:color w:val="auto"/>
          <w:sz w:val="28"/>
          <w:szCs w:val="28"/>
          <w:highlight w:val="none"/>
        </w:rPr>
        <w:t>复印件或扫描件</w:t>
      </w:r>
    </w:p>
    <w:p w14:paraId="01C1C731">
      <w:pPr>
        <w:pStyle w:val="22"/>
        <w:spacing w:line="360" w:lineRule="auto"/>
        <w:ind w:left="420"/>
        <w:jc w:val="center"/>
        <w:rPr>
          <w:rFonts w:hAnsi="宋体"/>
          <w:b/>
          <w:color w:val="auto"/>
          <w:sz w:val="28"/>
          <w:szCs w:val="28"/>
          <w:highlight w:val="none"/>
        </w:rPr>
      </w:pPr>
    </w:p>
    <w:p w14:paraId="2B967E30">
      <w:pPr>
        <w:pStyle w:val="22"/>
        <w:spacing w:line="360" w:lineRule="auto"/>
        <w:ind w:left="420"/>
        <w:jc w:val="center"/>
        <w:rPr>
          <w:rFonts w:hAnsi="宋体"/>
          <w:b/>
          <w:color w:val="auto"/>
          <w:sz w:val="28"/>
          <w:szCs w:val="28"/>
          <w:highlight w:val="none"/>
        </w:rPr>
      </w:pPr>
    </w:p>
    <w:p w14:paraId="1425DAF3">
      <w:pPr>
        <w:pStyle w:val="22"/>
        <w:spacing w:line="360" w:lineRule="auto"/>
        <w:ind w:left="420"/>
        <w:jc w:val="center"/>
        <w:rPr>
          <w:rFonts w:hAnsi="宋体"/>
          <w:b/>
          <w:color w:val="auto"/>
          <w:sz w:val="28"/>
          <w:szCs w:val="28"/>
          <w:highlight w:val="none"/>
        </w:rPr>
      </w:pPr>
    </w:p>
    <w:p w14:paraId="2E3C2A88">
      <w:pPr>
        <w:pStyle w:val="22"/>
        <w:spacing w:line="360" w:lineRule="auto"/>
        <w:jc w:val="center"/>
        <w:rPr>
          <w:rFonts w:hAnsi="宋体"/>
          <w:b/>
          <w:color w:val="auto"/>
          <w:sz w:val="28"/>
          <w:szCs w:val="28"/>
          <w:highlight w:val="none"/>
        </w:rPr>
      </w:pPr>
      <w:r>
        <w:rPr>
          <w:rFonts w:hint="eastAsia" w:hAnsi="宋体"/>
          <w:b/>
          <w:color w:val="auto"/>
          <w:sz w:val="28"/>
          <w:szCs w:val="28"/>
          <w:highlight w:val="none"/>
        </w:rPr>
        <w:t>项目经理资格证书、安全生产考核B证</w:t>
      </w:r>
      <w:r>
        <w:rPr>
          <w:rFonts w:hint="eastAsia" w:hAnsi="宋体"/>
          <w:b/>
          <w:bCs/>
          <w:color w:val="auto"/>
          <w:sz w:val="28"/>
          <w:szCs w:val="28"/>
          <w:highlight w:val="none"/>
        </w:rPr>
        <w:t>复印件或扫描件</w:t>
      </w:r>
    </w:p>
    <w:p w14:paraId="27392DFF">
      <w:pPr>
        <w:pStyle w:val="5"/>
        <w:keepNext w:val="0"/>
        <w:keepLines w:val="0"/>
        <w:adjustRightInd w:val="0"/>
        <w:snapToGrid w:val="0"/>
        <w:spacing w:line="360" w:lineRule="auto"/>
        <w:jc w:val="center"/>
        <w:rPr>
          <w:rFonts w:ascii="宋体" w:hAnsi="宋体" w:eastAsia="宋体"/>
          <w:color w:val="auto"/>
          <w:sz w:val="28"/>
          <w:szCs w:val="28"/>
          <w:highlight w:val="none"/>
        </w:rPr>
      </w:pPr>
    </w:p>
    <w:p w14:paraId="11607D40">
      <w:pPr>
        <w:pStyle w:val="5"/>
        <w:keepNext w:val="0"/>
        <w:keepLines w:val="0"/>
        <w:spacing w:line="360" w:lineRule="auto"/>
        <w:jc w:val="center"/>
        <w:rPr>
          <w:rFonts w:ascii="宋体" w:hAnsi="宋体" w:eastAsia="宋体"/>
          <w:color w:val="auto"/>
          <w:sz w:val="28"/>
          <w:szCs w:val="28"/>
          <w:highlight w:val="none"/>
        </w:rPr>
      </w:pPr>
    </w:p>
    <w:p w14:paraId="703DDA08">
      <w:pPr>
        <w:rPr>
          <w:color w:val="auto"/>
          <w:highlight w:val="none"/>
        </w:rPr>
      </w:pPr>
    </w:p>
    <w:p w14:paraId="245A3CE3">
      <w:pPr>
        <w:rPr>
          <w:color w:val="auto"/>
          <w:highlight w:val="none"/>
        </w:rPr>
      </w:pPr>
    </w:p>
    <w:p w14:paraId="3217C25B">
      <w:pPr>
        <w:rPr>
          <w:color w:val="auto"/>
          <w:highlight w:val="none"/>
        </w:rPr>
      </w:pPr>
    </w:p>
    <w:p w14:paraId="7FCAB90D">
      <w:pPr>
        <w:rPr>
          <w:color w:val="auto"/>
          <w:highlight w:val="none"/>
        </w:rPr>
      </w:pPr>
    </w:p>
    <w:p w14:paraId="0D53EC8B">
      <w:pPr>
        <w:rPr>
          <w:color w:val="auto"/>
          <w:highlight w:val="none"/>
        </w:rPr>
      </w:pPr>
    </w:p>
    <w:p w14:paraId="53149703">
      <w:pPr>
        <w:rPr>
          <w:color w:val="auto"/>
          <w:highlight w:val="none"/>
        </w:rPr>
      </w:pPr>
    </w:p>
    <w:p w14:paraId="05EE29F1">
      <w:pPr>
        <w:rPr>
          <w:color w:val="auto"/>
          <w:highlight w:val="none"/>
        </w:rPr>
      </w:pPr>
    </w:p>
    <w:p w14:paraId="27437EDD">
      <w:pPr>
        <w:rPr>
          <w:color w:val="auto"/>
          <w:highlight w:val="none"/>
        </w:rPr>
      </w:pPr>
    </w:p>
    <w:p w14:paraId="1754DE8C">
      <w:pPr>
        <w:rPr>
          <w:color w:val="auto"/>
          <w:highlight w:val="none"/>
        </w:rPr>
      </w:pPr>
    </w:p>
    <w:p w14:paraId="4F88046C">
      <w:pPr>
        <w:rPr>
          <w:color w:val="auto"/>
          <w:highlight w:val="none"/>
        </w:rPr>
      </w:pPr>
    </w:p>
    <w:p w14:paraId="47D43C7B">
      <w:pPr>
        <w:rPr>
          <w:color w:val="auto"/>
          <w:highlight w:val="none"/>
        </w:rPr>
      </w:pPr>
    </w:p>
    <w:p w14:paraId="37A4B138">
      <w:pPr>
        <w:rPr>
          <w:color w:val="auto"/>
          <w:highlight w:val="none"/>
        </w:rPr>
      </w:pPr>
    </w:p>
    <w:p w14:paraId="12AD50E2">
      <w:pPr>
        <w:rPr>
          <w:color w:val="auto"/>
          <w:highlight w:val="none"/>
        </w:rPr>
      </w:pPr>
    </w:p>
    <w:p w14:paraId="01DC35F0">
      <w:pPr>
        <w:rPr>
          <w:color w:val="auto"/>
          <w:highlight w:val="none"/>
        </w:rPr>
      </w:pPr>
    </w:p>
    <w:p w14:paraId="5247F34A">
      <w:pPr>
        <w:rPr>
          <w:color w:val="auto"/>
          <w:highlight w:val="none"/>
        </w:rPr>
      </w:pPr>
    </w:p>
    <w:p w14:paraId="6B3ECA3A">
      <w:pPr>
        <w:rPr>
          <w:color w:val="auto"/>
          <w:highlight w:val="none"/>
        </w:rPr>
      </w:pPr>
    </w:p>
    <w:p w14:paraId="45047542">
      <w:pPr>
        <w:rPr>
          <w:color w:val="auto"/>
          <w:highlight w:val="none"/>
        </w:rPr>
      </w:pPr>
    </w:p>
    <w:p w14:paraId="4499CA90">
      <w:pPr>
        <w:rPr>
          <w:color w:val="auto"/>
          <w:highlight w:val="none"/>
        </w:rPr>
      </w:pPr>
    </w:p>
    <w:p w14:paraId="1AC33163">
      <w:pPr>
        <w:rPr>
          <w:color w:val="auto"/>
          <w:highlight w:val="none"/>
        </w:rPr>
      </w:pPr>
    </w:p>
    <w:p w14:paraId="6B02D079">
      <w:pPr>
        <w:rPr>
          <w:color w:val="auto"/>
          <w:highlight w:val="none"/>
        </w:rPr>
      </w:pPr>
    </w:p>
    <w:p w14:paraId="32455D17">
      <w:pPr>
        <w:rPr>
          <w:color w:val="auto"/>
          <w:highlight w:val="none"/>
        </w:rPr>
      </w:pPr>
    </w:p>
    <w:p w14:paraId="0C05337D">
      <w:pPr>
        <w:rPr>
          <w:color w:val="auto"/>
          <w:highlight w:val="none"/>
        </w:rPr>
      </w:pPr>
    </w:p>
    <w:p w14:paraId="48542FE4">
      <w:pPr>
        <w:rPr>
          <w:color w:val="auto"/>
          <w:highlight w:val="none"/>
        </w:rPr>
      </w:pPr>
    </w:p>
    <w:p w14:paraId="2DCBAB09">
      <w:pPr>
        <w:rPr>
          <w:color w:val="auto"/>
          <w:highlight w:val="none"/>
        </w:rPr>
      </w:pPr>
    </w:p>
    <w:p w14:paraId="2E850FB2">
      <w:pPr>
        <w:rPr>
          <w:color w:val="auto"/>
          <w:highlight w:val="none"/>
        </w:rPr>
      </w:pPr>
    </w:p>
    <w:p w14:paraId="4F945308">
      <w:pPr>
        <w:rPr>
          <w:color w:val="auto"/>
          <w:highlight w:val="none"/>
        </w:rPr>
      </w:pPr>
    </w:p>
    <w:p w14:paraId="5675CA5D">
      <w:pPr>
        <w:rPr>
          <w:color w:val="auto"/>
          <w:highlight w:val="none"/>
        </w:rPr>
      </w:pPr>
    </w:p>
    <w:p w14:paraId="0ADC246E">
      <w:pPr>
        <w:rPr>
          <w:color w:val="auto"/>
          <w:highlight w:val="none"/>
        </w:rPr>
      </w:pPr>
    </w:p>
    <w:p w14:paraId="2D44B885">
      <w:pPr>
        <w:pStyle w:val="47"/>
        <w:rPr>
          <w:color w:val="auto"/>
          <w:highlight w:val="none"/>
        </w:rPr>
      </w:pPr>
    </w:p>
    <w:p w14:paraId="7B230CF7">
      <w:pPr>
        <w:pStyle w:val="47"/>
        <w:rPr>
          <w:color w:val="auto"/>
          <w:highlight w:val="none"/>
        </w:rPr>
      </w:pPr>
    </w:p>
    <w:p w14:paraId="3601F4BD">
      <w:pPr>
        <w:pStyle w:val="47"/>
        <w:rPr>
          <w:color w:val="auto"/>
          <w:highlight w:val="none"/>
        </w:rPr>
      </w:pPr>
    </w:p>
    <w:p w14:paraId="620A0680">
      <w:pPr>
        <w:rPr>
          <w:color w:val="auto"/>
          <w:highlight w:val="none"/>
        </w:rPr>
      </w:pPr>
    </w:p>
    <w:p w14:paraId="74AE937C">
      <w:pPr>
        <w:rPr>
          <w:color w:val="auto"/>
          <w:highlight w:val="none"/>
        </w:rPr>
      </w:pPr>
    </w:p>
    <w:p w14:paraId="51BFE923">
      <w:pPr>
        <w:spacing w:line="620" w:lineRule="exact"/>
        <w:jc w:val="center"/>
        <w:rPr>
          <w:rFonts w:hAnsi="宋体"/>
          <w:b/>
          <w:bCs/>
          <w:color w:val="auto"/>
          <w:sz w:val="28"/>
          <w:szCs w:val="28"/>
          <w:highlight w:val="none"/>
        </w:rPr>
      </w:pPr>
      <w:r>
        <w:rPr>
          <w:rFonts w:hint="eastAsia" w:hAnsi="宋体"/>
          <w:b/>
          <w:bCs/>
          <w:color w:val="auto"/>
          <w:sz w:val="28"/>
          <w:szCs w:val="28"/>
          <w:highlight w:val="none"/>
        </w:rPr>
        <w:t>投标保函或转账记录</w:t>
      </w:r>
    </w:p>
    <w:p w14:paraId="3A5A708C">
      <w:pPr>
        <w:spacing w:line="620" w:lineRule="exact"/>
        <w:jc w:val="center"/>
        <w:rPr>
          <w:rFonts w:hAnsi="宋体"/>
          <w:b/>
          <w:bCs/>
          <w:color w:val="auto"/>
          <w:sz w:val="28"/>
          <w:szCs w:val="28"/>
          <w:highlight w:val="none"/>
        </w:rPr>
      </w:pPr>
    </w:p>
    <w:p w14:paraId="794C885C">
      <w:pPr>
        <w:spacing w:line="360" w:lineRule="auto"/>
        <w:jc w:val="center"/>
        <w:outlineLvl w:val="2"/>
        <w:rPr>
          <w:rFonts w:hAnsi="宋体"/>
          <w:b/>
          <w:bCs/>
          <w:color w:val="auto"/>
          <w:sz w:val="28"/>
          <w:szCs w:val="28"/>
          <w:highlight w:val="none"/>
        </w:rPr>
      </w:pPr>
      <w:r>
        <w:rPr>
          <w:rFonts w:hint="eastAsia" w:hAnsi="宋体"/>
          <w:b/>
          <w:bCs/>
          <w:color w:val="auto"/>
          <w:sz w:val="28"/>
          <w:szCs w:val="28"/>
          <w:highlight w:val="none"/>
        </w:rPr>
        <w:t>投标保函</w:t>
      </w:r>
    </w:p>
    <w:p w14:paraId="17F9335A">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编号：           </w:t>
      </w:r>
    </w:p>
    <w:p w14:paraId="6BD4D36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5DA6D76">
      <w:pPr>
        <w:spacing w:line="360" w:lineRule="auto"/>
        <w:rPr>
          <w:rFonts w:ascii="宋体" w:hAnsi="宋体" w:cs="宋体"/>
          <w:color w:val="auto"/>
          <w:sz w:val="24"/>
          <w:highlight w:val="none"/>
        </w:rPr>
      </w:pPr>
      <w:bookmarkStart w:id="565" w:name="_Hlk40303117"/>
      <w:r>
        <w:rPr>
          <w:rFonts w:hint="eastAsia" w:ascii="宋体" w:hAnsi="宋体" w:cs="宋体"/>
          <w:color w:val="auto"/>
          <w:sz w:val="24"/>
          <w:highlight w:val="none"/>
        </w:rPr>
        <w:t>申请人：</w:t>
      </w:r>
    </w:p>
    <w:p w14:paraId="24658523">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2CAC1FF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受益人： </w:t>
      </w:r>
    </w:p>
    <w:p w14:paraId="358DD687">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37CE7897">
      <w:pPr>
        <w:spacing w:line="360" w:lineRule="auto"/>
        <w:rPr>
          <w:rFonts w:ascii="宋体" w:hAnsi="宋体" w:cs="宋体"/>
          <w:color w:val="auto"/>
          <w:sz w:val="24"/>
          <w:highlight w:val="none"/>
        </w:rPr>
      </w:pPr>
      <w:r>
        <w:rPr>
          <w:rFonts w:hint="eastAsia" w:ascii="宋体" w:hAnsi="宋体" w:cs="宋体"/>
          <w:color w:val="auto"/>
          <w:sz w:val="24"/>
          <w:highlight w:val="none"/>
        </w:rPr>
        <w:t>开立人：</w:t>
      </w:r>
    </w:p>
    <w:bookmarkEnd w:id="565"/>
    <w:p w14:paraId="17CA5363">
      <w:pPr>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6D6DF4DC">
      <w:pPr>
        <w:spacing w:line="360" w:lineRule="auto"/>
        <w:rPr>
          <w:rFonts w:ascii="宋体" w:hAnsi="宋体" w:cs="宋体"/>
          <w:color w:val="auto"/>
          <w:sz w:val="24"/>
          <w:highlight w:val="none"/>
        </w:rPr>
      </w:pPr>
    </w:p>
    <w:p w14:paraId="7697F289">
      <w:pPr>
        <w:spacing w:line="360" w:lineRule="auto"/>
        <w:rPr>
          <w:rFonts w:ascii="宋体" w:hAnsi="宋体" w:cs="宋体"/>
          <w:color w:val="auto"/>
          <w:sz w:val="24"/>
          <w:highlight w:val="none"/>
        </w:rPr>
      </w:pPr>
      <w:r>
        <w:rPr>
          <w:rFonts w:hint="eastAsia" w:ascii="宋体" w:hAnsi="宋体" w:cs="宋体"/>
          <w:color w:val="auto"/>
          <w:sz w:val="24"/>
          <w:highlight w:val="none"/>
        </w:rPr>
        <w:t>致：（受益人名称）</w:t>
      </w:r>
    </w:p>
    <w:p w14:paraId="52B1C8B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我方（即“开立人”）已获得通知，本保函申请人（即“投标人”）已响应贵方于     年   月   日就                            （以下简称“本工程”）发出的招标文件，并已向招标人（即“受益人”）提交了投标文件（即“基础交易”）。</w:t>
      </w:r>
    </w:p>
    <w:p w14:paraId="02DAAB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      元（¥       ）。</w:t>
      </w:r>
    </w:p>
    <w:p w14:paraId="2B44DA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二、我方在投标人发生以下情形时承担保证担保责任： </w:t>
      </w:r>
    </w:p>
    <w:p w14:paraId="639D75A2">
      <w:pPr>
        <w:pStyle w:val="66"/>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（1）投标人在开标后和投标有效期满之前撤销投标的； </w:t>
      </w:r>
    </w:p>
    <w:p w14:paraId="45F473B3">
      <w:pPr>
        <w:pStyle w:val="66"/>
        <w:spacing w:line="360"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（2）投标人在收到中标通知后，不能或拒绝在中标通知书规定的时间内与贵方签订合同； </w:t>
      </w:r>
    </w:p>
    <w:p w14:paraId="6D808C40">
      <w:pPr>
        <w:pStyle w:val="66"/>
        <w:spacing w:line="360"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（3）投标人在与贵方签订合同后，未在规定的时间内提交符合招标文件要求的履约担保；</w:t>
      </w:r>
    </w:p>
    <w:p w14:paraId="5396DE63">
      <w:pPr>
        <w:pStyle w:val="66"/>
        <w:spacing w:line="360" w:lineRule="auto"/>
        <w:ind w:firstLine="480" w:firstLineChars="0"/>
        <w:rPr>
          <w:rFonts w:ascii="宋体" w:hAnsi="宋体" w:cs="宋体"/>
          <w:color w:val="auto"/>
          <w:sz w:val="24"/>
          <w:szCs w:val="24"/>
          <w:highlight w:val="none"/>
        </w:rPr>
      </w:pPr>
      <w:r>
        <w:rPr>
          <w:rFonts w:hint="eastAsia" w:ascii="宋体" w:hAnsi="宋体" w:cs="宋体"/>
          <w:color w:val="auto"/>
          <w:sz w:val="24"/>
          <w:szCs w:val="24"/>
          <w:highlight w:val="none"/>
        </w:rPr>
        <w:t>（4）投标人违反招标文件规定的其他情形。</w:t>
      </w:r>
    </w:p>
    <w:p w14:paraId="629166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三、本保函为不可撤销、不可转让的见索即付独立保函。本保函有效期自开立之日起至投标有效期届满之日后的    日。投标有效期延长的，本保函有效期相应顺延</w:t>
      </w:r>
      <w:bookmarkStart w:id="566" w:name="_Hlk58489417"/>
      <w:r>
        <w:rPr>
          <w:rFonts w:hint="eastAsia" w:ascii="宋体" w:hAnsi="宋体" w:cs="宋体"/>
          <w:color w:val="auto"/>
          <w:sz w:val="24"/>
          <w:highlight w:val="none"/>
        </w:rPr>
        <w:t>，最迟不超过    年    月    日</w:t>
      </w:r>
      <w:bookmarkEnd w:id="566"/>
      <w:r>
        <w:rPr>
          <w:rFonts w:hint="eastAsia" w:ascii="宋体" w:hAnsi="宋体" w:cs="宋体"/>
          <w:color w:val="auto"/>
          <w:sz w:val="24"/>
          <w:highlight w:val="none"/>
        </w:rPr>
        <w:t>。</w:t>
      </w:r>
    </w:p>
    <w:p w14:paraId="0FEBF79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四、我方承诺，在收到受益人发来的书面付款通知后的    日内无条件支付，前述书面付款通知即为付款要求之单据，且应满足以下要求：</w:t>
      </w:r>
    </w:p>
    <w:p w14:paraId="3EDB940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（1）付款通知到达的日期在本保函的有效期内；</w:t>
      </w:r>
    </w:p>
    <w:p w14:paraId="21A05FE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（2）载明要求支付的金额；</w:t>
      </w:r>
    </w:p>
    <w:p w14:paraId="0AE348E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bookmarkStart w:id="567" w:name="_Hlk40354215"/>
      <w:r>
        <w:rPr>
          <w:rFonts w:hint="eastAsia" w:ascii="宋体" w:hAnsi="宋体" w:cs="宋体"/>
          <w:color w:val="auto"/>
          <w:sz w:val="24"/>
          <w:highlight w:val="none"/>
        </w:rPr>
        <w:t>载明申请人违反招投标文件规定的义务内容和具体条款；</w:t>
      </w:r>
      <w:bookmarkEnd w:id="567"/>
    </w:p>
    <w:p w14:paraId="6E38ED0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w:t>
      </w:r>
      <w:bookmarkStart w:id="568" w:name="_Hlk40354839"/>
      <w:r>
        <w:rPr>
          <w:rFonts w:hint="eastAsia" w:ascii="宋体" w:hAnsi="宋体" w:cs="宋体"/>
          <w:color w:val="auto"/>
          <w:sz w:val="24"/>
          <w:highlight w:val="none"/>
        </w:rPr>
        <w:t>声明不存在招标文件规定或我国法律规定免除申请人或我方支付责任的情形；</w:t>
      </w:r>
      <w:bookmarkEnd w:id="568"/>
    </w:p>
    <w:p w14:paraId="261D537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（5）书面付款通知应在本保函有效期内到达的地址是：           。</w:t>
      </w:r>
    </w:p>
    <w:p w14:paraId="5C29AE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受益人发出的书面付款通知应由其为鉴明受益人法定代表人（负责人）或授权代理人签字并加盖公章。</w:t>
      </w:r>
    </w:p>
    <w:p w14:paraId="49F24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五、本保函项下的权利不得转让，不得设定担保。贵方未经我方书面同意转让本保函或其项下任何权利，对我方不发生法律效力。 </w:t>
      </w:r>
    </w:p>
    <w:p w14:paraId="18B9E0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六、本保函项下的基础交易不成立、不生效、无效、被撤销、被解除，不影响本保函的独立有效。 </w:t>
      </w:r>
    </w:p>
    <w:p w14:paraId="5A76E3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A5B4E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八、本保函适用的法律为中华人民共和国法律，争议裁判管辖地为中华人民共和国     。 </w:t>
      </w:r>
    </w:p>
    <w:p w14:paraId="410787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九、本保函自我方法定代表人或授权代表签字并加盖公章之日起生效。 </w:t>
      </w:r>
    </w:p>
    <w:p w14:paraId="70BA3705">
      <w:pPr>
        <w:spacing w:line="360" w:lineRule="auto"/>
        <w:ind w:firstLine="480" w:firstLineChars="200"/>
        <w:rPr>
          <w:rFonts w:ascii="宋体" w:hAnsi="宋体" w:cs="宋体"/>
          <w:color w:val="auto"/>
          <w:sz w:val="24"/>
          <w:highlight w:val="none"/>
        </w:rPr>
      </w:pPr>
    </w:p>
    <w:p w14:paraId="165827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 立 人：                                （公章） </w:t>
      </w:r>
    </w:p>
    <w:p w14:paraId="5D1B14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法定代表人（或授权代表） ：               （签字） </w:t>
      </w:r>
    </w:p>
    <w:p w14:paraId="385B9B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                                       </w:t>
      </w:r>
    </w:p>
    <w:p w14:paraId="7410E0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邮政编码：                 </w:t>
      </w:r>
    </w:p>
    <w:p w14:paraId="44D8AF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电    话：                 </w:t>
      </w:r>
    </w:p>
    <w:p w14:paraId="210CCF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传    真：                 </w:t>
      </w:r>
    </w:p>
    <w:p w14:paraId="5140B0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开立时间：      年      月   日</w:t>
      </w:r>
    </w:p>
    <w:p w14:paraId="16FE06CF">
      <w:pPr>
        <w:rPr>
          <w:color w:val="auto"/>
          <w:highlight w:val="none"/>
        </w:rPr>
      </w:pPr>
    </w:p>
    <w:p w14:paraId="4BC9F8C9">
      <w:pPr>
        <w:pStyle w:val="47"/>
        <w:rPr>
          <w:color w:val="auto"/>
          <w:highlight w:val="none"/>
        </w:rPr>
      </w:pPr>
    </w:p>
    <w:p w14:paraId="7660D562">
      <w:pPr>
        <w:pStyle w:val="47"/>
        <w:rPr>
          <w:color w:val="auto"/>
          <w:highlight w:val="none"/>
        </w:rPr>
      </w:pPr>
    </w:p>
    <w:p w14:paraId="2F46985D">
      <w:pPr>
        <w:pStyle w:val="47"/>
        <w:rPr>
          <w:color w:val="auto"/>
          <w:highlight w:val="none"/>
        </w:rPr>
      </w:pPr>
    </w:p>
    <w:p w14:paraId="19FFEDA4">
      <w:pPr>
        <w:pStyle w:val="22"/>
        <w:spacing w:line="360" w:lineRule="auto"/>
        <w:ind w:left="480"/>
        <w:jc w:val="center"/>
        <w:rPr>
          <w:rFonts w:hAnsi="宋体"/>
          <w:b/>
          <w:bCs/>
          <w:color w:val="auto"/>
          <w:sz w:val="28"/>
          <w:szCs w:val="28"/>
          <w:highlight w:val="none"/>
        </w:rPr>
      </w:pPr>
      <w:r>
        <w:rPr>
          <w:rFonts w:hint="eastAsia" w:hAnsi="宋体"/>
          <w:b/>
          <w:bCs/>
          <w:color w:val="auto"/>
          <w:sz w:val="28"/>
          <w:szCs w:val="28"/>
          <w:highlight w:val="none"/>
        </w:rPr>
        <w:t>诚信承诺书</w:t>
      </w:r>
    </w:p>
    <w:p w14:paraId="3548F008">
      <w:pPr>
        <w:spacing w:line="460" w:lineRule="exact"/>
        <w:rPr>
          <w:rFonts w:ascii="宋体" w:hAnsi="宋体"/>
          <w:color w:val="auto"/>
          <w:sz w:val="24"/>
          <w:highlight w:val="none"/>
        </w:rPr>
      </w:pPr>
      <w:r>
        <w:rPr>
          <w:rFonts w:hint="eastAsia" w:ascii="宋体" w:hAnsi="宋体"/>
          <w:color w:val="auto"/>
          <w:sz w:val="24"/>
          <w:highlight w:val="none"/>
        </w:rPr>
        <w:t>致招标人：</w:t>
      </w:r>
      <w:r>
        <w:rPr>
          <w:rFonts w:hint="eastAsia" w:ascii="宋体" w:hAnsi="宋体"/>
          <w:color w:val="auto"/>
          <w:sz w:val="24"/>
          <w:highlight w:val="none"/>
          <w:u w:val="single"/>
        </w:rPr>
        <w:t xml:space="preserve">                      </w:t>
      </w:r>
    </w:p>
    <w:p w14:paraId="042027ED">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我单位在参加</w:t>
      </w:r>
      <w:r>
        <w:rPr>
          <w:rFonts w:hint="eastAsia" w:ascii="宋体" w:hAnsi="宋体"/>
          <w:color w:val="auto"/>
          <w:sz w:val="24"/>
          <w:highlight w:val="none"/>
          <w:u w:val="single"/>
        </w:rPr>
        <w:t xml:space="preserve">                            </w:t>
      </w:r>
      <w:r>
        <w:rPr>
          <w:rFonts w:hint="eastAsia" w:ascii="宋体" w:hAnsi="宋体"/>
          <w:color w:val="auto"/>
          <w:sz w:val="24"/>
          <w:highlight w:val="none"/>
        </w:rPr>
        <w:t>项目的交易活动过程中，郑重承诺如下：</w:t>
      </w:r>
    </w:p>
    <w:p w14:paraId="62F27E08">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一、确保提供的一切材料均为真实、合法和有效。</w:t>
      </w:r>
    </w:p>
    <w:p w14:paraId="0B9AEAB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二、不受让、租借他人资格、资质证书，不以他人名义投标；不以伪造、变造等其他方式弄虚作假，骗取中标。</w:t>
      </w:r>
    </w:p>
    <w:p w14:paraId="7EF7B88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三、不与招标人、招标代理机构或其他投标人串通投标。</w:t>
      </w:r>
    </w:p>
    <w:p w14:paraId="33E2121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四、不以向招标人、评标委员会成员或其他相关人员行贿方式牟取中标。</w:t>
      </w:r>
    </w:p>
    <w:p w14:paraId="1EE34DC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五、在行使异议、质疑、投诉权利时，提供真实、合法、充分的材料，不捏造事实、伪造材料或以其他非法手段取得证明材料。</w:t>
      </w:r>
    </w:p>
    <w:p w14:paraId="5D71F9EC">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六、中标后，及时办理中标相关手续，并按照交易文件的约定，与招标人依法签订合同。</w:t>
      </w:r>
    </w:p>
    <w:p w14:paraId="73055482">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七、在履约过程中，严格按照交易文件及合同约定履行义务；除法律法规允许外，在价格、质量、工期（供货期）、人员组成等方面不做任何有悖于交易文件实质性内容行为。</w:t>
      </w:r>
    </w:p>
    <w:p w14:paraId="682C298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八、至投标截止之日，我公司及本项目拟派项目经理不在受到招投标行政监管部门（或政府行业监管部门）限制投标的行政处罚期内，不在政府行业监管部门限制在本市承揽业务的行政处理期内。</w:t>
      </w:r>
    </w:p>
    <w:p w14:paraId="6C912490">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九、至投标截止日，我公司及拟派项目经理（项目负责人）未被人民法院列入失信被执行人、未被铜陵市住建局纳入“黑名单”管理的、未被人力资源社会保障行政部门列入拖欠农民工工资“失信名单”、我公司近3年内无行贿犯罪记录。</w:t>
      </w:r>
    </w:p>
    <w:p w14:paraId="18850129">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以上内容我单位已仔细阅读，若有违反承诺内容的行为，自愿接受限制投标资格、记入不良行为记录、取消中标资格等处罚或处理；给招标人或其他投标人造成损失的，自愿依法承担赔偿责任。</w:t>
      </w:r>
    </w:p>
    <w:p w14:paraId="69A09519">
      <w:pPr>
        <w:wordWrap w:val="0"/>
        <w:spacing w:line="760" w:lineRule="exact"/>
        <w:ind w:right="480" w:firstLine="480" w:firstLineChars="200"/>
        <w:jc w:val="center"/>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投标单位：</w:t>
      </w:r>
      <w:r>
        <w:rPr>
          <w:rFonts w:hint="eastAsia" w:ascii="宋体" w:hAnsi="宋体"/>
          <w:color w:val="auto"/>
          <w:sz w:val="24"/>
          <w:highlight w:val="none"/>
          <w:u w:val="single"/>
        </w:rPr>
        <w:t xml:space="preserve">   （盖章）</w:t>
      </w:r>
    </w:p>
    <w:p w14:paraId="20C3BE19">
      <w:pPr>
        <w:wordWrap w:val="0"/>
        <w:spacing w:line="760" w:lineRule="exact"/>
        <w:ind w:firstLine="480" w:firstLineChars="200"/>
        <w:jc w:val="right"/>
        <w:rPr>
          <w:rFonts w:ascii="宋体" w:hAnsi="宋体"/>
          <w:color w:val="auto"/>
          <w:sz w:val="24"/>
          <w:highlight w:val="none"/>
        </w:rPr>
      </w:pPr>
      <w:r>
        <w:rPr>
          <w:rFonts w:hint="eastAsia" w:ascii="宋体" w:hAnsi="宋体"/>
          <w:color w:val="auto"/>
          <w:sz w:val="24"/>
          <w:highlight w:val="none"/>
        </w:rPr>
        <w:t xml:space="preserve">法定代表人： </w:t>
      </w:r>
      <w:r>
        <w:rPr>
          <w:rFonts w:hint="eastAsia" w:ascii="宋体" w:hAnsi="宋体"/>
          <w:color w:val="auto"/>
          <w:sz w:val="24"/>
          <w:highlight w:val="none"/>
          <w:u w:val="single"/>
        </w:rPr>
        <w:t xml:space="preserve">     （签字或盖章）</w:t>
      </w:r>
    </w:p>
    <w:p w14:paraId="4BF226F0">
      <w:pPr>
        <w:pStyle w:val="14"/>
        <w:spacing w:line="520" w:lineRule="exact"/>
        <w:jc w:val="right"/>
        <w:rPr>
          <w:rFonts w:ascii="宋体" w:hAnsi="宋体"/>
          <w:color w:val="auto"/>
          <w:sz w:val="24"/>
          <w:highlight w:val="none"/>
        </w:rPr>
      </w:pPr>
      <w:r>
        <w:rPr>
          <w:rFonts w:hint="eastAsia" w:ascii="宋体" w:hAnsi="宋体"/>
          <w:color w:val="auto"/>
          <w:sz w:val="24"/>
          <w:highlight w:val="none"/>
        </w:rPr>
        <w:t xml:space="preserve">                               年     月     日</w:t>
      </w:r>
    </w:p>
    <w:p w14:paraId="3C35A202">
      <w:pPr>
        <w:jc w:val="center"/>
        <w:rPr>
          <w:rFonts w:ascii="宋体" w:hAnsi="宋体" w:cs="仿宋_GB2312"/>
          <w:b/>
          <w:bCs/>
          <w:color w:val="auto"/>
          <w:sz w:val="28"/>
          <w:szCs w:val="28"/>
          <w:highlight w:val="none"/>
        </w:rPr>
      </w:pPr>
    </w:p>
    <w:p w14:paraId="3F812A9D">
      <w:pPr>
        <w:jc w:val="center"/>
        <w:rPr>
          <w:rFonts w:ascii="宋体" w:hAnsi="宋体" w:cs="仿宋_GB2312"/>
          <w:b/>
          <w:bCs/>
          <w:color w:val="auto"/>
          <w:sz w:val="28"/>
          <w:szCs w:val="28"/>
          <w:highlight w:val="none"/>
        </w:rPr>
      </w:pPr>
    </w:p>
    <w:p w14:paraId="656001ED">
      <w:pPr>
        <w:jc w:val="center"/>
        <w:rPr>
          <w:rFonts w:ascii="宋体" w:hAnsi="宋体" w:cs="仿宋_GB2312"/>
          <w:b/>
          <w:bCs/>
          <w:color w:val="auto"/>
          <w:sz w:val="28"/>
          <w:szCs w:val="28"/>
          <w:highlight w:val="none"/>
        </w:rPr>
      </w:pPr>
    </w:p>
    <w:p w14:paraId="6EBAD3BC">
      <w:pPr>
        <w:jc w:val="center"/>
        <w:rPr>
          <w:rFonts w:ascii="宋体" w:hAnsi="宋体" w:cs="仿宋_GB2312"/>
          <w:b/>
          <w:bCs/>
          <w:color w:val="auto"/>
          <w:sz w:val="28"/>
          <w:szCs w:val="28"/>
          <w:highlight w:val="none"/>
        </w:rPr>
      </w:pPr>
    </w:p>
    <w:p w14:paraId="01AD650F">
      <w:pPr>
        <w:jc w:val="cente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项目经理到岗承诺</w:t>
      </w:r>
    </w:p>
    <w:p w14:paraId="02DE28F7">
      <w:pPr>
        <w:ind w:left="420" w:leftChars="200"/>
        <w:jc w:val="left"/>
        <w:rPr>
          <w:rFonts w:ascii="宋体" w:hAnsi="宋体" w:cs="仿宋_GB2312"/>
          <w:color w:val="auto"/>
          <w:sz w:val="24"/>
          <w:highlight w:val="none"/>
          <w:u w:val="single"/>
        </w:rPr>
      </w:pPr>
    </w:p>
    <w:p w14:paraId="2A5755AF">
      <w:pPr>
        <w:spacing w:line="360" w:lineRule="auto"/>
        <w:ind w:left="420" w:leftChars="200"/>
        <w:jc w:val="left"/>
        <w:rPr>
          <w:rFonts w:ascii="宋体" w:hAnsi="宋体" w:cs="仿宋_GB2312"/>
          <w:color w:val="auto"/>
          <w:sz w:val="24"/>
          <w:highlight w:val="none"/>
          <w:u w:val="single"/>
        </w:rPr>
      </w:pPr>
    </w:p>
    <w:p w14:paraId="30A7412C">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（招标人名称）：</w:t>
      </w:r>
    </w:p>
    <w:p w14:paraId="562AFD51">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本项目拟派项目经理目前无在岗项目或虽在其他项目上担任项目经理岗位，但承诺在本项目中标后合同签订前能够从其他项目变更至本项目并全面履约。</w:t>
      </w:r>
    </w:p>
    <w:p w14:paraId="76642DD5">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以上承诺如有虚假或未兑现，我单位愿意按照弄虚作假情形承担相应责任。</w:t>
      </w:r>
    </w:p>
    <w:p w14:paraId="28F68FB5">
      <w:pPr>
        <w:spacing w:line="360" w:lineRule="auto"/>
        <w:jc w:val="left"/>
        <w:rPr>
          <w:rFonts w:ascii="宋体" w:hAnsi="宋体" w:cs="仿宋_GB2312"/>
          <w:color w:val="auto"/>
          <w:sz w:val="24"/>
          <w:highlight w:val="none"/>
        </w:rPr>
      </w:pPr>
    </w:p>
    <w:p w14:paraId="53879169">
      <w:pPr>
        <w:spacing w:line="360" w:lineRule="auto"/>
        <w:jc w:val="left"/>
        <w:rPr>
          <w:rFonts w:ascii="宋体" w:hAnsi="宋体" w:cs="仿宋_GB2312"/>
          <w:color w:val="auto"/>
          <w:sz w:val="24"/>
          <w:highlight w:val="none"/>
        </w:rPr>
      </w:pPr>
    </w:p>
    <w:p w14:paraId="5D20EBE0">
      <w:pPr>
        <w:spacing w:line="360" w:lineRule="auto"/>
        <w:jc w:val="left"/>
        <w:rPr>
          <w:rFonts w:ascii="宋体" w:hAnsi="宋体" w:cs="仿宋_GB2312"/>
          <w:color w:val="auto"/>
          <w:sz w:val="24"/>
          <w:highlight w:val="none"/>
        </w:rPr>
      </w:pPr>
    </w:p>
    <w:p w14:paraId="3E4E5FCC">
      <w:pPr>
        <w:spacing w:line="360" w:lineRule="auto"/>
        <w:jc w:val="left"/>
        <w:rPr>
          <w:rFonts w:ascii="宋体" w:hAnsi="宋体" w:cs="仿宋_GB2312"/>
          <w:color w:val="auto"/>
          <w:sz w:val="24"/>
          <w:highlight w:val="none"/>
        </w:rPr>
      </w:pPr>
    </w:p>
    <w:p w14:paraId="4923C6EC">
      <w:pPr>
        <w:spacing w:line="360" w:lineRule="auto"/>
        <w:jc w:val="left"/>
        <w:rPr>
          <w:rFonts w:ascii="宋体" w:hAnsi="宋体" w:cs="仿宋_GB2312"/>
          <w:color w:val="auto"/>
          <w:sz w:val="24"/>
          <w:highlight w:val="none"/>
        </w:rPr>
      </w:pPr>
      <w:r>
        <w:rPr>
          <w:rFonts w:hint="eastAsia" w:ascii="宋体" w:hAnsi="宋体" w:cs="仿宋_GB2312"/>
          <w:color w:val="auto"/>
          <w:sz w:val="24"/>
          <w:highlight w:val="none"/>
        </w:rPr>
        <w:t>投标人名称：</w:t>
      </w:r>
      <w:r>
        <w:rPr>
          <w:rFonts w:hint="eastAsia" w:ascii="宋体" w:hAnsi="宋体" w:cs="仿宋_GB2312"/>
          <w:color w:val="auto"/>
          <w:sz w:val="24"/>
          <w:highlight w:val="none"/>
          <w:u w:val="single"/>
        </w:rPr>
        <w:t xml:space="preserve">         （盖单位公章）</w:t>
      </w:r>
    </w:p>
    <w:p w14:paraId="27465666">
      <w:pPr>
        <w:spacing w:line="360" w:lineRule="auto"/>
        <w:jc w:val="left"/>
        <w:rPr>
          <w:rFonts w:ascii="宋体" w:hAnsi="宋体" w:cs="仿宋_GB2312"/>
          <w:color w:val="auto"/>
          <w:sz w:val="24"/>
          <w:highlight w:val="none"/>
          <w:u w:val="single"/>
        </w:rPr>
      </w:pPr>
      <w:r>
        <w:rPr>
          <w:rFonts w:hint="eastAsia" w:ascii="宋体" w:hAnsi="宋体" w:cs="仿宋_GB2312"/>
          <w:color w:val="auto"/>
          <w:sz w:val="24"/>
          <w:highlight w:val="none"/>
        </w:rPr>
        <w:t>法定代表人或其委托代理人：</w:t>
      </w:r>
      <w:r>
        <w:rPr>
          <w:rFonts w:hint="eastAsia" w:ascii="宋体" w:hAnsi="宋体" w:cs="仿宋_GB2312"/>
          <w:color w:val="auto"/>
          <w:sz w:val="24"/>
          <w:highlight w:val="none"/>
          <w:u w:val="single"/>
        </w:rPr>
        <w:t>（签字或盖章）</w:t>
      </w:r>
    </w:p>
    <w:p w14:paraId="37296F0A">
      <w:pPr>
        <w:tabs>
          <w:tab w:val="left" w:pos="7560"/>
        </w:tabs>
        <w:adjustRightInd w:val="0"/>
        <w:spacing w:line="360" w:lineRule="auto"/>
        <w:ind w:firstLine="1800" w:firstLineChars="750"/>
        <w:rPr>
          <w:rFonts w:ascii="宋体" w:hAnsi="宋体"/>
          <w:b/>
          <w:bCs/>
          <w:color w:val="auto"/>
          <w:sz w:val="28"/>
          <w:szCs w:val="28"/>
          <w:highlight w:val="none"/>
        </w:rPr>
      </w:pPr>
      <w:r>
        <w:rPr>
          <w:rFonts w:hint="eastAsia" w:ascii="宋体" w:hAnsi="宋体"/>
          <w:color w:val="auto"/>
          <w:sz w:val="24"/>
          <w:highlight w:val="none"/>
        </w:rPr>
        <w:t>年     月     日</w:t>
      </w:r>
    </w:p>
    <w:p w14:paraId="51CC3641">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0B39B030">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69CAF789">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50E6D79D">
      <w:pPr>
        <w:pStyle w:val="2"/>
        <w:ind w:firstLine="400"/>
        <w:rPr>
          <w:rFonts w:hint="default"/>
          <w:color w:val="auto"/>
          <w:highlight w:val="none"/>
        </w:rPr>
      </w:pPr>
    </w:p>
    <w:p w14:paraId="0B158417">
      <w:pPr>
        <w:pStyle w:val="2"/>
        <w:ind w:firstLine="400"/>
        <w:rPr>
          <w:rFonts w:hint="default"/>
          <w:color w:val="auto"/>
          <w:highlight w:val="none"/>
        </w:rPr>
      </w:pPr>
    </w:p>
    <w:p w14:paraId="4901A592">
      <w:pPr>
        <w:pStyle w:val="2"/>
        <w:ind w:firstLine="400"/>
        <w:rPr>
          <w:rFonts w:hint="default"/>
          <w:color w:val="auto"/>
          <w:highlight w:val="none"/>
        </w:rPr>
      </w:pPr>
    </w:p>
    <w:p w14:paraId="16401082">
      <w:pPr>
        <w:pStyle w:val="2"/>
        <w:ind w:firstLine="400"/>
        <w:rPr>
          <w:rFonts w:hint="default"/>
          <w:color w:val="auto"/>
          <w:highlight w:val="none"/>
        </w:rPr>
      </w:pPr>
    </w:p>
    <w:p w14:paraId="5F7ABFFB">
      <w:pPr>
        <w:pStyle w:val="2"/>
        <w:ind w:firstLine="400"/>
        <w:rPr>
          <w:rFonts w:hint="default"/>
          <w:color w:val="auto"/>
          <w:highlight w:val="none"/>
        </w:rPr>
      </w:pPr>
    </w:p>
    <w:p w14:paraId="0CD262C3">
      <w:pPr>
        <w:pStyle w:val="2"/>
        <w:ind w:firstLine="400"/>
        <w:rPr>
          <w:rFonts w:hint="default"/>
          <w:color w:val="auto"/>
          <w:highlight w:val="none"/>
        </w:rPr>
      </w:pPr>
    </w:p>
    <w:p w14:paraId="0BBC263A">
      <w:pPr>
        <w:rPr>
          <w:color w:val="auto"/>
          <w:highlight w:val="none"/>
        </w:rPr>
      </w:pPr>
    </w:p>
    <w:p w14:paraId="5800949F">
      <w:pPr>
        <w:pStyle w:val="47"/>
        <w:rPr>
          <w:color w:val="auto"/>
          <w:highlight w:val="none"/>
        </w:rPr>
      </w:pPr>
    </w:p>
    <w:p w14:paraId="71D36325">
      <w:pPr>
        <w:pStyle w:val="47"/>
        <w:rPr>
          <w:color w:val="auto"/>
          <w:highlight w:val="none"/>
        </w:rPr>
      </w:pPr>
    </w:p>
    <w:p w14:paraId="21F5857F">
      <w:pPr>
        <w:pStyle w:val="47"/>
        <w:rPr>
          <w:color w:val="auto"/>
          <w:highlight w:val="none"/>
        </w:rPr>
      </w:pPr>
    </w:p>
    <w:p w14:paraId="3655BCEF">
      <w:pPr>
        <w:pStyle w:val="47"/>
        <w:rPr>
          <w:color w:val="auto"/>
          <w:highlight w:val="none"/>
        </w:rPr>
      </w:pPr>
    </w:p>
    <w:p w14:paraId="2B23564E">
      <w:pPr>
        <w:pStyle w:val="47"/>
        <w:rPr>
          <w:color w:val="auto"/>
          <w:highlight w:val="none"/>
        </w:rPr>
      </w:pPr>
    </w:p>
    <w:p w14:paraId="7A458E03">
      <w:pPr>
        <w:pStyle w:val="47"/>
        <w:rPr>
          <w:color w:val="auto"/>
          <w:highlight w:val="none"/>
        </w:rPr>
      </w:pPr>
    </w:p>
    <w:p w14:paraId="1D75628C">
      <w:pPr>
        <w:pStyle w:val="2"/>
        <w:ind w:firstLine="400"/>
        <w:rPr>
          <w:rFonts w:hint="default"/>
          <w:color w:val="auto"/>
          <w:highlight w:val="none"/>
        </w:rPr>
      </w:pPr>
    </w:p>
    <w:p w14:paraId="7D659870">
      <w:pPr>
        <w:pStyle w:val="2"/>
        <w:ind w:firstLine="400"/>
        <w:rPr>
          <w:rFonts w:hint="default"/>
          <w:color w:val="auto"/>
          <w:highlight w:val="none"/>
        </w:rPr>
      </w:pPr>
    </w:p>
    <w:p w14:paraId="511ABB0E">
      <w:pPr>
        <w:pStyle w:val="2"/>
        <w:ind w:firstLine="400"/>
        <w:rPr>
          <w:rFonts w:hint="default"/>
          <w:color w:val="auto"/>
          <w:highlight w:val="none"/>
        </w:rPr>
      </w:pPr>
    </w:p>
    <w:p w14:paraId="71CDBAA0">
      <w:pPr>
        <w:pStyle w:val="47"/>
        <w:rPr>
          <w:color w:val="auto"/>
          <w:highlight w:val="none"/>
        </w:rPr>
      </w:pPr>
    </w:p>
    <w:p w14:paraId="40FC710B">
      <w:pPr>
        <w:jc w:val="center"/>
        <w:rPr>
          <w:rFonts w:ascii="宋体" w:hAnsi="宋体" w:cs="仿宋_GB2312"/>
          <w:b/>
          <w:bCs/>
          <w:color w:val="auto"/>
          <w:sz w:val="28"/>
          <w:szCs w:val="28"/>
          <w:highlight w:val="none"/>
        </w:rPr>
      </w:pPr>
      <w:r>
        <w:rPr>
          <w:rFonts w:hint="eastAsia" w:ascii="宋体" w:hAnsi="宋体" w:cs="仿宋_GB2312"/>
          <w:b/>
          <w:bCs/>
          <w:color w:val="auto"/>
          <w:sz w:val="28"/>
          <w:szCs w:val="28"/>
          <w:highlight w:val="none"/>
        </w:rPr>
        <w:t>中小企业材料</w:t>
      </w:r>
    </w:p>
    <w:p w14:paraId="169F53FC">
      <w:pPr>
        <w:adjustRightInd w:val="0"/>
        <w:snapToGrid w:val="0"/>
        <w:spacing w:line="360" w:lineRule="auto"/>
        <w:jc w:val="center"/>
        <w:rPr>
          <w:rFonts w:ascii="宋体" w:hAnsi="宋体" w:cs="华文仿宋"/>
          <w:color w:val="auto"/>
          <w:sz w:val="28"/>
          <w:szCs w:val="28"/>
          <w:highlight w:val="none"/>
        </w:rPr>
      </w:pPr>
    </w:p>
    <w:p w14:paraId="0D004494">
      <w:pPr>
        <w:adjustRightInd w:val="0"/>
        <w:snapToGrid w:val="0"/>
        <w:spacing w:line="360" w:lineRule="auto"/>
        <w:jc w:val="center"/>
        <w:rPr>
          <w:rFonts w:ascii="宋体" w:hAnsi="宋体" w:cs="华文仿宋"/>
          <w:color w:val="auto"/>
          <w:sz w:val="28"/>
          <w:szCs w:val="28"/>
          <w:highlight w:val="none"/>
        </w:rPr>
      </w:pPr>
      <w:r>
        <w:rPr>
          <w:rFonts w:hint="eastAsia" w:ascii="宋体" w:hAnsi="宋体" w:cs="华文仿宋"/>
          <w:color w:val="auto"/>
          <w:sz w:val="28"/>
          <w:szCs w:val="28"/>
          <w:highlight w:val="none"/>
        </w:rPr>
        <w:t>中小企业声明函（工程)</w:t>
      </w:r>
    </w:p>
    <w:p w14:paraId="131679A5">
      <w:pPr>
        <w:pStyle w:val="37"/>
        <w:ind w:firstLine="400"/>
        <w:rPr>
          <w:color w:val="auto"/>
          <w:highlight w:val="none"/>
        </w:rPr>
      </w:pPr>
    </w:p>
    <w:p w14:paraId="3C3A0F89">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本公司(联合体）郑重声明，为贯彻落实《国务院关于印发扎实稳住经济一揽子政策措施的通知》(国发【2022】12号)、《财政部工业和信息化部关于印发〈政府采购促进中小企业发展管理办法&gt;》（财库〔2020]46号)、《安徽省财政厅关于进一步优化政府采购营商环境的通知》(皖财购【2022】556号）和《安徽省住建厅关于切实加强全省房屋建筑和市政基础设施工程招标投标活动管理的通知》(建市函【2022】453号）等文件精神，本公司(联合体）</w:t>
      </w:r>
      <w:bookmarkStart w:id="569" w:name="_GoBack"/>
      <w:bookmarkEnd w:id="569"/>
      <w:r>
        <w:rPr>
          <w:rFonts w:hint="eastAsia" w:ascii="宋体" w:hAnsi="宋体" w:cs="华文仿宋"/>
          <w:color w:val="auto"/>
          <w:sz w:val="24"/>
          <w:highlight w:val="none"/>
        </w:rPr>
        <w:t>参加</w:t>
      </w:r>
      <w:r>
        <w:rPr>
          <w:rFonts w:hint="eastAsia" w:ascii="宋体" w:hAnsi="宋体" w:cs="华文仿宋"/>
          <w:color w:val="auto"/>
          <w:sz w:val="24"/>
          <w:highlight w:val="none"/>
          <w:u w:val="single"/>
        </w:rPr>
        <w:t>(建设单位名称）</w:t>
      </w:r>
      <w:r>
        <w:rPr>
          <w:rFonts w:hint="eastAsia" w:ascii="宋体" w:hAnsi="宋体" w:cs="华文仿宋"/>
          <w:color w:val="auto"/>
          <w:sz w:val="24"/>
          <w:highlight w:val="none"/>
        </w:rPr>
        <w:t>的</w:t>
      </w:r>
      <w:r>
        <w:rPr>
          <w:rFonts w:hint="eastAsia" w:ascii="宋体" w:hAnsi="宋体" w:cs="华文仿宋"/>
          <w:color w:val="auto"/>
          <w:sz w:val="24"/>
          <w:highlight w:val="none"/>
          <w:u w:val="single"/>
        </w:rPr>
        <w:t>(项目名称）</w:t>
      </w:r>
      <w:r>
        <w:rPr>
          <w:rFonts w:hint="eastAsia" w:ascii="宋体" w:hAnsi="宋体" w:cs="华文仿宋"/>
          <w:color w:val="auto"/>
          <w:sz w:val="24"/>
          <w:highlight w:val="none"/>
        </w:rPr>
        <w:t>招标活动，提供的服务全部由符合政策要求的中小企业承接。相关企业（含联合体中的中小企业、签订分包意向协议的中小企业)的具体情况如下:</w:t>
      </w:r>
    </w:p>
    <w:p w14:paraId="65BF6AC1">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1.</w:t>
      </w:r>
      <w:r>
        <w:rPr>
          <w:rFonts w:hint="eastAsia" w:ascii="宋体" w:hAnsi="宋体" w:cs="华文仿宋"/>
          <w:color w:val="auto"/>
          <w:sz w:val="24"/>
          <w:highlight w:val="none"/>
          <w:u w:val="single"/>
        </w:rPr>
        <w:t>（项目名称）</w:t>
      </w:r>
      <w:r>
        <w:rPr>
          <w:rFonts w:ascii="宋体" w:hAnsi="宋体" w:cs="华文仿宋"/>
          <w:color w:val="auto"/>
          <w:sz w:val="24"/>
          <w:highlight w:val="none"/>
          <w:u w:val="single"/>
        </w:rPr>
        <w:t xml:space="preserve"> </w:t>
      </w:r>
      <w:r>
        <w:rPr>
          <w:rFonts w:hint="eastAsia" w:ascii="宋体" w:hAnsi="宋体" w:cs="华文仿宋"/>
          <w:color w:val="auto"/>
          <w:sz w:val="24"/>
          <w:highlight w:val="none"/>
        </w:rPr>
        <w:t>，属于</w:t>
      </w:r>
      <w:r>
        <w:rPr>
          <w:rFonts w:hint="eastAsia" w:ascii="宋体" w:hAnsi="宋体" w:cs="华文仿宋"/>
          <w:color w:val="auto"/>
          <w:sz w:val="24"/>
          <w:highlight w:val="none"/>
          <w:u w:val="single"/>
        </w:rPr>
        <w:t xml:space="preserve"> </w:t>
      </w:r>
      <w:r>
        <w:rPr>
          <w:rFonts w:ascii="宋体" w:hAnsi="宋体" w:cs="华文仿宋"/>
          <w:color w:val="auto"/>
          <w:sz w:val="24"/>
          <w:highlight w:val="none"/>
          <w:u w:val="single"/>
        </w:rPr>
        <w:t xml:space="preserve"> </w:t>
      </w:r>
      <w:r>
        <w:rPr>
          <w:rFonts w:hint="eastAsia" w:ascii="宋体" w:hAnsi="宋体" w:cs="华文仿宋"/>
          <w:color w:val="auto"/>
          <w:sz w:val="24"/>
          <w:highlight w:val="none"/>
          <w:u w:val="single"/>
        </w:rPr>
        <w:t xml:space="preserve">建筑业 </w:t>
      </w:r>
      <w:r>
        <w:rPr>
          <w:rFonts w:ascii="宋体" w:hAnsi="宋体" w:cs="华文仿宋"/>
          <w:color w:val="auto"/>
          <w:sz w:val="24"/>
          <w:highlight w:val="none"/>
          <w:u w:val="single"/>
        </w:rPr>
        <w:t xml:space="preserve"> </w:t>
      </w:r>
      <w:r>
        <w:rPr>
          <w:rFonts w:hint="eastAsia" w:ascii="宋体" w:hAnsi="宋体" w:cs="华文仿宋"/>
          <w:color w:val="auto"/>
          <w:sz w:val="24"/>
          <w:highlight w:val="none"/>
        </w:rPr>
        <w:t>行业；承接企业为</w:t>
      </w:r>
      <w:r>
        <w:rPr>
          <w:rFonts w:hint="eastAsia" w:ascii="宋体" w:hAnsi="宋体" w:cs="华文仿宋"/>
          <w:color w:val="auto"/>
          <w:sz w:val="24"/>
          <w:highlight w:val="none"/>
          <w:u w:val="single"/>
        </w:rPr>
        <w:t>_(企业名称)</w:t>
      </w:r>
      <w:r>
        <w:rPr>
          <w:rFonts w:hint="eastAsia" w:ascii="宋体" w:hAnsi="宋体" w:cs="华文仿宋"/>
          <w:color w:val="auto"/>
          <w:sz w:val="24"/>
          <w:highlight w:val="none"/>
        </w:rPr>
        <w:t>，从业人员___人，营业收入为___万元，资产总额为___万元，属于______（中型企业、小型企业、微型企业)（选其一）；</w:t>
      </w:r>
    </w:p>
    <w:p w14:paraId="3357268A">
      <w:pPr>
        <w:adjustRightInd w:val="0"/>
        <w:snapToGrid w:val="0"/>
        <w:spacing w:line="360" w:lineRule="auto"/>
        <w:ind w:firstLine="600" w:firstLineChars="250"/>
        <w:rPr>
          <w:rFonts w:ascii="宋体" w:hAnsi="宋体" w:cs="华文仿宋"/>
          <w:color w:val="auto"/>
          <w:sz w:val="24"/>
          <w:highlight w:val="none"/>
        </w:rPr>
      </w:pPr>
      <w:r>
        <w:rPr>
          <w:rFonts w:hint="eastAsia" w:ascii="宋体" w:hAnsi="宋体" w:cs="华文仿宋"/>
          <w:color w:val="auto"/>
          <w:sz w:val="24"/>
          <w:highlight w:val="none"/>
        </w:rPr>
        <w:t>……</w:t>
      </w:r>
    </w:p>
    <w:p w14:paraId="2D3D22F8">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以上企业，不属于大企业的分支机构，不存在控股股东为大企业的情形，也不存在与大企业的负责人为同一人的情形。</w:t>
      </w:r>
    </w:p>
    <w:p w14:paraId="33F64552">
      <w:pPr>
        <w:adjustRightInd w:val="0"/>
        <w:snapToGrid w:val="0"/>
        <w:spacing w:line="360" w:lineRule="auto"/>
        <w:ind w:firstLine="480" w:firstLineChars="200"/>
        <w:rPr>
          <w:rFonts w:ascii="宋体" w:hAnsi="宋体" w:cs="华文仿宋"/>
          <w:color w:val="auto"/>
          <w:sz w:val="24"/>
          <w:highlight w:val="none"/>
        </w:rPr>
      </w:pPr>
      <w:r>
        <w:rPr>
          <w:rFonts w:hint="eastAsia" w:ascii="宋体" w:hAnsi="宋体" w:cs="华文仿宋"/>
          <w:color w:val="auto"/>
          <w:sz w:val="24"/>
          <w:highlight w:val="none"/>
        </w:rPr>
        <w:t>本企业对上述声明内容的真实性负责。如有虚假，将依法承担相应责任。</w:t>
      </w:r>
    </w:p>
    <w:p w14:paraId="28FFDC00">
      <w:pPr>
        <w:adjustRightInd w:val="0"/>
        <w:snapToGrid w:val="0"/>
        <w:spacing w:line="360" w:lineRule="auto"/>
        <w:rPr>
          <w:rFonts w:ascii="宋体" w:hAnsi="宋体" w:cs="华文仿宋"/>
          <w:b/>
          <w:color w:val="auto"/>
          <w:sz w:val="24"/>
          <w:highlight w:val="none"/>
        </w:rPr>
      </w:pPr>
      <w:r>
        <w:rPr>
          <w:rFonts w:hint="eastAsia" w:ascii="宋体" w:hAnsi="宋体" w:cs="华文仿宋"/>
          <w:color w:val="auto"/>
          <w:sz w:val="24"/>
          <w:highlight w:val="none"/>
        </w:rPr>
        <w:t xml:space="preserve">                          </w:t>
      </w:r>
      <w:r>
        <w:rPr>
          <w:rFonts w:hint="eastAsia" w:ascii="宋体" w:hAnsi="宋体" w:cs="华文仿宋"/>
          <w:b/>
          <w:color w:val="auto"/>
          <w:sz w:val="24"/>
          <w:highlight w:val="none"/>
        </w:rPr>
        <w:t xml:space="preserve">         　</w:t>
      </w:r>
    </w:p>
    <w:p w14:paraId="52E263B9">
      <w:pPr>
        <w:pStyle w:val="65"/>
        <w:adjustRightInd w:val="0"/>
        <w:snapToGrid w:val="0"/>
        <w:spacing w:line="360" w:lineRule="auto"/>
        <w:ind w:right="964" w:firstLine="482"/>
        <w:jc w:val="right"/>
        <w:rPr>
          <w:rFonts w:ascii="宋体" w:hAnsi="宋体"/>
          <w:bCs w:val="0"/>
          <w:color w:val="auto"/>
          <w:sz w:val="24"/>
          <w:szCs w:val="24"/>
          <w:highlight w:val="none"/>
        </w:rPr>
      </w:pPr>
      <w:r>
        <w:rPr>
          <w:rFonts w:hint="eastAsia" w:ascii="宋体" w:hAnsi="宋体"/>
          <w:bCs w:val="0"/>
          <w:color w:val="auto"/>
          <w:sz w:val="24"/>
          <w:szCs w:val="24"/>
          <w:highlight w:val="none"/>
        </w:rPr>
        <w:t>企业名称（盖章)：</w:t>
      </w:r>
    </w:p>
    <w:p w14:paraId="318C160E">
      <w:pPr>
        <w:pStyle w:val="65"/>
        <w:adjustRightInd w:val="0"/>
        <w:snapToGrid w:val="0"/>
        <w:spacing w:line="360" w:lineRule="auto"/>
        <w:ind w:right="964" w:firstLine="482"/>
        <w:jc w:val="right"/>
        <w:rPr>
          <w:rFonts w:ascii="宋体" w:hAnsi="宋体"/>
          <w:bCs w:val="0"/>
          <w:color w:val="auto"/>
          <w:sz w:val="24"/>
          <w:szCs w:val="24"/>
          <w:highlight w:val="none"/>
        </w:rPr>
      </w:pPr>
      <w:r>
        <w:rPr>
          <w:rFonts w:hint="eastAsia" w:ascii="宋体" w:hAnsi="宋体"/>
          <w:bCs w:val="0"/>
          <w:color w:val="auto"/>
          <w:sz w:val="24"/>
          <w:szCs w:val="24"/>
          <w:highlight w:val="none"/>
        </w:rPr>
        <w:t>日期：</w:t>
      </w:r>
    </w:p>
    <w:p w14:paraId="21472A47">
      <w:pPr>
        <w:tabs>
          <w:tab w:val="right" w:pos="8730"/>
        </w:tabs>
        <w:adjustRightInd w:val="0"/>
        <w:snapToGrid w:val="0"/>
        <w:spacing w:line="360" w:lineRule="auto"/>
        <w:rPr>
          <w:rFonts w:ascii="宋体" w:hAnsi="宋体"/>
          <w:color w:val="auto"/>
          <w:sz w:val="28"/>
          <w:szCs w:val="28"/>
          <w:highlight w:val="none"/>
        </w:rPr>
      </w:pPr>
    </w:p>
    <w:p w14:paraId="375A6628">
      <w:pPr>
        <w:tabs>
          <w:tab w:val="right" w:pos="8730"/>
        </w:tabs>
        <w:adjustRightInd w:val="0"/>
        <w:snapToGrid w:val="0"/>
        <w:spacing w:line="360" w:lineRule="auto"/>
        <w:rPr>
          <w:rFonts w:ascii="宋体" w:hAnsi="宋体"/>
          <w:color w:val="auto"/>
          <w:sz w:val="28"/>
          <w:szCs w:val="28"/>
          <w:highlight w:val="none"/>
        </w:rPr>
      </w:pPr>
    </w:p>
    <w:p w14:paraId="54FA120C">
      <w:pPr>
        <w:tabs>
          <w:tab w:val="right" w:pos="8730"/>
        </w:tabs>
        <w:adjustRightInd w:val="0"/>
        <w:snapToGrid w:val="0"/>
        <w:spacing w:line="360" w:lineRule="auto"/>
        <w:rPr>
          <w:rFonts w:ascii="宋体" w:hAnsi="宋体"/>
          <w:b/>
          <w:bCs/>
          <w:color w:val="auto"/>
          <w:sz w:val="28"/>
          <w:szCs w:val="28"/>
          <w:highlight w:val="none"/>
        </w:rPr>
      </w:pPr>
      <w:r>
        <w:rPr>
          <w:rFonts w:hint="eastAsia" w:ascii="宋体" w:hAnsi="宋体"/>
          <w:b/>
          <w:bCs/>
          <w:color w:val="auto"/>
          <w:sz w:val="28"/>
          <w:szCs w:val="28"/>
          <w:highlight w:val="none"/>
        </w:rPr>
        <w:t>从业人员、营业收入、资产总额填报上一年度数据，无上一年度数据的新成立企业可不填报。</w:t>
      </w:r>
    </w:p>
    <w:p w14:paraId="1980DB73">
      <w:pPr>
        <w:pStyle w:val="14"/>
        <w:rPr>
          <w:rFonts w:ascii="宋体" w:hAnsi="宋体"/>
          <w:color w:val="auto"/>
          <w:highlight w:val="none"/>
        </w:rPr>
      </w:pPr>
    </w:p>
    <w:p w14:paraId="4FFFB4DC">
      <w:pPr>
        <w:pStyle w:val="14"/>
        <w:rPr>
          <w:rFonts w:ascii="宋体" w:hAnsi="宋体"/>
          <w:color w:val="auto"/>
          <w:highlight w:val="none"/>
        </w:rPr>
      </w:pPr>
    </w:p>
    <w:p w14:paraId="426B9C17">
      <w:pPr>
        <w:pStyle w:val="14"/>
        <w:rPr>
          <w:rFonts w:ascii="宋体" w:hAnsi="宋体"/>
          <w:color w:val="auto"/>
          <w:highlight w:val="none"/>
        </w:rPr>
      </w:pPr>
    </w:p>
    <w:p w14:paraId="36CF7478">
      <w:pPr>
        <w:pStyle w:val="14"/>
        <w:rPr>
          <w:rFonts w:ascii="宋体" w:hAnsi="宋体"/>
          <w:color w:val="auto"/>
          <w:highlight w:val="none"/>
        </w:rPr>
      </w:pPr>
    </w:p>
    <w:p w14:paraId="1C2CE627">
      <w:pPr>
        <w:pStyle w:val="14"/>
        <w:rPr>
          <w:rFonts w:ascii="宋体" w:hAnsi="宋体"/>
          <w:color w:val="auto"/>
          <w:highlight w:val="none"/>
        </w:rPr>
      </w:pPr>
    </w:p>
    <w:p w14:paraId="045C6E8E">
      <w:pPr>
        <w:pStyle w:val="32"/>
        <w:ind w:left="0" w:firstLine="0" w:firstLineChars="0"/>
        <w:rPr>
          <w:color w:val="auto"/>
          <w:highlight w:val="none"/>
        </w:rPr>
      </w:pPr>
    </w:p>
    <w:p w14:paraId="76B9B92E">
      <w:pPr>
        <w:pStyle w:val="14"/>
        <w:spacing w:before="1" w:line="359" w:lineRule="auto"/>
        <w:ind w:right="85" w:firstLine="482"/>
        <w:rPr>
          <w:rFonts w:ascii="宋体" w:hAnsi="宋体" w:cs="仿宋_GB2312"/>
          <w:b/>
          <w:color w:val="auto"/>
          <w:sz w:val="28"/>
          <w:szCs w:val="28"/>
          <w:highlight w:val="none"/>
        </w:rPr>
      </w:pPr>
    </w:p>
    <w:p w14:paraId="0D9EF476">
      <w:pPr>
        <w:pStyle w:val="9"/>
        <w:ind w:firstLine="0" w:firstLineChars="0"/>
        <w:jc w:val="center"/>
        <w:rPr>
          <w:rFonts w:ascii="宋体" w:hAnsi="宋体" w:cs="仿宋_GB2312"/>
          <w:b/>
          <w:color w:val="auto"/>
          <w:sz w:val="28"/>
          <w:szCs w:val="28"/>
          <w:highlight w:val="none"/>
        </w:rPr>
      </w:pPr>
    </w:p>
    <w:p w14:paraId="17DB5036">
      <w:pPr>
        <w:pStyle w:val="9"/>
        <w:ind w:firstLine="0" w:firstLineChars="0"/>
        <w:jc w:val="center"/>
        <w:rPr>
          <w:rFonts w:ascii="宋体" w:hAnsi="宋体" w:cs="仿宋_GB2312"/>
          <w:b/>
          <w:color w:val="auto"/>
          <w:sz w:val="28"/>
          <w:szCs w:val="28"/>
          <w:highlight w:val="none"/>
        </w:rPr>
      </w:pPr>
    </w:p>
    <w:p w14:paraId="06DA9190">
      <w:pPr>
        <w:pStyle w:val="9"/>
        <w:ind w:firstLine="0" w:firstLineChars="0"/>
        <w:jc w:val="center"/>
        <w:rPr>
          <w:rFonts w:ascii="宋体" w:hAnsi="宋体" w:cs="仿宋_GB2312"/>
          <w:b/>
          <w:color w:val="auto"/>
          <w:sz w:val="28"/>
          <w:szCs w:val="28"/>
          <w:highlight w:val="none"/>
        </w:rPr>
      </w:pPr>
    </w:p>
    <w:p w14:paraId="2BB1894D">
      <w:pPr>
        <w:pStyle w:val="9"/>
        <w:ind w:firstLine="0" w:firstLineChars="0"/>
        <w:jc w:val="center"/>
        <w:rPr>
          <w:rFonts w:ascii="宋体" w:hAnsi="宋体" w:cs="仿宋_GB2312"/>
          <w:b/>
          <w:color w:val="auto"/>
          <w:sz w:val="28"/>
          <w:szCs w:val="28"/>
          <w:highlight w:val="none"/>
        </w:rPr>
      </w:pPr>
      <w:r>
        <w:rPr>
          <w:rFonts w:hint="eastAsia" w:ascii="宋体" w:hAnsi="宋体" w:cs="仿宋_GB2312"/>
          <w:b/>
          <w:color w:val="auto"/>
          <w:sz w:val="28"/>
          <w:szCs w:val="28"/>
          <w:highlight w:val="none"/>
        </w:rPr>
        <w:t>招标文件要求的其他资料</w:t>
      </w:r>
    </w:p>
    <w:p w14:paraId="266D9AAE">
      <w:pPr>
        <w:pStyle w:val="9"/>
        <w:ind w:firstLine="0" w:firstLineChars="0"/>
        <w:rPr>
          <w:rFonts w:ascii="宋体" w:hAnsi="宋体" w:cs="仿宋_GB2312"/>
          <w:b/>
          <w:color w:val="auto"/>
          <w:sz w:val="28"/>
          <w:szCs w:val="28"/>
          <w:highlight w:val="none"/>
        </w:rPr>
      </w:pPr>
    </w:p>
    <w:p w14:paraId="13456917">
      <w:pPr>
        <w:pStyle w:val="9"/>
        <w:ind w:firstLine="0" w:firstLineChars="0"/>
        <w:rPr>
          <w:rFonts w:ascii="宋体" w:hAnsi="宋体" w:cs="仿宋_GB2312"/>
          <w:b/>
          <w:color w:val="auto"/>
          <w:sz w:val="28"/>
          <w:szCs w:val="28"/>
          <w:highlight w:val="none"/>
        </w:rPr>
      </w:pPr>
    </w:p>
    <w:p w14:paraId="6F78C54A">
      <w:pPr>
        <w:pStyle w:val="9"/>
        <w:ind w:firstLine="0" w:firstLineChars="0"/>
        <w:rPr>
          <w:rFonts w:ascii="宋体" w:hAnsi="宋体" w:cs="仿宋_GB2312"/>
          <w:b/>
          <w:color w:val="auto"/>
          <w:sz w:val="28"/>
          <w:szCs w:val="28"/>
          <w:highlight w:val="none"/>
        </w:rPr>
      </w:pPr>
    </w:p>
    <w:p w14:paraId="2BF84B42">
      <w:pPr>
        <w:pStyle w:val="9"/>
        <w:ind w:firstLine="0" w:firstLineChars="0"/>
        <w:rPr>
          <w:rFonts w:ascii="宋体" w:hAnsi="宋体" w:cs="仿宋_GB2312"/>
          <w:b/>
          <w:color w:val="auto"/>
          <w:sz w:val="28"/>
          <w:szCs w:val="28"/>
          <w:highlight w:val="none"/>
        </w:rPr>
      </w:pPr>
    </w:p>
    <w:p w14:paraId="4DA2018B">
      <w:pPr>
        <w:pStyle w:val="9"/>
        <w:ind w:firstLine="0" w:firstLineChars="0"/>
        <w:rPr>
          <w:rFonts w:ascii="宋体" w:hAnsi="宋体" w:cs="仿宋_GB2312"/>
          <w:b/>
          <w:color w:val="auto"/>
          <w:sz w:val="28"/>
          <w:szCs w:val="28"/>
          <w:highlight w:val="none"/>
        </w:rPr>
      </w:pPr>
    </w:p>
    <w:p w14:paraId="3E0CE68D">
      <w:pPr>
        <w:pStyle w:val="9"/>
        <w:ind w:firstLine="0" w:firstLineChars="0"/>
        <w:rPr>
          <w:rFonts w:ascii="宋体" w:hAnsi="宋体" w:cs="仿宋_GB2312"/>
          <w:b/>
          <w:color w:val="auto"/>
          <w:sz w:val="28"/>
          <w:szCs w:val="28"/>
          <w:highlight w:val="none"/>
        </w:rPr>
      </w:pPr>
    </w:p>
    <w:p w14:paraId="20AE840B">
      <w:pPr>
        <w:pStyle w:val="9"/>
        <w:ind w:firstLine="0" w:firstLineChars="0"/>
        <w:jc w:val="center"/>
        <w:rPr>
          <w:rFonts w:ascii="宋体" w:hAnsi="宋体" w:cs="仿宋_GB2312"/>
          <w:bCs/>
          <w:color w:val="auto"/>
          <w:sz w:val="28"/>
          <w:szCs w:val="28"/>
          <w:highlight w:val="none"/>
        </w:rPr>
      </w:pPr>
      <w:r>
        <w:rPr>
          <w:rFonts w:hint="eastAsia" w:ascii="宋体" w:hAnsi="宋体" w:cs="仿宋_GB2312"/>
          <w:b/>
          <w:color w:val="auto"/>
          <w:sz w:val="28"/>
          <w:szCs w:val="28"/>
          <w:highlight w:val="none"/>
        </w:rPr>
        <w:t>投标人认为需要提交的其他资料</w:t>
      </w:r>
    </w:p>
    <w:p w14:paraId="710A5325">
      <w:pPr>
        <w:tabs>
          <w:tab w:val="left" w:pos="7560"/>
        </w:tabs>
        <w:adjustRightInd w:val="0"/>
        <w:spacing w:before="48" w:beforeLines="20" w:after="48" w:afterLines="20" w:line="360" w:lineRule="auto"/>
        <w:jc w:val="center"/>
        <w:rPr>
          <w:rFonts w:ascii="宋体" w:hAnsi="宋体"/>
          <w:b/>
          <w:bCs/>
          <w:color w:val="auto"/>
          <w:sz w:val="28"/>
          <w:szCs w:val="28"/>
          <w:highlight w:val="none"/>
        </w:rPr>
      </w:pPr>
    </w:p>
    <w:p w14:paraId="520E72D7">
      <w:pPr>
        <w:pStyle w:val="2"/>
        <w:ind w:firstLine="400"/>
        <w:rPr>
          <w:rFonts w:hint="default"/>
          <w:color w:val="auto"/>
          <w:highlight w:val="none"/>
        </w:rPr>
      </w:pPr>
    </w:p>
    <w:p w14:paraId="5BC1BEC8">
      <w:pPr>
        <w:pStyle w:val="2"/>
        <w:ind w:firstLine="400"/>
        <w:rPr>
          <w:rFonts w:hint="default"/>
          <w:color w:val="auto"/>
          <w:highlight w:val="none"/>
        </w:rPr>
      </w:pPr>
    </w:p>
    <w:p w14:paraId="5CCECE82">
      <w:pPr>
        <w:pStyle w:val="9"/>
        <w:ind w:firstLine="400"/>
        <w:rPr>
          <w:color w:val="auto"/>
          <w:highlight w:val="none"/>
        </w:rPr>
      </w:pPr>
    </w:p>
    <w:p w14:paraId="0A66F6FC">
      <w:pPr>
        <w:pStyle w:val="9"/>
        <w:ind w:firstLine="400"/>
        <w:rPr>
          <w:color w:val="auto"/>
          <w:highlight w:val="none"/>
        </w:rPr>
      </w:pPr>
    </w:p>
    <w:p w14:paraId="517406DE">
      <w:pPr>
        <w:pStyle w:val="9"/>
        <w:ind w:firstLine="400"/>
        <w:rPr>
          <w:color w:val="auto"/>
          <w:highlight w:val="none"/>
        </w:rPr>
      </w:pPr>
    </w:p>
    <w:p w14:paraId="16EBD855">
      <w:pPr>
        <w:pStyle w:val="9"/>
        <w:ind w:firstLine="400"/>
        <w:rPr>
          <w:color w:val="auto"/>
          <w:highlight w:val="none"/>
        </w:rPr>
      </w:pPr>
    </w:p>
    <w:p w14:paraId="178A6FC9">
      <w:pPr>
        <w:pStyle w:val="9"/>
        <w:ind w:firstLine="400"/>
        <w:rPr>
          <w:color w:val="auto"/>
          <w:highlight w:val="none"/>
        </w:rPr>
      </w:pPr>
    </w:p>
    <w:p w14:paraId="5C47F07A">
      <w:pPr>
        <w:pStyle w:val="9"/>
        <w:ind w:firstLine="400"/>
        <w:rPr>
          <w:color w:val="auto"/>
          <w:highlight w:val="none"/>
        </w:rPr>
      </w:pPr>
    </w:p>
    <w:p w14:paraId="673183A5">
      <w:pPr>
        <w:pStyle w:val="9"/>
        <w:ind w:firstLine="400"/>
        <w:rPr>
          <w:color w:val="auto"/>
          <w:highlight w:val="none"/>
        </w:rPr>
      </w:pPr>
    </w:p>
    <w:p w14:paraId="19EEE4B6">
      <w:pPr>
        <w:pStyle w:val="9"/>
        <w:ind w:firstLine="400"/>
        <w:rPr>
          <w:color w:val="auto"/>
          <w:highlight w:val="none"/>
        </w:rPr>
      </w:pPr>
    </w:p>
    <w:p w14:paraId="2D2E88C0">
      <w:pPr>
        <w:pStyle w:val="9"/>
        <w:ind w:firstLine="400"/>
        <w:rPr>
          <w:color w:val="auto"/>
          <w:highlight w:val="none"/>
        </w:rPr>
      </w:pPr>
    </w:p>
    <w:p w14:paraId="641D1EA0">
      <w:pPr>
        <w:pStyle w:val="9"/>
        <w:ind w:firstLine="400"/>
        <w:rPr>
          <w:color w:val="auto"/>
          <w:highlight w:val="none"/>
        </w:rPr>
      </w:pPr>
    </w:p>
    <w:p w14:paraId="6143B971">
      <w:pPr>
        <w:pStyle w:val="9"/>
        <w:ind w:firstLine="400"/>
        <w:rPr>
          <w:color w:val="auto"/>
          <w:highlight w:val="none"/>
        </w:rPr>
      </w:pPr>
    </w:p>
    <w:p w14:paraId="4FA97F34">
      <w:pPr>
        <w:pStyle w:val="9"/>
        <w:ind w:firstLine="400"/>
        <w:rPr>
          <w:color w:val="auto"/>
          <w:highlight w:val="none"/>
        </w:rPr>
      </w:pPr>
    </w:p>
    <w:p w14:paraId="5CA5D2B6">
      <w:pPr>
        <w:pStyle w:val="9"/>
        <w:ind w:firstLine="400"/>
        <w:rPr>
          <w:color w:val="auto"/>
          <w:highlight w:val="none"/>
        </w:rPr>
      </w:pPr>
    </w:p>
    <w:p w14:paraId="28C1EB1D">
      <w:pPr>
        <w:pStyle w:val="9"/>
        <w:ind w:firstLine="400"/>
        <w:rPr>
          <w:color w:val="auto"/>
          <w:highlight w:val="none"/>
        </w:rPr>
      </w:pPr>
    </w:p>
    <w:p w14:paraId="740AF9FD">
      <w:pPr>
        <w:pStyle w:val="9"/>
        <w:ind w:firstLine="400"/>
        <w:rPr>
          <w:color w:val="auto"/>
          <w:highlight w:val="none"/>
        </w:rPr>
      </w:pPr>
    </w:p>
    <w:p w14:paraId="085BB692">
      <w:pPr>
        <w:pStyle w:val="9"/>
        <w:ind w:firstLine="400"/>
        <w:rPr>
          <w:color w:val="auto"/>
          <w:highlight w:val="none"/>
        </w:rPr>
      </w:pPr>
    </w:p>
    <w:p w14:paraId="79FF7C46">
      <w:pPr>
        <w:pStyle w:val="9"/>
        <w:ind w:firstLine="400"/>
        <w:rPr>
          <w:color w:val="auto"/>
          <w:highlight w:val="none"/>
        </w:rPr>
      </w:pPr>
    </w:p>
    <w:p w14:paraId="5EA98333">
      <w:pPr>
        <w:pStyle w:val="9"/>
        <w:ind w:firstLine="400"/>
        <w:rPr>
          <w:color w:val="auto"/>
          <w:highlight w:val="none"/>
        </w:rPr>
      </w:pPr>
    </w:p>
    <w:p w14:paraId="4A7325F7">
      <w:pPr>
        <w:pStyle w:val="9"/>
        <w:ind w:firstLine="400"/>
        <w:rPr>
          <w:color w:val="auto"/>
          <w:highlight w:val="none"/>
        </w:rPr>
      </w:pPr>
    </w:p>
    <w:p w14:paraId="154F7E21">
      <w:pPr>
        <w:pStyle w:val="9"/>
        <w:ind w:firstLine="400"/>
        <w:rPr>
          <w:color w:val="auto"/>
          <w:highlight w:val="none"/>
        </w:rPr>
      </w:pPr>
    </w:p>
    <w:p w14:paraId="5BE10BEC">
      <w:pPr>
        <w:pStyle w:val="9"/>
        <w:ind w:firstLine="400"/>
        <w:rPr>
          <w:color w:val="auto"/>
          <w:highlight w:val="none"/>
        </w:rPr>
      </w:pPr>
    </w:p>
    <w:p w14:paraId="0123BB53">
      <w:pPr>
        <w:pStyle w:val="9"/>
        <w:ind w:firstLine="400"/>
        <w:rPr>
          <w:color w:val="auto"/>
          <w:highlight w:val="none"/>
        </w:rPr>
      </w:pPr>
    </w:p>
    <w:p w14:paraId="3C10C4E0">
      <w:pPr>
        <w:pStyle w:val="9"/>
        <w:ind w:firstLine="400"/>
        <w:rPr>
          <w:color w:val="auto"/>
          <w:highlight w:val="none"/>
        </w:rPr>
      </w:pPr>
    </w:p>
    <w:p w14:paraId="6755D0B6">
      <w:pPr>
        <w:pStyle w:val="9"/>
        <w:ind w:firstLine="400"/>
        <w:rPr>
          <w:color w:val="auto"/>
          <w:highlight w:val="none"/>
        </w:rPr>
      </w:pPr>
    </w:p>
    <w:p w14:paraId="448C1DE4">
      <w:pPr>
        <w:pStyle w:val="9"/>
        <w:ind w:firstLine="400"/>
        <w:rPr>
          <w:color w:val="auto"/>
          <w:highlight w:val="none"/>
        </w:rPr>
      </w:pPr>
    </w:p>
    <w:p w14:paraId="0B655AA6">
      <w:pPr>
        <w:pStyle w:val="9"/>
        <w:ind w:firstLine="400"/>
        <w:rPr>
          <w:color w:val="auto"/>
          <w:highlight w:val="none"/>
        </w:rPr>
      </w:pPr>
    </w:p>
    <w:p w14:paraId="127D2B14">
      <w:pPr>
        <w:pStyle w:val="9"/>
        <w:ind w:firstLine="400"/>
        <w:rPr>
          <w:color w:val="auto"/>
          <w:highlight w:val="none"/>
        </w:rPr>
      </w:pPr>
    </w:p>
    <w:p w14:paraId="625D0C01">
      <w:pPr>
        <w:pStyle w:val="9"/>
        <w:ind w:firstLine="400"/>
        <w:rPr>
          <w:color w:val="auto"/>
          <w:highlight w:val="none"/>
        </w:rPr>
      </w:pPr>
    </w:p>
    <w:p w14:paraId="43DB1037">
      <w:pPr>
        <w:pStyle w:val="9"/>
        <w:ind w:firstLine="400"/>
        <w:rPr>
          <w:color w:val="auto"/>
          <w:highlight w:val="none"/>
        </w:rPr>
      </w:pPr>
    </w:p>
    <w:p w14:paraId="6D5A67BA">
      <w:pPr>
        <w:pStyle w:val="9"/>
        <w:ind w:firstLine="400"/>
        <w:rPr>
          <w:color w:val="auto"/>
          <w:highlight w:val="none"/>
        </w:rPr>
      </w:pPr>
    </w:p>
    <w:p w14:paraId="00780753">
      <w:pPr>
        <w:pStyle w:val="9"/>
        <w:ind w:firstLine="400"/>
        <w:rPr>
          <w:color w:val="auto"/>
          <w:highlight w:val="none"/>
        </w:rPr>
      </w:pPr>
    </w:p>
    <w:p w14:paraId="18F9313D">
      <w:pPr>
        <w:pStyle w:val="9"/>
        <w:ind w:firstLine="400"/>
        <w:rPr>
          <w:color w:val="auto"/>
          <w:highlight w:val="none"/>
        </w:rPr>
      </w:pPr>
    </w:p>
    <w:p w14:paraId="403D3D36">
      <w:pPr>
        <w:pStyle w:val="9"/>
        <w:ind w:firstLine="400"/>
        <w:rPr>
          <w:color w:val="auto"/>
          <w:highlight w:val="none"/>
        </w:rPr>
      </w:pPr>
    </w:p>
    <w:p w14:paraId="713B9359">
      <w:pPr>
        <w:pStyle w:val="9"/>
        <w:ind w:firstLine="400"/>
        <w:rPr>
          <w:color w:val="auto"/>
          <w:highlight w:val="none"/>
        </w:rPr>
      </w:pPr>
    </w:p>
    <w:p w14:paraId="23F372FE">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二、技术标部分</w:t>
      </w:r>
    </w:p>
    <w:p w14:paraId="2C58C1D5">
      <w:pPr>
        <w:pStyle w:val="22"/>
        <w:adjustRightInd w:val="0"/>
        <w:snapToGrid w:val="0"/>
        <w:spacing w:line="360" w:lineRule="auto"/>
        <w:jc w:val="center"/>
        <w:rPr>
          <w:rFonts w:hAnsi="宋体" w:cs="宋体"/>
          <w:b/>
          <w:color w:val="auto"/>
          <w:sz w:val="28"/>
          <w:szCs w:val="28"/>
          <w:highlight w:val="none"/>
        </w:rPr>
      </w:pPr>
    </w:p>
    <w:p w14:paraId="6478D47A">
      <w:pPr>
        <w:pStyle w:val="22"/>
        <w:adjustRightInd w:val="0"/>
        <w:snapToGrid w:val="0"/>
        <w:spacing w:line="360" w:lineRule="auto"/>
        <w:jc w:val="center"/>
        <w:rPr>
          <w:rFonts w:hAnsi="宋体" w:cs="宋体"/>
          <w:b/>
          <w:color w:val="auto"/>
          <w:sz w:val="28"/>
          <w:szCs w:val="28"/>
          <w:highlight w:val="none"/>
        </w:rPr>
      </w:pPr>
    </w:p>
    <w:p w14:paraId="7A1FE130">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施工组织设计</w:t>
      </w:r>
    </w:p>
    <w:p w14:paraId="0D849AD1">
      <w:pPr>
        <w:pStyle w:val="22"/>
        <w:adjustRightInd w:val="0"/>
        <w:snapToGrid w:val="0"/>
        <w:spacing w:line="360" w:lineRule="auto"/>
        <w:jc w:val="center"/>
        <w:rPr>
          <w:rFonts w:hAnsi="宋体" w:cs="宋体"/>
          <w:b/>
          <w:color w:val="auto"/>
          <w:sz w:val="28"/>
          <w:szCs w:val="28"/>
          <w:highlight w:val="none"/>
        </w:rPr>
      </w:pPr>
    </w:p>
    <w:p w14:paraId="1A601C31">
      <w:pPr>
        <w:pStyle w:val="22"/>
        <w:adjustRightInd w:val="0"/>
        <w:snapToGrid w:val="0"/>
        <w:spacing w:line="360" w:lineRule="auto"/>
        <w:jc w:val="center"/>
        <w:rPr>
          <w:rFonts w:hAnsi="宋体" w:cs="宋体"/>
          <w:b/>
          <w:color w:val="auto"/>
          <w:sz w:val="28"/>
          <w:szCs w:val="28"/>
          <w:highlight w:val="none"/>
        </w:rPr>
      </w:pPr>
    </w:p>
    <w:p w14:paraId="7986322F">
      <w:pPr>
        <w:pStyle w:val="22"/>
        <w:adjustRightInd w:val="0"/>
        <w:snapToGrid w:val="0"/>
        <w:spacing w:line="360" w:lineRule="auto"/>
        <w:jc w:val="center"/>
        <w:rPr>
          <w:rFonts w:hAnsi="宋体" w:cs="宋体"/>
          <w:b/>
          <w:color w:val="auto"/>
          <w:sz w:val="28"/>
          <w:szCs w:val="28"/>
          <w:highlight w:val="none"/>
        </w:rPr>
      </w:pPr>
    </w:p>
    <w:p w14:paraId="01711954">
      <w:pPr>
        <w:pStyle w:val="22"/>
        <w:adjustRightInd w:val="0"/>
        <w:snapToGrid w:val="0"/>
        <w:spacing w:line="360" w:lineRule="auto"/>
        <w:jc w:val="center"/>
        <w:rPr>
          <w:rFonts w:hAnsi="宋体" w:cs="宋体"/>
          <w:b/>
          <w:color w:val="auto"/>
          <w:sz w:val="28"/>
          <w:szCs w:val="28"/>
          <w:highlight w:val="none"/>
        </w:rPr>
      </w:pPr>
    </w:p>
    <w:p w14:paraId="5A9B5C2B">
      <w:pPr>
        <w:pStyle w:val="22"/>
        <w:adjustRightInd w:val="0"/>
        <w:snapToGrid w:val="0"/>
        <w:spacing w:line="360" w:lineRule="auto"/>
        <w:jc w:val="center"/>
        <w:rPr>
          <w:rFonts w:hAnsi="宋体" w:cs="宋体"/>
          <w:b/>
          <w:color w:val="auto"/>
          <w:sz w:val="28"/>
          <w:szCs w:val="28"/>
          <w:highlight w:val="none"/>
        </w:rPr>
      </w:pPr>
    </w:p>
    <w:p w14:paraId="4DB701DA">
      <w:pPr>
        <w:pStyle w:val="22"/>
        <w:adjustRightInd w:val="0"/>
        <w:snapToGrid w:val="0"/>
        <w:spacing w:line="360" w:lineRule="auto"/>
        <w:jc w:val="center"/>
        <w:rPr>
          <w:rFonts w:hAnsi="宋体" w:cs="宋体"/>
          <w:b/>
          <w:color w:val="auto"/>
          <w:sz w:val="28"/>
          <w:szCs w:val="28"/>
          <w:highlight w:val="none"/>
        </w:rPr>
      </w:pPr>
    </w:p>
    <w:p w14:paraId="6A767525">
      <w:pPr>
        <w:pStyle w:val="22"/>
        <w:adjustRightInd w:val="0"/>
        <w:snapToGrid w:val="0"/>
        <w:spacing w:line="360" w:lineRule="auto"/>
        <w:jc w:val="center"/>
        <w:rPr>
          <w:rFonts w:hAnsi="宋体" w:cs="宋体"/>
          <w:b/>
          <w:color w:val="auto"/>
          <w:sz w:val="28"/>
          <w:szCs w:val="28"/>
          <w:highlight w:val="none"/>
        </w:rPr>
      </w:pPr>
    </w:p>
    <w:p w14:paraId="0F47F88F">
      <w:pPr>
        <w:pStyle w:val="22"/>
        <w:adjustRightInd w:val="0"/>
        <w:snapToGrid w:val="0"/>
        <w:spacing w:line="360" w:lineRule="auto"/>
        <w:jc w:val="center"/>
        <w:rPr>
          <w:rFonts w:hAnsi="宋体" w:cs="宋体"/>
          <w:b/>
          <w:color w:val="auto"/>
          <w:sz w:val="28"/>
          <w:szCs w:val="28"/>
          <w:highlight w:val="none"/>
        </w:rPr>
      </w:pPr>
    </w:p>
    <w:p w14:paraId="33C9DA23">
      <w:pPr>
        <w:pStyle w:val="22"/>
        <w:adjustRightInd w:val="0"/>
        <w:snapToGrid w:val="0"/>
        <w:spacing w:line="360" w:lineRule="auto"/>
        <w:jc w:val="center"/>
        <w:rPr>
          <w:rFonts w:hAnsi="宋体" w:cs="宋体"/>
          <w:b/>
          <w:color w:val="auto"/>
          <w:sz w:val="28"/>
          <w:szCs w:val="28"/>
          <w:highlight w:val="none"/>
        </w:rPr>
      </w:pPr>
    </w:p>
    <w:p w14:paraId="2B1A31ED">
      <w:pPr>
        <w:pStyle w:val="22"/>
        <w:adjustRightInd w:val="0"/>
        <w:snapToGrid w:val="0"/>
        <w:spacing w:line="360" w:lineRule="auto"/>
        <w:jc w:val="center"/>
        <w:rPr>
          <w:rFonts w:hAnsi="宋体" w:cs="宋体"/>
          <w:b/>
          <w:color w:val="auto"/>
          <w:sz w:val="28"/>
          <w:szCs w:val="28"/>
          <w:highlight w:val="none"/>
        </w:rPr>
      </w:pPr>
    </w:p>
    <w:p w14:paraId="333C4ECD">
      <w:pPr>
        <w:pStyle w:val="22"/>
        <w:adjustRightInd w:val="0"/>
        <w:snapToGrid w:val="0"/>
        <w:spacing w:line="360" w:lineRule="auto"/>
        <w:jc w:val="center"/>
        <w:rPr>
          <w:rFonts w:hAnsi="宋体" w:cs="宋体"/>
          <w:b/>
          <w:color w:val="auto"/>
          <w:sz w:val="28"/>
          <w:szCs w:val="28"/>
          <w:highlight w:val="none"/>
        </w:rPr>
      </w:pPr>
    </w:p>
    <w:p w14:paraId="4737C911">
      <w:pPr>
        <w:pStyle w:val="22"/>
        <w:adjustRightInd w:val="0"/>
        <w:snapToGrid w:val="0"/>
        <w:spacing w:line="360" w:lineRule="auto"/>
        <w:jc w:val="center"/>
        <w:rPr>
          <w:rFonts w:hAnsi="宋体" w:cs="宋体"/>
          <w:b/>
          <w:color w:val="auto"/>
          <w:sz w:val="28"/>
          <w:szCs w:val="28"/>
          <w:highlight w:val="none"/>
        </w:rPr>
      </w:pPr>
    </w:p>
    <w:p w14:paraId="2B973456">
      <w:pPr>
        <w:pStyle w:val="22"/>
        <w:adjustRightInd w:val="0"/>
        <w:snapToGrid w:val="0"/>
        <w:spacing w:line="360" w:lineRule="auto"/>
        <w:jc w:val="center"/>
        <w:rPr>
          <w:rFonts w:hAnsi="宋体" w:cs="宋体"/>
          <w:b/>
          <w:color w:val="auto"/>
          <w:sz w:val="28"/>
          <w:szCs w:val="28"/>
          <w:highlight w:val="none"/>
        </w:rPr>
      </w:pPr>
    </w:p>
    <w:p w14:paraId="50899492">
      <w:pPr>
        <w:pStyle w:val="22"/>
        <w:adjustRightInd w:val="0"/>
        <w:snapToGrid w:val="0"/>
        <w:spacing w:line="360" w:lineRule="auto"/>
        <w:jc w:val="center"/>
        <w:rPr>
          <w:rFonts w:hAnsi="宋体" w:cs="宋体"/>
          <w:b/>
          <w:color w:val="auto"/>
          <w:sz w:val="28"/>
          <w:szCs w:val="28"/>
          <w:highlight w:val="none"/>
        </w:rPr>
      </w:pPr>
    </w:p>
    <w:p w14:paraId="632486E2">
      <w:pPr>
        <w:pStyle w:val="22"/>
        <w:adjustRightInd w:val="0"/>
        <w:snapToGrid w:val="0"/>
        <w:spacing w:line="360" w:lineRule="auto"/>
        <w:jc w:val="center"/>
        <w:rPr>
          <w:rFonts w:hAnsi="宋体" w:cs="宋体"/>
          <w:b/>
          <w:color w:val="auto"/>
          <w:sz w:val="28"/>
          <w:szCs w:val="28"/>
          <w:highlight w:val="none"/>
        </w:rPr>
      </w:pPr>
    </w:p>
    <w:p w14:paraId="6FE20958">
      <w:pPr>
        <w:pStyle w:val="22"/>
        <w:adjustRightInd w:val="0"/>
        <w:snapToGrid w:val="0"/>
        <w:spacing w:line="360" w:lineRule="auto"/>
        <w:jc w:val="center"/>
        <w:rPr>
          <w:rFonts w:hAnsi="宋体" w:cs="宋体"/>
          <w:b/>
          <w:color w:val="auto"/>
          <w:sz w:val="28"/>
          <w:szCs w:val="28"/>
          <w:highlight w:val="none"/>
        </w:rPr>
      </w:pPr>
    </w:p>
    <w:p w14:paraId="5A7CC231">
      <w:pPr>
        <w:pStyle w:val="22"/>
        <w:adjustRightInd w:val="0"/>
        <w:snapToGrid w:val="0"/>
        <w:spacing w:line="360" w:lineRule="auto"/>
        <w:jc w:val="center"/>
        <w:rPr>
          <w:rFonts w:hAnsi="宋体" w:cs="宋体"/>
          <w:b/>
          <w:color w:val="auto"/>
          <w:sz w:val="28"/>
          <w:szCs w:val="28"/>
          <w:highlight w:val="none"/>
        </w:rPr>
      </w:pPr>
    </w:p>
    <w:p w14:paraId="2612BB48">
      <w:pPr>
        <w:pStyle w:val="22"/>
        <w:adjustRightInd w:val="0"/>
        <w:snapToGrid w:val="0"/>
        <w:spacing w:line="360" w:lineRule="auto"/>
        <w:jc w:val="center"/>
        <w:rPr>
          <w:rFonts w:hAnsi="宋体" w:cs="宋体"/>
          <w:b/>
          <w:color w:val="auto"/>
          <w:sz w:val="28"/>
          <w:szCs w:val="28"/>
          <w:highlight w:val="none"/>
        </w:rPr>
      </w:pPr>
    </w:p>
    <w:p w14:paraId="6D393462">
      <w:pPr>
        <w:pStyle w:val="22"/>
        <w:adjustRightInd w:val="0"/>
        <w:snapToGrid w:val="0"/>
        <w:spacing w:line="360" w:lineRule="auto"/>
        <w:jc w:val="center"/>
        <w:rPr>
          <w:rFonts w:hAnsi="宋体" w:cs="宋体"/>
          <w:b/>
          <w:color w:val="auto"/>
          <w:sz w:val="28"/>
          <w:szCs w:val="28"/>
          <w:highlight w:val="none"/>
        </w:rPr>
      </w:pPr>
    </w:p>
    <w:p w14:paraId="7A06C204">
      <w:pPr>
        <w:pStyle w:val="22"/>
        <w:adjustRightInd w:val="0"/>
        <w:snapToGrid w:val="0"/>
        <w:spacing w:line="360" w:lineRule="auto"/>
        <w:jc w:val="center"/>
        <w:rPr>
          <w:rFonts w:hAnsi="宋体" w:cs="宋体"/>
          <w:b/>
          <w:color w:val="auto"/>
          <w:sz w:val="28"/>
          <w:szCs w:val="28"/>
          <w:highlight w:val="none"/>
        </w:rPr>
      </w:pPr>
    </w:p>
    <w:p w14:paraId="70DFF993">
      <w:pPr>
        <w:pStyle w:val="22"/>
        <w:adjustRightInd w:val="0"/>
        <w:snapToGrid w:val="0"/>
        <w:spacing w:line="360" w:lineRule="auto"/>
        <w:jc w:val="center"/>
        <w:rPr>
          <w:rFonts w:hAnsi="宋体" w:cs="宋体"/>
          <w:b/>
          <w:color w:val="auto"/>
          <w:sz w:val="28"/>
          <w:szCs w:val="28"/>
          <w:highlight w:val="none"/>
        </w:rPr>
      </w:pPr>
    </w:p>
    <w:p w14:paraId="01BC82BA">
      <w:pPr>
        <w:pStyle w:val="22"/>
        <w:adjustRightInd w:val="0"/>
        <w:snapToGrid w:val="0"/>
        <w:spacing w:line="360" w:lineRule="auto"/>
        <w:jc w:val="center"/>
        <w:rPr>
          <w:rFonts w:hAnsi="宋体" w:cs="宋体"/>
          <w:b/>
          <w:color w:val="auto"/>
          <w:sz w:val="28"/>
          <w:szCs w:val="28"/>
          <w:highlight w:val="none"/>
        </w:rPr>
      </w:pPr>
    </w:p>
    <w:p w14:paraId="07F0CD92">
      <w:pPr>
        <w:pStyle w:val="22"/>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三、商务标部分</w:t>
      </w:r>
    </w:p>
    <w:p w14:paraId="0BC30D68">
      <w:pPr>
        <w:pStyle w:val="9"/>
        <w:ind w:firstLine="400"/>
        <w:rPr>
          <w:color w:val="auto"/>
          <w:highlight w:val="none"/>
        </w:rPr>
      </w:pPr>
    </w:p>
    <w:p w14:paraId="4A91A689">
      <w:pPr>
        <w:pStyle w:val="9"/>
        <w:ind w:firstLine="400"/>
        <w:rPr>
          <w:color w:val="auto"/>
          <w:highlight w:val="none"/>
        </w:rPr>
      </w:pPr>
    </w:p>
    <w:p w14:paraId="32C09392">
      <w:pPr>
        <w:pStyle w:val="22"/>
        <w:spacing w:line="360" w:lineRule="auto"/>
        <w:jc w:val="center"/>
        <w:rPr>
          <w:rFonts w:hAnsi="宋体"/>
          <w:b/>
          <w:color w:val="auto"/>
          <w:sz w:val="24"/>
          <w:szCs w:val="24"/>
          <w:highlight w:val="none"/>
        </w:rPr>
      </w:pPr>
      <w:r>
        <w:rPr>
          <w:rFonts w:hint="eastAsia" w:hAnsi="宋体"/>
          <w:b/>
          <w:color w:val="auto"/>
          <w:sz w:val="28"/>
          <w:szCs w:val="28"/>
          <w:highlight w:val="none"/>
        </w:rPr>
        <w:t>投 标 函</w:t>
      </w:r>
    </w:p>
    <w:p w14:paraId="40FF64F1">
      <w:pPr>
        <w:adjustRightInd w:val="0"/>
        <w:spacing w:before="48" w:beforeLines="20" w:after="48" w:afterLines="20"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{招标人名称}   </w:t>
      </w:r>
    </w:p>
    <w:p w14:paraId="2CC42EE9">
      <w:pPr>
        <w:tabs>
          <w:tab w:val="left" w:pos="7560"/>
        </w:tabs>
        <w:adjustRightInd w:val="0"/>
        <w:spacing w:before="48" w:beforeLines="20" w:after="48" w:afterLines="2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1.根据你方招标工程项目编号为</w:t>
      </w:r>
      <w:r>
        <w:rPr>
          <w:rFonts w:hint="eastAsia" w:ascii="宋体" w:hAnsi="宋体"/>
          <w:color w:val="auto"/>
          <w:sz w:val="24"/>
          <w:highlight w:val="none"/>
          <w:u w:val="single"/>
        </w:rPr>
        <w:t xml:space="preserve">  {项目编号}  </w:t>
      </w:r>
      <w:r>
        <w:rPr>
          <w:rFonts w:hint="eastAsia" w:ascii="宋体" w:hAnsi="宋体"/>
          <w:color w:val="auto"/>
          <w:sz w:val="24"/>
          <w:highlight w:val="none"/>
        </w:rPr>
        <w:t>的</w:t>
      </w:r>
      <w:r>
        <w:rPr>
          <w:rFonts w:hint="eastAsia" w:ascii="宋体" w:hAnsi="宋体"/>
          <w:color w:val="auto"/>
          <w:sz w:val="24"/>
          <w:highlight w:val="none"/>
          <w:u w:val="single"/>
        </w:rPr>
        <w:t xml:space="preserve">  {招标工程项目名称}  </w:t>
      </w:r>
      <w:r>
        <w:rPr>
          <w:rFonts w:hint="eastAsia" w:ascii="宋体" w:hAnsi="宋体"/>
          <w:color w:val="auto"/>
          <w:sz w:val="24"/>
          <w:highlight w:val="none"/>
        </w:rPr>
        <w:t>工程招标文件，遵照《中华人民共和国招标投标法》等有关规定，经踏勘项目现场和研究上述招标文件的投标须知、合同条款、图纸和工程建设标准及其他有关文件后，我方愿以报价</w:t>
      </w:r>
      <w:r>
        <w:rPr>
          <w:rFonts w:hint="eastAsia" w:ascii="宋体" w:hAnsi="宋体"/>
          <w:color w:val="auto"/>
          <w:sz w:val="24"/>
          <w:highlight w:val="none"/>
          <w:lang w:val="en-US" w:eastAsia="zh-CN"/>
        </w:rPr>
        <w:t>折扣率（小数点保留至**.**%）</w:t>
      </w:r>
      <w:r>
        <w:rPr>
          <w:rFonts w:hint="eastAsia" w:hAnsi="宋体"/>
          <w:color w:val="auto"/>
          <w:sz w:val="24"/>
          <w:highlight w:val="none"/>
          <w:u w:val="single"/>
        </w:rPr>
        <w:t xml:space="preserve">          </w:t>
      </w:r>
      <w:r>
        <w:rPr>
          <w:rFonts w:hint="eastAsia" w:hAnsi="宋体"/>
          <w:color w:val="auto"/>
          <w:sz w:val="24"/>
          <w:highlight w:val="none"/>
          <w:u w:val="single"/>
          <w:lang w:val="en-US" w:eastAsia="zh-CN"/>
        </w:rPr>
        <w:t>%</w:t>
      </w:r>
      <w:r>
        <w:rPr>
          <w:rFonts w:hint="eastAsia" w:hAnsi="宋体"/>
          <w:color w:val="auto"/>
          <w:sz w:val="24"/>
          <w:highlight w:val="none"/>
          <w:u w:val="single"/>
        </w:rPr>
        <w:t xml:space="preserve"> </w:t>
      </w:r>
      <w:r>
        <w:rPr>
          <w:rFonts w:hint="eastAsia" w:ascii="宋体" w:hAnsi="宋体"/>
          <w:color w:val="auto"/>
          <w:sz w:val="24"/>
          <w:highlight w:val="none"/>
        </w:rPr>
        <w:t>的投标报价并按</w:t>
      </w:r>
      <w:r>
        <w:rPr>
          <w:rFonts w:hint="eastAsia" w:ascii="宋体" w:hAnsi="宋体"/>
          <w:bCs/>
          <w:color w:val="auto"/>
          <w:sz w:val="24"/>
          <w:highlight w:val="none"/>
        </w:rPr>
        <w:t>图纸、合同条款和工程建设标准的条件要求</w:t>
      </w:r>
      <w:r>
        <w:rPr>
          <w:rFonts w:hint="eastAsia" w:ascii="宋体" w:hAnsi="宋体"/>
          <w:color w:val="auto"/>
          <w:sz w:val="24"/>
          <w:highlight w:val="none"/>
        </w:rPr>
        <w:t>承担</w:t>
      </w:r>
      <w:r>
        <w:rPr>
          <w:rFonts w:hint="eastAsia" w:ascii="宋体" w:hAnsi="宋体"/>
          <w:bCs/>
          <w:color w:val="auto"/>
          <w:sz w:val="24"/>
          <w:highlight w:val="none"/>
        </w:rPr>
        <w:t>上述工程的施工、竣工，并承担任何质量缺陷保修责任。</w:t>
      </w:r>
    </w:p>
    <w:p w14:paraId="13451F09">
      <w:pPr>
        <w:pStyle w:val="15"/>
        <w:adjustRightInd w:val="0"/>
        <w:spacing w:before="48" w:beforeLines="20" w:after="48" w:afterLines="20" w:line="360" w:lineRule="auto"/>
        <w:ind w:left="105" w:leftChars="50" w:firstLine="300" w:firstLineChars="125"/>
        <w:rPr>
          <w:rFonts w:ascii="宋体" w:hAnsi="宋体"/>
          <w:color w:val="auto"/>
          <w:sz w:val="24"/>
          <w:highlight w:val="none"/>
        </w:rPr>
      </w:pPr>
      <w:r>
        <w:rPr>
          <w:rFonts w:hint="eastAsia" w:ascii="宋体" w:hAnsi="宋体"/>
          <w:color w:val="auto"/>
          <w:sz w:val="24"/>
          <w:highlight w:val="none"/>
        </w:rPr>
        <w:t>2.我方已详细阅读和确认全部招标文件及有关附件。如我方中标，我方拟派项目经理为</w:t>
      </w:r>
      <w:r>
        <w:rPr>
          <w:rFonts w:hint="eastAsia" w:ascii="宋体" w:hAnsi="宋体"/>
          <w:color w:val="auto"/>
          <w:sz w:val="24"/>
          <w:highlight w:val="none"/>
          <w:u w:val="single"/>
        </w:rPr>
        <w:t xml:space="preserve">        </w:t>
      </w:r>
      <w:r>
        <w:rPr>
          <w:rFonts w:hint="eastAsia" w:ascii="宋体" w:hAnsi="宋体"/>
          <w:color w:val="auto"/>
          <w:sz w:val="24"/>
          <w:highlight w:val="none"/>
        </w:rPr>
        <w:t>，其项目经理资质为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     </w:t>
      </w:r>
    </w:p>
    <w:p w14:paraId="35FFCA77">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3. 一旦我方中标，我方保证按</w:t>
      </w:r>
      <w:r>
        <w:rPr>
          <w:rFonts w:hint="eastAsia" w:ascii="宋体" w:hAnsi="宋体"/>
          <w:color w:val="auto"/>
          <w:sz w:val="24"/>
          <w:highlight w:val="none"/>
          <w:u w:val="single"/>
        </w:rPr>
        <w:t>　            　</w:t>
      </w:r>
      <w:r>
        <w:rPr>
          <w:rFonts w:hint="eastAsia" w:ascii="宋体" w:hAnsi="宋体"/>
          <w:color w:val="auto"/>
          <w:sz w:val="24"/>
          <w:highlight w:val="none"/>
        </w:rPr>
        <w:t>的工期和招标文件或业主开工令的要求如期开工、竣工并移交整个工程。在施工过程中如发现转包、违法分包行为，我方将承担一切后果和经济责任。如填写错误不符合招标文件的要求，自愿做否决投标处理。</w:t>
      </w:r>
    </w:p>
    <w:p w14:paraId="5FA8B33B">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4.一旦我方中标，我方保证工程质量达到</w:t>
      </w:r>
      <w:r>
        <w:rPr>
          <w:rFonts w:hint="eastAsia" w:ascii="宋体" w:hAnsi="宋体"/>
          <w:color w:val="auto"/>
          <w:sz w:val="24"/>
          <w:highlight w:val="none"/>
          <w:u w:val="single"/>
        </w:rPr>
        <w:t>　　　　　　　　　　　</w:t>
      </w:r>
      <w:r>
        <w:rPr>
          <w:rFonts w:hint="eastAsia" w:ascii="宋体" w:hAnsi="宋体"/>
          <w:color w:val="auto"/>
          <w:sz w:val="24"/>
          <w:highlight w:val="none"/>
        </w:rPr>
        <w:t>标准。</w:t>
      </w:r>
    </w:p>
    <w:p w14:paraId="46DDE02A">
      <w:pPr>
        <w:pStyle w:val="15"/>
        <w:adjustRightInd w:val="0"/>
        <w:snapToGri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5.一旦我方中标，我方保证投标文件中承诺的项目管理班子及施工机械设备到位，并按投标文件中的施工组织设计组织施工。</w:t>
      </w:r>
    </w:p>
    <w:p w14:paraId="69E12EF5">
      <w:pPr>
        <w:pStyle w:val="15"/>
        <w:adjustRightInd w:val="0"/>
        <w:snapToGri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6.一旦我方中标，我方保证用于本工程的主要材料、设备，不低于招标文件规定和投标文件承诺的合格产品，并在使用之前经建设单位确认后使用。</w:t>
      </w:r>
    </w:p>
    <w:p w14:paraId="52E103FD">
      <w:pPr>
        <w:pStyle w:val="15"/>
        <w:adjustRightInd w:val="0"/>
        <w:snapToGri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7.一旦我方中标，我方保证在规定的时间内由我方法定代表人亲自签订合同以及及时进场施工，并认真履行合同和其它各项承诺。</w:t>
      </w:r>
    </w:p>
    <w:p w14:paraId="36A827A1">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8.一旦我方中标，我方保证在规定的时间内按招标文件规定的方式、金额向招标人提交履约担保。</w:t>
      </w:r>
    </w:p>
    <w:p w14:paraId="73B51DC4">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9.我方同意所提交的投标文件在招标文件的投标须知中规定的投标有效期内有效，在此期间内如果中标，我方将受此约束。</w:t>
      </w:r>
    </w:p>
    <w:p w14:paraId="701706BA">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 xml:space="preserve">10.除非另外达成协议并生效，你方的中标通知书和本投标文件以及招标文件、招标文件澄清、修改通知、补充文件将成为约束双方的合同文件的组成部分。 </w:t>
      </w:r>
    </w:p>
    <w:p w14:paraId="6DA5AAE4">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11.如我方中标，我方将按照规定提交上述合同价款（不含暂定价和甲供材）</w:t>
      </w:r>
      <w:r>
        <w:rPr>
          <w:rFonts w:hint="eastAsia" w:ascii="宋体" w:hAnsi="宋体"/>
          <w:color w:val="auto"/>
          <w:sz w:val="24"/>
          <w:highlight w:val="none"/>
          <w:u w:val="single"/>
        </w:rPr>
        <w:t xml:space="preserve">     </w:t>
      </w:r>
      <w:r>
        <w:rPr>
          <w:rFonts w:hint="eastAsia" w:ascii="宋体" w:hAnsi="宋体"/>
          <w:color w:val="auto"/>
          <w:sz w:val="24"/>
          <w:highlight w:val="none"/>
        </w:rPr>
        <w:t>%作为履约保证金。</w:t>
      </w:r>
    </w:p>
    <w:p w14:paraId="46411ED4">
      <w:pPr>
        <w:pStyle w:val="15"/>
        <w:adjustRightInd w:val="0"/>
        <w:spacing w:before="48" w:beforeLines="20" w:after="48" w:afterLines="20" w:line="360" w:lineRule="auto"/>
        <w:ind w:left="0" w:leftChars="0" w:firstLine="422" w:firstLineChars="175"/>
        <w:rPr>
          <w:rFonts w:ascii="宋体" w:hAnsi="宋体"/>
          <w:b/>
          <w:color w:val="auto"/>
          <w:sz w:val="24"/>
          <w:highlight w:val="none"/>
        </w:rPr>
      </w:pPr>
      <w:r>
        <w:rPr>
          <w:rFonts w:hint="eastAsia" w:ascii="宋体" w:hAnsi="宋体"/>
          <w:b/>
          <w:color w:val="auto"/>
          <w:sz w:val="24"/>
          <w:highlight w:val="none"/>
        </w:rPr>
        <w:t>12.招标文件、投标文件及中标通知书将成为约束双方的合同文件的组成部分。</w:t>
      </w:r>
    </w:p>
    <w:p w14:paraId="10291CA2">
      <w:pPr>
        <w:pStyle w:val="15"/>
        <w:adjustRightInd w:val="0"/>
        <w:spacing w:before="48" w:beforeLines="20" w:after="48" w:afterLines="20" w:line="360" w:lineRule="auto"/>
        <w:ind w:left="0" w:leftChars="0" w:firstLine="422" w:firstLineChars="175"/>
        <w:rPr>
          <w:rFonts w:ascii="宋体" w:hAnsi="宋体"/>
          <w:b/>
          <w:color w:val="auto"/>
          <w:sz w:val="24"/>
          <w:highlight w:val="none"/>
        </w:rPr>
      </w:pPr>
      <w:r>
        <w:rPr>
          <w:rFonts w:hint="eastAsia" w:ascii="宋体" w:hAnsi="宋体"/>
          <w:b/>
          <w:color w:val="auto"/>
          <w:sz w:val="24"/>
          <w:highlight w:val="none"/>
        </w:rPr>
        <w:t>13.我方承诺：我方拟派项目经理符合投标须知前附表的规定，否则接受招投标行政主管管理部门依法进行的处罚。</w:t>
      </w:r>
    </w:p>
    <w:p w14:paraId="088F4B7C">
      <w:pPr>
        <w:pStyle w:val="15"/>
        <w:adjustRightInd w:val="0"/>
        <w:spacing w:before="48" w:beforeLines="20" w:after="48" w:afterLines="20" w:line="360" w:lineRule="auto"/>
        <w:ind w:left="0" w:leftChars="0" w:firstLine="420" w:firstLineChars="175"/>
        <w:rPr>
          <w:rFonts w:ascii="宋体" w:hAnsi="宋体"/>
          <w:color w:val="auto"/>
          <w:sz w:val="24"/>
          <w:highlight w:val="none"/>
        </w:rPr>
      </w:pPr>
      <w:r>
        <w:rPr>
          <w:rFonts w:hint="eastAsia" w:ascii="宋体" w:hAnsi="宋体"/>
          <w:color w:val="auto"/>
          <w:sz w:val="24"/>
          <w:highlight w:val="none"/>
        </w:rPr>
        <w:t>14.其他补充说明：</w:t>
      </w:r>
      <w:r>
        <w:rPr>
          <w:rFonts w:hint="eastAsia" w:ascii="宋体" w:hAnsi="宋体"/>
          <w:color w:val="auto"/>
          <w:sz w:val="24"/>
          <w:highlight w:val="none"/>
          <w:u w:val="single"/>
        </w:rPr>
        <w:t xml:space="preserve">             {补充说明事项}         </w:t>
      </w:r>
    </w:p>
    <w:p w14:paraId="423B4349">
      <w:pPr>
        <w:adjustRightInd w:val="0"/>
        <w:spacing w:before="48" w:beforeLines="20" w:after="48" w:afterLines="20" w:line="360" w:lineRule="auto"/>
        <w:rPr>
          <w:rFonts w:ascii="宋体" w:hAnsi="宋体"/>
          <w:color w:val="auto"/>
          <w:sz w:val="24"/>
          <w:highlight w:val="none"/>
        </w:rPr>
      </w:pPr>
    </w:p>
    <w:p w14:paraId="2C02EE6B">
      <w:pPr>
        <w:adjustRightInd w:val="0"/>
        <w:spacing w:before="48" w:beforeLines="20" w:after="48" w:afterLines="20" w:line="360" w:lineRule="auto"/>
        <w:rPr>
          <w:rFonts w:ascii="宋体" w:hAnsi="宋体"/>
          <w:color w:val="auto"/>
          <w:sz w:val="24"/>
          <w:highlight w:val="none"/>
        </w:rPr>
      </w:pPr>
    </w:p>
    <w:p w14:paraId="457BFE57">
      <w:pPr>
        <w:adjustRightInd w:val="0"/>
        <w:spacing w:before="48" w:beforeLines="20" w:after="48" w:afterLines="20" w:line="360" w:lineRule="auto"/>
        <w:rPr>
          <w:rFonts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名称   （盖章）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6A2C95A">
      <w:pPr>
        <w:pStyle w:val="17"/>
        <w:adjustRightInd w:val="0"/>
        <w:spacing w:before="48" w:beforeLines="20" w:after="48" w:afterLines="20" w:line="360" w:lineRule="auto"/>
        <w:ind w:left="121" w:leftChars="11" w:hanging="98" w:hangingChars="41"/>
        <w:rPr>
          <w:rFonts w:ascii="宋体" w:hAnsi="宋体"/>
          <w:color w:val="auto"/>
          <w:sz w:val="24"/>
          <w:highlight w:val="none"/>
          <w:u w:val="single"/>
        </w:rPr>
      </w:pPr>
      <w:r>
        <w:rPr>
          <w:rFonts w:hint="eastAsia" w:ascii="宋体" w:hAnsi="宋体"/>
          <w:color w:val="auto"/>
          <w:sz w:val="24"/>
          <w:highlight w:val="none"/>
        </w:rPr>
        <w:t>单位地址：</w:t>
      </w:r>
      <w:r>
        <w:rPr>
          <w:rFonts w:hint="eastAsia" w:ascii="宋体" w:hAnsi="宋体"/>
          <w:color w:val="auto"/>
          <w:sz w:val="24"/>
          <w:highlight w:val="none"/>
        </w:rPr>
        <w:tab/>
      </w:r>
      <w:r>
        <w:rPr>
          <w:rFonts w:hint="eastAsia" w:ascii="宋体" w:hAnsi="宋体"/>
          <w:color w:val="auto"/>
          <w:sz w:val="24"/>
          <w:highlight w:val="none"/>
          <w:u w:val="single"/>
        </w:rPr>
        <w:t xml:space="preserve">                                                    </w:t>
      </w:r>
    </w:p>
    <w:p w14:paraId="1E4F9782">
      <w:pPr>
        <w:adjustRightInd w:val="0"/>
        <w:spacing w:before="48" w:beforeLines="20" w:after="48" w:afterLines="20" w:line="360" w:lineRule="auto"/>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（签字或盖章） </w:t>
      </w:r>
    </w:p>
    <w:p w14:paraId="4416AB6F">
      <w:pPr>
        <w:adjustRightInd w:val="0"/>
        <w:spacing w:before="48" w:beforeLines="20" w:after="48" w:afterLines="20" w:line="360" w:lineRule="auto"/>
        <w:rPr>
          <w:rFonts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电话：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 xml:space="preserve"> 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AE7AA10">
      <w:pPr>
        <w:adjustRightInd w:val="0"/>
        <w:spacing w:before="48" w:beforeLines="20" w:after="48" w:afterLines="20" w:line="360" w:lineRule="auto"/>
        <w:rPr>
          <w:rFonts w:ascii="宋体" w:hAnsi="宋体"/>
          <w:color w:val="auto"/>
          <w:sz w:val="24"/>
          <w:highlight w:val="none"/>
        </w:rPr>
      </w:pPr>
      <w:r>
        <w:rPr>
          <w:rFonts w:hint="eastAsia" w:ascii="宋体" w:hAnsi="宋体"/>
          <w:color w:val="auto"/>
          <w:sz w:val="24"/>
          <w:highlight w:val="none"/>
        </w:rPr>
        <w:t>开户银行名称：</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rPr>
        <w:t>开户银行账号：</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p>
    <w:p w14:paraId="2B318D45">
      <w:pPr>
        <w:adjustRightInd w:val="0"/>
        <w:spacing w:before="48" w:beforeLines="20" w:after="48" w:afterLines="20" w:line="360" w:lineRule="auto"/>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EE3F603">
      <w:pPr>
        <w:pStyle w:val="4"/>
        <w:keepNext w:val="0"/>
        <w:keepLines w:val="0"/>
        <w:tabs>
          <w:tab w:val="left" w:pos="432"/>
        </w:tabs>
        <w:spacing w:line="360" w:lineRule="auto"/>
        <w:ind w:left="432"/>
        <w:rPr>
          <w:rFonts w:ascii="宋体" w:hAnsi="宋体"/>
          <w:b w:val="0"/>
          <w:color w:val="auto"/>
          <w:sz w:val="30"/>
          <w:szCs w:val="30"/>
          <w:highlight w:val="none"/>
        </w:rPr>
      </w:pPr>
    </w:p>
    <w:p w14:paraId="29FFCE42">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45C12267">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5B31D9E2">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29BE998E">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0949DD7A">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7B638F0E">
      <w:pPr>
        <w:numPr>
          <w:ilvl w:val="0"/>
          <w:numId w:val="6"/>
        </w:numPr>
        <w:adjustRightInd w:val="0"/>
        <w:spacing w:before="48" w:beforeLines="20" w:after="48" w:afterLines="20" w:line="360" w:lineRule="auto"/>
        <w:jc w:val="center"/>
        <w:rPr>
          <w:rFonts w:ascii="宋体" w:hAnsi="宋体" w:cs="仿宋_GB2312"/>
          <w:b/>
          <w:bCs/>
          <w:color w:val="auto"/>
          <w:sz w:val="28"/>
          <w:szCs w:val="28"/>
          <w:highlight w:val="none"/>
        </w:rPr>
      </w:pPr>
    </w:p>
    <w:p w14:paraId="4FD1E687">
      <w:pPr>
        <w:tabs>
          <w:tab w:val="left" w:pos="432"/>
        </w:tabs>
        <w:adjustRightInd w:val="0"/>
        <w:spacing w:before="48" w:beforeLines="20" w:after="48" w:afterLines="20" w:line="360" w:lineRule="auto"/>
        <w:jc w:val="center"/>
        <w:rPr>
          <w:rFonts w:ascii="宋体" w:hAnsi="宋体" w:cs="仿宋_GB2312"/>
          <w:b/>
          <w:bCs/>
          <w:color w:val="auto"/>
          <w:sz w:val="28"/>
          <w:szCs w:val="28"/>
          <w:highlight w:val="none"/>
        </w:rPr>
      </w:pPr>
    </w:p>
    <w:p w14:paraId="02EF84FC">
      <w:pPr>
        <w:pStyle w:val="2"/>
        <w:ind w:firstLine="562"/>
        <w:rPr>
          <w:rFonts w:hint="default" w:ascii="宋体" w:hAnsi="宋体" w:cs="仿宋_GB2312"/>
          <w:b/>
          <w:bCs/>
          <w:color w:val="auto"/>
          <w:sz w:val="28"/>
          <w:szCs w:val="28"/>
          <w:highlight w:val="none"/>
        </w:rPr>
      </w:pPr>
    </w:p>
    <w:p w14:paraId="200569BF">
      <w:pPr>
        <w:rPr>
          <w:rFonts w:ascii="宋体" w:hAnsi="宋体" w:cs="仿宋_GB2312"/>
          <w:b/>
          <w:bCs/>
          <w:color w:val="auto"/>
          <w:sz w:val="28"/>
          <w:szCs w:val="28"/>
          <w:highlight w:val="none"/>
        </w:rPr>
      </w:pPr>
    </w:p>
    <w:p w14:paraId="5BCC22CC">
      <w:pPr>
        <w:rPr>
          <w:rFonts w:ascii="宋体" w:hAnsi="宋体" w:cs="仿宋_GB2312"/>
          <w:b/>
          <w:bCs/>
          <w:color w:val="auto"/>
          <w:sz w:val="28"/>
          <w:szCs w:val="28"/>
          <w:highlight w:val="none"/>
        </w:rPr>
      </w:pPr>
    </w:p>
    <w:p w14:paraId="0F9E41A7">
      <w:pPr>
        <w:pStyle w:val="47"/>
        <w:rPr>
          <w:color w:val="auto"/>
          <w:highlight w:val="none"/>
        </w:rPr>
      </w:pPr>
    </w:p>
    <w:p w14:paraId="3A218D5A">
      <w:pPr>
        <w:rPr>
          <w:rFonts w:ascii="宋体" w:hAnsi="宋体" w:cs="仿宋_GB2312"/>
          <w:b/>
          <w:bCs/>
          <w:color w:val="auto"/>
          <w:sz w:val="28"/>
          <w:szCs w:val="28"/>
          <w:highlight w:val="none"/>
        </w:rPr>
      </w:pPr>
    </w:p>
    <w:p w14:paraId="414CAF39">
      <w:pPr>
        <w:rPr>
          <w:rFonts w:ascii="宋体" w:hAnsi="宋体" w:cs="仿宋_GB2312"/>
          <w:b/>
          <w:bCs/>
          <w:color w:val="auto"/>
          <w:sz w:val="28"/>
          <w:szCs w:val="28"/>
          <w:highlight w:val="none"/>
        </w:rPr>
      </w:pPr>
    </w:p>
    <w:p w14:paraId="3E0AE666">
      <w:pPr>
        <w:rPr>
          <w:rFonts w:ascii="宋体" w:hAnsi="宋体" w:cs="仿宋_GB2312"/>
          <w:b/>
          <w:bCs/>
          <w:color w:val="auto"/>
          <w:sz w:val="28"/>
          <w:szCs w:val="28"/>
          <w:highlight w:val="none"/>
        </w:rPr>
      </w:pPr>
    </w:p>
    <w:p w14:paraId="5CF777AC">
      <w:pPr>
        <w:spacing w:line="400" w:lineRule="exact"/>
        <w:jc w:val="center"/>
        <w:rPr>
          <w:rFonts w:ascii="宋体" w:hAnsi="宋体" w:cs="宋体"/>
          <w:b/>
          <w:color w:val="auto"/>
          <w:sz w:val="32"/>
          <w:szCs w:val="32"/>
          <w:highlight w:val="none"/>
        </w:rPr>
      </w:pPr>
      <w:r>
        <w:rPr>
          <w:rFonts w:hint="eastAsia" w:ascii="宋体" w:hAnsi="宋体" w:cs="宋体"/>
          <w:b/>
          <w:color w:val="auto"/>
          <w:sz w:val="28"/>
          <w:szCs w:val="28"/>
          <w:highlight w:val="none"/>
        </w:rPr>
        <w:t>（2）</w:t>
      </w:r>
      <w:r>
        <w:rPr>
          <w:rFonts w:hint="eastAsia" w:ascii="宋体" w:hAnsi="宋体" w:cs="宋体"/>
          <w:b/>
          <w:color w:val="auto"/>
          <w:sz w:val="32"/>
          <w:szCs w:val="32"/>
          <w:highlight w:val="none"/>
        </w:rPr>
        <w:t>报价表</w:t>
      </w:r>
    </w:p>
    <w:p w14:paraId="6BBB5585">
      <w:pPr>
        <w:spacing w:line="400" w:lineRule="exact"/>
        <w:rPr>
          <w:rFonts w:ascii="宋体" w:hAnsi="宋体" w:cs="宋体"/>
          <w:color w:val="auto"/>
          <w:szCs w:val="21"/>
          <w:highlight w:val="none"/>
        </w:rPr>
      </w:pPr>
    </w:p>
    <w:p w14:paraId="39EFFED5">
      <w:pPr>
        <w:spacing w:line="400" w:lineRule="exact"/>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工程编号：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38"/>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3611"/>
        <w:gridCol w:w="2009"/>
        <w:gridCol w:w="1883"/>
        <w:gridCol w:w="1720"/>
      </w:tblGrid>
      <w:tr w14:paraId="1341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522" w:type="dxa"/>
            <w:vAlign w:val="center"/>
          </w:tcPr>
          <w:p w14:paraId="53B3C79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611" w:type="dxa"/>
            <w:vAlign w:val="center"/>
          </w:tcPr>
          <w:p w14:paraId="1CBB76E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报价类别</w:t>
            </w:r>
          </w:p>
        </w:tc>
        <w:tc>
          <w:tcPr>
            <w:tcW w:w="2009" w:type="dxa"/>
            <w:vAlign w:val="center"/>
          </w:tcPr>
          <w:p w14:paraId="3F9661F5">
            <w:pPr>
              <w:spacing w:line="4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最高投标限价</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tc>
        <w:tc>
          <w:tcPr>
            <w:tcW w:w="1883" w:type="dxa"/>
            <w:vAlign w:val="center"/>
          </w:tcPr>
          <w:p w14:paraId="79BA3BB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报价</w:t>
            </w:r>
            <w:r>
              <w:rPr>
                <w:rFonts w:hint="eastAsia" w:ascii="宋体" w:hAnsi="宋体" w:cs="宋体"/>
                <w:color w:val="auto"/>
                <w:szCs w:val="21"/>
                <w:highlight w:val="none"/>
                <w:lang w:val="en-US" w:eastAsia="zh-CN"/>
              </w:rPr>
              <w:t>折扣率（小数点保留至**.**%）</w:t>
            </w:r>
          </w:p>
        </w:tc>
        <w:tc>
          <w:tcPr>
            <w:tcW w:w="1720" w:type="dxa"/>
            <w:vAlign w:val="center"/>
          </w:tcPr>
          <w:p w14:paraId="0ABB61F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6AA8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522" w:type="dxa"/>
            <w:vAlign w:val="center"/>
          </w:tcPr>
          <w:p w14:paraId="7FD076F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611" w:type="dxa"/>
            <w:vAlign w:val="center"/>
          </w:tcPr>
          <w:p w14:paraId="701A6876">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铜陵狮子山高新区2026年度10KV及以下配电工程</w:t>
            </w:r>
          </w:p>
        </w:tc>
        <w:tc>
          <w:tcPr>
            <w:tcW w:w="2009" w:type="dxa"/>
            <w:vAlign w:val="center"/>
          </w:tcPr>
          <w:p w14:paraId="70F7AE5C">
            <w:pPr>
              <w:spacing w:line="400" w:lineRule="exact"/>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100%</w:t>
            </w:r>
          </w:p>
        </w:tc>
        <w:tc>
          <w:tcPr>
            <w:tcW w:w="1883" w:type="dxa"/>
            <w:vAlign w:val="center"/>
          </w:tcPr>
          <w:p w14:paraId="08190D67">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w:t>
            </w:r>
          </w:p>
        </w:tc>
        <w:tc>
          <w:tcPr>
            <w:tcW w:w="1720" w:type="dxa"/>
            <w:vAlign w:val="center"/>
          </w:tcPr>
          <w:p w14:paraId="3FA87336">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报价为折扣率。例如报价90.00%，即</w:t>
            </w:r>
            <w:r>
              <w:rPr>
                <w:rFonts w:hint="eastAsia" w:hAnsi="宋体" w:cs="宋体"/>
                <w:b/>
                <w:bCs/>
                <w:color w:val="auto"/>
                <w:kern w:val="2"/>
                <w:sz w:val="21"/>
                <w:szCs w:val="21"/>
                <w:highlight w:val="none"/>
              </w:rPr>
              <w:t>所有工程按</w:t>
            </w:r>
            <w:r>
              <w:rPr>
                <w:rFonts w:hint="eastAsia" w:hAnsi="宋体" w:cs="宋体"/>
                <w:b/>
                <w:bCs/>
                <w:color w:val="auto"/>
                <w:kern w:val="2"/>
                <w:sz w:val="21"/>
                <w:szCs w:val="21"/>
                <w:highlight w:val="none"/>
                <w:lang w:val="en-US" w:eastAsia="zh-CN"/>
              </w:rPr>
              <w:t>规定</w:t>
            </w:r>
            <w:r>
              <w:rPr>
                <w:rFonts w:hint="eastAsia" w:hAnsi="宋体" w:cs="宋体"/>
                <w:b/>
                <w:bCs/>
                <w:color w:val="auto"/>
                <w:kern w:val="2"/>
                <w:sz w:val="21"/>
                <w:szCs w:val="21"/>
                <w:highlight w:val="none"/>
              </w:rPr>
              <w:t>计价取费标准计价后，按工程总造价</w:t>
            </w:r>
            <w:r>
              <w:rPr>
                <w:rFonts w:hint="eastAsia" w:hAnsi="宋体" w:cs="宋体"/>
                <w:b/>
                <w:bCs/>
                <w:color w:val="auto"/>
                <w:kern w:val="2"/>
                <w:sz w:val="21"/>
                <w:szCs w:val="21"/>
                <w:highlight w:val="none"/>
                <w:lang w:val="en-US" w:eastAsia="zh-CN"/>
              </w:rPr>
              <w:t>*</w:t>
            </w:r>
            <w:r>
              <w:rPr>
                <w:rFonts w:hint="eastAsia" w:hAnsi="宋体" w:cs="宋体"/>
                <w:b/>
                <w:bCs/>
                <w:color w:val="auto"/>
                <w:szCs w:val="24"/>
                <w:highlight w:val="none"/>
                <w:u w:val="none"/>
              </w:rPr>
              <w:t xml:space="preserve"> </w:t>
            </w:r>
            <w:r>
              <w:rPr>
                <w:rFonts w:hint="eastAsia" w:hAnsi="宋体" w:cs="宋体"/>
                <w:b/>
                <w:bCs/>
                <w:color w:val="auto"/>
                <w:szCs w:val="24"/>
                <w:highlight w:val="none"/>
                <w:u w:val="none"/>
                <w:lang w:val="en-US" w:eastAsia="zh-CN"/>
              </w:rPr>
              <w:t>90.00</w:t>
            </w:r>
            <w:r>
              <w:rPr>
                <w:rFonts w:hint="eastAsia" w:hAnsi="宋体" w:cs="宋体"/>
                <w:b/>
                <w:bCs/>
                <w:color w:val="auto"/>
                <w:kern w:val="2"/>
                <w:sz w:val="21"/>
                <w:szCs w:val="21"/>
                <w:highlight w:val="none"/>
                <w:u w:val="none"/>
              </w:rPr>
              <w:t>%</w:t>
            </w:r>
            <w:r>
              <w:rPr>
                <w:rFonts w:hint="eastAsia" w:hAnsi="宋体" w:cs="宋体"/>
                <w:b/>
                <w:bCs/>
                <w:color w:val="auto"/>
                <w:kern w:val="2"/>
                <w:sz w:val="21"/>
                <w:szCs w:val="21"/>
                <w:highlight w:val="none"/>
              </w:rPr>
              <w:t>作为工程结算价</w:t>
            </w:r>
            <w:r>
              <w:rPr>
                <w:rFonts w:hint="eastAsia" w:hAnsi="宋体" w:cs="宋体"/>
                <w:b/>
                <w:bCs/>
                <w:color w:val="auto"/>
                <w:kern w:val="2"/>
                <w:sz w:val="21"/>
                <w:szCs w:val="21"/>
                <w:highlight w:val="none"/>
                <w:lang w:eastAsia="zh-CN"/>
              </w:rPr>
              <w:t>。</w:t>
            </w:r>
          </w:p>
        </w:tc>
      </w:tr>
    </w:tbl>
    <w:p w14:paraId="07367CFD">
      <w:pPr>
        <w:spacing w:line="600" w:lineRule="exact"/>
        <w:rPr>
          <w:rFonts w:hint="eastAsia" w:ascii="宋体" w:hAnsi="宋体" w:eastAsia="宋体" w:cs="宋体"/>
          <w:color w:val="auto"/>
          <w:szCs w:val="21"/>
          <w:highlight w:val="none"/>
          <w:lang w:val="en-US" w:eastAsia="zh-CN"/>
        </w:rPr>
      </w:pPr>
    </w:p>
    <w:p w14:paraId="2E2A8EEA">
      <w:pPr>
        <w:pStyle w:val="5"/>
        <w:rPr>
          <w:rFonts w:ascii="宋体" w:hAnsi="宋体" w:eastAsia="宋体" w:cs="宋体"/>
          <w:color w:val="auto"/>
          <w:sz w:val="21"/>
          <w:szCs w:val="21"/>
          <w:highlight w:val="none"/>
        </w:rPr>
      </w:pPr>
    </w:p>
    <w:p w14:paraId="6285118C">
      <w:pPr>
        <w:rPr>
          <w:rFonts w:ascii="宋体" w:hAnsi="宋体" w:cs="宋体"/>
          <w:color w:val="auto"/>
          <w:szCs w:val="21"/>
          <w:highlight w:val="none"/>
        </w:rPr>
      </w:pPr>
    </w:p>
    <w:p w14:paraId="0ECC3F55">
      <w:pPr>
        <w:spacing w:line="400" w:lineRule="exact"/>
        <w:rPr>
          <w:rFonts w:ascii="宋体" w:hAnsi="宋体" w:cs="宋体"/>
          <w:color w:val="auto"/>
          <w:szCs w:val="21"/>
          <w:highlight w:val="none"/>
        </w:rPr>
      </w:pPr>
      <w:r>
        <w:rPr>
          <w:rFonts w:hint="eastAsia" w:ascii="宋体" w:hAnsi="宋体" w:cs="宋体"/>
          <w:color w:val="auto"/>
          <w:szCs w:val="21"/>
          <w:highlight w:val="none"/>
        </w:rPr>
        <w:t>投标人（盖章）：</w:t>
      </w:r>
    </w:p>
    <w:p w14:paraId="243EB6FC">
      <w:pPr>
        <w:spacing w:line="232" w:lineRule="auto"/>
        <w:rPr>
          <w:rFonts w:ascii="宋体" w:hAnsi="宋体" w:cs="宋体"/>
          <w:b/>
          <w:color w:val="auto"/>
          <w:spacing w:val="-2"/>
          <w:sz w:val="32"/>
          <w:highlight w:val="none"/>
        </w:rPr>
      </w:pPr>
      <w:r>
        <w:rPr>
          <w:rFonts w:hint="eastAsia" w:ascii="宋体" w:hAnsi="宋体" w:cs="宋体"/>
          <w:color w:val="auto"/>
          <w:szCs w:val="21"/>
          <w:highlight w:val="none"/>
        </w:rPr>
        <w:t>法定代表人或其委托代理人（签字或签章）：年    月    日</w:t>
      </w:r>
    </w:p>
    <w:sectPr>
      <w:headerReference r:id="rId4" w:type="default"/>
      <w:footerReference r:id="rId5" w:type="default"/>
      <w:pgSz w:w="11907" w:h="16840"/>
      <w:pgMar w:top="1247" w:right="1247" w:bottom="1247" w:left="1247" w:header="801" w:footer="1134" w:gutter="0"/>
      <w:cols w:space="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0000000000000000000"/>
    <w:charset w:val="86"/>
    <w:family w:val="auto"/>
    <w:pitch w:val="default"/>
    <w:sig w:usb0="00000000" w:usb1="00000000" w:usb2="00000000" w:usb3="00000000" w:csb0="0004009F" w:csb1="DFD70000"/>
    <w:embedRegular r:id="rId1" w:fontKey="{3D8EFF82-C674-49D6-8603-C61F0682A2DF}"/>
  </w:font>
  <w:font w:name="仿宋">
    <w:panose1 w:val="02010609060101010101"/>
    <w:charset w:val="86"/>
    <w:family w:val="modern"/>
    <w:pitch w:val="default"/>
    <w:sig w:usb0="800002BF" w:usb1="38CF7CFA" w:usb2="00000016" w:usb3="00000000" w:csb0="00040001" w:csb1="00000000"/>
    <w:embedRegular r:id="rId2" w:fontKey="{FBE6E9F1-DFEB-4AC5-8E6A-8780B9F84689}"/>
  </w:font>
  <w:font w:name="仿宋_GB2312">
    <w:panose1 w:val="02010609030101010101"/>
    <w:charset w:val="86"/>
    <w:family w:val="modern"/>
    <w:pitch w:val="default"/>
    <w:sig w:usb0="00000001" w:usb1="080E0000" w:usb2="00000000" w:usb3="00000000" w:csb0="00040000" w:csb1="00000000"/>
    <w:embedRegular r:id="rId3" w:fontKey="{87E7E0BA-B473-461F-B5DC-A7846A8BC47F}"/>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6A8B">
    <w:pPr>
      <w:pStyle w:val="24"/>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A8AFC">
                          <w:pPr>
                            <w:pStyle w:val="2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CEA8AFC">
                    <w:pPr>
                      <w:pStyle w:val="2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8881F">
    <w:pPr>
      <w:pStyle w:val="14"/>
      <w:spacing w:line="14" w:lineRule="auto"/>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FEABA">
                          <w:pPr>
                            <w:pStyle w:val="2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FFEABA">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3B3D7">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0474D"/>
    <w:multiLevelType w:val="singleLevel"/>
    <w:tmpl w:val="A730474D"/>
    <w:lvl w:ilvl="0" w:tentative="0">
      <w:start w:val="3"/>
      <w:numFmt w:val="decimal"/>
      <w:lvlText w:val="%1."/>
      <w:lvlJc w:val="left"/>
      <w:pPr>
        <w:tabs>
          <w:tab w:val="left" w:pos="312"/>
        </w:tabs>
      </w:pPr>
    </w:lvl>
  </w:abstractNum>
  <w:abstractNum w:abstractNumId="1">
    <w:nsid w:val="00000005"/>
    <w:multiLevelType w:val="multilevel"/>
    <w:tmpl w:val="00000005"/>
    <w:lvl w:ilvl="0" w:tentative="0">
      <w:start w:val="1"/>
      <w:numFmt w:val="japaneseCounting"/>
      <w:pStyle w:val="508"/>
      <w:lvlText w:val="第%1章"/>
      <w:lvlJc w:val="left"/>
      <w:pPr>
        <w:tabs>
          <w:tab w:val="left" w:pos="4860"/>
        </w:tabs>
        <w:ind w:left="4860" w:hanging="1080"/>
        <w:textAlignment w:val="baseline"/>
      </w:pPr>
    </w:lvl>
    <w:lvl w:ilvl="1" w:tentative="0">
      <w:start w:val="1"/>
      <w:numFmt w:val="japaneseCounting"/>
      <w:lvlText w:val="%1、"/>
      <w:lvlJc w:val="left"/>
      <w:pPr>
        <w:tabs>
          <w:tab w:val="left" w:pos="4920"/>
        </w:tabs>
        <w:ind w:left="4920" w:hanging="720"/>
        <w:textAlignment w:val="baseline"/>
      </w:pPr>
    </w:lvl>
    <w:lvl w:ilvl="2" w:tentative="0">
      <w:start w:val="1"/>
      <w:numFmt w:val="lowerRoman"/>
      <w:lvlText w:val="%1."/>
      <w:lvlJc w:val="right"/>
      <w:pPr>
        <w:tabs>
          <w:tab w:val="left" w:pos="5040"/>
        </w:tabs>
        <w:ind w:left="5040" w:hanging="420"/>
        <w:textAlignment w:val="baseline"/>
      </w:pPr>
    </w:lvl>
    <w:lvl w:ilvl="3" w:tentative="0">
      <w:start w:val="1"/>
      <w:numFmt w:val="decimal"/>
      <w:lvlText w:val="%1."/>
      <w:lvlJc w:val="left"/>
      <w:pPr>
        <w:tabs>
          <w:tab w:val="left" w:pos="5460"/>
        </w:tabs>
        <w:ind w:left="5460" w:hanging="420"/>
        <w:textAlignment w:val="baseline"/>
      </w:pPr>
    </w:lvl>
    <w:lvl w:ilvl="4" w:tentative="0">
      <w:start w:val="1"/>
      <w:numFmt w:val="lowerLetter"/>
      <w:lvlText w:val="%1)"/>
      <w:lvlJc w:val="left"/>
      <w:pPr>
        <w:tabs>
          <w:tab w:val="left" w:pos="5880"/>
        </w:tabs>
        <w:ind w:left="5880" w:hanging="420"/>
        <w:textAlignment w:val="baseline"/>
      </w:pPr>
    </w:lvl>
    <w:lvl w:ilvl="5" w:tentative="0">
      <w:start w:val="1"/>
      <w:numFmt w:val="lowerRoman"/>
      <w:lvlText w:val="%1."/>
      <w:lvlJc w:val="right"/>
      <w:pPr>
        <w:tabs>
          <w:tab w:val="left" w:pos="6300"/>
        </w:tabs>
        <w:ind w:left="6300" w:hanging="420"/>
        <w:textAlignment w:val="baseline"/>
      </w:pPr>
    </w:lvl>
    <w:lvl w:ilvl="6" w:tentative="0">
      <w:start w:val="1"/>
      <w:numFmt w:val="decimal"/>
      <w:lvlText w:val="%1."/>
      <w:lvlJc w:val="left"/>
      <w:pPr>
        <w:tabs>
          <w:tab w:val="left" w:pos="6720"/>
        </w:tabs>
        <w:ind w:left="6720" w:hanging="420"/>
        <w:textAlignment w:val="baseline"/>
      </w:pPr>
    </w:lvl>
    <w:lvl w:ilvl="7" w:tentative="0">
      <w:start w:val="1"/>
      <w:numFmt w:val="lowerLetter"/>
      <w:lvlText w:val="%1)"/>
      <w:lvlJc w:val="left"/>
      <w:pPr>
        <w:tabs>
          <w:tab w:val="left" w:pos="7140"/>
        </w:tabs>
        <w:ind w:left="7140" w:hanging="420"/>
        <w:textAlignment w:val="baseline"/>
      </w:pPr>
    </w:lvl>
    <w:lvl w:ilvl="8" w:tentative="0">
      <w:start w:val="1"/>
      <w:numFmt w:val="lowerRoman"/>
      <w:lvlText w:val="%1."/>
      <w:lvlJc w:val="right"/>
      <w:pPr>
        <w:tabs>
          <w:tab w:val="left" w:pos="7560"/>
        </w:tabs>
        <w:ind w:left="7560" w:hanging="420"/>
        <w:textAlignment w:val="baseline"/>
      </w:pPr>
    </w:lvl>
  </w:abstractNum>
  <w:abstractNum w:abstractNumId="2">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B014CAB"/>
    <w:multiLevelType w:val="singleLevel"/>
    <w:tmpl w:val="0B014CAB"/>
    <w:lvl w:ilvl="0" w:tentative="0">
      <w:start w:val="3"/>
      <w:numFmt w:val="chineseCounting"/>
      <w:suff w:val="space"/>
      <w:lvlText w:val="第%1部分"/>
      <w:lvlJc w:val="left"/>
      <w:rPr>
        <w:rFonts w:hint="eastAsia"/>
      </w:rPr>
    </w:lvl>
  </w:abstractNum>
  <w:abstractNum w:abstractNumId="4">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6AEF0762"/>
    <w:multiLevelType w:val="singleLevel"/>
    <w:tmpl w:val="6AEF0762"/>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YmZiNjM1ZjJhZmNhMTM1MDBiYzc1MzEwNGQ4NjUifQ=="/>
  </w:docVars>
  <w:rsids>
    <w:rsidRoot w:val="7B9E40FA"/>
    <w:rsid w:val="00013654"/>
    <w:rsid w:val="001A3992"/>
    <w:rsid w:val="001B38E9"/>
    <w:rsid w:val="00233D8E"/>
    <w:rsid w:val="002610D4"/>
    <w:rsid w:val="00344E0C"/>
    <w:rsid w:val="00375B69"/>
    <w:rsid w:val="008B3B23"/>
    <w:rsid w:val="008D3789"/>
    <w:rsid w:val="00914E18"/>
    <w:rsid w:val="009515EE"/>
    <w:rsid w:val="009F579F"/>
    <w:rsid w:val="00A25C5E"/>
    <w:rsid w:val="00AE1EFE"/>
    <w:rsid w:val="00BE7A0E"/>
    <w:rsid w:val="00C20B7B"/>
    <w:rsid w:val="00CB08F5"/>
    <w:rsid w:val="00D376F4"/>
    <w:rsid w:val="00ED1E2A"/>
    <w:rsid w:val="00F378BC"/>
    <w:rsid w:val="018A54DA"/>
    <w:rsid w:val="01BF422E"/>
    <w:rsid w:val="020253C2"/>
    <w:rsid w:val="02064755"/>
    <w:rsid w:val="02763F89"/>
    <w:rsid w:val="03A90784"/>
    <w:rsid w:val="03AA2492"/>
    <w:rsid w:val="03C313F5"/>
    <w:rsid w:val="03C40ABE"/>
    <w:rsid w:val="03E17A95"/>
    <w:rsid w:val="03FC60B0"/>
    <w:rsid w:val="041A027E"/>
    <w:rsid w:val="05385085"/>
    <w:rsid w:val="05497169"/>
    <w:rsid w:val="05F72E03"/>
    <w:rsid w:val="06007F0A"/>
    <w:rsid w:val="0687062B"/>
    <w:rsid w:val="0694639B"/>
    <w:rsid w:val="06F15AA5"/>
    <w:rsid w:val="070068D5"/>
    <w:rsid w:val="07490B72"/>
    <w:rsid w:val="0764271A"/>
    <w:rsid w:val="08346591"/>
    <w:rsid w:val="086E1CC1"/>
    <w:rsid w:val="08B07626"/>
    <w:rsid w:val="08C53472"/>
    <w:rsid w:val="08D93C76"/>
    <w:rsid w:val="09181DDE"/>
    <w:rsid w:val="093B4AF9"/>
    <w:rsid w:val="094E72FB"/>
    <w:rsid w:val="09664528"/>
    <w:rsid w:val="09D771D4"/>
    <w:rsid w:val="0A5B7FA0"/>
    <w:rsid w:val="0A7001F4"/>
    <w:rsid w:val="0B666FF2"/>
    <w:rsid w:val="0BF80706"/>
    <w:rsid w:val="0D093B48"/>
    <w:rsid w:val="0D7E6A92"/>
    <w:rsid w:val="0DA5698B"/>
    <w:rsid w:val="0E1E499D"/>
    <w:rsid w:val="0E28663F"/>
    <w:rsid w:val="0E2B3F92"/>
    <w:rsid w:val="0E76701F"/>
    <w:rsid w:val="0EBA49EB"/>
    <w:rsid w:val="0F67484E"/>
    <w:rsid w:val="10134CDE"/>
    <w:rsid w:val="104A7870"/>
    <w:rsid w:val="104D5A70"/>
    <w:rsid w:val="10537788"/>
    <w:rsid w:val="11B76268"/>
    <w:rsid w:val="11E84248"/>
    <w:rsid w:val="120C171E"/>
    <w:rsid w:val="120D6537"/>
    <w:rsid w:val="12A54313"/>
    <w:rsid w:val="133C6055"/>
    <w:rsid w:val="13407578"/>
    <w:rsid w:val="13564086"/>
    <w:rsid w:val="1360648C"/>
    <w:rsid w:val="13774E63"/>
    <w:rsid w:val="13786FAD"/>
    <w:rsid w:val="13B567D8"/>
    <w:rsid w:val="1475596D"/>
    <w:rsid w:val="14B65343"/>
    <w:rsid w:val="14BB709F"/>
    <w:rsid w:val="14CE625F"/>
    <w:rsid w:val="14D97C07"/>
    <w:rsid w:val="15137D43"/>
    <w:rsid w:val="164200CB"/>
    <w:rsid w:val="165775FB"/>
    <w:rsid w:val="166157E6"/>
    <w:rsid w:val="174A0834"/>
    <w:rsid w:val="18213EAA"/>
    <w:rsid w:val="1843075D"/>
    <w:rsid w:val="18C81172"/>
    <w:rsid w:val="190B0C48"/>
    <w:rsid w:val="191915B7"/>
    <w:rsid w:val="195720DF"/>
    <w:rsid w:val="1965129C"/>
    <w:rsid w:val="19963FF1"/>
    <w:rsid w:val="199D3F96"/>
    <w:rsid w:val="1A01291C"/>
    <w:rsid w:val="1B310BD4"/>
    <w:rsid w:val="1B5026ED"/>
    <w:rsid w:val="1D091930"/>
    <w:rsid w:val="1DF93765"/>
    <w:rsid w:val="1E1007AF"/>
    <w:rsid w:val="1E4A2212"/>
    <w:rsid w:val="1EE612AF"/>
    <w:rsid w:val="1EEB7551"/>
    <w:rsid w:val="1F064FCF"/>
    <w:rsid w:val="1F5F0E8B"/>
    <w:rsid w:val="1FC558BA"/>
    <w:rsid w:val="1FC7052F"/>
    <w:rsid w:val="1FF266BE"/>
    <w:rsid w:val="20615203"/>
    <w:rsid w:val="20CA3406"/>
    <w:rsid w:val="219700D7"/>
    <w:rsid w:val="220E5821"/>
    <w:rsid w:val="2289364E"/>
    <w:rsid w:val="2357602F"/>
    <w:rsid w:val="23A21B04"/>
    <w:rsid w:val="24FD6C05"/>
    <w:rsid w:val="254F010E"/>
    <w:rsid w:val="25E92311"/>
    <w:rsid w:val="26B8286D"/>
    <w:rsid w:val="26DA0F79"/>
    <w:rsid w:val="271E4041"/>
    <w:rsid w:val="27D0344F"/>
    <w:rsid w:val="29132A5B"/>
    <w:rsid w:val="293737EB"/>
    <w:rsid w:val="29560B84"/>
    <w:rsid w:val="29881CAF"/>
    <w:rsid w:val="29BB6DAB"/>
    <w:rsid w:val="29BC1A9B"/>
    <w:rsid w:val="29EF3C6E"/>
    <w:rsid w:val="2A2D6BE6"/>
    <w:rsid w:val="2A312F54"/>
    <w:rsid w:val="2A6D1762"/>
    <w:rsid w:val="2AF137EF"/>
    <w:rsid w:val="2B0403E9"/>
    <w:rsid w:val="2BBC12F2"/>
    <w:rsid w:val="2CB74F17"/>
    <w:rsid w:val="2CE45BFF"/>
    <w:rsid w:val="2CEF5652"/>
    <w:rsid w:val="2CFC0B7C"/>
    <w:rsid w:val="2D281971"/>
    <w:rsid w:val="2E73082A"/>
    <w:rsid w:val="2E852ACB"/>
    <w:rsid w:val="2F61560E"/>
    <w:rsid w:val="2FC62B21"/>
    <w:rsid w:val="306B6507"/>
    <w:rsid w:val="30DC319E"/>
    <w:rsid w:val="315E1FBC"/>
    <w:rsid w:val="31782277"/>
    <w:rsid w:val="31913BC7"/>
    <w:rsid w:val="31A57A34"/>
    <w:rsid w:val="31F47F72"/>
    <w:rsid w:val="32193F7E"/>
    <w:rsid w:val="324F5BF1"/>
    <w:rsid w:val="332F1A11"/>
    <w:rsid w:val="335336C8"/>
    <w:rsid w:val="336D4581"/>
    <w:rsid w:val="337B501F"/>
    <w:rsid w:val="34117602"/>
    <w:rsid w:val="34740B39"/>
    <w:rsid w:val="34F5497F"/>
    <w:rsid w:val="350F31FC"/>
    <w:rsid w:val="35C47D81"/>
    <w:rsid w:val="35F03F14"/>
    <w:rsid w:val="36A50662"/>
    <w:rsid w:val="36DB3FEB"/>
    <w:rsid w:val="37466D67"/>
    <w:rsid w:val="37EE26B2"/>
    <w:rsid w:val="380B7511"/>
    <w:rsid w:val="38756607"/>
    <w:rsid w:val="39365C4F"/>
    <w:rsid w:val="3A7436FD"/>
    <w:rsid w:val="3AD47F56"/>
    <w:rsid w:val="3B616EA8"/>
    <w:rsid w:val="3B9117A2"/>
    <w:rsid w:val="3C132CEC"/>
    <w:rsid w:val="3C353D95"/>
    <w:rsid w:val="3C6E432E"/>
    <w:rsid w:val="3D1C551C"/>
    <w:rsid w:val="3D230357"/>
    <w:rsid w:val="3D5F5CEB"/>
    <w:rsid w:val="3E373FDA"/>
    <w:rsid w:val="3EB04798"/>
    <w:rsid w:val="3F8B6FD0"/>
    <w:rsid w:val="40F47BF9"/>
    <w:rsid w:val="40FA4F7A"/>
    <w:rsid w:val="411A1C68"/>
    <w:rsid w:val="412530CF"/>
    <w:rsid w:val="41AD3A78"/>
    <w:rsid w:val="41D13F2D"/>
    <w:rsid w:val="422A4300"/>
    <w:rsid w:val="425A26D1"/>
    <w:rsid w:val="42611C1E"/>
    <w:rsid w:val="429A2DFF"/>
    <w:rsid w:val="429A7084"/>
    <w:rsid w:val="429F46E9"/>
    <w:rsid w:val="42C72F1F"/>
    <w:rsid w:val="43171AAB"/>
    <w:rsid w:val="43527FAA"/>
    <w:rsid w:val="4391369E"/>
    <w:rsid w:val="43B5607E"/>
    <w:rsid w:val="44782D86"/>
    <w:rsid w:val="44CB3942"/>
    <w:rsid w:val="451B5873"/>
    <w:rsid w:val="4528009B"/>
    <w:rsid w:val="474232D3"/>
    <w:rsid w:val="475D4FB6"/>
    <w:rsid w:val="47F84F95"/>
    <w:rsid w:val="48A25439"/>
    <w:rsid w:val="48BB1493"/>
    <w:rsid w:val="48D24AA5"/>
    <w:rsid w:val="4A003601"/>
    <w:rsid w:val="4A99125B"/>
    <w:rsid w:val="4ABD6DFE"/>
    <w:rsid w:val="4B2D32AD"/>
    <w:rsid w:val="4B35552D"/>
    <w:rsid w:val="4D152A86"/>
    <w:rsid w:val="4DC83CE8"/>
    <w:rsid w:val="4DDA060D"/>
    <w:rsid w:val="4E5377E1"/>
    <w:rsid w:val="4EE714A0"/>
    <w:rsid w:val="4FAF23CA"/>
    <w:rsid w:val="501A1195"/>
    <w:rsid w:val="505E1082"/>
    <w:rsid w:val="50AE643C"/>
    <w:rsid w:val="50C51C2A"/>
    <w:rsid w:val="50DC7E39"/>
    <w:rsid w:val="50FC089B"/>
    <w:rsid w:val="5120208F"/>
    <w:rsid w:val="51517E1D"/>
    <w:rsid w:val="51BD1461"/>
    <w:rsid w:val="51BD44CE"/>
    <w:rsid w:val="51EB2DE9"/>
    <w:rsid w:val="51EE28D9"/>
    <w:rsid w:val="522D3CFE"/>
    <w:rsid w:val="523F1387"/>
    <w:rsid w:val="527A5F1B"/>
    <w:rsid w:val="52F25A5A"/>
    <w:rsid w:val="547A5022"/>
    <w:rsid w:val="54A6563B"/>
    <w:rsid w:val="554D3C11"/>
    <w:rsid w:val="55E0078B"/>
    <w:rsid w:val="56270ED1"/>
    <w:rsid w:val="562C1C22"/>
    <w:rsid w:val="5651407F"/>
    <w:rsid w:val="57A00301"/>
    <w:rsid w:val="57A65EF6"/>
    <w:rsid w:val="57FD0A8E"/>
    <w:rsid w:val="58036CB6"/>
    <w:rsid w:val="58437CF8"/>
    <w:rsid w:val="58741CDB"/>
    <w:rsid w:val="5898534D"/>
    <w:rsid w:val="589A2D71"/>
    <w:rsid w:val="58B54151"/>
    <w:rsid w:val="58D531C7"/>
    <w:rsid w:val="59561490"/>
    <w:rsid w:val="59867186"/>
    <w:rsid w:val="5A996883"/>
    <w:rsid w:val="5AF34ABD"/>
    <w:rsid w:val="5BB3270F"/>
    <w:rsid w:val="5C6B0CBE"/>
    <w:rsid w:val="5C830B35"/>
    <w:rsid w:val="5C981CF8"/>
    <w:rsid w:val="5CB05E18"/>
    <w:rsid w:val="5D5977A1"/>
    <w:rsid w:val="5E4E575D"/>
    <w:rsid w:val="5E555A9A"/>
    <w:rsid w:val="5E6A778C"/>
    <w:rsid w:val="5E736FE4"/>
    <w:rsid w:val="5ED75395"/>
    <w:rsid w:val="5EEE765A"/>
    <w:rsid w:val="5F0B0627"/>
    <w:rsid w:val="5F0B4ACB"/>
    <w:rsid w:val="5F143EC1"/>
    <w:rsid w:val="5F9D7E80"/>
    <w:rsid w:val="5FA30FD8"/>
    <w:rsid w:val="5FAF0376"/>
    <w:rsid w:val="5FDF4DC8"/>
    <w:rsid w:val="604D1671"/>
    <w:rsid w:val="60B10E5E"/>
    <w:rsid w:val="60D45D45"/>
    <w:rsid w:val="60D52230"/>
    <w:rsid w:val="61664577"/>
    <w:rsid w:val="61833787"/>
    <w:rsid w:val="621257EE"/>
    <w:rsid w:val="625911EA"/>
    <w:rsid w:val="6269727F"/>
    <w:rsid w:val="627F1BD7"/>
    <w:rsid w:val="62A012BA"/>
    <w:rsid w:val="62BF0458"/>
    <w:rsid w:val="62F6339C"/>
    <w:rsid w:val="63153E59"/>
    <w:rsid w:val="63540536"/>
    <w:rsid w:val="63857E94"/>
    <w:rsid w:val="63AC2D96"/>
    <w:rsid w:val="64370BC9"/>
    <w:rsid w:val="64E747DE"/>
    <w:rsid w:val="65350E99"/>
    <w:rsid w:val="65397C4D"/>
    <w:rsid w:val="65CE6852"/>
    <w:rsid w:val="660F2580"/>
    <w:rsid w:val="66372649"/>
    <w:rsid w:val="66412B47"/>
    <w:rsid w:val="666A3666"/>
    <w:rsid w:val="6715696E"/>
    <w:rsid w:val="67D17ED1"/>
    <w:rsid w:val="681542C4"/>
    <w:rsid w:val="68362C8E"/>
    <w:rsid w:val="68531E86"/>
    <w:rsid w:val="68743B7E"/>
    <w:rsid w:val="68E165AD"/>
    <w:rsid w:val="697F3A47"/>
    <w:rsid w:val="69AC1CE7"/>
    <w:rsid w:val="6AB06526"/>
    <w:rsid w:val="6AC16985"/>
    <w:rsid w:val="6B8C3281"/>
    <w:rsid w:val="6CC76036"/>
    <w:rsid w:val="6CD00B7C"/>
    <w:rsid w:val="6CF532CC"/>
    <w:rsid w:val="6D325918"/>
    <w:rsid w:val="6D85543F"/>
    <w:rsid w:val="6D946D06"/>
    <w:rsid w:val="6DBC2143"/>
    <w:rsid w:val="6ECC1B09"/>
    <w:rsid w:val="6F8A5598"/>
    <w:rsid w:val="6F9F7EEE"/>
    <w:rsid w:val="6FF60FA3"/>
    <w:rsid w:val="70271038"/>
    <w:rsid w:val="708244C1"/>
    <w:rsid w:val="718E4750"/>
    <w:rsid w:val="71BE22E5"/>
    <w:rsid w:val="71D85D70"/>
    <w:rsid w:val="72035AD5"/>
    <w:rsid w:val="7237684F"/>
    <w:rsid w:val="7268650D"/>
    <w:rsid w:val="72883B4F"/>
    <w:rsid w:val="72B56DCF"/>
    <w:rsid w:val="737502DD"/>
    <w:rsid w:val="74324971"/>
    <w:rsid w:val="750C6A4F"/>
    <w:rsid w:val="75132DEE"/>
    <w:rsid w:val="75356141"/>
    <w:rsid w:val="75826039"/>
    <w:rsid w:val="75B46B29"/>
    <w:rsid w:val="75B90985"/>
    <w:rsid w:val="768924D9"/>
    <w:rsid w:val="76EF6E95"/>
    <w:rsid w:val="778733FA"/>
    <w:rsid w:val="77D5581E"/>
    <w:rsid w:val="78BA15C7"/>
    <w:rsid w:val="791F6A08"/>
    <w:rsid w:val="7A2F43BF"/>
    <w:rsid w:val="7A9E5FB6"/>
    <w:rsid w:val="7AD451F5"/>
    <w:rsid w:val="7B474C85"/>
    <w:rsid w:val="7B9E40FA"/>
    <w:rsid w:val="7C517C20"/>
    <w:rsid w:val="7C560E9D"/>
    <w:rsid w:val="7CC216D1"/>
    <w:rsid w:val="7D216FB1"/>
    <w:rsid w:val="7D87580C"/>
    <w:rsid w:val="7DC851E4"/>
    <w:rsid w:val="7DD00A45"/>
    <w:rsid w:val="7DD03E73"/>
    <w:rsid w:val="7DFF1847"/>
    <w:rsid w:val="7E200DC8"/>
    <w:rsid w:val="7EF42D75"/>
    <w:rsid w:val="7FBC0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qFormat="1"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55"/>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样式 ！正文 + 首行缩进:  2 字符"/>
    <w:basedOn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 w:type="paragraph" w:styleId="3">
    <w:name w:val="macro"/>
    <w:link w:val="73"/>
    <w:qFormat/>
    <w:uiPriority w:val="0"/>
    <w:pPr>
      <w:tabs>
        <w:tab w:val="left" w:pos="480"/>
        <w:tab w:val="left" w:pos="960"/>
        <w:tab w:val="left" w:pos="1440"/>
        <w:tab w:val="left" w:pos="1920"/>
        <w:tab w:val="left" w:pos="2400"/>
        <w:tab w:val="left" w:pos="2880"/>
        <w:tab w:val="left" w:pos="3360"/>
        <w:tab w:val="left" w:pos="3840"/>
        <w:tab w:val="left" w:pos="4320"/>
      </w:tabs>
      <w:snapToGrid w:val="0"/>
      <w:textAlignment w:val="baseline"/>
    </w:pPr>
    <w:rPr>
      <w:rFonts w:ascii="Courier New" w:hAnsi="Courier New" w:eastAsia="宋体" w:cstheme="minorBidi"/>
      <w:kern w:val="2"/>
      <w:sz w:val="24"/>
      <w:szCs w:val="24"/>
      <w:lang w:val="en-US" w:eastAsia="zh-CN" w:bidi="ar-SA"/>
    </w:rPr>
  </w:style>
  <w:style w:type="paragraph" w:styleId="9">
    <w:name w:val="Normal Indent"/>
    <w:basedOn w:val="1"/>
    <w:qFormat/>
    <w:uiPriority w:val="0"/>
    <w:pPr>
      <w:ind w:firstLine="420" w:firstLineChars="200"/>
    </w:pPr>
    <w:rPr>
      <w:kern w:val="0"/>
      <w:sz w:val="20"/>
    </w:rPr>
  </w:style>
  <w:style w:type="paragraph" w:styleId="10">
    <w:name w:val="caption"/>
    <w:basedOn w:val="1"/>
    <w:next w:val="1"/>
    <w:qFormat/>
    <w:uiPriority w:val="0"/>
    <w:pPr>
      <w:widowControl/>
      <w:textAlignment w:val="baseline"/>
    </w:pPr>
    <w:rPr>
      <w:rFonts w:ascii="Cambria" w:hAnsi="Cambria" w:eastAsia="黑体" w:cstheme="minorBidi"/>
      <w:sz w:val="20"/>
      <w:szCs w:val="20"/>
    </w:rPr>
  </w:style>
  <w:style w:type="paragraph" w:styleId="11">
    <w:name w:val="annotation text"/>
    <w:basedOn w:val="1"/>
    <w:qFormat/>
    <w:uiPriority w:val="0"/>
    <w:pPr>
      <w:jc w:val="left"/>
    </w:pPr>
    <w:rPr>
      <w:kern w:val="0"/>
      <w:sz w:val="20"/>
    </w:rPr>
  </w:style>
  <w:style w:type="paragraph" w:styleId="12">
    <w:name w:val="Salutation"/>
    <w:basedOn w:val="1"/>
    <w:next w:val="1"/>
    <w:link w:val="74"/>
    <w:qFormat/>
    <w:uiPriority w:val="0"/>
    <w:pPr>
      <w:widowControl/>
      <w:textAlignment w:val="baseline"/>
    </w:pPr>
    <w:rPr>
      <w:rFonts w:cstheme="minorBidi"/>
      <w:kern w:val="0"/>
      <w:sz w:val="20"/>
    </w:rPr>
  </w:style>
  <w:style w:type="paragraph" w:styleId="13">
    <w:name w:val="Closing"/>
    <w:basedOn w:val="1"/>
    <w:link w:val="75"/>
    <w:qFormat/>
    <w:uiPriority w:val="0"/>
    <w:pPr>
      <w:widowControl/>
      <w:ind w:left="100" w:leftChars="2100"/>
      <w:textAlignment w:val="baseline"/>
    </w:pPr>
    <w:rPr>
      <w:rFonts w:cstheme="minorBidi"/>
      <w:kern w:val="0"/>
      <w:sz w:val="20"/>
    </w:rPr>
  </w:style>
  <w:style w:type="paragraph" w:styleId="14">
    <w:name w:val="Body Text"/>
    <w:basedOn w:val="1"/>
    <w:link w:val="57"/>
    <w:qFormat/>
    <w:uiPriority w:val="0"/>
    <w:pPr>
      <w:spacing w:after="120"/>
    </w:pPr>
    <w:rPr>
      <w:kern w:val="0"/>
      <w:sz w:val="20"/>
    </w:rPr>
  </w:style>
  <w:style w:type="paragraph" w:styleId="15">
    <w:name w:val="Body Text Indent"/>
    <w:basedOn w:val="1"/>
    <w:next w:val="16"/>
    <w:qFormat/>
    <w:uiPriority w:val="0"/>
    <w:pPr>
      <w:spacing w:after="120"/>
      <w:ind w:left="420" w:leftChars="200"/>
    </w:pPr>
    <w:rPr>
      <w:kern w:val="0"/>
      <w:sz w:val="20"/>
    </w:rPr>
  </w:style>
  <w:style w:type="paragraph" w:styleId="16">
    <w:name w:val="envelope return"/>
    <w:basedOn w:val="1"/>
    <w:qFormat/>
    <w:uiPriority w:val="0"/>
    <w:pPr>
      <w:snapToGrid w:val="0"/>
    </w:pPr>
    <w:rPr>
      <w:rFonts w:ascii="Arial" w:hAnsi="Arial" w:cs="Arial"/>
    </w:rPr>
  </w:style>
  <w:style w:type="paragraph" w:styleId="17">
    <w:name w:val="List 2"/>
    <w:basedOn w:val="1"/>
    <w:qFormat/>
    <w:uiPriority w:val="0"/>
    <w:pPr>
      <w:ind w:left="100" w:leftChars="200" w:hanging="200" w:hangingChars="200"/>
    </w:pPr>
  </w:style>
  <w:style w:type="paragraph" w:styleId="18">
    <w:name w:val="List Continue"/>
    <w:basedOn w:val="1"/>
    <w:qFormat/>
    <w:uiPriority w:val="0"/>
    <w:pPr>
      <w:spacing w:after="120"/>
      <w:ind w:left="420" w:leftChars="200"/>
    </w:pPr>
  </w:style>
  <w:style w:type="paragraph" w:styleId="19">
    <w:name w:val="Block Text"/>
    <w:basedOn w:val="1"/>
    <w:qFormat/>
    <w:uiPriority w:val="0"/>
    <w:pPr>
      <w:widowControl/>
      <w:spacing w:after="120"/>
      <w:ind w:left="1440" w:leftChars="700" w:right="1440" w:rightChars="700"/>
      <w:textAlignment w:val="baseline"/>
    </w:pPr>
    <w:rPr>
      <w:rFonts w:cstheme="minorBidi"/>
    </w:rPr>
  </w:style>
  <w:style w:type="paragraph" w:styleId="20">
    <w:name w:val="toc 5"/>
    <w:basedOn w:val="1"/>
    <w:next w:val="1"/>
    <w:unhideWhenUsed/>
    <w:qFormat/>
    <w:uiPriority w:val="39"/>
    <w:pPr>
      <w:widowControl/>
      <w:ind w:left="840"/>
      <w:jc w:val="left"/>
      <w:textAlignment w:val="baseline"/>
    </w:pPr>
    <w:rPr>
      <w:rFonts w:ascii="Calibri" w:hAnsi="Calibri" w:cs="Calibri"/>
      <w:sz w:val="18"/>
      <w:szCs w:val="18"/>
    </w:rPr>
  </w:style>
  <w:style w:type="paragraph" w:styleId="21">
    <w:name w:val="toc 3"/>
    <w:basedOn w:val="1"/>
    <w:next w:val="1"/>
    <w:qFormat/>
    <w:uiPriority w:val="39"/>
    <w:pPr>
      <w:widowControl/>
      <w:kinsoku w:val="0"/>
      <w:autoSpaceDE w:val="0"/>
      <w:autoSpaceDN w:val="0"/>
      <w:adjustRightInd w:val="0"/>
      <w:snapToGrid w:val="0"/>
      <w:ind w:left="420"/>
      <w:jc w:val="left"/>
      <w:textAlignment w:val="baseline"/>
    </w:pPr>
    <w:rPr>
      <w:rFonts w:ascii="Arial" w:hAnsi="Arial" w:eastAsia="Arial" w:cs="Arial"/>
      <w:i/>
      <w:iCs/>
      <w:snapToGrid w:val="0"/>
      <w:color w:val="000000"/>
      <w:kern w:val="0"/>
      <w:sz w:val="20"/>
      <w:szCs w:val="20"/>
      <w:lang w:eastAsia="en-US"/>
    </w:rPr>
  </w:style>
  <w:style w:type="paragraph" w:styleId="22">
    <w:name w:val="Plain Text"/>
    <w:basedOn w:val="1"/>
    <w:qFormat/>
    <w:uiPriority w:val="0"/>
    <w:rPr>
      <w:rFonts w:ascii="宋体" w:hAnsi="Courier New"/>
      <w:kern w:val="0"/>
      <w:sz w:val="20"/>
      <w:szCs w:val="20"/>
    </w:rPr>
  </w:style>
  <w:style w:type="paragraph" w:styleId="23">
    <w:name w:val="Date"/>
    <w:basedOn w:val="1"/>
    <w:next w:val="1"/>
    <w:link w:val="58"/>
    <w:qFormat/>
    <w:uiPriority w:val="0"/>
    <w:rPr>
      <w:kern w:val="0"/>
      <w:sz w:val="24"/>
      <w:szCs w:val="20"/>
    </w:rPr>
  </w:style>
  <w:style w:type="paragraph" w:styleId="24">
    <w:name w:val="footer"/>
    <w:basedOn w:val="1"/>
    <w:link w:val="59"/>
    <w:unhideWhenUsed/>
    <w:qFormat/>
    <w:uiPriority w:val="0"/>
    <w:pPr>
      <w:tabs>
        <w:tab w:val="center" w:pos="4153"/>
        <w:tab w:val="right" w:pos="8306"/>
      </w:tabs>
      <w:snapToGrid w:val="0"/>
      <w:jc w:val="left"/>
    </w:pPr>
    <w:rPr>
      <w:kern w:val="0"/>
      <w:sz w:val="18"/>
      <w:szCs w:val="18"/>
    </w:rPr>
  </w:style>
  <w:style w:type="paragraph" w:styleId="25">
    <w:name w:val="header"/>
    <w:basedOn w:val="1"/>
    <w:link w:val="60"/>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Signature"/>
    <w:basedOn w:val="1"/>
    <w:link w:val="76"/>
    <w:qFormat/>
    <w:uiPriority w:val="0"/>
    <w:pPr>
      <w:widowControl/>
      <w:ind w:left="100" w:leftChars="2100"/>
      <w:textAlignment w:val="baseline"/>
    </w:pPr>
    <w:rPr>
      <w:rFonts w:cstheme="minorBidi"/>
      <w:kern w:val="0"/>
      <w:sz w:val="20"/>
    </w:rPr>
  </w:style>
  <w:style w:type="paragraph" w:styleId="27">
    <w:name w:val="toc 1"/>
    <w:basedOn w:val="1"/>
    <w:next w:val="1"/>
    <w:qFormat/>
    <w:uiPriority w:val="0"/>
    <w:pPr>
      <w:spacing w:line="440" w:lineRule="exact"/>
      <w:jc w:val="center"/>
    </w:pPr>
  </w:style>
  <w:style w:type="paragraph" w:styleId="28">
    <w:name w:val="toc 4"/>
    <w:basedOn w:val="1"/>
    <w:next w:val="1"/>
    <w:unhideWhenUsed/>
    <w:qFormat/>
    <w:uiPriority w:val="0"/>
    <w:pPr>
      <w:ind w:left="1260" w:leftChars="600"/>
    </w:pPr>
    <w:rPr>
      <w:rFonts w:ascii="Calibri" w:hAnsi="Calibri"/>
      <w:szCs w:val="22"/>
    </w:rPr>
  </w:style>
  <w:style w:type="paragraph" w:styleId="29">
    <w:name w:val="index heading"/>
    <w:basedOn w:val="1"/>
    <w:next w:val="30"/>
    <w:qFormat/>
    <w:uiPriority w:val="0"/>
    <w:pPr>
      <w:widowControl/>
      <w:textAlignment w:val="baseline"/>
    </w:pPr>
    <w:rPr>
      <w:rFonts w:cstheme="minorBidi"/>
    </w:rPr>
  </w:style>
  <w:style w:type="paragraph" w:styleId="30">
    <w:name w:val="index 1"/>
    <w:basedOn w:val="1"/>
    <w:next w:val="1"/>
    <w:qFormat/>
    <w:uiPriority w:val="0"/>
  </w:style>
  <w:style w:type="paragraph" w:styleId="31">
    <w:name w:val="Subtitle"/>
    <w:basedOn w:val="1"/>
    <w:next w:val="1"/>
    <w:link w:val="77"/>
    <w:qFormat/>
    <w:uiPriority w:val="0"/>
    <w:pPr>
      <w:widowControl/>
      <w:spacing w:before="240" w:after="60" w:line="312" w:lineRule="auto"/>
      <w:jc w:val="center"/>
      <w:textAlignment w:val="baseline"/>
    </w:pPr>
    <w:rPr>
      <w:rFonts w:ascii="Cambria" w:hAnsi="Cambria" w:cs="Calibri"/>
      <w:b/>
      <w:bCs/>
      <w:kern w:val="28"/>
      <w:sz w:val="32"/>
      <w:szCs w:val="32"/>
    </w:rPr>
  </w:style>
  <w:style w:type="paragraph" w:styleId="32">
    <w:name w:val="List"/>
    <w:basedOn w:val="1"/>
    <w:qFormat/>
    <w:uiPriority w:val="0"/>
    <w:pPr>
      <w:ind w:left="200" w:hanging="200" w:hangingChars="200"/>
    </w:pPr>
  </w:style>
  <w:style w:type="paragraph" w:styleId="33">
    <w:name w:val="Body Text Indent 3"/>
    <w:basedOn w:val="1"/>
    <w:next w:val="1"/>
    <w:qFormat/>
    <w:uiPriority w:val="0"/>
    <w:pPr>
      <w:spacing w:after="120"/>
      <w:ind w:left="420" w:leftChars="200"/>
    </w:pPr>
    <w:rPr>
      <w:kern w:val="0"/>
      <w:sz w:val="16"/>
      <w:szCs w:val="16"/>
    </w:rPr>
  </w:style>
  <w:style w:type="paragraph" w:styleId="34">
    <w:name w:val="Normal (Web)"/>
    <w:basedOn w:val="1"/>
    <w:qFormat/>
    <w:uiPriority w:val="0"/>
    <w:pPr>
      <w:widowControl/>
      <w:jc w:val="left"/>
      <w:textAlignment w:val="baseline"/>
    </w:pPr>
    <w:rPr>
      <w:kern w:val="0"/>
      <w:sz w:val="24"/>
    </w:rPr>
  </w:style>
  <w:style w:type="paragraph" w:styleId="35">
    <w:name w:val="Title"/>
    <w:basedOn w:val="1"/>
    <w:link w:val="78"/>
    <w:qFormat/>
    <w:uiPriority w:val="0"/>
    <w:pPr>
      <w:widowControl/>
      <w:spacing w:before="240" w:after="60" w:line="420" w:lineRule="atLeast"/>
      <w:jc w:val="center"/>
      <w:textAlignment w:val="baseline"/>
    </w:pPr>
    <w:rPr>
      <w:rFonts w:ascii="Arial" w:hAnsi="Arial" w:cstheme="minorBidi"/>
      <w:b/>
      <w:kern w:val="0"/>
      <w:sz w:val="32"/>
      <w:szCs w:val="20"/>
    </w:rPr>
  </w:style>
  <w:style w:type="paragraph" w:styleId="36">
    <w:name w:val="Body Text First Indent"/>
    <w:basedOn w:val="14"/>
    <w:next w:val="1"/>
    <w:link w:val="79"/>
    <w:qFormat/>
    <w:uiPriority w:val="0"/>
    <w:pPr>
      <w:widowControl/>
      <w:autoSpaceDE w:val="0"/>
      <w:autoSpaceDN w:val="0"/>
      <w:adjustRightInd w:val="0"/>
      <w:spacing w:after="0"/>
      <w:ind w:firstLine="420"/>
      <w:jc w:val="left"/>
      <w:textAlignment w:val="baseline"/>
    </w:pPr>
    <w:rPr>
      <w:rFonts w:hint="eastAsia" w:ascii="Calibri" w:hAnsi="Calibri"/>
      <w:kern w:val="2"/>
      <w:sz w:val="34"/>
    </w:rPr>
  </w:style>
  <w:style w:type="paragraph" w:styleId="37">
    <w:name w:val="Body Text First Indent 2"/>
    <w:basedOn w:val="15"/>
    <w:next w:val="32"/>
    <w:qFormat/>
    <w:uiPriority w:val="99"/>
    <w:pPr>
      <w:ind w:firstLine="420" w:firstLineChars="200"/>
    </w:pPr>
  </w:style>
  <w:style w:type="table" w:styleId="39">
    <w:name w:val="Table Grid"/>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0"/>
    <w:rPr>
      <w:i/>
      <w:iCs/>
    </w:rPr>
  </w:style>
  <w:style w:type="character" w:styleId="45">
    <w:name w:val="Hyperlink"/>
    <w:qFormat/>
    <w:uiPriority w:val="0"/>
    <w:rPr>
      <w:color w:val="0000FF"/>
      <w:u w:val="single"/>
    </w:rPr>
  </w:style>
  <w:style w:type="character" w:styleId="46">
    <w:name w:val="annotation reference"/>
    <w:qFormat/>
    <w:uiPriority w:val="0"/>
    <w:rPr>
      <w:sz w:val="21"/>
    </w:rPr>
  </w:style>
  <w:style w:type="paragraph" w:customStyle="1" w:styleId="47">
    <w:name w:val="BodyText1I2"/>
    <w:basedOn w:val="48"/>
    <w:link w:val="52"/>
    <w:qFormat/>
    <w:uiPriority w:val="0"/>
    <w:pPr>
      <w:ind w:firstLine="420" w:firstLineChars="200"/>
    </w:pPr>
    <w:rPr>
      <w:rFonts w:ascii="Calibri" w:hAnsi="Calibri"/>
    </w:rPr>
  </w:style>
  <w:style w:type="paragraph" w:customStyle="1" w:styleId="48">
    <w:name w:val="BodyTextIndent"/>
    <w:basedOn w:val="1"/>
    <w:next w:val="49"/>
    <w:link w:val="51"/>
    <w:qFormat/>
    <w:uiPriority w:val="0"/>
    <w:pPr>
      <w:spacing w:after="120"/>
      <w:ind w:left="420" w:leftChars="200"/>
      <w:textAlignment w:val="baseline"/>
    </w:pPr>
  </w:style>
  <w:style w:type="paragraph" w:customStyle="1" w:styleId="49">
    <w:name w:val="EnvelopeReturn"/>
    <w:basedOn w:val="1"/>
    <w:qFormat/>
    <w:uiPriority w:val="0"/>
    <w:pPr>
      <w:snapToGrid w:val="0"/>
      <w:textAlignment w:val="baseline"/>
    </w:pPr>
    <w:rPr>
      <w:rFonts w:ascii="Arial" w:hAnsi="Arial" w:cs="Arial"/>
    </w:rPr>
  </w:style>
  <w:style w:type="paragraph" w:customStyle="1" w:styleId="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1">
    <w:name w:val="UserStyle_0"/>
    <w:link w:val="48"/>
    <w:qFormat/>
    <w:uiPriority w:val="0"/>
    <w:rPr>
      <w:kern w:val="2"/>
      <w:sz w:val="21"/>
      <w:szCs w:val="24"/>
    </w:rPr>
  </w:style>
  <w:style w:type="character" w:customStyle="1" w:styleId="52">
    <w:name w:val="UserStyle_1"/>
    <w:basedOn w:val="53"/>
    <w:link w:val="47"/>
    <w:qFormat/>
    <w:uiPriority w:val="0"/>
    <w:rPr>
      <w:rFonts w:ascii="Calibri" w:hAnsi="Calibri" w:eastAsia="宋体"/>
      <w:kern w:val="2"/>
      <w:sz w:val="21"/>
      <w:szCs w:val="24"/>
    </w:rPr>
  </w:style>
  <w:style w:type="character" w:customStyle="1" w:styleId="53">
    <w:name w:val="UserStyle_2"/>
    <w:qFormat/>
    <w:uiPriority w:val="0"/>
    <w:rPr>
      <w:rFonts w:ascii="Times New Roman" w:hAnsi="Times New Roman" w:eastAsia="宋体"/>
      <w:szCs w:val="24"/>
    </w:rPr>
  </w:style>
  <w:style w:type="character" w:customStyle="1" w:styleId="54">
    <w:name w:val="标题 1 字符"/>
    <w:link w:val="4"/>
    <w:qFormat/>
    <w:uiPriority w:val="0"/>
    <w:rPr>
      <w:b/>
      <w:bCs/>
      <w:kern w:val="44"/>
      <w:sz w:val="44"/>
      <w:szCs w:val="44"/>
    </w:rPr>
  </w:style>
  <w:style w:type="character" w:customStyle="1" w:styleId="55">
    <w:name w:val="标题 3 字符"/>
    <w:basedOn w:val="40"/>
    <w:link w:val="6"/>
    <w:semiHidden/>
    <w:qFormat/>
    <w:uiPriority w:val="0"/>
    <w:rPr>
      <w:b/>
      <w:bCs/>
      <w:kern w:val="2"/>
      <w:sz w:val="32"/>
      <w:szCs w:val="32"/>
    </w:rPr>
  </w:style>
  <w:style w:type="character" w:customStyle="1" w:styleId="56">
    <w:name w:val="标题 5 字符"/>
    <w:basedOn w:val="40"/>
    <w:link w:val="8"/>
    <w:semiHidden/>
    <w:qFormat/>
    <w:uiPriority w:val="0"/>
    <w:rPr>
      <w:b/>
      <w:bCs/>
      <w:kern w:val="2"/>
      <w:sz w:val="28"/>
      <w:szCs w:val="28"/>
    </w:rPr>
  </w:style>
  <w:style w:type="character" w:customStyle="1" w:styleId="57">
    <w:name w:val="正文文本 字符"/>
    <w:basedOn w:val="40"/>
    <w:link w:val="14"/>
    <w:qFormat/>
    <w:uiPriority w:val="0"/>
    <w:rPr>
      <w:szCs w:val="24"/>
    </w:rPr>
  </w:style>
  <w:style w:type="character" w:customStyle="1" w:styleId="58">
    <w:name w:val="日期 字符"/>
    <w:link w:val="23"/>
    <w:qFormat/>
    <w:uiPriority w:val="0"/>
    <w:rPr>
      <w:sz w:val="24"/>
    </w:rPr>
  </w:style>
  <w:style w:type="character" w:customStyle="1" w:styleId="59">
    <w:name w:val="页脚 字符"/>
    <w:link w:val="24"/>
    <w:qFormat/>
    <w:uiPriority w:val="0"/>
    <w:rPr>
      <w:sz w:val="18"/>
      <w:szCs w:val="18"/>
    </w:rPr>
  </w:style>
  <w:style w:type="character" w:customStyle="1" w:styleId="60">
    <w:name w:val="页眉 字符"/>
    <w:link w:val="25"/>
    <w:qFormat/>
    <w:uiPriority w:val="0"/>
    <w:rPr>
      <w:sz w:val="18"/>
      <w:szCs w:val="18"/>
    </w:rPr>
  </w:style>
  <w:style w:type="paragraph" w:customStyle="1" w:styleId="61">
    <w:name w:val="普通 (Web)"/>
    <w:qFormat/>
    <w:uiPriority w:val="0"/>
    <w:pPr>
      <w:spacing w:before="100" w:after="100"/>
    </w:pPr>
    <w:rPr>
      <w:rFonts w:ascii="宋体" w:hAnsi="Times New Roman" w:eastAsia="宋体" w:cs="Times New Roman"/>
      <w:sz w:val="24"/>
      <w:lang w:val="en-US" w:eastAsia="zh-CN" w:bidi="ar-SA"/>
    </w:rPr>
  </w:style>
  <w:style w:type="paragraph" w:customStyle="1" w:styleId="6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3">
    <w:name w:val="列出段落2"/>
    <w:basedOn w:val="1"/>
    <w:qFormat/>
    <w:uiPriority w:val="0"/>
    <w:pPr>
      <w:autoSpaceDE w:val="0"/>
      <w:autoSpaceDN w:val="0"/>
      <w:ind w:left="100"/>
      <w:jc w:val="left"/>
    </w:pPr>
    <w:rPr>
      <w:rFonts w:ascii="宋体" w:hAnsi="宋体" w:cs="宋体"/>
      <w:kern w:val="0"/>
      <w:sz w:val="22"/>
      <w:szCs w:val="22"/>
      <w:lang w:eastAsia="en-US"/>
    </w:rPr>
  </w:style>
  <w:style w:type="character" w:customStyle="1" w:styleId="64">
    <w:name w:val="NormalCharacter"/>
    <w:qFormat/>
    <w:uiPriority w:val="0"/>
    <w:rPr>
      <w:rFonts w:ascii="Times New Roman" w:hAnsi="Times New Roman" w:eastAsia="宋体"/>
      <w:kern w:val="2"/>
      <w:sz w:val="24"/>
      <w:lang w:val="en-US" w:eastAsia="zh-CN"/>
    </w:rPr>
  </w:style>
  <w:style w:type="paragraph" w:customStyle="1" w:styleId="65">
    <w:name w:val="02标题二"/>
    <w:basedOn w:val="1"/>
    <w:qFormat/>
    <w:uiPriority w:val="0"/>
    <w:pPr>
      <w:ind w:firstLine="562" w:firstLineChars="200"/>
    </w:pPr>
    <w:rPr>
      <w:rFonts w:cs="华文仿宋"/>
      <w:b/>
      <w:bCs/>
      <w:sz w:val="28"/>
      <w:szCs w:val="28"/>
    </w:rPr>
  </w:style>
  <w:style w:type="paragraph" w:styleId="66">
    <w:name w:val="List Paragraph"/>
    <w:basedOn w:val="1"/>
    <w:qFormat/>
    <w:uiPriority w:val="34"/>
    <w:pPr>
      <w:ind w:firstLine="420" w:firstLineChars="200"/>
    </w:pPr>
    <w:rPr>
      <w:rFonts w:ascii="Calibri" w:hAnsi="Calibri"/>
      <w:szCs w:val="22"/>
    </w:rPr>
  </w:style>
  <w:style w:type="paragraph" w:customStyle="1" w:styleId="67">
    <w:name w:val="Heading2"/>
    <w:basedOn w:val="1"/>
    <w:link w:val="68"/>
    <w:qFormat/>
    <w:uiPriority w:val="0"/>
    <w:pPr>
      <w:keepNext/>
      <w:keepLines/>
      <w:spacing w:before="260" w:after="260" w:line="416" w:lineRule="auto"/>
    </w:pPr>
    <w:rPr>
      <w:rFonts w:ascii="Arial" w:hAnsi="Arial" w:eastAsia="黑体" w:cs="Calibri"/>
      <w:b/>
      <w:bCs/>
      <w:kern w:val="0"/>
      <w:sz w:val="32"/>
      <w:szCs w:val="32"/>
    </w:rPr>
  </w:style>
  <w:style w:type="character" w:customStyle="1" w:styleId="68">
    <w:name w:val="UserStyle_5"/>
    <w:link w:val="67"/>
    <w:qFormat/>
    <w:uiPriority w:val="0"/>
    <w:rPr>
      <w:rFonts w:ascii="Arial" w:hAnsi="Arial" w:eastAsia="黑体" w:cs="Calibri"/>
      <w:b/>
      <w:bCs/>
      <w:sz w:val="32"/>
      <w:szCs w:val="32"/>
    </w:rPr>
  </w:style>
  <w:style w:type="paragraph" w:customStyle="1" w:styleId="69">
    <w:name w:val="列出段落1"/>
    <w:basedOn w:val="1"/>
    <w:unhideWhenUsed/>
    <w:qFormat/>
    <w:uiPriority w:val="99"/>
    <w:pPr>
      <w:ind w:firstLine="420" w:firstLineChars="200"/>
    </w:pPr>
  </w:style>
  <w:style w:type="character" w:customStyle="1" w:styleId="70">
    <w:name w:val="font21"/>
    <w:basedOn w:val="40"/>
    <w:qFormat/>
    <w:uiPriority w:val="0"/>
    <w:rPr>
      <w:rFonts w:hint="eastAsia" w:ascii="宋体" w:hAnsi="宋体" w:eastAsia="宋体" w:cs="宋体"/>
      <w:color w:val="000000"/>
      <w:sz w:val="21"/>
      <w:szCs w:val="21"/>
      <w:u w:val="none"/>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character" w:customStyle="1" w:styleId="73">
    <w:name w:val="宏文本 字符"/>
    <w:basedOn w:val="40"/>
    <w:link w:val="3"/>
    <w:qFormat/>
    <w:uiPriority w:val="0"/>
    <w:rPr>
      <w:rFonts w:ascii="Courier New" w:hAnsi="Courier New" w:cstheme="minorBidi"/>
      <w:kern w:val="2"/>
      <w:sz w:val="24"/>
      <w:szCs w:val="24"/>
    </w:rPr>
  </w:style>
  <w:style w:type="character" w:customStyle="1" w:styleId="74">
    <w:name w:val="称呼 字符"/>
    <w:basedOn w:val="40"/>
    <w:link w:val="12"/>
    <w:qFormat/>
    <w:uiPriority w:val="0"/>
    <w:rPr>
      <w:rFonts w:cstheme="minorBidi"/>
      <w:szCs w:val="24"/>
    </w:rPr>
  </w:style>
  <w:style w:type="character" w:customStyle="1" w:styleId="75">
    <w:name w:val="结束语 字符"/>
    <w:basedOn w:val="40"/>
    <w:link w:val="13"/>
    <w:qFormat/>
    <w:uiPriority w:val="0"/>
    <w:rPr>
      <w:rFonts w:cstheme="minorBidi"/>
      <w:szCs w:val="24"/>
    </w:rPr>
  </w:style>
  <w:style w:type="character" w:customStyle="1" w:styleId="76">
    <w:name w:val="签名 字符"/>
    <w:basedOn w:val="40"/>
    <w:link w:val="26"/>
    <w:qFormat/>
    <w:uiPriority w:val="0"/>
    <w:rPr>
      <w:rFonts w:cstheme="minorBidi"/>
      <w:szCs w:val="24"/>
    </w:rPr>
  </w:style>
  <w:style w:type="character" w:customStyle="1" w:styleId="77">
    <w:name w:val="副标题 字符"/>
    <w:basedOn w:val="40"/>
    <w:link w:val="31"/>
    <w:qFormat/>
    <w:uiPriority w:val="0"/>
    <w:rPr>
      <w:rFonts w:ascii="Cambria" w:hAnsi="Cambria" w:cs="Calibri"/>
      <w:b/>
      <w:bCs/>
      <w:kern w:val="28"/>
      <w:sz w:val="32"/>
      <w:szCs w:val="32"/>
    </w:rPr>
  </w:style>
  <w:style w:type="character" w:customStyle="1" w:styleId="78">
    <w:name w:val="标题 字符"/>
    <w:basedOn w:val="40"/>
    <w:link w:val="35"/>
    <w:qFormat/>
    <w:uiPriority w:val="0"/>
    <w:rPr>
      <w:rFonts w:ascii="Arial" w:hAnsi="Arial" w:cstheme="minorBidi"/>
      <w:b/>
      <w:sz w:val="32"/>
    </w:rPr>
  </w:style>
  <w:style w:type="character" w:customStyle="1" w:styleId="79">
    <w:name w:val="正文首行缩进 字符"/>
    <w:basedOn w:val="57"/>
    <w:link w:val="36"/>
    <w:qFormat/>
    <w:uiPriority w:val="0"/>
    <w:rPr>
      <w:rFonts w:ascii="Calibri" w:hAnsi="Calibri"/>
      <w:kern w:val="2"/>
      <w:sz w:val="34"/>
      <w:szCs w:val="24"/>
    </w:rPr>
  </w:style>
  <w:style w:type="paragraph" w:customStyle="1" w:styleId="80">
    <w:name w:val="Heading1"/>
    <w:basedOn w:val="1"/>
    <w:next w:val="1"/>
    <w:link w:val="81"/>
    <w:qFormat/>
    <w:uiPriority w:val="0"/>
    <w:pPr>
      <w:keepNext/>
      <w:keepLines/>
      <w:widowControl/>
      <w:spacing w:before="340" w:after="330" w:line="578" w:lineRule="auto"/>
      <w:textAlignment w:val="baseline"/>
    </w:pPr>
    <w:rPr>
      <w:rFonts w:cs="Calibri"/>
      <w:b/>
      <w:bCs/>
      <w:kern w:val="44"/>
      <w:sz w:val="44"/>
      <w:szCs w:val="44"/>
    </w:rPr>
  </w:style>
  <w:style w:type="character" w:customStyle="1" w:styleId="81">
    <w:name w:val="UserStyle_4"/>
    <w:link w:val="80"/>
    <w:qFormat/>
    <w:uiPriority w:val="0"/>
    <w:rPr>
      <w:rFonts w:cs="Calibri"/>
      <w:b/>
      <w:bCs/>
      <w:kern w:val="44"/>
      <w:sz w:val="44"/>
      <w:szCs w:val="44"/>
    </w:rPr>
  </w:style>
  <w:style w:type="paragraph" w:customStyle="1" w:styleId="82">
    <w:name w:val="Heading3"/>
    <w:basedOn w:val="1"/>
    <w:next w:val="1"/>
    <w:link w:val="83"/>
    <w:qFormat/>
    <w:uiPriority w:val="0"/>
    <w:pPr>
      <w:keepNext/>
      <w:keepLines/>
      <w:widowControl/>
      <w:spacing w:before="260" w:after="260" w:line="416" w:lineRule="auto"/>
      <w:textAlignment w:val="baseline"/>
    </w:pPr>
    <w:rPr>
      <w:rFonts w:cs="Calibri"/>
      <w:b/>
      <w:bCs/>
      <w:kern w:val="0"/>
      <w:sz w:val="32"/>
      <w:szCs w:val="32"/>
    </w:rPr>
  </w:style>
  <w:style w:type="character" w:customStyle="1" w:styleId="83">
    <w:name w:val="UserStyle_6"/>
    <w:link w:val="82"/>
    <w:qFormat/>
    <w:uiPriority w:val="0"/>
    <w:rPr>
      <w:rFonts w:cs="Calibri"/>
      <w:b/>
      <w:bCs/>
      <w:sz w:val="32"/>
      <w:szCs w:val="32"/>
    </w:rPr>
  </w:style>
  <w:style w:type="paragraph" w:customStyle="1" w:styleId="84">
    <w:name w:val="Heading4"/>
    <w:basedOn w:val="1"/>
    <w:next w:val="1"/>
    <w:link w:val="85"/>
    <w:qFormat/>
    <w:uiPriority w:val="0"/>
    <w:pPr>
      <w:keepNext/>
      <w:keepLines/>
      <w:widowControl/>
      <w:spacing w:before="280" w:after="290" w:line="376" w:lineRule="auto"/>
      <w:textAlignment w:val="baseline"/>
    </w:pPr>
    <w:rPr>
      <w:rFonts w:ascii="Arial" w:hAnsi="Arial" w:eastAsia="黑体" w:cs="Calibri"/>
      <w:b/>
      <w:bCs/>
      <w:kern w:val="0"/>
      <w:sz w:val="28"/>
      <w:szCs w:val="28"/>
    </w:rPr>
  </w:style>
  <w:style w:type="character" w:customStyle="1" w:styleId="85">
    <w:name w:val="UserStyle_7"/>
    <w:link w:val="84"/>
    <w:qFormat/>
    <w:uiPriority w:val="0"/>
    <w:rPr>
      <w:rFonts w:ascii="Arial" w:hAnsi="Arial" w:eastAsia="黑体" w:cs="Calibri"/>
      <w:b/>
      <w:bCs/>
      <w:sz w:val="28"/>
      <w:szCs w:val="28"/>
    </w:rPr>
  </w:style>
  <w:style w:type="paragraph" w:customStyle="1" w:styleId="86">
    <w:name w:val="Heading5"/>
    <w:basedOn w:val="1"/>
    <w:next w:val="1"/>
    <w:link w:val="87"/>
    <w:qFormat/>
    <w:uiPriority w:val="0"/>
    <w:pPr>
      <w:keepNext/>
      <w:keepLines/>
      <w:widowControl/>
      <w:spacing w:before="280" w:after="290" w:line="376" w:lineRule="auto"/>
      <w:textAlignment w:val="baseline"/>
    </w:pPr>
    <w:rPr>
      <w:rFonts w:cs="Calibri"/>
      <w:b/>
      <w:bCs/>
      <w:kern w:val="0"/>
      <w:sz w:val="28"/>
      <w:szCs w:val="28"/>
    </w:rPr>
  </w:style>
  <w:style w:type="character" w:customStyle="1" w:styleId="87">
    <w:name w:val="UserStyle_8"/>
    <w:link w:val="86"/>
    <w:qFormat/>
    <w:uiPriority w:val="0"/>
    <w:rPr>
      <w:rFonts w:cs="Calibri"/>
      <w:b/>
      <w:bCs/>
      <w:sz w:val="28"/>
      <w:szCs w:val="28"/>
    </w:rPr>
  </w:style>
  <w:style w:type="paragraph" w:customStyle="1" w:styleId="88">
    <w:name w:val="Heading6"/>
    <w:basedOn w:val="1"/>
    <w:next w:val="1"/>
    <w:link w:val="89"/>
    <w:qFormat/>
    <w:uiPriority w:val="0"/>
    <w:pPr>
      <w:keepNext/>
      <w:keepLines/>
      <w:widowControl/>
      <w:tabs>
        <w:tab w:val="left" w:pos="1440"/>
      </w:tabs>
      <w:spacing w:before="240" w:after="64" w:line="320" w:lineRule="auto"/>
      <w:ind w:left="1152" w:hanging="1152"/>
      <w:jc w:val="left"/>
      <w:textAlignment w:val="baseline"/>
    </w:pPr>
    <w:rPr>
      <w:rFonts w:ascii="Arial" w:hAnsi="Arial" w:eastAsia="黑体" w:cs="Calibri"/>
      <w:b/>
      <w:bCs/>
      <w:kern w:val="0"/>
      <w:sz w:val="24"/>
    </w:rPr>
  </w:style>
  <w:style w:type="character" w:customStyle="1" w:styleId="89">
    <w:name w:val="UserStyle_9"/>
    <w:link w:val="88"/>
    <w:qFormat/>
    <w:uiPriority w:val="0"/>
    <w:rPr>
      <w:rFonts w:ascii="Arial" w:hAnsi="Arial" w:eastAsia="黑体" w:cs="Calibri"/>
      <w:b/>
      <w:bCs/>
      <w:sz w:val="24"/>
      <w:szCs w:val="24"/>
    </w:rPr>
  </w:style>
  <w:style w:type="paragraph" w:customStyle="1" w:styleId="90">
    <w:name w:val="Heading7"/>
    <w:basedOn w:val="1"/>
    <w:next w:val="1"/>
    <w:link w:val="91"/>
    <w:qFormat/>
    <w:uiPriority w:val="0"/>
    <w:pPr>
      <w:keepNext/>
      <w:keepLines/>
      <w:widowControl/>
      <w:tabs>
        <w:tab w:val="left" w:pos="2520"/>
      </w:tabs>
      <w:spacing w:before="240" w:after="64" w:line="320" w:lineRule="auto"/>
      <w:ind w:left="1296" w:hanging="1296"/>
      <w:jc w:val="left"/>
      <w:textAlignment w:val="baseline"/>
    </w:pPr>
    <w:rPr>
      <w:rFonts w:cs="Calibri"/>
      <w:b/>
      <w:bCs/>
      <w:kern w:val="0"/>
      <w:sz w:val="24"/>
    </w:rPr>
  </w:style>
  <w:style w:type="character" w:customStyle="1" w:styleId="91">
    <w:name w:val="UserStyle_10"/>
    <w:link w:val="90"/>
    <w:qFormat/>
    <w:uiPriority w:val="0"/>
    <w:rPr>
      <w:rFonts w:cs="Calibri"/>
      <w:b/>
      <w:bCs/>
      <w:sz w:val="24"/>
      <w:szCs w:val="24"/>
    </w:rPr>
  </w:style>
  <w:style w:type="paragraph" w:customStyle="1" w:styleId="92">
    <w:name w:val="Heading8"/>
    <w:basedOn w:val="1"/>
    <w:next w:val="1"/>
    <w:link w:val="93"/>
    <w:qFormat/>
    <w:uiPriority w:val="0"/>
    <w:pPr>
      <w:keepNext/>
      <w:keepLines/>
      <w:widowControl/>
      <w:tabs>
        <w:tab w:val="left" w:pos="1440"/>
      </w:tabs>
      <w:spacing w:before="240" w:after="64" w:line="320" w:lineRule="auto"/>
      <w:ind w:left="1440" w:hanging="1440"/>
      <w:jc w:val="left"/>
      <w:textAlignment w:val="baseline"/>
    </w:pPr>
    <w:rPr>
      <w:rFonts w:ascii="Arial" w:hAnsi="Arial" w:eastAsia="黑体" w:cstheme="minorBidi"/>
      <w:kern w:val="0"/>
      <w:sz w:val="24"/>
    </w:rPr>
  </w:style>
  <w:style w:type="character" w:customStyle="1" w:styleId="93">
    <w:name w:val="UserStyle_11"/>
    <w:link w:val="92"/>
    <w:qFormat/>
    <w:uiPriority w:val="0"/>
    <w:rPr>
      <w:rFonts w:ascii="Arial" w:hAnsi="Arial" w:eastAsia="黑体" w:cstheme="minorBidi"/>
      <w:sz w:val="24"/>
      <w:szCs w:val="24"/>
    </w:rPr>
  </w:style>
  <w:style w:type="paragraph" w:customStyle="1" w:styleId="94">
    <w:name w:val="Heading9"/>
    <w:basedOn w:val="1"/>
    <w:next w:val="1"/>
    <w:link w:val="95"/>
    <w:qFormat/>
    <w:uiPriority w:val="0"/>
    <w:pPr>
      <w:keepNext/>
      <w:keepLines/>
      <w:widowControl/>
      <w:tabs>
        <w:tab w:val="left" w:pos="1584"/>
      </w:tabs>
      <w:spacing w:before="240" w:after="64" w:line="320" w:lineRule="auto"/>
      <w:ind w:left="1584" w:hanging="1584"/>
      <w:jc w:val="left"/>
      <w:textAlignment w:val="baseline"/>
    </w:pPr>
    <w:rPr>
      <w:rFonts w:ascii="Arial" w:hAnsi="Arial" w:eastAsia="黑体" w:cstheme="minorBidi"/>
      <w:kern w:val="0"/>
      <w:sz w:val="20"/>
      <w:szCs w:val="21"/>
    </w:rPr>
  </w:style>
  <w:style w:type="character" w:customStyle="1" w:styleId="95">
    <w:name w:val="UserStyle_12"/>
    <w:link w:val="94"/>
    <w:qFormat/>
    <w:uiPriority w:val="0"/>
    <w:rPr>
      <w:rFonts w:ascii="Arial" w:hAnsi="Arial" w:eastAsia="黑体" w:cstheme="minorBidi"/>
      <w:szCs w:val="21"/>
    </w:rPr>
  </w:style>
  <w:style w:type="paragraph" w:customStyle="1" w:styleId="96">
    <w:name w:val="List3"/>
    <w:basedOn w:val="1"/>
    <w:qFormat/>
    <w:uiPriority w:val="0"/>
    <w:pPr>
      <w:widowControl/>
      <w:ind w:left="100" w:leftChars="400" w:hanging="200" w:hangingChars="200"/>
      <w:textAlignment w:val="baseline"/>
    </w:pPr>
    <w:rPr>
      <w:rFonts w:cstheme="minorBidi"/>
    </w:rPr>
  </w:style>
  <w:style w:type="paragraph" w:customStyle="1" w:styleId="97">
    <w:name w:val="TOC7"/>
    <w:basedOn w:val="1"/>
    <w:next w:val="1"/>
    <w:qFormat/>
    <w:uiPriority w:val="0"/>
    <w:pPr>
      <w:widowControl/>
      <w:ind w:left="2520" w:leftChars="1200"/>
      <w:textAlignment w:val="baseline"/>
    </w:pPr>
    <w:rPr>
      <w:rFonts w:ascii="Calibri" w:hAnsi="Calibri" w:cstheme="minorBidi"/>
      <w:szCs w:val="22"/>
    </w:rPr>
  </w:style>
  <w:style w:type="paragraph" w:customStyle="1" w:styleId="98">
    <w:name w:val="ListNumber2"/>
    <w:basedOn w:val="1"/>
    <w:qFormat/>
    <w:uiPriority w:val="0"/>
    <w:pPr>
      <w:widowControl/>
      <w:tabs>
        <w:tab w:val="left" w:pos="780"/>
      </w:tabs>
      <w:ind w:left="780" w:hanging="360"/>
      <w:textAlignment w:val="baseline"/>
    </w:pPr>
    <w:rPr>
      <w:rFonts w:cstheme="minorBidi"/>
    </w:rPr>
  </w:style>
  <w:style w:type="paragraph" w:customStyle="1" w:styleId="99">
    <w:name w:val="TableOfAuthoring"/>
    <w:basedOn w:val="1"/>
    <w:next w:val="1"/>
    <w:qFormat/>
    <w:uiPriority w:val="0"/>
    <w:pPr>
      <w:widowControl/>
      <w:ind w:left="420" w:leftChars="200"/>
      <w:textAlignment w:val="baseline"/>
    </w:pPr>
    <w:rPr>
      <w:rFonts w:cstheme="minorBidi"/>
    </w:rPr>
  </w:style>
  <w:style w:type="paragraph" w:customStyle="1" w:styleId="100">
    <w:name w:val="NoteHeading"/>
    <w:basedOn w:val="1"/>
    <w:next w:val="1"/>
    <w:link w:val="101"/>
    <w:qFormat/>
    <w:uiPriority w:val="0"/>
    <w:pPr>
      <w:widowControl/>
      <w:jc w:val="center"/>
      <w:textAlignment w:val="baseline"/>
    </w:pPr>
    <w:rPr>
      <w:rFonts w:cstheme="minorBidi"/>
      <w:kern w:val="0"/>
      <w:sz w:val="20"/>
    </w:rPr>
  </w:style>
  <w:style w:type="character" w:customStyle="1" w:styleId="101">
    <w:name w:val="UserStyle_13"/>
    <w:link w:val="100"/>
    <w:qFormat/>
    <w:uiPriority w:val="0"/>
    <w:rPr>
      <w:rFonts w:cstheme="minorBidi"/>
      <w:szCs w:val="24"/>
    </w:rPr>
  </w:style>
  <w:style w:type="paragraph" w:customStyle="1" w:styleId="102">
    <w:name w:val="ListBullet4"/>
    <w:basedOn w:val="1"/>
    <w:qFormat/>
    <w:uiPriority w:val="0"/>
    <w:pPr>
      <w:widowControl/>
      <w:tabs>
        <w:tab w:val="left" w:pos="1620"/>
      </w:tabs>
      <w:ind w:left="1620" w:hanging="360"/>
      <w:textAlignment w:val="baseline"/>
    </w:pPr>
    <w:rPr>
      <w:rFonts w:cstheme="minorBidi"/>
    </w:rPr>
  </w:style>
  <w:style w:type="paragraph" w:customStyle="1" w:styleId="103">
    <w:name w:val="Index8"/>
    <w:basedOn w:val="1"/>
    <w:next w:val="1"/>
    <w:qFormat/>
    <w:uiPriority w:val="0"/>
    <w:pPr>
      <w:widowControl/>
      <w:ind w:left="1400" w:leftChars="1400"/>
      <w:textAlignment w:val="baseline"/>
    </w:pPr>
    <w:rPr>
      <w:rFonts w:cstheme="minorBidi"/>
    </w:rPr>
  </w:style>
  <w:style w:type="paragraph" w:customStyle="1" w:styleId="104">
    <w:name w:val="AutoSignature"/>
    <w:basedOn w:val="1"/>
    <w:link w:val="105"/>
    <w:qFormat/>
    <w:uiPriority w:val="0"/>
    <w:pPr>
      <w:widowControl/>
      <w:textAlignment w:val="baseline"/>
    </w:pPr>
    <w:rPr>
      <w:rFonts w:cstheme="minorBidi"/>
      <w:kern w:val="0"/>
      <w:sz w:val="20"/>
    </w:rPr>
  </w:style>
  <w:style w:type="character" w:customStyle="1" w:styleId="105">
    <w:name w:val="UserStyle_14"/>
    <w:link w:val="104"/>
    <w:qFormat/>
    <w:uiPriority w:val="0"/>
    <w:rPr>
      <w:rFonts w:cstheme="minorBidi"/>
      <w:szCs w:val="24"/>
    </w:rPr>
  </w:style>
  <w:style w:type="paragraph" w:customStyle="1" w:styleId="106">
    <w:name w:val="ListNumber"/>
    <w:basedOn w:val="1"/>
    <w:qFormat/>
    <w:uiPriority w:val="0"/>
    <w:pPr>
      <w:widowControl/>
      <w:tabs>
        <w:tab w:val="left" w:pos="360"/>
      </w:tabs>
      <w:ind w:left="360" w:hanging="360"/>
      <w:textAlignment w:val="baseline"/>
    </w:pPr>
    <w:rPr>
      <w:rFonts w:cstheme="minorBidi"/>
    </w:rPr>
  </w:style>
  <w:style w:type="paragraph" w:customStyle="1" w:styleId="107">
    <w:name w:val="NormalIndent"/>
    <w:basedOn w:val="1"/>
    <w:link w:val="108"/>
    <w:qFormat/>
    <w:uiPriority w:val="0"/>
    <w:pPr>
      <w:widowControl/>
      <w:ind w:firstLine="420" w:firstLineChars="200"/>
      <w:textAlignment w:val="baseline"/>
    </w:pPr>
    <w:rPr>
      <w:rFonts w:cstheme="minorBidi"/>
      <w:kern w:val="0"/>
      <w:sz w:val="20"/>
    </w:rPr>
  </w:style>
  <w:style w:type="character" w:customStyle="1" w:styleId="108">
    <w:name w:val="UserStyle_15"/>
    <w:link w:val="107"/>
    <w:qFormat/>
    <w:locked/>
    <w:uiPriority w:val="0"/>
    <w:rPr>
      <w:rFonts w:cstheme="minorBidi"/>
      <w:szCs w:val="24"/>
    </w:rPr>
  </w:style>
  <w:style w:type="paragraph" w:customStyle="1" w:styleId="109">
    <w:name w:val="Index5"/>
    <w:basedOn w:val="1"/>
    <w:next w:val="1"/>
    <w:qFormat/>
    <w:uiPriority w:val="0"/>
    <w:pPr>
      <w:widowControl/>
      <w:ind w:left="800" w:leftChars="800"/>
      <w:textAlignment w:val="baseline"/>
    </w:pPr>
    <w:rPr>
      <w:rFonts w:cstheme="minorBidi"/>
    </w:rPr>
  </w:style>
  <w:style w:type="paragraph" w:customStyle="1" w:styleId="110">
    <w:name w:val="ListBullet"/>
    <w:basedOn w:val="1"/>
    <w:qFormat/>
    <w:uiPriority w:val="0"/>
    <w:pPr>
      <w:widowControl/>
      <w:tabs>
        <w:tab w:val="left" w:pos="360"/>
      </w:tabs>
      <w:ind w:left="360" w:hanging="360"/>
      <w:textAlignment w:val="baseline"/>
    </w:pPr>
    <w:rPr>
      <w:rFonts w:cstheme="minorBidi"/>
    </w:rPr>
  </w:style>
  <w:style w:type="paragraph" w:customStyle="1" w:styleId="111">
    <w:name w:val="EnvelopeAddress"/>
    <w:basedOn w:val="1"/>
    <w:qFormat/>
    <w:uiPriority w:val="0"/>
    <w:pPr>
      <w:widowControl/>
      <w:snapToGrid w:val="0"/>
      <w:ind w:left="100" w:leftChars="1400"/>
      <w:textAlignment w:val="baseline"/>
    </w:pPr>
    <w:rPr>
      <w:rFonts w:ascii="Arial" w:hAnsi="Arial" w:cstheme="minorBidi"/>
      <w:sz w:val="24"/>
    </w:rPr>
  </w:style>
  <w:style w:type="paragraph" w:customStyle="1" w:styleId="112">
    <w:name w:val="NavPane"/>
    <w:basedOn w:val="1"/>
    <w:link w:val="113"/>
    <w:qFormat/>
    <w:uiPriority w:val="0"/>
    <w:pPr>
      <w:widowControl/>
      <w:shd w:val="clear" w:color="auto" w:fill="000080"/>
      <w:textAlignment w:val="baseline"/>
    </w:pPr>
    <w:rPr>
      <w:rFonts w:ascii="Calibri" w:hAnsi="Calibri" w:cstheme="minorBidi"/>
      <w:kern w:val="0"/>
      <w:sz w:val="20"/>
    </w:rPr>
  </w:style>
  <w:style w:type="character" w:customStyle="1" w:styleId="113">
    <w:name w:val="UserStyle_16"/>
    <w:link w:val="112"/>
    <w:qFormat/>
    <w:uiPriority w:val="0"/>
    <w:rPr>
      <w:rFonts w:ascii="Calibri" w:hAnsi="Calibri" w:cstheme="minorBidi"/>
      <w:szCs w:val="24"/>
      <w:shd w:val="clear" w:color="auto" w:fill="000080"/>
    </w:rPr>
  </w:style>
  <w:style w:type="paragraph" w:customStyle="1" w:styleId="114">
    <w:name w:val="TOAHeading"/>
    <w:basedOn w:val="1"/>
    <w:next w:val="1"/>
    <w:qFormat/>
    <w:uiPriority w:val="0"/>
    <w:pPr>
      <w:widowControl/>
      <w:spacing w:before="120"/>
      <w:textAlignment w:val="baseline"/>
    </w:pPr>
    <w:rPr>
      <w:rFonts w:ascii="Arial" w:hAnsi="Arial" w:cstheme="minorBidi"/>
      <w:sz w:val="24"/>
    </w:rPr>
  </w:style>
  <w:style w:type="paragraph" w:customStyle="1" w:styleId="115">
    <w:name w:val="AnnotationText"/>
    <w:basedOn w:val="1"/>
    <w:link w:val="116"/>
    <w:qFormat/>
    <w:uiPriority w:val="0"/>
    <w:pPr>
      <w:widowControl/>
      <w:jc w:val="left"/>
      <w:textAlignment w:val="baseline"/>
    </w:pPr>
    <w:rPr>
      <w:rFonts w:ascii="Calibri" w:hAnsi="Calibri" w:cstheme="minorBidi"/>
      <w:kern w:val="0"/>
      <w:sz w:val="20"/>
    </w:rPr>
  </w:style>
  <w:style w:type="character" w:customStyle="1" w:styleId="116">
    <w:name w:val="UserStyle_17"/>
    <w:link w:val="115"/>
    <w:qFormat/>
    <w:uiPriority w:val="0"/>
    <w:rPr>
      <w:rFonts w:ascii="Calibri" w:hAnsi="Calibri" w:cstheme="minorBidi"/>
      <w:szCs w:val="24"/>
    </w:rPr>
  </w:style>
  <w:style w:type="paragraph" w:customStyle="1" w:styleId="117">
    <w:name w:val="Index6"/>
    <w:basedOn w:val="1"/>
    <w:next w:val="1"/>
    <w:qFormat/>
    <w:uiPriority w:val="0"/>
    <w:pPr>
      <w:widowControl/>
      <w:ind w:left="1000" w:leftChars="1000"/>
      <w:textAlignment w:val="baseline"/>
    </w:pPr>
    <w:rPr>
      <w:rFonts w:cstheme="minorBidi"/>
    </w:rPr>
  </w:style>
  <w:style w:type="paragraph" w:customStyle="1" w:styleId="118">
    <w:name w:val="BodyText3"/>
    <w:basedOn w:val="1"/>
    <w:link w:val="119"/>
    <w:qFormat/>
    <w:uiPriority w:val="0"/>
    <w:pPr>
      <w:widowControl/>
      <w:textAlignment w:val="baseline"/>
    </w:pPr>
    <w:rPr>
      <w:rFonts w:ascii="宋体" w:hAnsi="Calibri" w:cstheme="minorBidi"/>
      <w:kern w:val="0"/>
      <w:sz w:val="24"/>
      <w:szCs w:val="20"/>
    </w:rPr>
  </w:style>
  <w:style w:type="character" w:customStyle="1" w:styleId="119">
    <w:name w:val="UserStyle_19"/>
    <w:link w:val="118"/>
    <w:qFormat/>
    <w:uiPriority w:val="0"/>
    <w:rPr>
      <w:rFonts w:ascii="宋体" w:hAnsi="Calibri" w:cstheme="minorBidi"/>
      <w:sz w:val="24"/>
    </w:rPr>
  </w:style>
  <w:style w:type="paragraph" w:customStyle="1" w:styleId="120">
    <w:name w:val="ListBullet3"/>
    <w:basedOn w:val="1"/>
    <w:qFormat/>
    <w:uiPriority w:val="0"/>
    <w:pPr>
      <w:widowControl/>
      <w:tabs>
        <w:tab w:val="left" w:pos="1200"/>
      </w:tabs>
      <w:ind w:left="1200" w:hanging="360"/>
      <w:textAlignment w:val="baseline"/>
    </w:pPr>
    <w:rPr>
      <w:rFonts w:cstheme="minorBidi"/>
    </w:rPr>
  </w:style>
  <w:style w:type="paragraph" w:customStyle="1" w:styleId="121">
    <w:name w:val="BodyText"/>
    <w:basedOn w:val="1"/>
    <w:link w:val="122"/>
    <w:qFormat/>
    <w:uiPriority w:val="0"/>
    <w:pPr>
      <w:widowControl/>
      <w:spacing w:after="120"/>
      <w:textAlignment w:val="baseline"/>
    </w:pPr>
    <w:rPr>
      <w:rFonts w:ascii="Calibri" w:hAnsi="Calibri" w:cstheme="minorBidi"/>
      <w:kern w:val="0"/>
      <w:sz w:val="20"/>
    </w:rPr>
  </w:style>
  <w:style w:type="character" w:customStyle="1" w:styleId="122">
    <w:name w:val="UserStyle_21"/>
    <w:link w:val="121"/>
    <w:qFormat/>
    <w:uiPriority w:val="0"/>
    <w:rPr>
      <w:rFonts w:ascii="Calibri" w:hAnsi="Calibri" w:cstheme="minorBidi"/>
      <w:szCs w:val="24"/>
    </w:rPr>
  </w:style>
  <w:style w:type="paragraph" w:customStyle="1" w:styleId="123">
    <w:name w:val="ListNumber3"/>
    <w:basedOn w:val="1"/>
    <w:qFormat/>
    <w:uiPriority w:val="0"/>
    <w:pPr>
      <w:widowControl/>
      <w:tabs>
        <w:tab w:val="left" w:pos="1200"/>
      </w:tabs>
      <w:ind w:left="1200" w:hanging="360"/>
      <w:textAlignment w:val="baseline"/>
    </w:pPr>
    <w:rPr>
      <w:rFonts w:cstheme="minorBidi"/>
    </w:rPr>
  </w:style>
  <w:style w:type="paragraph" w:customStyle="1" w:styleId="124">
    <w:name w:val="List2"/>
    <w:basedOn w:val="1"/>
    <w:qFormat/>
    <w:uiPriority w:val="0"/>
    <w:pPr>
      <w:widowControl/>
      <w:ind w:left="100" w:leftChars="200" w:hanging="200" w:hangingChars="200"/>
      <w:textAlignment w:val="baseline"/>
    </w:pPr>
    <w:rPr>
      <w:rFonts w:cstheme="minorBidi"/>
    </w:rPr>
  </w:style>
  <w:style w:type="paragraph" w:customStyle="1" w:styleId="125">
    <w:name w:val="ListContinue"/>
    <w:basedOn w:val="1"/>
    <w:qFormat/>
    <w:uiPriority w:val="0"/>
    <w:pPr>
      <w:widowControl/>
      <w:spacing w:after="120"/>
      <w:ind w:left="420" w:leftChars="200"/>
      <w:textAlignment w:val="baseline"/>
    </w:pPr>
    <w:rPr>
      <w:rFonts w:cstheme="minorBidi"/>
    </w:rPr>
  </w:style>
  <w:style w:type="paragraph" w:customStyle="1" w:styleId="126">
    <w:name w:val="BlockQuote"/>
    <w:basedOn w:val="1"/>
    <w:qFormat/>
    <w:uiPriority w:val="0"/>
    <w:pPr>
      <w:widowControl/>
      <w:spacing w:after="120"/>
      <w:ind w:left="1440" w:leftChars="700" w:right="1440" w:rightChars="700"/>
      <w:textAlignment w:val="baseline"/>
    </w:pPr>
    <w:rPr>
      <w:rFonts w:cstheme="minorBidi"/>
    </w:rPr>
  </w:style>
  <w:style w:type="paragraph" w:customStyle="1" w:styleId="127">
    <w:name w:val="ListBullet2"/>
    <w:basedOn w:val="1"/>
    <w:qFormat/>
    <w:uiPriority w:val="0"/>
    <w:pPr>
      <w:widowControl/>
      <w:tabs>
        <w:tab w:val="left" w:pos="780"/>
      </w:tabs>
      <w:ind w:left="780" w:hanging="360"/>
      <w:textAlignment w:val="baseline"/>
    </w:pPr>
    <w:rPr>
      <w:rFonts w:cstheme="minorBidi"/>
    </w:rPr>
  </w:style>
  <w:style w:type="paragraph" w:customStyle="1" w:styleId="128">
    <w:name w:val="HtmlAddress"/>
    <w:basedOn w:val="1"/>
    <w:link w:val="129"/>
    <w:qFormat/>
    <w:uiPriority w:val="0"/>
    <w:pPr>
      <w:widowControl/>
      <w:textAlignment w:val="baseline"/>
    </w:pPr>
    <w:rPr>
      <w:rFonts w:cstheme="minorBidi"/>
      <w:i/>
      <w:iCs/>
      <w:kern w:val="0"/>
      <w:sz w:val="20"/>
    </w:rPr>
  </w:style>
  <w:style w:type="character" w:customStyle="1" w:styleId="129">
    <w:name w:val="UserStyle_22"/>
    <w:link w:val="128"/>
    <w:qFormat/>
    <w:uiPriority w:val="0"/>
    <w:rPr>
      <w:rFonts w:cstheme="minorBidi"/>
      <w:i/>
      <w:iCs/>
      <w:szCs w:val="24"/>
    </w:rPr>
  </w:style>
  <w:style w:type="paragraph" w:customStyle="1" w:styleId="130">
    <w:name w:val="Index4"/>
    <w:basedOn w:val="1"/>
    <w:next w:val="1"/>
    <w:qFormat/>
    <w:uiPriority w:val="0"/>
    <w:pPr>
      <w:widowControl/>
      <w:ind w:left="600" w:leftChars="600"/>
      <w:textAlignment w:val="baseline"/>
    </w:pPr>
    <w:rPr>
      <w:rFonts w:cstheme="minorBidi"/>
    </w:rPr>
  </w:style>
  <w:style w:type="paragraph" w:customStyle="1" w:styleId="131">
    <w:name w:val="TOC5"/>
    <w:basedOn w:val="1"/>
    <w:next w:val="1"/>
    <w:qFormat/>
    <w:uiPriority w:val="0"/>
    <w:pPr>
      <w:widowControl/>
      <w:ind w:left="1680" w:leftChars="800"/>
      <w:textAlignment w:val="baseline"/>
    </w:pPr>
    <w:rPr>
      <w:rFonts w:ascii="Calibri" w:hAnsi="Calibri" w:cstheme="minorBidi"/>
      <w:szCs w:val="22"/>
    </w:rPr>
  </w:style>
  <w:style w:type="paragraph" w:customStyle="1" w:styleId="132">
    <w:name w:val="TOC3"/>
    <w:basedOn w:val="1"/>
    <w:next w:val="1"/>
    <w:qFormat/>
    <w:uiPriority w:val="0"/>
    <w:pPr>
      <w:widowControl/>
      <w:tabs>
        <w:tab w:val="left" w:pos="1260"/>
        <w:tab w:val="right" w:leader="dot" w:pos="8296"/>
      </w:tabs>
      <w:ind w:left="840" w:leftChars="400"/>
      <w:textAlignment w:val="baseline"/>
    </w:pPr>
    <w:rPr>
      <w:rFonts w:cstheme="minorBidi"/>
    </w:rPr>
  </w:style>
  <w:style w:type="paragraph" w:customStyle="1" w:styleId="133">
    <w:name w:val="PlainText"/>
    <w:basedOn w:val="1"/>
    <w:link w:val="134"/>
    <w:qFormat/>
    <w:uiPriority w:val="0"/>
    <w:pPr>
      <w:widowControl/>
      <w:textAlignment w:val="baseline"/>
    </w:pPr>
    <w:rPr>
      <w:rFonts w:ascii="宋体" w:hAnsi="Courier New" w:cstheme="minorBidi"/>
      <w:kern w:val="0"/>
      <w:sz w:val="20"/>
      <w:szCs w:val="20"/>
    </w:rPr>
  </w:style>
  <w:style w:type="character" w:customStyle="1" w:styleId="134">
    <w:name w:val="UserStyle_23"/>
    <w:link w:val="133"/>
    <w:qFormat/>
    <w:uiPriority w:val="0"/>
    <w:rPr>
      <w:rFonts w:ascii="宋体" w:hAnsi="Courier New" w:cstheme="minorBidi"/>
    </w:rPr>
  </w:style>
  <w:style w:type="paragraph" w:customStyle="1" w:styleId="135">
    <w:name w:val="ListBullet5"/>
    <w:basedOn w:val="1"/>
    <w:qFormat/>
    <w:uiPriority w:val="0"/>
    <w:pPr>
      <w:widowControl/>
      <w:tabs>
        <w:tab w:val="left" w:pos="2040"/>
      </w:tabs>
      <w:ind w:left="2040" w:hanging="360"/>
      <w:textAlignment w:val="baseline"/>
    </w:pPr>
    <w:rPr>
      <w:rFonts w:cstheme="minorBidi"/>
    </w:rPr>
  </w:style>
  <w:style w:type="paragraph" w:customStyle="1" w:styleId="136">
    <w:name w:val="ListNumber4"/>
    <w:basedOn w:val="1"/>
    <w:qFormat/>
    <w:uiPriority w:val="0"/>
    <w:pPr>
      <w:widowControl/>
      <w:tabs>
        <w:tab w:val="left" w:pos="1620"/>
      </w:tabs>
      <w:ind w:left="1620" w:hanging="360"/>
      <w:textAlignment w:val="baseline"/>
    </w:pPr>
    <w:rPr>
      <w:rFonts w:cstheme="minorBidi"/>
    </w:rPr>
  </w:style>
  <w:style w:type="paragraph" w:customStyle="1" w:styleId="137">
    <w:name w:val="TOC8"/>
    <w:basedOn w:val="1"/>
    <w:next w:val="1"/>
    <w:qFormat/>
    <w:uiPriority w:val="0"/>
    <w:pPr>
      <w:widowControl/>
      <w:ind w:left="2940" w:leftChars="1400"/>
      <w:textAlignment w:val="baseline"/>
    </w:pPr>
    <w:rPr>
      <w:rFonts w:ascii="Calibri" w:hAnsi="Calibri" w:cstheme="minorBidi"/>
      <w:szCs w:val="22"/>
    </w:rPr>
  </w:style>
  <w:style w:type="paragraph" w:customStyle="1" w:styleId="138">
    <w:name w:val="Index3"/>
    <w:basedOn w:val="1"/>
    <w:next w:val="1"/>
    <w:qFormat/>
    <w:uiPriority w:val="0"/>
    <w:pPr>
      <w:widowControl/>
      <w:ind w:left="400" w:leftChars="400"/>
      <w:textAlignment w:val="baseline"/>
    </w:pPr>
    <w:rPr>
      <w:rFonts w:cstheme="minorBidi"/>
    </w:rPr>
  </w:style>
  <w:style w:type="paragraph" w:customStyle="1" w:styleId="139">
    <w:name w:val="BodyTextIndent2"/>
    <w:basedOn w:val="1"/>
    <w:link w:val="140"/>
    <w:qFormat/>
    <w:uiPriority w:val="0"/>
    <w:pPr>
      <w:widowControl/>
      <w:spacing w:after="120" w:line="480" w:lineRule="auto"/>
      <w:ind w:left="420" w:leftChars="200"/>
      <w:textAlignment w:val="baseline"/>
    </w:pPr>
    <w:rPr>
      <w:rFonts w:ascii="Calibri" w:hAnsi="Calibri" w:cstheme="minorBidi"/>
      <w:kern w:val="0"/>
      <w:sz w:val="20"/>
    </w:rPr>
  </w:style>
  <w:style w:type="character" w:customStyle="1" w:styleId="140">
    <w:name w:val="UserStyle_25"/>
    <w:link w:val="139"/>
    <w:qFormat/>
    <w:uiPriority w:val="0"/>
    <w:rPr>
      <w:rFonts w:ascii="Calibri" w:hAnsi="Calibri" w:cstheme="minorBidi"/>
      <w:szCs w:val="24"/>
    </w:rPr>
  </w:style>
  <w:style w:type="paragraph" w:customStyle="1" w:styleId="141">
    <w:name w:val="EndnoteText"/>
    <w:basedOn w:val="1"/>
    <w:link w:val="142"/>
    <w:qFormat/>
    <w:uiPriority w:val="0"/>
    <w:pPr>
      <w:widowControl/>
      <w:snapToGrid w:val="0"/>
      <w:jc w:val="left"/>
      <w:textAlignment w:val="baseline"/>
    </w:pPr>
    <w:rPr>
      <w:rFonts w:ascii="Calibri" w:hAnsi="Calibri" w:cstheme="minorBidi"/>
      <w:kern w:val="0"/>
      <w:sz w:val="20"/>
    </w:rPr>
  </w:style>
  <w:style w:type="character" w:customStyle="1" w:styleId="142">
    <w:name w:val="UserStyle_26"/>
    <w:link w:val="141"/>
    <w:qFormat/>
    <w:uiPriority w:val="0"/>
    <w:rPr>
      <w:rFonts w:ascii="Calibri" w:hAnsi="Calibri" w:cstheme="minorBidi"/>
      <w:szCs w:val="24"/>
    </w:rPr>
  </w:style>
  <w:style w:type="paragraph" w:customStyle="1" w:styleId="143">
    <w:name w:val="ListContinue5"/>
    <w:basedOn w:val="1"/>
    <w:qFormat/>
    <w:uiPriority w:val="0"/>
    <w:pPr>
      <w:widowControl/>
      <w:spacing w:after="120"/>
      <w:ind w:left="2100" w:leftChars="1000"/>
      <w:textAlignment w:val="baseline"/>
    </w:pPr>
    <w:rPr>
      <w:rFonts w:cstheme="minorBidi"/>
    </w:rPr>
  </w:style>
  <w:style w:type="paragraph" w:customStyle="1" w:styleId="144">
    <w:name w:val="Acetate"/>
    <w:basedOn w:val="1"/>
    <w:link w:val="145"/>
    <w:qFormat/>
    <w:uiPriority w:val="0"/>
    <w:pPr>
      <w:widowControl/>
      <w:textAlignment w:val="baseline"/>
    </w:pPr>
    <w:rPr>
      <w:rFonts w:ascii="Calibri" w:hAnsi="Calibri" w:cstheme="minorBidi"/>
      <w:kern w:val="0"/>
      <w:sz w:val="18"/>
      <w:szCs w:val="18"/>
    </w:rPr>
  </w:style>
  <w:style w:type="character" w:customStyle="1" w:styleId="145">
    <w:name w:val="UserStyle_27"/>
    <w:link w:val="144"/>
    <w:qFormat/>
    <w:uiPriority w:val="0"/>
    <w:rPr>
      <w:rFonts w:ascii="Calibri" w:hAnsi="Calibri" w:cstheme="minorBidi"/>
      <w:sz w:val="18"/>
      <w:szCs w:val="18"/>
    </w:rPr>
  </w:style>
  <w:style w:type="paragraph" w:customStyle="1" w:styleId="146">
    <w:name w:val="TOC1"/>
    <w:basedOn w:val="1"/>
    <w:next w:val="1"/>
    <w:qFormat/>
    <w:uiPriority w:val="0"/>
    <w:pPr>
      <w:widowControl/>
      <w:spacing w:line="440" w:lineRule="exact"/>
      <w:jc w:val="center"/>
      <w:textAlignment w:val="baseline"/>
    </w:pPr>
    <w:rPr>
      <w:rFonts w:cstheme="minorBidi"/>
    </w:rPr>
  </w:style>
  <w:style w:type="paragraph" w:customStyle="1" w:styleId="147">
    <w:name w:val="ListContinue4"/>
    <w:basedOn w:val="1"/>
    <w:qFormat/>
    <w:uiPriority w:val="0"/>
    <w:pPr>
      <w:widowControl/>
      <w:spacing w:after="120"/>
      <w:ind w:left="1680" w:leftChars="800"/>
      <w:textAlignment w:val="baseline"/>
    </w:pPr>
    <w:rPr>
      <w:rFonts w:cstheme="minorBidi"/>
    </w:rPr>
  </w:style>
  <w:style w:type="paragraph" w:customStyle="1" w:styleId="148">
    <w:name w:val="TOC4"/>
    <w:basedOn w:val="1"/>
    <w:next w:val="1"/>
    <w:qFormat/>
    <w:uiPriority w:val="0"/>
    <w:pPr>
      <w:widowControl/>
      <w:ind w:left="1260" w:leftChars="600"/>
      <w:textAlignment w:val="baseline"/>
    </w:pPr>
    <w:rPr>
      <w:rFonts w:ascii="Calibri" w:hAnsi="Calibri" w:cstheme="minorBidi"/>
      <w:szCs w:val="22"/>
    </w:rPr>
  </w:style>
  <w:style w:type="paragraph" w:customStyle="1" w:styleId="149">
    <w:name w:val="IndexHeading"/>
    <w:basedOn w:val="1"/>
    <w:next w:val="150"/>
    <w:qFormat/>
    <w:uiPriority w:val="0"/>
    <w:pPr>
      <w:widowControl/>
      <w:textAlignment w:val="baseline"/>
    </w:pPr>
    <w:rPr>
      <w:rFonts w:ascii="Arial" w:hAnsi="Arial" w:cs="Arial"/>
      <w:b/>
      <w:bCs/>
    </w:rPr>
  </w:style>
  <w:style w:type="paragraph" w:customStyle="1" w:styleId="150">
    <w:name w:val="Index1"/>
    <w:basedOn w:val="1"/>
    <w:next w:val="1"/>
    <w:qFormat/>
    <w:uiPriority w:val="0"/>
    <w:pPr>
      <w:widowControl/>
      <w:spacing w:line="220" w:lineRule="exact"/>
      <w:jc w:val="center"/>
      <w:textAlignment w:val="baseline"/>
    </w:pPr>
    <w:rPr>
      <w:rFonts w:ascii="仿宋_GB2312" w:eastAsia="仿宋_GB2312" w:cstheme="minorBidi"/>
      <w:szCs w:val="21"/>
    </w:rPr>
  </w:style>
  <w:style w:type="paragraph" w:customStyle="1" w:styleId="151">
    <w:name w:val="ListNumber5"/>
    <w:basedOn w:val="1"/>
    <w:qFormat/>
    <w:uiPriority w:val="0"/>
    <w:pPr>
      <w:widowControl/>
      <w:tabs>
        <w:tab w:val="left" w:pos="2040"/>
      </w:tabs>
      <w:ind w:left="2040" w:hanging="360"/>
      <w:textAlignment w:val="baseline"/>
    </w:pPr>
    <w:rPr>
      <w:rFonts w:cstheme="minorBidi"/>
    </w:rPr>
  </w:style>
  <w:style w:type="paragraph" w:customStyle="1" w:styleId="152">
    <w:name w:val="FootnoteText"/>
    <w:basedOn w:val="1"/>
    <w:link w:val="153"/>
    <w:qFormat/>
    <w:uiPriority w:val="0"/>
    <w:pPr>
      <w:widowControl/>
      <w:snapToGrid w:val="0"/>
      <w:jc w:val="left"/>
      <w:textAlignment w:val="baseline"/>
    </w:pPr>
    <w:rPr>
      <w:rFonts w:ascii="Calibri" w:hAnsi="Calibri" w:cstheme="minorBidi"/>
      <w:kern w:val="0"/>
      <w:sz w:val="18"/>
      <w:szCs w:val="18"/>
    </w:rPr>
  </w:style>
  <w:style w:type="character" w:customStyle="1" w:styleId="153">
    <w:name w:val="UserStyle_32"/>
    <w:link w:val="152"/>
    <w:qFormat/>
    <w:uiPriority w:val="0"/>
    <w:rPr>
      <w:rFonts w:ascii="Calibri" w:hAnsi="Calibri" w:cstheme="minorBidi"/>
      <w:sz w:val="18"/>
      <w:szCs w:val="18"/>
    </w:rPr>
  </w:style>
  <w:style w:type="paragraph" w:customStyle="1" w:styleId="154">
    <w:name w:val="TOC6"/>
    <w:basedOn w:val="1"/>
    <w:next w:val="1"/>
    <w:qFormat/>
    <w:uiPriority w:val="0"/>
    <w:pPr>
      <w:widowControl/>
      <w:ind w:left="2100" w:leftChars="1000"/>
      <w:textAlignment w:val="baseline"/>
    </w:pPr>
    <w:rPr>
      <w:rFonts w:ascii="Calibri" w:hAnsi="Calibri" w:cstheme="minorBidi"/>
      <w:szCs w:val="22"/>
    </w:rPr>
  </w:style>
  <w:style w:type="paragraph" w:customStyle="1" w:styleId="155">
    <w:name w:val="List5"/>
    <w:basedOn w:val="1"/>
    <w:qFormat/>
    <w:uiPriority w:val="0"/>
    <w:pPr>
      <w:widowControl/>
      <w:ind w:left="100" w:leftChars="800" w:hanging="200" w:hangingChars="200"/>
      <w:textAlignment w:val="baseline"/>
    </w:pPr>
    <w:rPr>
      <w:rFonts w:cstheme="minorBidi"/>
    </w:rPr>
  </w:style>
  <w:style w:type="paragraph" w:customStyle="1" w:styleId="156">
    <w:name w:val="BodyTextIndent3"/>
    <w:basedOn w:val="1"/>
    <w:link w:val="157"/>
    <w:qFormat/>
    <w:uiPriority w:val="0"/>
    <w:pPr>
      <w:widowControl/>
      <w:spacing w:after="120"/>
      <w:ind w:left="420" w:leftChars="200"/>
      <w:textAlignment w:val="baseline"/>
    </w:pPr>
    <w:rPr>
      <w:rFonts w:ascii="Calibri" w:hAnsi="Calibri" w:cstheme="minorBidi"/>
      <w:kern w:val="0"/>
      <w:sz w:val="16"/>
      <w:szCs w:val="16"/>
    </w:rPr>
  </w:style>
  <w:style w:type="character" w:customStyle="1" w:styleId="157">
    <w:name w:val="UserStyle_33"/>
    <w:link w:val="156"/>
    <w:qFormat/>
    <w:uiPriority w:val="0"/>
    <w:rPr>
      <w:rFonts w:ascii="Calibri" w:hAnsi="Calibri" w:cstheme="minorBidi"/>
      <w:sz w:val="16"/>
      <w:szCs w:val="16"/>
    </w:rPr>
  </w:style>
  <w:style w:type="paragraph" w:customStyle="1" w:styleId="158">
    <w:name w:val="Index7"/>
    <w:basedOn w:val="1"/>
    <w:next w:val="1"/>
    <w:qFormat/>
    <w:uiPriority w:val="0"/>
    <w:pPr>
      <w:widowControl/>
      <w:ind w:left="1200" w:leftChars="1200"/>
      <w:textAlignment w:val="baseline"/>
    </w:pPr>
    <w:rPr>
      <w:rFonts w:cstheme="minorBidi"/>
    </w:rPr>
  </w:style>
  <w:style w:type="paragraph" w:customStyle="1" w:styleId="159">
    <w:name w:val="Index9"/>
    <w:basedOn w:val="1"/>
    <w:next w:val="1"/>
    <w:qFormat/>
    <w:uiPriority w:val="0"/>
    <w:pPr>
      <w:widowControl/>
      <w:ind w:left="1600" w:leftChars="1600"/>
      <w:textAlignment w:val="baseline"/>
    </w:pPr>
    <w:rPr>
      <w:rFonts w:cstheme="minorBidi"/>
    </w:rPr>
  </w:style>
  <w:style w:type="paragraph" w:customStyle="1" w:styleId="160">
    <w:name w:val="ToCaption"/>
    <w:basedOn w:val="1"/>
    <w:next w:val="1"/>
    <w:qFormat/>
    <w:uiPriority w:val="0"/>
    <w:pPr>
      <w:widowControl/>
      <w:ind w:left="200" w:leftChars="200" w:hanging="200" w:hangingChars="200"/>
      <w:textAlignment w:val="baseline"/>
    </w:pPr>
    <w:rPr>
      <w:rFonts w:cstheme="minorBidi"/>
    </w:rPr>
  </w:style>
  <w:style w:type="paragraph" w:customStyle="1" w:styleId="161">
    <w:name w:val="TOC2"/>
    <w:basedOn w:val="1"/>
    <w:next w:val="1"/>
    <w:qFormat/>
    <w:uiPriority w:val="0"/>
    <w:pPr>
      <w:widowControl/>
      <w:ind w:left="420" w:leftChars="200"/>
      <w:textAlignment w:val="baseline"/>
    </w:pPr>
    <w:rPr>
      <w:rFonts w:cstheme="minorBidi"/>
    </w:rPr>
  </w:style>
  <w:style w:type="paragraph" w:customStyle="1" w:styleId="162">
    <w:name w:val="TOC9"/>
    <w:basedOn w:val="1"/>
    <w:next w:val="1"/>
    <w:qFormat/>
    <w:uiPriority w:val="0"/>
    <w:pPr>
      <w:widowControl/>
      <w:ind w:left="3360" w:leftChars="1600"/>
      <w:textAlignment w:val="baseline"/>
    </w:pPr>
    <w:rPr>
      <w:rFonts w:ascii="Calibri" w:hAnsi="Calibri" w:cstheme="minorBidi"/>
      <w:szCs w:val="22"/>
    </w:rPr>
  </w:style>
  <w:style w:type="paragraph" w:customStyle="1" w:styleId="163">
    <w:name w:val="BodyText2"/>
    <w:basedOn w:val="1"/>
    <w:link w:val="164"/>
    <w:qFormat/>
    <w:uiPriority w:val="0"/>
    <w:pPr>
      <w:widowControl/>
      <w:textAlignment w:val="baseline"/>
    </w:pPr>
    <w:rPr>
      <w:rFonts w:ascii="Arial" w:hAnsi="Arial" w:cstheme="minorBidi"/>
      <w:kern w:val="0"/>
      <w:sz w:val="22"/>
      <w:szCs w:val="20"/>
      <w:lang w:eastAsia="en-US"/>
    </w:rPr>
  </w:style>
  <w:style w:type="character" w:customStyle="1" w:styleId="164">
    <w:name w:val="UserStyle_34"/>
    <w:link w:val="163"/>
    <w:qFormat/>
    <w:uiPriority w:val="0"/>
    <w:rPr>
      <w:rFonts w:ascii="Arial" w:hAnsi="Arial" w:cstheme="minorBidi"/>
      <w:sz w:val="22"/>
      <w:lang w:eastAsia="en-US"/>
    </w:rPr>
  </w:style>
  <w:style w:type="paragraph" w:customStyle="1" w:styleId="165">
    <w:name w:val="List4"/>
    <w:basedOn w:val="1"/>
    <w:qFormat/>
    <w:uiPriority w:val="0"/>
    <w:pPr>
      <w:widowControl/>
      <w:ind w:left="100" w:leftChars="600" w:hanging="200" w:hangingChars="200"/>
      <w:textAlignment w:val="baseline"/>
    </w:pPr>
    <w:rPr>
      <w:rFonts w:cstheme="minorBidi"/>
    </w:rPr>
  </w:style>
  <w:style w:type="paragraph" w:customStyle="1" w:styleId="166">
    <w:name w:val="ListContinue2"/>
    <w:basedOn w:val="1"/>
    <w:qFormat/>
    <w:uiPriority w:val="0"/>
    <w:pPr>
      <w:widowControl/>
      <w:spacing w:after="120"/>
      <w:ind w:left="840" w:leftChars="400"/>
      <w:textAlignment w:val="baseline"/>
    </w:pPr>
    <w:rPr>
      <w:rFonts w:cstheme="minorBidi"/>
    </w:rPr>
  </w:style>
  <w:style w:type="paragraph" w:customStyle="1" w:styleId="167">
    <w:name w:val="MessageHeader"/>
    <w:basedOn w:val="1"/>
    <w:link w:val="168"/>
    <w:qFormat/>
    <w:uiPriority w:val="0"/>
    <w:pPr>
      <w:widowControl/>
      <w:pBdr>
        <w:top w:val="single" w:color="000000" w:sz="6" w:space="1"/>
        <w:left w:val="single" w:color="000000" w:sz="6" w:space="1"/>
        <w:bottom w:val="single" w:color="000000" w:sz="6" w:space="1"/>
        <w:right w:val="single" w:color="000000" w:sz="6" w:space="1"/>
      </w:pBdr>
      <w:ind w:left="1080" w:leftChars="500" w:hanging="1080" w:hangingChars="500"/>
      <w:textAlignment w:val="baseline"/>
    </w:pPr>
    <w:rPr>
      <w:rFonts w:ascii="Arial" w:hAnsi="Arial" w:cstheme="minorBidi"/>
      <w:kern w:val="0"/>
      <w:sz w:val="24"/>
    </w:rPr>
  </w:style>
  <w:style w:type="character" w:customStyle="1" w:styleId="168">
    <w:name w:val="UserStyle_35"/>
    <w:link w:val="167"/>
    <w:qFormat/>
    <w:uiPriority w:val="0"/>
    <w:rPr>
      <w:rFonts w:ascii="Arial" w:hAnsi="Arial" w:cstheme="minorBidi"/>
      <w:sz w:val="24"/>
      <w:szCs w:val="24"/>
    </w:rPr>
  </w:style>
  <w:style w:type="paragraph" w:customStyle="1" w:styleId="169">
    <w:name w:val="HtmlPre"/>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alibri" w:eastAsia="黑体" w:cstheme="minorBidi"/>
      <w:kern w:val="0"/>
      <w:sz w:val="20"/>
    </w:rPr>
  </w:style>
  <w:style w:type="character" w:customStyle="1" w:styleId="170">
    <w:name w:val="UserStyle_36"/>
    <w:link w:val="169"/>
    <w:qFormat/>
    <w:uiPriority w:val="0"/>
    <w:rPr>
      <w:rFonts w:ascii="黑体" w:hAnsi="Calibri" w:eastAsia="黑体" w:cstheme="minorBidi"/>
      <w:szCs w:val="24"/>
    </w:rPr>
  </w:style>
  <w:style w:type="paragraph" w:customStyle="1" w:styleId="171">
    <w:name w:val="HtmlNormal"/>
    <w:basedOn w:val="1"/>
    <w:qFormat/>
    <w:uiPriority w:val="0"/>
    <w:pPr>
      <w:widowControl/>
      <w:spacing w:before="100" w:beforeAutospacing="1" w:after="100" w:afterAutospacing="1"/>
      <w:jc w:val="left"/>
      <w:textAlignment w:val="baseline"/>
    </w:pPr>
    <w:rPr>
      <w:rFonts w:ascii="宋体" w:hAnsi="宋体" w:cstheme="minorBidi"/>
      <w:kern w:val="0"/>
      <w:sz w:val="24"/>
      <w:szCs w:val="22"/>
    </w:rPr>
  </w:style>
  <w:style w:type="paragraph" w:customStyle="1" w:styleId="172">
    <w:name w:val="ListContinue3"/>
    <w:basedOn w:val="1"/>
    <w:qFormat/>
    <w:uiPriority w:val="0"/>
    <w:pPr>
      <w:widowControl/>
      <w:spacing w:after="120"/>
      <w:ind w:left="1260" w:leftChars="600"/>
      <w:textAlignment w:val="baseline"/>
    </w:pPr>
    <w:rPr>
      <w:rFonts w:cstheme="minorBidi"/>
    </w:rPr>
  </w:style>
  <w:style w:type="paragraph" w:customStyle="1" w:styleId="173">
    <w:name w:val="Index2"/>
    <w:basedOn w:val="1"/>
    <w:next w:val="1"/>
    <w:qFormat/>
    <w:uiPriority w:val="0"/>
    <w:pPr>
      <w:widowControl/>
      <w:ind w:left="200" w:leftChars="200"/>
      <w:textAlignment w:val="baseline"/>
    </w:pPr>
    <w:rPr>
      <w:rFonts w:cstheme="minorBidi"/>
    </w:rPr>
  </w:style>
  <w:style w:type="paragraph" w:customStyle="1" w:styleId="174">
    <w:name w:val="AnnotationSubject"/>
    <w:basedOn w:val="115"/>
    <w:next w:val="115"/>
    <w:link w:val="175"/>
    <w:qFormat/>
    <w:uiPriority w:val="0"/>
    <w:rPr>
      <w:rFonts w:cs="Calibri"/>
      <w:b/>
      <w:bCs/>
    </w:rPr>
  </w:style>
  <w:style w:type="character" w:customStyle="1" w:styleId="175">
    <w:name w:val="UserStyle_38"/>
    <w:link w:val="174"/>
    <w:qFormat/>
    <w:uiPriority w:val="0"/>
    <w:rPr>
      <w:rFonts w:ascii="Calibri" w:hAnsi="Calibri" w:cs="Calibri"/>
      <w:b/>
      <w:bCs/>
      <w:szCs w:val="24"/>
    </w:rPr>
  </w:style>
  <w:style w:type="paragraph" w:customStyle="1" w:styleId="176">
    <w:name w:val="BodyText1I"/>
    <w:basedOn w:val="121"/>
    <w:link w:val="177"/>
    <w:qFormat/>
    <w:uiPriority w:val="0"/>
    <w:pPr>
      <w:ind w:firstLine="420"/>
      <w:jc w:val="left"/>
    </w:pPr>
    <w:rPr>
      <w:rFonts w:ascii="宋体" w:hAnsi="Times New Roman"/>
      <w:sz w:val="34"/>
    </w:rPr>
  </w:style>
  <w:style w:type="character" w:customStyle="1" w:styleId="177">
    <w:name w:val="UserStyle_39"/>
    <w:link w:val="176"/>
    <w:qFormat/>
    <w:uiPriority w:val="0"/>
    <w:rPr>
      <w:rFonts w:ascii="宋体" w:cstheme="minorBidi"/>
      <w:sz w:val="34"/>
      <w:szCs w:val="24"/>
    </w:rPr>
  </w:style>
  <w:style w:type="character" w:customStyle="1" w:styleId="178">
    <w:name w:val="EndnoteReference"/>
    <w:qFormat/>
    <w:uiPriority w:val="0"/>
    <w:rPr>
      <w:vertAlign w:val="superscript"/>
    </w:rPr>
  </w:style>
  <w:style w:type="character" w:customStyle="1" w:styleId="179">
    <w:name w:val="PageNumber"/>
    <w:basedOn w:val="64"/>
    <w:qFormat/>
    <w:uiPriority w:val="0"/>
    <w:rPr>
      <w:rFonts w:ascii="Times New Roman" w:hAnsi="Times New Roman" w:eastAsia="宋体" w:cstheme="minorBidi"/>
      <w:kern w:val="2"/>
      <w:sz w:val="21"/>
      <w:szCs w:val="24"/>
      <w:lang w:val="en-US" w:eastAsia="zh-CN" w:bidi="ar-SA"/>
    </w:rPr>
  </w:style>
  <w:style w:type="character" w:customStyle="1" w:styleId="180">
    <w:name w:val="HtmlDfn"/>
    <w:qFormat/>
    <w:uiPriority w:val="0"/>
  </w:style>
  <w:style w:type="character" w:customStyle="1" w:styleId="181">
    <w:name w:val="HtmlAcronym"/>
    <w:basedOn w:val="64"/>
    <w:qFormat/>
    <w:uiPriority w:val="0"/>
    <w:rPr>
      <w:rFonts w:ascii="Times New Roman" w:hAnsi="Times New Roman" w:eastAsia="宋体" w:cstheme="minorBidi"/>
      <w:kern w:val="2"/>
      <w:sz w:val="21"/>
      <w:szCs w:val="24"/>
      <w:lang w:val="en-US" w:eastAsia="zh-CN" w:bidi="ar-SA"/>
    </w:rPr>
  </w:style>
  <w:style w:type="character" w:customStyle="1" w:styleId="182">
    <w:name w:val="HtmlVar"/>
    <w:qFormat/>
    <w:uiPriority w:val="0"/>
  </w:style>
  <w:style w:type="character" w:customStyle="1" w:styleId="183">
    <w:name w:val="HtmlCode"/>
    <w:qFormat/>
    <w:uiPriority w:val="0"/>
    <w:rPr>
      <w:rFonts w:ascii="Courier New" w:hAnsi="Courier New" w:eastAsia="Courier New"/>
      <w:sz w:val="20"/>
    </w:rPr>
  </w:style>
  <w:style w:type="character" w:customStyle="1" w:styleId="184">
    <w:name w:val="AnnotationReference"/>
    <w:qFormat/>
    <w:uiPriority w:val="0"/>
    <w:rPr>
      <w:sz w:val="21"/>
      <w:szCs w:val="21"/>
    </w:rPr>
  </w:style>
  <w:style w:type="character" w:customStyle="1" w:styleId="185">
    <w:name w:val="HtmlCite"/>
    <w:qFormat/>
    <w:uiPriority w:val="0"/>
  </w:style>
  <w:style w:type="character" w:customStyle="1" w:styleId="186">
    <w:name w:val="FootnoteReference"/>
    <w:qFormat/>
    <w:uiPriority w:val="0"/>
    <w:rPr>
      <w:vertAlign w:val="superscript"/>
    </w:rPr>
  </w:style>
  <w:style w:type="character" w:customStyle="1" w:styleId="187">
    <w:name w:val="HtmlKbd"/>
    <w:qFormat/>
    <w:uiPriority w:val="0"/>
    <w:rPr>
      <w:rFonts w:ascii="Courier New" w:hAnsi="Courier New" w:eastAsia="Courier New"/>
      <w:sz w:val="20"/>
    </w:rPr>
  </w:style>
  <w:style w:type="character" w:customStyle="1" w:styleId="188">
    <w:name w:val="htmlSamp"/>
    <w:qFormat/>
    <w:uiPriority w:val="0"/>
    <w:rPr>
      <w:rFonts w:ascii="Courier New" w:hAnsi="Courier New" w:eastAsia="Courier New"/>
    </w:rPr>
  </w:style>
  <w:style w:type="paragraph" w:customStyle="1" w:styleId="189">
    <w:name w:val="UserStyle_40"/>
    <w:basedOn w:val="1"/>
    <w:qFormat/>
    <w:uiPriority w:val="0"/>
    <w:pPr>
      <w:widowControl/>
      <w:spacing w:line="360" w:lineRule="atLeast"/>
      <w:ind w:firstLine="480" w:firstLineChars="200"/>
      <w:textAlignment w:val="baseline"/>
    </w:pPr>
    <w:rPr>
      <w:rFonts w:ascii="Arial" w:hAnsi="Arial" w:cstheme="minorBidi"/>
      <w:kern w:val="0"/>
      <w:sz w:val="20"/>
      <w:szCs w:val="20"/>
    </w:rPr>
  </w:style>
  <w:style w:type="character" w:customStyle="1" w:styleId="190">
    <w:name w:val="UserStyle_41"/>
    <w:qFormat/>
    <w:uiPriority w:val="0"/>
    <w:rPr>
      <w:rFonts w:ascii="宋体" w:hAnsi="Courier New"/>
      <w:kern w:val="2"/>
      <w:sz w:val="21"/>
      <w:szCs w:val="21"/>
    </w:rPr>
  </w:style>
  <w:style w:type="character" w:customStyle="1" w:styleId="191">
    <w:name w:val="UserStyle_42"/>
    <w:qFormat/>
    <w:uiPriority w:val="0"/>
    <w:rPr>
      <w:kern w:val="2"/>
      <w:sz w:val="21"/>
      <w:szCs w:val="22"/>
    </w:rPr>
  </w:style>
  <w:style w:type="character" w:customStyle="1" w:styleId="192">
    <w:name w:val="UserStyle_43"/>
    <w:qFormat/>
    <w:uiPriority w:val="0"/>
    <w:rPr>
      <w:b/>
      <w:szCs w:val="24"/>
      <w:lang w:val="en-US" w:eastAsia="zh-CN"/>
    </w:rPr>
  </w:style>
  <w:style w:type="character" w:customStyle="1" w:styleId="193">
    <w:name w:val="UserStyle_44"/>
    <w:qFormat/>
    <w:locked/>
    <w:uiPriority w:val="0"/>
    <w:rPr>
      <w:rFonts w:ascii="Calibri" w:hAnsi="Calibri" w:eastAsia="宋体"/>
      <w:kern w:val="2"/>
      <w:sz w:val="21"/>
      <w:szCs w:val="22"/>
    </w:rPr>
  </w:style>
  <w:style w:type="character" w:customStyle="1" w:styleId="194">
    <w:name w:val="UserStyle_45"/>
    <w:qFormat/>
    <w:uiPriority w:val="0"/>
    <w:rPr>
      <w:rFonts w:ascii="Times New Roman" w:hAnsi="Times New Roman" w:eastAsia="宋体"/>
      <w:szCs w:val="24"/>
    </w:rPr>
  </w:style>
  <w:style w:type="character" w:customStyle="1" w:styleId="195">
    <w:name w:val="UserStyle_46"/>
    <w:qFormat/>
    <w:uiPriority w:val="0"/>
    <w:rPr>
      <w:rFonts w:ascii="Cambria" w:hAnsi="Cambria" w:eastAsia="宋体"/>
      <w:sz w:val="24"/>
      <w:szCs w:val="24"/>
    </w:rPr>
  </w:style>
  <w:style w:type="character" w:customStyle="1" w:styleId="196">
    <w:name w:val="UserStyle_47"/>
    <w:qFormat/>
    <w:uiPriority w:val="0"/>
  </w:style>
  <w:style w:type="character" w:customStyle="1" w:styleId="197">
    <w:name w:val="UserStyle_48"/>
    <w:qFormat/>
    <w:uiPriority w:val="0"/>
    <w:rPr>
      <w:rFonts w:ascii="Times New Roman" w:hAnsi="Times New Roman" w:eastAsia="宋体" w:cs="Times New Roman"/>
      <w:b/>
      <w:bCs/>
      <w:sz w:val="24"/>
      <w:szCs w:val="24"/>
    </w:rPr>
  </w:style>
  <w:style w:type="character" w:customStyle="1" w:styleId="198">
    <w:name w:val="UserStyle_49"/>
    <w:qFormat/>
    <w:uiPriority w:val="0"/>
    <w:rPr>
      <w:sz w:val="20"/>
      <w:szCs w:val="20"/>
    </w:rPr>
  </w:style>
  <w:style w:type="character" w:customStyle="1" w:styleId="199">
    <w:name w:val="263"/>
    <w:qFormat/>
    <w:uiPriority w:val="0"/>
    <w:rPr>
      <w:rFonts w:cs="Calibri"/>
      <w:b/>
      <w:bCs/>
      <w:smallCaps/>
      <w:color w:val="C0504D"/>
      <w:spacing w:val="5"/>
      <w:u w:val="single"/>
    </w:rPr>
  </w:style>
  <w:style w:type="character" w:customStyle="1" w:styleId="200">
    <w:name w:val="UserStyle_50"/>
    <w:qFormat/>
    <w:uiPriority w:val="0"/>
    <w:rPr>
      <w:rFonts w:ascii="Times New Roman" w:hAnsi="Times New Roman" w:eastAsia="宋体"/>
      <w:sz w:val="16"/>
      <w:szCs w:val="16"/>
    </w:rPr>
  </w:style>
  <w:style w:type="character" w:customStyle="1" w:styleId="201">
    <w:name w:val="UserStyle_51"/>
    <w:qFormat/>
    <w:uiPriority w:val="0"/>
    <w:rPr>
      <w:rFonts w:ascii="Calibri" w:hAnsi="Calibri" w:eastAsia="宋体"/>
      <w:i/>
      <w:iCs/>
      <w:color w:val="000000"/>
      <w:kern w:val="2"/>
      <w:sz w:val="21"/>
      <w:szCs w:val="22"/>
    </w:rPr>
  </w:style>
  <w:style w:type="character" w:customStyle="1" w:styleId="202">
    <w:name w:val="UserStyle_52"/>
    <w:link w:val="203"/>
    <w:qFormat/>
    <w:uiPriority w:val="0"/>
    <w:rPr>
      <w:szCs w:val="24"/>
    </w:rPr>
  </w:style>
  <w:style w:type="paragraph" w:customStyle="1" w:styleId="203">
    <w:name w:val="UserStyle_53"/>
    <w:basedOn w:val="204"/>
    <w:next w:val="204"/>
    <w:link w:val="202"/>
    <w:qFormat/>
    <w:uiPriority w:val="0"/>
    <w:pPr>
      <w:ind w:left="100" w:leftChars="2500"/>
    </w:pPr>
    <w:rPr>
      <w:rFonts w:cs="Times New Roman"/>
      <w:kern w:val="0"/>
      <w:sz w:val="20"/>
    </w:rPr>
  </w:style>
  <w:style w:type="paragraph" w:customStyle="1" w:styleId="204">
    <w:name w:val="UserStyle_54"/>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205">
    <w:name w:val="UserStyle_55"/>
    <w:qFormat/>
    <w:uiPriority w:val="0"/>
    <w:rPr>
      <w:rFonts w:ascii="Calibri" w:hAnsi="Calibri" w:eastAsia="宋体"/>
      <w:kern w:val="2"/>
      <w:sz w:val="21"/>
      <w:szCs w:val="22"/>
    </w:rPr>
  </w:style>
  <w:style w:type="character" w:customStyle="1" w:styleId="206">
    <w:name w:val="UserStyle_56"/>
    <w:link w:val="207"/>
    <w:qFormat/>
    <w:uiPriority w:val="0"/>
    <w:rPr>
      <w:b/>
      <w:sz w:val="32"/>
    </w:rPr>
  </w:style>
  <w:style w:type="paragraph" w:customStyle="1" w:styleId="207">
    <w:name w:val="UserStyle_57"/>
    <w:basedOn w:val="208"/>
    <w:next w:val="208"/>
    <w:link w:val="206"/>
    <w:qFormat/>
    <w:uiPriority w:val="0"/>
    <w:pPr>
      <w:keepNext/>
      <w:keepLines/>
      <w:spacing w:before="260" w:after="260" w:line="413" w:lineRule="auto"/>
    </w:pPr>
    <w:rPr>
      <w:rFonts w:cs="Times New Roman"/>
      <w:b/>
      <w:kern w:val="0"/>
      <w:sz w:val="32"/>
    </w:rPr>
  </w:style>
  <w:style w:type="paragraph" w:customStyle="1" w:styleId="208">
    <w:name w:val="UserStyle_58"/>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09">
    <w:name w:val="UserStyle_59"/>
    <w:qFormat/>
    <w:uiPriority w:val="0"/>
    <w:rPr>
      <w:rFonts w:cs="Calibri"/>
      <w:b/>
      <w:bCs/>
      <w:sz w:val="32"/>
      <w:szCs w:val="32"/>
    </w:rPr>
  </w:style>
  <w:style w:type="character" w:customStyle="1" w:styleId="210">
    <w:name w:val="UserStyle_60"/>
    <w:qFormat/>
    <w:uiPriority w:val="0"/>
    <w:rPr>
      <w:rFonts w:eastAsia="宋体"/>
      <w:kern w:val="2"/>
      <w:sz w:val="21"/>
      <w:szCs w:val="24"/>
      <w:lang w:val="en-US" w:eastAsia="zh-CN" w:bidi="ar-SA"/>
    </w:rPr>
  </w:style>
  <w:style w:type="character" w:customStyle="1" w:styleId="211">
    <w:name w:val="UserStyle_61"/>
    <w:qFormat/>
    <w:uiPriority w:val="0"/>
    <w:rPr>
      <w:rFonts w:ascii="Arial" w:hAnsi="Arial" w:eastAsia="黑体" w:cs="Times New Roman"/>
      <w:b/>
      <w:bCs/>
      <w:kern w:val="2"/>
      <w:sz w:val="32"/>
      <w:szCs w:val="32"/>
      <w:lang w:val="en-US" w:eastAsia="zh-CN" w:bidi="ar-SA"/>
    </w:rPr>
  </w:style>
  <w:style w:type="character" w:customStyle="1" w:styleId="212">
    <w:name w:val="UserStyle_62"/>
    <w:qFormat/>
    <w:uiPriority w:val="0"/>
    <w:rPr>
      <w:kern w:val="2"/>
      <w:sz w:val="18"/>
      <w:szCs w:val="18"/>
    </w:rPr>
  </w:style>
  <w:style w:type="character" w:customStyle="1" w:styleId="213">
    <w:name w:val="UserStyle_63"/>
    <w:qFormat/>
    <w:uiPriority w:val="0"/>
    <w:rPr>
      <w:rFonts w:ascii="Calibri" w:hAnsi="Calibri" w:eastAsia="宋体" w:cs="Times New Roman"/>
      <w:b/>
      <w:bCs/>
      <w:kern w:val="2"/>
      <w:sz w:val="21"/>
      <w:szCs w:val="22"/>
    </w:rPr>
  </w:style>
  <w:style w:type="character" w:customStyle="1" w:styleId="214">
    <w:name w:val="UserStyle_64"/>
    <w:link w:val="215"/>
    <w:qFormat/>
    <w:uiPriority w:val="0"/>
    <w:rPr>
      <w:rFonts w:ascii="Arial"/>
      <w:vanish/>
      <w:sz w:val="16"/>
      <w:szCs w:val="24"/>
    </w:rPr>
  </w:style>
  <w:style w:type="paragraph" w:customStyle="1" w:styleId="215">
    <w:name w:val="FormTop"/>
    <w:basedOn w:val="1"/>
    <w:next w:val="1"/>
    <w:link w:val="214"/>
    <w:qFormat/>
    <w:uiPriority w:val="0"/>
    <w:pPr>
      <w:widowControl/>
      <w:pBdr>
        <w:bottom w:val="single" w:color="000000" w:sz="6" w:space="1"/>
      </w:pBdr>
      <w:jc w:val="center"/>
      <w:textAlignment w:val="baseline"/>
    </w:pPr>
    <w:rPr>
      <w:rFonts w:ascii="Arial"/>
      <w:vanish/>
      <w:kern w:val="0"/>
      <w:sz w:val="16"/>
    </w:rPr>
  </w:style>
  <w:style w:type="character" w:customStyle="1" w:styleId="216">
    <w:name w:val="UserStyle_65"/>
    <w:qFormat/>
    <w:uiPriority w:val="0"/>
    <w:rPr>
      <w:rFonts w:ascii="Calibri" w:hAnsi="Calibri"/>
      <w:sz w:val="20"/>
      <w:szCs w:val="20"/>
    </w:rPr>
  </w:style>
  <w:style w:type="character" w:customStyle="1" w:styleId="217">
    <w:name w:val="UserStyle_66"/>
    <w:qFormat/>
    <w:uiPriority w:val="0"/>
  </w:style>
  <w:style w:type="character" w:customStyle="1" w:styleId="218">
    <w:name w:val="UserStyle_67"/>
    <w:qFormat/>
    <w:uiPriority w:val="0"/>
    <w:rPr>
      <w:rFonts w:ascii="Arial" w:hAnsi="Arial" w:eastAsia="黑体" w:cs="Calibri"/>
      <w:b/>
      <w:bCs/>
      <w:sz w:val="24"/>
      <w:szCs w:val="24"/>
      <w:lang w:val="en-US" w:eastAsia="zh-CN" w:bidi="ar-SA"/>
    </w:rPr>
  </w:style>
  <w:style w:type="character" w:customStyle="1" w:styleId="219">
    <w:name w:val="UserStyle_68"/>
    <w:qFormat/>
    <w:uiPriority w:val="0"/>
    <w:rPr>
      <w:kern w:val="2"/>
      <w:sz w:val="18"/>
      <w:szCs w:val="18"/>
    </w:rPr>
  </w:style>
  <w:style w:type="character" w:customStyle="1" w:styleId="220">
    <w:name w:val="UserStyle_70"/>
    <w:qFormat/>
    <w:uiPriority w:val="0"/>
    <w:rPr>
      <w:rFonts w:ascii="宋体" w:hAnsi="Courier New"/>
      <w:kern w:val="2"/>
      <w:sz w:val="21"/>
    </w:rPr>
  </w:style>
  <w:style w:type="character" w:customStyle="1" w:styleId="221">
    <w:name w:val="UserStyle_71"/>
    <w:qFormat/>
    <w:uiPriority w:val="0"/>
    <w:rPr>
      <w:rFonts w:ascii="Times New Roman" w:hAnsi="Times New Roman" w:eastAsia="宋体"/>
      <w:szCs w:val="24"/>
    </w:rPr>
  </w:style>
  <w:style w:type="character" w:customStyle="1" w:styleId="222">
    <w:name w:val="UserStyle_72"/>
    <w:qFormat/>
    <w:uiPriority w:val="0"/>
    <w:rPr>
      <w:rFonts w:ascii="Cambria" w:hAnsi="Cambria" w:cs="Times New Roman"/>
      <w:b/>
      <w:bCs/>
      <w:kern w:val="28"/>
      <w:sz w:val="32"/>
      <w:szCs w:val="32"/>
    </w:rPr>
  </w:style>
  <w:style w:type="character" w:customStyle="1" w:styleId="223">
    <w:name w:val="UserStyle_73"/>
    <w:link w:val="224"/>
    <w:qFormat/>
    <w:uiPriority w:val="0"/>
    <w:rPr>
      <w:b/>
      <w:kern w:val="44"/>
      <w:sz w:val="44"/>
    </w:rPr>
  </w:style>
  <w:style w:type="paragraph" w:customStyle="1" w:styleId="224">
    <w:name w:val="UserStyle_74"/>
    <w:basedOn w:val="225"/>
    <w:next w:val="225"/>
    <w:link w:val="223"/>
    <w:qFormat/>
    <w:uiPriority w:val="0"/>
    <w:pPr>
      <w:keepNext/>
      <w:keepLines/>
      <w:spacing w:before="340" w:after="330" w:line="576" w:lineRule="auto"/>
    </w:pPr>
    <w:rPr>
      <w:rFonts w:cs="Times New Roman"/>
      <w:b/>
      <w:kern w:val="44"/>
      <w:sz w:val="44"/>
    </w:rPr>
  </w:style>
  <w:style w:type="paragraph" w:customStyle="1" w:styleId="225">
    <w:name w:val="UserStyle_75"/>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26">
    <w:name w:val="UserStyle_78"/>
    <w:qFormat/>
    <w:uiPriority w:val="0"/>
    <w:rPr>
      <w:rFonts w:eastAsia="宋体"/>
      <w:sz w:val="24"/>
      <w:lang w:val="en-US" w:eastAsia="zh-CN" w:bidi="ar-SA"/>
    </w:rPr>
  </w:style>
  <w:style w:type="character" w:customStyle="1" w:styleId="227">
    <w:name w:val="UserStyle_79"/>
    <w:qFormat/>
    <w:uiPriority w:val="0"/>
    <w:rPr>
      <w:i/>
      <w:iCs/>
      <w:color w:val="808080"/>
    </w:rPr>
  </w:style>
  <w:style w:type="character" w:customStyle="1" w:styleId="228">
    <w:name w:val="UserStyle_80"/>
    <w:qFormat/>
    <w:uiPriority w:val="0"/>
    <w:rPr>
      <w:rFonts w:ascii="Times New Roman" w:hAnsi="Times New Roman" w:eastAsia="宋体"/>
      <w:sz w:val="16"/>
      <w:szCs w:val="16"/>
    </w:rPr>
  </w:style>
  <w:style w:type="character" w:customStyle="1" w:styleId="229">
    <w:name w:val="UserStyle_81"/>
    <w:qFormat/>
    <w:uiPriority w:val="0"/>
    <w:rPr>
      <w:rFonts w:cs="Calibri"/>
      <w:b/>
      <w:bCs/>
      <w:smallCaps/>
      <w:spacing w:val="5"/>
    </w:rPr>
  </w:style>
  <w:style w:type="character" w:customStyle="1" w:styleId="230">
    <w:name w:val="UserStyle_82"/>
    <w:qFormat/>
    <w:uiPriority w:val="0"/>
  </w:style>
  <w:style w:type="character" w:customStyle="1" w:styleId="231">
    <w:name w:val="UserStyle_83"/>
    <w:qFormat/>
    <w:uiPriority w:val="0"/>
    <w:rPr>
      <w:rFonts w:ascii="宋体"/>
      <w:kern w:val="2"/>
      <w:sz w:val="18"/>
      <w:szCs w:val="18"/>
    </w:rPr>
  </w:style>
  <w:style w:type="character" w:customStyle="1" w:styleId="232">
    <w:name w:val="UserStyle_84"/>
    <w:link w:val="233"/>
    <w:qFormat/>
    <w:uiPriority w:val="0"/>
    <w:rPr>
      <w:rFonts w:eastAsia="楷体_GB2312" w:cs="Calibri"/>
      <w:b/>
      <w:bCs/>
      <w:color w:val="33CCCC"/>
      <w:sz w:val="28"/>
      <w:szCs w:val="28"/>
    </w:rPr>
  </w:style>
  <w:style w:type="paragraph" w:customStyle="1" w:styleId="233">
    <w:name w:val="UserStyle_85"/>
    <w:basedOn w:val="82"/>
    <w:link w:val="232"/>
    <w:qFormat/>
    <w:uiPriority w:val="0"/>
    <w:pPr>
      <w:spacing w:before="0" w:after="40" w:line="413" w:lineRule="auto"/>
      <w:ind w:left="-2" w:leftChars="-1" w:firstLine="1"/>
    </w:pPr>
    <w:rPr>
      <w:rFonts w:eastAsia="楷体_GB2312"/>
      <w:color w:val="33CCCC"/>
      <w:sz w:val="28"/>
      <w:szCs w:val="28"/>
    </w:rPr>
  </w:style>
  <w:style w:type="character" w:customStyle="1" w:styleId="234">
    <w:name w:val="UserStyle_86"/>
    <w:link w:val="235"/>
    <w:qFormat/>
    <w:uiPriority w:val="0"/>
    <w:rPr>
      <w:rFonts w:ascii="Arial"/>
      <w:vanish/>
      <w:sz w:val="16"/>
      <w:szCs w:val="24"/>
    </w:rPr>
  </w:style>
  <w:style w:type="paragraph" w:customStyle="1" w:styleId="235">
    <w:name w:val="FormBottom"/>
    <w:basedOn w:val="1"/>
    <w:next w:val="1"/>
    <w:link w:val="234"/>
    <w:qFormat/>
    <w:uiPriority w:val="0"/>
    <w:pPr>
      <w:widowControl/>
      <w:pBdr>
        <w:top w:val="single" w:color="000000" w:sz="6" w:space="1"/>
      </w:pBdr>
      <w:jc w:val="center"/>
      <w:textAlignment w:val="baseline"/>
    </w:pPr>
    <w:rPr>
      <w:rFonts w:ascii="Arial"/>
      <w:vanish/>
      <w:kern w:val="0"/>
      <w:sz w:val="16"/>
    </w:rPr>
  </w:style>
  <w:style w:type="character" w:customStyle="1" w:styleId="236">
    <w:name w:val="UserStyle_87"/>
    <w:link w:val="237"/>
    <w:qFormat/>
    <w:uiPriority w:val="0"/>
    <w:rPr>
      <w:rFonts w:eastAsia="黑体" w:cs="Calibri"/>
      <w:bCs/>
      <w:kern w:val="44"/>
      <w:sz w:val="24"/>
      <w:szCs w:val="44"/>
    </w:rPr>
  </w:style>
  <w:style w:type="paragraph" w:customStyle="1" w:styleId="237">
    <w:name w:val="UserStyle_88"/>
    <w:basedOn w:val="80"/>
    <w:link w:val="236"/>
    <w:qFormat/>
    <w:uiPriority w:val="0"/>
    <w:pPr>
      <w:spacing w:before="240" w:after="240" w:line="240" w:lineRule="exact"/>
    </w:pPr>
    <w:rPr>
      <w:rFonts w:eastAsia="黑体"/>
      <w:b w:val="0"/>
      <w:sz w:val="24"/>
    </w:rPr>
  </w:style>
  <w:style w:type="character" w:customStyle="1" w:styleId="238">
    <w:name w:val="UserStyle_89"/>
    <w:link w:val="239"/>
    <w:qFormat/>
    <w:uiPriority w:val="0"/>
    <w:rPr>
      <w:szCs w:val="24"/>
    </w:rPr>
  </w:style>
  <w:style w:type="paragraph" w:customStyle="1" w:styleId="239">
    <w:name w:val="UserStyle_90"/>
    <w:basedOn w:val="240"/>
    <w:next w:val="240"/>
    <w:link w:val="238"/>
    <w:qFormat/>
    <w:uiPriority w:val="0"/>
    <w:pPr>
      <w:ind w:left="100" w:leftChars="2500"/>
    </w:pPr>
    <w:rPr>
      <w:rFonts w:cs="Times New Roman"/>
      <w:kern w:val="0"/>
      <w:sz w:val="20"/>
    </w:rPr>
  </w:style>
  <w:style w:type="paragraph" w:customStyle="1" w:styleId="240">
    <w:name w:val="UserStyle_91"/>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241">
    <w:name w:val="UserStyle_92"/>
    <w:qFormat/>
    <w:uiPriority w:val="0"/>
    <w:rPr>
      <w:color w:val="FF0000"/>
      <w:sz w:val="15"/>
      <w:szCs w:val="15"/>
    </w:rPr>
  </w:style>
  <w:style w:type="character" w:customStyle="1" w:styleId="242">
    <w:name w:val="UserStyle_93"/>
    <w:qFormat/>
    <w:uiPriority w:val="0"/>
    <w:rPr>
      <w:rFonts w:ascii="Calibri" w:hAnsi="Calibri" w:eastAsia="宋体"/>
      <w:kern w:val="2"/>
      <w:sz w:val="16"/>
      <w:szCs w:val="16"/>
    </w:rPr>
  </w:style>
  <w:style w:type="character" w:customStyle="1" w:styleId="243">
    <w:name w:val="262"/>
    <w:qFormat/>
    <w:uiPriority w:val="0"/>
    <w:rPr>
      <w:smallCaps/>
      <w:color w:val="C0504D"/>
      <w:u w:val="single"/>
    </w:rPr>
  </w:style>
  <w:style w:type="character" w:customStyle="1" w:styleId="244">
    <w:name w:val="261"/>
    <w:qFormat/>
    <w:uiPriority w:val="0"/>
    <w:rPr>
      <w:rFonts w:cs="Calibri"/>
      <w:b/>
      <w:bCs/>
      <w:i/>
      <w:iCs/>
      <w:color w:val="4F81BD"/>
    </w:rPr>
  </w:style>
  <w:style w:type="character" w:customStyle="1" w:styleId="245">
    <w:name w:val="UserStyle_94"/>
    <w:qFormat/>
    <w:uiPriority w:val="0"/>
    <w:rPr>
      <w:rFonts w:ascii="Times New Roman" w:hAnsi="Times New Roman" w:eastAsia="宋体"/>
      <w:szCs w:val="24"/>
    </w:rPr>
  </w:style>
  <w:style w:type="character" w:customStyle="1" w:styleId="246">
    <w:name w:val="UserStyle_95"/>
    <w:qFormat/>
    <w:uiPriority w:val="0"/>
  </w:style>
  <w:style w:type="character" w:customStyle="1" w:styleId="247">
    <w:name w:val="UserStyle_96"/>
    <w:qFormat/>
    <w:uiPriority w:val="0"/>
    <w:rPr>
      <w:rFonts w:ascii="宋体" w:hAnsi="Courier New" w:eastAsia="宋体"/>
      <w:kern w:val="2"/>
      <w:sz w:val="21"/>
      <w:szCs w:val="21"/>
      <w:lang w:val="en-US" w:eastAsia="zh-CN" w:bidi="ar-SA"/>
    </w:rPr>
  </w:style>
  <w:style w:type="character" w:customStyle="1" w:styleId="248">
    <w:name w:val="UserStyle_97"/>
    <w:qFormat/>
    <w:uiPriority w:val="0"/>
    <w:rPr>
      <w:b/>
      <w:color w:val="4371A0"/>
      <w:sz w:val="18"/>
      <w:szCs w:val="18"/>
    </w:rPr>
  </w:style>
  <w:style w:type="character" w:customStyle="1" w:styleId="249">
    <w:name w:val="UserStyle_98"/>
    <w:qFormat/>
    <w:locked/>
    <w:uiPriority w:val="0"/>
    <w:rPr>
      <w:rFonts w:ascii="宋体" w:hAnsi="Courier New"/>
    </w:rPr>
  </w:style>
  <w:style w:type="character" w:customStyle="1" w:styleId="250">
    <w:name w:val="UserStyle_100"/>
    <w:link w:val="251"/>
    <w:qFormat/>
    <w:uiPriority w:val="0"/>
    <w:rPr>
      <w:b/>
      <w:szCs w:val="24"/>
    </w:rPr>
  </w:style>
  <w:style w:type="paragraph" w:customStyle="1" w:styleId="251">
    <w:name w:val="UserStyle_101"/>
    <w:basedOn w:val="204"/>
    <w:link w:val="250"/>
    <w:qFormat/>
    <w:uiPriority w:val="0"/>
    <w:pPr>
      <w:ind w:firstLine="210"/>
    </w:pPr>
    <w:rPr>
      <w:rFonts w:cs="Times New Roman"/>
      <w:b/>
      <w:kern w:val="0"/>
      <w:sz w:val="20"/>
    </w:rPr>
  </w:style>
  <w:style w:type="character" w:customStyle="1" w:styleId="252">
    <w:name w:val="UserStyle_102"/>
    <w:qFormat/>
    <w:uiPriority w:val="0"/>
    <w:rPr>
      <w:kern w:val="2"/>
      <w:sz w:val="18"/>
      <w:szCs w:val="18"/>
    </w:rPr>
  </w:style>
  <w:style w:type="character" w:customStyle="1" w:styleId="253">
    <w:name w:val="UserStyle_103"/>
    <w:link w:val="254"/>
    <w:qFormat/>
    <w:uiPriority w:val="0"/>
    <w:rPr>
      <w:i/>
      <w:iCs/>
      <w:color w:val="000000"/>
    </w:rPr>
  </w:style>
  <w:style w:type="paragraph" w:customStyle="1" w:styleId="254">
    <w:name w:val="180"/>
    <w:basedOn w:val="1"/>
    <w:next w:val="1"/>
    <w:link w:val="253"/>
    <w:qFormat/>
    <w:uiPriority w:val="0"/>
    <w:pPr>
      <w:widowControl/>
      <w:textAlignment w:val="baseline"/>
    </w:pPr>
    <w:rPr>
      <w:i/>
      <w:iCs/>
      <w:color w:val="000000"/>
      <w:kern w:val="0"/>
      <w:sz w:val="20"/>
      <w:szCs w:val="20"/>
    </w:rPr>
  </w:style>
  <w:style w:type="character" w:customStyle="1" w:styleId="255">
    <w:name w:val="UserStyle_104"/>
    <w:qFormat/>
    <w:uiPriority w:val="0"/>
    <w:rPr>
      <w:rFonts w:ascii="Cambria" w:hAnsi="Cambria" w:eastAsia="宋体" w:cs="Times New Roman"/>
      <w:b/>
      <w:bCs/>
      <w:sz w:val="24"/>
      <w:szCs w:val="24"/>
    </w:rPr>
  </w:style>
  <w:style w:type="character" w:customStyle="1" w:styleId="256">
    <w:name w:val="UserStyle_105"/>
    <w:qFormat/>
    <w:uiPriority w:val="0"/>
    <w:rPr>
      <w:rFonts w:ascii="Times New Roman" w:hAnsi="Times New Roman" w:eastAsia="宋体"/>
      <w:sz w:val="18"/>
      <w:szCs w:val="18"/>
    </w:rPr>
  </w:style>
  <w:style w:type="character" w:customStyle="1" w:styleId="257">
    <w:name w:val="UserStyle_106"/>
    <w:qFormat/>
    <w:uiPriority w:val="0"/>
    <w:rPr>
      <w:kern w:val="2"/>
      <w:sz w:val="24"/>
    </w:rPr>
  </w:style>
  <w:style w:type="character" w:customStyle="1" w:styleId="258">
    <w:name w:val="UserStyle_107"/>
    <w:link w:val="259"/>
    <w:qFormat/>
    <w:uiPriority w:val="0"/>
    <w:rPr>
      <w:b/>
      <w:kern w:val="44"/>
      <w:sz w:val="44"/>
    </w:rPr>
  </w:style>
  <w:style w:type="paragraph" w:customStyle="1" w:styleId="259">
    <w:name w:val="UserStyle_108"/>
    <w:basedOn w:val="260"/>
    <w:next w:val="260"/>
    <w:link w:val="258"/>
    <w:qFormat/>
    <w:uiPriority w:val="0"/>
    <w:pPr>
      <w:keepNext/>
      <w:keepLines/>
      <w:spacing w:before="340" w:after="330" w:line="576" w:lineRule="auto"/>
    </w:pPr>
    <w:rPr>
      <w:rFonts w:cs="Times New Roman"/>
      <w:b/>
      <w:kern w:val="44"/>
      <w:sz w:val="44"/>
    </w:rPr>
  </w:style>
  <w:style w:type="paragraph" w:customStyle="1" w:styleId="260">
    <w:name w:val="UserStyle_109"/>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261">
    <w:name w:val="UserStyle_110"/>
    <w:qFormat/>
    <w:uiPriority w:val="0"/>
    <w:rPr>
      <w:rFonts w:cs="Calibri"/>
      <w:b/>
      <w:bCs/>
      <w:kern w:val="2"/>
      <w:sz w:val="21"/>
      <w:szCs w:val="22"/>
    </w:rPr>
  </w:style>
  <w:style w:type="character" w:customStyle="1" w:styleId="262">
    <w:name w:val="UserStyle_111"/>
    <w:qFormat/>
    <w:uiPriority w:val="0"/>
    <w:rPr>
      <w:rFonts w:ascii="Cambria" w:hAnsi="Cambria" w:cs="Times New Roman"/>
      <w:b/>
      <w:bCs/>
      <w:kern w:val="2"/>
      <w:sz w:val="32"/>
      <w:szCs w:val="32"/>
    </w:rPr>
  </w:style>
  <w:style w:type="character" w:customStyle="1" w:styleId="263">
    <w:name w:val="UserStyle_112"/>
    <w:link w:val="264"/>
    <w:qFormat/>
    <w:uiPriority w:val="0"/>
    <w:rPr>
      <w:b/>
      <w:kern w:val="44"/>
      <w:sz w:val="44"/>
    </w:rPr>
  </w:style>
  <w:style w:type="paragraph" w:customStyle="1" w:styleId="264">
    <w:name w:val="UserStyle_113"/>
    <w:basedOn w:val="208"/>
    <w:next w:val="208"/>
    <w:link w:val="263"/>
    <w:qFormat/>
    <w:uiPriority w:val="0"/>
    <w:pPr>
      <w:keepNext/>
      <w:keepLines/>
      <w:spacing w:before="340" w:after="330" w:line="576" w:lineRule="auto"/>
    </w:pPr>
    <w:rPr>
      <w:rFonts w:cs="Times New Roman"/>
      <w:b/>
      <w:kern w:val="44"/>
      <w:sz w:val="44"/>
    </w:rPr>
  </w:style>
  <w:style w:type="character" w:customStyle="1" w:styleId="265">
    <w:name w:val="UserStyle_114"/>
    <w:qFormat/>
    <w:uiPriority w:val="0"/>
  </w:style>
  <w:style w:type="character" w:customStyle="1" w:styleId="266">
    <w:name w:val="UserStyle_115"/>
    <w:qFormat/>
    <w:uiPriority w:val="0"/>
    <w:rPr>
      <w:rFonts w:ascii="宋体" w:hAnsi="Courier New" w:eastAsia="宋体"/>
      <w:kern w:val="2"/>
      <w:sz w:val="21"/>
      <w:szCs w:val="21"/>
      <w:lang w:val="en-US" w:eastAsia="zh-CN" w:bidi="ar-SA"/>
    </w:rPr>
  </w:style>
  <w:style w:type="character" w:customStyle="1" w:styleId="267">
    <w:name w:val="UserStyle_116"/>
    <w:link w:val="268"/>
    <w:qFormat/>
    <w:uiPriority w:val="0"/>
    <w:rPr>
      <w:b/>
      <w:szCs w:val="24"/>
    </w:rPr>
  </w:style>
  <w:style w:type="paragraph" w:customStyle="1" w:styleId="268">
    <w:name w:val="UserStyle_117"/>
    <w:basedOn w:val="240"/>
    <w:link w:val="267"/>
    <w:qFormat/>
    <w:uiPriority w:val="0"/>
    <w:pPr>
      <w:ind w:firstLine="210"/>
    </w:pPr>
    <w:rPr>
      <w:rFonts w:cs="Times New Roman"/>
      <w:b/>
      <w:kern w:val="0"/>
      <w:sz w:val="20"/>
    </w:rPr>
  </w:style>
  <w:style w:type="character" w:customStyle="1" w:styleId="269">
    <w:name w:val="UserStyle_118"/>
    <w:qFormat/>
    <w:uiPriority w:val="0"/>
    <w:rPr>
      <w:rFonts w:eastAsia="宋体"/>
      <w:kern w:val="2"/>
      <w:sz w:val="21"/>
      <w:szCs w:val="24"/>
      <w:lang w:val="en-US" w:eastAsia="zh-CN" w:bidi="ar-SA"/>
    </w:rPr>
  </w:style>
  <w:style w:type="character" w:customStyle="1" w:styleId="270">
    <w:name w:val="UserStyle_119"/>
    <w:qFormat/>
    <w:uiPriority w:val="0"/>
    <w:rPr>
      <w:rFonts w:ascii="Cambria" w:hAnsi="Cambria" w:eastAsia="宋体" w:cs="Times New Roman"/>
      <w:b/>
      <w:bCs/>
      <w:sz w:val="28"/>
      <w:szCs w:val="28"/>
    </w:rPr>
  </w:style>
  <w:style w:type="character" w:customStyle="1" w:styleId="271">
    <w:name w:val="UserStyle_120"/>
    <w:qFormat/>
    <w:uiPriority w:val="0"/>
  </w:style>
  <w:style w:type="character" w:customStyle="1" w:styleId="272">
    <w:name w:val="UserStyle_121"/>
    <w:qFormat/>
    <w:uiPriority w:val="0"/>
    <w:rPr>
      <w:rFonts w:ascii="宋体" w:hAnsi="Courier New" w:eastAsia="宋体"/>
      <w:kern w:val="2"/>
      <w:sz w:val="21"/>
      <w:szCs w:val="21"/>
      <w:lang w:val="en-US" w:eastAsia="zh-CN" w:bidi="ar-SA"/>
    </w:rPr>
  </w:style>
  <w:style w:type="character" w:customStyle="1" w:styleId="273">
    <w:name w:val="UserStyle_122"/>
    <w:qFormat/>
    <w:uiPriority w:val="0"/>
    <w:rPr>
      <w:rFonts w:eastAsia="宋体"/>
      <w:kern w:val="2"/>
      <w:sz w:val="21"/>
      <w:szCs w:val="24"/>
      <w:lang w:val="en-US" w:eastAsia="zh-CN" w:bidi="ar-SA"/>
    </w:rPr>
  </w:style>
  <w:style w:type="character" w:customStyle="1" w:styleId="274">
    <w:name w:val="UserStyle_123"/>
    <w:qFormat/>
    <w:uiPriority w:val="0"/>
    <w:rPr>
      <w:b/>
      <w:color w:val="FFFFFF"/>
      <w:shd w:val="clear" w:color="auto" w:fill="249DC6"/>
    </w:rPr>
  </w:style>
  <w:style w:type="character" w:customStyle="1" w:styleId="275">
    <w:name w:val="UserStyle_125"/>
    <w:qFormat/>
    <w:uiPriority w:val="0"/>
    <w:rPr>
      <w:rFonts w:ascii="Cambria" w:hAnsi="Cambria" w:eastAsia="宋体" w:cs="Times New Roman"/>
      <w:b/>
      <w:bCs/>
      <w:sz w:val="32"/>
      <w:szCs w:val="32"/>
    </w:rPr>
  </w:style>
  <w:style w:type="character" w:customStyle="1" w:styleId="276">
    <w:name w:val="UserStyle_126"/>
    <w:qFormat/>
    <w:uiPriority w:val="0"/>
    <w:rPr>
      <w:szCs w:val="24"/>
      <w:lang w:val="en-US" w:eastAsia="zh-CN"/>
    </w:rPr>
  </w:style>
  <w:style w:type="character" w:customStyle="1" w:styleId="277">
    <w:name w:val="UserStyle_127"/>
    <w:qFormat/>
    <w:uiPriority w:val="0"/>
    <w:rPr>
      <w:rFonts w:ascii="黑体" w:hAnsi="黑体" w:eastAsia="黑体"/>
      <w:b/>
      <w:sz w:val="21"/>
    </w:rPr>
  </w:style>
  <w:style w:type="character" w:customStyle="1" w:styleId="278">
    <w:name w:val="UserStyle_128"/>
    <w:qFormat/>
    <w:uiPriority w:val="0"/>
  </w:style>
  <w:style w:type="character" w:customStyle="1" w:styleId="279">
    <w:name w:val="UserStyle_129"/>
    <w:qFormat/>
    <w:uiPriority w:val="0"/>
    <w:rPr>
      <w:rFonts w:ascii="Times New Roman" w:hAnsi="Times New Roman" w:eastAsia="宋体"/>
      <w:szCs w:val="24"/>
    </w:rPr>
  </w:style>
  <w:style w:type="character" w:customStyle="1" w:styleId="280">
    <w:name w:val="UserStyle_130"/>
    <w:qFormat/>
    <w:uiPriority w:val="0"/>
    <w:rPr>
      <w:rFonts w:ascii="Times New Roman" w:hAnsi="Times New Roman" w:eastAsia="宋体"/>
      <w:szCs w:val="24"/>
    </w:rPr>
  </w:style>
  <w:style w:type="character" w:customStyle="1" w:styleId="281">
    <w:name w:val="UserStyle_131"/>
    <w:qFormat/>
    <w:uiPriority w:val="0"/>
    <w:rPr>
      <w:rFonts w:eastAsia="宋体"/>
      <w:kern w:val="2"/>
      <w:sz w:val="18"/>
      <w:szCs w:val="18"/>
      <w:lang w:val="en-US" w:eastAsia="zh-CN" w:bidi="ar-SA"/>
    </w:rPr>
  </w:style>
  <w:style w:type="character" w:customStyle="1" w:styleId="282">
    <w:name w:val="UserStyle_132"/>
    <w:qFormat/>
    <w:uiPriority w:val="0"/>
    <w:rPr>
      <w:rFonts w:ascii="Times New Roman" w:hAnsi="Times New Roman" w:eastAsia="宋体"/>
      <w:i/>
      <w:iCs/>
      <w:color w:val="000000"/>
      <w:szCs w:val="24"/>
    </w:rPr>
  </w:style>
  <w:style w:type="character" w:customStyle="1" w:styleId="283">
    <w:name w:val="UserStyle_133"/>
    <w:qFormat/>
    <w:uiPriority w:val="0"/>
    <w:rPr>
      <w:rFonts w:cs="Calibri"/>
      <w:b/>
      <w:bCs/>
      <w:kern w:val="44"/>
      <w:sz w:val="44"/>
      <w:szCs w:val="44"/>
    </w:rPr>
  </w:style>
  <w:style w:type="character" w:customStyle="1" w:styleId="284">
    <w:name w:val="UserStyle_134"/>
    <w:qFormat/>
    <w:uiPriority w:val="0"/>
    <w:rPr>
      <w:b/>
      <w:kern w:val="44"/>
      <w:sz w:val="44"/>
    </w:rPr>
  </w:style>
  <w:style w:type="character" w:customStyle="1" w:styleId="285">
    <w:name w:val="UserStyle_135"/>
    <w:qFormat/>
    <w:uiPriority w:val="0"/>
    <w:rPr>
      <w:rFonts w:ascii="Courier New" w:hAnsi="Courier New" w:eastAsia="宋体"/>
      <w:sz w:val="20"/>
      <w:szCs w:val="20"/>
    </w:rPr>
  </w:style>
  <w:style w:type="character" w:customStyle="1" w:styleId="286">
    <w:name w:val="260"/>
    <w:qFormat/>
    <w:uiPriority w:val="0"/>
    <w:rPr>
      <w:i/>
      <w:iCs/>
      <w:color w:val="808080"/>
    </w:rPr>
  </w:style>
  <w:style w:type="character" w:customStyle="1" w:styleId="287">
    <w:name w:val="UserStyle_137"/>
    <w:qFormat/>
    <w:uiPriority w:val="0"/>
    <w:rPr>
      <w:rFonts w:ascii="Times New Roman" w:hAnsi="Times New Roman" w:eastAsia="宋体" w:cs="Times New Roman"/>
      <w:b/>
      <w:bCs/>
      <w:i/>
      <w:iCs/>
      <w:color w:val="4F81BD"/>
      <w:szCs w:val="24"/>
    </w:rPr>
  </w:style>
  <w:style w:type="character" w:customStyle="1" w:styleId="288">
    <w:name w:val="UserStyle_138"/>
    <w:qFormat/>
    <w:locked/>
    <w:uiPriority w:val="0"/>
    <w:rPr>
      <w:kern w:val="2"/>
      <w:sz w:val="21"/>
      <w:szCs w:val="24"/>
    </w:rPr>
  </w:style>
  <w:style w:type="character" w:customStyle="1" w:styleId="289">
    <w:name w:val="UserStyle_139"/>
    <w:qFormat/>
    <w:uiPriority w:val="0"/>
    <w:rPr>
      <w:b/>
      <w:color w:val="4371A0"/>
      <w:sz w:val="18"/>
      <w:szCs w:val="18"/>
      <w:bdr w:val="single" w:color="000000" w:sz="178" w:space="0"/>
    </w:rPr>
  </w:style>
  <w:style w:type="character" w:customStyle="1" w:styleId="290">
    <w:name w:val="UserStyle_140"/>
    <w:qFormat/>
    <w:uiPriority w:val="0"/>
  </w:style>
  <w:style w:type="character" w:customStyle="1" w:styleId="291">
    <w:name w:val="UserStyle_141"/>
    <w:qFormat/>
    <w:uiPriority w:val="0"/>
    <w:rPr>
      <w:rFonts w:ascii="Cambria" w:hAnsi="Cambria" w:eastAsia="宋体"/>
      <w:szCs w:val="21"/>
    </w:rPr>
  </w:style>
  <w:style w:type="character" w:customStyle="1" w:styleId="292">
    <w:name w:val="UserStyle_142"/>
    <w:qFormat/>
    <w:uiPriority w:val="0"/>
    <w:rPr>
      <w:smallCaps/>
      <w:color w:val="C0504D"/>
      <w:u w:val="single"/>
    </w:rPr>
  </w:style>
  <w:style w:type="character" w:customStyle="1" w:styleId="293">
    <w:name w:val="UserStyle_143"/>
    <w:qFormat/>
    <w:uiPriority w:val="0"/>
    <w:rPr>
      <w:kern w:val="2"/>
      <w:sz w:val="18"/>
      <w:szCs w:val="18"/>
    </w:rPr>
  </w:style>
  <w:style w:type="character" w:customStyle="1" w:styleId="294">
    <w:name w:val="UserStyle_144"/>
    <w:qFormat/>
    <w:uiPriority w:val="0"/>
    <w:rPr>
      <w:rFonts w:ascii="宋体" w:hAnsi="Courier New" w:eastAsia="宋体"/>
      <w:szCs w:val="21"/>
    </w:rPr>
  </w:style>
  <w:style w:type="character" w:customStyle="1" w:styleId="295">
    <w:name w:val="UserStyle_145"/>
    <w:link w:val="296"/>
    <w:qFormat/>
    <w:uiPriority w:val="0"/>
    <w:rPr>
      <w:kern w:val="2"/>
      <w:sz w:val="22"/>
      <w:szCs w:val="22"/>
    </w:rPr>
  </w:style>
  <w:style w:type="paragraph" w:customStyle="1" w:styleId="296">
    <w:name w:val="Null"/>
    <w:link w:val="295"/>
    <w:qFormat/>
    <w:uiPriority w:val="0"/>
    <w:pPr>
      <w:textAlignment w:val="baseline"/>
    </w:pPr>
    <w:rPr>
      <w:rFonts w:ascii="Times New Roman" w:hAnsi="Times New Roman" w:eastAsia="宋体" w:cs="Times New Roman"/>
      <w:kern w:val="2"/>
      <w:sz w:val="22"/>
      <w:szCs w:val="22"/>
      <w:lang w:val="en-US" w:eastAsia="zh-CN" w:bidi="ar-SA"/>
    </w:rPr>
  </w:style>
  <w:style w:type="character" w:customStyle="1" w:styleId="297">
    <w:name w:val="UserStyle_146"/>
    <w:qFormat/>
    <w:locked/>
    <w:uiPriority w:val="0"/>
    <w:rPr>
      <w:rFonts w:eastAsia="宋体"/>
      <w:sz w:val="24"/>
    </w:rPr>
  </w:style>
  <w:style w:type="character" w:customStyle="1" w:styleId="298">
    <w:name w:val="264"/>
    <w:qFormat/>
    <w:uiPriority w:val="0"/>
    <w:rPr>
      <w:rFonts w:cs="Calibri"/>
      <w:b/>
      <w:bCs/>
      <w:smallCaps/>
      <w:spacing w:val="5"/>
    </w:rPr>
  </w:style>
  <w:style w:type="character" w:customStyle="1" w:styleId="299">
    <w:name w:val="UserStyle_147"/>
    <w:qFormat/>
    <w:uiPriority w:val="0"/>
    <w:rPr>
      <w:rFonts w:ascii="宋体" w:hAnsi="Courier New" w:eastAsia="宋体"/>
      <w:szCs w:val="21"/>
    </w:rPr>
  </w:style>
  <w:style w:type="character" w:customStyle="1" w:styleId="300">
    <w:name w:val="UserStyle_148"/>
    <w:qFormat/>
    <w:uiPriority w:val="0"/>
  </w:style>
  <w:style w:type="character" w:customStyle="1" w:styleId="301">
    <w:name w:val="UserStyle_149"/>
    <w:link w:val="302"/>
    <w:qFormat/>
    <w:uiPriority w:val="0"/>
    <w:rPr>
      <w:b/>
      <w:kern w:val="44"/>
      <w:sz w:val="44"/>
    </w:rPr>
  </w:style>
  <w:style w:type="paragraph" w:customStyle="1" w:styleId="302">
    <w:name w:val="UserStyle_150"/>
    <w:basedOn w:val="204"/>
    <w:next w:val="204"/>
    <w:link w:val="301"/>
    <w:qFormat/>
    <w:uiPriority w:val="0"/>
    <w:pPr>
      <w:keepNext/>
      <w:keepLines/>
      <w:spacing w:before="340" w:after="330" w:line="576" w:lineRule="auto"/>
    </w:pPr>
    <w:rPr>
      <w:rFonts w:cs="Times New Roman"/>
      <w:b/>
      <w:kern w:val="44"/>
      <w:sz w:val="44"/>
      <w:szCs w:val="20"/>
    </w:rPr>
  </w:style>
  <w:style w:type="character" w:customStyle="1" w:styleId="303">
    <w:name w:val="UserStyle_151"/>
    <w:qFormat/>
    <w:uiPriority w:val="0"/>
  </w:style>
  <w:style w:type="character" w:customStyle="1" w:styleId="304">
    <w:name w:val="UserStyle_152"/>
    <w:qFormat/>
    <w:uiPriority w:val="0"/>
    <w:rPr>
      <w:rFonts w:ascii="Calibri" w:hAnsi="Calibri" w:eastAsia="宋体" w:cs="Times New Roman"/>
      <w:b/>
      <w:bCs/>
      <w:i/>
      <w:iCs/>
      <w:color w:val="4F81BD"/>
      <w:kern w:val="2"/>
      <w:sz w:val="21"/>
      <w:szCs w:val="22"/>
    </w:rPr>
  </w:style>
  <w:style w:type="character" w:customStyle="1" w:styleId="305">
    <w:name w:val="UserStyle_153"/>
    <w:link w:val="306"/>
    <w:qFormat/>
    <w:uiPriority w:val="0"/>
    <w:rPr>
      <w:b/>
      <w:kern w:val="44"/>
      <w:sz w:val="44"/>
    </w:rPr>
  </w:style>
  <w:style w:type="paragraph" w:customStyle="1" w:styleId="306">
    <w:name w:val="UserStyle_154"/>
    <w:basedOn w:val="307"/>
    <w:next w:val="307"/>
    <w:link w:val="305"/>
    <w:qFormat/>
    <w:uiPriority w:val="0"/>
    <w:pPr>
      <w:keepNext/>
      <w:keepLines/>
      <w:spacing w:before="340" w:after="330" w:line="576" w:lineRule="auto"/>
    </w:pPr>
    <w:rPr>
      <w:rFonts w:cs="Times New Roman"/>
      <w:b/>
      <w:kern w:val="44"/>
      <w:sz w:val="44"/>
    </w:rPr>
  </w:style>
  <w:style w:type="paragraph" w:customStyle="1" w:styleId="307">
    <w:name w:val="UserStyle_155"/>
    <w:qFormat/>
    <w:uiPriority w:val="0"/>
    <w:pPr>
      <w:jc w:val="both"/>
      <w:textAlignment w:val="baseline"/>
    </w:pPr>
    <w:rPr>
      <w:rFonts w:ascii="Times New Roman" w:hAnsi="Times New Roman" w:eastAsia="宋体" w:cstheme="minorBidi"/>
      <w:kern w:val="2"/>
      <w:sz w:val="21"/>
      <w:lang w:val="en-US" w:eastAsia="zh-CN" w:bidi="ar-SA"/>
    </w:rPr>
  </w:style>
  <w:style w:type="character" w:customStyle="1" w:styleId="308">
    <w:name w:val="UserStyle_156"/>
    <w:qFormat/>
    <w:locked/>
    <w:uiPriority w:val="0"/>
    <w:rPr>
      <w:rFonts w:eastAsia="宋体"/>
      <w:kern w:val="2"/>
      <w:sz w:val="24"/>
      <w:lang w:val="en-US" w:eastAsia="zh-CN" w:bidi="ar-SA"/>
    </w:rPr>
  </w:style>
  <w:style w:type="character" w:customStyle="1" w:styleId="309">
    <w:name w:val="UserStyle_157"/>
    <w:qFormat/>
    <w:uiPriority w:val="0"/>
    <w:rPr>
      <w:rFonts w:ascii="Cambria" w:hAnsi="Cambria" w:eastAsia="宋体" w:cs="Times New Roman"/>
      <w:b/>
      <w:bCs/>
      <w:sz w:val="32"/>
      <w:szCs w:val="32"/>
    </w:rPr>
  </w:style>
  <w:style w:type="character" w:customStyle="1" w:styleId="310">
    <w:name w:val="UserStyle_158"/>
    <w:qFormat/>
    <w:uiPriority w:val="0"/>
    <w:rPr>
      <w:rFonts w:ascii="Times New Roman" w:hAnsi="Times New Roman" w:eastAsia="宋体"/>
      <w:sz w:val="18"/>
      <w:szCs w:val="18"/>
    </w:rPr>
  </w:style>
  <w:style w:type="character" w:customStyle="1" w:styleId="311">
    <w:name w:val="UserStyle_159"/>
    <w:qFormat/>
    <w:uiPriority w:val="0"/>
    <w:rPr>
      <w:rFonts w:eastAsia="宋体"/>
      <w:kern w:val="2"/>
      <w:sz w:val="21"/>
      <w:szCs w:val="24"/>
      <w:lang w:val="en-US" w:eastAsia="zh-CN" w:bidi="ar-SA"/>
    </w:rPr>
  </w:style>
  <w:style w:type="character" w:customStyle="1" w:styleId="312">
    <w:name w:val="UserStyle_160"/>
    <w:link w:val="313"/>
    <w:qFormat/>
    <w:uiPriority w:val="0"/>
    <w:rPr>
      <w:rFonts w:cs="Calibri"/>
      <w:b/>
      <w:bCs/>
      <w:i/>
      <w:iCs/>
      <w:color w:val="4F81BD"/>
    </w:rPr>
  </w:style>
  <w:style w:type="paragraph" w:customStyle="1" w:styleId="313">
    <w:name w:val="181"/>
    <w:basedOn w:val="1"/>
    <w:next w:val="1"/>
    <w:link w:val="312"/>
    <w:qFormat/>
    <w:uiPriority w:val="0"/>
    <w:pPr>
      <w:widowControl/>
      <w:pBdr>
        <w:bottom w:val="single" w:color="808080" w:sz="4" w:space="4"/>
      </w:pBdr>
      <w:spacing w:before="200" w:after="280"/>
      <w:ind w:left="936" w:right="936"/>
      <w:textAlignment w:val="baseline"/>
    </w:pPr>
    <w:rPr>
      <w:rFonts w:cs="Calibri"/>
      <w:b/>
      <w:bCs/>
      <w:i/>
      <w:iCs/>
      <w:color w:val="4F81BD"/>
      <w:kern w:val="0"/>
      <w:sz w:val="20"/>
      <w:szCs w:val="20"/>
    </w:rPr>
  </w:style>
  <w:style w:type="character" w:customStyle="1" w:styleId="314">
    <w:name w:val="UserStyle_161"/>
    <w:qFormat/>
    <w:uiPriority w:val="0"/>
    <w:rPr>
      <w:rFonts w:ascii="Times New Roman" w:hAnsi="Times New Roman" w:eastAsia="宋体" w:cs="Times New Roman"/>
      <w:b/>
      <w:bCs/>
      <w:kern w:val="44"/>
      <w:sz w:val="44"/>
      <w:szCs w:val="44"/>
    </w:rPr>
  </w:style>
  <w:style w:type="character" w:customStyle="1" w:styleId="315">
    <w:name w:val="UserStyle_162"/>
    <w:qFormat/>
    <w:uiPriority w:val="0"/>
  </w:style>
  <w:style w:type="character" w:customStyle="1" w:styleId="316">
    <w:name w:val="UserStyle_163"/>
    <w:qFormat/>
    <w:uiPriority w:val="0"/>
    <w:rPr>
      <w:rFonts w:ascii="宋体" w:hAnsi="Times New Roman" w:eastAsia="宋体"/>
      <w:sz w:val="28"/>
      <w:szCs w:val="20"/>
    </w:rPr>
  </w:style>
  <w:style w:type="character" w:customStyle="1" w:styleId="317">
    <w:name w:val="UserStyle_164"/>
    <w:qFormat/>
    <w:uiPriority w:val="0"/>
    <w:rPr>
      <w:rFonts w:ascii="Cambria" w:hAnsi="Cambria" w:eastAsia="宋体" w:cs="Times New Roman"/>
      <w:b/>
      <w:bCs/>
      <w:kern w:val="28"/>
      <w:sz w:val="32"/>
      <w:szCs w:val="32"/>
    </w:rPr>
  </w:style>
  <w:style w:type="character" w:customStyle="1" w:styleId="318">
    <w:name w:val="UserStyle_165"/>
    <w:qFormat/>
    <w:uiPriority w:val="0"/>
    <w:rPr>
      <w:rFonts w:ascii="Times New Roman" w:hAnsi="Times New Roman" w:eastAsia="宋体" w:cs="Times New Roman"/>
      <w:b/>
      <w:bCs/>
      <w:sz w:val="28"/>
      <w:szCs w:val="28"/>
    </w:rPr>
  </w:style>
  <w:style w:type="character" w:customStyle="1" w:styleId="319">
    <w:name w:val="UserStyle_166"/>
    <w:qFormat/>
    <w:uiPriority w:val="0"/>
    <w:rPr>
      <w:kern w:val="2"/>
      <w:sz w:val="18"/>
      <w:szCs w:val="18"/>
    </w:rPr>
  </w:style>
  <w:style w:type="character" w:customStyle="1" w:styleId="320">
    <w:name w:val="UserStyle_167"/>
    <w:basedOn w:val="64"/>
    <w:qFormat/>
    <w:uiPriority w:val="0"/>
    <w:rPr>
      <w:rFonts w:ascii="Times New Roman" w:hAnsi="Times New Roman" w:eastAsia="宋体" w:cstheme="minorBidi"/>
      <w:kern w:val="2"/>
      <w:sz w:val="21"/>
      <w:szCs w:val="24"/>
      <w:lang w:val="en-US" w:eastAsia="zh-CN" w:bidi="ar-SA"/>
    </w:rPr>
  </w:style>
  <w:style w:type="character" w:customStyle="1" w:styleId="321">
    <w:name w:val="UserStyle_168"/>
    <w:qFormat/>
    <w:uiPriority w:val="0"/>
    <w:rPr>
      <w:rFonts w:ascii="Calibri" w:hAnsi="Calibri" w:eastAsia="宋体"/>
      <w:kern w:val="2"/>
      <w:sz w:val="21"/>
      <w:szCs w:val="22"/>
    </w:rPr>
  </w:style>
  <w:style w:type="character" w:customStyle="1" w:styleId="322">
    <w:name w:val="UserStyle_169"/>
    <w:qFormat/>
    <w:uiPriority w:val="0"/>
    <w:rPr>
      <w:sz w:val="15"/>
      <w:szCs w:val="15"/>
    </w:rPr>
  </w:style>
  <w:style w:type="character" w:customStyle="1" w:styleId="323">
    <w:name w:val="UserStyle_170"/>
    <w:qFormat/>
    <w:uiPriority w:val="0"/>
    <w:rPr>
      <w:rFonts w:ascii="宋体" w:cs="Calibri"/>
      <w:b/>
      <w:bCs/>
      <w:sz w:val="28"/>
      <w:lang w:bidi="ar-SA"/>
    </w:rPr>
  </w:style>
  <w:style w:type="character" w:customStyle="1" w:styleId="324">
    <w:name w:val="UserStyle_171"/>
    <w:qFormat/>
    <w:uiPriority w:val="0"/>
    <w:rPr>
      <w:rFonts w:eastAsia="宋体"/>
      <w:kern w:val="2"/>
      <w:sz w:val="21"/>
      <w:szCs w:val="24"/>
      <w:lang w:val="en-US" w:eastAsia="zh-CN" w:bidi="ar-SA"/>
    </w:rPr>
  </w:style>
  <w:style w:type="character" w:customStyle="1" w:styleId="325">
    <w:name w:val="UserStyle_172"/>
    <w:qFormat/>
    <w:uiPriority w:val="0"/>
    <w:rPr>
      <w:rFonts w:eastAsia="宋体"/>
      <w:kern w:val="2"/>
      <w:sz w:val="18"/>
      <w:szCs w:val="18"/>
      <w:lang w:val="en-US" w:eastAsia="zh-CN" w:bidi="ar-SA"/>
    </w:rPr>
  </w:style>
  <w:style w:type="character" w:customStyle="1" w:styleId="326">
    <w:name w:val="UserStyle_173"/>
    <w:qFormat/>
    <w:uiPriority w:val="0"/>
    <w:rPr>
      <w:rFonts w:cs="Calibri"/>
      <w:b/>
      <w:bCs/>
      <w:kern w:val="44"/>
      <w:sz w:val="44"/>
      <w:szCs w:val="44"/>
    </w:rPr>
  </w:style>
  <w:style w:type="character" w:customStyle="1" w:styleId="327">
    <w:name w:val="UserStyle_174"/>
    <w:qFormat/>
    <w:uiPriority w:val="0"/>
    <w:rPr>
      <w:rFonts w:ascii="宋体" w:hAnsi="Times New Roman" w:eastAsia="宋体"/>
      <w:sz w:val="18"/>
      <w:szCs w:val="18"/>
    </w:rPr>
  </w:style>
  <w:style w:type="character" w:customStyle="1" w:styleId="328">
    <w:name w:val="UserStyle_175"/>
    <w:link w:val="329"/>
    <w:qFormat/>
    <w:uiPriority w:val="0"/>
  </w:style>
  <w:style w:type="paragraph" w:customStyle="1" w:styleId="329">
    <w:name w:val="UserStyle_176"/>
    <w:basedOn w:val="225"/>
    <w:next w:val="225"/>
    <w:link w:val="328"/>
    <w:qFormat/>
    <w:uiPriority w:val="0"/>
    <w:pPr>
      <w:ind w:left="100" w:leftChars="2500"/>
    </w:pPr>
    <w:rPr>
      <w:rFonts w:cs="Times New Roman"/>
      <w:kern w:val="0"/>
      <w:sz w:val="20"/>
    </w:rPr>
  </w:style>
  <w:style w:type="character" w:customStyle="1" w:styleId="330">
    <w:name w:val="UserStyle_177"/>
    <w:link w:val="331"/>
    <w:qFormat/>
    <w:uiPriority w:val="0"/>
    <w:rPr>
      <w:sz w:val="24"/>
    </w:rPr>
  </w:style>
  <w:style w:type="paragraph" w:customStyle="1" w:styleId="331">
    <w:name w:val="UserStyle_178"/>
    <w:basedOn w:val="25"/>
    <w:link w:val="330"/>
    <w:qFormat/>
    <w:uiPriority w:val="0"/>
    <w:pPr>
      <w:widowControl/>
      <w:pBdr>
        <w:bottom w:val="none" w:color="auto" w:sz="0" w:space="0"/>
      </w:pBdr>
      <w:spacing w:line="400" w:lineRule="atLeast"/>
      <w:textAlignment w:val="baseline"/>
    </w:pPr>
    <w:rPr>
      <w:sz w:val="24"/>
      <w:szCs w:val="20"/>
    </w:rPr>
  </w:style>
  <w:style w:type="character" w:customStyle="1" w:styleId="332">
    <w:name w:val="UserStyle_179"/>
    <w:qFormat/>
    <w:uiPriority w:val="0"/>
    <w:rPr>
      <w:kern w:val="2"/>
      <w:sz w:val="21"/>
      <w:szCs w:val="22"/>
    </w:rPr>
  </w:style>
  <w:style w:type="character" w:customStyle="1" w:styleId="333">
    <w:name w:val="UserStyle_180"/>
    <w:qFormat/>
    <w:uiPriority w:val="0"/>
    <w:rPr>
      <w:rFonts w:ascii="Times New Roman" w:hAnsi="Times New Roman" w:eastAsia="宋体" w:cs="Times New Roman"/>
      <w:b/>
      <w:bCs/>
      <w:sz w:val="32"/>
      <w:szCs w:val="32"/>
    </w:rPr>
  </w:style>
  <w:style w:type="character" w:customStyle="1" w:styleId="334">
    <w:name w:val="UserStyle_181"/>
    <w:qFormat/>
    <w:uiPriority w:val="0"/>
    <w:rPr>
      <w:rFonts w:ascii="Times New Roman" w:hAnsi="Times New Roman" w:eastAsia="宋体"/>
      <w:szCs w:val="24"/>
    </w:rPr>
  </w:style>
  <w:style w:type="character" w:customStyle="1" w:styleId="335">
    <w:name w:val="UserStyle_182"/>
    <w:qFormat/>
    <w:uiPriority w:val="0"/>
    <w:rPr>
      <w:rFonts w:cs="Calibri"/>
      <w:b/>
      <w:bCs/>
      <w:smallCaps/>
      <w:color w:val="C0504D"/>
      <w:spacing w:val="5"/>
      <w:u w:val="single"/>
    </w:rPr>
  </w:style>
  <w:style w:type="character" w:customStyle="1" w:styleId="336">
    <w:name w:val="UserStyle_183"/>
    <w:link w:val="337"/>
    <w:qFormat/>
    <w:uiPriority w:val="0"/>
    <w:rPr>
      <w:sz w:val="24"/>
    </w:rPr>
  </w:style>
  <w:style w:type="paragraph" w:customStyle="1" w:styleId="337">
    <w:name w:val="UserStyle_184"/>
    <w:basedOn w:val="1"/>
    <w:link w:val="336"/>
    <w:qFormat/>
    <w:uiPriority w:val="0"/>
    <w:pPr>
      <w:widowControl/>
      <w:spacing w:before="100" w:after="100"/>
      <w:ind w:left="360" w:right="360"/>
      <w:jc w:val="left"/>
      <w:textAlignment w:val="baseline"/>
    </w:pPr>
    <w:rPr>
      <w:kern w:val="0"/>
      <w:sz w:val="24"/>
      <w:szCs w:val="20"/>
    </w:rPr>
  </w:style>
  <w:style w:type="character" w:customStyle="1" w:styleId="338">
    <w:name w:val="UserStyle_185"/>
    <w:qFormat/>
    <w:uiPriority w:val="0"/>
  </w:style>
  <w:style w:type="character" w:customStyle="1" w:styleId="339">
    <w:name w:val="UserStyle_186"/>
    <w:qFormat/>
    <w:uiPriority w:val="0"/>
    <w:rPr>
      <w:rFonts w:cs="Calibri"/>
      <w:b/>
      <w:bCs/>
      <w:i/>
      <w:iCs/>
      <w:color w:val="4F81BD"/>
    </w:rPr>
  </w:style>
  <w:style w:type="character" w:customStyle="1" w:styleId="340">
    <w:name w:val="UserStyle_187"/>
    <w:qFormat/>
    <w:uiPriority w:val="0"/>
    <w:rPr>
      <w:rFonts w:ascii="Arial" w:hAnsi="Arial" w:eastAsia="黑体"/>
      <w:sz w:val="28"/>
      <w:lang w:val="en-US" w:eastAsia="zh-CN" w:bidi="ar-SA"/>
    </w:rPr>
  </w:style>
  <w:style w:type="character" w:customStyle="1" w:styleId="341">
    <w:name w:val="UserStyle_188"/>
    <w:qFormat/>
    <w:uiPriority w:val="0"/>
    <w:rPr>
      <w:rFonts w:ascii="Cambria" w:hAnsi="Cambria" w:cs="Times New Roman"/>
      <w:b/>
      <w:bCs/>
      <w:kern w:val="2"/>
      <w:sz w:val="32"/>
      <w:szCs w:val="32"/>
    </w:rPr>
  </w:style>
  <w:style w:type="character" w:customStyle="1" w:styleId="342">
    <w:name w:val="UserStyle_189"/>
    <w:qFormat/>
    <w:uiPriority w:val="0"/>
    <w:rPr>
      <w:rFonts w:ascii="Times New Roman" w:hAnsi="Times New Roman" w:eastAsia="宋体"/>
      <w:szCs w:val="24"/>
    </w:rPr>
  </w:style>
  <w:style w:type="character" w:customStyle="1" w:styleId="343">
    <w:name w:val="UserStyle_190"/>
    <w:qFormat/>
    <w:uiPriority w:val="0"/>
    <w:rPr>
      <w:rFonts w:ascii="宋体" w:hAnsi="宋体"/>
      <w:sz w:val="24"/>
      <w:szCs w:val="24"/>
    </w:rPr>
  </w:style>
  <w:style w:type="character" w:customStyle="1" w:styleId="344">
    <w:name w:val="UserStyle_191"/>
    <w:qFormat/>
    <w:uiPriority w:val="0"/>
    <w:rPr>
      <w:rFonts w:ascii="Calibri" w:hAnsi="Calibri" w:eastAsia="宋体"/>
      <w:kern w:val="2"/>
      <w:sz w:val="21"/>
      <w:szCs w:val="22"/>
    </w:rPr>
  </w:style>
  <w:style w:type="character" w:customStyle="1" w:styleId="345">
    <w:name w:val="UserStyle_192"/>
    <w:link w:val="346"/>
    <w:qFormat/>
    <w:uiPriority w:val="0"/>
    <w:rPr>
      <w:rFonts w:ascii="Arial" w:hAnsi="Arial" w:cs="Calibri"/>
      <w:b/>
      <w:bCs/>
      <w:sz w:val="24"/>
      <w:szCs w:val="32"/>
    </w:rPr>
  </w:style>
  <w:style w:type="paragraph" w:customStyle="1" w:styleId="346">
    <w:name w:val="UserStyle_193"/>
    <w:basedOn w:val="67"/>
    <w:next w:val="130"/>
    <w:link w:val="345"/>
    <w:qFormat/>
    <w:uiPriority w:val="0"/>
    <w:pPr>
      <w:widowControl/>
      <w:spacing w:line="413" w:lineRule="auto"/>
      <w:textAlignment w:val="baseline"/>
    </w:pPr>
    <w:rPr>
      <w:rFonts w:eastAsia="宋体"/>
      <w:sz w:val="24"/>
    </w:rPr>
  </w:style>
  <w:style w:type="character" w:customStyle="1" w:styleId="347">
    <w:name w:val="UserStyle_194"/>
    <w:link w:val="348"/>
    <w:qFormat/>
    <w:uiPriority w:val="0"/>
    <w:rPr>
      <w:rFonts w:ascii="Arial" w:hAnsi="Arial" w:cs="Calibri"/>
      <w:b/>
      <w:bCs/>
      <w:sz w:val="24"/>
      <w:szCs w:val="32"/>
    </w:rPr>
  </w:style>
  <w:style w:type="paragraph" w:customStyle="1" w:styleId="348">
    <w:name w:val="UserStyle_195"/>
    <w:basedOn w:val="82"/>
    <w:link w:val="347"/>
    <w:qFormat/>
    <w:uiPriority w:val="0"/>
    <w:pPr>
      <w:spacing w:line="413" w:lineRule="auto"/>
    </w:pPr>
    <w:rPr>
      <w:rFonts w:ascii="Arial" w:hAnsi="Arial"/>
      <w:sz w:val="24"/>
    </w:rPr>
  </w:style>
  <w:style w:type="character" w:customStyle="1" w:styleId="349">
    <w:name w:val="UserStyle_196"/>
    <w:qFormat/>
    <w:uiPriority w:val="0"/>
    <w:rPr>
      <w:color w:val="008000"/>
    </w:rPr>
  </w:style>
  <w:style w:type="character" w:customStyle="1" w:styleId="350">
    <w:name w:val="UserStyle_197"/>
    <w:qFormat/>
    <w:uiPriority w:val="0"/>
    <w:rPr>
      <w:rFonts w:ascii="Times New Roman" w:hAnsi="Times New Roman" w:eastAsia="宋体" w:cs="Times New Roman"/>
      <w:b/>
      <w:bCs/>
      <w:szCs w:val="24"/>
    </w:rPr>
  </w:style>
  <w:style w:type="character" w:customStyle="1" w:styleId="351">
    <w:name w:val="UserStyle_199"/>
    <w:qFormat/>
    <w:uiPriority w:val="0"/>
  </w:style>
  <w:style w:type="paragraph" w:customStyle="1" w:styleId="352">
    <w:name w:val="UserStyle_200"/>
    <w:basedOn w:val="1"/>
    <w:qFormat/>
    <w:uiPriority w:val="0"/>
    <w:pPr>
      <w:widowControl/>
      <w:textAlignment w:val="baseline"/>
    </w:pPr>
    <w:rPr>
      <w:rFonts w:ascii="Calibri" w:hAnsi="Calibri" w:cstheme="minorBidi"/>
      <w:szCs w:val="22"/>
    </w:rPr>
  </w:style>
  <w:style w:type="paragraph" w:customStyle="1" w:styleId="353">
    <w:name w:val="UserStyle_201"/>
    <w:basedOn w:val="354"/>
    <w:qFormat/>
    <w:uiPriority w:val="0"/>
    <w:rPr>
      <w:rFonts w:ascii="宋体" w:hAnsi="宋体"/>
    </w:rPr>
  </w:style>
  <w:style w:type="paragraph" w:customStyle="1" w:styleId="354">
    <w:name w:val="UserStyle_202"/>
    <w:basedOn w:val="1"/>
    <w:qFormat/>
    <w:uiPriority w:val="0"/>
    <w:pPr>
      <w:widowControl/>
      <w:jc w:val="center"/>
      <w:textAlignment w:val="baseline"/>
    </w:pPr>
    <w:rPr>
      <w:rFonts w:ascii="Calibri" w:hAnsi="Calibri" w:cstheme="minorBidi"/>
      <w:szCs w:val="22"/>
    </w:rPr>
  </w:style>
  <w:style w:type="paragraph" w:customStyle="1" w:styleId="355">
    <w:name w:val="UserStyle_203"/>
    <w:basedOn w:val="1"/>
    <w:qFormat/>
    <w:uiPriority w:val="0"/>
    <w:pPr>
      <w:widowControl/>
      <w:spacing w:before="150" w:after="150"/>
      <w:jc w:val="left"/>
      <w:textAlignment w:val="baseline"/>
    </w:pPr>
    <w:rPr>
      <w:rFonts w:ascii="宋体" w:hAnsi="宋体" w:cstheme="minorBidi"/>
      <w:kern w:val="0"/>
      <w:sz w:val="24"/>
    </w:rPr>
  </w:style>
  <w:style w:type="paragraph" w:customStyle="1" w:styleId="356">
    <w:name w:val="UserStyle_2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4"/>
    </w:rPr>
  </w:style>
  <w:style w:type="paragraph" w:customStyle="1" w:styleId="357">
    <w:name w:val="UserStyle_205"/>
    <w:basedOn w:val="1"/>
    <w:qFormat/>
    <w:uiPriority w:val="0"/>
    <w:pPr>
      <w:widowControl/>
      <w:textAlignment w:val="baseline"/>
    </w:pPr>
    <w:rPr>
      <w:rFonts w:ascii="Calibri" w:hAnsi="Calibri" w:cstheme="minorBidi"/>
      <w:szCs w:val="22"/>
    </w:rPr>
  </w:style>
  <w:style w:type="paragraph" w:customStyle="1" w:styleId="358">
    <w:name w:val="UserStyle_206"/>
    <w:basedOn w:val="1"/>
    <w:qFormat/>
    <w:uiPriority w:val="0"/>
    <w:pPr>
      <w:widowControl/>
      <w:spacing w:line="300" w:lineRule="auto"/>
      <w:textAlignment w:val="baseline"/>
    </w:pPr>
    <w:rPr>
      <w:rFonts w:ascii="Calibri" w:hAnsi="Calibri" w:cstheme="minorBidi"/>
    </w:rPr>
  </w:style>
  <w:style w:type="paragraph" w:customStyle="1" w:styleId="359">
    <w:name w:val="UserStyle_207"/>
    <w:basedOn w:val="1"/>
    <w:qFormat/>
    <w:uiPriority w:val="0"/>
    <w:pPr>
      <w:widowControl/>
      <w:textAlignment w:val="baseline"/>
    </w:pPr>
    <w:rPr>
      <w:rFonts w:ascii="仿宋_GB2312" w:eastAsia="仿宋_GB2312" w:cstheme="minorBidi"/>
      <w:b/>
      <w:sz w:val="32"/>
      <w:szCs w:val="32"/>
    </w:rPr>
  </w:style>
  <w:style w:type="paragraph" w:customStyle="1" w:styleId="360">
    <w:name w:val="UserStyle_208"/>
    <w:basedOn w:val="1"/>
    <w:qFormat/>
    <w:uiPriority w:val="0"/>
    <w:pPr>
      <w:widowControl/>
      <w:spacing w:before="25" w:after="25"/>
      <w:jc w:val="left"/>
      <w:textAlignment w:val="baseline"/>
    </w:pPr>
    <w:rPr>
      <w:rFonts w:ascii="Calibri" w:hAnsi="Calibri" w:cs="Calibri"/>
      <w:bCs/>
      <w:spacing w:val="10"/>
      <w:kern w:val="0"/>
      <w:sz w:val="24"/>
      <w:szCs w:val="20"/>
    </w:rPr>
  </w:style>
  <w:style w:type="paragraph" w:customStyle="1" w:styleId="361">
    <w:name w:val="UserStyle_2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362">
    <w:name w:val="UserStyle_210"/>
    <w:basedOn w:val="1"/>
    <w:qFormat/>
    <w:uiPriority w:val="0"/>
    <w:pPr>
      <w:widowControl/>
      <w:textAlignment w:val="baseline"/>
    </w:pPr>
    <w:rPr>
      <w:rFonts w:ascii="Calibri" w:hAnsi="Calibri" w:cstheme="minorBidi"/>
      <w:szCs w:val="22"/>
    </w:rPr>
  </w:style>
  <w:style w:type="paragraph" w:customStyle="1" w:styleId="363">
    <w:name w:val="UserStyle_211"/>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364">
    <w:name w:val="UserStyle_212"/>
    <w:basedOn w:val="67"/>
    <w:qFormat/>
    <w:uiPriority w:val="0"/>
    <w:pPr>
      <w:widowControl/>
      <w:tabs>
        <w:tab w:val="left" w:pos="1440"/>
      </w:tabs>
      <w:spacing w:before="0" w:after="0" w:line="413" w:lineRule="auto"/>
      <w:ind w:left="1440" w:hanging="360"/>
      <w:textAlignment w:val="baseline"/>
    </w:pPr>
    <w:rPr>
      <w:rFonts w:eastAsia="楷体_GB2312"/>
      <w:color w:val="3366FF"/>
      <w:sz w:val="30"/>
      <w:szCs w:val="30"/>
    </w:rPr>
  </w:style>
  <w:style w:type="paragraph" w:customStyle="1" w:styleId="365">
    <w:name w:val="UserStyle_213"/>
    <w:basedOn w:val="1"/>
    <w:qFormat/>
    <w:uiPriority w:val="0"/>
    <w:pPr>
      <w:widowControl/>
      <w:tabs>
        <w:tab w:val="left" w:pos="960"/>
      </w:tabs>
      <w:spacing w:before="200" w:line="320" w:lineRule="atLeast"/>
      <w:ind w:left="960" w:hanging="960"/>
      <w:textAlignment w:val="baseline"/>
    </w:pPr>
    <w:rPr>
      <w:rFonts w:cstheme="minorBidi"/>
      <w:kern w:val="0"/>
      <w:sz w:val="24"/>
      <w:szCs w:val="20"/>
    </w:rPr>
  </w:style>
  <w:style w:type="paragraph" w:customStyle="1" w:styleId="366">
    <w:name w:val="UserStyle_214"/>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367">
    <w:name w:val="UserStyle_2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24"/>
    </w:rPr>
  </w:style>
  <w:style w:type="paragraph" w:customStyle="1" w:styleId="368">
    <w:name w:val="UserStyle_216"/>
    <w:basedOn w:val="1"/>
    <w:qFormat/>
    <w:uiPriority w:val="0"/>
    <w:pPr>
      <w:widowControl/>
      <w:suppressAutoHyphens/>
      <w:textAlignment w:val="baseline"/>
    </w:pPr>
    <w:rPr>
      <w:rFonts w:ascii="宋体" w:hAnsi="宋体" w:cstheme="minorBidi"/>
      <w:szCs w:val="22"/>
      <w:lang w:eastAsia="ar-SA"/>
    </w:rPr>
  </w:style>
  <w:style w:type="paragraph" w:customStyle="1" w:styleId="369">
    <w:name w:val="UserStyle_2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18"/>
      <w:szCs w:val="18"/>
    </w:rPr>
  </w:style>
  <w:style w:type="paragraph" w:customStyle="1" w:styleId="370">
    <w:name w:val="UserStyle_218"/>
    <w:basedOn w:val="1"/>
    <w:qFormat/>
    <w:uiPriority w:val="0"/>
    <w:pPr>
      <w:widowControl/>
      <w:textAlignment w:val="baseline"/>
    </w:pPr>
    <w:rPr>
      <w:rFonts w:ascii="宋体" w:hAnsi="宋体" w:cstheme="minorBidi"/>
      <w:sz w:val="30"/>
    </w:rPr>
  </w:style>
  <w:style w:type="paragraph" w:customStyle="1" w:styleId="371">
    <w:name w:val="UserStyle_219"/>
    <w:basedOn w:val="1"/>
    <w:qFormat/>
    <w:uiPriority w:val="0"/>
    <w:pPr>
      <w:widowControl/>
      <w:tabs>
        <w:tab w:val="left" w:pos="1535"/>
        <w:tab w:val="left" w:pos="3105"/>
        <w:tab w:val="left" w:pos="4676"/>
        <w:tab w:val="left" w:pos="6247"/>
        <w:tab w:val="left" w:pos="7740"/>
        <w:tab w:val="left" w:pos="9288"/>
      </w:tabs>
      <w:snapToGrid w:val="0"/>
      <w:jc w:val="center"/>
      <w:textAlignment w:val="baseline"/>
    </w:pPr>
    <w:rPr>
      <w:rFonts w:cstheme="minorBidi"/>
      <w:color w:val="000000"/>
      <w:kern w:val="0"/>
      <w:szCs w:val="16"/>
    </w:rPr>
  </w:style>
  <w:style w:type="paragraph" w:customStyle="1" w:styleId="372">
    <w:name w:val="UserStyle_220"/>
    <w:basedOn w:val="1"/>
    <w:qFormat/>
    <w:uiPriority w:val="0"/>
    <w:pPr>
      <w:widowControl/>
      <w:spacing w:before="150" w:after="150"/>
      <w:jc w:val="left"/>
      <w:textAlignment w:val="baseline"/>
    </w:pPr>
    <w:rPr>
      <w:rFonts w:ascii="宋体" w:hAnsi="宋体" w:cstheme="minorBidi"/>
      <w:kern w:val="0"/>
      <w:sz w:val="24"/>
    </w:rPr>
  </w:style>
  <w:style w:type="paragraph" w:customStyle="1" w:styleId="373">
    <w:name w:val="UserStyle_221"/>
    <w:qFormat/>
    <w:uiPriority w:val="0"/>
    <w:pPr>
      <w:tabs>
        <w:tab w:val="center" w:pos="4320"/>
        <w:tab w:val="right" w:pos="8640"/>
      </w:tabs>
      <w:spacing w:line="315" w:lineRule="atLeast"/>
      <w:jc w:val="both"/>
      <w:textAlignment w:val="baseline"/>
    </w:pPr>
    <w:rPr>
      <w:rFonts w:ascii="宋体" w:hAnsi="Times New Roman" w:eastAsia="宋体" w:cstheme="minorBidi"/>
      <w:sz w:val="21"/>
      <w:lang w:val="en-US" w:eastAsia="zh-CN" w:bidi="ar-SA"/>
    </w:rPr>
  </w:style>
  <w:style w:type="paragraph" w:customStyle="1" w:styleId="374">
    <w:name w:val="UserStyle_222"/>
    <w:basedOn w:val="1"/>
    <w:qFormat/>
    <w:uiPriority w:val="0"/>
    <w:pPr>
      <w:widowControl/>
      <w:textAlignment w:val="baseline"/>
    </w:pPr>
    <w:rPr>
      <w:rFonts w:ascii="Calibri" w:hAnsi="Calibri" w:cstheme="minorBidi"/>
      <w:szCs w:val="22"/>
    </w:rPr>
  </w:style>
  <w:style w:type="paragraph" w:customStyle="1" w:styleId="375">
    <w:name w:val="UserStyle_223"/>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76">
    <w:name w:val="UserStyle_224"/>
    <w:basedOn w:val="1"/>
    <w:qFormat/>
    <w:uiPriority w:val="0"/>
    <w:pPr>
      <w:widowControl/>
      <w:textAlignment w:val="baseline"/>
    </w:pPr>
    <w:rPr>
      <w:rFonts w:ascii="Calibri" w:hAnsi="Calibri" w:cstheme="minorBidi"/>
      <w:szCs w:val="22"/>
    </w:rPr>
  </w:style>
  <w:style w:type="paragraph" w:customStyle="1" w:styleId="377">
    <w:name w:val="UserStyle_225"/>
    <w:qFormat/>
    <w:uiPriority w:val="0"/>
    <w:pPr>
      <w:textAlignment w:val="baseline"/>
    </w:pPr>
    <w:rPr>
      <w:rFonts w:ascii="宋体" w:hAnsi="Calibri" w:eastAsia="宋体" w:cstheme="minorBidi"/>
      <w:sz w:val="21"/>
      <w:szCs w:val="22"/>
      <w:lang w:val="en-US" w:eastAsia="zh-CN" w:bidi="ar-SA"/>
    </w:rPr>
  </w:style>
  <w:style w:type="paragraph" w:customStyle="1" w:styleId="378">
    <w:name w:val="UserStyle_226"/>
    <w:basedOn w:val="1"/>
    <w:qFormat/>
    <w:uiPriority w:val="0"/>
    <w:pPr>
      <w:widowControl/>
      <w:spacing w:before="150" w:after="150"/>
      <w:jc w:val="left"/>
      <w:textAlignment w:val="baseline"/>
    </w:pPr>
    <w:rPr>
      <w:rFonts w:ascii="宋体" w:hAnsi="宋体" w:cstheme="minorBidi"/>
      <w:kern w:val="0"/>
      <w:sz w:val="24"/>
    </w:rPr>
  </w:style>
  <w:style w:type="paragraph" w:customStyle="1" w:styleId="379">
    <w:name w:val="UserStyle_227"/>
    <w:basedOn w:val="1"/>
    <w:qFormat/>
    <w:uiPriority w:val="0"/>
    <w:pPr>
      <w:widowControl/>
      <w:snapToGrid w:val="0"/>
      <w:textAlignment w:val="baseline"/>
    </w:pPr>
    <w:rPr>
      <w:rFonts w:ascii="楷体_GB2312" w:eastAsia="楷体_GB2312" w:cstheme="minorBidi"/>
      <w:sz w:val="30"/>
    </w:rPr>
  </w:style>
  <w:style w:type="paragraph" w:customStyle="1" w:styleId="380">
    <w:name w:val="UserStyle_228"/>
    <w:basedOn w:val="1"/>
    <w:qFormat/>
    <w:uiPriority w:val="0"/>
    <w:pPr>
      <w:widowControl/>
      <w:tabs>
        <w:tab w:val="left" w:pos="567"/>
      </w:tabs>
      <w:spacing w:line="360" w:lineRule="auto"/>
      <w:ind w:left="567" w:hanging="567"/>
      <w:textAlignment w:val="baseline"/>
    </w:pPr>
    <w:rPr>
      <w:rFonts w:ascii="黑体" w:hAnsi="宋体" w:eastAsia="黑体" w:cstheme="minorBidi"/>
      <w:sz w:val="32"/>
      <w:szCs w:val="28"/>
    </w:rPr>
  </w:style>
  <w:style w:type="paragraph" w:customStyle="1" w:styleId="381">
    <w:name w:val="UserStyle_229"/>
    <w:basedOn w:val="1"/>
    <w:qFormat/>
    <w:uiPriority w:val="0"/>
    <w:pPr>
      <w:widowControl/>
      <w:textAlignment w:val="baseline"/>
    </w:pPr>
    <w:rPr>
      <w:rFonts w:cstheme="minorBidi"/>
    </w:rPr>
  </w:style>
  <w:style w:type="paragraph" w:customStyle="1" w:styleId="382">
    <w:name w:val="UserStyle_230"/>
    <w:basedOn w:val="1"/>
    <w:qFormat/>
    <w:uiPriority w:val="0"/>
    <w:pPr>
      <w:widowControl/>
      <w:spacing w:before="100" w:beforeAutospacing="1" w:after="100" w:afterAutospacing="1"/>
      <w:jc w:val="left"/>
      <w:textAlignment w:val="baseline"/>
    </w:pPr>
    <w:rPr>
      <w:rFonts w:ascii="宋体" w:hAnsi="宋体" w:cstheme="minorBidi"/>
      <w:kern w:val="0"/>
      <w:sz w:val="18"/>
      <w:szCs w:val="18"/>
    </w:rPr>
  </w:style>
  <w:style w:type="paragraph" w:customStyle="1" w:styleId="383">
    <w:name w:val="UserStyle_231"/>
    <w:basedOn w:val="1"/>
    <w:qFormat/>
    <w:uiPriority w:val="0"/>
    <w:pPr>
      <w:widowControl/>
      <w:snapToGrid w:val="0"/>
      <w:spacing w:line="320" w:lineRule="exact"/>
      <w:jc w:val="center"/>
      <w:textAlignment w:val="baseline"/>
    </w:pPr>
    <w:rPr>
      <w:rFonts w:cstheme="minorBidi"/>
      <w:spacing w:val="20"/>
      <w:kern w:val="28"/>
      <w:szCs w:val="20"/>
    </w:rPr>
  </w:style>
  <w:style w:type="paragraph" w:customStyle="1" w:styleId="384">
    <w:name w:val="UserStyle_232"/>
    <w:basedOn w:val="1"/>
    <w:qFormat/>
    <w:uiPriority w:val="0"/>
    <w:pPr>
      <w:widowControl/>
      <w:spacing w:line="420" w:lineRule="atLeast"/>
      <w:textAlignment w:val="baseline"/>
    </w:pPr>
    <w:rPr>
      <w:rFonts w:ascii="Calibri" w:hAnsi="Calibri" w:eastAsia="楷体" w:cstheme="minorBidi"/>
      <w:kern w:val="0"/>
      <w:szCs w:val="20"/>
    </w:rPr>
  </w:style>
  <w:style w:type="paragraph" w:customStyle="1" w:styleId="385">
    <w:name w:val="UserStyle_233"/>
    <w:qFormat/>
    <w:uiPriority w:val="0"/>
    <w:pPr>
      <w:spacing w:line="284" w:lineRule="exact"/>
      <w:jc w:val="right"/>
      <w:textAlignment w:val="baseline"/>
    </w:pPr>
    <w:rPr>
      <w:rFonts w:ascii="Arial" w:hAnsi="Arial" w:eastAsia="宋体" w:cstheme="minorBidi"/>
      <w:sz w:val="13"/>
      <w:lang w:val="en-US" w:eastAsia="en-US" w:bidi="ar-SA"/>
    </w:rPr>
  </w:style>
  <w:style w:type="paragraph" w:customStyle="1" w:styleId="386">
    <w:name w:val="UserStyle_234"/>
    <w:basedOn w:val="1"/>
    <w:qFormat/>
    <w:uiPriority w:val="0"/>
    <w:pPr>
      <w:widowControl/>
      <w:spacing w:before="150" w:after="150"/>
      <w:jc w:val="left"/>
      <w:textAlignment w:val="baseline"/>
    </w:pPr>
    <w:rPr>
      <w:rFonts w:ascii="宋体" w:hAnsi="宋体" w:cstheme="minorBidi"/>
      <w:kern w:val="0"/>
      <w:sz w:val="24"/>
    </w:rPr>
  </w:style>
  <w:style w:type="paragraph" w:customStyle="1" w:styleId="387">
    <w:name w:val="UserStyle_235"/>
    <w:basedOn w:val="1"/>
    <w:qFormat/>
    <w:uiPriority w:val="0"/>
    <w:pPr>
      <w:widowControl/>
      <w:textAlignment w:val="baseline"/>
    </w:pPr>
    <w:rPr>
      <w:rFonts w:ascii="Calibri" w:hAnsi="Calibri" w:cstheme="minorBidi"/>
      <w:sz w:val="24"/>
      <w:szCs w:val="20"/>
    </w:rPr>
  </w:style>
  <w:style w:type="paragraph" w:customStyle="1" w:styleId="388">
    <w:name w:val="UserStyle_236"/>
    <w:basedOn w:val="1"/>
    <w:qFormat/>
    <w:uiPriority w:val="0"/>
    <w:pPr>
      <w:widowControl/>
      <w:textAlignment w:val="baseline"/>
    </w:pPr>
    <w:rPr>
      <w:rFonts w:ascii="Arial" w:hAnsi="Arial" w:cstheme="minorBidi"/>
      <w:sz w:val="20"/>
      <w:szCs w:val="20"/>
    </w:rPr>
  </w:style>
  <w:style w:type="paragraph" w:customStyle="1" w:styleId="389">
    <w:name w:val="UserStyle_237"/>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390">
    <w:name w:val="UserStyle_238"/>
    <w:basedOn w:val="307"/>
    <w:qFormat/>
    <w:uiPriority w:val="0"/>
    <w:pPr>
      <w:spacing w:before="25" w:after="25"/>
      <w:jc w:val="left"/>
    </w:pPr>
    <w:rPr>
      <w:rFonts w:cs="Calibri"/>
      <w:bCs/>
      <w:spacing w:val="10"/>
      <w:kern w:val="0"/>
      <w:sz w:val="24"/>
    </w:rPr>
  </w:style>
  <w:style w:type="paragraph" w:customStyle="1" w:styleId="391">
    <w:name w:val="UserStyle_239"/>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392">
    <w:name w:val="UserStyle_240"/>
    <w:basedOn w:val="1"/>
    <w:qFormat/>
    <w:uiPriority w:val="0"/>
    <w:pPr>
      <w:widowControl/>
      <w:spacing w:line="360" w:lineRule="atLeast"/>
      <w:jc w:val="center"/>
      <w:textAlignment w:val="baseline"/>
    </w:pPr>
    <w:rPr>
      <w:rFonts w:cstheme="minorBidi"/>
      <w:kern w:val="0"/>
      <w:szCs w:val="20"/>
    </w:rPr>
  </w:style>
  <w:style w:type="paragraph" w:customStyle="1" w:styleId="393">
    <w:name w:val="UserStyle_241"/>
    <w:basedOn w:val="1"/>
    <w:qFormat/>
    <w:uiPriority w:val="0"/>
    <w:pPr>
      <w:widowControl/>
      <w:textAlignment w:val="baseline"/>
    </w:pPr>
    <w:rPr>
      <w:rFonts w:cstheme="minorBidi"/>
    </w:rPr>
  </w:style>
  <w:style w:type="paragraph" w:customStyle="1" w:styleId="394">
    <w:name w:val="UserStyle_242"/>
    <w:basedOn w:val="1"/>
    <w:qFormat/>
    <w:uiPriority w:val="0"/>
    <w:pPr>
      <w:widowControl/>
      <w:spacing w:line="420" w:lineRule="atLeast"/>
      <w:jc w:val="left"/>
      <w:textAlignment w:val="baseline"/>
    </w:pPr>
    <w:rPr>
      <w:rFonts w:cstheme="minorBidi"/>
      <w:kern w:val="0"/>
      <w:szCs w:val="20"/>
    </w:rPr>
  </w:style>
  <w:style w:type="paragraph" w:customStyle="1" w:styleId="395">
    <w:name w:val="UserStyle_243"/>
    <w:basedOn w:val="1"/>
    <w:qFormat/>
    <w:uiPriority w:val="0"/>
    <w:pPr>
      <w:widowControl/>
      <w:textAlignment w:val="baseline"/>
    </w:pPr>
    <w:rPr>
      <w:rFonts w:cstheme="minorBidi"/>
    </w:rPr>
  </w:style>
  <w:style w:type="paragraph" w:customStyle="1" w:styleId="396">
    <w:name w:val="UserStyle_244"/>
    <w:basedOn w:val="1"/>
    <w:qFormat/>
    <w:uiPriority w:val="0"/>
    <w:pPr>
      <w:widowControl/>
      <w:spacing w:line="480" w:lineRule="auto"/>
      <w:jc w:val="left"/>
      <w:textAlignment w:val="baseline"/>
    </w:pPr>
    <w:rPr>
      <w:rFonts w:ascii="宋体" w:hAnsi="宋体" w:cstheme="minorBidi"/>
      <w:kern w:val="0"/>
      <w:sz w:val="24"/>
      <w:szCs w:val="20"/>
    </w:rPr>
  </w:style>
  <w:style w:type="paragraph" w:customStyle="1" w:styleId="397">
    <w:name w:val="UserStyle_245"/>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398">
    <w:name w:val="UserStyle_246"/>
    <w:basedOn w:val="1"/>
    <w:qFormat/>
    <w:uiPriority w:val="0"/>
    <w:pPr>
      <w:widowControl/>
      <w:spacing w:before="100" w:beforeAutospacing="1" w:after="100" w:afterAutospacing="1"/>
      <w:jc w:val="left"/>
      <w:textAlignment w:val="top"/>
    </w:pPr>
    <w:rPr>
      <w:rFonts w:ascii="宋体" w:hAnsi="宋体" w:cstheme="minorBidi"/>
      <w:kern w:val="0"/>
      <w:sz w:val="24"/>
    </w:rPr>
  </w:style>
  <w:style w:type="paragraph" w:customStyle="1" w:styleId="399">
    <w:name w:val="UserStyle_247"/>
    <w:basedOn w:val="1"/>
    <w:qFormat/>
    <w:uiPriority w:val="0"/>
    <w:pPr>
      <w:widowControl/>
      <w:spacing w:before="100" w:beforeAutospacing="1" w:after="100" w:afterAutospacing="1"/>
      <w:jc w:val="left"/>
      <w:textAlignment w:val="baseline"/>
    </w:pPr>
    <w:rPr>
      <w:rFonts w:ascii="宋体" w:hAnsi="宋体" w:cstheme="minorBidi"/>
      <w:kern w:val="0"/>
      <w:sz w:val="24"/>
      <w:szCs w:val="22"/>
    </w:rPr>
  </w:style>
  <w:style w:type="paragraph" w:customStyle="1" w:styleId="400">
    <w:name w:val="UserStyle_248"/>
    <w:basedOn w:val="1"/>
    <w:qFormat/>
    <w:uiPriority w:val="0"/>
    <w:pPr>
      <w:widowControl/>
      <w:tabs>
        <w:tab w:val="left" w:pos="1080"/>
      </w:tabs>
      <w:spacing w:line="360" w:lineRule="auto"/>
      <w:ind w:firstLine="482"/>
      <w:textAlignment w:val="baseline"/>
    </w:pPr>
    <w:rPr>
      <w:rFonts w:cstheme="minorBidi"/>
      <w:sz w:val="28"/>
      <w:szCs w:val="20"/>
    </w:rPr>
  </w:style>
  <w:style w:type="paragraph" w:customStyle="1" w:styleId="401">
    <w:name w:val="UserStyle_249"/>
    <w:basedOn w:val="1"/>
    <w:qFormat/>
    <w:uiPriority w:val="0"/>
    <w:pPr>
      <w:widowControl/>
      <w:textAlignment w:val="baseline"/>
    </w:pPr>
    <w:rPr>
      <w:rFonts w:cstheme="minorBidi"/>
    </w:rPr>
  </w:style>
  <w:style w:type="paragraph" w:customStyle="1" w:styleId="402">
    <w:name w:val="UserStyle_250"/>
    <w:basedOn w:val="1"/>
    <w:qFormat/>
    <w:uiPriority w:val="0"/>
    <w:pPr>
      <w:keepNext/>
      <w:keepLines/>
      <w:widowControl/>
      <w:tabs>
        <w:tab w:val="left" w:pos="851"/>
      </w:tabs>
      <w:spacing w:before="280" w:after="290" w:line="360" w:lineRule="auto"/>
      <w:ind w:left="851" w:hanging="851"/>
      <w:textAlignment w:val="baseline"/>
    </w:pPr>
    <w:rPr>
      <w:rFonts w:ascii="Calibri" w:hAnsi="Calibri" w:eastAsia="黑体" w:cs="Calibri"/>
      <w:bCs/>
      <w:kern w:val="0"/>
      <w:sz w:val="28"/>
      <w:szCs w:val="28"/>
    </w:rPr>
  </w:style>
  <w:style w:type="paragraph" w:customStyle="1" w:styleId="403">
    <w:name w:val="UserStyle_251"/>
    <w:basedOn w:val="404"/>
    <w:qFormat/>
    <w:uiPriority w:val="0"/>
    <w:pPr>
      <w:spacing w:before="0" w:after="0" w:line="240" w:lineRule="auto"/>
      <w:jc w:val="center"/>
      <w:textAlignment w:val="auto"/>
    </w:pPr>
    <w:rPr>
      <w:rFonts w:ascii="宋体" w:hAnsi="宋体" w:eastAsia="宋体" w:cs="Calibri"/>
      <w:bCs/>
      <w:kern w:val="2"/>
      <w:szCs w:val="22"/>
    </w:rPr>
  </w:style>
  <w:style w:type="paragraph" w:customStyle="1" w:styleId="404">
    <w:name w:val="UserStyle_252"/>
    <w:basedOn w:val="1"/>
    <w:qFormat/>
    <w:uiPriority w:val="0"/>
    <w:pPr>
      <w:widowControl/>
      <w:spacing w:before="60" w:after="60" w:line="420" w:lineRule="atLeast"/>
      <w:jc w:val="left"/>
      <w:textAlignment w:val="baseline"/>
    </w:pPr>
    <w:rPr>
      <w:rFonts w:ascii="黑体" w:eastAsia="黑体" w:cstheme="minorBidi"/>
      <w:b/>
      <w:kern w:val="0"/>
      <w:szCs w:val="20"/>
    </w:rPr>
  </w:style>
  <w:style w:type="paragraph" w:customStyle="1" w:styleId="405">
    <w:name w:val="UserStyle_253"/>
    <w:basedOn w:val="1"/>
    <w:qFormat/>
    <w:uiPriority w:val="0"/>
    <w:pPr>
      <w:widowControl/>
      <w:textAlignment w:val="baseline"/>
    </w:pPr>
    <w:rPr>
      <w:rFonts w:cstheme="minorBidi"/>
    </w:rPr>
  </w:style>
  <w:style w:type="paragraph" w:customStyle="1" w:styleId="406">
    <w:name w:val="UserStyle_254"/>
    <w:basedOn w:val="1"/>
    <w:qFormat/>
    <w:uiPriority w:val="0"/>
    <w:pPr>
      <w:widowControl/>
      <w:textAlignment w:val="baseline"/>
    </w:pPr>
    <w:rPr>
      <w:rFonts w:cstheme="minorBidi"/>
      <w:sz w:val="24"/>
      <w:szCs w:val="20"/>
    </w:rPr>
  </w:style>
  <w:style w:type="paragraph" w:customStyle="1" w:styleId="407">
    <w:name w:val="UserStyle_255"/>
    <w:basedOn w:val="80"/>
    <w:next w:val="1"/>
    <w:qFormat/>
    <w:uiPriority w:val="0"/>
    <w:pPr>
      <w:tabs>
        <w:tab w:val="left" w:pos="432"/>
      </w:tabs>
      <w:spacing w:line="576" w:lineRule="auto"/>
    </w:pPr>
    <w:rPr>
      <w:rFonts w:ascii="Calibri" w:hAnsi="Calibri"/>
    </w:rPr>
  </w:style>
  <w:style w:type="paragraph" w:customStyle="1" w:styleId="408">
    <w:name w:val="UserStyle_256"/>
    <w:basedOn w:val="156"/>
    <w:qFormat/>
    <w:uiPriority w:val="0"/>
    <w:pPr>
      <w:tabs>
        <w:tab w:val="left" w:pos="8790"/>
      </w:tabs>
      <w:snapToGrid w:val="0"/>
      <w:spacing w:before="40" w:after="40" w:line="276" w:lineRule="auto"/>
      <w:ind w:left="-37" w:leftChars="0" w:firstLine="667"/>
    </w:pPr>
    <w:rPr>
      <w:rFonts w:ascii="Arial" w:hAnsi="Arial"/>
      <w:color w:val="000000"/>
      <w:spacing w:val="6"/>
      <w:kern w:val="28"/>
      <w:sz w:val="24"/>
      <w:szCs w:val="20"/>
    </w:rPr>
  </w:style>
  <w:style w:type="paragraph" w:customStyle="1" w:styleId="409">
    <w:name w:val="UserStyle_257"/>
    <w:basedOn w:val="1"/>
    <w:next w:val="1"/>
    <w:qFormat/>
    <w:uiPriority w:val="0"/>
    <w:pPr>
      <w:keepNext/>
      <w:widowControl/>
      <w:spacing w:before="100" w:after="100"/>
      <w:jc w:val="left"/>
      <w:textAlignment w:val="baseline"/>
    </w:pPr>
    <w:rPr>
      <w:rFonts w:cstheme="minorBidi"/>
      <w:b/>
      <w:kern w:val="0"/>
      <w:sz w:val="20"/>
      <w:szCs w:val="20"/>
    </w:rPr>
  </w:style>
  <w:style w:type="paragraph" w:customStyle="1" w:styleId="410">
    <w:name w:val="UserStyle_258"/>
    <w:basedOn w:val="67"/>
    <w:qFormat/>
    <w:uiPriority w:val="0"/>
    <w:pPr>
      <w:widowControl/>
      <w:spacing w:before="100" w:after="0" w:line="400" w:lineRule="exact"/>
      <w:textAlignment w:val="baseline"/>
    </w:pPr>
    <w:rPr>
      <w:rFonts w:ascii="Times New Roman" w:hAnsi="Times New Roman"/>
      <w:b w:val="0"/>
      <w:bCs w:val="0"/>
      <w:sz w:val="28"/>
      <w:szCs w:val="20"/>
    </w:rPr>
  </w:style>
  <w:style w:type="paragraph" w:customStyle="1" w:styleId="411">
    <w:name w:val="UserStyle_259"/>
    <w:basedOn w:val="1"/>
    <w:qFormat/>
    <w:uiPriority w:val="0"/>
    <w:pPr>
      <w:widowControl/>
      <w:jc w:val="center"/>
      <w:textAlignment w:val="center"/>
    </w:pPr>
    <w:rPr>
      <w:rFonts w:ascii="华文细黑" w:hAnsi="华文细黑" w:cstheme="minorBidi"/>
      <w:kern w:val="0"/>
      <w:szCs w:val="20"/>
    </w:rPr>
  </w:style>
  <w:style w:type="paragraph" w:customStyle="1" w:styleId="412">
    <w:name w:val="UserStyle_260"/>
    <w:basedOn w:val="1"/>
    <w:qFormat/>
    <w:uiPriority w:val="0"/>
    <w:pPr>
      <w:widowControl/>
      <w:spacing w:line="240" w:lineRule="atLeast"/>
      <w:ind w:left="420" w:firstLine="420"/>
      <w:textAlignment w:val="baseline"/>
    </w:pPr>
    <w:rPr>
      <w:rFonts w:cstheme="minorBidi"/>
      <w:kern w:val="0"/>
      <w:szCs w:val="21"/>
    </w:rPr>
  </w:style>
  <w:style w:type="paragraph" w:customStyle="1" w:styleId="413">
    <w:name w:val="UserStyle_2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heme="minorBidi"/>
      <w:kern w:val="0"/>
      <w:sz w:val="22"/>
      <w:szCs w:val="22"/>
    </w:rPr>
  </w:style>
  <w:style w:type="paragraph" w:customStyle="1" w:styleId="414">
    <w:name w:val="UserStyle_262"/>
    <w:basedOn w:val="1"/>
    <w:qFormat/>
    <w:uiPriority w:val="0"/>
    <w:pPr>
      <w:widowControl/>
      <w:textAlignment w:val="baseline"/>
    </w:pPr>
    <w:rPr>
      <w:rFonts w:ascii="Tahoma" w:hAnsi="Tahoma" w:cstheme="minorBidi"/>
      <w:sz w:val="24"/>
      <w:szCs w:val="20"/>
    </w:rPr>
  </w:style>
  <w:style w:type="paragraph" w:customStyle="1" w:styleId="415">
    <w:name w:val="UserStyle_263"/>
    <w:basedOn w:val="112"/>
    <w:qFormat/>
    <w:uiPriority w:val="0"/>
    <w:pPr>
      <w:spacing w:line="360" w:lineRule="auto"/>
      <w:ind w:firstLine="200" w:firstLineChars="200"/>
    </w:pPr>
    <w:rPr>
      <w:sz w:val="28"/>
      <w:szCs w:val="20"/>
    </w:rPr>
  </w:style>
  <w:style w:type="paragraph" w:customStyle="1" w:styleId="416">
    <w:name w:val="UserStyle_2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18"/>
      <w:szCs w:val="18"/>
    </w:rPr>
  </w:style>
  <w:style w:type="paragraph" w:customStyle="1" w:styleId="417">
    <w:name w:val="UserStyle_265"/>
    <w:basedOn w:val="1"/>
    <w:qFormat/>
    <w:uiPriority w:val="0"/>
    <w:pPr>
      <w:widowControl/>
      <w:textAlignment w:val="baseline"/>
    </w:pPr>
    <w:rPr>
      <w:rFonts w:ascii="Calibri" w:hAnsi="Calibri" w:cstheme="minorBidi"/>
      <w:szCs w:val="22"/>
    </w:rPr>
  </w:style>
  <w:style w:type="paragraph" w:customStyle="1" w:styleId="418">
    <w:name w:val="UserStyle_266"/>
    <w:basedOn w:val="1"/>
    <w:qFormat/>
    <w:uiPriority w:val="0"/>
    <w:pPr>
      <w:widowControl/>
      <w:textAlignment w:val="baseline"/>
    </w:pPr>
    <w:rPr>
      <w:rFonts w:cstheme="minorBidi"/>
    </w:rPr>
  </w:style>
  <w:style w:type="paragraph" w:customStyle="1" w:styleId="419">
    <w:name w:val="UserStyle_267"/>
    <w:basedOn w:val="1"/>
    <w:qFormat/>
    <w:uiPriority w:val="0"/>
    <w:pPr>
      <w:widowControl/>
      <w:spacing w:before="150" w:after="150"/>
      <w:jc w:val="left"/>
      <w:textAlignment w:val="baseline"/>
    </w:pPr>
    <w:rPr>
      <w:rFonts w:ascii="宋体" w:hAnsi="宋体" w:cstheme="minorBidi"/>
      <w:kern w:val="0"/>
      <w:sz w:val="24"/>
    </w:rPr>
  </w:style>
  <w:style w:type="paragraph" w:customStyle="1" w:styleId="420">
    <w:name w:val="UserStyle_2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24"/>
    </w:rPr>
  </w:style>
  <w:style w:type="paragraph" w:customStyle="1" w:styleId="421">
    <w:name w:val="UserStyle_269"/>
    <w:basedOn w:val="1"/>
    <w:qFormat/>
    <w:uiPriority w:val="0"/>
    <w:pPr>
      <w:widowControl/>
      <w:spacing w:line="120" w:lineRule="exact"/>
      <w:textAlignment w:val="baseline"/>
    </w:pPr>
    <w:rPr>
      <w:rFonts w:eastAsia="仿宋_GB2312" w:cstheme="minorBidi"/>
      <w:color w:val="FFFFFF"/>
      <w:kern w:val="0"/>
      <w:sz w:val="30"/>
      <w:szCs w:val="20"/>
    </w:rPr>
  </w:style>
  <w:style w:type="paragraph" w:customStyle="1" w:styleId="422">
    <w:name w:val="UserStyle_270"/>
    <w:basedOn w:val="133"/>
    <w:qFormat/>
    <w:uiPriority w:val="0"/>
    <w:pPr>
      <w:spacing w:line="240" w:lineRule="atLeast"/>
      <w:ind w:firstLine="200" w:firstLineChars="200"/>
    </w:pPr>
    <w:rPr>
      <w:sz w:val="28"/>
    </w:rPr>
  </w:style>
  <w:style w:type="paragraph" w:customStyle="1" w:styleId="423">
    <w:name w:val="UserStyle_271"/>
    <w:basedOn w:val="1"/>
    <w:qFormat/>
    <w:uiPriority w:val="0"/>
    <w:pPr>
      <w:widowControl/>
      <w:spacing w:before="100" w:beforeAutospacing="1" w:after="100" w:afterAutospacing="1"/>
      <w:jc w:val="center"/>
      <w:textAlignment w:val="center"/>
    </w:pPr>
    <w:rPr>
      <w:rFonts w:ascii="宋体" w:hAnsi="宋体" w:cs="Calibri"/>
      <w:b/>
      <w:bCs/>
      <w:kern w:val="0"/>
      <w:sz w:val="32"/>
      <w:szCs w:val="32"/>
    </w:rPr>
  </w:style>
  <w:style w:type="paragraph" w:customStyle="1" w:styleId="424">
    <w:name w:val="UserStyle_272"/>
    <w:basedOn w:val="1"/>
    <w:qFormat/>
    <w:uiPriority w:val="0"/>
    <w:pPr>
      <w:widowControl/>
      <w:spacing w:line="360" w:lineRule="auto"/>
      <w:ind w:firstLine="200" w:firstLineChars="200"/>
      <w:textAlignment w:val="baseline"/>
    </w:pPr>
    <w:rPr>
      <w:rFonts w:ascii="宋体" w:hAnsi="宋体" w:cstheme="minorBidi"/>
      <w:sz w:val="24"/>
    </w:rPr>
  </w:style>
  <w:style w:type="paragraph" w:customStyle="1" w:styleId="425">
    <w:name w:val="UserStyle_273"/>
    <w:basedOn w:val="1"/>
    <w:qFormat/>
    <w:uiPriority w:val="0"/>
    <w:pPr>
      <w:widowControl/>
      <w:ind w:firstLine="200" w:firstLineChars="200"/>
      <w:textAlignment w:val="baseline"/>
    </w:pPr>
    <w:rPr>
      <w:rFonts w:ascii="Calibri" w:hAnsi="Calibri" w:cstheme="minorBidi"/>
      <w:szCs w:val="21"/>
    </w:rPr>
  </w:style>
  <w:style w:type="paragraph" w:customStyle="1" w:styleId="426">
    <w:name w:val="UserStyle_274"/>
    <w:basedOn w:val="1"/>
    <w:qFormat/>
    <w:uiPriority w:val="0"/>
    <w:pPr>
      <w:widowControl/>
      <w:spacing w:before="150" w:after="150"/>
      <w:jc w:val="left"/>
      <w:textAlignment w:val="baseline"/>
    </w:pPr>
    <w:rPr>
      <w:rFonts w:ascii="宋体" w:hAnsi="宋体" w:cstheme="minorBidi"/>
      <w:kern w:val="0"/>
      <w:sz w:val="24"/>
    </w:rPr>
  </w:style>
  <w:style w:type="paragraph" w:customStyle="1" w:styleId="427">
    <w:name w:val="UserStyle_2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theme="minorBidi"/>
      <w:kern w:val="0"/>
      <w:sz w:val="24"/>
    </w:rPr>
  </w:style>
  <w:style w:type="paragraph" w:customStyle="1" w:styleId="428">
    <w:name w:val="UserStyle_276"/>
    <w:basedOn w:val="1"/>
    <w:qFormat/>
    <w:uiPriority w:val="0"/>
    <w:pPr>
      <w:widowControl/>
      <w:textAlignment w:val="baseline"/>
    </w:pPr>
    <w:rPr>
      <w:rFonts w:ascii="仿宋_GB2312" w:eastAsia="仿宋_GB2312" w:cstheme="minorBidi"/>
      <w:b/>
      <w:sz w:val="32"/>
      <w:szCs w:val="32"/>
    </w:rPr>
  </w:style>
  <w:style w:type="paragraph" w:customStyle="1" w:styleId="429">
    <w:name w:val="UserStyle_277"/>
    <w:basedOn w:val="1"/>
    <w:qFormat/>
    <w:uiPriority w:val="0"/>
    <w:pPr>
      <w:widowControl/>
      <w:spacing w:before="150" w:after="150"/>
      <w:jc w:val="left"/>
      <w:textAlignment w:val="baseline"/>
    </w:pPr>
    <w:rPr>
      <w:rFonts w:ascii="宋体" w:hAnsi="宋体" w:cstheme="minorBidi"/>
      <w:kern w:val="0"/>
      <w:sz w:val="24"/>
    </w:rPr>
  </w:style>
  <w:style w:type="paragraph" w:customStyle="1" w:styleId="430">
    <w:name w:val="UserStyle_278"/>
    <w:basedOn w:val="1"/>
    <w:qFormat/>
    <w:uiPriority w:val="0"/>
    <w:pPr>
      <w:widowControl/>
      <w:jc w:val="center"/>
      <w:textAlignment w:val="baseline"/>
    </w:pPr>
    <w:rPr>
      <w:rFonts w:ascii="宋体" w:cstheme="minorBidi"/>
      <w:b/>
      <w:kern w:val="0"/>
      <w:sz w:val="36"/>
      <w:szCs w:val="20"/>
    </w:rPr>
  </w:style>
  <w:style w:type="paragraph" w:customStyle="1" w:styleId="431">
    <w:name w:val="UserStyle_279"/>
    <w:next w:val="176"/>
    <w:qFormat/>
    <w:uiPriority w:val="0"/>
    <w:pPr>
      <w:tabs>
        <w:tab w:val="left" w:pos="360"/>
      </w:tabs>
      <w:spacing w:before="240" w:after="240"/>
      <w:textAlignment w:val="baseline"/>
    </w:pPr>
    <w:rPr>
      <w:rFonts w:ascii="Times New Roman" w:hAnsi="Times New Roman" w:eastAsia="黑体" w:cstheme="minorBidi"/>
      <w:sz w:val="28"/>
      <w:lang w:val="en-US" w:eastAsia="zh-CN" w:bidi="ar-SA"/>
    </w:rPr>
  </w:style>
  <w:style w:type="paragraph" w:customStyle="1" w:styleId="432">
    <w:name w:val="UserStyle_280"/>
    <w:basedOn w:val="1"/>
    <w:qFormat/>
    <w:uiPriority w:val="0"/>
    <w:pPr>
      <w:widowControl/>
      <w:spacing w:before="100" w:beforeAutospacing="1" w:after="100" w:afterAutospacing="1"/>
      <w:ind w:firstLine="560"/>
      <w:textAlignment w:val="baseline"/>
    </w:pPr>
    <w:rPr>
      <w:rFonts w:ascii="宋体" w:hAnsi="宋体" w:cstheme="minorBidi"/>
      <w:kern w:val="0"/>
      <w:szCs w:val="22"/>
    </w:rPr>
  </w:style>
  <w:style w:type="paragraph" w:customStyle="1" w:styleId="433">
    <w:name w:val="UserStyle_2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heme="minorBidi"/>
      <w:kern w:val="0"/>
      <w:sz w:val="24"/>
    </w:rPr>
  </w:style>
  <w:style w:type="paragraph" w:customStyle="1" w:styleId="434">
    <w:name w:val="UserStyle_282"/>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35">
    <w:name w:val="UserStyle_284"/>
    <w:basedOn w:val="1"/>
    <w:qFormat/>
    <w:uiPriority w:val="0"/>
    <w:pPr>
      <w:widowControl/>
      <w:textAlignment w:val="baseline"/>
    </w:pPr>
    <w:rPr>
      <w:rFonts w:ascii="宋体" w:hAnsi="宋体" w:cstheme="minorBidi"/>
      <w:kern w:val="0"/>
      <w:szCs w:val="21"/>
    </w:rPr>
  </w:style>
  <w:style w:type="paragraph" w:customStyle="1" w:styleId="436">
    <w:name w:val="UserStyle_285"/>
    <w:basedOn w:val="1"/>
    <w:qFormat/>
    <w:uiPriority w:val="0"/>
    <w:pPr>
      <w:widowControl/>
      <w:textAlignment w:val="baseline"/>
    </w:pPr>
    <w:rPr>
      <w:rFonts w:ascii="Calibri" w:hAnsi="Calibri" w:cstheme="minorBidi"/>
      <w:szCs w:val="22"/>
    </w:rPr>
  </w:style>
  <w:style w:type="paragraph" w:customStyle="1" w:styleId="437">
    <w:name w:val="UserStyle_286"/>
    <w:basedOn w:val="1"/>
    <w:qFormat/>
    <w:uiPriority w:val="0"/>
    <w:pPr>
      <w:widowControl/>
      <w:spacing w:before="150" w:after="150"/>
      <w:jc w:val="left"/>
      <w:textAlignment w:val="baseline"/>
    </w:pPr>
    <w:rPr>
      <w:rFonts w:ascii="宋体" w:hAnsi="宋体" w:cstheme="minorBidi"/>
      <w:kern w:val="0"/>
      <w:sz w:val="24"/>
    </w:rPr>
  </w:style>
  <w:style w:type="paragraph" w:customStyle="1" w:styleId="438">
    <w:name w:val="UserStyle_287"/>
    <w:basedOn w:val="1"/>
    <w:qFormat/>
    <w:uiPriority w:val="0"/>
    <w:pPr>
      <w:widowControl/>
      <w:textAlignment w:val="baseline"/>
    </w:pPr>
    <w:rPr>
      <w:rFonts w:ascii="Calibri" w:hAnsi="Calibri" w:cstheme="minorBidi"/>
      <w:szCs w:val="22"/>
    </w:rPr>
  </w:style>
  <w:style w:type="paragraph" w:customStyle="1" w:styleId="439">
    <w:name w:val="266"/>
    <w:basedOn w:val="80"/>
    <w:next w:val="1"/>
    <w:qFormat/>
    <w:uiPriority w:val="0"/>
  </w:style>
  <w:style w:type="paragraph" w:customStyle="1" w:styleId="440">
    <w:name w:val="UserStyle_288"/>
    <w:basedOn w:val="1"/>
    <w:next w:val="1"/>
    <w:qFormat/>
    <w:uiPriority w:val="0"/>
    <w:pPr>
      <w:widowControl/>
      <w:spacing w:line="360" w:lineRule="auto"/>
      <w:jc w:val="left"/>
      <w:textAlignment w:val="baseline"/>
    </w:pPr>
    <w:rPr>
      <w:rFonts w:cstheme="minorBidi"/>
      <w:kern w:val="0"/>
      <w:szCs w:val="20"/>
      <w:lang w:eastAsia="en-US"/>
    </w:rPr>
  </w:style>
  <w:style w:type="paragraph" w:customStyle="1" w:styleId="441">
    <w:name w:val="UserStyle_289"/>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42">
    <w:name w:val="UserStyle_2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cstheme="minorBidi"/>
      <w:kern w:val="0"/>
      <w:sz w:val="18"/>
      <w:szCs w:val="18"/>
    </w:rPr>
  </w:style>
  <w:style w:type="paragraph" w:customStyle="1" w:styleId="443">
    <w:name w:val="UserStyle_2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cstheme="minorBidi"/>
      <w:kern w:val="0"/>
      <w:sz w:val="24"/>
    </w:rPr>
  </w:style>
  <w:style w:type="paragraph" w:customStyle="1" w:styleId="444">
    <w:name w:val="UserStyle_292"/>
    <w:basedOn w:val="1"/>
    <w:qFormat/>
    <w:uiPriority w:val="0"/>
    <w:pPr>
      <w:widowControl/>
      <w:textAlignment w:val="baseline"/>
    </w:pPr>
    <w:rPr>
      <w:rFonts w:ascii="Tahoma" w:hAnsi="Tahoma" w:cstheme="minorBidi"/>
      <w:sz w:val="24"/>
      <w:szCs w:val="20"/>
    </w:rPr>
  </w:style>
  <w:style w:type="paragraph" w:customStyle="1" w:styleId="445">
    <w:name w:val="UserStyle_293"/>
    <w:basedOn w:val="1"/>
    <w:qFormat/>
    <w:uiPriority w:val="0"/>
    <w:pPr>
      <w:widowControl/>
      <w:ind w:firstLine="200" w:firstLineChars="200"/>
      <w:textAlignment w:val="baseline"/>
    </w:pPr>
    <w:rPr>
      <w:rFonts w:ascii="Calibri" w:hAnsi="Calibri" w:cstheme="minorBidi"/>
      <w:sz w:val="24"/>
    </w:rPr>
  </w:style>
  <w:style w:type="paragraph" w:customStyle="1" w:styleId="446">
    <w:name w:val="UserStyle_294"/>
    <w:basedOn w:val="1"/>
    <w:qFormat/>
    <w:uiPriority w:val="0"/>
    <w:pPr>
      <w:widowControl/>
      <w:textAlignment w:val="baseline"/>
    </w:pPr>
    <w:rPr>
      <w:rFonts w:ascii="Calibri" w:hAnsi="Calibri" w:cstheme="minorBidi"/>
      <w:szCs w:val="22"/>
    </w:rPr>
  </w:style>
  <w:style w:type="paragraph" w:customStyle="1" w:styleId="447">
    <w:name w:val="UserStyle_295"/>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448">
    <w:name w:val="UserStyle_296"/>
    <w:basedOn w:val="1"/>
    <w:qFormat/>
    <w:uiPriority w:val="0"/>
    <w:pPr>
      <w:widowControl/>
      <w:textAlignment w:val="baseline"/>
    </w:pPr>
    <w:rPr>
      <w:rFonts w:cstheme="minorBidi"/>
    </w:rPr>
  </w:style>
  <w:style w:type="paragraph" w:customStyle="1" w:styleId="449">
    <w:name w:val="UserStyle_297"/>
    <w:basedOn w:val="67"/>
    <w:qFormat/>
    <w:uiPriority w:val="0"/>
    <w:pPr>
      <w:widowControl/>
      <w:spacing w:line="360" w:lineRule="auto"/>
      <w:jc w:val="center"/>
      <w:textAlignment w:val="baseline"/>
    </w:pPr>
    <w:rPr>
      <w:rFonts w:eastAsia="宋体" w:cs="宋体"/>
      <w:color w:val="000000"/>
      <w:szCs w:val="20"/>
    </w:rPr>
  </w:style>
  <w:style w:type="paragraph" w:customStyle="1" w:styleId="450">
    <w:name w:val="UserStyle_298"/>
    <w:basedOn w:val="1"/>
    <w:qFormat/>
    <w:uiPriority w:val="0"/>
    <w:pPr>
      <w:widowControl/>
      <w:tabs>
        <w:tab w:val="left" w:pos="425"/>
      </w:tabs>
      <w:spacing w:line="360" w:lineRule="auto"/>
      <w:ind w:left="425" w:hanging="425"/>
      <w:jc w:val="center"/>
      <w:textAlignment w:val="baseline"/>
    </w:pPr>
    <w:rPr>
      <w:rFonts w:ascii="黑体" w:hAnsi="宋体" w:eastAsia="黑体" w:cstheme="minorBidi"/>
      <w:sz w:val="44"/>
      <w:szCs w:val="44"/>
    </w:rPr>
  </w:style>
  <w:style w:type="paragraph" w:customStyle="1" w:styleId="451">
    <w:name w:val="UserStyle_299"/>
    <w:basedOn w:val="1"/>
    <w:qFormat/>
    <w:uiPriority w:val="0"/>
    <w:pPr>
      <w:widowControl/>
      <w:spacing w:line="360" w:lineRule="auto"/>
      <w:ind w:firstLine="200" w:firstLineChars="200"/>
      <w:textAlignment w:val="baseline"/>
    </w:pPr>
    <w:rPr>
      <w:rFonts w:ascii="宋体" w:hAnsi="宋体" w:cstheme="minorBidi"/>
      <w:sz w:val="24"/>
    </w:rPr>
  </w:style>
  <w:style w:type="paragraph" w:customStyle="1" w:styleId="452">
    <w:name w:val="UserStyle_300"/>
    <w:basedOn w:val="1"/>
    <w:qFormat/>
    <w:uiPriority w:val="0"/>
    <w:pPr>
      <w:widowControl/>
      <w:spacing w:before="150" w:after="150"/>
      <w:jc w:val="left"/>
      <w:textAlignment w:val="baseline"/>
    </w:pPr>
    <w:rPr>
      <w:rFonts w:ascii="宋体" w:hAnsi="宋体" w:cstheme="minorBidi"/>
      <w:kern w:val="0"/>
      <w:sz w:val="24"/>
    </w:rPr>
  </w:style>
  <w:style w:type="paragraph" w:customStyle="1" w:styleId="453">
    <w:name w:val="UserStyle_301"/>
    <w:basedOn w:val="1"/>
    <w:qFormat/>
    <w:uiPriority w:val="0"/>
    <w:pPr>
      <w:widowControl/>
      <w:spacing w:before="60" w:after="60" w:line="420" w:lineRule="atLeast"/>
      <w:jc w:val="left"/>
      <w:textAlignment w:val="baseline"/>
    </w:pPr>
    <w:rPr>
      <w:rFonts w:ascii="Calibri" w:hAnsi="Calibri" w:cstheme="minorBidi"/>
      <w:kern w:val="0"/>
      <w:szCs w:val="20"/>
    </w:rPr>
  </w:style>
  <w:style w:type="paragraph" w:customStyle="1" w:styleId="454">
    <w:name w:val="UserStyle_302"/>
    <w:basedOn w:val="1"/>
    <w:qFormat/>
    <w:uiPriority w:val="0"/>
    <w:pPr>
      <w:widowControl/>
      <w:textAlignment w:val="baseline"/>
    </w:pPr>
    <w:rPr>
      <w:rFonts w:ascii="Calibri" w:hAnsi="Calibri" w:cstheme="minorBidi"/>
      <w:szCs w:val="22"/>
    </w:rPr>
  </w:style>
  <w:style w:type="paragraph" w:customStyle="1" w:styleId="455">
    <w:name w:val="UserStyle_303"/>
    <w:basedOn w:val="1"/>
    <w:next w:val="1"/>
    <w:qFormat/>
    <w:uiPriority w:val="0"/>
    <w:pPr>
      <w:widowControl/>
      <w:pBdr>
        <w:top w:val="single" w:color="000000" w:sz="6" w:space="1"/>
      </w:pBdr>
      <w:jc w:val="center"/>
      <w:textAlignment w:val="baseline"/>
    </w:pPr>
    <w:rPr>
      <w:rFonts w:ascii="Arial" w:cstheme="minorBidi"/>
      <w:vanish/>
      <w:sz w:val="16"/>
      <w:lang w:val="zh-CN"/>
    </w:rPr>
  </w:style>
  <w:style w:type="paragraph" w:customStyle="1" w:styleId="456">
    <w:name w:val="UserStyle_304"/>
    <w:basedOn w:val="1"/>
    <w:qFormat/>
    <w:uiPriority w:val="0"/>
    <w:pPr>
      <w:widowControl/>
      <w:tabs>
        <w:tab w:val="left" w:pos="851"/>
      </w:tabs>
      <w:spacing w:line="360" w:lineRule="auto"/>
      <w:ind w:firstLine="480" w:firstLineChars="200"/>
      <w:textAlignment w:val="baseline"/>
    </w:pPr>
    <w:rPr>
      <w:rFonts w:cstheme="minorBidi"/>
      <w:color w:val="000000"/>
      <w:sz w:val="24"/>
    </w:rPr>
  </w:style>
  <w:style w:type="paragraph" w:customStyle="1" w:styleId="457">
    <w:name w:val="UserStyle_305"/>
    <w:basedOn w:val="1"/>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jc w:val="left"/>
      <w:textAlignment w:val="baseline"/>
    </w:pPr>
    <w:rPr>
      <w:rFonts w:ascii="Courier New" w:hAnsi="Courier New" w:cstheme="minorBidi"/>
      <w:kern w:val="0"/>
      <w:sz w:val="20"/>
      <w:szCs w:val="20"/>
    </w:rPr>
  </w:style>
  <w:style w:type="paragraph" w:customStyle="1" w:styleId="458">
    <w:name w:val="UserStyle_3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459">
    <w:name w:val="UserStyle_307"/>
    <w:basedOn w:val="1"/>
    <w:qFormat/>
    <w:uiPriority w:val="0"/>
    <w:pPr>
      <w:widowControl/>
      <w:textAlignment w:val="baseline"/>
    </w:pPr>
    <w:rPr>
      <w:rFonts w:cstheme="minorBidi"/>
      <w:sz w:val="28"/>
      <w:szCs w:val="28"/>
    </w:rPr>
  </w:style>
  <w:style w:type="paragraph" w:customStyle="1" w:styleId="460">
    <w:name w:val="UserStyle_308"/>
    <w:basedOn w:val="82"/>
    <w:qFormat/>
    <w:uiPriority w:val="0"/>
    <w:pPr>
      <w:spacing w:before="0" w:after="0" w:line="400" w:lineRule="exact"/>
    </w:pPr>
    <w:rPr>
      <w:rFonts w:eastAsia="黑体"/>
      <w:b w:val="0"/>
      <w:bCs w:val="0"/>
      <w:sz w:val="24"/>
      <w:szCs w:val="20"/>
    </w:rPr>
  </w:style>
  <w:style w:type="paragraph" w:customStyle="1" w:styleId="461">
    <w:name w:val="UserStyle_309"/>
    <w:basedOn w:val="1"/>
    <w:qFormat/>
    <w:uiPriority w:val="0"/>
    <w:pPr>
      <w:widowControl/>
      <w:spacing w:line="380" w:lineRule="atLeast"/>
      <w:textAlignment w:val="baseline"/>
    </w:pPr>
    <w:rPr>
      <w:rFonts w:ascii="Calibri" w:hAnsi="Calibri" w:cstheme="minorBidi"/>
      <w:spacing w:val="10"/>
      <w:kern w:val="0"/>
      <w:sz w:val="24"/>
      <w:szCs w:val="20"/>
    </w:rPr>
  </w:style>
  <w:style w:type="paragraph" w:customStyle="1" w:styleId="462">
    <w:name w:val="UserStyle_310"/>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463">
    <w:name w:val="UserStyle_311"/>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64">
    <w:name w:val="UserStyle_312"/>
    <w:basedOn w:val="1"/>
    <w:qFormat/>
    <w:uiPriority w:val="0"/>
    <w:pPr>
      <w:widowControl/>
      <w:textAlignment w:val="baseline"/>
    </w:pPr>
    <w:rPr>
      <w:rFonts w:cstheme="minorBidi"/>
    </w:rPr>
  </w:style>
  <w:style w:type="paragraph" w:customStyle="1" w:styleId="465">
    <w:name w:val="UserStyle_3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18"/>
      <w:szCs w:val="18"/>
    </w:rPr>
  </w:style>
  <w:style w:type="paragraph" w:customStyle="1" w:styleId="466">
    <w:name w:val="UserStyle_314"/>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467">
    <w:name w:val="UserStyle_315"/>
    <w:basedOn w:val="1"/>
    <w:qFormat/>
    <w:uiPriority w:val="0"/>
    <w:pPr>
      <w:widowControl/>
      <w:textAlignment w:val="baseline"/>
    </w:pPr>
    <w:rPr>
      <w:rFonts w:ascii="仿宋_GB2312" w:eastAsia="仿宋_GB2312" w:cstheme="minorBidi"/>
      <w:b/>
      <w:sz w:val="32"/>
      <w:szCs w:val="32"/>
    </w:rPr>
  </w:style>
  <w:style w:type="paragraph" w:customStyle="1" w:styleId="468">
    <w:name w:val="UserStyle_316"/>
    <w:next w:val="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469">
    <w:name w:val="UserStyle_317"/>
    <w:basedOn w:val="1"/>
    <w:qFormat/>
    <w:uiPriority w:val="0"/>
    <w:pPr>
      <w:widowControl/>
      <w:spacing w:line="420" w:lineRule="atLeast"/>
      <w:textAlignment w:val="baseline"/>
    </w:pPr>
    <w:rPr>
      <w:rFonts w:eastAsia="黑体" w:cstheme="minorBidi"/>
      <w:b/>
      <w:kern w:val="0"/>
      <w:szCs w:val="20"/>
    </w:rPr>
  </w:style>
  <w:style w:type="paragraph" w:customStyle="1" w:styleId="470">
    <w:name w:val="UserStyle_318"/>
    <w:qFormat/>
    <w:uiPriority w:val="0"/>
    <w:pPr>
      <w:textAlignment w:val="baseline"/>
    </w:pPr>
    <w:rPr>
      <w:rFonts w:ascii="宋体" w:hAnsi="Calibri" w:eastAsia="宋体" w:cstheme="minorBidi"/>
      <w:color w:val="000000"/>
      <w:sz w:val="24"/>
      <w:szCs w:val="24"/>
      <w:lang w:val="en-US" w:eastAsia="zh-CN" w:bidi="ar-SA"/>
    </w:rPr>
  </w:style>
  <w:style w:type="paragraph" w:customStyle="1" w:styleId="471">
    <w:name w:val="UserStyle_319"/>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楷体_GB2312" w:hAnsi="宋体" w:eastAsia="楷体_GB2312" w:cstheme="minorBidi"/>
      <w:kern w:val="0"/>
      <w:sz w:val="24"/>
    </w:rPr>
  </w:style>
  <w:style w:type="paragraph" w:customStyle="1" w:styleId="472">
    <w:name w:val="UserStyle_320"/>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473">
    <w:name w:val="UserStyle_321"/>
    <w:basedOn w:val="1"/>
    <w:qFormat/>
    <w:uiPriority w:val="0"/>
    <w:pPr>
      <w:widowControl/>
      <w:tabs>
        <w:tab w:val="left" w:pos="0"/>
      </w:tabs>
      <w:spacing w:line="360" w:lineRule="auto"/>
      <w:ind w:firstLine="510"/>
      <w:textAlignment w:val="baseline"/>
    </w:pPr>
    <w:rPr>
      <w:rFonts w:ascii="Calibri" w:hAnsi="Calibri" w:cstheme="minorBidi"/>
      <w:kern w:val="0"/>
      <w:sz w:val="24"/>
      <w:szCs w:val="20"/>
    </w:rPr>
  </w:style>
  <w:style w:type="paragraph" w:customStyle="1" w:styleId="474">
    <w:name w:val="UserStyle_322"/>
    <w:basedOn w:val="1"/>
    <w:qFormat/>
    <w:uiPriority w:val="0"/>
    <w:pPr>
      <w:widowControl/>
      <w:tabs>
        <w:tab w:val="left" w:pos="420"/>
      </w:tabs>
      <w:spacing w:line="360" w:lineRule="auto"/>
      <w:ind w:firstLine="420" w:firstLineChars="200"/>
      <w:textAlignment w:val="baseline"/>
    </w:pPr>
    <w:rPr>
      <w:rFonts w:ascii="Calibri" w:hAnsi="Calibri" w:cstheme="minorBidi"/>
    </w:rPr>
  </w:style>
  <w:style w:type="paragraph" w:customStyle="1" w:styleId="475">
    <w:name w:val="UserStyle_323"/>
    <w:basedOn w:val="1"/>
    <w:qFormat/>
    <w:uiPriority w:val="0"/>
    <w:pPr>
      <w:widowControl/>
      <w:spacing w:before="100" w:beforeAutospacing="1" w:after="100" w:afterAutospacing="1"/>
      <w:jc w:val="center"/>
      <w:textAlignment w:val="center"/>
    </w:pPr>
    <w:rPr>
      <w:rFonts w:ascii="宋体" w:hAnsi="宋体" w:cs="Calibri"/>
      <w:b/>
      <w:bCs/>
      <w:kern w:val="0"/>
      <w:sz w:val="32"/>
      <w:szCs w:val="32"/>
    </w:rPr>
  </w:style>
  <w:style w:type="paragraph" w:customStyle="1" w:styleId="476">
    <w:name w:val="UserStyle_324"/>
    <w:basedOn w:val="1"/>
    <w:qFormat/>
    <w:uiPriority w:val="0"/>
    <w:pPr>
      <w:widowControl/>
      <w:snapToGrid w:val="0"/>
      <w:spacing w:before="62" w:after="62" w:line="540" w:lineRule="exact"/>
      <w:jc w:val="center"/>
      <w:textAlignment w:val="baseline"/>
    </w:pPr>
    <w:rPr>
      <w:rFonts w:hAnsi="宋体" w:cs="Calibri"/>
      <w:b/>
      <w:bCs/>
      <w:sz w:val="36"/>
    </w:rPr>
  </w:style>
  <w:style w:type="paragraph" w:customStyle="1" w:styleId="477">
    <w:name w:val="UserStyle_325"/>
    <w:basedOn w:val="1"/>
    <w:next w:val="1"/>
    <w:qFormat/>
    <w:uiPriority w:val="0"/>
    <w:pPr>
      <w:widowControl/>
      <w:pBdr>
        <w:bottom w:val="single" w:color="000000" w:sz="6" w:space="1"/>
      </w:pBdr>
      <w:jc w:val="center"/>
      <w:textAlignment w:val="baseline"/>
    </w:pPr>
    <w:rPr>
      <w:rFonts w:ascii="Arial" w:cstheme="minorBidi"/>
      <w:vanish/>
      <w:sz w:val="16"/>
      <w:lang w:val="zh-CN"/>
    </w:rPr>
  </w:style>
  <w:style w:type="paragraph" w:customStyle="1" w:styleId="478">
    <w:name w:val="UserStyle_326"/>
    <w:basedOn w:val="1"/>
    <w:qFormat/>
    <w:uiPriority w:val="0"/>
    <w:pPr>
      <w:widowControl/>
      <w:textAlignment w:val="baseline"/>
    </w:pPr>
    <w:rPr>
      <w:rFonts w:cstheme="minorBidi"/>
      <w:kern w:val="0"/>
      <w:sz w:val="20"/>
      <w:szCs w:val="20"/>
    </w:rPr>
  </w:style>
  <w:style w:type="paragraph" w:customStyle="1" w:styleId="479">
    <w:name w:val="UserStyle_327"/>
    <w:basedOn w:val="1"/>
    <w:qFormat/>
    <w:uiPriority w:val="0"/>
    <w:pPr>
      <w:widowControl/>
      <w:spacing w:line="360" w:lineRule="auto"/>
      <w:ind w:firstLine="200" w:firstLineChars="200"/>
      <w:textAlignment w:val="baseline"/>
    </w:pPr>
    <w:rPr>
      <w:rFonts w:ascii="宋体" w:hAnsi="宋体" w:cstheme="minorBidi"/>
      <w:sz w:val="24"/>
    </w:rPr>
  </w:style>
  <w:style w:type="paragraph" w:customStyle="1" w:styleId="480">
    <w:name w:val="UserStyle_328"/>
    <w:basedOn w:val="1"/>
    <w:qFormat/>
    <w:uiPriority w:val="0"/>
    <w:pPr>
      <w:widowControl/>
      <w:spacing w:line="420" w:lineRule="atLeast"/>
      <w:ind w:left="737"/>
      <w:textAlignment w:val="baseline"/>
    </w:pPr>
    <w:rPr>
      <w:rFonts w:ascii="宋体" w:cstheme="minorBidi"/>
      <w:kern w:val="0"/>
      <w:szCs w:val="20"/>
    </w:rPr>
  </w:style>
  <w:style w:type="paragraph" w:customStyle="1" w:styleId="481">
    <w:name w:val="UserStyle_329"/>
    <w:qFormat/>
    <w:uiPriority w:val="0"/>
    <w:pPr>
      <w:textAlignment w:val="baseline"/>
    </w:pPr>
    <w:rPr>
      <w:rFonts w:ascii="Times New Roman" w:hAnsi="Times New Roman" w:eastAsia="Times New Roman" w:cstheme="minorBidi"/>
      <w:sz w:val="24"/>
      <w:szCs w:val="24"/>
      <w:lang w:val="en-US" w:eastAsia="zh-CN" w:bidi="ar-SA"/>
    </w:rPr>
  </w:style>
  <w:style w:type="paragraph" w:customStyle="1" w:styleId="482">
    <w:name w:val="UserStyle_330"/>
    <w:basedOn w:val="1"/>
    <w:next w:val="1"/>
    <w:qFormat/>
    <w:uiPriority w:val="0"/>
    <w:pPr>
      <w:widowControl/>
      <w:spacing w:before="360" w:after="240" w:line="260" w:lineRule="atLeast"/>
      <w:jc w:val="left"/>
      <w:textAlignment w:val="baseline"/>
    </w:pPr>
    <w:rPr>
      <w:rFonts w:ascii="Arial" w:hAnsi="Arial" w:cstheme="minorBidi"/>
      <w:b/>
      <w:kern w:val="0"/>
      <w:sz w:val="24"/>
      <w:lang w:val="en-AU"/>
    </w:rPr>
  </w:style>
  <w:style w:type="paragraph" w:customStyle="1" w:styleId="483">
    <w:name w:val="UserStyle_331"/>
    <w:basedOn w:val="1"/>
    <w:qFormat/>
    <w:uiPriority w:val="0"/>
    <w:pPr>
      <w:widowControl/>
      <w:textAlignment w:val="baseline"/>
    </w:pPr>
    <w:rPr>
      <w:rFonts w:cstheme="minorBidi"/>
    </w:rPr>
  </w:style>
  <w:style w:type="paragraph" w:customStyle="1" w:styleId="484">
    <w:name w:val="UserStyle_332"/>
    <w:basedOn w:val="1"/>
    <w:qFormat/>
    <w:uiPriority w:val="0"/>
    <w:pPr>
      <w:widowControl/>
      <w:textAlignment w:val="baseline"/>
    </w:pPr>
    <w:rPr>
      <w:rFonts w:ascii="Calibri" w:hAnsi="Calibri" w:cstheme="minorBidi"/>
      <w:szCs w:val="22"/>
    </w:rPr>
  </w:style>
  <w:style w:type="paragraph" w:customStyle="1" w:styleId="485">
    <w:name w:val="UserStyle_33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cstheme="minorBidi"/>
      <w:kern w:val="0"/>
      <w:sz w:val="24"/>
    </w:rPr>
  </w:style>
  <w:style w:type="paragraph" w:customStyle="1" w:styleId="486">
    <w:name w:val="UserStyle_334"/>
    <w:basedOn w:val="1"/>
    <w:qFormat/>
    <w:uiPriority w:val="0"/>
    <w:pPr>
      <w:widowControl/>
      <w:spacing w:before="100" w:beforeAutospacing="1" w:after="100" w:afterAutospacing="1"/>
      <w:jc w:val="left"/>
      <w:textAlignment w:val="baseline"/>
    </w:pPr>
    <w:rPr>
      <w:rFonts w:cstheme="minorBidi"/>
      <w:kern w:val="0"/>
      <w:sz w:val="18"/>
      <w:szCs w:val="18"/>
    </w:rPr>
  </w:style>
  <w:style w:type="paragraph" w:customStyle="1" w:styleId="487">
    <w:name w:val="UserStyle_335"/>
    <w:basedOn w:val="1"/>
    <w:qFormat/>
    <w:uiPriority w:val="0"/>
    <w:pPr>
      <w:widowControl/>
      <w:ind w:firstLine="200" w:firstLineChars="200"/>
      <w:textAlignment w:val="baseline"/>
    </w:pPr>
    <w:rPr>
      <w:rFonts w:ascii="Calibri" w:hAnsi="Calibri" w:cstheme="minorBidi"/>
      <w:szCs w:val="21"/>
    </w:rPr>
  </w:style>
  <w:style w:type="paragraph" w:customStyle="1" w:styleId="488">
    <w:name w:val="UserStyle_336"/>
    <w:basedOn w:val="1"/>
    <w:qFormat/>
    <w:uiPriority w:val="0"/>
    <w:pPr>
      <w:widowControl/>
      <w:textAlignment w:val="baseline"/>
    </w:pPr>
    <w:rPr>
      <w:rFonts w:cstheme="minorBidi"/>
    </w:rPr>
  </w:style>
  <w:style w:type="paragraph" w:customStyle="1" w:styleId="489">
    <w:name w:val="UserStyle_337"/>
    <w:basedOn w:val="1"/>
    <w:qFormat/>
    <w:uiPriority w:val="0"/>
    <w:pPr>
      <w:widowControl/>
      <w:textAlignment w:val="baseline"/>
    </w:pPr>
    <w:rPr>
      <w:rFonts w:cstheme="minorBidi"/>
      <w:szCs w:val="21"/>
    </w:rPr>
  </w:style>
  <w:style w:type="paragraph" w:customStyle="1" w:styleId="490">
    <w:name w:val="UserStyle_338"/>
    <w:basedOn w:val="1"/>
    <w:qFormat/>
    <w:uiPriority w:val="0"/>
    <w:pPr>
      <w:keepNext/>
      <w:widowControl/>
      <w:spacing w:before="60" w:after="60" w:line="300" w:lineRule="auto"/>
      <w:jc w:val="center"/>
      <w:textAlignment w:val="center"/>
    </w:pPr>
    <w:rPr>
      <w:rFonts w:cstheme="minorBidi"/>
      <w:spacing w:val="20"/>
      <w:kern w:val="0"/>
      <w:sz w:val="24"/>
      <w:szCs w:val="20"/>
    </w:rPr>
  </w:style>
  <w:style w:type="paragraph" w:customStyle="1" w:styleId="491">
    <w:name w:val="UserStyle_339"/>
    <w:basedOn w:val="1"/>
    <w:qFormat/>
    <w:uiPriority w:val="0"/>
    <w:pPr>
      <w:widowControl/>
      <w:tabs>
        <w:tab w:val="left" w:pos="2340"/>
      </w:tabs>
      <w:spacing w:line="240" w:lineRule="atLeast"/>
      <w:jc w:val="center"/>
      <w:textAlignment w:val="baseline"/>
    </w:pPr>
    <w:rPr>
      <w:rFonts w:ascii="黑体" w:eastAsia="黑体" w:cstheme="minorBidi"/>
      <w:kern w:val="0"/>
      <w:sz w:val="30"/>
      <w:szCs w:val="20"/>
    </w:rPr>
  </w:style>
  <w:style w:type="paragraph" w:customStyle="1" w:styleId="492">
    <w:name w:val="UserStyle_340"/>
    <w:basedOn w:val="380"/>
    <w:qFormat/>
    <w:uiPriority w:val="0"/>
    <w:rPr>
      <w:sz w:val="28"/>
    </w:rPr>
  </w:style>
  <w:style w:type="paragraph" w:customStyle="1" w:styleId="493">
    <w:name w:val="UserStyle_341"/>
    <w:basedOn w:val="1"/>
    <w:qFormat/>
    <w:uiPriority w:val="0"/>
    <w:pPr>
      <w:widowControl/>
      <w:textAlignment w:val="baseline"/>
    </w:pPr>
    <w:rPr>
      <w:rFonts w:ascii="Calibri" w:hAnsi="Calibri" w:cstheme="minorBidi"/>
      <w:szCs w:val="22"/>
    </w:rPr>
  </w:style>
  <w:style w:type="paragraph" w:customStyle="1" w:styleId="494">
    <w:name w:val="UserStyle_342"/>
    <w:basedOn w:val="1"/>
    <w:qFormat/>
    <w:uiPriority w:val="0"/>
    <w:pPr>
      <w:widowControl/>
      <w:spacing w:before="320" w:after="160" w:line="360" w:lineRule="atLeast"/>
      <w:jc w:val="center"/>
      <w:textAlignment w:val="baseline"/>
    </w:pPr>
    <w:rPr>
      <w:rFonts w:ascii="Arial" w:eastAsia="黑体" w:cstheme="minorBidi"/>
      <w:kern w:val="0"/>
      <w:sz w:val="30"/>
      <w:szCs w:val="20"/>
    </w:rPr>
  </w:style>
  <w:style w:type="paragraph" w:customStyle="1" w:styleId="495">
    <w:name w:val="UserStyle_343"/>
    <w:basedOn w:val="80"/>
    <w:qFormat/>
    <w:uiPriority w:val="0"/>
    <w:pPr>
      <w:tabs>
        <w:tab w:val="left" w:pos="1545"/>
      </w:tabs>
      <w:spacing w:before="240" w:after="240" w:line="240" w:lineRule="auto"/>
      <w:ind w:left="1545" w:hanging="720"/>
      <w:jc w:val="center"/>
    </w:pPr>
    <w:rPr>
      <w:rFonts w:ascii="Calibri" w:hAnsi="Calibri" w:cs="宋体"/>
      <w:sz w:val="28"/>
      <w:szCs w:val="20"/>
    </w:rPr>
  </w:style>
  <w:style w:type="paragraph" w:customStyle="1" w:styleId="496">
    <w:name w:val="UserStyle_344"/>
    <w:basedOn w:val="1"/>
    <w:next w:val="1"/>
    <w:qFormat/>
    <w:uiPriority w:val="0"/>
    <w:pPr>
      <w:widowControl/>
      <w:textAlignment w:val="baseline"/>
    </w:pPr>
    <w:rPr>
      <w:rFonts w:cstheme="minorBidi"/>
    </w:rPr>
  </w:style>
  <w:style w:type="paragraph" w:customStyle="1" w:styleId="497">
    <w:name w:val="UserStyle_345"/>
    <w:basedOn w:val="1"/>
    <w:qFormat/>
    <w:uiPriority w:val="0"/>
    <w:pPr>
      <w:widowControl/>
      <w:spacing w:before="150" w:after="150"/>
      <w:jc w:val="left"/>
      <w:textAlignment w:val="baseline"/>
    </w:pPr>
    <w:rPr>
      <w:rFonts w:ascii="宋体" w:hAnsi="宋体" w:cstheme="minorBidi"/>
      <w:kern w:val="0"/>
      <w:sz w:val="24"/>
    </w:rPr>
  </w:style>
  <w:style w:type="paragraph" w:customStyle="1" w:styleId="498">
    <w:name w:val="UserStyle_34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499">
    <w:name w:val="UserStyle_347"/>
    <w:qFormat/>
    <w:uiPriority w:val="0"/>
    <w:pPr>
      <w:spacing w:before="100" w:after="100"/>
      <w:textAlignment w:val="baseline"/>
    </w:pPr>
    <w:rPr>
      <w:rFonts w:ascii="宋体" w:hAnsi="Times New Roman" w:eastAsia="宋体" w:cstheme="minorBidi"/>
      <w:sz w:val="24"/>
      <w:lang w:val="en-US" w:eastAsia="zh-CN" w:bidi="ar-SA"/>
    </w:rPr>
  </w:style>
  <w:style w:type="paragraph" w:customStyle="1" w:styleId="500">
    <w:name w:val="UserStyle_348"/>
    <w:basedOn w:val="1"/>
    <w:qFormat/>
    <w:uiPriority w:val="0"/>
    <w:pPr>
      <w:widowControl/>
      <w:textAlignment w:val="baseline"/>
    </w:pPr>
    <w:rPr>
      <w:rFonts w:cstheme="minorBidi"/>
    </w:rPr>
  </w:style>
  <w:style w:type="paragraph" w:customStyle="1" w:styleId="501">
    <w:name w:val="UserStyle_349"/>
    <w:basedOn w:val="1"/>
    <w:qFormat/>
    <w:uiPriority w:val="0"/>
    <w:pPr>
      <w:widowControl/>
      <w:textAlignment w:val="baseline"/>
    </w:pPr>
    <w:rPr>
      <w:rFonts w:cstheme="minorBidi"/>
    </w:rPr>
  </w:style>
  <w:style w:type="paragraph" w:customStyle="1" w:styleId="502">
    <w:name w:val="UserStyle_350"/>
    <w:basedOn w:val="1"/>
    <w:qFormat/>
    <w:uiPriority w:val="0"/>
    <w:pPr>
      <w:widowControl/>
      <w:snapToGrid w:val="0"/>
      <w:spacing w:line="300" w:lineRule="auto"/>
      <w:jc w:val="center"/>
      <w:textAlignment w:val="baseline"/>
    </w:pPr>
    <w:rPr>
      <w:rFonts w:ascii="宋体" w:hAnsi="宋体" w:cstheme="minorBidi"/>
      <w:color w:val="FF0000"/>
      <w:szCs w:val="22"/>
    </w:rPr>
  </w:style>
  <w:style w:type="paragraph" w:customStyle="1" w:styleId="503">
    <w:name w:val="UserStyle_3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theme="minorBidi"/>
      <w:kern w:val="0"/>
      <w:sz w:val="18"/>
      <w:szCs w:val="18"/>
    </w:rPr>
  </w:style>
  <w:style w:type="paragraph" w:customStyle="1" w:styleId="504">
    <w:name w:val="UserStyle_352"/>
    <w:basedOn w:val="1"/>
    <w:qFormat/>
    <w:uiPriority w:val="0"/>
    <w:pPr>
      <w:widowControl/>
      <w:textAlignment w:val="baseline"/>
    </w:pPr>
    <w:rPr>
      <w:rFonts w:cstheme="minorBidi"/>
    </w:rPr>
  </w:style>
  <w:style w:type="paragraph" w:customStyle="1" w:styleId="505">
    <w:name w:val="UserStyle_353"/>
    <w:qFormat/>
    <w:uiPriority w:val="0"/>
    <w:pPr>
      <w:spacing w:line="312" w:lineRule="atLeast"/>
      <w:jc w:val="both"/>
      <w:textAlignment w:val="baseline"/>
    </w:pPr>
    <w:rPr>
      <w:rFonts w:ascii="宋体" w:hAnsi="Calibri" w:eastAsia="宋体" w:cstheme="minorBidi"/>
      <w:sz w:val="34"/>
      <w:szCs w:val="22"/>
      <w:lang w:val="en-US" w:eastAsia="zh-CN" w:bidi="ar-SA"/>
    </w:rPr>
  </w:style>
  <w:style w:type="paragraph" w:customStyle="1" w:styleId="506">
    <w:name w:val="UserStyle_354"/>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507">
    <w:name w:val="UserStyle_355"/>
    <w:basedOn w:val="80"/>
    <w:qFormat/>
    <w:uiPriority w:val="0"/>
    <w:pPr>
      <w:spacing w:before="120" w:after="120" w:line="400" w:lineRule="exact"/>
      <w:jc w:val="center"/>
    </w:pPr>
    <w:rPr>
      <w:rFonts w:ascii="黑体" w:hAnsi="黑体" w:eastAsia="黑体"/>
      <w:b w:val="0"/>
      <w:bCs w:val="0"/>
      <w:sz w:val="32"/>
      <w:szCs w:val="20"/>
    </w:rPr>
  </w:style>
  <w:style w:type="paragraph" w:customStyle="1" w:styleId="508">
    <w:name w:val="UserStyle_356"/>
    <w:basedOn w:val="1"/>
    <w:qFormat/>
    <w:uiPriority w:val="0"/>
    <w:pPr>
      <w:widowControl/>
      <w:numPr>
        <w:ilvl w:val="0"/>
        <w:numId w:val="1"/>
      </w:numPr>
      <w:tabs>
        <w:tab w:val="left" w:pos="1080"/>
      </w:tabs>
      <w:ind w:left="0" w:firstLine="0"/>
      <w:jc w:val="center"/>
    </w:pPr>
    <w:rPr>
      <w:rFonts w:ascii="宋体" w:hAnsi="宋体" w:cstheme="minorBidi"/>
      <w:b/>
      <w:sz w:val="30"/>
      <w:szCs w:val="30"/>
    </w:rPr>
  </w:style>
  <w:style w:type="paragraph" w:customStyle="1" w:styleId="509">
    <w:name w:val="178"/>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510">
    <w:name w:val="UserStyle_357"/>
    <w:basedOn w:val="1"/>
    <w:qFormat/>
    <w:uiPriority w:val="0"/>
    <w:pPr>
      <w:widowControl/>
      <w:textAlignment w:val="baseline"/>
    </w:pPr>
    <w:rPr>
      <w:rFonts w:ascii="Calibri" w:hAnsi="Calibri" w:cstheme="minorBidi"/>
      <w:szCs w:val="22"/>
    </w:rPr>
  </w:style>
  <w:style w:type="paragraph" w:customStyle="1" w:styleId="511">
    <w:name w:val="UserStyle_358"/>
    <w:basedOn w:val="1"/>
    <w:qFormat/>
    <w:uiPriority w:val="0"/>
    <w:pPr>
      <w:widowControl/>
      <w:tabs>
        <w:tab w:val="left" w:pos="1069"/>
      </w:tabs>
      <w:spacing w:line="360" w:lineRule="auto"/>
      <w:ind w:left="1069" w:hanging="709"/>
      <w:textAlignment w:val="baseline"/>
    </w:pPr>
    <w:rPr>
      <w:rFonts w:ascii="黑体" w:hAnsi="宋体" w:eastAsia="黑体" w:cstheme="minorBidi"/>
      <w:sz w:val="30"/>
      <w:szCs w:val="28"/>
    </w:rPr>
  </w:style>
  <w:style w:type="paragraph" w:customStyle="1" w:styleId="512">
    <w:name w:val="UserStyle_359"/>
    <w:basedOn w:val="1"/>
    <w:qFormat/>
    <w:uiPriority w:val="0"/>
    <w:pPr>
      <w:widowControl/>
      <w:spacing w:line="420" w:lineRule="atLeast"/>
      <w:ind w:left="1021"/>
      <w:textAlignment w:val="baseline"/>
    </w:pPr>
    <w:rPr>
      <w:rFonts w:ascii="Calibri" w:hAnsi="Calibri" w:cstheme="minorBidi"/>
      <w:kern w:val="0"/>
      <w:szCs w:val="20"/>
    </w:rPr>
  </w:style>
  <w:style w:type="paragraph" w:customStyle="1" w:styleId="513">
    <w:name w:val="UserStyle_360"/>
    <w:basedOn w:val="1"/>
    <w:qFormat/>
    <w:uiPriority w:val="0"/>
    <w:pPr>
      <w:widowControl/>
      <w:textAlignment w:val="baseline"/>
    </w:pPr>
    <w:rPr>
      <w:rFonts w:cstheme="minorBidi"/>
    </w:rPr>
  </w:style>
  <w:style w:type="paragraph" w:customStyle="1" w:styleId="514">
    <w:name w:val="UserStyle_361"/>
    <w:basedOn w:val="1"/>
    <w:qFormat/>
    <w:uiPriority w:val="0"/>
    <w:pPr>
      <w:widowControl/>
      <w:spacing w:line="420" w:lineRule="atLeast"/>
      <w:ind w:left="454"/>
      <w:textAlignment w:val="baseline"/>
    </w:pPr>
    <w:rPr>
      <w:rFonts w:ascii="Calibri" w:hAnsi="Calibri" w:cstheme="minorBidi"/>
      <w:kern w:val="0"/>
      <w:szCs w:val="20"/>
    </w:rPr>
  </w:style>
  <w:style w:type="paragraph" w:customStyle="1" w:styleId="515">
    <w:name w:val="UserStyle_362"/>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516">
    <w:name w:val="UserStyle_363"/>
    <w:basedOn w:val="362"/>
    <w:qFormat/>
    <w:uiPriority w:val="0"/>
    <w:pPr>
      <w:ind w:left="1021" w:hanging="284"/>
    </w:pPr>
    <w:rPr>
      <w:rFonts w:ascii="宋体"/>
    </w:rPr>
  </w:style>
  <w:style w:type="paragraph" w:customStyle="1" w:styleId="517">
    <w:name w:val="UserStyle_364"/>
    <w:basedOn w:val="1"/>
    <w:qFormat/>
    <w:uiPriority w:val="0"/>
    <w:pPr>
      <w:widowControl/>
      <w:pBdr>
        <w:bottom w:val="single" w:color="000000" w:sz="4" w:space="0"/>
        <w:right w:val="single" w:color="000000" w:sz="4" w:space="0"/>
      </w:pBdr>
      <w:spacing w:before="100" w:beforeAutospacing="1" w:after="100" w:afterAutospacing="1"/>
      <w:textAlignment w:val="baseline"/>
    </w:pPr>
    <w:rPr>
      <w:rFonts w:ascii="宋体" w:hAnsi="宋体" w:cs="Calibri"/>
      <w:b/>
      <w:bCs/>
      <w:kern w:val="0"/>
      <w:sz w:val="24"/>
      <w:szCs w:val="22"/>
    </w:rPr>
  </w:style>
  <w:style w:type="paragraph" w:customStyle="1" w:styleId="518">
    <w:name w:val="UserStyle_3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theme="minorBidi"/>
      <w:kern w:val="0"/>
      <w:sz w:val="24"/>
    </w:rPr>
  </w:style>
  <w:style w:type="paragraph" w:customStyle="1" w:styleId="519">
    <w:name w:val="UserStyle_366"/>
    <w:basedOn w:val="1"/>
    <w:qFormat/>
    <w:uiPriority w:val="0"/>
    <w:pPr>
      <w:widowControl/>
      <w:spacing w:before="100" w:beforeAutospacing="1" w:after="100" w:afterAutospacing="1"/>
      <w:jc w:val="left"/>
      <w:textAlignment w:val="top"/>
    </w:pPr>
    <w:rPr>
      <w:rFonts w:ascii="宋体" w:hAnsi="宋体" w:cstheme="minorBidi"/>
      <w:kern w:val="0"/>
      <w:sz w:val="24"/>
    </w:rPr>
  </w:style>
  <w:style w:type="paragraph" w:customStyle="1" w:styleId="520">
    <w:name w:val="UserStyle_367"/>
    <w:basedOn w:val="1"/>
    <w:qFormat/>
    <w:uiPriority w:val="0"/>
    <w:pPr>
      <w:widowControl/>
      <w:snapToGrid w:val="0"/>
      <w:spacing w:line="312" w:lineRule="auto"/>
      <w:ind w:left="231" w:leftChars="110" w:firstLine="210" w:firstLineChars="100"/>
      <w:textAlignment w:val="baseline"/>
    </w:pPr>
    <w:rPr>
      <w:rFonts w:ascii="宋体" w:hAnsi="宋体" w:cstheme="minorBidi"/>
      <w:kern w:val="0"/>
      <w:szCs w:val="21"/>
    </w:rPr>
  </w:style>
  <w:style w:type="paragraph" w:customStyle="1" w:styleId="521">
    <w:name w:val="UserStyle_368"/>
    <w:basedOn w:val="1"/>
    <w:qFormat/>
    <w:uiPriority w:val="0"/>
    <w:pPr>
      <w:widowControl/>
      <w:spacing w:line="300" w:lineRule="auto"/>
      <w:ind w:firstLine="480" w:firstLineChars="200"/>
      <w:textAlignment w:val="baseline"/>
    </w:pPr>
    <w:rPr>
      <w:rFonts w:ascii="Calibri" w:hAnsi="Calibri" w:cstheme="minorBidi"/>
      <w:sz w:val="24"/>
    </w:rPr>
  </w:style>
  <w:style w:type="paragraph" w:customStyle="1" w:styleId="522">
    <w:name w:val="UserStyle_369"/>
    <w:basedOn w:val="1"/>
    <w:qFormat/>
    <w:uiPriority w:val="0"/>
    <w:pPr>
      <w:widowControl/>
      <w:ind w:firstLine="200" w:firstLineChars="200"/>
      <w:textAlignment w:val="baseline"/>
    </w:pPr>
    <w:rPr>
      <w:rFonts w:ascii="Calibri" w:hAnsi="Calibri" w:cstheme="minorBidi"/>
      <w:szCs w:val="21"/>
    </w:rPr>
  </w:style>
  <w:style w:type="paragraph" w:customStyle="1" w:styleId="523">
    <w:name w:val="UserStyle_371"/>
    <w:basedOn w:val="1"/>
    <w:qFormat/>
    <w:uiPriority w:val="0"/>
    <w:pPr>
      <w:widowControl/>
      <w:spacing w:before="100" w:beforeAutospacing="1" w:after="100" w:afterAutospacing="1"/>
      <w:jc w:val="left"/>
      <w:textAlignment w:val="baseline"/>
    </w:pPr>
    <w:rPr>
      <w:rFonts w:ascii="宋体" w:hAnsi="宋体" w:cstheme="minorBidi"/>
      <w:kern w:val="0"/>
      <w:sz w:val="24"/>
    </w:rPr>
  </w:style>
  <w:style w:type="paragraph" w:customStyle="1" w:styleId="524">
    <w:name w:val="179"/>
    <w:basedOn w:val="1"/>
    <w:qFormat/>
    <w:uiPriority w:val="0"/>
    <w:pPr>
      <w:widowControl/>
      <w:ind w:firstLine="200" w:firstLineChars="200"/>
      <w:textAlignment w:val="baseline"/>
    </w:pPr>
    <w:rPr>
      <w:rFonts w:cstheme="minorBidi"/>
      <w:szCs w:val="22"/>
    </w:rPr>
  </w:style>
  <w:style w:type="paragraph" w:customStyle="1" w:styleId="525">
    <w:name w:val="UserStyle_372"/>
    <w:basedOn w:val="1"/>
    <w:qFormat/>
    <w:uiPriority w:val="0"/>
    <w:pPr>
      <w:widowControl/>
      <w:jc w:val="left"/>
      <w:textAlignment w:val="baseline"/>
    </w:pPr>
    <w:rPr>
      <w:rFonts w:ascii="宋体" w:hAnsi="宋体" w:cstheme="minorBidi"/>
      <w:kern w:val="0"/>
      <w:sz w:val="22"/>
      <w:szCs w:val="22"/>
      <w:lang w:eastAsia="en-US"/>
    </w:rPr>
  </w:style>
  <w:style w:type="paragraph" w:customStyle="1" w:styleId="526">
    <w:name w:val="UserStyle_373"/>
    <w:basedOn w:val="1"/>
    <w:qFormat/>
    <w:uiPriority w:val="0"/>
    <w:pPr>
      <w:widowControl/>
      <w:jc w:val="center"/>
      <w:textAlignment w:val="baseline"/>
    </w:pPr>
    <w:rPr>
      <w:rFonts w:ascii="Calibri" w:hAnsi="Calibri" w:cstheme="minorBidi"/>
      <w:kern w:val="0"/>
      <w:sz w:val="30"/>
      <w:szCs w:val="20"/>
    </w:rPr>
  </w:style>
  <w:style w:type="paragraph" w:customStyle="1" w:styleId="527">
    <w:name w:val="Table Paragraph"/>
    <w:basedOn w:val="1"/>
    <w:qFormat/>
    <w:uiPriority w:val="0"/>
    <w:pPr>
      <w:widowControl/>
      <w:autoSpaceDE w:val="0"/>
      <w:autoSpaceDN w:val="0"/>
      <w:jc w:val="left"/>
      <w:textAlignment w:val="baseline"/>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38291</Words>
  <Characters>40072</Characters>
  <Lines>331</Lines>
  <Paragraphs>93</Paragraphs>
  <TotalTime>0</TotalTime>
  <ScaleCrop>false</ScaleCrop>
  <LinksUpToDate>false</LinksUpToDate>
  <CharactersWithSpaces>45964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2024-03-28T03:04:00Z</dcterms:created>
  <dc:creator>Administrator</dc:creator>
  <cp:lastModifiedBy>金林</cp:lastModifiedBy>
  <cp:lastPrinted>2025-12-02T05:47:00Z</cp:lastPrinted>
  <dcterms:modified xsi:type="dcterms:W3CDTF">2025-12-02T08:21:24Z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5C6F025B2859493FB688017B6CEF8010_13</vt:lpwstr>
  </property>
  <property fmtid="{D5CDD505-2E9C-101B-9397-08002B2CF9AE}" pid="4" name="KSOTemplateDocerSaveRecord">
    <vt:lpwstr>eyJoZGlkIjoiYzg4ZDI2ZDgzYjRlOWNhZDU4NzhjMmNkZWVhODliODUiLCJ1c2VySWQiOiIyMzc2NDk2MzEifQ==</vt:lpwstr>
  </property>
</Properties>
</file>