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C5A7F">
      <w:pPr>
        <w:spacing w:before="62" w:beforeLines="20" w:after="62" w:afterLines="20" w:line="360" w:lineRule="auto"/>
        <w:jc w:val="center"/>
        <w:rPr>
          <w:rFonts w:ascii="宋体" w:hAnsi="宋体"/>
          <w:b/>
          <w:bCs/>
          <w:w w:val="90"/>
          <w:sz w:val="44"/>
          <w:szCs w:val="44"/>
          <w:highlight w:val="none"/>
        </w:rPr>
      </w:pPr>
    </w:p>
    <w:p w14:paraId="74EBD8DF">
      <w:pPr>
        <w:pStyle w:val="4"/>
        <w:shd w:val="clear" w:color="auto" w:fill="auto"/>
        <w:spacing w:line="360" w:lineRule="auto"/>
        <w:ind w:left="0" w:leftChars="0" w:firstLine="0" w:firstLineChars="0"/>
        <w:jc w:val="center"/>
        <w:rPr>
          <w:rFonts w:hint="eastAsia" w:ascii="宋体" w:hAnsi="宋体" w:eastAsia="宋体" w:cs="宋体"/>
          <w:b/>
          <w:bCs w:val="0"/>
          <w:color w:val="auto"/>
          <w:sz w:val="32"/>
          <w:szCs w:val="32"/>
          <w:highlight w:val="none"/>
          <w:lang w:val="en-US"/>
        </w:rPr>
      </w:pPr>
      <w:r>
        <w:rPr>
          <w:rFonts w:hint="eastAsia" w:ascii="宋体" w:hAnsi="宋体" w:cs="宋体"/>
          <w:b/>
          <w:bCs w:val="0"/>
          <w:color w:val="auto"/>
          <w:sz w:val="44"/>
          <w:szCs w:val="44"/>
          <w:highlight w:val="none"/>
          <w:lang w:val="en-US" w:eastAsia="zh-CN"/>
        </w:rPr>
        <w:t>铜陵高新产业园发展有限公司、铜陵高新发展投资有限公司</w:t>
      </w:r>
      <w:r>
        <w:rPr>
          <w:rFonts w:hint="eastAsia" w:ascii="宋体" w:hAnsi="宋体" w:eastAsia="宋体" w:cs="宋体"/>
          <w:b/>
          <w:bCs w:val="0"/>
          <w:color w:val="auto"/>
          <w:sz w:val="44"/>
          <w:szCs w:val="44"/>
          <w:highlight w:val="none"/>
          <w:lang w:val="en-US" w:eastAsia="zh-CN"/>
        </w:rPr>
        <w:t>2026年度代理购电服务采购项目</w:t>
      </w:r>
    </w:p>
    <w:p w14:paraId="7DD93D0A">
      <w:pPr>
        <w:spacing w:line="480" w:lineRule="auto"/>
        <w:jc w:val="center"/>
        <w:rPr>
          <w:rFonts w:ascii="宋体" w:hAnsi="宋体"/>
          <w:b/>
          <w:bCs/>
          <w:sz w:val="84"/>
          <w:szCs w:val="84"/>
          <w:highlight w:val="none"/>
        </w:rPr>
      </w:pPr>
    </w:p>
    <w:p w14:paraId="65D755A7">
      <w:pPr>
        <w:spacing w:line="480" w:lineRule="auto"/>
        <w:jc w:val="center"/>
        <w:rPr>
          <w:rFonts w:ascii="宋体" w:hAnsi="宋体"/>
          <w:b/>
          <w:bCs/>
          <w:sz w:val="84"/>
          <w:szCs w:val="84"/>
          <w:highlight w:val="none"/>
        </w:rPr>
      </w:pPr>
      <w:r>
        <w:rPr>
          <w:rFonts w:hint="eastAsia" w:ascii="宋体" w:hAnsi="宋体"/>
          <w:b/>
          <w:bCs/>
          <w:sz w:val="84"/>
          <w:szCs w:val="84"/>
          <w:highlight w:val="none"/>
        </w:rPr>
        <w:t>招 标 文 件</w:t>
      </w:r>
    </w:p>
    <w:p w14:paraId="247E0AA9">
      <w:pPr>
        <w:spacing w:line="480" w:lineRule="auto"/>
        <w:jc w:val="center"/>
        <w:rPr>
          <w:rFonts w:ascii="宋体" w:hAnsi="宋体"/>
          <w:b/>
          <w:bCs/>
          <w:sz w:val="30"/>
          <w:szCs w:val="30"/>
          <w:highlight w:val="none"/>
        </w:rPr>
      </w:pPr>
    </w:p>
    <w:p w14:paraId="17FA5C1B">
      <w:pPr>
        <w:spacing w:line="480" w:lineRule="auto"/>
        <w:ind w:firstLine="452" w:firstLineChars="150"/>
        <w:jc w:val="center"/>
        <w:rPr>
          <w:rFonts w:hint="eastAsia" w:ascii="宋体" w:hAnsi="宋体" w:eastAsia="宋体"/>
          <w:b/>
          <w:bCs/>
          <w:sz w:val="30"/>
          <w:szCs w:val="30"/>
          <w:highlight w:val="none"/>
          <w:lang w:eastAsia="zh-CN"/>
        </w:rPr>
      </w:pPr>
      <w:r>
        <w:rPr>
          <w:rFonts w:hint="eastAsia" w:ascii="宋体" w:hAnsi="宋体"/>
          <w:b/>
          <w:bCs/>
          <w:sz w:val="30"/>
          <w:szCs w:val="30"/>
          <w:highlight w:val="none"/>
          <w:lang w:eastAsia="zh-CN"/>
        </w:rPr>
        <w:t>项目编号：TLQJ2025-15</w:t>
      </w:r>
    </w:p>
    <w:p w14:paraId="50478678">
      <w:pPr>
        <w:pStyle w:val="82"/>
        <w:ind w:firstLine="400"/>
        <w:rPr>
          <w:rFonts w:hint="default" w:ascii="宋体" w:hAnsi="宋体"/>
          <w:highlight w:val="none"/>
        </w:rPr>
      </w:pPr>
    </w:p>
    <w:p w14:paraId="1C68CDCE">
      <w:pPr>
        <w:spacing w:line="480" w:lineRule="auto"/>
        <w:rPr>
          <w:rFonts w:ascii="宋体" w:hAnsi="宋体"/>
          <w:b/>
          <w:bCs/>
          <w:sz w:val="30"/>
          <w:szCs w:val="30"/>
          <w:highlight w:val="none"/>
        </w:rPr>
      </w:pPr>
    </w:p>
    <w:p w14:paraId="05BC9BCA">
      <w:pPr>
        <w:spacing w:line="480" w:lineRule="auto"/>
        <w:ind w:firstLine="452" w:firstLineChars="150"/>
        <w:jc w:val="center"/>
        <w:rPr>
          <w:rFonts w:ascii="宋体" w:hAnsi="宋体"/>
          <w:b/>
          <w:bCs/>
          <w:sz w:val="30"/>
          <w:szCs w:val="30"/>
          <w:highlight w:val="none"/>
        </w:rPr>
      </w:pPr>
    </w:p>
    <w:p w14:paraId="65067145">
      <w:pPr>
        <w:spacing w:before="62" w:beforeLines="20" w:after="62" w:afterLines="20" w:line="360" w:lineRule="auto"/>
        <w:ind w:leftChars="1000"/>
        <w:jc w:val="both"/>
        <w:rPr>
          <w:rFonts w:hint="eastAsia" w:ascii="宋体" w:hAnsi="宋体"/>
          <w:b/>
          <w:bCs/>
          <w:sz w:val="28"/>
          <w:szCs w:val="28"/>
          <w:highlight w:val="none"/>
          <w:lang w:eastAsia="zh-CN"/>
        </w:rPr>
      </w:pPr>
      <w:r>
        <w:rPr>
          <w:rFonts w:hint="eastAsia" w:ascii="宋体" w:hAnsi="宋体"/>
          <w:b/>
          <w:bCs/>
          <w:sz w:val="28"/>
          <w:szCs w:val="28"/>
          <w:highlight w:val="none"/>
          <w:lang w:val="en-US" w:eastAsia="zh-CN"/>
        </w:rPr>
        <w:t xml:space="preserve">招 </w:t>
      </w:r>
      <w:r>
        <w:rPr>
          <w:rFonts w:hint="eastAsia" w:ascii="宋体" w:hAnsi="宋体"/>
          <w:b/>
          <w:bCs/>
          <w:sz w:val="28"/>
          <w:szCs w:val="28"/>
          <w:highlight w:val="none"/>
        </w:rPr>
        <w:t>标</w:t>
      </w:r>
      <w:r>
        <w:rPr>
          <w:rFonts w:hint="eastAsia" w:ascii="宋体" w:hAnsi="宋体"/>
          <w:b/>
          <w:bCs/>
          <w:sz w:val="28"/>
          <w:szCs w:val="28"/>
          <w:highlight w:val="none"/>
          <w:lang w:val="en-US" w:eastAsia="zh-CN"/>
        </w:rPr>
        <w:t xml:space="preserve"> </w:t>
      </w:r>
      <w:r>
        <w:rPr>
          <w:rFonts w:hint="eastAsia" w:ascii="宋体" w:hAnsi="宋体"/>
          <w:b/>
          <w:bCs/>
          <w:sz w:val="28"/>
          <w:szCs w:val="28"/>
          <w:highlight w:val="none"/>
        </w:rPr>
        <w:t>单</w:t>
      </w:r>
      <w:r>
        <w:rPr>
          <w:rFonts w:hint="eastAsia" w:ascii="宋体" w:hAnsi="宋体"/>
          <w:b/>
          <w:bCs/>
          <w:sz w:val="28"/>
          <w:szCs w:val="28"/>
          <w:highlight w:val="none"/>
          <w:lang w:val="en-US" w:eastAsia="zh-CN"/>
        </w:rPr>
        <w:t xml:space="preserve"> </w:t>
      </w:r>
      <w:r>
        <w:rPr>
          <w:rFonts w:hint="eastAsia" w:ascii="宋体" w:hAnsi="宋体"/>
          <w:b/>
          <w:bCs/>
          <w:sz w:val="28"/>
          <w:szCs w:val="28"/>
          <w:highlight w:val="none"/>
        </w:rPr>
        <w:t>位：</w:t>
      </w:r>
      <w:r>
        <w:rPr>
          <w:rFonts w:hint="eastAsia" w:ascii="宋体" w:hAnsi="宋体"/>
          <w:b/>
          <w:bCs/>
          <w:sz w:val="28"/>
          <w:szCs w:val="28"/>
          <w:highlight w:val="none"/>
          <w:lang w:val="en-US" w:eastAsia="zh-CN"/>
        </w:rPr>
        <w:t xml:space="preserve"> </w:t>
      </w:r>
      <w:r>
        <w:rPr>
          <w:rFonts w:hint="eastAsia" w:ascii="宋体" w:hAnsi="宋体"/>
          <w:b/>
          <w:bCs/>
          <w:sz w:val="28"/>
          <w:szCs w:val="28"/>
          <w:highlight w:val="none"/>
          <w:lang w:eastAsia="zh-CN"/>
        </w:rPr>
        <w:t>铜陵高新产业园发展有限公司</w:t>
      </w:r>
    </w:p>
    <w:p w14:paraId="684178B8">
      <w:pPr>
        <w:spacing w:before="62" w:beforeLines="20" w:after="62" w:afterLines="20" w:line="360" w:lineRule="auto"/>
        <w:ind w:leftChars="1000" w:firstLine="1968" w:firstLineChars="700"/>
        <w:jc w:val="both"/>
        <w:rPr>
          <w:rFonts w:ascii="宋体" w:hAnsi="宋体"/>
          <w:b/>
          <w:bCs/>
          <w:sz w:val="32"/>
          <w:szCs w:val="32"/>
          <w:highlight w:val="none"/>
        </w:rPr>
      </w:pPr>
      <w:r>
        <w:rPr>
          <w:rFonts w:hint="eastAsia" w:ascii="宋体" w:hAnsi="宋体"/>
          <w:b/>
          <w:bCs/>
          <w:sz w:val="28"/>
          <w:szCs w:val="28"/>
          <w:highlight w:val="none"/>
          <w:lang w:eastAsia="zh-CN"/>
        </w:rPr>
        <w:t>铜陵高新发展投资有限公司</w:t>
      </w:r>
    </w:p>
    <w:p w14:paraId="07594FB6">
      <w:pPr>
        <w:spacing w:line="480" w:lineRule="auto"/>
        <w:ind w:leftChars="1000"/>
        <w:jc w:val="both"/>
        <w:rPr>
          <w:rFonts w:hint="eastAsia" w:ascii="宋体" w:hAnsi="宋体" w:eastAsia="宋体"/>
          <w:bCs/>
          <w:sz w:val="28"/>
          <w:szCs w:val="28"/>
          <w:highlight w:val="none"/>
          <w:lang w:eastAsia="zh-CN"/>
        </w:rPr>
      </w:pPr>
      <w:r>
        <w:rPr>
          <w:rFonts w:hint="eastAsia" w:ascii="宋体" w:hAnsi="宋体"/>
          <w:b/>
          <w:bCs/>
          <w:sz w:val="28"/>
          <w:szCs w:val="28"/>
          <w:highlight w:val="none"/>
        </w:rPr>
        <w:t>招标代理机构：</w:t>
      </w:r>
      <w:r>
        <w:rPr>
          <w:rFonts w:hint="eastAsia" w:ascii="宋体" w:hAnsi="宋体"/>
          <w:b/>
          <w:bCs/>
          <w:sz w:val="28"/>
          <w:szCs w:val="28"/>
          <w:highlight w:val="none"/>
          <w:lang w:eastAsia="zh-CN"/>
        </w:rPr>
        <w:t>铜陵鹊江项目管理有限公司</w:t>
      </w:r>
    </w:p>
    <w:p w14:paraId="4DB0D5E7">
      <w:pPr>
        <w:spacing w:line="480" w:lineRule="auto"/>
        <w:jc w:val="center"/>
        <w:rPr>
          <w:rFonts w:ascii="宋体" w:hAnsi="宋体"/>
          <w:bCs/>
          <w:sz w:val="28"/>
          <w:szCs w:val="28"/>
          <w:highlight w:val="none"/>
        </w:rPr>
      </w:pPr>
      <w:r>
        <w:rPr>
          <w:rFonts w:hint="eastAsia" w:ascii="宋体" w:hAnsi="宋体"/>
          <w:b/>
          <w:bCs/>
          <w:sz w:val="30"/>
          <w:szCs w:val="30"/>
          <w:highlight w:val="none"/>
        </w:rPr>
        <w:t>2O25年</w:t>
      </w:r>
      <w:r>
        <w:rPr>
          <w:rFonts w:hint="eastAsia" w:ascii="宋体" w:hAnsi="宋体"/>
          <w:b/>
          <w:bCs/>
          <w:sz w:val="30"/>
          <w:szCs w:val="30"/>
          <w:highlight w:val="none"/>
          <w:lang w:val="en-US" w:eastAsia="zh-CN"/>
        </w:rPr>
        <w:t>11</w:t>
      </w:r>
      <w:r>
        <w:rPr>
          <w:rFonts w:hint="eastAsia" w:ascii="宋体" w:hAnsi="宋体"/>
          <w:b/>
          <w:bCs/>
          <w:sz w:val="30"/>
          <w:szCs w:val="30"/>
          <w:highlight w:val="none"/>
        </w:rPr>
        <w:t>月</w:t>
      </w:r>
    </w:p>
    <w:p w14:paraId="18AEB410">
      <w:pPr>
        <w:pStyle w:val="3"/>
        <w:spacing w:before="0" w:after="0" w:line="360" w:lineRule="auto"/>
        <w:jc w:val="center"/>
        <w:rPr>
          <w:rFonts w:ascii="宋体" w:hAnsi="宋体" w:eastAsia="宋体"/>
          <w:sz w:val="40"/>
          <w:highlight w:val="none"/>
        </w:rPr>
      </w:pPr>
      <w:r>
        <w:rPr>
          <w:rFonts w:ascii="宋体" w:hAnsi="宋体"/>
          <w:highlight w:val="none"/>
        </w:rPr>
        <w:br w:type="page"/>
      </w:r>
      <w:bookmarkStart w:id="0" w:name="_Toc6756"/>
      <w:r>
        <w:rPr>
          <w:rFonts w:hint="eastAsia" w:ascii="宋体" w:hAnsi="宋体" w:eastAsia="宋体"/>
          <w:sz w:val="40"/>
          <w:highlight w:val="none"/>
        </w:rPr>
        <w:t>目录</w:t>
      </w:r>
      <w:bookmarkEnd w:id="0"/>
    </w:p>
    <w:p w14:paraId="48140FA0">
      <w:pPr>
        <w:pStyle w:val="29"/>
        <w:tabs>
          <w:tab w:val="right" w:leader="dot" w:pos="9752"/>
        </w:tabs>
        <w:spacing w:line="360" w:lineRule="auto"/>
        <w:rPr>
          <w:rFonts w:hint="eastAsia" w:ascii="宋体" w:hAnsi="宋体" w:eastAsia="宋体" w:cs="宋体"/>
          <w:sz w:val="30"/>
          <w:szCs w:val="30"/>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TOC \o "1-3" \h \z \u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_Toc11903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第一章  招标公告</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_Toc11903 \h </w:instrText>
      </w:r>
      <w:r>
        <w:rPr>
          <w:rFonts w:hint="eastAsia" w:ascii="宋体" w:hAnsi="宋体" w:eastAsia="宋体" w:cs="宋体"/>
          <w:sz w:val="30"/>
          <w:szCs w:val="30"/>
        </w:rPr>
        <w:fldChar w:fldCharType="separate"/>
      </w:r>
      <w:r>
        <w:rPr>
          <w:rFonts w:hint="eastAsia" w:ascii="宋体" w:hAnsi="宋体" w:eastAsia="宋体" w:cs="宋体"/>
          <w:sz w:val="30"/>
          <w:szCs w:val="30"/>
        </w:rPr>
        <w:t>3</w:t>
      </w:r>
      <w:r>
        <w:rPr>
          <w:rFonts w:hint="eastAsia" w:ascii="宋体" w:hAnsi="宋体" w:eastAsia="宋体" w:cs="宋体"/>
          <w:sz w:val="30"/>
          <w:szCs w:val="30"/>
        </w:rPr>
        <w:fldChar w:fldCharType="end"/>
      </w:r>
      <w:r>
        <w:rPr>
          <w:rFonts w:hint="eastAsia" w:ascii="宋体" w:hAnsi="宋体" w:eastAsia="宋体" w:cs="宋体"/>
          <w:sz w:val="30"/>
          <w:szCs w:val="30"/>
          <w:highlight w:val="none"/>
        </w:rPr>
        <w:fldChar w:fldCharType="end"/>
      </w:r>
    </w:p>
    <w:p w14:paraId="0DE328C1">
      <w:pPr>
        <w:pStyle w:val="29"/>
        <w:tabs>
          <w:tab w:val="right" w:leader="dot" w:pos="9752"/>
        </w:tabs>
        <w:spacing w:line="360" w:lineRule="auto"/>
        <w:rPr>
          <w:rFonts w:hint="eastAsia" w:ascii="宋体" w:hAnsi="宋体" w:eastAsia="宋体" w:cs="宋体"/>
          <w:sz w:val="30"/>
          <w:szCs w:val="30"/>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_Toc7607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第二章  投标须知前附表</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_Toc7607 \h </w:instrText>
      </w:r>
      <w:r>
        <w:rPr>
          <w:rFonts w:hint="eastAsia" w:ascii="宋体" w:hAnsi="宋体" w:eastAsia="宋体" w:cs="宋体"/>
          <w:sz w:val="30"/>
          <w:szCs w:val="30"/>
        </w:rPr>
        <w:fldChar w:fldCharType="separate"/>
      </w:r>
      <w:r>
        <w:rPr>
          <w:rFonts w:hint="eastAsia" w:ascii="宋体" w:hAnsi="宋体" w:eastAsia="宋体" w:cs="宋体"/>
          <w:sz w:val="30"/>
          <w:szCs w:val="30"/>
        </w:rPr>
        <w:t>5</w:t>
      </w:r>
      <w:r>
        <w:rPr>
          <w:rFonts w:hint="eastAsia" w:ascii="宋体" w:hAnsi="宋体" w:eastAsia="宋体" w:cs="宋体"/>
          <w:sz w:val="30"/>
          <w:szCs w:val="30"/>
        </w:rPr>
        <w:fldChar w:fldCharType="end"/>
      </w:r>
      <w:r>
        <w:rPr>
          <w:rFonts w:hint="eastAsia" w:ascii="宋体" w:hAnsi="宋体" w:eastAsia="宋体" w:cs="宋体"/>
          <w:sz w:val="30"/>
          <w:szCs w:val="30"/>
          <w:highlight w:val="none"/>
        </w:rPr>
        <w:fldChar w:fldCharType="end"/>
      </w:r>
    </w:p>
    <w:p w14:paraId="0326C63D">
      <w:pPr>
        <w:pStyle w:val="29"/>
        <w:tabs>
          <w:tab w:val="right" w:leader="dot" w:pos="9752"/>
        </w:tabs>
        <w:spacing w:line="360" w:lineRule="auto"/>
        <w:rPr>
          <w:rFonts w:hint="eastAsia" w:ascii="宋体" w:hAnsi="宋体" w:eastAsia="宋体" w:cs="宋体"/>
          <w:sz w:val="30"/>
          <w:szCs w:val="30"/>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_Toc27364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第三章  投标须知</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_Toc27364 \h </w:instrText>
      </w:r>
      <w:r>
        <w:rPr>
          <w:rFonts w:hint="eastAsia" w:ascii="宋体" w:hAnsi="宋体" w:eastAsia="宋体" w:cs="宋体"/>
          <w:sz w:val="30"/>
          <w:szCs w:val="30"/>
        </w:rPr>
        <w:fldChar w:fldCharType="separate"/>
      </w:r>
      <w:r>
        <w:rPr>
          <w:rFonts w:hint="eastAsia" w:ascii="宋体" w:hAnsi="宋体" w:eastAsia="宋体" w:cs="宋体"/>
          <w:sz w:val="30"/>
          <w:szCs w:val="30"/>
        </w:rPr>
        <w:t>8</w:t>
      </w:r>
      <w:r>
        <w:rPr>
          <w:rFonts w:hint="eastAsia" w:ascii="宋体" w:hAnsi="宋体" w:eastAsia="宋体" w:cs="宋体"/>
          <w:sz w:val="30"/>
          <w:szCs w:val="30"/>
        </w:rPr>
        <w:fldChar w:fldCharType="end"/>
      </w:r>
      <w:r>
        <w:rPr>
          <w:rFonts w:hint="eastAsia" w:ascii="宋体" w:hAnsi="宋体" w:eastAsia="宋体" w:cs="宋体"/>
          <w:sz w:val="30"/>
          <w:szCs w:val="30"/>
          <w:highlight w:val="none"/>
        </w:rPr>
        <w:fldChar w:fldCharType="end"/>
      </w:r>
    </w:p>
    <w:p w14:paraId="70DCA04F">
      <w:pPr>
        <w:pStyle w:val="29"/>
        <w:tabs>
          <w:tab w:val="right" w:leader="dot" w:pos="9752"/>
        </w:tabs>
        <w:spacing w:line="360" w:lineRule="auto"/>
        <w:rPr>
          <w:rFonts w:hint="eastAsia" w:ascii="宋体" w:hAnsi="宋体" w:eastAsia="宋体" w:cs="宋体"/>
          <w:sz w:val="30"/>
          <w:szCs w:val="30"/>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_Toc3432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第四章  评标办法</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_Toc3432 \h </w:instrText>
      </w:r>
      <w:r>
        <w:rPr>
          <w:rFonts w:hint="eastAsia" w:ascii="宋体" w:hAnsi="宋体" w:eastAsia="宋体" w:cs="宋体"/>
          <w:sz w:val="30"/>
          <w:szCs w:val="30"/>
        </w:rPr>
        <w:fldChar w:fldCharType="separate"/>
      </w:r>
      <w:r>
        <w:rPr>
          <w:rFonts w:hint="eastAsia" w:ascii="宋体" w:hAnsi="宋体" w:eastAsia="宋体" w:cs="宋体"/>
          <w:sz w:val="30"/>
          <w:szCs w:val="30"/>
        </w:rPr>
        <w:t>15</w:t>
      </w:r>
      <w:r>
        <w:rPr>
          <w:rFonts w:hint="eastAsia" w:ascii="宋体" w:hAnsi="宋体" w:eastAsia="宋体" w:cs="宋体"/>
          <w:sz w:val="30"/>
          <w:szCs w:val="30"/>
        </w:rPr>
        <w:fldChar w:fldCharType="end"/>
      </w:r>
      <w:r>
        <w:rPr>
          <w:rFonts w:hint="eastAsia" w:ascii="宋体" w:hAnsi="宋体" w:eastAsia="宋体" w:cs="宋体"/>
          <w:sz w:val="30"/>
          <w:szCs w:val="30"/>
          <w:highlight w:val="none"/>
        </w:rPr>
        <w:fldChar w:fldCharType="end"/>
      </w:r>
    </w:p>
    <w:p w14:paraId="1BC3C91F">
      <w:pPr>
        <w:pStyle w:val="29"/>
        <w:tabs>
          <w:tab w:val="right" w:leader="dot" w:pos="9752"/>
        </w:tabs>
        <w:spacing w:line="360" w:lineRule="auto"/>
        <w:rPr>
          <w:rFonts w:hint="eastAsia" w:ascii="宋体" w:hAnsi="宋体" w:eastAsia="宋体" w:cs="宋体"/>
          <w:sz w:val="30"/>
          <w:szCs w:val="30"/>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_Toc1201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第五章  合同主要条款</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_Toc1201 \h </w:instrText>
      </w:r>
      <w:r>
        <w:rPr>
          <w:rFonts w:hint="eastAsia" w:ascii="宋体" w:hAnsi="宋体" w:eastAsia="宋体" w:cs="宋体"/>
          <w:sz w:val="30"/>
          <w:szCs w:val="30"/>
        </w:rPr>
        <w:fldChar w:fldCharType="separate"/>
      </w:r>
      <w:r>
        <w:rPr>
          <w:rFonts w:hint="eastAsia" w:ascii="宋体" w:hAnsi="宋体" w:eastAsia="宋体" w:cs="宋体"/>
          <w:sz w:val="30"/>
          <w:szCs w:val="30"/>
        </w:rPr>
        <w:t>22</w:t>
      </w:r>
      <w:r>
        <w:rPr>
          <w:rFonts w:hint="eastAsia" w:ascii="宋体" w:hAnsi="宋体" w:eastAsia="宋体" w:cs="宋体"/>
          <w:sz w:val="30"/>
          <w:szCs w:val="30"/>
        </w:rPr>
        <w:fldChar w:fldCharType="end"/>
      </w:r>
      <w:r>
        <w:rPr>
          <w:rFonts w:hint="eastAsia" w:ascii="宋体" w:hAnsi="宋体" w:eastAsia="宋体" w:cs="宋体"/>
          <w:sz w:val="30"/>
          <w:szCs w:val="30"/>
          <w:highlight w:val="none"/>
        </w:rPr>
        <w:fldChar w:fldCharType="end"/>
      </w:r>
    </w:p>
    <w:p w14:paraId="4BDD64E2">
      <w:pPr>
        <w:pStyle w:val="29"/>
        <w:tabs>
          <w:tab w:val="right" w:leader="dot" w:pos="9752"/>
        </w:tabs>
        <w:spacing w:line="360" w:lineRule="auto"/>
        <w:rPr>
          <w:rFonts w:hint="eastAsia" w:ascii="宋体" w:hAnsi="宋体" w:eastAsia="宋体" w:cs="宋体"/>
          <w:sz w:val="30"/>
          <w:szCs w:val="30"/>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_Toc20749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第六章  投标文件格式</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_Toc20749 \h </w:instrText>
      </w:r>
      <w:r>
        <w:rPr>
          <w:rFonts w:hint="eastAsia" w:ascii="宋体" w:hAnsi="宋体" w:eastAsia="宋体" w:cs="宋体"/>
          <w:sz w:val="30"/>
          <w:szCs w:val="30"/>
        </w:rPr>
        <w:fldChar w:fldCharType="separate"/>
      </w:r>
      <w:r>
        <w:rPr>
          <w:rFonts w:hint="eastAsia" w:ascii="宋体" w:hAnsi="宋体" w:eastAsia="宋体" w:cs="宋体"/>
          <w:sz w:val="30"/>
          <w:szCs w:val="30"/>
        </w:rPr>
        <w:t>34</w:t>
      </w:r>
      <w:r>
        <w:rPr>
          <w:rFonts w:hint="eastAsia" w:ascii="宋体" w:hAnsi="宋体" w:eastAsia="宋体" w:cs="宋体"/>
          <w:sz w:val="30"/>
          <w:szCs w:val="30"/>
        </w:rPr>
        <w:fldChar w:fldCharType="end"/>
      </w:r>
      <w:r>
        <w:rPr>
          <w:rFonts w:hint="eastAsia" w:ascii="宋体" w:hAnsi="宋体" w:eastAsia="宋体" w:cs="宋体"/>
          <w:sz w:val="30"/>
          <w:szCs w:val="30"/>
          <w:highlight w:val="none"/>
        </w:rPr>
        <w:fldChar w:fldCharType="end"/>
      </w:r>
    </w:p>
    <w:p w14:paraId="5C6BA881">
      <w:pPr>
        <w:widowControl/>
        <w:adjustRightInd w:val="0"/>
        <w:snapToGrid w:val="0"/>
        <w:spacing w:line="360" w:lineRule="auto"/>
        <w:rPr>
          <w:rFonts w:hint="default" w:ascii="宋体" w:hAnsi="宋体" w:eastAsia="宋体"/>
          <w:highlight w:val="none"/>
          <w:lang w:val="en-US" w:eastAsia="zh-CN"/>
        </w:rPr>
      </w:pPr>
      <w:r>
        <w:rPr>
          <w:rFonts w:hint="eastAsia" w:ascii="宋体" w:hAnsi="宋体" w:eastAsia="宋体" w:cs="宋体"/>
          <w:sz w:val="30"/>
          <w:szCs w:val="30"/>
          <w:highlight w:val="none"/>
        </w:rPr>
        <w:fldChar w:fldCharType="end"/>
      </w:r>
      <w:r>
        <w:rPr>
          <w:rFonts w:hint="eastAsia" w:ascii="宋体" w:hAnsi="宋体" w:cs="宋体"/>
          <w:sz w:val="30"/>
          <w:szCs w:val="30"/>
          <w:highlight w:val="none"/>
          <w:lang w:val="en-US" w:eastAsia="zh-CN"/>
        </w:rPr>
        <w:t xml:space="preserve">   </w:t>
      </w:r>
      <w:r>
        <w:rPr>
          <w:rFonts w:hint="eastAsia" w:ascii="宋体" w:hAnsi="宋体" w:eastAsia="宋体" w:cs="宋体"/>
          <w:sz w:val="30"/>
          <w:szCs w:val="30"/>
          <w:highlight w:val="none"/>
        </w:rPr>
        <w:t>第</w:t>
      </w:r>
      <w:r>
        <w:rPr>
          <w:rFonts w:hint="eastAsia" w:ascii="宋体" w:hAnsi="宋体" w:eastAsia="宋体" w:cs="宋体"/>
          <w:sz w:val="30"/>
          <w:szCs w:val="30"/>
          <w:highlight w:val="none"/>
          <w:lang w:val="en-US" w:eastAsia="zh-CN"/>
        </w:rPr>
        <w:t>七</w:t>
      </w:r>
      <w:r>
        <w:rPr>
          <w:rFonts w:hint="eastAsia" w:ascii="宋体" w:hAnsi="宋体" w:eastAsia="宋体" w:cs="宋体"/>
          <w:sz w:val="30"/>
          <w:szCs w:val="30"/>
          <w:highlight w:val="none"/>
        </w:rPr>
        <w:t>章</w:t>
      </w:r>
      <w:r>
        <w:rPr>
          <w:rFonts w:hint="eastAsia" w:ascii="宋体" w:hAnsi="宋体" w:eastAsia="宋体" w:cs="宋体"/>
          <w:sz w:val="30"/>
          <w:szCs w:val="30"/>
          <w:highlight w:val="none"/>
          <w:lang w:val="en-US" w:eastAsia="zh-CN"/>
        </w:rPr>
        <w:t xml:space="preserve">  项目需求</w:t>
      </w:r>
      <w:r>
        <w:rPr>
          <w:rFonts w:hint="eastAsia" w:ascii="宋体" w:hAnsi="宋体" w:eastAsia="宋体" w:cs="宋体"/>
          <w:sz w:val="30"/>
          <w:szCs w:val="30"/>
        </w:rPr>
        <w:tab/>
      </w:r>
      <w:r>
        <w:rPr>
          <w:rFonts w:hint="eastAsia" w:ascii="宋体" w:hAnsi="宋体" w:eastAsia="宋体" w:cs="宋体"/>
          <w:sz w:val="30"/>
          <w:szCs w:val="30"/>
          <w:lang w:val="en-US" w:eastAsia="zh-CN"/>
        </w:rPr>
        <w:t>..........................................</w:t>
      </w:r>
      <w:r>
        <w:rPr>
          <w:rFonts w:hint="eastAsia" w:ascii="宋体" w:hAnsi="宋体" w:cs="宋体"/>
          <w:sz w:val="30"/>
          <w:szCs w:val="30"/>
          <w:lang w:val="en-US" w:eastAsia="zh-CN"/>
        </w:rPr>
        <w:t>47</w:t>
      </w:r>
    </w:p>
    <w:p w14:paraId="2E274ABC">
      <w:pPr>
        <w:pStyle w:val="3"/>
        <w:spacing w:before="0" w:after="0" w:line="360" w:lineRule="auto"/>
        <w:jc w:val="center"/>
        <w:rPr>
          <w:rFonts w:ascii="宋体" w:hAnsi="宋体" w:eastAsia="宋体" w:cs="Times New Roman"/>
          <w:szCs w:val="28"/>
          <w:highlight w:val="none"/>
        </w:rPr>
      </w:pPr>
      <w:r>
        <w:rPr>
          <w:rFonts w:ascii="宋体" w:hAnsi="宋体"/>
          <w:highlight w:val="none"/>
        </w:rPr>
        <w:br w:type="page"/>
      </w:r>
      <w:bookmarkStart w:id="1" w:name="_Toc11903"/>
      <w:r>
        <w:rPr>
          <w:rFonts w:hint="eastAsia" w:ascii="宋体" w:hAnsi="宋体" w:eastAsia="宋体" w:cs="Times New Roman"/>
          <w:szCs w:val="28"/>
          <w:highlight w:val="none"/>
        </w:rPr>
        <w:t>第一章  招标公告</w:t>
      </w:r>
      <w:bookmarkEnd w:id="1"/>
    </w:p>
    <w:p w14:paraId="41B29D5B">
      <w:pPr>
        <w:spacing w:line="500" w:lineRule="exact"/>
        <w:ind w:firstLine="480" w:firstLineChars="200"/>
        <w:jc w:val="left"/>
        <w:rPr>
          <w:rFonts w:hint="eastAsia" w:ascii="宋体" w:hAnsi="宋体" w:eastAsia="宋体"/>
          <w:sz w:val="24"/>
          <w:szCs w:val="24"/>
          <w:highlight w:val="none"/>
          <w:lang w:eastAsia="zh-CN"/>
        </w:rPr>
      </w:pPr>
      <w:r>
        <w:rPr>
          <w:rFonts w:hint="eastAsia" w:ascii="宋体" w:hAnsi="宋体"/>
          <w:sz w:val="24"/>
          <w:szCs w:val="24"/>
          <w:highlight w:val="none"/>
          <w:lang w:eastAsia="zh-CN"/>
        </w:rPr>
        <w:t>项目编号：TLQJ2025-15</w:t>
      </w:r>
    </w:p>
    <w:p w14:paraId="4AE42251">
      <w:pPr>
        <w:spacing w:line="500" w:lineRule="exact"/>
        <w:ind w:firstLine="482" w:firstLineChars="200"/>
        <w:jc w:val="left"/>
        <w:rPr>
          <w:rFonts w:ascii="宋体" w:hAnsi="宋体"/>
          <w:b/>
          <w:bCs/>
          <w:sz w:val="24"/>
          <w:szCs w:val="24"/>
          <w:highlight w:val="none"/>
        </w:rPr>
      </w:pPr>
      <w:r>
        <w:rPr>
          <w:rFonts w:hint="eastAsia" w:ascii="宋体" w:hAnsi="宋体"/>
          <w:b/>
          <w:bCs/>
          <w:sz w:val="24"/>
          <w:szCs w:val="24"/>
          <w:highlight w:val="none"/>
        </w:rPr>
        <w:t>一、招标条件</w:t>
      </w:r>
    </w:p>
    <w:p w14:paraId="1B20A133">
      <w:pPr>
        <w:spacing w:line="500" w:lineRule="exact"/>
        <w:ind w:firstLine="480" w:firstLineChars="200"/>
        <w:jc w:val="left"/>
        <w:rPr>
          <w:rFonts w:hint="eastAsia" w:ascii="宋体" w:hAnsi="宋体" w:eastAsia="宋体"/>
          <w:sz w:val="24"/>
          <w:szCs w:val="24"/>
          <w:highlight w:val="none"/>
          <w:lang w:eastAsia="zh-CN"/>
        </w:rPr>
      </w:pPr>
      <w:r>
        <w:rPr>
          <w:rFonts w:hint="eastAsia" w:ascii="宋体" w:hAnsi="宋体"/>
          <w:sz w:val="24"/>
          <w:szCs w:val="24"/>
          <w:highlight w:val="none"/>
        </w:rPr>
        <w:t>1.</w:t>
      </w:r>
      <w:r>
        <w:rPr>
          <w:rFonts w:hint="eastAsia" w:ascii="宋体" w:hAnsi="宋体"/>
          <w:sz w:val="24"/>
          <w:szCs w:val="24"/>
          <w:highlight w:val="none"/>
          <w:lang w:val="en-US" w:eastAsia="zh-CN"/>
        </w:rPr>
        <w:t>项目</w:t>
      </w:r>
      <w:r>
        <w:rPr>
          <w:rFonts w:hint="eastAsia" w:ascii="宋体" w:hAnsi="宋体"/>
          <w:sz w:val="24"/>
          <w:szCs w:val="24"/>
          <w:highlight w:val="none"/>
        </w:rPr>
        <w:t>名称：</w:t>
      </w:r>
      <w:r>
        <w:rPr>
          <w:rFonts w:hint="eastAsia" w:ascii="宋体" w:hAnsi="宋体"/>
          <w:sz w:val="24"/>
          <w:szCs w:val="24"/>
          <w:highlight w:val="none"/>
          <w:lang w:eastAsia="zh-CN"/>
        </w:rPr>
        <w:t>铜陵高新产业园发展有限公司、铜陵高新发展投资有限公司2026年度代理购电服务采购项目</w:t>
      </w:r>
    </w:p>
    <w:p w14:paraId="4CAB8179">
      <w:pPr>
        <w:spacing w:line="500" w:lineRule="exact"/>
        <w:ind w:firstLine="480" w:firstLineChars="200"/>
        <w:jc w:val="left"/>
        <w:rPr>
          <w:rFonts w:hint="eastAsia" w:ascii="宋体" w:hAnsi="宋体" w:eastAsia="宋体"/>
          <w:sz w:val="24"/>
          <w:szCs w:val="24"/>
          <w:highlight w:val="none"/>
          <w:lang w:eastAsia="zh-CN"/>
        </w:rPr>
      </w:pPr>
      <w:r>
        <w:rPr>
          <w:rFonts w:hint="eastAsia" w:ascii="宋体" w:hAnsi="宋体"/>
          <w:sz w:val="24"/>
          <w:szCs w:val="24"/>
          <w:highlight w:val="none"/>
        </w:rPr>
        <w:t>2.招标人：</w:t>
      </w:r>
      <w:r>
        <w:rPr>
          <w:rFonts w:hint="eastAsia" w:ascii="宋体" w:hAnsi="宋体"/>
          <w:sz w:val="24"/>
          <w:szCs w:val="24"/>
          <w:highlight w:val="none"/>
          <w:lang w:eastAsia="zh-CN"/>
        </w:rPr>
        <w:t>铜陵高新产业园发展有限公司、铜陵高新发展投资有限公司</w:t>
      </w:r>
    </w:p>
    <w:p w14:paraId="50217357">
      <w:pPr>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3.资金来源:自筹资金</w:t>
      </w:r>
    </w:p>
    <w:p w14:paraId="64C40403">
      <w:pPr>
        <w:pStyle w:val="82"/>
        <w:spacing w:line="500" w:lineRule="exact"/>
        <w:rPr>
          <w:rFonts w:hint="default" w:ascii="宋体" w:hAnsi="宋体"/>
          <w:sz w:val="24"/>
          <w:szCs w:val="24"/>
          <w:highlight w:val="none"/>
        </w:rPr>
      </w:pPr>
      <w:r>
        <w:rPr>
          <w:rFonts w:ascii="宋体" w:hAnsi="宋体"/>
          <w:sz w:val="24"/>
          <w:szCs w:val="24"/>
          <w:highlight w:val="none"/>
        </w:rPr>
        <w:t>4.项目交易性质:服务招标</w:t>
      </w:r>
    </w:p>
    <w:p w14:paraId="49E7579F">
      <w:pPr>
        <w:spacing w:line="500" w:lineRule="exact"/>
        <w:ind w:firstLine="482" w:firstLineChars="200"/>
        <w:jc w:val="left"/>
        <w:rPr>
          <w:rFonts w:ascii="宋体" w:hAnsi="宋体"/>
          <w:b/>
          <w:bCs/>
          <w:sz w:val="24"/>
          <w:szCs w:val="24"/>
          <w:highlight w:val="none"/>
        </w:rPr>
      </w:pPr>
      <w:r>
        <w:rPr>
          <w:rFonts w:hint="eastAsia" w:ascii="宋体" w:hAnsi="宋体"/>
          <w:b/>
          <w:bCs/>
          <w:sz w:val="24"/>
          <w:szCs w:val="24"/>
          <w:highlight w:val="none"/>
        </w:rPr>
        <w:t>二、工程概况与招标范围</w:t>
      </w:r>
    </w:p>
    <w:p w14:paraId="455464BD">
      <w:pPr>
        <w:adjustRightInd w:val="0"/>
        <w:spacing w:line="500" w:lineRule="exact"/>
        <w:ind w:firstLine="480" w:firstLineChars="200"/>
        <w:jc w:val="left"/>
        <w:rPr>
          <w:rFonts w:hint="default" w:ascii="宋体" w:hAnsi="宋体"/>
          <w:sz w:val="24"/>
          <w:szCs w:val="24"/>
          <w:highlight w:val="none"/>
          <w:lang w:val="en-US"/>
        </w:rPr>
      </w:pPr>
      <w:r>
        <w:rPr>
          <w:rFonts w:hint="eastAsia" w:ascii="宋体" w:hAnsi="宋体"/>
          <w:sz w:val="24"/>
          <w:szCs w:val="24"/>
          <w:highlight w:val="none"/>
        </w:rPr>
        <w:t>1.</w:t>
      </w:r>
      <w:r>
        <w:rPr>
          <w:rFonts w:hint="eastAsia" w:ascii="宋体" w:hAnsi="宋体"/>
          <w:sz w:val="24"/>
          <w:szCs w:val="24"/>
          <w:highlight w:val="none"/>
          <w:lang w:val="en-US" w:eastAsia="zh-CN"/>
        </w:rPr>
        <w:t>项目</w:t>
      </w:r>
      <w:r>
        <w:rPr>
          <w:rFonts w:hint="eastAsia" w:ascii="宋体" w:hAnsi="宋体"/>
          <w:sz w:val="24"/>
          <w:szCs w:val="24"/>
          <w:highlight w:val="none"/>
        </w:rPr>
        <w:t>实施地点：</w:t>
      </w:r>
      <w:r>
        <w:rPr>
          <w:rFonts w:hint="eastAsia" w:ascii="宋体" w:hAnsi="宋体"/>
          <w:sz w:val="24"/>
          <w:szCs w:val="24"/>
          <w:highlight w:val="none"/>
          <w:lang w:val="en-US" w:eastAsia="zh-CN"/>
        </w:rPr>
        <w:t>铜陵狮子山高新区</w:t>
      </w:r>
    </w:p>
    <w:p w14:paraId="47E24F9D">
      <w:pPr>
        <w:adjustRightInd w:val="0"/>
        <w:spacing w:line="500" w:lineRule="exact"/>
        <w:ind w:left="210" w:leftChars="100" w:firstLine="240" w:firstLineChars="100"/>
        <w:jc w:val="left"/>
        <w:rPr>
          <w:rFonts w:hint="eastAsia" w:ascii="宋体" w:hAnsi="宋体"/>
          <w:sz w:val="24"/>
          <w:szCs w:val="24"/>
          <w:highlight w:val="none"/>
        </w:rPr>
      </w:pPr>
      <w:r>
        <w:rPr>
          <w:rFonts w:hint="eastAsia" w:ascii="宋体" w:hAnsi="宋体"/>
          <w:sz w:val="24"/>
          <w:szCs w:val="24"/>
          <w:highlight w:val="none"/>
        </w:rPr>
        <w:t>2.</w:t>
      </w:r>
      <w:r>
        <w:rPr>
          <w:rFonts w:hint="eastAsia" w:ascii="宋体" w:hAnsi="宋体"/>
          <w:sz w:val="24"/>
          <w:szCs w:val="24"/>
          <w:highlight w:val="none"/>
          <w:lang w:val="en-US" w:eastAsia="zh-CN"/>
        </w:rPr>
        <w:t>项目</w:t>
      </w:r>
      <w:r>
        <w:rPr>
          <w:rFonts w:hint="eastAsia" w:ascii="宋体" w:hAnsi="宋体"/>
          <w:sz w:val="24"/>
          <w:szCs w:val="24"/>
          <w:highlight w:val="none"/>
        </w:rPr>
        <w:t>规模：</w:t>
      </w:r>
      <w:r>
        <w:rPr>
          <w:rFonts w:hint="eastAsia" w:ascii="宋体" w:hAnsi="宋体"/>
          <w:sz w:val="24"/>
          <w:szCs w:val="24"/>
          <w:highlight w:val="none"/>
          <w:lang w:val="en-US" w:eastAsia="zh-CN"/>
        </w:rPr>
        <w:t>/</w:t>
      </w:r>
    </w:p>
    <w:p w14:paraId="3D518633">
      <w:pPr>
        <w:adjustRightInd w:val="0"/>
        <w:spacing w:line="500" w:lineRule="exact"/>
        <w:ind w:left="210" w:leftChars="100" w:firstLine="241" w:firstLineChars="100"/>
        <w:jc w:val="left"/>
        <w:rPr>
          <w:rFonts w:hint="eastAsia" w:ascii="宋体" w:hAnsi="宋体"/>
          <w:b/>
          <w:bCs/>
          <w:sz w:val="24"/>
          <w:szCs w:val="24"/>
          <w:highlight w:val="none"/>
          <w:lang w:val="en-US" w:eastAsia="zh-CN"/>
        </w:rPr>
      </w:pPr>
      <w:bookmarkStart w:id="43" w:name="_GoBack"/>
      <w:r>
        <w:rPr>
          <w:rFonts w:hint="eastAsia" w:ascii="宋体" w:hAnsi="宋体"/>
          <w:b/>
          <w:bCs/>
          <w:sz w:val="24"/>
          <w:szCs w:val="24"/>
          <w:highlight w:val="none"/>
          <w:lang w:val="en-US" w:eastAsia="zh-CN"/>
        </w:rPr>
        <w:t>3.</w:t>
      </w:r>
      <w:r>
        <w:rPr>
          <w:rFonts w:hint="eastAsia" w:ascii="宋体" w:hAnsi="宋体"/>
          <w:b/>
          <w:bCs/>
          <w:sz w:val="24"/>
          <w:szCs w:val="24"/>
          <w:highlight w:val="none"/>
          <w:lang w:val="en-US" w:eastAsia="zh-CN"/>
        </w:rPr>
        <w:t>最</w:t>
      </w:r>
      <w:bookmarkEnd w:id="43"/>
      <w:r>
        <w:rPr>
          <w:rFonts w:hint="eastAsia" w:ascii="宋体" w:hAnsi="宋体"/>
          <w:b/>
          <w:bCs/>
          <w:sz w:val="24"/>
          <w:szCs w:val="24"/>
          <w:highlight w:val="none"/>
          <w:lang w:val="en-US" w:eastAsia="zh-CN"/>
        </w:rPr>
        <w:t>高投标限价：本项目根据安徽电力零售市场零售套餐参数汇总表（2026年版）的要求，选择套餐一（固定价格套餐）+套餐二（市场均价+浮动价格套餐）做为本次购电服务的服务方式，其中：</w:t>
      </w:r>
    </w:p>
    <w:p w14:paraId="5D4181EA">
      <w:pPr>
        <w:adjustRightInd w:val="0"/>
        <w:spacing w:line="500" w:lineRule="exact"/>
        <w:ind w:left="210" w:leftChars="100" w:firstLine="241" w:firstLineChars="100"/>
        <w:jc w:val="left"/>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1.套餐一（固定价格套餐）最高投标限价：0.389元/千瓦时；</w:t>
      </w:r>
    </w:p>
    <w:p w14:paraId="160F0EE5">
      <w:pPr>
        <w:adjustRightInd w:val="0"/>
        <w:spacing w:line="500" w:lineRule="exact"/>
        <w:ind w:left="210" w:leftChars="100" w:firstLine="241" w:firstLineChars="100"/>
        <w:jc w:val="left"/>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2.套餐二（市场均价+浮动价格套餐）最高投标限价：市场均价+0元/兆瓦时套餐。</w:t>
      </w:r>
    </w:p>
    <w:p w14:paraId="449B9D27">
      <w:pPr>
        <w:adjustRightInd w:val="0"/>
        <w:spacing w:line="500" w:lineRule="exact"/>
        <w:ind w:left="210" w:leftChars="100" w:firstLine="241" w:firstLineChars="100"/>
        <w:jc w:val="left"/>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注：1.套餐一（固定价格套餐）中各时段统一为1时-24时，不再按照分时报价，价格参照2025年11月安徽省发改委发布的代理购电价格。</w:t>
      </w:r>
    </w:p>
    <w:p w14:paraId="7171A612">
      <w:pPr>
        <w:adjustRightInd w:val="0"/>
        <w:spacing w:line="500" w:lineRule="exact"/>
        <w:ind w:left="210" w:leftChars="100" w:firstLine="241" w:firstLineChars="100"/>
        <w:jc w:val="left"/>
        <w:rPr>
          <w:rFonts w:hint="eastAsia" w:ascii="宋体" w:hAnsi="宋体"/>
          <w:b/>
          <w:bCs/>
          <w:sz w:val="24"/>
          <w:szCs w:val="24"/>
          <w:highlight w:val="none"/>
          <w:lang w:val="en-US" w:eastAsia="zh-CN"/>
        </w:rPr>
      </w:pPr>
      <w:r>
        <w:rPr>
          <w:rFonts w:hint="eastAsia" w:ascii="宋体" w:hAnsi="宋体"/>
          <w:b/>
          <w:bCs/>
          <w:sz w:val="24"/>
          <w:szCs w:val="24"/>
          <w:highlight w:val="none"/>
          <w:lang w:val="en-US" w:eastAsia="zh-CN"/>
        </w:rPr>
        <w:t>2.套餐二中市场均价以当月安徽省电力主管部门公布的价格均价为准，浮动价格不得超过0元/兆瓦时套餐。</w:t>
      </w:r>
    </w:p>
    <w:p w14:paraId="4C490ED2">
      <w:pPr>
        <w:adjustRightInd w:val="0"/>
        <w:spacing w:line="500" w:lineRule="exact"/>
        <w:ind w:left="210" w:leftChars="100" w:firstLine="241" w:firstLineChars="100"/>
        <w:jc w:val="left"/>
        <w:rPr>
          <w:rFonts w:hint="default" w:ascii="宋体" w:hAnsi="宋体"/>
          <w:b/>
          <w:bCs/>
          <w:sz w:val="24"/>
          <w:szCs w:val="24"/>
          <w:highlight w:val="none"/>
          <w:lang w:val="en-US" w:eastAsia="zh-CN"/>
        </w:rPr>
      </w:pPr>
      <w:r>
        <w:rPr>
          <w:rFonts w:hint="eastAsia" w:ascii="宋体" w:hAnsi="宋体"/>
          <w:b/>
          <w:bCs/>
          <w:sz w:val="24"/>
          <w:szCs w:val="24"/>
          <w:highlight w:val="none"/>
          <w:lang w:val="en-US" w:eastAsia="zh-CN"/>
        </w:rPr>
        <w:t>3.套餐一和套餐二在本次服务招标中占比各为50%。</w:t>
      </w:r>
    </w:p>
    <w:p w14:paraId="5304A44E">
      <w:pPr>
        <w:adjustRightInd w:val="0"/>
        <w:spacing w:line="500" w:lineRule="exact"/>
        <w:ind w:firstLine="480" w:firstLineChars="200"/>
        <w:jc w:val="left"/>
        <w:rPr>
          <w:rFonts w:ascii="宋体" w:hAnsi="宋体"/>
          <w:sz w:val="24"/>
          <w:szCs w:val="24"/>
          <w:highlight w:val="none"/>
        </w:rPr>
      </w:pPr>
      <w:r>
        <w:rPr>
          <w:rFonts w:hint="eastAsia" w:ascii="宋体" w:hAnsi="宋体"/>
          <w:sz w:val="24"/>
          <w:szCs w:val="24"/>
          <w:highlight w:val="none"/>
          <w:lang w:val="en-US" w:eastAsia="zh-CN"/>
        </w:rPr>
        <w:t>4</w:t>
      </w:r>
      <w:r>
        <w:rPr>
          <w:rFonts w:hint="eastAsia" w:ascii="宋体" w:hAnsi="宋体"/>
          <w:sz w:val="24"/>
          <w:szCs w:val="24"/>
          <w:highlight w:val="none"/>
        </w:rPr>
        <w:t>.</w:t>
      </w:r>
      <w:r>
        <w:rPr>
          <w:rFonts w:hint="eastAsia" w:ascii="宋体" w:hAnsi="宋体"/>
          <w:kern w:val="0"/>
          <w:sz w:val="24"/>
          <w:szCs w:val="24"/>
          <w:highlight w:val="none"/>
        </w:rPr>
        <w:t>服务期：</w:t>
      </w:r>
      <w:r>
        <w:rPr>
          <w:rFonts w:hint="eastAsia" w:ascii="宋体" w:hAnsi="宋体" w:eastAsia="宋体" w:cs="宋体"/>
          <w:b w:val="0"/>
          <w:bCs/>
          <w:color w:val="auto"/>
          <w:sz w:val="24"/>
          <w:szCs w:val="24"/>
          <w:highlight w:val="none"/>
          <w:lang w:val="zh-CN"/>
        </w:rPr>
        <w:t>2026年1月1日至2026年12月31日</w:t>
      </w:r>
    </w:p>
    <w:p w14:paraId="5E276B11">
      <w:pPr>
        <w:adjustRightInd w:val="0"/>
        <w:spacing w:line="500" w:lineRule="exact"/>
        <w:ind w:left="210" w:leftChars="100" w:firstLine="240" w:firstLineChars="100"/>
        <w:jc w:val="left"/>
        <w:rPr>
          <w:rFonts w:hint="eastAsia" w:ascii="宋体" w:hAnsi="宋体" w:eastAsia="宋体"/>
          <w:color w:val="auto"/>
          <w:sz w:val="24"/>
          <w:szCs w:val="24"/>
          <w:highlight w:val="none"/>
          <w:lang w:val="en-US" w:eastAsia="zh-CN"/>
        </w:rPr>
      </w:pPr>
      <w:r>
        <w:rPr>
          <w:rFonts w:hint="eastAsia" w:ascii="宋体" w:hAnsi="宋体"/>
          <w:sz w:val="24"/>
          <w:szCs w:val="24"/>
          <w:highlight w:val="none"/>
          <w:lang w:val="en-US" w:eastAsia="zh-CN"/>
        </w:rPr>
        <w:t>5</w:t>
      </w:r>
      <w:r>
        <w:rPr>
          <w:rFonts w:hint="eastAsia" w:ascii="宋体" w:hAnsi="宋体"/>
          <w:sz w:val="24"/>
          <w:szCs w:val="24"/>
          <w:highlight w:val="none"/>
        </w:rPr>
        <w:t>.招标范围：</w:t>
      </w:r>
      <w:r>
        <w:rPr>
          <w:rFonts w:hint="eastAsia" w:ascii="宋体" w:hAnsi="宋体"/>
          <w:sz w:val="24"/>
          <w:szCs w:val="24"/>
          <w:highlight w:val="none"/>
          <w:lang w:val="en-US" w:eastAsia="zh-CN"/>
        </w:rPr>
        <w:t>铜陵市狮子山高新技术产业开发区预计2026年全年用电总量预估为8000兆瓦时/年（以实际使用量进行结算），现拟采购一家通过安徽电力交易中心注册且具备交易资格的售电公司，为铜陵高新产业园发展有限公司、铜陵高新发展投资有限公司提供代理购电服务，包括但不限于：1.市场化电量交易（参与年度、月度等双边协商、集中竞价交易）；2.用电数据监测与分析；3.用电优化建议与节能咨询；4.电费结算支持与服务；5.相关政策解读与风险预警；6.以及招标人委托的其他事宜。具体详见招标文件及项目需求</w:t>
      </w:r>
      <w:r>
        <w:rPr>
          <w:rFonts w:hint="eastAsia" w:ascii="宋体" w:hAnsi="宋体" w:eastAsia="宋体" w:cs="宋体"/>
          <w:color w:val="auto"/>
          <w:sz w:val="24"/>
          <w:szCs w:val="24"/>
          <w:highlight w:val="none"/>
          <w:lang w:val="en-US" w:eastAsia="zh-CN"/>
        </w:rPr>
        <w:t>。</w:t>
      </w:r>
    </w:p>
    <w:p w14:paraId="19158D93">
      <w:pPr>
        <w:adjustRightInd w:val="0"/>
        <w:spacing w:line="500" w:lineRule="exact"/>
        <w:ind w:firstLine="480" w:firstLineChars="200"/>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.标段划分：一个标段</w:t>
      </w:r>
    </w:p>
    <w:p w14:paraId="1F0CD101">
      <w:pPr>
        <w:spacing w:line="500" w:lineRule="exact"/>
        <w:ind w:firstLine="482"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三、投标人资格要求</w:t>
      </w:r>
    </w:p>
    <w:p w14:paraId="2EBA47BE">
      <w:pPr>
        <w:adjustRightInd w:val="0"/>
        <w:spacing w:line="500" w:lineRule="exact"/>
        <w:ind w:left="210" w:leftChars="100" w:firstLine="240" w:firstLineChars="1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1.投标人资质要求：</w:t>
      </w:r>
      <w:r>
        <w:rPr>
          <w:rFonts w:hint="eastAsia" w:ascii="宋体" w:hAnsi="宋体" w:eastAsia="宋体" w:cs="宋体"/>
          <w:sz w:val="24"/>
          <w:szCs w:val="24"/>
          <w:highlight w:val="none"/>
          <w:lang w:val="en-US" w:eastAsia="zh-CN"/>
        </w:rPr>
        <w:t>在安徽电力交易中心完成售电公司注册，并取得售电资格(提供安徽省电力交易中心(https://pmos.ah.sgcc.com.cn/)售电公司信息查询截图)。</w:t>
      </w:r>
    </w:p>
    <w:p w14:paraId="4787A0FA">
      <w:pPr>
        <w:adjustRightInd w:val="0"/>
        <w:spacing w:line="500" w:lineRule="exact"/>
        <w:ind w:left="210" w:leftChars="100" w:firstLine="240" w:firstLineChars="10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投标人业绩要求：自2020年11月1日至开标截止之日，投标人至少承接过一项≥5500兆瓦时/年电力销售服务项目（业绩时间以合同签订时间为准，业绩合同如不能反映评审内容的，应同时提供业主证明材料复印件）。</w:t>
      </w:r>
    </w:p>
    <w:p w14:paraId="74549FDA">
      <w:pPr>
        <w:spacing w:line="500" w:lineRule="exact"/>
        <w:ind w:firstLine="437"/>
        <w:rPr>
          <w:rFonts w:ascii="宋体" w:hAnsi="宋体"/>
          <w:bCs/>
          <w:sz w:val="24"/>
          <w:szCs w:val="24"/>
          <w:highlight w:val="none"/>
        </w:rPr>
      </w:pPr>
      <w:r>
        <w:rPr>
          <w:rFonts w:hint="eastAsia" w:ascii="宋体" w:hAnsi="宋体"/>
          <w:kern w:val="0"/>
          <w:sz w:val="24"/>
          <w:szCs w:val="24"/>
          <w:highlight w:val="none"/>
          <w:lang w:val="en-US" w:eastAsia="zh-CN"/>
        </w:rPr>
        <w:t>3</w:t>
      </w:r>
      <w:r>
        <w:rPr>
          <w:rFonts w:hint="eastAsia" w:ascii="宋体" w:hAnsi="宋体"/>
          <w:kern w:val="0"/>
          <w:sz w:val="24"/>
          <w:szCs w:val="24"/>
          <w:highlight w:val="none"/>
        </w:rPr>
        <w:t>.</w:t>
      </w:r>
      <w:r>
        <w:rPr>
          <w:rFonts w:hint="eastAsia" w:ascii="宋体" w:hAnsi="宋体"/>
          <w:bCs/>
          <w:sz w:val="24"/>
          <w:szCs w:val="24"/>
          <w:highlight w:val="none"/>
        </w:rPr>
        <w:t>本次招标</w:t>
      </w:r>
      <w:r>
        <w:rPr>
          <w:rFonts w:hint="eastAsia" w:ascii="宋体" w:hAnsi="宋体"/>
          <w:bCs/>
          <w:sz w:val="24"/>
          <w:szCs w:val="24"/>
          <w:highlight w:val="none"/>
          <w:u w:val="single"/>
        </w:rPr>
        <w:t xml:space="preserve"> 不允许 </w:t>
      </w:r>
      <w:r>
        <w:rPr>
          <w:rFonts w:hint="eastAsia" w:ascii="宋体" w:hAnsi="宋体"/>
          <w:bCs/>
          <w:sz w:val="24"/>
          <w:szCs w:val="24"/>
          <w:highlight w:val="none"/>
        </w:rPr>
        <w:t>联合体投标，资格审查采取</w:t>
      </w:r>
      <w:r>
        <w:rPr>
          <w:rFonts w:hint="eastAsia" w:ascii="宋体" w:hAnsi="宋体"/>
          <w:bCs/>
          <w:sz w:val="24"/>
          <w:szCs w:val="24"/>
          <w:highlight w:val="none"/>
          <w:u w:val="single"/>
        </w:rPr>
        <w:t xml:space="preserve"> 资格后审 </w:t>
      </w:r>
      <w:r>
        <w:rPr>
          <w:rFonts w:hint="eastAsia" w:ascii="宋体" w:hAnsi="宋体"/>
          <w:bCs/>
          <w:sz w:val="24"/>
          <w:szCs w:val="24"/>
          <w:highlight w:val="none"/>
        </w:rPr>
        <w:t>进行。</w:t>
      </w:r>
    </w:p>
    <w:p w14:paraId="1EF85C4A">
      <w:pPr>
        <w:spacing w:line="500" w:lineRule="exact"/>
        <w:ind w:firstLine="482" w:firstLineChars="200"/>
        <w:jc w:val="left"/>
        <w:rPr>
          <w:rFonts w:ascii="宋体" w:hAnsi="宋体"/>
          <w:b/>
          <w:bCs/>
          <w:sz w:val="24"/>
          <w:szCs w:val="24"/>
          <w:highlight w:val="none"/>
        </w:rPr>
      </w:pPr>
      <w:r>
        <w:rPr>
          <w:rFonts w:hint="eastAsia" w:ascii="宋体" w:hAnsi="宋体"/>
          <w:b/>
          <w:bCs/>
          <w:sz w:val="24"/>
          <w:szCs w:val="24"/>
          <w:highlight w:val="none"/>
        </w:rPr>
        <w:t>四、招标文件的获取方式</w:t>
      </w:r>
    </w:p>
    <w:p w14:paraId="1B289603">
      <w:pPr>
        <w:spacing w:line="500" w:lineRule="exact"/>
        <w:ind w:firstLine="480" w:firstLineChars="200"/>
        <w:jc w:val="left"/>
        <w:rPr>
          <w:rFonts w:hint="eastAsia"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1.方式</w:t>
      </w:r>
      <w:r>
        <w:rPr>
          <w:rFonts w:hint="eastAsia" w:ascii="宋体" w:hAnsi="宋体"/>
          <w:b w:val="0"/>
          <w:bCs w:val="0"/>
          <w:sz w:val="24"/>
          <w:szCs w:val="24"/>
          <w:highlight w:val="none"/>
          <w:lang w:val="zh-CN" w:eastAsia="zh-CN"/>
        </w:rPr>
        <w:t>：</w:t>
      </w:r>
      <w:r>
        <w:rPr>
          <w:rFonts w:hint="eastAsia" w:ascii="宋体" w:hAnsi="宋体"/>
          <w:b w:val="0"/>
          <w:bCs w:val="0"/>
          <w:sz w:val="24"/>
          <w:szCs w:val="24"/>
          <w:highlight w:val="none"/>
        </w:rPr>
        <w:t>所有招标内容均以</w:t>
      </w:r>
      <w:r>
        <w:rPr>
          <w:rFonts w:hint="eastAsia" w:ascii="宋体" w:hAnsi="宋体"/>
          <w:b w:val="0"/>
          <w:bCs w:val="0"/>
          <w:sz w:val="24"/>
          <w:szCs w:val="24"/>
          <w:highlight w:val="none"/>
          <w:u w:val="single"/>
        </w:rPr>
        <w:t>铜陵市公共资源交易网（非进场）</w:t>
      </w:r>
      <w:r>
        <w:rPr>
          <w:rFonts w:hint="eastAsia" w:ascii="宋体" w:hAnsi="宋体"/>
          <w:b w:val="0"/>
          <w:bCs w:val="0"/>
          <w:sz w:val="24"/>
          <w:szCs w:val="24"/>
          <w:highlight w:val="none"/>
        </w:rPr>
        <w:t>公布的该</w:t>
      </w:r>
      <w:r>
        <w:rPr>
          <w:rFonts w:hint="eastAsia" w:ascii="宋体" w:hAnsi="宋体"/>
          <w:b w:val="0"/>
          <w:bCs w:val="0"/>
          <w:sz w:val="24"/>
          <w:szCs w:val="24"/>
          <w:highlight w:val="none"/>
          <w:lang w:val="en-US" w:eastAsia="zh-CN"/>
        </w:rPr>
        <w:t>项目</w:t>
      </w:r>
      <w:r>
        <w:rPr>
          <w:rFonts w:hint="eastAsia" w:ascii="宋体" w:hAnsi="宋体"/>
          <w:b w:val="0"/>
          <w:bCs w:val="0"/>
          <w:sz w:val="24"/>
          <w:szCs w:val="24"/>
          <w:highlight w:val="none"/>
        </w:rPr>
        <w:t>招标公告、招标文件、附件、答疑为准，投标人自行下载，其它任何形式的内容不作为招标投标以及开标评标的依据。请各投标人注意该网站中关于本项目的信息发布内容，如因投标人自身原因未了解公告、答疑等信息的，责任自负。</w:t>
      </w:r>
    </w:p>
    <w:p w14:paraId="464BF439">
      <w:pPr>
        <w:spacing w:line="500" w:lineRule="exact"/>
        <w:ind w:firstLine="480" w:firstLineChars="200"/>
        <w:jc w:val="left"/>
        <w:rPr>
          <w:rFonts w:hint="eastAsia" w:ascii="宋体" w:hAnsi="宋体"/>
          <w:b w:val="0"/>
          <w:bCs w:val="0"/>
          <w:sz w:val="24"/>
          <w:szCs w:val="24"/>
          <w:highlight w:val="none"/>
          <w:lang w:val="en-US" w:eastAsia="zh-CN"/>
        </w:rPr>
      </w:pPr>
      <w:r>
        <w:rPr>
          <w:rFonts w:hint="eastAsia" w:ascii="宋体" w:hAnsi="宋体"/>
          <w:b w:val="0"/>
          <w:bCs w:val="0"/>
          <w:sz w:val="24"/>
          <w:szCs w:val="24"/>
          <w:highlight w:val="none"/>
          <w:lang w:val="en-US" w:eastAsia="zh-CN"/>
        </w:rPr>
        <w:t>2.工本费：0元/份（售后不退）</w:t>
      </w:r>
    </w:p>
    <w:p w14:paraId="0358C1CD">
      <w:pPr>
        <w:spacing w:line="500" w:lineRule="exact"/>
        <w:ind w:firstLine="482" w:firstLineChars="200"/>
        <w:jc w:val="left"/>
        <w:rPr>
          <w:rFonts w:ascii="宋体" w:hAnsi="宋体"/>
          <w:b/>
          <w:bCs/>
          <w:sz w:val="24"/>
          <w:szCs w:val="24"/>
          <w:highlight w:val="none"/>
        </w:rPr>
      </w:pPr>
      <w:r>
        <w:rPr>
          <w:rFonts w:hint="eastAsia" w:ascii="宋体" w:hAnsi="宋体"/>
          <w:b/>
          <w:bCs/>
          <w:sz w:val="24"/>
          <w:szCs w:val="24"/>
          <w:highlight w:val="none"/>
        </w:rPr>
        <w:t>五、投标文件的递交</w:t>
      </w:r>
    </w:p>
    <w:p w14:paraId="7E446305">
      <w:pPr>
        <w:spacing w:line="500" w:lineRule="exact"/>
        <w:ind w:firstLine="480" w:firstLineChars="200"/>
        <w:jc w:val="left"/>
        <w:rPr>
          <w:rFonts w:ascii="宋体" w:hAnsi="宋体"/>
          <w:color w:val="auto"/>
          <w:sz w:val="24"/>
          <w:szCs w:val="24"/>
          <w:highlight w:val="none"/>
        </w:rPr>
      </w:pPr>
      <w:r>
        <w:rPr>
          <w:rFonts w:hint="eastAsia" w:ascii="宋体" w:hAnsi="宋体"/>
          <w:sz w:val="24"/>
          <w:szCs w:val="24"/>
          <w:highlight w:val="none"/>
        </w:rPr>
        <w:t>投标文件递交的截止时间(投标截止时间，下同)为</w:t>
      </w:r>
      <w:r>
        <w:rPr>
          <w:rFonts w:hint="eastAsia" w:ascii="宋体" w:hAnsi="宋体"/>
          <w:color w:val="auto"/>
          <w:sz w:val="24"/>
          <w:szCs w:val="24"/>
          <w:highlight w:val="none"/>
        </w:rPr>
        <w:t>2025年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08</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上</w:t>
      </w:r>
      <w:r>
        <w:rPr>
          <w:rFonts w:hint="eastAsia" w:ascii="宋体" w:hAnsi="宋体"/>
          <w:color w:val="auto"/>
          <w:sz w:val="24"/>
          <w:szCs w:val="24"/>
          <w:highlight w:val="none"/>
        </w:rPr>
        <w:t>午</w:t>
      </w:r>
      <w:r>
        <w:rPr>
          <w:rFonts w:hint="eastAsia" w:ascii="宋体" w:hAnsi="宋体"/>
          <w:color w:val="auto"/>
          <w:sz w:val="24"/>
          <w:szCs w:val="24"/>
          <w:highlight w:val="none"/>
          <w:lang w:val="en-US" w:eastAsia="zh-CN"/>
        </w:rPr>
        <w:t>09</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00</w:t>
      </w:r>
      <w:r>
        <w:rPr>
          <w:rFonts w:hint="eastAsia" w:ascii="宋体" w:hAnsi="宋体"/>
          <w:color w:val="auto"/>
          <w:sz w:val="24"/>
          <w:szCs w:val="24"/>
          <w:highlight w:val="none"/>
        </w:rPr>
        <w:t>分，投标人应在投标截止时间前递交投标文件。</w:t>
      </w:r>
    </w:p>
    <w:p w14:paraId="0C330924">
      <w:pPr>
        <w:spacing w:line="500" w:lineRule="exact"/>
        <w:ind w:firstLine="482" w:firstLineChars="200"/>
        <w:jc w:val="left"/>
        <w:rPr>
          <w:rFonts w:ascii="宋体" w:hAnsi="宋体"/>
          <w:b/>
          <w:bCs/>
          <w:color w:val="auto"/>
          <w:sz w:val="24"/>
          <w:szCs w:val="24"/>
          <w:highlight w:val="none"/>
        </w:rPr>
      </w:pPr>
      <w:r>
        <w:rPr>
          <w:rFonts w:hint="eastAsia" w:ascii="宋体" w:hAnsi="宋体"/>
          <w:b/>
          <w:bCs/>
          <w:color w:val="auto"/>
          <w:sz w:val="24"/>
          <w:szCs w:val="24"/>
          <w:highlight w:val="none"/>
        </w:rPr>
        <w:t>六、开标时间及地点</w:t>
      </w:r>
    </w:p>
    <w:p w14:paraId="68BCF0A0">
      <w:pPr>
        <w:spacing w:line="500" w:lineRule="exact"/>
        <w:ind w:firstLine="480" w:firstLineChars="200"/>
        <w:jc w:val="left"/>
        <w:rPr>
          <w:rFonts w:hint="eastAsia" w:ascii="宋体" w:hAnsi="宋体"/>
          <w:sz w:val="24"/>
          <w:szCs w:val="24"/>
          <w:highlight w:val="none"/>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w:t>
      </w:r>
      <w:r>
        <w:rPr>
          <w:rFonts w:hint="eastAsia" w:ascii="宋体" w:hAnsi="宋体"/>
          <w:color w:val="auto"/>
          <w:sz w:val="24"/>
          <w:szCs w:val="24"/>
          <w:highlight w:val="none"/>
        </w:rPr>
        <w:t>投标文件递交的截止时间（开标时间）为2025年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08</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上</w:t>
      </w:r>
      <w:r>
        <w:rPr>
          <w:rFonts w:hint="eastAsia" w:ascii="宋体" w:hAnsi="宋体"/>
          <w:color w:val="auto"/>
          <w:sz w:val="24"/>
          <w:szCs w:val="24"/>
          <w:highlight w:val="none"/>
        </w:rPr>
        <w:t>午</w:t>
      </w:r>
      <w:r>
        <w:rPr>
          <w:rFonts w:hint="eastAsia" w:ascii="宋体" w:hAnsi="宋体"/>
          <w:color w:val="auto"/>
          <w:sz w:val="24"/>
          <w:szCs w:val="24"/>
          <w:highlight w:val="none"/>
          <w:lang w:val="en-US" w:eastAsia="zh-CN"/>
        </w:rPr>
        <w:t>09</w:t>
      </w:r>
      <w:r>
        <w:rPr>
          <w:rFonts w:hint="eastAsia" w:ascii="宋体" w:hAnsi="宋体"/>
          <w:color w:val="auto"/>
          <w:sz w:val="24"/>
          <w:szCs w:val="24"/>
          <w:highlight w:val="none"/>
        </w:rPr>
        <w:t>时</w:t>
      </w:r>
      <w:r>
        <w:rPr>
          <w:rFonts w:hint="eastAsia" w:ascii="宋体" w:hAnsi="宋体"/>
          <w:sz w:val="24"/>
          <w:szCs w:val="24"/>
          <w:highlight w:val="none"/>
          <w:lang w:val="en-US" w:eastAsia="zh-CN"/>
        </w:rPr>
        <w:t>0</w:t>
      </w:r>
      <w:r>
        <w:rPr>
          <w:rFonts w:hint="eastAsia" w:ascii="宋体" w:hAnsi="宋体"/>
          <w:sz w:val="24"/>
          <w:szCs w:val="24"/>
          <w:highlight w:val="none"/>
        </w:rPr>
        <w:t>0分（北京时间），递交方式为现场递交，逾期未递交的不予接收。</w:t>
      </w:r>
    </w:p>
    <w:p w14:paraId="58740215">
      <w:pPr>
        <w:spacing w:line="500" w:lineRule="exact"/>
        <w:ind w:firstLine="480" w:firstLineChars="200"/>
        <w:jc w:val="left"/>
        <w:rPr>
          <w:rFonts w:ascii="宋体" w:hAnsi="宋体"/>
          <w:sz w:val="24"/>
          <w:szCs w:val="24"/>
          <w:highlight w:val="none"/>
        </w:rPr>
      </w:pPr>
      <w:r>
        <w:rPr>
          <w:rFonts w:hint="eastAsia" w:ascii="宋体" w:hAnsi="宋体"/>
          <w:sz w:val="24"/>
          <w:szCs w:val="24"/>
          <w:highlight w:val="none"/>
          <w:lang w:val="en-US" w:eastAsia="zh-CN"/>
        </w:rPr>
        <w:t>2.</w:t>
      </w:r>
      <w:r>
        <w:rPr>
          <w:rFonts w:hint="eastAsia" w:ascii="宋体" w:hAnsi="宋体"/>
          <w:sz w:val="24"/>
          <w:szCs w:val="24"/>
          <w:highlight w:val="none"/>
        </w:rPr>
        <w:t>开标地址（投标地点）：</w:t>
      </w:r>
      <w:r>
        <w:rPr>
          <w:rFonts w:hint="eastAsia" w:ascii="宋体" w:hAnsi="宋体"/>
          <w:sz w:val="24"/>
          <w:szCs w:val="24"/>
          <w:highlight w:val="none"/>
          <w:lang w:eastAsia="zh-CN"/>
        </w:rPr>
        <w:t>铜陵鹊江项目管理有限公司</w:t>
      </w:r>
      <w:r>
        <w:rPr>
          <w:rFonts w:hint="eastAsia" w:ascii="宋体" w:hAnsi="宋体"/>
          <w:sz w:val="24"/>
          <w:szCs w:val="24"/>
          <w:highlight w:val="none"/>
        </w:rPr>
        <w:t>开标室（详细地址：</w:t>
      </w:r>
      <w:r>
        <w:rPr>
          <w:rFonts w:hint="eastAsia" w:ascii="宋体" w:hAnsi="宋体" w:eastAsia="宋体" w:cs="宋体"/>
          <w:b w:val="0"/>
          <w:bCs/>
          <w:color w:val="auto"/>
          <w:kern w:val="2"/>
          <w:sz w:val="24"/>
          <w:szCs w:val="24"/>
          <w:highlight w:val="none"/>
          <w:lang w:val="en-US" w:eastAsia="zh-CN" w:bidi="ar-SA"/>
        </w:rPr>
        <w:t>铜陵市翠湖一路德林世家公寓楼三层</w:t>
      </w:r>
      <w:r>
        <w:rPr>
          <w:rFonts w:hint="eastAsia" w:ascii="宋体" w:hAnsi="宋体"/>
          <w:sz w:val="24"/>
          <w:szCs w:val="24"/>
          <w:highlight w:val="none"/>
        </w:rPr>
        <w:t>）。逾期送达的或者未送达指定地点的投标文件，招标人不予受理。</w:t>
      </w:r>
    </w:p>
    <w:p w14:paraId="3C0AE9C2">
      <w:pPr>
        <w:spacing w:line="500" w:lineRule="exact"/>
        <w:ind w:firstLine="482" w:firstLineChars="200"/>
        <w:jc w:val="left"/>
        <w:rPr>
          <w:rFonts w:ascii="宋体" w:hAnsi="宋体"/>
          <w:b/>
          <w:bCs/>
          <w:sz w:val="24"/>
          <w:szCs w:val="24"/>
          <w:highlight w:val="none"/>
        </w:rPr>
      </w:pPr>
      <w:r>
        <w:rPr>
          <w:rFonts w:hint="eastAsia" w:ascii="宋体" w:hAnsi="宋体"/>
          <w:b/>
          <w:bCs/>
          <w:sz w:val="24"/>
          <w:szCs w:val="24"/>
          <w:highlight w:val="none"/>
        </w:rPr>
        <w:t>七、联系方式</w:t>
      </w:r>
    </w:p>
    <w:p w14:paraId="24F31562">
      <w:pPr>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对本项目存在异议或质疑的可在公示期内通过以下联系方式向招标人或代理机构提出。</w:t>
      </w:r>
    </w:p>
    <w:p w14:paraId="0D2370B8">
      <w:pPr>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7.1招标人</w:t>
      </w:r>
    </w:p>
    <w:p w14:paraId="6F10715F">
      <w:pPr>
        <w:spacing w:line="500" w:lineRule="exact"/>
        <w:ind w:firstLine="480" w:firstLineChars="200"/>
        <w:jc w:val="left"/>
        <w:rPr>
          <w:rFonts w:hint="eastAsia" w:ascii="宋体" w:hAnsi="宋体" w:eastAsia="宋体"/>
          <w:sz w:val="24"/>
          <w:szCs w:val="24"/>
          <w:highlight w:val="none"/>
          <w:lang w:eastAsia="zh-CN"/>
        </w:rPr>
      </w:pPr>
      <w:r>
        <w:rPr>
          <w:rFonts w:hint="eastAsia" w:ascii="宋体" w:hAnsi="宋体"/>
          <w:sz w:val="24"/>
          <w:szCs w:val="24"/>
          <w:highlight w:val="none"/>
        </w:rPr>
        <w:t>招标人：</w:t>
      </w:r>
      <w:r>
        <w:rPr>
          <w:rFonts w:hint="eastAsia" w:ascii="宋体" w:hAnsi="宋体"/>
          <w:sz w:val="24"/>
          <w:szCs w:val="24"/>
          <w:highlight w:val="none"/>
          <w:lang w:eastAsia="zh-CN"/>
        </w:rPr>
        <w:t>铜陵高新产业园发展有限公司、铜陵高新发展投资有限公司</w:t>
      </w:r>
    </w:p>
    <w:p w14:paraId="0F3E0F80">
      <w:pPr>
        <w:spacing w:line="500" w:lineRule="exact"/>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地址：</w:t>
      </w:r>
      <w:r>
        <w:rPr>
          <w:rFonts w:hint="eastAsia" w:ascii="宋体" w:hAnsi="宋体" w:eastAsia="宋体" w:cs="宋体"/>
          <w:b w:val="0"/>
          <w:bCs/>
          <w:color w:val="auto"/>
          <w:kern w:val="2"/>
          <w:sz w:val="24"/>
          <w:szCs w:val="24"/>
          <w:highlight w:val="none"/>
          <w:lang w:val="en-US" w:eastAsia="zh-CN" w:bidi="ar-SA"/>
        </w:rPr>
        <w:t>安徽省铜陵市铜官区狮子山高新区管委会办公楼内</w:t>
      </w:r>
      <w:r>
        <w:rPr>
          <w:rFonts w:hint="eastAsia" w:ascii="宋体" w:hAnsi="宋体" w:eastAsia="宋体" w:cs="宋体"/>
          <w:sz w:val="24"/>
          <w:szCs w:val="24"/>
          <w:highlight w:val="none"/>
          <w:lang w:eastAsia="zh-CN"/>
        </w:rPr>
        <w:t xml:space="preserve"> </w:t>
      </w:r>
    </w:p>
    <w:p w14:paraId="6E8FCCD4">
      <w:pPr>
        <w:spacing w:line="500" w:lineRule="exact"/>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邮编：244000</w:t>
      </w:r>
    </w:p>
    <w:p w14:paraId="5A8BE15F">
      <w:pPr>
        <w:spacing w:line="500" w:lineRule="exact"/>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联系人：</w:t>
      </w:r>
      <w:r>
        <w:rPr>
          <w:rFonts w:hint="eastAsia" w:ascii="宋体" w:hAnsi="宋体" w:cs="宋体"/>
          <w:sz w:val="24"/>
          <w:szCs w:val="24"/>
          <w:highlight w:val="none"/>
          <w:lang w:val="en-US" w:eastAsia="zh-CN"/>
        </w:rPr>
        <w:t>周</w:t>
      </w:r>
      <w:r>
        <w:rPr>
          <w:rFonts w:hint="eastAsia" w:ascii="宋体" w:hAnsi="宋体" w:eastAsia="宋体" w:cs="宋体"/>
          <w:sz w:val="24"/>
          <w:szCs w:val="24"/>
          <w:highlight w:val="none"/>
          <w:lang w:eastAsia="zh-CN"/>
        </w:rPr>
        <w:t>先生</w:t>
      </w:r>
    </w:p>
    <w:p w14:paraId="046A8AE5">
      <w:pPr>
        <w:spacing w:line="500" w:lineRule="exact"/>
        <w:ind w:firstLine="480" w:firstLineChars="20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电话：</w:t>
      </w:r>
      <w:r>
        <w:rPr>
          <w:rFonts w:hint="eastAsia" w:ascii="宋体" w:hAnsi="宋体" w:eastAsia="宋体" w:cs="宋体"/>
          <w:b w:val="0"/>
          <w:bCs/>
          <w:color w:val="auto"/>
          <w:kern w:val="2"/>
          <w:sz w:val="24"/>
          <w:szCs w:val="24"/>
          <w:highlight w:val="none"/>
          <w:lang w:val="en-US" w:eastAsia="zh-CN" w:bidi="ar-SA"/>
        </w:rPr>
        <w:t>0562-6812805</w:t>
      </w:r>
    </w:p>
    <w:p w14:paraId="694DCDDF">
      <w:pPr>
        <w:spacing w:line="500" w:lineRule="exact"/>
        <w:ind w:firstLine="480" w:firstLineChars="200"/>
        <w:jc w:val="left"/>
        <w:rPr>
          <w:rFonts w:ascii="宋体" w:hAnsi="宋体"/>
          <w:sz w:val="24"/>
          <w:szCs w:val="24"/>
          <w:highlight w:val="none"/>
        </w:rPr>
      </w:pPr>
      <w:r>
        <w:rPr>
          <w:rFonts w:hint="eastAsia" w:ascii="宋体" w:hAnsi="宋体"/>
          <w:sz w:val="24"/>
          <w:szCs w:val="24"/>
          <w:highlight w:val="none"/>
        </w:rPr>
        <w:t>7.2招标代理机构</w:t>
      </w:r>
    </w:p>
    <w:p w14:paraId="690238ED">
      <w:pPr>
        <w:spacing w:line="500" w:lineRule="exact"/>
        <w:ind w:firstLine="480" w:firstLineChars="200"/>
        <w:jc w:val="left"/>
        <w:rPr>
          <w:rFonts w:hint="eastAsia" w:ascii="宋体" w:hAnsi="宋体" w:eastAsia="宋体"/>
          <w:sz w:val="24"/>
          <w:szCs w:val="24"/>
          <w:highlight w:val="none"/>
          <w:lang w:eastAsia="zh-CN"/>
        </w:rPr>
      </w:pPr>
      <w:r>
        <w:rPr>
          <w:rFonts w:hint="eastAsia" w:ascii="宋体" w:hAnsi="宋体"/>
          <w:sz w:val="24"/>
          <w:szCs w:val="24"/>
          <w:highlight w:val="none"/>
        </w:rPr>
        <w:t>招标代理机构：</w:t>
      </w:r>
      <w:r>
        <w:rPr>
          <w:rFonts w:hint="eastAsia" w:ascii="宋体" w:hAnsi="宋体"/>
          <w:sz w:val="24"/>
          <w:szCs w:val="24"/>
          <w:highlight w:val="none"/>
          <w:lang w:eastAsia="zh-CN"/>
        </w:rPr>
        <w:t>铜陵鹊江项目管理有限公司</w:t>
      </w:r>
    </w:p>
    <w:p w14:paraId="7657290F">
      <w:pPr>
        <w:spacing w:line="5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地址：</w:t>
      </w:r>
      <w:r>
        <w:rPr>
          <w:rFonts w:hint="eastAsia" w:ascii="宋体" w:hAnsi="宋体" w:eastAsia="宋体" w:cs="宋体"/>
          <w:b w:val="0"/>
          <w:bCs/>
          <w:color w:val="auto"/>
          <w:kern w:val="2"/>
          <w:sz w:val="24"/>
          <w:szCs w:val="24"/>
          <w:highlight w:val="none"/>
          <w:lang w:val="en-US" w:eastAsia="zh-CN" w:bidi="ar-SA"/>
        </w:rPr>
        <w:t>安徽省铜陵市铜官区建陵路15号</w:t>
      </w:r>
    </w:p>
    <w:p w14:paraId="763012B8">
      <w:pPr>
        <w:spacing w:line="500" w:lineRule="exact"/>
        <w:ind w:firstLine="480" w:firstLineChars="20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邮编：244000</w:t>
      </w:r>
    </w:p>
    <w:p w14:paraId="1F7D271A">
      <w:pPr>
        <w:spacing w:line="500" w:lineRule="exact"/>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联系人：李女士</w:t>
      </w:r>
    </w:p>
    <w:p w14:paraId="2C962E20">
      <w:pPr>
        <w:spacing w:line="500" w:lineRule="exact"/>
        <w:ind w:firstLine="480" w:firstLineChars="200"/>
        <w:jc w:val="left"/>
        <w:rPr>
          <w:rFonts w:hint="eastAsia" w:ascii="宋体" w:hAnsi="宋体"/>
          <w:sz w:val="24"/>
          <w:szCs w:val="24"/>
          <w:highlight w:val="none"/>
          <w:lang w:val="en-US" w:eastAsia="zh-CN"/>
        </w:rPr>
      </w:pPr>
      <w:r>
        <w:rPr>
          <w:rFonts w:hint="eastAsia" w:ascii="宋体" w:hAnsi="宋体"/>
          <w:sz w:val="24"/>
          <w:szCs w:val="24"/>
          <w:highlight w:val="none"/>
          <w:lang w:val="en-US" w:eastAsia="zh-CN"/>
        </w:rPr>
        <w:t>电话：</w:t>
      </w:r>
      <w:r>
        <w:rPr>
          <w:rFonts w:hint="eastAsia" w:ascii="宋体" w:hAnsi="宋体"/>
          <w:sz w:val="24"/>
          <w:szCs w:val="24"/>
          <w:highlight w:val="none"/>
          <w:lang w:val="zh-CN" w:eastAsia="zh-CN"/>
        </w:rPr>
        <w:t>18756212060</w:t>
      </w:r>
    </w:p>
    <w:p w14:paraId="0181BC19">
      <w:pPr>
        <w:pStyle w:val="3"/>
        <w:spacing w:before="0" w:after="0" w:line="360" w:lineRule="auto"/>
        <w:jc w:val="center"/>
        <w:rPr>
          <w:rFonts w:hint="eastAsia" w:ascii="宋体" w:hAnsi="宋体" w:eastAsia="宋体" w:cs="Times New Roman"/>
          <w:szCs w:val="28"/>
          <w:highlight w:val="none"/>
        </w:rPr>
      </w:pPr>
      <w:bookmarkStart w:id="2" w:name="_Toc200336327"/>
      <w:bookmarkStart w:id="3" w:name="_Toc208106826"/>
      <w:bookmarkStart w:id="4" w:name="_Toc81658662"/>
      <w:bookmarkStart w:id="5" w:name="_Toc7607"/>
    </w:p>
    <w:p w14:paraId="73804CFD">
      <w:pPr>
        <w:pStyle w:val="11"/>
        <w:rPr>
          <w:rFonts w:hint="eastAsia" w:ascii="宋体" w:hAnsi="宋体" w:eastAsia="宋体" w:cs="Times New Roman"/>
          <w:szCs w:val="28"/>
          <w:highlight w:val="none"/>
        </w:rPr>
      </w:pPr>
    </w:p>
    <w:p w14:paraId="5F7635C5">
      <w:pPr>
        <w:pStyle w:val="11"/>
        <w:rPr>
          <w:rFonts w:hint="eastAsia" w:ascii="宋体" w:hAnsi="宋体" w:eastAsia="宋体" w:cs="Times New Roman"/>
          <w:szCs w:val="28"/>
          <w:highlight w:val="none"/>
        </w:rPr>
      </w:pPr>
    </w:p>
    <w:p w14:paraId="410C94CD">
      <w:pPr>
        <w:pStyle w:val="11"/>
        <w:rPr>
          <w:rFonts w:hint="eastAsia" w:ascii="宋体" w:hAnsi="宋体" w:eastAsia="宋体" w:cs="Times New Roman"/>
          <w:szCs w:val="28"/>
          <w:highlight w:val="none"/>
        </w:rPr>
      </w:pPr>
    </w:p>
    <w:p w14:paraId="2F7EE843">
      <w:pPr>
        <w:rPr>
          <w:rFonts w:hint="eastAsia" w:ascii="宋体" w:hAnsi="宋体" w:eastAsia="宋体" w:cs="Times New Roman"/>
          <w:szCs w:val="28"/>
          <w:highlight w:val="none"/>
        </w:rPr>
      </w:pPr>
      <w:r>
        <w:rPr>
          <w:rFonts w:hint="eastAsia" w:ascii="宋体" w:hAnsi="宋体" w:eastAsia="宋体" w:cs="Times New Roman"/>
          <w:szCs w:val="28"/>
          <w:highlight w:val="none"/>
        </w:rPr>
        <w:br w:type="page"/>
      </w:r>
    </w:p>
    <w:p w14:paraId="447182BE">
      <w:pPr>
        <w:pStyle w:val="3"/>
        <w:spacing w:before="0" w:after="0" w:line="360" w:lineRule="auto"/>
        <w:jc w:val="center"/>
        <w:rPr>
          <w:rFonts w:ascii="宋体" w:hAnsi="宋体" w:eastAsia="宋体" w:cs="Times New Roman"/>
          <w:szCs w:val="28"/>
          <w:highlight w:val="none"/>
        </w:rPr>
      </w:pPr>
      <w:r>
        <w:rPr>
          <w:rFonts w:hint="eastAsia" w:ascii="宋体" w:hAnsi="宋体" w:eastAsia="宋体" w:cs="Times New Roman"/>
          <w:szCs w:val="28"/>
          <w:highlight w:val="none"/>
        </w:rPr>
        <w:t>第二章  投标须知</w:t>
      </w:r>
      <w:bookmarkEnd w:id="2"/>
      <w:bookmarkEnd w:id="3"/>
      <w:bookmarkStart w:id="6" w:name="_一、投标须知前附表"/>
      <w:bookmarkEnd w:id="6"/>
      <w:bookmarkStart w:id="7" w:name="_Toc171741987"/>
      <w:bookmarkStart w:id="8" w:name="_Toc208106827"/>
      <w:bookmarkStart w:id="9" w:name="_Toc200336328"/>
      <w:r>
        <w:rPr>
          <w:rFonts w:hint="eastAsia" w:ascii="宋体" w:hAnsi="宋体" w:eastAsia="宋体" w:cs="Times New Roman"/>
          <w:szCs w:val="28"/>
          <w:highlight w:val="none"/>
        </w:rPr>
        <w:t>前附表</w:t>
      </w:r>
      <w:bookmarkEnd w:id="4"/>
      <w:bookmarkEnd w:id="5"/>
      <w:bookmarkEnd w:id="7"/>
      <w:bookmarkEnd w:id="8"/>
      <w:bookmarkEnd w:id="9"/>
    </w:p>
    <w:tbl>
      <w:tblPr>
        <w:tblStyle w:val="32"/>
        <w:tblW w:w="1014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17"/>
        <w:gridCol w:w="1870"/>
        <w:gridCol w:w="7426"/>
      </w:tblGrid>
      <w:tr w14:paraId="001038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5" w:type="dxa"/>
            <w:gridSpan w:val="2"/>
            <w:tcBorders>
              <w:top w:val="single" w:color="auto" w:sz="4" w:space="0"/>
              <w:left w:val="single" w:color="auto" w:sz="4" w:space="0"/>
              <w:bottom w:val="single" w:color="auto" w:sz="4" w:space="0"/>
              <w:right w:val="single" w:color="auto" w:sz="4" w:space="0"/>
            </w:tcBorders>
            <w:vAlign w:val="center"/>
          </w:tcPr>
          <w:p w14:paraId="225B9565">
            <w:pPr>
              <w:adjustRightInd w:val="0"/>
              <w:spacing w:before="62" w:beforeLines="20" w:after="62" w:afterLines="20" w:line="360" w:lineRule="auto"/>
              <w:ind w:right="-358" w:firstLine="90" w:firstLineChars="43"/>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870" w:type="dxa"/>
            <w:tcBorders>
              <w:top w:val="single" w:color="auto" w:sz="4" w:space="0"/>
              <w:left w:val="single" w:color="auto" w:sz="4" w:space="0"/>
              <w:bottom w:val="single" w:color="auto" w:sz="4" w:space="0"/>
              <w:right w:val="single" w:color="auto" w:sz="4" w:space="0"/>
            </w:tcBorders>
            <w:vAlign w:val="center"/>
          </w:tcPr>
          <w:p w14:paraId="79A7576B">
            <w:pPr>
              <w:adjustRightInd w:val="0"/>
              <w:spacing w:before="62" w:beforeLines="20" w:after="62" w:afterLines="2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p>
        </w:tc>
        <w:tc>
          <w:tcPr>
            <w:tcW w:w="7426" w:type="dxa"/>
            <w:tcBorders>
              <w:top w:val="single" w:color="auto" w:sz="4" w:space="0"/>
              <w:left w:val="single" w:color="auto" w:sz="4" w:space="0"/>
              <w:bottom w:val="single" w:color="auto" w:sz="4" w:space="0"/>
              <w:right w:val="single" w:color="auto" w:sz="4" w:space="0"/>
            </w:tcBorders>
            <w:vAlign w:val="center"/>
          </w:tcPr>
          <w:p w14:paraId="03F51B18">
            <w:pPr>
              <w:tabs>
                <w:tab w:val="left" w:pos="1180"/>
              </w:tabs>
              <w:adjustRightInd w:val="0"/>
              <w:spacing w:before="62" w:beforeLines="20" w:after="62" w:afterLines="2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内容</w:t>
            </w:r>
          </w:p>
        </w:tc>
      </w:tr>
      <w:tr w14:paraId="71D1FA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5" w:type="dxa"/>
            <w:gridSpan w:val="2"/>
            <w:tcBorders>
              <w:top w:val="single" w:color="auto" w:sz="4" w:space="0"/>
              <w:left w:val="single" w:color="auto" w:sz="4" w:space="0"/>
              <w:bottom w:val="single" w:color="auto" w:sz="4" w:space="0"/>
              <w:right w:val="single" w:color="auto" w:sz="4" w:space="0"/>
            </w:tcBorders>
            <w:vAlign w:val="center"/>
          </w:tcPr>
          <w:p w14:paraId="7D9D57D0">
            <w:pPr>
              <w:adjustRightInd w:val="0"/>
              <w:spacing w:before="62" w:beforeLines="20" w:after="62" w:afterLines="2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870" w:type="dxa"/>
            <w:tcBorders>
              <w:top w:val="single" w:color="auto" w:sz="4" w:space="0"/>
              <w:left w:val="single" w:color="auto" w:sz="4" w:space="0"/>
              <w:bottom w:val="single" w:color="auto" w:sz="4" w:space="0"/>
              <w:right w:val="single" w:color="auto" w:sz="4" w:space="0"/>
            </w:tcBorders>
            <w:vAlign w:val="center"/>
          </w:tcPr>
          <w:p w14:paraId="26E51086">
            <w:pPr>
              <w:adjustRightInd w:val="0"/>
              <w:spacing w:before="62" w:beforeLines="20" w:after="62" w:afterLines="2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项目名称</w:t>
            </w:r>
          </w:p>
        </w:tc>
        <w:tc>
          <w:tcPr>
            <w:tcW w:w="7426" w:type="dxa"/>
            <w:tcBorders>
              <w:top w:val="single" w:color="auto" w:sz="4" w:space="0"/>
              <w:left w:val="single" w:color="auto" w:sz="4" w:space="0"/>
              <w:bottom w:val="single" w:color="auto" w:sz="4" w:space="0"/>
              <w:right w:val="single" w:color="auto" w:sz="4" w:space="0"/>
            </w:tcBorders>
            <w:vAlign w:val="center"/>
          </w:tcPr>
          <w:p w14:paraId="7E92CC21">
            <w:pPr>
              <w:adjustRightInd w:val="0"/>
              <w:spacing w:before="62" w:beforeLines="20" w:after="62" w:afterLines="20"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铜陵高新产业园发展有限公司、铜陵高新发展投资有限公司</w:t>
            </w:r>
            <w:r>
              <w:rPr>
                <w:rFonts w:hint="eastAsia" w:ascii="宋体" w:hAnsi="宋体" w:eastAsia="宋体" w:cs="宋体"/>
                <w:sz w:val="21"/>
                <w:szCs w:val="21"/>
                <w:highlight w:val="none"/>
                <w:lang w:eastAsia="zh-CN"/>
              </w:rPr>
              <w:t>2026年度代理购电服务采购项目</w:t>
            </w:r>
          </w:p>
        </w:tc>
      </w:tr>
      <w:tr w14:paraId="396323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5" w:type="dxa"/>
            <w:gridSpan w:val="2"/>
            <w:tcBorders>
              <w:top w:val="single" w:color="auto" w:sz="4" w:space="0"/>
              <w:left w:val="single" w:color="auto" w:sz="4" w:space="0"/>
              <w:bottom w:val="single" w:color="auto" w:sz="4" w:space="0"/>
              <w:right w:val="single" w:color="auto" w:sz="4" w:space="0"/>
            </w:tcBorders>
            <w:vAlign w:val="center"/>
          </w:tcPr>
          <w:p w14:paraId="6106900F">
            <w:pPr>
              <w:adjustRightInd w:val="0"/>
              <w:spacing w:before="62" w:beforeLines="20" w:after="62" w:afterLines="2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870" w:type="dxa"/>
            <w:tcBorders>
              <w:top w:val="single" w:color="auto" w:sz="4" w:space="0"/>
              <w:left w:val="single" w:color="auto" w:sz="4" w:space="0"/>
              <w:bottom w:val="single" w:color="auto" w:sz="4" w:space="0"/>
              <w:right w:val="single" w:color="auto" w:sz="4" w:space="0"/>
            </w:tcBorders>
            <w:vAlign w:val="center"/>
          </w:tcPr>
          <w:p w14:paraId="7B9A21DB">
            <w:pPr>
              <w:adjustRightInd w:val="0"/>
              <w:spacing w:before="62" w:beforeLines="20" w:after="62" w:afterLines="2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项目</w:t>
            </w:r>
            <w:r>
              <w:rPr>
                <w:rFonts w:hint="eastAsia" w:ascii="宋体" w:hAnsi="宋体" w:eastAsia="宋体" w:cs="宋体"/>
                <w:sz w:val="21"/>
                <w:szCs w:val="21"/>
                <w:highlight w:val="none"/>
              </w:rPr>
              <w:t>地点</w:t>
            </w:r>
          </w:p>
        </w:tc>
        <w:tc>
          <w:tcPr>
            <w:tcW w:w="7426" w:type="dxa"/>
            <w:tcBorders>
              <w:top w:val="single" w:color="auto" w:sz="4" w:space="0"/>
              <w:left w:val="single" w:color="auto" w:sz="4" w:space="0"/>
              <w:bottom w:val="single" w:color="auto" w:sz="4" w:space="0"/>
              <w:right w:val="single" w:color="auto" w:sz="4" w:space="0"/>
            </w:tcBorders>
            <w:vAlign w:val="center"/>
          </w:tcPr>
          <w:p w14:paraId="44951625">
            <w:pPr>
              <w:adjustRightInd w:val="0"/>
              <w:spacing w:before="62" w:beforeLines="20" w:after="62" w:afterLines="20" w:line="360" w:lineRule="auto"/>
              <w:rPr>
                <w:rFonts w:hint="eastAsia" w:ascii="宋体" w:hAnsi="宋体" w:eastAsia="宋体" w:cs="宋体"/>
                <w:sz w:val="21"/>
                <w:szCs w:val="21"/>
                <w:highlight w:val="none"/>
                <w:lang w:val="en-US"/>
              </w:rPr>
            </w:pPr>
            <w:r>
              <w:rPr>
                <w:rFonts w:hint="eastAsia" w:ascii="宋体" w:hAnsi="宋体" w:eastAsia="宋体" w:cs="宋体"/>
                <w:sz w:val="21"/>
                <w:szCs w:val="21"/>
                <w:highlight w:val="none"/>
                <w:lang w:val="en-US" w:eastAsia="zh-CN"/>
              </w:rPr>
              <w:t>铜陵狮子山高新区</w:t>
            </w:r>
          </w:p>
        </w:tc>
      </w:tr>
      <w:tr w14:paraId="7C12D1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5" w:type="dxa"/>
            <w:gridSpan w:val="2"/>
            <w:tcBorders>
              <w:top w:val="single" w:color="auto" w:sz="4" w:space="0"/>
              <w:left w:val="single" w:color="auto" w:sz="4" w:space="0"/>
              <w:bottom w:val="single" w:color="auto" w:sz="4" w:space="0"/>
              <w:right w:val="single" w:color="auto" w:sz="4" w:space="0"/>
            </w:tcBorders>
            <w:vAlign w:val="center"/>
          </w:tcPr>
          <w:p w14:paraId="5A2CE6D0">
            <w:pPr>
              <w:adjustRightInd w:val="0"/>
              <w:spacing w:before="62" w:beforeLines="20" w:after="62" w:afterLines="2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w:t>
            </w:r>
          </w:p>
        </w:tc>
        <w:tc>
          <w:tcPr>
            <w:tcW w:w="1870" w:type="dxa"/>
            <w:tcBorders>
              <w:top w:val="single" w:color="auto" w:sz="4" w:space="0"/>
              <w:left w:val="single" w:color="auto" w:sz="4" w:space="0"/>
              <w:bottom w:val="single" w:color="auto" w:sz="4" w:space="0"/>
              <w:right w:val="single" w:color="auto" w:sz="4" w:space="0"/>
            </w:tcBorders>
            <w:vAlign w:val="center"/>
          </w:tcPr>
          <w:p w14:paraId="1C2ACB88">
            <w:pPr>
              <w:adjustRightInd w:val="0"/>
              <w:spacing w:before="62" w:beforeLines="20" w:after="62" w:afterLines="2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招标人</w:t>
            </w:r>
          </w:p>
        </w:tc>
        <w:tc>
          <w:tcPr>
            <w:tcW w:w="7426" w:type="dxa"/>
            <w:tcBorders>
              <w:top w:val="single" w:color="auto" w:sz="4" w:space="0"/>
              <w:left w:val="single" w:color="auto" w:sz="4" w:space="0"/>
              <w:bottom w:val="single" w:color="auto" w:sz="4" w:space="0"/>
              <w:right w:val="single" w:color="auto" w:sz="4" w:space="0"/>
            </w:tcBorders>
            <w:vAlign w:val="center"/>
          </w:tcPr>
          <w:p w14:paraId="24FD2307">
            <w:pPr>
              <w:adjustRightInd w:val="0"/>
              <w:spacing w:before="62" w:beforeLines="20" w:after="62" w:afterLines="20"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铜陵高新产业园发展有限公司、铜陵高新发展投资有限公司</w:t>
            </w:r>
          </w:p>
        </w:tc>
      </w:tr>
      <w:tr w14:paraId="3E2FD5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5" w:type="dxa"/>
            <w:gridSpan w:val="2"/>
            <w:tcBorders>
              <w:top w:val="single" w:color="auto" w:sz="4" w:space="0"/>
              <w:left w:val="single" w:color="auto" w:sz="4" w:space="0"/>
              <w:bottom w:val="single" w:color="auto" w:sz="4" w:space="0"/>
              <w:right w:val="single" w:color="auto" w:sz="4" w:space="0"/>
            </w:tcBorders>
            <w:vAlign w:val="center"/>
          </w:tcPr>
          <w:p w14:paraId="5FC7AAF8">
            <w:pPr>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4</w:t>
            </w:r>
          </w:p>
        </w:tc>
        <w:tc>
          <w:tcPr>
            <w:tcW w:w="1870" w:type="dxa"/>
            <w:tcBorders>
              <w:top w:val="single" w:color="auto" w:sz="4" w:space="0"/>
              <w:left w:val="single" w:color="auto" w:sz="4" w:space="0"/>
              <w:bottom w:val="single" w:color="auto" w:sz="4" w:space="0"/>
              <w:right w:val="single" w:color="auto" w:sz="4" w:space="0"/>
            </w:tcBorders>
            <w:vAlign w:val="center"/>
          </w:tcPr>
          <w:p w14:paraId="110098AB">
            <w:pPr>
              <w:adjustRightInd w:val="0"/>
              <w:spacing w:before="62" w:beforeLines="20" w:after="62" w:afterLines="2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项目性质</w:t>
            </w:r>
          </w:p>
        </w:tc>
        <w:tc>
          <w:tcPr>
            <w:tcW w:w="7426" w:type="dxa"/>
            <w:tcBorders>
              <w:top w:val="single" w:color="auto" w:sz="4" w:space="0"/>
              <w:left w:val="single" w:color="auto" w:sz="4" w:space="0"/>
              <w:bottom w:val="single" w:color="auto" w:sz="4" w:space="0"/>
              <w:right w:val="single" w:color="auto" w:sz="4" w:space="0"/>
            </w:tcBorders>
            <w:vAlign w:val="center"/>
          </w:tcPr>
          <w:p w14:paraId="1E14C222">
            <w:pPr>
              <w:adjustRightInd w:val="0"/>
              <w:spacing w:before="62" w:beforeLines="20" w:after="62" w:afterLines="2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服务招标</w:t>
            </w:r>
          </w:p>
        </w:tc>
      </w:tr>
      <w:tr w14:paraId="13674C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5" w:type="dxa"/>
            <w:gridSpan w:val="2"/>
            <w:tcBorders>
              <w:top w:val="single" w:color="auto" w:sz="4" w:space="0"/>
              <w:left w:val="single" w:color="auto" w:sz="4" w:space="0"/>
              <w:bottom w:val="single" w:color="auto" w:sz="4" w:space="0"/>
              <w:right w:val="single" w:color="auto" w:sz="4" w:space="0"/>
            </w:tcBorders>
            <w:vAlign w:val="center"/>
          </w:tcPr>
          <w:p w14:paraId="59ABF48C">
            <w:pPr>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w:t>
            </w:r>
          </w:p>
        </w:tc>
        <w:tc>
          <w:tcPr>
            <w:tcW w:w="1870" w:type="dxa"/>
            <w:tcBorders>
              <w:top w:val="single" w:color="auto" w:sz="4" w:space="0"/>
              <w:left w:val="single" w:color="auto" w:sz="4" w:space="0"/>
              <w:bottom w:val="single" w:color="auto" w:sz="4" w:space="0"/>
              <w:right w:val="single" w:color="auto" w:sz="4" w:space="0"/>
            </w:tcBorders>
            <w:vAlign w:val="center"/>
          </w:tcPr>
          <w:p w14:paraId="091D05D0">
            <w:pPr>
              <w:adjustRightInd w:val="0"/>
              <w:spacing w:before="62" w:beforeLines="20" w:after="62" w:afterLines="20"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服务期</w:t>
            </w:r>
          </w:p>
        </w:tc>
        <w:tc>
          <w:tcPr>
            <w:tcW w:w="7426" w:type="dxa"/>
            <w:tcBorders>
              <w:top w:val="single" w:color="auto" w:sz="4" w:space="0"/>
              <w:left w:val="single" w:color="auto" w:sz="4" w:space="0"/>
              <w:bottom w:val="single" w:color="auto" w:sz="4" w:space="0"/>
              <w:right w:val="single" w:color="auto" w:sz="4" w:space="0"/>
            </w:tcBorders>
            <w:vAlign w:val="center"/>
          </w:tcPr>
          <w:p w14:paraId="5D396A17">
            <w:pPr>
              <w:adjustRightInd w:val="0"/>
              <w:spacing w:before="62" w:beforeLines="20" w:after="62" w:afterLines="20" w:line="36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2026年1月1日至2026年12月31日</w:t>
            </w:r>
          </w:p>
        </w:tc>
      </w:tr>
      <w:tr w14:paraId="36C186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5" w:type="dxa"/>
            <w:gridSpan w:val="2"/>
            <w:tcBorders>
              <w:top w:val="single" w:color="auto" w:sz="4" w:space="0"/>
              <w:left w:val="single" w:color="auto" w:sz="4" w:space="0"/>
              <w:bottom w:val="single" w:color="auto" w:sz="4" w:space="0"/>
              <w:right w:val="single" w:color="auto" w:sz="4" w:space="0"/>
            </w:tcBorders>
            <w:vAlign w:val="center"/>
          </w:tcPr>
          <w:p w14:paraId="6EECC382">
            <w:pPr>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6</w:t>
            </w:r>
          </w:p>
        </w:tc>
        <w:tc>
          <w:tcPr>
            <w:tcW w:w="1870" w:type="dxa"/>
            <w:tcBorders>
              <w:top w:val="single" w:color="auto" w:sz="4" w:space="0"/>
              <w:left w:val="single" w:color="auto" w:sz="4" w:space="0"/>
              <w:bottom w:val="single" w:color="auto" w:sz="4" w:space="0"/>
              <w:right w:val="single" w:color="auto" w:sz="4" w:space="0"/>
            </w:tcBorders>
            <w:vAlign w:val="center"/>
          </w:tcPr>
          <w:p w14:paraId="6DF4988D">
            <w:pPr>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质量标准要求</w:t>
            </w:r>
          </w:p>
        </w:tc>
        <w:tc>
          <w:tcPr>
            <w:tcW w:w="7426" w:type="dxa"/>
            <w:tcBorders>
              <w:top w:val="single" w:color="auto" w:sz="4" w:space="0"/>
              <w:left w:val="single" w:color="auto" w:sz="4" w:space="0"/>
              <w:bottom w:val="single" w:color="auto" w:sz="4" w:space="0"/>
              <w:right w:val="single" w:color="auto" w:sz="4" w:space="0"/>
            </w:tcBorders>
            <w:vAlign w:val="center"/>
          </w:tcPr>
          <w:p w14:paraId="16C73220">
            <w:pPr>
              <w:pStyle w:val="91"/>
              <w:tabs>
                <w:tab w:val="left" w:pos="1152"/>
              </w:tabs>
              <w:spacing w:before="0" w:beforeAutospacing="0" w:after="0" w:afterAutospacing="0" w:line="360" w:lineRule="auto"/>
              <w:ind w:left="1050" w:hanging="1050" w:hangingChars="500"/>
              <w:jc w:val="both"/>
              <w:rPr>
                <w:rFonts w:hint="eastAsia" w:ascii="宋体" w:hAnsi="宋体" w:eastAsia="宋体" w:cs="宋体"/>
                <w:bCs/>
                <w:sz w:val="21"/>
                <w:szCs w:val="21"/>
                <w:highlight w:val="none"/>
              </w:rPr>
            </w:pPr>
            <w:r>
              <w:rPr>
                <w:rFonts w:hint="eastAsia" w:ascii="宋体" w:hAnsi="宋体" w:eastAsia="宋体" w:cs="宋体"/>
                <w:bCs/>
                <w:sz w:val="21"/>
                <w:szCs w:val="21"/>
                <w:highlight w:val="none"/>
              </w:rPr>
              <w:t>合格</w:t>
            </w:r>
          </w:p>
        </w:tc>
      </w:tr>
      <w:tr w14:paraId="0EF5E4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5" w:type="dxa"/>
            <w:gridSpan w:val="2"/>
            <w:tcBorders>
              <w:top w:val="single" w:color="auto" w:sz="4" w:space="0"/>
              <w:left w:val="single" w:color="auto" w:sz="4" w:space="0"/>
              <w:bottom w:val="single" w:color="auto" w:sz="4" w:space="0"/>
              <w:right w:val="single" w:color="auto" w:sz="4" w:space="0"/>
            </w:tcBorders>
            <w:vAlign w:val="center"/>
          </w:tcPr>
          <w:p w14:paraId="23E2AEF2">
            <w:pPr>
              <w:pStyle w:val="91"/>
              <w:widowControl w:val="0"/>
              <w:spacing w:before="0" w:beforeAutospacing="0" w:after="0" w:afterAutospacing="0" w:line="360" w:lineRule="auto"/>
              <w:jc w:val="center"/>
              <w:rPr>
                <w:rStyle w:val="35"/>
                <w:rFonts w:hint="eastAsia" w:ascii="宋体" w:hAnsi="宋体" w:eastAsia="宋体" w:cs="宋体"/>
                <w:b w:val="0"/>
                <w:bCs w:val="0"/>
                <w:color w:val="000000"/>
                <w:sz w:val="21"/>
                <w:szCs w:val="21"/>
                <w:highlight w:val="none"/>
              </w:rPr>
            </w:pPr>
            <w:r>
              <w:rPr>
                <w:rStyle w:val="35"/>
                <w:rFonts w:hint="eastAsia" w:ascii="宋体" w:hAnsi="宋体" w:eastAsia="宋体" w:cs="宋体"/>
                <w:b w:val="0"/>
                <w:bCs w:val="0"/>
                <w:color w:val="000000"/>
                <w:sz w:val="21"/>
                <w:szCs w:val="21"/>
                <w:highlight w:val="none"/>
              </w:rPr>
              <w:t>7</w:t>
            </w:r>
          </w:p>
        </w:tc>
        <w:tc>
          <w:tcPr>
            <w:tcW w:w="1870" w:type="dxa"/>
            <w:tcBorders>
              <w:top w:val="single" w:color="auto" w:sz="4" w:space="0"/>
              <w:left w:val="single" w:color="auto" w:sz="4" w:space="0"/>
              <w:bottom w:val="single" w:color="auto" w:sz="4" w:space="0"/>
              <w:right w:val="single" w:color="auto" w:sz="4" w:space="0"/>
            </w:tcBorders>
            <w:vAlign w:val="center"/>
          </w:tcPr>
          <w:p w14:paraId="49CEFBC6">
            <w:pPr>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最高投标限价</w:t>
            </w:r>
          </w:p>
        </w:tc>
        <w:tc>
          <w:tcPr>
            <w:tcW w:w="7426" w:type="dxa"/>
            <w:tcBorders>
              <w:top w:val="single" w:color="auto" w:sz="4" w:space="0"/>
              <w:left w:val="single" w:color="auto" w:sz="4" w:space="0"/>
              <w:bottom w:val="single" w:color="auto" w:sz="4" w:space="0"/>
              <w:right w:val="single" w:color="auto" w:sz="4" w:space="0"/>
            </w:tcBorders>
            <w:vAlign w:val="center"/>
          </w:tcPr>
          <w:p w14:paraId="01CF91EA">
            <w:pPr>
              <w:pStyle w:val="16"/>
              <w:widowControl/>
              <w:spacing w:line="360" w:lineRule="auto"/>
              <w:jc w:val="both"/>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本项目根据安徽电力零售市场零售套餐参数汇总表（2026年版）的要求，选择套餐一（固定价格套餐）+套餐二（市场均价+浮动价格套餐）做为本次购电服务的服务方式，其中：</w:t>
            </w:r>
          </w:p>
          <w:p w14:paraId="4C588B16">
            <w:pPr>
              <w:pStyle w:val="16"/>
              <w:widowControl/>
              <w:spacing w:line="360" w:lineRule="auto"/>
              <w:jc w:val="both"/>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1.套餐一（固定价格套餐）最高投标限价：0.389元/千瓦时；</w:t>
            </w:r>
          </w:p>
          <w:p w14:paraId="4D59E623">
            <w:pPr>
              <w:pStyle w:val="16"/>
              <w:widowControl/>
              <w:spacing w:line="360" w:lineRule="auto"/>
              <w:jc w:val="both"/>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2.套餐二（市场均价+浮动价格套餐）最高投标限价：市场均价+0元/兆瓦时套餐。</w:t>
            </w:r>
          </w:p>
          <w:p w14:paraId="3B533C0D">
            <w:pPr>
              <w:pStyle w:val="16"/>
              <w:widowControl/>
              <w:spacing w:line="360" w:lineRule="auto"/>
              <w:jc w:val="both"/>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注：1.套餐一（固定价格套餐）中各时段统一为1时-24时，不再按照分时报价，价格参照2025年11月安徽省发改委发布的代理购电价格。</w:t>
            </w:r>
          </w:p>
          <w:p w14:paraId="1F23C5BD">
            <w:pPr>
              <w:pStyle w:val="16"/>
              <w:widowControl/>
              <w:spacing w:line="360" w:lineRule="auto"/>
              <w:jc w:val="both"/>
              <w:rPr>
                <w:rFonts w:hint="eastAsia" w:ascii="宋体" w:hAnsi="宋体" w:eastAsia="宋体" w:cs="宋体"/>
                <w:b w:val="0"/>
                <w:bCs/>
                <w:sz w:val="21"/>
                <w:szCs w:val="21"/>
                <w:highlight w:val="none"/>
                <w:lang w:val="en-US" w:eastAsia="zh-CN"/>
              </w:rPr>
            </w:pPr>
            <w:r>
              <w:rPr>
                <w:rFonts w:hint="eastAsia" w:ascii="宋体" w:hAnsi="宋体" w:eastAsia="宋体" w:cs="宋体"/>
                <w:b w:val="0"/>
                <w:bCs/>
                <w:sz w:val="21"/>
                <w:szCs w:val="21"/>
                <w:highlight w:val="none"/>
                <w:lang w:val="en-US" w:eastAsia="zh-CN"/>
              </w:rPr>
              <w:t>2.套餐二中市场均价以当月安徽省电力主管部门公布的价格均价为准，浮动价格不得超过0元/兆瓦时套餐。</w:t>
            </w:r>
          </w:p>
          <w:p w14:paraId="5B47A7D7">
            <w:pPr>
              <w:pStyle w:val="16"/>
              <w:widowControl/>
              <w:spacing w:line="360" w:lineRule="auto"/>
              <w:jc w:val="both"/>
              <w:rPr>
                <w:rFonts w:hint="eastAsia" w:ascii="宋体" w:hAnsi="宋体" w:eastAsia="宋体" w:cs="宋体"/>
                <w:b/>
                <w:sz w:val="21"/>
                <w:szCs w:val="21"/>
                <w:highlight w:val="none"/>
                <w:lang w:eastAsia="zh-CN"/>
              </w:rPr>
            </w:pPr>
            <w:r>
              <w:rPr>
                <w:rFonts w:hint="eastAsia" w:ascii="宋体" w:hAnsi="宋体" w:eastAsia="宋体" w:cs="宋体"/>
                <w:b w:val="0"/>
                <w:bCs/>
                <w:sz w:val="21"/>
                <w:szCs w:val="21"/>
                <w:highlight w:val="none"/>
                <w:lang w:val="en-US" w:eastAsia="zh-CN"/>
              </w:rPr>
              <w:t>3.套餐一和套餐二在本次服务招标中占比各为50%。</w:t>
            </w:r>
          </w:p>
        </w:tc>
      </w:tr>
      <w:tr w14:paraId="4E553C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5" w:type="dxa"/>
            <w:gridSpan w:val="2"/>
            <w:tcBorders>
              <w:top w:val="single" w:color="auto" w:sz="4" w:space="0"/>
              <w:left w:val="single" w:color="auto" w:sz="4" w:space="0"/>
              <w:bottom w:val="single" w:color="auto" w:sz="4" w:space="0"/>
              <w:right w:val="single" w:color="auto" w:sz="4" w:space="0"/>
            </w:tcBorders>
            <w:vAlign w:val="center"/>
          </w:tcPr>
          <w:p w14:paraId="3B8A44F1">
            <w:pPr>
              <w:pStyle w:val="91"/>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8</w:t>
            </w:r>
          </w:p>
        </w:tc>
        <w:tc>
          <w:tcPr>
            <w:tcW w:w="1870" w:type="dxa"/>
            <w:tcBorders>
              <w:top w:val="single" w:color="auto" w:sz="4" w:space="0"/>
              <w:left w:val="single" w:color="auto" w:sz="4" w:space="0"/>
              <w:bottom w:val="single" w:color="auto" w:sz="4" w:space="0"/>
              <w:right w:val="single" w:color="auto" w:sz="4" w:space="0"/>
            </w:tcBorders>
            <w:vAlign w:val="center"/>
          </w:tcPr>
          <w:p w14:paraId="71558480">
            <w:pPr>
              <w:pStyle w:val="91"/>
              <w:widowControl w:val="0"/>
              <w:spacing w:before="0" w:beforeAutospacing="0" w:after="0" w:afterAutospacing="0" w:line="360" w:lineRule="auto"/>
              <w:jc w:val="center"/>
              <w:rPr>
                <w:rStyle w:val="35"/>
                <w:rFonts w:hint="eastAsia" w:ascii="宋体" w:hAnsi="宋体" w:eastAsia="宋体" w:cs="宋体"/>
                <w:b w:val="0"/>
                <w:color w:val="000000"/>
                <w:sz w:val="21"/>
                <w:szCs w:val="21"/>
                <w:highlight w:val="none"/>
              </w:rPr>
            </w:pPr>
            <w:r>
              <w:rPr>
                <w:rStyle w:val="35"/>
                <w:rFonts w:hint="eastAsia" w:ascii="宋体" w:hAnsi="宋体" w:eastAsia="宋体" w:cs="宋体"/>
                <w:b w:val="0"/>
                <w:color w:val="000000"/>
                <w:sz w:val="21"/>
                <w:szCs w:val="21"/>
                <w:highlight w:val="none"/>
              </w:rPr>
              <w:t>评标定标办法</w:t>
            </w:r>
          </w:p>
        </w:tc>
        <w:tc>
          <w:tcPr>
            <w:tcW w:w="7426" w:type="dxa"/>
            <w:tcBorders>
              <w:top w:val="single" w:color="auto" w:sz="4" w:space="0"/>
              <w:left w:val="single" w:color="auto" w:sz="4" w:space="0"/>
              <w:bottom w:val="single" w:color="auto" w:sz="4" w:space="0"/>
              <w:right w:val="single" w:color="auto" w:sz="4" w:space="0"/>
            </w:tcBorders>
            <w:vAlign w:val="center"/>
          </w:tcPr>
          <w:p w14:paraId="6315B7E9">
            <w:pPr>
              <w:spacing w:line="360" w:lineRule="auto"/>
              <w:rPr>
                <w:rFonts w:hint="eastAsia" w:ascii="宋体" w:hAnsi="宋体" w:eastAsia="宋体" w:cs="宋体"/>
                <w:sz w:val="21"/>
                <w:szCs w:val="21"/>
                <w:highlight w:val="none"/>
                <w:u w:val="none"/>
              </w:rPr>
            </w:pPr>
            <w:r>
              <w:rPr>
                <w:rFonts w:hint="eastAsia" w:ascii="宋体" w:hAnsi="宋体" w:eastAsia="宋体" w:cs="宋体"/>
                <w:sz w:val="21"/>
                <w:szCs w:val="21"/>
                <w:highlight w:val="none"/>
                <w:u w:val="none"/>
              </w:rPr>
              <w:t>综合评分法</w:t>
            </w:r>
          </w:p>
        </w:tc>
      </w:tr>
      <w:tr w14:paraId="57A6B3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5" w:type="dxa"/>
            <w:gridSpan w:val="2"/>
            <w:tcBorders>
              <w:top w:val="single" w:color="auto" w:sz="4" w:space="0"/>
              <w:left w:val="single" w:color="auto" w:sz="4" w:space="0"/>
              <w:bottom w:val="single" w:color="auto" w:sz="4" w:space="0"/>
              <w:right w:val="single" w:color="auto" w:sz="4" w:space="0"/>
            </w:tcBorders>
            <w:vAlign w:val="center"/>
          </w:tcPr>
          <w:p w14:paraId="056731F1">
            <w:pPr>
              <w:pStyle w:val="91"/>
              <w:spacing w:line="360" w:lineRule="auto"/>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9</w:t>
            </w:r>
          </w:p>
        </w:tc>
        <w:tc>
          <w:tcPr>
            <w:tcW w:w="1870" w:type="dxa"/>
            <w:tcBorders>
              <w:top w:val="single" w:color="auto" w:sz="4" w:space="0"/>
              <w:left w:val="single" w:color="auto" w:sz="4" w:space="0"/>
              <w:bottom w:val="single" w:color="auto" w:sz="4" w:space="0"/>
              <w:right w:val="single" w:color="auto" w:sz="4" w:space="0"/>
            </w:tcBorders>
            <w:vAlign w:val="center"/>
          </w:tcPr>
          <w:p w14:paraId="7BABB1A5">
            <w:pPr>
              <w:pStyle w:val="91"/>
              <w:widowControl w:val="0"/>
              <w:spacing w:before="0" w:beforeAutospacing="0" w:after="0" w:afterAutospacing="0" w:line="360" w:lineRule="auto"/>
              <w:jc w:val="center"/>
              <w:rPr>
                <w:rStyle w:val="35"/>
                <w:rFonts w:hint="eastAsia" w:ascii="宋体" w:hAnsi="宋体" w:eastAsia="宋体" w:cs="宋体"/>
                <w:b w:val="0"/>
                <w:color w:val="000000"/>
                <w:sz w:val="21"/>
                <w:szCs w:val="21"/>
                <w:highlight w:val="none"/>
              </w:rPr>
            </w:pPr>
            <w:r>
              <w:rPr>
                <w:rStyle w:val="35"/>
                <w:rFonts w:hint="eastAsia" w:ascii="宋体" w:hAnsi="宋体" w:eastAsia="宋体" w:cs="宋体"/>
                <w:b w:val="0"/>
                <w:color w:val="000000"/>
                <w:sz w:val="21"/>
                <w:szCs w:val="21"/>
                <w:highlight w:val="none"/>
              </w:rPr>
              <w:t>资格审查方式</w:t>
            </w:r>
          </w:p>
        </w:tc>
        <w:tc>
          <w:tcPr>
            <w:tcW w:w="7426" w:type="dxa"/>
            <w:tcBorders>
              <w:top w:val="single" w:color="auto" w:sz="4" w:space="0"/>
              <w:left w:val="single" w:color="auto" w:sz="4" w:space="0"/>
              <w:bottom w:val="single" w:color="auto" w:sz="4" w:space="0"/>
              <w:right w:val="single" w:color="auto" w:sz="4" w:space="0"/>
            </w:tcBorders>
            <w:vAlign w:val="center"/>
          </w:tcPr>
          <w:p w14:paraId="76BC85DF">
            <w:pPr>
              <w:spacing w:line="360" w:lineRule="auto"/>
              <w:rPr>
                <w:rStyle w:val="35"/>
                <w:rFonts w:hint="eastAsia" w:ascii="宋体" w:hAnsi="宋体" w:eastAsia="宋体" w:cs="宋体"/>
                <w:bCs w:val="0"/>
                <w:sz w:val="21"/>
                <w:szCs w:val="21"/>
                <w:highlight w:val="none"/>
                <w:u w:val="none"/>
              </w:rPr>
            </w:pPr>
            <w:r>
              <w:rPr>
                <w:rFonts w:hint="eastAsia" w:ascii="宋体" w:hAnsi="宋体" w:eastAsia="宋体" w:cs="宋体"/>
                <w:b/>
                <w:sz w:val="21"/>
                <w:szCs w:val="21"/>
                <w:highlight w:val="none"/>
                <w:u w:val="none"/>
              </w:rPr>
              <w:t>资格后审</w:t>
            </w:r>
          </w:p>
        </w:tc>
      </w:tr>
      <w:tr w14:paraId="0CBC01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5" w:type="dxa"/>
            <w:gridSpan w:val="2"/>
            <w:tcBorders>
              <w:top w:val="single" w:color="auto" w:sz="4" w:space="0"/>
              <w:left w:val="single" w:color="auto" w:sz="4" w:space="0"/>
              <w:bottom w:val="single" w:color="auto" w:sz="4" w:space="0"/>
              <w:right w:val="single" w:color="auto" w:sz="4" w:space="0"/>
            </w:tcBorders>
            <w:vAlign w:val="center"/>
          </w:tcPr>
          <w:p w14:paraId="7DF0D15D">
            <w:pPr>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w:t>
            </w:r>
          </w:p>
        </w:tc>
        <w:tc>
          <w:tcPr>
            <w:tcW w:w="1870" w:type="dxa"/>
            <w:tcBorders>
              <w:top w:val="single" w:color="auto" w:sz="4" w:space="0"/>
              <w:left w:val="single" w:color="auto" w:sz="4" w:space="0"/>
              <w:bottom w:val="single" w:color="auto" w:sz="4" w:space="0"/>
              <w:right w:val="single" w:color="auto" w:sz="4" w:space="0"/>
            </w:tcBorders>
            <w:vAlign w:val="center"/>
          </w:tcPr>
          <w:p w14:paraId="1AC227DC">
            <w:pPr>
              <w:pStyle w:val="91"/>
              <w:spacing w:line="360" w:lineRule="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资质要求</w:t>
            </w:r>
          </w:p>
        </w:tc>
        <w:tc>
          <w:tcPr>
            <w:tcW w:w="7426" w:type="dxa"/>
            <w:tcBorders>
              <w:top w:val="single" w:color="auto" w:sz="4" w:space="0"/>
              <w:left w:val="single" w:color="auto" w:sz="4" w:space="0"/>
              <w:bottom w:val="single" w:color="auto" w:sz="4" w:space="0"/>
              <w:right w:val="single" w:color="auto" w:sz="4" w:space="0"/>
            </w:tcBorders>
            <w:vAlign w:val="center"/>
          </w:tcPr>
          <w:p w14:paraId="3BAFB6A0">
            <w:pPr>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见招标公告</w:t>
            </w:r>
          </w:p>
        </w:tc>
      </w:tr>
      <w:tr w14:paraId="7A137B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5" w:type="dxa"/>
            <w:gridSpan w:val="2"/>
            <w:tcBorders>
              <w:top w:val="single" w:color="auto" w:sz="4" w:space="0"/>
              <w:left w:val="single" w:color="auto" w:sz="4" w:space="0"/>
              <w:bottom w:val="single" w:color="auto" w:sz="4" w:space="0"/>
              <w:right w:val="single" w:color="auto" w:sz="4" w:space="0"/>
            </w:tcBorders>
            <w:vAlign w:val="center"/>
          </w:tcPr>
          <w:p w14:paraId="1C62CCE6">
            <w:pPr>
              <w:adjustRightInd w:val="0"/>
              <w:spacing w:line="360" w:lineRule="auto"/>
              <w:jc w:val="center"/>
              <w:rPr>
                <w:rFonts w:hint="eastAsia" w:ascii="宋体" w:hAnsi="宋体" w:eastAsia="宋体" w:cs="宋体"/>
                <w:sz w:val="21"/>
                <w:szCs w:val="21"/>
                <w:highlight w:val="none"/>
              </w:rPr>
            </w:pPr>
            <w:bookmarkStart w:id="10" w:name="_Toc208106828"/>
            <w:bookmarkStart w:id="11" w:name="_Toc200336329"/>
            <w:r>
              <w:rPr>
                <w:rFonts w:hint="eastAsia" w:ascii="宋体" w:hAnsi="宋体" w:eastAsia="宋体" w:cs="宋体"/>
                <w:sz w:val="21"/>
                <w:szCs w:val="21"/>
                <w:highlight w:val="none"/>
              </w:rPr>
              <w:t>11</w:t>
            </w:r>
          </w:p>
        </w:tc>
        <w:tc>
          <w:tcPr>
            <w:tcW w:w="1870" w:type="dxa"/>
            <w:tcBorders>
              <w:top w:val="single" w:color="auto" w:sz="4" w:space="0"/>
              <w:left w:val="single" w:color="auto" w:sz="4" w:space="0"/>
              <w:bottom w:val="single" w:color="auto" w:sz="4" w:space="0"/>
              <w:right w:val="single" w:color="auto" w:sz="4" w:space="0"/>
            </w:tcBorders>
            <w:vAlign w:val="center"/>
          </w:tcPr>
          <w:p w14:paraId="11E61702">
            <w:pPr>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投标替代方案</w:t>
            </w:r>
          </w:p>
        </w:tc>
        <w:tc>
          <w:tcPr>
            <w:tcW w:w="7426" w:type="dxa"/>
            <w:tcBorders>
              <w:top w:val="single" w:color="auto" w:sz="4" w:space="0"/>
              <w:left w:val="single" w:color="auto" w:sz="4" w:space="0"/>
              <w:bottom w:val="single" w:color="auto" w:sz="4" w:space="0"/>
              <w:right w:val="single" w:color="auto" w:sz="4" w:space="0"/>
            </w:tcBorders>
            <w:vAlign w:val="center"/>
          </w:tcPr>
          <w:p w14:paraId="195B940C">
            <w:pPr>
              <w:pStyle w:val="91"/>
              <w:widowControl w:val="0"/>
              <w:spacing w:before="0" w:beforeAutospacing="0" w:after="0" w:afterAutospacing="0" w:line="360" w:lineRule="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不允许</w:t>
            </w:r>
          </w:p>
        </w:tc>
      </w:tr>
      <w:bookmarkEnd w:id="10"/>
      <w:bookmarkEnd w:id="11"/>
      <w:tr w14:paraId="1D147F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5" w:type="dxa"/>
            <w:gridSpan w:val="2"/>
            <w:tcBorders>
              <w:top w:val="single" w:color="auto" w:sz="4" w:space="0"/>
              <w:left w:val="single" w:color="auto" w:sz="4" w:space="0"/>
              <w:bottom w:val="single" w:color="auto" w:sz="4" w:space="0"/>
              <w:right w:val="single" w:color="auto" w:sz="4" w:space="0"/>
            </w:tcBorders>
            <w:vAlign w:val="center"/>
          </w:tcPr>
          <w:p w14:paraId="418E6A6F">
            <w:pPr>
              <w:pStyle w:val="91"/>
              <w:widowControl w:val="0"/>
              <w:spacing w:before="0" w:beforeAutospacing="0" w:after="0" w:afterAutospacing="0" w:line="360" w:lineRule="auto"/>
              <w:jc w:val="center"/>
              <w:rPr>
                <w:rStyle w:val="35"/>
                <w:rFonts w:hint="eastAsia" w:ascii="宋体" w:hAnsi="宋体" w:eastAsia="宋体" w:cs="宋体"/>
                <w:b w:val="0"/>
                <w:bCs w:val="0"/>
                <w:sz w:val="21"/>
                <w:szCs w:val="21"/>
                <w:highlight w:val="none"/>
              </w:rPr>
            </w:pPr>
            <w:r>
              <w:rPr>
                <w:rStyle w:val="35"/>
                <w:rFonts w:hint="eastAsia" w:ascii="宋体" w:hAnsi="宋体" w:eastAsia="宋体" w:cs="宋体"/>
                <w:b w:val="0"/>
                <w:bCs w:val="0"/>
                <w:sz w:val="21"/>
                <w:szCs w:val="21"/>
                <w:highlight w:val="none"/>
              </w:rPr>
              <w:t>12</w:t>
            </w:r>
          </w:p>
        </w:tc>
        <w:tc>
          <w:tcPr>
            <w:tcW w:w="1870" w:type="dxa"/>
            <w:tcBorders>
              <w:top w:val="single" w:color="auto" w:sz="4" w:space="0"/>
              <w:left w:val="single" w:color="auto" w:sz="4" w:space="0"/>
              <w:bottom w:val="single" w:color="auto" w:sz="4" w:space="0"/>
              <w:right w:val="single" w:color="auto" w:sz="4" w:space="0"/>
            </w:tcBorders>
            <w:vAlign w:val="center"/>
          </w:tcPr>
          <w:p w14:paraId="41CACF7A">
            <w:pPr>
              <w:adjustRightInd w:val="0"/>
              <w:spacing w:line="360" w:lineRule="auto"/>
              <w:jc w:val="center"/>
              <w:rPr>
                <w:rFonts w:hint="eastAsia" w:ascii="宋体" w:hAnsi="宋体" w:eastAsia="宋体" w:cs="宋体"/>
                <w:b/>
                <w:bCs/>
                <w:sz w:val="21"/>
                <w:szCs w:val="21"/>
                <w:highlight w:val="none"/>
              </w:rPr>
            </w:pPr>
            <w:r>
              <w:rPr>
                <w:rFonts w:hint="eastAsia" w:ascii="宋体" w:hAnsi="宋体" w:eastAsia="宋体" w:cs="宋体"/>
                <w:sz w:val="21"/>
                <w:szCs w:val="21"/>
                <w:highlight w:val="none"/>
              </w:rPr>
              <w:t>投标文件</w:t>
            </w:r>
          </w:p>
        </w:tc>
        <w:tc>
          <w:tcPr>
            <w:tcW w:w="7426" w:type="dxa"/>
            <w:tcBorders>
              <w:top w:val="single" w:color="auto" w:sz="4" w:space="0"/>
              <w:left w:val="single" w:color="auto" w:sz="4" w:space="0"/>
              <w:bottom w:val="single" w:color="auto" w:sz="4" w:space="0"/>
              <w:right w:val="single" w:color="auto" w:sz="4" w:space="0"/>
            </w:tcBorders>
            <w:vAlign w:val="center"/>
          </w:tcPr>
          <w:p w14:paraId="31121EE9">
            <w:pPr>
              <w:adjustRightInd w:val="0"/>
              <w:spacing w:line="360" w:lineRule="auto"/>
              <w:jc w:val="left"/>
              <w:rPr>
                <w:rFonts w:hint="eastAsia" w:ascii="宋体" w:hAnsi="宋体" w:eastAsia="宋体" w:cs="宋体"/>
                <w:b w:val="0"/>
                <w:bCs w:val="0"/>
                <w:color w:val="000000"/>
                <w:sz w:val="21"/>
                <w:szCs w:val="21"/>
                <w:highlight w:val="none"/>
                <w:lang w:val="zh-CN"/>
              </w:rPr>
            </w:pPr>
            <w:r>
              <w:rPr>
                <w:rFonts w:hint="eastAsia" w:ascii="宋体" w:hAnsi="宋体" w:eastAsia="宋体" w:cs="宋体"/>
                <w:b w:val="0"/>
                <w:bCs w:val="0"/>
                <w:color w:val="000000"/>
                <w:sz w:val="21"/>
                <w:szCs w:val="21"/>
                <w:highlight w:val="none"/>
                <w:lang w:val="zh-CN"/>
              </w:rPr>
              <w:t>一份正本，一份副本以及完整版本的加盖公章(或电子章)PDF版本电子投标文件(u盘单独封装)，内容须和纸质投标文件保持一致；另中标单位在领取中标通知书时再提供纸质原样投标文件3份。</w:t>
            </w:r>
          </w:p>
          <w:p w14:paraId="1C23F294">
            <w:pPr>
              <w:adjustRightInd w:val="0"/>
              <w:spacing w:line="360" w:lineRule="auto"/>
              <w:jc w:val="left"/>
              <w:rPr>
                <w:rFonts w:hint="eastAsia" w:ascii="宋体" w:hAnsi="宋体" w:eastAsia="宋体" w:cs="宋体"/>
                <w:b w:val="0"/>
                <w:bCs w:val="0"/>
                <w:color w:val="000000"/>
                <w:sz w:val="21"/>
                <w:szCs w:val="21"/>
                <w:highlight w:val="none"/>
                <w:lang w:val="zh-CN"/>
              </w:rPr>
            </w:pPr>
            <w:r>
              <w:rPr>
                <w:rFonts w:hint="eastAsia" w:ascii="宋体" w:hAnsi="宋体" w:eastAsia="宋体" w:cs="宋体"/>
                <w:b w:val="0"/>
                <w:bCs w:val="0"/>
                <w:color w:val="000000"/>
                <w:sz w:val="21"/>
                <w:szCs w:val="21"/>
                <w:highlight w:val="none"/>
                <w:lang w:val="zh-CN"/>
              </w:rPr>
              <w:t>注：</w:t>
            </w:r>
            <w:r>
              <w:rPr>
                <w:rFonts w:hint="eastAsia" w:ascii="宋体" w:hAnsi="宋体" w:eastAsia="宋体" w:cs="宋体"/>
                <w:b w:val="0"/>
                <w:bCs w:val="0"/>
                <w:color w:val="000000"/>
                <w:sz w:val="21"/>
                <w:szCs w:val="21"/>
                <w:highlight w:val="none"/>
                <w:lang w:val="en-US" w:eastAsia="zh-CN"/>
              </w:rPr>
              <w:t>1.</w:t>
            </w:r>
            <w:r>
              <w:rPr>
                <w:rFonts w:hint="eastAsia" w:ascii="宋体" w:hAnsi="宋体" w:eastAsia="宋体" w:cs="宋体"/>
                <w:b w:val="0"/>
                <w:bCs w:val="0"/>
                <w:color w:val="000000"/>
                <w:sz w:val="21"/>
                <w:szCs w:val="21"/>
                <w:highlight w:val="none"/>
                <w:lang w:val="zh-CN"/>
              </w:rPr>
              <w:t>电子投标文件必须和纸质投标文件保持一致，若因电子投标文件与纸质投标文件不一致而产生的一切后果，由投标人自行承担。</w:t>
            </w:r>
          </w:p>
          <w:p w14:paraId="37259192">
            <w:pPr>
              <w:adjustRightInd w:val="0"/>
              <w:spacing w:line="360" w:lineRule="auto"/>
              <w:jc w:val="left"/>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lang w:val="zh-CN"/>
              </w:rPr>
              <w:t>2.评审过程中，电子版投标文件与纸质版投标文件不一致时，以纸质版为准。</w:t>
            </w:r>
          </w:p>
        </w:tc>
      </w:tr>
      <w:tr w14:paraId="0805DF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5" w:type="dxa"/>
            <w:gridSpan w:val="2"/>
            <w:tcBorders>
              <w:top w:val="single" w:color="auto" w:sz="4" w:space="0"/>
              <w:left w:val="single" w:color="auto" w:sz="4" w:space="0"/>
              <w:bottom w:val="single" w:color="auto" w:sz="4" w:space="0"/>
              <w:right w:val="single" w:color="auto" w:sz="4" w:space="0"/>
            </w:tcBorders>
            <w:vAlign w:val="center"/>
          </w:tcPr>
          <w:p w14:paraId="6F4E255C">
            <w:pPr>
              <w:pStyle w:val="91"/>
              <w:widowControl w:val="0"/>
              <w:spacing w:before="0" w:beforeAutospacing="0" w:after="0" w:afterAutospacing="0" w:line="360" w:lineRule="auto"/>
              <w:jc w:val="center"/>
              <w:rPr>
                <w:rStyle w:val="35"/>
                <w:rFonts w:hint="eastAsia" w:ascii="宋体" w:hAnsi="宋体" w:eastAsia="宋体" w:cs="宋体"/>
                <w:b w:val="0"/>
                <w:bCs w:val="0"/>
                <w:color w:val="000000"/>
                <w:sz w:val="21"/>
                <w:szCs w:val="21"/>
                <w:highlight w:val="none"/>
              </w:rPr>
            </w:pPr>
            <w:r>
              <w:rPr>
                <w:rStyle w:val="35"/>
                <w:rFonts w:hint="eastAsia" w:ascii="宋体" w:hAnsi="宋体" w:eastAsia="宋体" w:cs="宋体"/>
                <w:b w:val="0"/>
                <w:bCs w:val="0"/>
                <w:color w:val="000000"/>
                <w:sz w:val="21"/>
                <w:szCs w:val="21"/>
                <w:highlight w:val="none"/>
              </w:rPr>
              <w:t>13</w:t>
            </w:r>
          </w:p>
        </w:tc>
        <w:tc>
          <w:tcPr>
            <w:tcW w:w="1870" w:type="dxa"/>
            <w:tcBorders>
              <w:top w:val="single" w:color="auto" w:sz="4" w:space="0"/>
              <w:left w:val="single" w:color="auto" w:sz="4" w:space="0"/>
              <w:bottom w:val="single" w:color="auto" w:sz="4" w:space="0"/>
              <w:right w:val="single" w:color="auto" w:sz="4" w:space="0"/>
            </w:tcBorders>
            <w:vAlign w:val="center"/>
          </w:tcPr>
          <w:p w14:paraId="69903756">
            <w:pPr>
              <w:pStyle w:val="91"/>
              <w:widowControl w:val="0"/>
              <w:spacing w:before="0" w:beforeAutospacing="0" w:after="0" w:afterAutospacing="0"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投标有效期</w:t>
            </w:r>
          </w:p>
        </w:tc>
        <w:tc>
          <w:tcPr>
            <w:tcW w:w="7426" w:type="dxa"/>
            <w:tcBorders>
              <w:top w:val="single" w:color="auto" w:sz="4" w:space="0"/>
              <w:left w:val="single" w:color="auto" w:sz="4" w:space="0"/>
              <w:bottom w:val="single" w:color="auto" w:sz="4" w:space="0"/>
              <w:right w:val="single" w:color="auto" w:sz="4" w:space="0"/>
            </w:tcBorders>
            <w:vAlign w:val="center"/>
          </w:tcPr>
          <w:p w14:paraId="0AA53BCE">
            <w:pPr>
              <w:pStyle w:val="91"/>
              <w:spacing w:before="0" w:beforeAutospacing="0" w:after="0" w:afterAutospacing="0" w:line="360" w:lineRule="auto"/>
              <w:ind w:left="2520" w:hanging="2520" w:hangingChars="1200"/>
              <w:rPr>
                <w:rFonts w:hint="eastAsia" w:ascii="宋体" w:hAnsi="宋体" w:eastAsia="宋体" w:cs="宋体"/>
                <w:sz w:val="21"/>
                <w:szCs w:val="21"/>
                <w:highlight w:val="none"/>
              </w:rPr>
            </w:pPr>
            <w:r>
              <w:rPr>
                <w:rFonts w:hint="eastAsia" w:ascii="宋体" w:hAnsi="宋体" w:eastAsia="宋体" w:cs="宋体"/>
                <w:sz w:val="21"/>
                <w:szCs w:val="21"/>
                <w:highlight w:val="none"/>
              </w:rPr>
              <w:t>投标文件提交截止时间后：</w:t>
            </w:r>
            <w:r>
              <w:rPr>
                <w:rFonts w:hint="eastAsia" w:ascii="宋体" w:hAnsi="宋体" w:eastAsia="宋体" w:cs="宋体"/>
                <w:sz w:val="21"/>
                <w:szCs w:val="21"/>
                <w:highlight w:val="none"/>
                <w:u w:val="single"/>
              </w:rPr>
              <w:t xml:space="preserve"> 60 </w:t>
            </w:r>
            <w:r>
              <w:rPr>
                <w:rFonts w:hint="eastAsia" w:ascii="宋体" w:hAnsi="宋体" w:eastAsia="宋体" w:cs="宋体"/>
                <w:sz w:val="21"/>
                <w:szCs w:val="21"/>
                <w:highlight w:val="none"/>
              </w:rPr>
              <w:t>天内有效</w:t>
            </w:r>
          </w:p>
        </w:tc>
      </w:tr>
      <w:tr w14:paraId="53EC60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5" w:type="dxa"/>
            <w:gridSpan w:val="2"/>
            <w:tcBorders>
              <w:top w:val="single" w:color="auto" w:sz="4" w:space="0"/>
              <w:left w:val="single" w:color="auto" w:sz="4" w:space="0"/>
              <w:bottom w:val="single" w:color="auto" w:sz="4" w:space="0"/>
              <w:right w:val="single" w:color="auto" w:sz="4" w:space="0"/>
            </w:tcBorders>
            <w:vAlign w:val="center"/>
          </w:tcPr>
          <w:p w14:paraId="49EFC7A7">
            <w:pPr>
              <w:pStyle w:val="91"/>
              <w:widowControl w:val="0"/>
              <w:spacing w:before="0" w:beforeAutospacing="0" w:after="0" w:afterAutospacing="0" w:line="360" w:lineRule="auto"/>
              <w:jc w:val="center"/>
              <w:rPr>
                <w:rStyle w:val="35"/>
                <w:rFonts w:hint="eastAsia" w:ascii="宋体" w:hAnsi="宋体" w:eastAsia="宋体" w:cs="宋体"/>
                <w:b w:val="0"/>
                <w:bCs w:val="0"/>
                <w:color w:val="000000"/>
                <w:sz w:val="21"/>
                <w:szCs w:val="21"/>
                <w:highlight w:val="none"/>
              </w:rPr>
            </w:pPr>
            <w:r>
              <w:rPr>
                <w:rStyle w:val="35"/>
                <w:rFonts w:hint="eastAsia" w:ascii="宋体" w:hAnsi="宋体" w:eastAsia="宋体" w:cs="宋体"/>
                <w:b w:val="0"/>
                <w:bCs w:val="0"/>
                <w:color w:val="000000"/>
                <w:sz w:val="21"/>
                <w:szCs w:val="21"/>
                <w:highlight w:val="none"/>
              </w:rPr>
              <w:t>14</w:t>
            </w:r>
          </w:p>
        </w:tc>
        <w:tc>
          <w:tcPr>
            <w:tcW w:w="1870" w:type="dxa"/>
            <w:tcBorders>
              <w:top w:val="single" w:color="auto" w:sz="4" w:space="0"/>
              <w:left w:val="single" w:color="auto" w:sz="4" w:space="0"/>
              <w:bottom w:val="single" w:color="auto" w:sz="4" w:space="0"/>
              <w:right w:val="single" w:color="auto" w:sz="4" w:space="0"/>
            </w:tcBorders>
            <w:vAlign w:val="center"/>
          </w:tcPr>
          <w:p w14:paraId="13FC63A1">
            <w:pPr>
              <w:pStyle w:val="91"/>
              <w:widowControl w:val="0"/>
              <w:spacing w:before="0" w:beforeAutospacing="0" w:after="0" w:afterAutospacing="0" w:line="360" w:lineRule="auto"/>
              <w:jc w:val="center"/>
              <w:rPr>
                <w:rStyle w:val="35"/>
                <w:rFonts w:hint="eastAsia" w:ascii="宋体" w:hAnsi="宋体" w:eastAsia="宋体" w:cs="宋体"/>
                <w:b w:val="0"/>
                <w:color w:val="000000"/>
                <w:sz w:val="21"/>
                <w:szCs w:val="21"/>
                <w:highlight w:val="none"/>
              </w:rPr>
            </w:pPr>
            <w:r>
              <w:rPr>
                <w:rStyle w:val="35"/>
                <w:rFonts w:hint="eastAsia" w:ascii="宋体" w:hAnsi="宋体" w:eastAsia="宋体" w:cs="宋体"/>
                <w:b w:val="0"/>
                <w:color w:val="000000"/>
                <w:sz w:val="21"/>
                <w:szCs w:val="21"/>
                <w:highlight w:val="none"/>
              </w:rPr>
              <w:t>投标保证金</w:t>
            </w:r>
          </w:p>
        </w:tc>
        <w:tc>
          <w:tcPr>
            <w:tcW w:w="7426" w:type="dxa"/>
            <w:tcBorders>
              <w:top w:val="single" w:color="auto" w:sz="4" w:space="0"/>
              <w:left w:val="single" w:color="auto" w:sz="4" w:space="0"/>
              <w:bottom w:val="single" w:color="auto" w:sz="4" w:space="0"/>
              <w:right w:val="single" w:color="auto" w:sz="4" w:space="0"/>
            </w:tcBorders>
          </w:tcPr>
          <w:p w14:paraId="68D71A16">
            <w:pPr>
              <w:pStyle w:val="92"/>
              <w:spacing w:line="367" w:lineRule="auto"/>
              <w:ind w:right="94"/>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eastAsia="zh-CN"/>
              </w:rPr>
              <w:t>无</w:t>
            </w:r>
          </w:p>
        </w:tc>
      </w:tr>
      <w:tr w14:paraId="24B415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5" w:type="dxa"/>
            <w:gridSpan w:val="2"/>
            <w:tcBorders>
              <w:top w:val="single" w:color="auto" w:sz="4" w:space="0"/>
              <w:left w:val="single" w:color="auto" w:sz="4" w:space="0"/>
              <w:bottom w:val="single" w:color="auto" w:sz="4" w:space="0"/>
              <w:right w:val="single" w:color="auto" w:sz="4" w:space="0"/>
            </w:tcBorders>
            <w:vAlign w:val="center"/>
          </w:tcPr>
          <w:p w14:paraId="1AFB4226">
            <w:pPr>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w:t>
            </w:r>
          </w:p>
        </w:tc>
        <w:tc>
          <w:tcPr>
            <w:tcW w:w="1870" w:type="dxa"/>
            <w:tcBorders>
              <w:top w:val="single" w:color="auto" w:sz="4" w:space="0"/>
              <w:left w:val="single" w:color="auto" w:sz="4" w:space="0"/>
              <w:bottom w:val="single" w:color="auto" w:sz="4" w:space="0"/>
              <w:right w:val="single" w:color="auto" w:sz="4" w:space="0"/>
            </w:tcBorders>
            <w:vAlign w:val="center"/>
          </w:tcPr>
          <w:p w14:paraId="434B97F8">
            <w:pPr>
              <w:pStyle w:val="91"/>
              <w:widowControl w:val="0"/>
              <w:spacing w:before="0" w:beforeAutospacing="0" w:after="0" w:afterAutospacing="0" w:line="360" w:lineRule="auto"/>
              <w:jc w:val="center"/>
              <w:rPr>
                <w:rStyle w:val="35"/>
                <w:rFonts w:hint="eastAsia" w:ascii="宋体" w:hAnsi="宋体" w:eastAsia="宋体" w:cs="宋体"/>
                <w:b w:val="0"/>
                <w:color w:val="auto"/>
                <w:sz w:val="21"/>
                <w:szCs w:val="21"/>
                <w:highlight w:val="none"/>
              </w:rPr>
            </w:pPr>
            <w:r>
              <w:rPr>
                <w:rStyle w:val="35"/>
                <w:rFonts w:hint="eastAsia" w:ascii="宋体" w:hAnsi="宋体" w:eastAsia="宋体" w:cs="宋体"/>
                <w:b w:val="0"/>
                <w:color w:val="auto"/>
                <w:sz w:val="21"/>
                <w:szCs w:val="21"/>
                <w:highlight w:val="none"/>
              </w:rPr>
              <w:t>中标人履约担保</w:t>
            </w:r>
          </w:p>
        </w:tc>
        <w:tc>
          <w:tcPr>
            <w:tcW w:w="7426" w:type="dxa"/>
            <w:tcBorders>
              <w:top w:val="single" w:color="auto" w:sz="4" w:space="0"/>
              <w:left w:val="single" w:color="auto" w:sz="4" w:space="0"/>
              <w:bottom w:val="single" w:color="auto" w:sz="4" w:space="0"/>
              <w:right w:val="single" w:color="auto" w:sz="4" w:space="0"/>
            </w:tcBorders>
            <w:vAlign w:val="center"/>
          </w:tcPr>
          <w:p w14:paraId="7BF697FE">
            <w:pPr>
              <w:adjustRightInd w:val="0"/>
              <w:spacing w:line="360" w:lineRule="auto"/>
              <w:jc w:val="left"/>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中标人向招标人提交预估合同价的2.0%的履约保证金。具体要求如下：</w:t>
            </w:r>
          </w:p>
          <w:p w14:paraId="05D75E59">
            <w:pPr>
              <w:adjustRightInd w:val="0"/>
              <w:spacing w:line="360" w:lineRule="auto"/>
              <w:jc w:val="left"/>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1.缴纳方式：中标人通过转账方式缴纳履约保</w:t>
            </w:r>
            <w:r>
              <w:rPr>
                <w:rFonts w:hint="eastAsia" w:ascii="宋体" w:hAnsi="宋体" w:eastAsia="宋体" w:cs="宋体"/>
                <w:b w:val="0"/>
                <w:bCs w:val="0"/>
                <w:color w:val="000000"/>
                <w:sz w:val="21"/>
                <w:szCs w:val="21"/>
                <w:highlight w:val="none"/>
                <w:lang w:val="en-US" w:eastAsia="en-US"/>
              </w:rPr>
              <w:t>证金。</w:t>
            </w:r>
          </w:p>
          <w:p w14:paraId="3B280356">
            <w:pPr>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b w:val="0"/>
                <w:bCs w:val="0"/>
                <w:color w:val="000000"/>
                <w:sz w:val="21"/>
                <w:szCs w:val="21"/>
                <w:highlight w:val="none"/>
                <w:lang w:val="en-US" w:eastAsia="zh-CN"/>
              </w:rPr>
              <w:t>2.</w:t>
            </w:r>
            <w:r>
              <w:rPr>
                <w:rFonts w:hint="eastAsia" w:ascii="宋体" w:hAnsi="宋体" w:eastAsia="宋体" w:cs="宋体"/>
                <w:b w:val="0"/>
                <w:bCs w:val="0"/>
                <w:color w:val="000000"/>
                <w:sz w:val="21"/>
                <w:szCs w:val="21"/>
                <w:highlight w:val="none"/>
                <w:lang w:val="en-US" w:eastAsia="en-US"/>
              </w:rPr>
              <w:t>退还时间：履约验收后</w:t>
            </w:r>
            <w:r>
              <w:rPr>
                <w:rFonts w:hint="eastAsia" w:ascii="宋体" w:hAnsi="宋体" w:eastAsia="宋体" w:cs="宋体"/>
                <w:b w:val="0"/>
                <w:bCs w:val="0"/>
                <w:color w:val="000000"/>
                <w:sz w:val="21"/>
                <w:szCs w:val="21"/>
                <w:highlight w:val="none"/>
                <w:lang w:val="en-US" w:eastAsia="zh-CN"/>
              </w:rPr>
              <w:t>按照相关规定</w:t>
            </w:r>
            <w:r>
              <w:rPr>
                <w:rFonts w:hint="eastAsia" w:ascii="宋体" w:hAnsi="宋体" w:eastAsia="宋体" w:cs="宋体"/>
                <w:b w:val="0"/>
                <w:bCs w:val="0"/>
                <w:color w:val="000000"/>
                <w:sz w:val="21"/>
                <w:szCs w:val="21"/>
                <w:highlight w:val="none"/>
                <w:lang w:val="en-US" w:eastAsia="en-US"/>
              </w:rPr>
              <w:t>及时退还。</w:t>
            </w:r>
          </w:p>
        </w:tc>
      </w:tr>
      <w:tr w14:paraId="4C790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5" w:type="dxa"/>
            <w:gridSpan w:val="2"/>
            <w:tcBorders>
              <w:top w:val="single" w:color="auto" w:sz="4" w:space="0"/>
              <w:left w:val="single" w:color="auto" w:sz="4" w:space="0"/>
              <w:bottom w:val="single" w:color="auto" w:sz="4" w:space="0"/>
              <w:right w:val="single" w:color="auto" w:sz="4" w:space="0"/>
            </w:tcBorders>
            <w:vAlign w:val="center"/>
          </w:tcPr>
          <w:p w14:paraId="5C13435F">
            <w:pPr>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16</w:t>
            </w:r>
          </w:p>
        </w:tc>
        <w:tc>
          <w:tcPr>
            <w:tcW w:w="1870" w:type="dxa"/>
            <w:tcBorders>
              <w:top w:val="single" w:color="auto" w:sz="4" w:space="0"/>
              <w:left w:val="single" w:color="auto" w:sz="4" w:space="0"/>
              <w:bottom w:val="single" w:color="auto" w:sz="4" w:space="0"/>
              <w:right w:val="single" w:color="auto" w:sz="4" w:space="0"/>
            </w:tcBorders>
            <w:vAlign w:val="center"/>
          </w:tcPr>
          <w:p w14:paraId="248522FC">
            <w:pPr>
              <w:pStyle w:val="23"/>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开标注意事项</w:t>
            </w:r>
          </w:p>
        </w:tc>
        <w:tc>
          <w:tcPr>
            <w:tcW w:w="7426" w:type="dxa"/>
            <w:tcBorders>
              <w:top w:val="single" w:color="auto" w:sz="4" w:space="0"/>
              <w:left w:val="single" w:color="auto" w:sz="4" w:space="0"/>
              <w:bottom w:val="single" w:color="auto" w:sz="4" w:space="0"/>
              <w:right w:val="single" w:color="auto" w:sz="4" w:space="0"/>
            </w:tcBorders>
            <w:vAlign w:val="center"/>
          </w:tcPr>
          <w:p w14:paraId="3B034B3F">
            <w:pPr>
              <w:adjustRightInd w:val="0"/>
              <w:spacing w:line="360" w:lineRule="auto"/>
              <w:rPr>
                <w:rFonts w:hint="eastAsia" w:ascii="宋体" w:hAnsi="宋体" w:eastAsia="宋体" w:cs="宋体"/>
                <w:color w:val="0000FF"/>
                <w:sz w:val="21"/>
                <w:szCs w:val="21"/>
                <w:highlight w:val="none"/>
                <w:u w:val="single"/>
              </w:rPr>
            </w:pPr>
            <w:r>
              <w:rPr>
                <w:rFonts w:hint="eastAsia" w:ascii="宋体" w:hAnsi="宋体" w:eastAsia="宋体" w:cs="宋体"/>
                <w:sz w:val="21"/>
                <w:szCs w:val="21"/>
                <w:highlight w:val="none"/>
              </w:rPr>
              <w:t>开标会议邀请所有投标人代表参加</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详见投标须知中开标部分及评标办法</w:t>
            </w:r>
          </w:p>
        </w:tc>
      </w:tr>
      <w:tr w14:paraId="28DC57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5" w:type="dxa"/>
            <w:gridSpan w:val="2"/>
            <w:tcBorders>
              <w:top w:val="single" w:color="auto" w:sz="4" w:space="0"/>
              <w:left w:val="single" w:color="auto" w:sz="4" w:space="0"/>
              <w:bottom w:val="single" w:color="auto" w:sz="4" w:space="0"/>
              <w:right w:val="single" w:color="auto" w:sz="4" w:space="0"/>
            </w:tcBorders>
            <w:vAlign w:val="center"/>
          </w:tcPr>
          <w:p w14:paraId="73744D33">
            <w:pPr>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17</w:t>
            </w:r>
          </w:p>
        </w:tc>
        <w:tc>
          <w:tcPr>
            <w:tcW w:w="1870" w:type="dxa"/>
            <w:tcBorders>
              <w:top w:val="single" w:color="auto" w:sz="4" w:space="0"/>
              <w:left w:val="single" w:color="auto" w:sz="4" w:space="0"/>
              <w:bottom w:val="single" w:color="auto" w:sz="4" w:space="0"/>
              <w:right w:val="single" w:color="auto" w:sz="4" w:space="0"/>
            </w:tcBorders>
            <w:vAlign w:val="center"/>
          </w:tcPr>
          <w:p w14:paraId="234C567A">
            <w:pPr>
              <w:pStyle w:val="23"/>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总包及分包规定</w:t>
            </w:r>
          </w:p>
        </w:tc>
        <w:tc>
          <w:tcPr>
            <w:tcW w:w="7426" w:type="dxa"/>
            <w:tcBorders>
              <w:top w:val="single" w:color="auto" w:sz="4" w:space="0"/>
              <w:left w:val="single" w:color="auto" w:sz="4" w:space="0"/>
              <w:bottom w:val="single" w:color="auto" w:sz="4" w:space="0"/>
              <w:right w:val="single" w:color="auto" w:sz="4" w:space="0"/>
            </w:tcBorders>
            <w:vAlign w:val="center"/>
          </w:tcPr>
          <w:p w14:paraId="31643D59">
            <w:pPr>
              <w:adjustRightIn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投标人不得在中标后将工程转包给其它单位。</w:t>
            </w:r>
          </w:p>
        </w:tc>
      </w:tr>
      <w:tr w14:paraId="4427C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5" w:type="dxa"/>
            <w:gridSpan w:val="2"/>
            <w:tcBorders>
              <w:top w:val="single" w:color="auto" w:sz="4" w:space="0"/>
              <w:left w:val="single" w:color="auto" w:sz="4" w:space="0"/>
              <w:bottom w:val="single" w:color="auto" w:sz="4" w:space="0"/>
              <w:right w:val="single" w:color="auto" w:sz="4" w:space="0"/>
            </w:tcBorders>
            <w:vAlign w:val="center"/>
          </w:tcPr>
          <w:p w14:paraId="2F4E2C03">
            <w:pPr>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18</w:t>
            </w:r>
          </w:p>
        </w:tc>
        <w:tc>
          <w:tcPr>
            <w:tcW w:w="1870" w:type="dxa"/>
            <w:tcBorders>
              <w:top w:val="single" w:color="auto" w:sz="4" w:space="0"/>
              <w:left w:val="single" w:color="auto" w:sz="4" w:space="0"/>
              <w:bottom w:val="single" w:color="auto" w:sz="4" w:space="0"/>
              <w:right w:val="single" w:color="auto" w:sz="4" w:space="0"/>
            </w:tcBorders>
            <w:vAlign w:val="center"/>
          </w:tcPr>
          <w:p w14:paraId="49AED559">
            <w:pPr>
              <w:pStyle w:val="23"/>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对招标文件提出异议的最迟时间</w:t>
            </w:r>
          </w:p>
        </w:tc>
        <w:tc>
          <w:tcPr>
            <w:tcW w:w="7426" w:type="dxa"/>
            <w:tcBorders>
              <w:top w:val="single" w:color="auto" w:sz="4" w:space="0"/>
              <w:left w:val="single" w:color="auto" w:sz="4" w:space="0"/>
              <w:bottom w:val="single" w:color="auto" w:sz="4" w:space="0"/>
              <w:right w:val="single" w:color="auto" w:sz="4" w:space="0"/>
            </w:tcBorders>
            <w:vAlign w:val="center"/>
          </w:tcPr>
          <w:p w14:paraId="031FF562">
            <w:pPr>
              <w:pStyle w:val="16"/>
              <w:widowControl/>
              <w:spacing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投标截止3日前。</w:t>
            </w:r>
          </w:p>
        </w:tc>
      </w:tr>
      <w:tr w14:paraId="2D3648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5" w:type="dxa"/>
            <w:gridSpan w:val="2"/>
            <w:tcBorders>
              <w:top w:val="single" w:color="auto" w:sz="4" w:space="0"/>
              <w:left w:val="single" w:color="auto" w:sz="4" w:space="0"/>
              <w:bottom w:val="single" w:color="auto" w:sz="4" w:space="0"/>
              <w:right w:val="single" w:color="auto" w:sz="4" w:space="0"/>
            </w:tcBorders>
            <w:vAlign w:val="center"/>
          </w:tcPr>
          <w:p w14:paraId="0112AC93">
            <w:pPr>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19</w:t>
            </w:r>
          </w:p>
        </w:tc>
        <w:tc>
          <w:tcPr>
            <w:tcW w:w="1870" w:type="dxa"/>
            <w:tcBorders>
              <w:top w:val="single" w:color="auto" w:sz="4" w:space="0"/>
              <w:left w:val="single" w:color="auto" w:sz="4" w:space="0"/>
              <w:bottom w:val="single" w:color="auto" w:sz="4" w:space="0"/>
              <w:right w:val="single" w:color="auto" w:sz="4" w:space="0"/>
            </w:tcBorders>
            <w:vAlign w:val="center"/>
          </w:tcPr>
          <w:p w14:paraId="1838E2A2">
            <w:pPr>
              <w:pStyle w:val="23"/>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付款方式</w:t>
            </w:r>
          </w:p>
        </w:tc>
        <w:tc>
          <w:tcPr>
            <w:tcW w:w="7426" w:type="dxa"/>
            <w:tcBorders>
              <w:top w:val="single" w:color="auto" w:sz="4" w:space="0"/>
              <w:left w:val="single" w:color="auto" w:sz="4" w:space="0"/>
              <w:bottom w:val="single" w:color="auto" w:sz="4" w:space="0"/>
              <w:right w:val="single" w:color="auto" w:sz="4" w:space="0"/>
            </w:tcBorders>
          </w:tcPr>
          <w:p w14:paraId="36052B54">
            <w:pPr>
              <w:pStyle w:val="12"/>
              <w:shd w:val="clear" w:color="auto" w:fill="auto"/>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按月结算，每月实际交易电量*每月结算单价[(套餐一单价+套餐二单价）/2]</w:t>
            </w:r>
          </w:p>
          <w:p w14:paraId="5B8B3A9E">
            <w:pPr>
              <w:pStyle w:val="23"/>
              <w:adjustRightInd w:val="0"/>
              <w:spacing w:line="360" w:lineRule="auto"/>
              <w:jc w:val="left"/>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注：上网环节线损费、输配电费、系统运行费、政府性基金及附加等，在此基础上另行支付。</w:t>
            </w:r>
          </w:p>
        </w:tc>
      </w:tr>
      <w:tr w14:paraId="6D090B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28" w:type="dxa"/>
            <w:tcBorders>
              <w:top w:val="single" w:color="auto" w:sz="4" w:space="0"/>
              <w:left w:val="single" w:color="auto" w:sz="4" w:space="0"/>
              <w:bottom w:val="single" w:color="auto" w:sz="4" w:space="0"/>
              <w:right w:val="single" w:color="auto" w:sz="4" w:space="0"/>
            </w:tcBorders>
            <w:vAlign w:val="center"/>
          </w:tcPr>
          <w:p w14:paraId="68FD5667">
            <w:pPr>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20</w:t>
            </w:r>
          </w:p>
        </w:tc>
        <w:tc>
          <w:tcPr>
            <w:tcW w:w="1887" w:type="dxa"/>
            <w:gridSpan w:val="2"/>
            <w:tcBorders>
              <w:top w:val="single" w:color="auto" w:sz="4" w:space="0"/>
              <w:left w:val="single" w:color="auto" w:sz="4" w:space="0"/>
              <w:bottom w:val="single" w:color="auto" w:sz="4" w:space="0"/>
              <w:right w:val="single" w:color="auto" w:sz="4" w:space="0"/>
            </w:tcBorders>
            <w:vAlign w:val="center"/>
          </w:tcPr>
          <w:p w14:paraId="5369192B">
            <w:pPr>
              <w:pStyle w:val="23"/>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招标代理服务费</w:t>
            </w:r>
          </w:p>
        </w:tc>
        <w:tc>
          <w:tcPr>
            <w:tcW w:w="7426" w:type="dxa"/>
            <w:tcBorders>
              <w:top w:val="single" w:color="auto" w:sz="4" w:space="0"/>
              <w:left w:val="single" w:color="auto" w:sz="4" w:space="0"/>
              <w:bottom w:val="single" w:color="auto" w:sz="4" w:space="0"/>
              <w:right w:val="single" w:color="auto" w:sz="4" w:space="0"/>
            </w:tcBorders>
            <w:vAlign w:val="center"/>
          </w:tcPr>
          <w:p w14:paraId="65D6148D">
            <w:pPr>
              <w:pStyle w:val="91"/>
              <w:spacing w:before="0" w:beforeAutospacing="0" w:after="0" w:afterAutospacing="0" w:line="360" w:lineRule="auto"/>
              <w:jc w:val="both"/>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bidi="ar-SA"/>
              </w:rPr>
              <w:t>中标人支付，中标人在领取中标通知书前，须向招标代理机构交纳代理服务费10000元。此费用应综合进投标单价和总价中，中标人不得要求招标人另行支付，招标代理机构提供中标人增值税普通发票。</w:t>
            </w:r>
          </w:p>
        </w:tc>
      </w:tr>
      <w:tr w14:paraId="3EEF24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5" w:type="dxa"/>
            <w:gridSpan w:val="2"/>
            <w:tcBorders>
              <w:top w:val="single" w:color="auto" w:sz="4" w:space="0"/>
              <w:left w:val="single" w:color="auto" w:sz="4" w:space="0"/>
              <w:bottom w:val="single" w:color="auto" w:sz="4" w:space="0"/>
              <w:right w:val="single" w:color="auto" w:sz="4" w:space="0"/>
            </w:tcBorders>
            <w:vAlign w:val="center"/>
          </w:tcPr>
          <w:p w14:paraId="1C3216CD">
            <w:pPr>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w:t>
            </w:r>
          </w:p>
        </w:tc>
        <w:tc>
          <w:tcPr>
            <w:tcW w:w="1870" w:type="dxa"/>
            <w:tcBorders>
              <w:top w:val="single" w:color="auto" w:sz="4" w:space="0"/>
              <w:left w:val="single" w:color="auto" w:sz="4" w:space="0"/>
              <w:bottom w:val="single" w:color="auto" w:sz="4" w:space="0"/>
              <w:right w:val="single" w:color="auto" w:sz="4" w:space="0"/>
            </w:tcBorders>
            <w:vAlign w:val="center"/>
          </w:tcPr>
          <w:p w14:paraId="2E3DDDA1">
            <w:pPr>
              <w:adjustRightInd w:val="0"/>
              <w:spacing w:line="360" w:lineRule="auto"/>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领取中标通知书及合同签订要求</w:t>
            </w:r>
          </w:p>
        </w:tc>
        <w:tc>
          <w:tcPr>
            <w:tcW w:w="7426" w:type="dxa"/>
            <w:tcBorders>
              <w:top w:val="single" w:color="auto" w:sz="4" w:space="0"/>
              <w:left w:val="single" w:color="auto" w:sz="4" w:space="0"/>
              <w:bottom w:val="single" w:color="auto" w:sz="4" w:space="0"/>
              <w:right w:val="single" w:color="auto" w:sz="4" w:space="0"/>
            </w:tcBorders>
          </w:tcPr>
          <w:p w14:paraId="0EF833A9">
            <w:pPr>
              <w:pStyle w:val="91"/>
              <w:spacing w:before="0" w:beforeAutospacing="0" w:after="0" w:afterAutospacing="0"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1.中标人应在中标公示发布后的</w:t>
            </w:r>
            <w:r>
              <w:rPr>
                <w:rFonts w:hint="eastAsia" w:ascii="宋体" w:hAnsi="宋体" w:eastAsia="宋体" w:cs="宋体"/>
                <w:sz w:val="21"/>
                <w:szCs w:val="21"/>
                <w:highlight w:val="none"/>
                <w:u w:val="single"/>
              </w:rPr>
              <w:t xml:space="preserve"> 5 </w:t>
            </w:r>
            <w:r>
              <w:rPr>
                <w:rFonts w:hint="eastAsia" w:ascii="宋体" w:hAnsi="宋体" w:eastAsia="宋体" w:cs="宋体"/>
                <w:sz w:val="21"/>
                <w:szCs w:val="21"/>
                <w:highlight w:val="none"/>
              </w:rPr>
              <w:t>天内领取《中标通知书》，逾期不领取视为放弃中标资格，招标人有权取消中标人中标资格，并将相关情况报送监管部门，由监管部门按规定处理。</w:t>
            </w:r>
          </w:p>
          <w:p w14:paraId="4578C7F5">
            <w:pPr>
              <w:pStyle w:val="91"/>
              <w:spacing w:before="0" w:beforeAutospacing="0" w:after="0" w:afterAutospacing="0" w:line="360" w:lineRule="auto"/>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2.中标人应在领取《中标通知书》后的</w:t>
            </w:r>
            <w:r>
              <w:rPr>
                <w:rFonts w:hint="eastAsia" w:ascii="宋体" w:hAnsi="宋体" w:eastAsia="宋体" w:cs="宋体"/>
                <w:sz w:val="21"/>
                <w:szCs w:val="21"/>
                <w:highlight w:val="none"/>
                <w:u w:val="single"/>
              </w:rPr>
              <w:t xml:space="preserve"> 30</w:t>
            </w:r>
            <w:r>
              <w:rPr>
                <w:rFonts w:hint="eastAsia" w:ascii="宋体" w:hAnsi="宋体" w:eastAsia="宋体" w:cs="宋体"/>
                <w:sz w:val="21"/>
                <w:szCs w:val="21"/>
                <w:highlight w:val="none"/>
              </w:rPr>
              <w:t>天内提交履约担保并与招标人签订合同，逾期未提交履约担保或签订合同的，招标人有权拒签合同、取消中标人中标资格，并将相关违约行为报送监管部门，由监管部门按规定处理。</w:t>
            </w:r>
          </w:p>
        </w:tc>
      </w:tr>
      <w:tr w14:paraId="3071A3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5" w:type="dxa"/>
            <w:gridSpan w:val="2"/>
            <w:tcBorders>
              <w:top w:val="single" w:color="auto" w:sz="4" w:space="0"/>
              <w:left w:val="single" w:color="auto" w:sz="4" w:space="0"/>
              <w:bottom w:val="single" w:color="auto" w:sz="4" w:space="0"/>
              <w:right w:val="single" w:color="auto" w:sz="4" w:space="0"/>
            </w:tcBorders>
            <w:vAlign w:val="center"/>
          </w:tcPr>
          <w:p w14:paraId="7A195FF8">
            <w:pPr>
              <w:adjustRightInd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w:t>
            </w:r>
          </w:p>
        </w:tc>
        <w:tc>
          <w:tcPr>
            <w:tcW w:w="1870" w:type="dxa"/>
            <w:tcBorders>
              <w:top w:val="single" w:color="auto" w:sz="4" w:space="0"/>
              <w:left w:val="single" w:color="auto" w:sz="4" w:space="0"/>
              <w:bottom w:val="single" w:color="auto" w:sz="4" w:space="0"/>
              <w:right w:val="single" w:color="auto" w:sz="4" w:space="0"/>
            </w:tcBorders>
            <w:vAlign w:val="center"/>
          </w:tcPr>
          <w:p w14:paraId="605CFB29">
            <w:pPr>
              <w:rPr>
                <w:rFonts w:hint="eastAsia" w:ascii="宋体" w:hAnsi="宋体" w:eastAsia="宋体" w:cs="宋体"/>
                <w:sz w:val="21"/>
                <w:szCs w:val="21"/>
                <w:highlight w:val="none"/>
              </w:rPr>
            </w:pPr>
            <w:r>
              <w:rPr>
                <w:rFonts w:hint="eastAsia" w:ascii="宋体" w:hAnsi="宋体" w:eastAsia="宋体" w:cs="宋体"/>
                <w:bCs/>
                <w:sz w:val="21"/>
                <w:szCs w:val="21"/>
                <w:highlight w:val="none"/>
              </w:rPr>
              <w:t>招标文件的解释权顺序</w:t>
            </w:r>
          </w:p>
        </w:tc>
        <w:tc>
          <w:tcPr>
            <w:tcW w:w="7426" w:type="dxa"/>
            <w:tcBorders>
              <w:top w:val="single" w:color="auto" w:sz="4" w:space="0"/>
              <w:left w:val="single" w:color="auto" w:sz="4" w:space="0"/>
              <w:bottom w:val="single" w:color="auto" w:sz="4" w:space="0"/>
              <w:right w:val="single" w:color="auto" w:sz="4" w:space="0"/>
            </w:tcBorders>
            <w:vAlign w:val="center"/>
          </w:tcPr>
          <w:p w14:paraId="0C92D31B">
            <w:pPr>
              <w:adjustRightIn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1.构成本招标文件的各个组成文件应互为解释，互为说明；</w:t>
            </w:r>
          </w:p>
          <w:p w14:paraId="4C60D2E8">
            <w:pPr>
              <w:adjustRightIn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2. 招标文件约定中如有不明确或不一致的，构成合同组成内容的，以合同文件约定内容为准；</w:t>
            </w:r>
          </w:p>
          <w:p w14:paraId="38646F36">
            <w:pPr>
              <w:adjustRightIn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3.除招标文件中有特别规定外，同一组成文件中就同一事项的规定或约定不一致的，按评标办法、</w:t>
            </w:r>
            <w:r>
              <w:rPr>
                <w:rFonts w:hint="eastAsia" w:ascii="宋体" w:hAnsi="宋体" w:eastAsia="宋体" w:cs="宋体"/>
                <w:sz w:val="21"/>
                <w:szCs w:val="21"/>
                <w:highlight w:val="none"/>
                <w:lang w:eastAsia="zh-CN"/>
              </w:rPr>
              <w:t>招标公告</w:t>
            </w:r>
            <w:r>
              <w:rPr>
                <w:rFonts w:hint="eastAsia" w:ascii="宋体" w:hAnsi="宋体" w:eastAsia="宋体" w:cs="宋体"/>
                <w:sz w:val="21"/>
                <w:szCs w:val="21"/>
                <w:highlight w:val="none"/>
              </w:rPr>
              <w:t>、投标须知、招标文件格式的优先顺序解释；</w:t>
            </w:r>
          </w:p>
          <w:p w14:paraId="5B21139B">
            <w:pPr>
              <w:adjustRightInd w:val="0"/>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4.按上述规定仍不能形成结论的，由</w:t>
            </w:r>
            <w:r>
              <w:rPr>
                <w:rFonts w:hint="eastAsia" w:ascii="宋体" w:hAnsi="宋体" w:eastAsia="宋体" w:cs="宋体"/>
                <w:sz w:val="21"/>
                <w:szCs w:val="21"/>
                <w:highlight w:val="none"/>
                <w:lang w:eastAsia="zh-CN"/>
              </w:rPr>
              <w:t>招标人</w:t>
            </w:r>
            <w:r>
              <w:rPr>
                <w:rFonts w:hint="eastAsia" w:ascii="宋体" w:hAnsi="宋体" w:eastAsia="宋体" w:cs="宋体"/>
                <w:sz w:val="21"/>
                <w:szCs w:val="21"/>
                <w:highlight w:val="none"/>
              </w:rPr>
              <w:t>或其委托的</w:t>
            </w:r>
            <w:r>
              <w:rPr>
                <w:rFonts w:hint="eastAsia" w:ascii="宋体" w:hAnsi="宋体" w:eastAsia="宋体" w:cs="宋体"/>
                <w:sz w:val="21"/>
                <w:szCs w:val="21"/>
                <w:highlight w:val="none"/>
                <w:lang w:val="en-US" w:eastAsia="zh-CN"/>
              </w:rPr>
              <w:t>招标</w:t>
            </w:r>
            <w:r>
              <w:rPr>
                <w:rFonts w:hint="eastAsia" w:ascii="宋体" w:hAnsi="宋体" w:eastAsia="宋体" w:cs="宋体"/>
                <w:sz w:val="21"/>
                <w:szCs w:val="21"/>
                <w:highlight w:val="none"/>
              </w:rPr>
              <w:t>代理机构负责解释。</w:t>
            </w:r>
          </w:p>
        </w:tc>
      </w:tr>
      <w:tr w14:paraId="4BA052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5" w:type="dxa"/>
            <w:gridSpan w:val="2"/>
            <w:tcBorders>
              <w:top w:val="single" w:color="auto" w:sz="4" w:space="0"/>
              <w:left w:val="single" w:color="auto" w:sz="4" w:space="0"/>
              <w:bottom w:val="single" w:color="auto" w:sz="4" w:space="0"/>
              <w:right w:val="single" w:color="auto" w:sz="4" w:space="0"/>
            </w:tcBorders>
            <w:vAlign w:val="center"/>
          </w:tcPr>
          <w:p w14:paraId="331F7BE5">
            <w:pPr>
              <w:adjustRightInd w:val="0"/>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23</w:t>
            </w:r>
          </w:p>
        </w:tc>
        <w:tc>
          <w:tcPr>
            <w:tcW w:w="1870" w:type="dxa"/>
            <w:tcBorders>
              <w:top w:val="single" w:color="auto" w:sz="4" w:space="0"/>
              <w:left w:val="single" w:color="auto" w:sz="4" w:space="0"/>
              <w:bottom w:val="single" w:color="auto" w:sz="4" w:space="0"/>
              <w:right w:val="single" w:color="auto" w:sz="4" w:space="0"/>
            </w:tcBorders>
            <w:vAlign w:val="center"/>
          </w:tcPr>
          <w:p w14:paraId="6B690F88">
            <w:pPr>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重要提示</w:t>
            </w:r>
            <w:r>
              <w:rPr>
                <w:rFonts w:hint="eastAsia" w:ascii="宋体" w:hAnsi="宋体" w:cs="宋体"/>
                <w:bCs/>
                <w:sz w:val="21"/>
                <w:szCs w:val="21"/>
                <w:highlight w:val="none"/>
                <w:lang w:val="en-US" w:eastAsia="zh-CN"/>
              </w:rPr>
              <w:t>一</w:t>
            </w:r>
          </w:p>
        </w:tc>
        <w:tc>
          <w:tcPr>
            <w:tcW w:w="7426" w:type="dxa"/>
            <w:tcBorders>
              <w:top w:val="single" w:color="auto" w:sz="4" w:space="0"/>
              <w:left w:val="single" w:color="auto" w:sz="4" w:space="0"/>
              <w:bottom w:val="single" w:color="auto" w:sz="4" w:space="0"/>
              <w:right w:val="single" w:color="auto" w:sz="4" w:space="0"/>
            </w:tcBorders>
            <w:vAlign w:val="center"/>
          </w:tcPr>
          <w:p w14:paraId="0EB64FE4">
            <w:pPr>
              <w:numPr>
                <w:ilvl w:val="0"/>
                <w:numId w:val="0"/>
              </w:numPr>
              <w:snapToGrid w:val="0"/>
              <w:spacing w:beforeAutospacing="0" w:afterAutospacing="0" w:line="360" w:lineRule="auto"/>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1.提供增值服务约定：</w:t>
            </w:r>
            <w:r>
              <w:rPr>
                <w:rFonts w:hint="eastAsia" w:ascii="宋体" w:hAnsi="宋体" w:eastAsia="宋体" w:cs="宋体"/>
                <w:color w:val="auto"/>
                <w:kern w:val="0"/>
                <w:sz w:val="21"/>
                <w:szCs w:val="21"/>
                <w:highlight w:val="none"/>
                <w:lang w:val="en-US" w:eastAsia="zh-CN" w:bidi="ar-SA"/>
              </w:rPr>
              <w:t>中标人在合同期内需免费提供增值服务，具体涵盖园区内高压设备与设施的维护保养、计量设备维护及相关数据录入等服务内容，对设备的日常维护过程中发现隐患或者问题及时上报招标人，招标人进行维修。</w:t>
            </w:r>
          </w:p>
          <w:p w14:paraId="4297A19E">
            <w:pPr>
              <w:numPr>
                <w:ilvl w:val="0"/>
                <w:numId w:val="0"/>
              </w:numPr>
              <w:snapToGrid w:val="0"/>
              <w:spacing w:beforeAutospacing="0" w:afterAutospacing="0" w:line="360" w:lineRule="auto"/>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2.合同依据与服务方案要求</w:t>
            </w:r>
            <w:r>
              <w:rPr>
                <w:rFonts w:hint="eastAsia" w:ascii="宋体" w:hAnsi="宋体" w:eastAsia="宋体" w:cs="宋体"/>
                <w:color w:val="auto"/>
                <w:kern w:val="0"/>
                <w:sz w:val="21"/>
                <w:szCs w:val="21"/>
                <w:highlight w:val="none"/>
                <w:lang w:val="en-US" w:eastAsia="zh-CN" w:bidi="ar-SA"/>
              </w:rPr>
              <w:t>：本次招标工作以</w:t>
            </w:r>
            <w:r>
              <w:rPr>
                <w:rFonts w:hint="eastAsia" w:ascii="宋体" w:hAnsi="宋体" w:cs="宋体"/>
                <w:color w:val="auto"/>
                <w:kern w:val="0"/>
                <w:sz w:val="21"/>
                <w:szCs w:val="21"/>
                <w:highlight w:val="none"/>
                <w:lang w:val="en-US" w:eastAsia="zh-CN" w:bidi="ar-SA"/>
              </w:rPr>
              <w:t>2026</w:t>
            </w:r>
            <w:r>
              <w:rPr>
                <w:rFonts w:hint="eastAsia" w:ascii="宋体" w:hAnsi="宋体" w:eastAsia="宋体" w:cs="宋体"/>
                <w:color w:val="auto"/>
                <w:kern w:val="0"/>
                <w:sz w:val="21"/>
                <w:szCs w:val="21"/>
                <w:highlight w:val="none"/>
                <w:lang w:val="en-US" w:eastAsia="zh-CN" w:bidi="ar-SA"/>
              </w:rPr>
              <w:t>售电合同作为执行依据。投标人须在投标文件中，针对套餐一和套餐二分别制定最优化报价及建议方案并上报。</w:t>
            </w:r>
          </w:p>
          <w:p w14:paraId="73F0BEB4">
            <w:pPr>
              <w:numPr>
                <w:ilvl w:val="0"/>
                <w:numId w:val="0"/>
              </w:numPr>
              <w:snapToGrid w:val="0"/>
              <w:spacing w:beforeAutospacing="0" w:afterAutospacing="0" w:line="360" w:lineRule="auto"/>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3.合同解除限制：</w:t>
            </w:r>
            <w:r>
              <w:rPr>
                <w:rFonts w:hint="eastAsia" w:ascii="宋体" w:hAnsi="宋体" w:eastAsia="宋体" w:cs="宋体"/>
                <w:color w:val="auto"/>
                <w:kern w:val="0"/>
                <w:sz w:val="21"/>
                <w:szCs w:val="21"/>
                <w:highlight w:val="none"/>
                <w:lang w:val="en-US" w:eastAsia="zh-CN" w:bidi="ar-SA"/>
              </w:rPr>
              <w:t>售电合同一经双方签订生效，除经招标人书面同意外，中标人不得单方面提出解除合同，亦不得通过其他方式变相终止合同履行。</w:t>
            </w:r>
          </w:p>
          <w:p w14:paraId="401A76F6">
            <w:pPr>
              <w:numPr>
                <w:ilvl w:val="0"/>
                <w:numId w:val="0"/>
              </w:numPr>
              <w:snapToGrid w:val="0"/>
              <w:spacing w:beforeAutospacing="0" w:afterAutospacing="0" w:line="360" w:lineRule="auto"/>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4.服务套餐变更处理：</w:t>
            </w:r>
            <w:r>
              <w:rPr>
                <w:rFonts w:hint="eastAsia" w:ascii="宋体" w:hAnsi="宋体" w:eastAsia="宋体" w:cs="宋体"/>
                <w:color w:val="auto"/>
                <w:kern w:val="0"/>
                <w:sz w:val="21"/>
                <w:szCs w:val="21"/>
                <w:highlight w:val="none"/>
                <w:lang w:val="en-US" w:eastAsia="zh-CN" w:bidi="ar-SA"/>
              </w:rPr>
              <w:t>在服务期限内，若合同约定的套餐在实施过程中招标人认为变更套餐有利于降低成本，中标人应无条件配合招标人，按照招标人要求及时完成新合同的拟定与上传工作，确保变更流程合规、高效推进。</w:t>
            </w:r>
          </w:p>
          <w:p w14:paraId="7E0FBF44">
            <w:pPr>
              <w:pStyle w:val="58"/>
              <w:numPr>
                <w:ilvl w:val="0"/>
                <w:numId w:val="0"/>
              </w:numPr>
              <w:tabs>
                <w:tab w:val="left" w:pos="1140"/>
              </w:tabs>
              <w:snapToGrid w:val="0"/>
              <w:spacing w:line="360" w:lineRule="auto"/>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5.每月在电费单出具后5个工作日内，须向</w:t>
            </w:r>
            <w:r>
              <w:rPr>
                <w:rFonts w:hint="eastAsia" w:ascii="宋体" w:hAnsi="宋体" w:eastAsia="宋体" w:cs="宋体"/>
                <w:bCs/>
                <w:color w:val="auto"/>
                <w:sz w:val="21"/>
                <w:szCs w:val="21"/>
                <w:highlight w:val="none"/>
                <w:lang w:val="en-US" w:eastAsia="zh-CN"/>
              </w:rPr>
              <w:t>招标</w:t>
            </w:r>
            <w:r>
              <w:rPr>
                <w:rFonts w:hint="eastAsia" w:ascii="宋体" w:hAnsi="宋体" w:eastAsia="宋体" w:cs="宋体"/>
                <w:color w:val="auto"/>
                <w:kern w:val="0"/>
                <w:sz w:val="21"/>
                <w:szCs w:val="21"/>
                <w:highlight w:val="none"/>
                <w:lang w:val="en-US" w:eastAsia="zh-CN" w:bidi="ar-SA"/>
              </w:rPr>
              <w:t>人出具《电费单分析表》，内容包括：当月各时段用电量、套餐一/套餐二结算金额、综合费用、与售电合同套餐比对结果、差异说明（如有），若《电费单分析表》与供电公司电费单存在差异，中标人需在5个工作日内协调供电公司核查处理，并向</w:t>
            </w:r>
            <w:r>
              <w:rPr>
                <w:rFonts w:hint="eastAsia" w:ascii="宋体" w:hAnsi="宋体" w:eastAsia="宋体" w:cs="宋体"/>
                <w:bCs/>
                <w:color w:val="auto"/>
                <w:sz w:val="21"/>
                <w:szCs w:val="21"/>
                <w:highlight w:val="none"/>
                <w:lang w:val="en-US" w:eastAsia="zh-CN"/>
              </w:rPr>
              <w:t>招标</w:t>
            </w:r>
            <w:r>
              <w:rPr>
                <w:rFonts w:hint="eastAsia" w:ascii="宋体" w:hAnsi="宋体" w:eastAsia="宋体" w:cs="宋体"/>
                <w:color w:val="auto"/>
                <w:kern w:val="0"/>
                <w:sz w:val="21"/>
                <w:szCs w:val="21"/>
                <w:highlight w:val="none"/>
                <w:lang w:val="en-US" w:eastAsia="zh-CN" w:bidi="ar-SA"/>
              </w:rPr>
              <w:t>人提交处理报告；若有缴纳电费超过合同约定的金额情况发生，且未能协调供电公司退费的情况下，</w:t>
            </w:r>
            <w:r>
              <w:rPr>
                <w:rFonts w:hint="eastAsia" w:ascii="宋体" w:hAnsi="宋体" w:eastAsia="宋体" w:cs="宋体"/>
                <w:bCs/>
                <w:color w:val="auto"/>
                <w:sz w:val="21"/>
                <w:szCs w:val="21"/>
                <w:highlight w:val="none"/>
                <w:lang w:val="en-US" w:eastAsia="zh-CN"/>
              </w:rPr>
              <w:t>招标</w:t>
            </w:r>
            <w:r>
              <w:rPr>
                <w:rFonts w:hint="eastAsia" w:ascii="宋体" w:hAnsi="宋体" w:eastAsia="宋体" w:cs="宋体"/>
                <w:color w:val="auto"/>
                <w:kern w:val="0"/>
                <w:sz w:val="21"/>
                <w:szCs w:val="21"/>
                <w:highlight w:val="none"/>
                <w:lang w:val="en-US" w:eastAsia="zh-CN" w:bidi="ar-SA"/>
              </w:rPr>
              <w:t>人有权向中标人追偿差异金额。</w:t>
            </w:r>
          </w:p>
          <w:p w14:paraId="613EAC73">
            <w:pPr>
              <w:widowControl w:val="0"/>
              <w:shd w:val="clear" w:color="auto" w:fill="auto"/>
              <w:autoSpaceDE w:val="0"/>
              <w:autoSpaceDN w:val="0"/>
              <w:adjustRightInd/>
              <w:snapToGrid w:val="0"/>
              <w:spacing w:beforeAutospacing="0" w:afterAutospacing="0" w:line="360" w:lineRule="auto"/>
              <w:jc w:val="both"/>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6.中标人负责监控招标人实际用电量与申报电量的偏差，因电量偏差产生的考核费用（含安徽电力交易中心收取的罚款、违约金等），由中标人全额承担，不得向招标人转嫁。</w:t>
            </w:r>
          </w:p>
          <w:p w14:paraId="654EEC66">
            <w:pPr>
              <w:pStyle w:val="58"/>
              <w:numPr>
                <w:ilvl w:val="0"/>
                <w:numId w:val="0"/>
              </w:numPr>
              <w:tabs>
                <w:tab w:val="left" w:pos="1140"/>
              </w:tabs>
              <w:snapToGrid w:val="0"/>
              <w:spacing w:line="360" w:lineRule="auto"/>
              <w:jc w:val="both"/>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7.中标人应在合同到期前 3 个月启动与</w:t>
            </w:r>
            <w:r>
              <w:rPr>
                <w:rFonts w:hint="eastAsia" w:ascii="宋体" w:hAnsi="宋体" w:eastAsia="宋体" w:cs="宋体"/>
                <w:b/>
                <w:bCs/>
                <w:color w:val="auto"/>
                <w:sz w:val="21"/>
                <w:szCs w:val="21"/>
                <w:highlight w:val="none"/>
                <w:lang w:val="en-US" w:eastAsia="zh-CN"/>
              </w:rPr>
              <w:t>招标</w:t>
            </w:r>
            <w:r>
              <w:rPr>
                <w:rFonts w:hint="eastAsia" w:ascii="宋体" w:hAnsi="宋体" w:eastAsia="宋体" w:cs="宋体"/>
                <w:b/>
                <w:bCs/>
                <w:color w:val="auto"/>
                <w:kern w:val="0"/>
                <w:sz w:val="21"/>
                <w:szCs w:val="21"/>
                <w:highlight w:val="none"/>
                <w:lang w:val="en-US" w:eastAsia="zh-CN" w:bidi="ar-SA"/>
              </w:rPr>
              <w:t>人的对接工作，明确后续合同续签事宜或完成工作交接；合同到期后，若未完成续签或交接，因此带来的高额标准缴纳电费的情况，由招标人向中标人追偿。</w:t>
            </w:r>
          </w:p>
          <w:p w14:paraId="749167D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sz w:val="21"/>
                <w:szCs w:val="21"/>
                <w:highlight w:val="none"/>
              </w:rPr>
            </w:pPr>
            <w:r>
              <w:rPr>
                <w:rFonts w:hint="eastAsia" w:ascii="宋体" w:hAnsi="宋体" w:eastAsia="宋体" w:cs="宋体"/>
                <w:b/>
                <w:bCs/>
                <w:color w:val="auto"/>
                <w:kern w:val="0"/>
                <w:sz w:val="21"/>
                <w:szCs w:val="21"/>
                <w:highlight w:val="none"/>
                <w:lang w:val="en-US" w:eastAsia="zh-CN" w:bidi="ar-SA"/>
              </w:rPr>
              <w:t>8.因合同条件和政策变化不利于招标人履行合同时或招标人利益受损，中标人在知道或应当知道的15日历天内，向招标人说明利害关系，否则招标人有权向中标人追索带来的损失。</w:t>
            </w:r>
          </w:p>
        </w:tc>
      </w:tr>
      <w:tr w14:paraId="1AF45B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jc w:val="center"/>
        </w:trPr>
        <w:tc>
          <w:tcPr>
            <w:tcW w:w="845" w:type="dxa"/>
            <w:gridSpan w:val="2"/>
            <w:tcBorders>
              <w:top w:val="single" w:color="auto" w:sz="4" w:space="0"/>
              <w:left w:val="single" w:color="auto" w:sz="4" w:space="0"/>
              <w:bottom w:val="single" w:color="auto" w:sz="4" w:space="0"/>
              <w:right w:val="single" w:color="auto" w:sz="4" w:space="0"/>
            </w:tcBorders>
            <w:vAlign w:val="center"/>
          </w:tcPr>
          <w:p w14:paraId="5F68F74C">
            <w:pPr>
              <w:adjustRightInd w:val="0"/>
              <w:spacing w:line="360" w:lineRule="auto"/>
              <w:jc w:val="center"/>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24</w:t>
            </w:r>
          </w:p>
        </w:tc>
        <w:tc>
          <w:tcPr>
            <w:tcW w:w="1870" w:type="dxa"/>
            <w:tcBorders>
              <w:top w:val="single" w:color="auto" w:sz="4" w:space="0"/>
              <w:left w:val="single" w:color="auto" w:sz="4" w:space="0"/>
              <w:bottom w:val="single" w:color="auto" w:sz="4" w:space="0"/>
              <w:right w:val="single" w:color="auto" w:sz="4" w:space="0"/>
            </w:tcBorders>
            <w:vAlign w:val="center"/>
          </w:tcPr>
          <w:p w14:paraId="67968B6D">
            <w:pPr>
              <w:rPr>
                <w:rFonts w:hint="default" w:ascii="宋体" w:hAnsi="宋体" w:eastAsia="宋体" w:cs="宋体"/>
                <w:bCs/>
                <w:sz w:val="21"/>
                <w:szCs w:val="21"/>
                <w:highlight w:val="none"/>
                <w:lang w:val="en-US" w:eastAsia="zh-CN"/>
              </w:rPr>
            </w:pPr>
            <w:r>
              <w:rPr>
                <w:rFonts w:hint="eastAsia" w:cs="宋体"/>
                <w:b/>
                <w:bCs w:val="0"/>
                <w:color w:val="auto"/>
                <w:sz w:val="21"/>
                <w:szCs w:val="21"/>
                <w:highlight w:val="none"/>
                <w:lang w:val="en-US" w:eastAsia="zh-CN"/>
              </w:rPr>
              <w:t>重要提示二</w:t>
            </w:r>
          </w:p>
        </w:tc>
        <w:tc>
          <w:tcPr>
            <w:tcW w:w="7426" w:type="dxa"/>
            <w:tcBorders>
              <w:top w:val="single" w:color="auto" w:sz="4" w:space="0"/>
              <w:left w:val="single" w:color="auto" w:sz="4" w:space="0"/>
              <w:bottom w:val="single" w:color="auto" w:sz="4" w:space="0"/>
              <w:right w:val="single" w:color="auto" w:sz="4" w:space="0"/>
            </w:tcBorders>
            <w:vAlign w:val="center"/>
          </w:tcPr>
          <w:p w14:paraId="51EDFF3A">
            <w:pPr>
              <w:pStyle w:val="58"/>
              <w:numPr>
                <w:ilvl w:val="0"/>
                <w:numId w:val="0"/>
              </w:numPr>
              <w:tabs>
                <w:tab w:val="left" w:pos="1140"/>
              </w:tabs>
              <w:snapToGrid w:val="0"/>
              <w:spacing w:line="360" w:lineRule="auto"/>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“安徽电力零售市场零售套餐参数2026年版”说明条款</w:t>
            </w:r>
          </w:p>
          <w:p w14:paraId="6D83F115">
            <w:pPr>
              <w:pStyle w:val="92"/>
              <w:keepNext w:val="0"/>
              <w:keepLines w:val="0"/>
              <w:pageBreakBefore w:val="0"/>
              <w:widowControl w:val="0"/>
              <w:numPr>
                <w:ilvl w:val="0"/>
                <w:numId w:val="0"/>
              </w:numPr>
              <w:tabs>
                <w:tab w:val="left" w:pos="262"/>
              </w:tabs>
              <w:kinsoku/>
              <w:wordWrap/>
              <w:overflowPunct/>
              <w:topLinePunct w:val="0"/>
              <w:autoSpaceDE w:val="0"/>
              <w:autoSpaceDN w:val="0"/>
              <w:bidi w:val="0"/>
              <w:adjustRightInd/>
              <w:snapToGrid/>
              <w:spacing w:before="0" w:after="0" w:line="360" w:lineRule="auto"/>
              <w:ind w:left="23" w:leftChars="0" w:right="0" w:rightChars="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1.甲方各时段电能量按照约定的零售套餐价格结算。常规电量单位为兆瓦时（保留三位小数），绿电电量单位为兆瓦时（整数）；电价（含税）单位为元/兆瓦时（保留三位小数）；比例为%。</w:t>
            </w:r>
          </w:p>
          <w:p w14:paraId="70EA2045">
            <w:pPr>
              <w:pStyle w:val="92"/>
              <w:keepNext w:val="0"/>
              <w:keepLines w:val="0"/>
              <w:pageBreakBefore w:val="0"/>
              <w:widowControl w:val="0"/>
              <w:numPr>
                <w:ilvl w:val="0"/>
                <w:numId w:val="0"/>
              </w:numPr>
              <w:tabs>
                <w:tab w:val="left" w:pos="262"/>
              </w:tabs>
              <w:kinsoku/>
              <w:wordWrap/>
              <w:overflowPunct/>
              <w:topLinePunct w:val="0"/>
              <w:autoSpaceDE w:val="0"/>
              <w:autoSpaceDN w:val="0"/>
              <w:bidi w:val="0"/>
              <w:adjustRightInd/>
              <w:snapToGrid/>
              <w:spacing w:before="0" w:after="0" w:line="360" w:lineRule="auto"/>
              <w:ind w:left="23" w:leftChars="0" w:right="0" w:rightChars="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2.套餐一电能量占比K</w:t>
            </w:r>
            <w:r>
              <w:rPr>
                <w:rFonts w:hint="eastAsia" w:ascii="宋体" w:hAnsi="宋体" w:eastAsia="宋体" w:cs="宋体"/>
                <w:b w:val="0"/>
                <w:bCs w:val="0"/>
                <w:sz w:val="21"/>
                <w:szCs w:val="21"/>
                <w:vertAlign w:val="subscript"/>
                <w:lang w:val="en-US" w:eastAsia="zh-CN"/>
              </w:rPr>
              <w:t>1</w:t>
            </w:r>
            <w:r>
              <w:rPr>
                <w:rFonts w:hint="eastAsia" w:ascii="宋体" w:hAnsi="宋体" w:eastAsia="宋体" w:cs="宋体"/>
                <w:b w:val="0"/>
                <w:bCs w:val="0"/>
                <w:sz w:val="21"/>
                <w:szCs w:val="21"/>
                <w:lang w:val="en-US" w:eastAsia="zh-CN"/>
              </w:rPr>
              <w:t>%不高于50%（以《安徽电力中长期交易实施方案（2026年版）》公布数值为准），不能单独选择，需与套餐二或套餐三形成组合套餐；套餐二或套餐三可以单独选择（单独选择时K</w:t>
            </w:r>
            <w:r>
              <w:rPr>
                <w:rFonts w:hint="eastAsia" w:ascii="宋体" w:hAnsi="宋体" w:eastAsia="宋体" w:cs="宋体"/>
                <w:b w:val="0"/>
                <w:bCs w:val="0"/>
                <w:sz w:val="21"/>
                <w:szCs w:val="21"/>
                <w:vertAlign w:val="subscript"/>
                <w:lang w:val="en-US" w:eastAsia="zh-CN"/>
              </w:rPr>
              <w:t>2</w:t>
            </w:r>
            <w:r>
              <w:rPr>
                <w:rFonts w:hint="eastAsia" w:ascii="宋体" w:hAnsi="宋体" w:eastAsia="宋体" w:cs="宋体"/>
                <w:b w:val="0"/>
                <w:bCs w:val="0"/>
                <w:sz w:val="21"/>
                <w:szCs w:val="21"/>
                <w:lang w:val="en-US" w:eastAsia="zh-CN"/>
              </w:rPr>
              <w:t>或K</w:t>
            </w:r>
            <w:r>
              <w:rPr>
                <w:rFonts w:hint="eastAsia" w:ascii="宋体" w:hAnsi="宋体" w:eastAsia="宋体" w:cs="宋体"/>
                <w:b w:val="0"/>
                <w:bCs w:val="0"/>
                <w:sz w:val="21"/>
                <w:szCs w:val="21"/>
                <w:vertAlign w:val="subscript"/>
                <w:lang w:val="en-US" w:eastAsia="zh-CN"/>
              </w:rPr>
              <w:t>3</w:t>
            </w:r>
            <w:r>
              <w:rPr>
                <w:rFonts w:hint="eastAsia" w:ascii="宋体" w:hAnsi="宋体" w:eastAsia="宋体" w:cs="宋体"/>
                <w:b w:val="0"/>
                <w:bCs w:val="0"/>
                <w:sz w:val="21"/>
                <w:szCs w:val="21"/>
                <w:lang w:val="en-US" w:eastAsia="zh-CN"/>
              </w:rPr>
              <w:t>为100）。</w:t>
            </w:r>
          </w:p>
          <w:p w14:paraId="6C8858B3">
            <w:pPr>
              <w:pStyle w:val="92"/>
              <w:keepNext w:val="0"/>
              <w:keepLines w:val="0"/>
              <w:pageBreakBefore w:val="0"/>
              <w:widowControl w:val="0"/>
              <w:numPr>
                <w:ilvl w:val="0"/>
                <w:numId w:val="0"/>
              </w:numPr>
              <w:tabs>
                <w:tab w:val="left" w:pos="262"/>
              </w:tabs>
              <w:kinsoku/>
              <w:wordWrap/>
              <w:overflowPunct/>
              <w:topLinePunct w:val="0"/>
              <w:autoSpaceDE w:val="0"/>
              <w:autoSpaceDN w:val="0"/>
              <w:bidi w:val="0"/>
              <w:adjustRightInd/>
              <w:snapToGrid/>
              <w:spacing w:before="0" w:after="0" w:line="360" w:lineRule="auto"/>
              <w:ind w:left="23" w:leftChars="0" w:right="0" w:rightChars="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3.K</w:t>
            </w:r>
            <w:r>
              <w:rPr>
                <w:rFonts w:hint="eastAsia" w:ascii="宋体" w:hAnsi="宋体" w:eastAsia="宋体" w:cs="宋体"/>
                <w:b w:val="0"/>
                <w:bCs w:val="0"/>
                <w:sz w:val="21"/>
                <w:szCs w:val="21"/>
                <w:vertAlign w:val="subscript"/>
                <w:lang w:val="en-US" w:eastAsia="zh-CN"/>
              </w:rPr>
              <w:t>1</w:t>
            </w:r>
            <w:r>
              <w:rPr>
                <w:rFonts w:hint="eastAsia" w:ascii="宋体" w:hAnsi="宋体" w:eastAsia="宋体" w:cs="宋体"/>
                <w:b w:val="0"/>
                <w:bCs w:val="0"/>
                <w:sz w:val="21"/>
                <w:szCs w:val="21"/>
                <w:lang w:val="en-US" w:eastAsia="zh-CN"/>
              </w:rPr>
              <w:t>、K</w:t>
            </w:r>
            <w:r>
              <w:rPr>
                <w:rFonts w:hint="eastAsia" w:ascii="宋体" w:hAnsi="宋体" w:eastAsia="宋体" w:cs="宋体"/>
                <w:b w:val="0"/>
                <w:bCs w:val="0"/>
                <w:sz w:val="21"/>
                <w:szCs w:val="21"/>
                <w:vertAlign w:val="subscript"/>
                <w:lang w:val="en-US" w:eastAsia="zh-CN"/>
              </w:rPr>
              <w:t>2</w:t>
            </w:r>
            <w:r>
              <w:rPr>
                <w:rFonts w:hint="eastAsia" w:ascii="宋体" w:hAnsi="宋体" w:eastAsia="宋体" w:cs="宋体"/>
                <w:b w:val="0"/>
                <w:bCs w:val="0"/>
                <w:sz w:val="21"/>
                <w:szCs w:val="21"/>
                <w:lang w:val="en-US" w:eastAsia="zh-CN"/>
              </w:rPr>
              <w:t>、K</w:t>
            </w:r>
            <w:r>
              <w:rPr>
                <w:rFonts w:hint="eastAsia" w:ascii="宋体" w:hAnsi="宋体" w:eastAsia="宋体" w:cs="宋体"/>
                <w:b w:val="0"/>
                <w:bCs w:val="0"/>
                <w:sz w:val="21"/>
                <w:szCs w:val="21"/>
                <w:vertAlign w:val="subscript"/>
                <w:lang w:val="en-US" w:eastAsia="zh-CN"/>
              </w:rPr>
              <w:t>3</w:t>
            </w:r>
            <w:r>
              <w:rPr>
                <w:rFonts w:hint="eastAsia" w:ascii="宋体" w:hAnsi="宋体" w:eastAsia="宋体" w:cs="宋体"/>
                <w:b w:val="0"/>
                <w:bCs w:val="0"/>
                <w:sz w:val="21"/>
                <w:szCs w:val="21"/>
                <w:lang w:val="en-US" w:eastAsia="zh-CN"/>
              </w:rPr>
              <w:t>均为整数，0≤K</w:t>
            </w:r>
            <w:r>
              <w:rPr>
                <w:rFonts w:hint="eastAsia" w:ascii="宋体" w:hAnsi="宋体" w:eastAsia="宋体" w:cs="宋体"/>
                <w:b w:val="0"/>
                <w:bCs w:val="0"/>
                <w:sz w:val="21"/>
                <w:szCs w:val="21"/>
                <w:vertAlign w:val="subscript"/>
                <w:lang w:val="en-US" w:eastAsia="zh-CN"/>
              </w:rPr>
              <w:t>1</w:t>
            </w:r>
            <w:r>
              <w:rPr>
                <w:rFonts w:hint="eastAsia" w:ascii="宋体" w:hAnsi="宋体" w:eastAsia="宋体" w:cs="宋体"/>
                <w:b w:val="0"/>
                <w:bCs w:val="0"/>
                <w:sz w:val="21"/>
                <w:szCs w:val="21"/>
                <w:lang w:val="en-US" w:eastAsia="zh-CN"/>
              </w:rPr>
              <w:t>≤50；0≤K</w:t>
            </w:r>
            <w:r>
              <w:rPr>
                <w:rFonts w:hint="eastAsia" w:ascii="宋体" w:hAnsi="宋体" w:eastAsia="宋体" w:cs="宋体"/>
                <w:b w:val="0"/>
                <w:bCs w:val="0"/>
                <w:sz w:val="21"/>
                <w:szCs w:val="21"/>
                <w:vertAlign w:val="subscript"/>
                <w:lang w:val="en-US" w:eastAsia="zh-CN"/>
              </w:rPr>
              <w:t>2</w:t>
            </w:r>
            <w:r>
              <w:rPr>
                <w:rFonts w:hint="eastAsia" w:ascii="宋体" w:hAnsi="宋体" w:eastAsia="宋体" w:cs="宋体"/>
                <w:b w:val="0"/>
                <w:bCs w:val="0"/>
                <w:sz w:val="21"/>
                <w:szCs w:val="21"/>
                <w:lang w:val="en-US" w:eastAsia="zh-CN"/>
              </w:rPr>
              <w:t>≤100；0≤K</w:t>
            </w:r>
            <w:r>
              <w:rPr>
                <w:rFonts w:hint="eastAsia" w:ascii="宋体" w:hAnsi="宋体" w:eastAsia="宋体" w:cs="宋体"/>
                <w:b w:val="0"/>
                <w:bCs w:val="0"/>
                <w:sz w:val="21"/>
                <w:szCs w:val="21"/>
                <w:vertAlign w:val="subscript"/>
                <w:lang w:val="en-US" w:eastAsia="zh-CN"/>
              </w:rPr>
              <w:t>3</w:t>
            </w:r>
            <w:r>
              <w:rPr>
                <w:rFonts w:hint="eastAsia" w:ascii="宋体" w:hAnsi="宋体" w:eastAsia="宋体" w:cs="宋体"/>
                <w:b w:val="0"/>
                <w:bCs w:val="0"/>
                <w:sz w:val="21"/>
                <w:szCs w:val="21"/>
                <w:lang w:val="en-US" w:eastAsia="zh-CN"/>
              </w:rPr>
              <w:t>≤100。组合套餐中，若选择套餐一，则K</w:t>
            </w:r>
            <w:r>
              <w:rPr>
                <w:rFonts w:hint="eastAsia" w:ascii="宋体" w:hAnsi="宋体" w:eastAsia="宋体" w:cs="宋体"/>
                <w:b w:val="0"/>
                <w:bCs w:val="0"/>
                <w:sz w:val="21"/>
                <w:szCs w:val="21"/>
                <w:vertAlign w:val="subscript"/>
                <w:lang w:val="en-US" w:eastAsia="zh-CN"/>
              </w:rPr>
              <w:t>1</w:t>
            </w:r>
            <w:r>
              <w:rPr>
                <w:rFonts w:hint="eastAsia" w:ascii="宋体" w:hAnsi="宋体" w:eastAsia="宋体" w:cs="宋体"/>
                <w:b w:val="0"/>
                <w:bCs w:val="0"/>
                <w:sz w:val="21"/>
                <w:szCs w:val="21"/>
                <w:lang w:val="en-US" w:eastAsia="zh-CN"/>
              </w:rPr>
              <w:t xml:space="preserve">低于20需用户法定代表人或授权代理人再次确认。 </w:t>
            </w:r>
          </w:p>
          <w:p w14:paraId="43384B71">
            <w:pPr>
              <w:pStyle w:val="92"/>
              <w:keepNext w:val="0"/>
              <w:keepLines w:val="0"/>
              <w:pageBreakBefore w:val="0"/>
              <w:widowControl w:val="0"/>
              <w:numPr>
                <w:ilvl w:val="0"/>
                <w:numId w:val="0"/>
              </w:numPr>
              <w:tabs>
                <w:tab w:val="left" w:pos="262"/>
              </w:tabs>
              <w:kinsoku/>
              <w:wordWrap/>
              <w:overflowPunct/>
              <w:topLinePunct w:val="0"/>
              <w:autoSpaceDE w:val="0"/>
              <w:autoSpaceDN w:val="0"/>
              <w:bidi w:val="0"/>
              <w:adjustRightInd/>
              <w:snapToGrid/>
              <w:spacing w:before="0" w:after="0" w:line="360" w:lineRule="auto"/>
              <w:ind w:left="23" w:leftChars="0" w:right="0" w:rightChars="0" w:firstLine="420" w:firstLineChars="200"/>
              <w:jc w:val="left"/>
              <w:textAlignment w:val="auto"/>
              <w:rPr>
                <w:rFonts w:hint="eastAsia" w:ascii="宋体" w:hAnsi="宋体" w:eastAsia="宋体" w:cs="宋体"/>
                <w:b w:val="0"/>
                <w:bCs w:val="0"/>
                <w:sz w:val="21"/>
                <w:szCs w:val="21"/>
              </w:rPr>
            </w:pPr>
            <w:r>
              <w:rPr>
                <w:rFonts w:hint="eastAsia" w:ascii="宋体" w:hAnsi="宋体" w:eastAsia="宋体" w:cs="宋体"/>
                <w:b w:val="0"/>
                <w:bCs w:val="0"/>
                <w:sz w:val="21"/>
                <w:szCs w:val="21"/>
                <w:lang w:val="en-US" w:eastAsia="zh-CN"/>
              </w:rPr>
              <w:t>4.套餐二P</w:t>
            </w:r>
            <w:r>
              <w:rPr>
                <w:rFonts w:hint="eastAsia" w:ascii="宋体" w:hAnsi="宋体" w:eastAsia="宋体" w:cs="宋体"/>
                <w:b w:val="0"/>
                <w:bCs w:val="0"/>
                <w:sz w:val="21"/>
                <w:szCs w:val="21"/>
                <w:vertAlign w:val="subscript"/>
                <w:lang w:val="en-US" w:eastAsia="zh-CN"/>
              </w:rPr>
              <w:t>浮动T</w:t>
            </w:r>
            <w:r>
              <w:rPr>
                <w:rFonts w:hint="eastAsia" w:ascii="宋体" w:hAnsi="宋体" w:eastAsia="宋体" w:cs="宋体"/>
                <w:b w:val="0"/>
                <w:bCs w:val="0"/>
                <w:sz w:val="21"/>
                <w:szCs w:val="21"/>
                <w:lang w:val="en-US" w:eastAsia="zh-CN"/>
              </w:rPr>
              <w:t xml:space="preserve">各时段数值一致，上浮超过上一年全体售电公司批发侧结算均价的 3%时需用户法定代表人或授权代理人再次确认 ；在2025年内签订2026年零售合同的，上一年全体售电公司批发侧结算均价数值计算范围为 2025年1月至10月（为 397.331元/兆瓦时）。 </w:t>
            </w:r>
          </w:p>
          <w:p w14:paraId="139276AA">
            <w:pPr>
              <w:pStyle w:val="92"/>
              <w:keepNext w:val="0"/>
              <w:keepLines w:val="0"/>
              <w:pageBreakBefore w:val="0"/>
              <w:widowControl w:val="0"/>
              <w:numPr>
                <w:ilvl w:val="0"/>
                <w:numId w:val="0"/>
              </w:numPr>
              <w:tabs>
                <w:tab w:val="left" w:pos="262"/>
              </w:tabs>
              <w:kinsoku/>
              <w:wordWrap/>
              <w:overflowPunct/>
              <w:topLinePunct w:val="0"/>
              <w:autoSpaceDE w:val="0"/>
              <w:autoSpaceDN w:val="0"/>
              <w:bidi w:val="0"/>
              <w:adjustRightInd/>
              <w:snapToGrid/>
              <w:spacing w:before="0" w:after="0" w:line="360" w:lineRule="auto"/>
              <w:ind w:left="23" w:leftChars="0" w:right="0" w:rightChars="0" w:firstLine="420" w:firstLineChars="200"/>
              <w:jc w:val="left"/>
              <w:textAlignment w:val="auto"/>
              <w:rPr>
                <w:rFonts w:hint="eastAsia" w:ascii="宋体" w:hAnsi="宋体" w:eastAsia="宋体" w:cs="宋体"/>
                <w:b w:val="0"/>
                <w:bCs w:val="0"/>
                <w:sz w:val="21"/>
                <w:szCs w:val="21"/>
              </w:rPr>
            </w:pPr>
            <w:r>
              <w:rPr>
                <w:rFonts w:hint="eastAsia" w:cs="宋体"/>
                <w:b w:val="0"/>
                <w:bCs w:val="0"/>
                <w:sz w:val="21"/>
                <w:szCs w:val="21"/>
                <w:lang w:val="en-US" w:eastAsia="zh-CN"/>
              </w:rPr>
              <w:t>5</w:t>
            </w:r>
            <w:r>
              <w:rPr>
                <w:rFonts w:hint="eastAsia" w:ascii="宋体" w:hAnsi="宋体" w:eastAsia="宋体" w:cs="宋体"/>
                <w:b w:val="0"/>
                <w:bCs w:val="0"/>
                <w:sz w:val="21"/>
                <w:szCs w:val="21"/>
                <w:lang w:val="en-US" w:eastAsia="zh-CN"/>
              </w:rPr>
              <w:t>.解约条款未勾选或K</w:t>
            </w:r>
            <w:r>
              <w:rPr>
                <w:rFonts w:hint="eastAsia" w:ascii="宋体" w:hAnsi="宋体" w:eastAsia="宋体" w:cs="宋体"/>
                <w:b w:val="0"/>
                <w:bCs w:val="0"/>
                <w:sz w:val="21"/>
                <w:szCs w:val="21"/>
                <w:vertAlign w:val="subscript"/>
                <w:lang w:val="en-US" w:eastAsia="zh-CN"/>
              </w:rPr>
              <w:t>解约</w:t>
            </w:r>
            <w:r>
              <w:rPr>
                <w:rFonts w:hint="eastAsia" w:ascii="宋体" w:hAnsi="宋体" w:eastAsia="宋体" w:cs="宋体"/>
                <w:b w:val="0"/>
                <w:bCs w:val="0"/>
                <w:sz w:val="21"/>
                <w:szCs w:val="21"/>
                <w:lang w:val="en-US" w:eastAsia="zh-CN"/>
              </w:rPr>
              <w:t xml:space="preserve">（保留一位小数）超过105的，需用户法定代表人或授权代理人再次确认。 </w:t>
            </w:r>
          </w:p>
          <w:p w14:paraId="4EFED5F8">
            <w:pPr>
              <w:pStyle w:val="92"/>
              <w:keepNext w:val="0"/>
              <w:keepLines w:val="0"/>
              <w:pageBreakBefore w:val="0"/>
              <w:widowControl w:val="0"/>
              <w:numPr>
                <w:ilvl w:val="0"/>
                <w:numId w:val="0"/>
              </w:numPr>
              <w:tabs>
                <w:tab w:val="left" w:pos="262"/>
              </w:tabs>
              <w:kinsoku/>
              <w:wordWrap/>
              <w:overflowPunct/>
              <w:topLinePunct w:val="0"/>
              <w:autoSpaceDE w:val="0"/>
              <w:autoSpaceDN w:val="0"/>
              <w:bidi w:val="0"/>
              <w:adjustRightInd/>
              <w:snapToGrid/>
              <w:spacing w:before="0" w:after="0" w:line="360" w:lineRule="auto"/>
              <w:ind w:left="23" w:leftChars="0" w:right="0" w:rightChars="0" w:firstLine="420" w:firstLineChars="200"/>
              <w:jc w:val="left"/>
              <w:textAlignment w:val="auto"/>
              <w:rPr>
                <w:rFonts w:hint="eastAsia" w:ascii="宋体" w:hAnsi="宋体" w:eastAsia="宋体" w:cs="宋体"/>
                <w:b w:val="0"/>
                <w:bCs w:val="0"/>
                <w:sz w:val="21"/>
                <w:szCs w:val="21"/>
              </w:rPr>
            </w:pPr>
            <w:r>
              <w:rPr>
                <w:rFonts w:hint="eastAsia" w:cs="宋体"/>
                <w:b w:val="0"/>
                <w:bCs w:val="0"/>
                <w:sz w:val="21"/>
                <w:szCs w:val="21"/>
                <w:lang w:val="en-US" w:eastAsia="zh-CN"/>
              </w:rPr>
              <w:t>6</w:t>
            </w:r>
            <w:r>
              <w:rPr>
                <w:rFonts w:hint="eastAsia" w:ascii="宋体" w:hAnsi="宋体" w:eastAsia="宋体" w:cs="宋体"/>
                <w:b w:val="0"/>
                <w:bCs w:val="0"/>
                <w:sz w:val="21"/>
                <w:szCs w:val="21"/>
                <w:lang w:val="en-US" w:eastAsia="zh-CN"/>
              </w:rPr>
              <w:t>.P</w:t>
            </w:r>
            <w:r>
              <w:rPr>
                <w:rFonts w:hint="eastAsia" w:ascii="宋体" w:hAnsi="宋体" w:eastAsia="宋体" w:cs="宋体"/>
                <w:b w:val="0"/>
                <w:bCs w:val="0"/>
                <w:sz w:val="21"/>
                <w:szCs w:val="21"/>
                <w:vertAlign w:val="subscript"/>
                <w:lang w:val="en-US" w:eastAsia="zh-CN"/>
              </w:rPr>
              <w:t>售均T</w:t>
            </w:r>
            <w:r>
              <w:rPr>
                <w:rFonts w:hint="eastAsia" w:ascii="宋体" w:hAnsi="宋体" w:eastAsia="宋体" w:cs="宋体"/>
                <w:b w:val="0"/>
                <w:bCs w:val="0"/>
                <w:sz w:val="21"/>
                <w:szCs w:val="21"/>
                <w:lang w:val="en-US" w:eastAsia="zh-CN"/>
              </w:rPr>
              <w:t>为全体售电公司批发侧T时段电能量结算均价。本参数表中的P</w:t>
            </w:r>
            <w:r>
              <w:rPr>
                <w:rFonts w:hint="eastAsia" w:ascii="宋体" w:hAnsi="宋体" w:eastAsia="宋体" w:cs="宋体"/>
                <w:b w:val="0"/>
                <w:bCs w:val="0"/>
                <w:sz w:val="21"/>
                <w:szCs w:val="21"/>
                <w:vertAlign w:val="subscript"/>
                <w:lang w:val="en-US" w:eastAsia="zh-CN"/>
              </w:rPr>
              <w:t>售均T</w:t>
            </w:r>
            <w:r>
              <w:rPr>
                <w:rFonts w:hint="eastAsia" w:ascii="宋体" w:hAnsi="宋体" w:eastAsia="宋体" w:cs="宋体"/>
                <w:b w:val="0"/>
                <w:bCs w:val="0"/>
                <w:sz w:val="21"/>
                <w:szCs w:val="21"/>
                <w:lang w:val="en-US" w:eastAsia="zh-CN"/>
              </w:rPr>
              <w:t xml:space="preserve">、解约条款中的价格按照相关市场规则计算。 </w:t>
            </w:r>
          </w:p>
          <w:p w14:paraId="5A8B8129">
            <w:pPr>
              <w:pStyle w:val="92"/>
              <w:keepNext w:val="0"/>
              <w:keepLines w:val="0"/>
              <w:pageBreakBefore w:val="0"/>
              <w:widowControl w:val="0"/>
              <w:numPr>
                <w:ilvl w:val="0"/>
                <w:numId w:val="0"/>
              </w:numPr>
              <w:tabs>
                <w:tab w:val="left" w:pos="262"/>
              </w:tabs>
              <w:kinsoku/>
              <w:wordWrap/>
              <w:overflowPunct/>
              <w:topLinePunct w:val="0"/>
              <w:autoSpaceDE w:val="0"/>
              <w:autoSpaceDN w:val="0"/>
              <w:bidi w:val="0"/>
              <w:adjustRightInd/>
              <w:snapToGrid/>
              <w:spacing w:before="0" w:after="0" w:line="360" w:lineRule="auto"/>
              <w:ind w:left="23" w:leftChars="0" w:right="0" w:rightChars="0" w:firstLine="420" w:firstLineChars="200"/>
              <w:jc w:val="left"/>
              <w:textAlignment w:val="auto"/>
              <w:rPr>
                <w:rFonts w:hint="eastAsia" w:ascii="宋体" w:hAnsi="宋体" w:eastAsia="宋体" w:cs="宋体"/>
                <w:b w:val="0"/>
                <w:bCs w:val="0"/>
                <w:sz w:val="21"/>
                <w:szCs w:val="21"/>
              </w:rPr>
            </w:pPr>
            <w:r>
              <w:rPr>
                <w:rFonts w:hint="eastAsia" w:cs="宋体"/>
                <w:b w:val="0"/>
                <w:bCs w:val="0"/>
                <w:sz w:val="21"/>
                <w:szCs w:val="21"/>
                <w:lang w:val="en-US" w:eastAsia="zh-CN"/>
              </w:rPr>
              <w:t>7</w:t>
            </w:r>
            <w:r>
              <w:rPr>
                <w:rFonts w:hint="eastAsia" w:ascii="宋体" w:hAnsi="宋体" w:eastAsia="宋体" w:cs="宋体"/>
                <w:b w:val="0"/>
                <w:bCs w:val="0"/>
                <w:sz w:val="21"/>
                <w:szCs w:val="21"/>
                <w:lang w:val="en-US" w:eastAsia="zh-CN"/>
              </w:rPr>
              <w:t>.当用户按本合同计算的月度结算均价高于当月全体售电公司批发侧结算均价103%或者绿色电力环境价值高于本年度全体售电公司已执行月份批发侧绿色电力环境价值均价110%时，省电力交易中心可对该用户进行市场风险提示。零售套餐价格参数提示阈值、零售套餐结算价格提示阈值可根据市场运行情况适时调整。</w:t>
            </w:r>
          </w:p>
          <w:p w14:paraId="00AE51C9">
            <w:pPr>
              <w:pStyle w:val="92"/>
              <w:keepNext w:val="0"/>
              <w:keepLines w:val="0"/>
              <w:pageBreakBefore w:val="0"/>
              <w:widowControl w:val="0"/>
              <w:numPr>
                <w:ilvl w:val="0"/>
                <w:numId w:val="0"/>
              </w:numPr>
              <w:tabs>
                <w:tab w:val="left" w:pos="262"/>
              </w:tabs>
              <w:kinsoku/>
              <w:wordWrap/>
              <w:overflowPunct/>
              <w:topLinePunct w:val="0"/>
              <w:autoSpaceDE w:val="0"/>
              <w:autoSpaceDN w:val="0"/>
              <w:bidi w:val="0"/>
              <w:adjustRightInd/>
              <w:snapToGrid/>
              <w:spacing w:before="0" w:after="0" w:line="360" w:lineRule="auto"/>
              <w:ind w:left="23" w:leftChars="0" w:right="0" w:rightChars="0" w:firstLine="420" w:firstLineChars="200"/>
              <w:jc w:val="left"/>
              <w:textAlignment w:val="auto"/>
              <w:rPr>
                <w:rFonts w:hint="default" w:cs="宋体"/>
                <w:b w:val="0"/>
                <w:bCs/>
                <w:color w:val="auto"/>
                <w:sz w:val="21"/>
                <w:szCs w:val="21"/>
                <w:highlight w:val="none"/>
                <w:lang w:val="en-US" w:eastAsia="zh-CN"/>
              </w:rPr>
            </w:pPr>
            <w:r>
              <w:rPr>
                <w:rFonts w:hint="eastAsia" w:ascii="宋体" w:hAnsi="宋体" w:eastAsia="宋体" w:cs="宋体"/>
                <w:b w:val="0"/>
                <w:bCs w:val="0"/>
                <w:sz w:val="21"/>
                <w:szCs w:val="21"/>
                <w:lang w:val="en-US" w:eastAsia="zh-CN"/>
              </w:rPr>
              <w:t>8.政府出台有关零售市场政策文件的，按照政府政策文件执行。</w:t>
            </w:r>
          </w:p>
        </w:tc>
      </w:tr>
    </w:tbl>
    <w:p w14:paraId="12343138">
      <w:pPr>
        <w:pStyle w:val="3"/>
        <w:spacing w:before="0" w:after="0" w:line="360" w:lineRule="auto"/>
        <w:jc w:val="center"/>
        <w:rPr>
          <w:rFonts w:ascii="宋体" w:hAnsi="宋体" w:eastAsia="宋体" w:cs="Times New Roman"/>
          <w:szCs w:val="28"/>
          <w:highlight w:val="none"/>
        </w:rPr>
      </w:pPr>
      <w:r>
        <w:rPr>
          <w:rFonts w:ascii="宋体" w:hAnsi="宋体"/>
          <w:b w:val="0"/>
          <w:kern w:val="36"/>
          <w:highlight w:val="none"/>
        </w:rPr>
        <w:br w:type="page"/>
      </w:r>
      <w:bookmarkStart w:id="12" w:name="_Toc27364"/>
      <w:r>
        <w:rPr>
          <w:rFonts w:hint="eastAsia" w:ascii="宋体" w:hAnsi="宋体" w:eastAsia="宋体" w:cs="Times New Roman"/>
          <w:szCs w:val="28"/>
          <w:highlight w:val="none"/>
        </w:rPr>
        <w:t>第三章  投标须知</w:t>
      </w:r>
      <w:bookmarkEnd w:id="12"/>
    </w:p>
    <w:p w14:paraId="3E3683FD">
      <w:pPr>
        <w:pStyle w:val="7"/>
        <w:adjustRightInd/>
        <w:spacing w:before="0" w:after="0" w:line="360" w:lineRule="auto"/>
        <w:jc w:val="center"/>
        <w:textAlignment w:val="auto"/>
        <w:rPr>
          <w:rFonts w:ascii="宋体" w:hAnsi="宋体" w:cs="Times New Roman"/>
          <w:sz w:val="28"/>
          <w:szCs w:val="28"/>
          <w:highlight w:val="none"/>
        </w:rPr>
      </w:pPr>
      <w:bookmarkStart w:id="13" w:name="_Toc219773104"/>
      <w:r>
        <w:rPr>
          <w:rFonts w:hint="eastAsia" w:ascii="宋体" w:hAnsi="宋体" w:cs="Times New Roman"/>
          <w:sz w:val="28"/>
          <w:szCs w:val="28"/>
          <w:highlight w:val="none"/>
        </w:rPr>
        <w:t>（一）总  则</w:t>
      </w:r>
      <w:bookmarkEnd w:id="13"/>
    </w:p>
    <w:p w14:paraId="00A0F5FA">
      <w:pPr>
        <w:widowControl/>
        <w:shd w:val="clear" w:color="auto" w:fill="FFFFFF"/>
        <w:adjustRightInd w:val="0"/>
        <w:snapToGrid w:val="0"/>
        <w:spacing w:line="360" w:lineRule="auto"/>
        <w:ind w:firstLine="482" w:firstLineChars="200"/>
        <w:rPr>
          <w:rFonts w:hint="eastAsia" w:ascii="宋体" w:hAnsi="宋体" w:eastAsia="宋体" w:cs="宋体"/>
          <w:kern w:val="0"/>
          <w:sz w:val="24"/>
          <w:szCs w:val="24"/>
          <w:highlight w:val="none"/>
          <w:lang w:eastAsia="zh-CN"/>
        </w:rPr>
      </w:pPr>
      <w:r>
        <w:rPr>
          <w:rFonts w:hint="eastAsia" w:ascii="宋体" w:hAnsi="宋体" w:eastAsia="宋体" w:cs="宋体"/>
          <w:b/>
          <w:kern w:val="0"/>
          <w:sz w:val="24"/>
          <w:szCs w:val="24"/>
          <w:highlight w:val="none"/>
        </w:rPr>
        <w:t>1、项目名称：</w:t>
      </w:r>
      <w:r>
        <w:rPr>
          <w:rFonts w:hint="eastAsia" w:ascii="宋体" w:hAnsi="宋体" w:cs="宋体"/>
          <w:kern w:val="0"/>
          <w:sz w:val="24"/>
          <w:szCs w:val="24"/>
          <w:highlight w:val="none"/>
          <w:lang w:eastAsia="zh-CN"/>
        </w:rPr>
        <w:t>铜陵高新产业园发展有限公司、铜陵高新发展投资有限公司2026年度代理购电服务采购项目</w:t>
      </w:r>
    </w:p>
    <w:p w14:paraId="6D0F8DE9">
      <w:pPr>
        <w:widowControl/>
        <w:shd w:val="clear" w:color="auto" w:fill="FFFFFF"/>
        <w:adjustRightInd w:val="0"/>
        <w:snapToGrid w:val="0"/>
        <w:spacing w:line="360" w:lineRule="auto"/>
        <w:ind w:firstLine="482" w:firstLineChars="200"/>
        <w:rPr>
          <w:rFonts w:hint="eastAsia" w:ascii="宋体" w:hAnsi="宋体" w:eastAsia="宋体" w:cs="宋体"/>
          <w:kern w:val="0"/>
          <w:sz w:val="24"/>
          <w:szCs w:val="24"/>
          <w:highlight w:val="none"/>
          <w:lang w:eastAsia="zh-CN"/>
        </w:rPr>
      </w:pPr>
      <w:r>
        <w:rPr>
          <w:rFonts w:hint="eastAsia" w:ascii="宋体" w:hAnsi="宋体" w:eastAsia="宋体" w:cs="宋体"/>
          <w:b/>
          <w:kern w:val="0"/>
          <w:sz w:val="24"/>
          <w:szCs w:val="24"/>
          <w:highlight w:val="none"/>
        </w:rPr>
        <w:t>2、招标人：</w:t>
      </w:r>
      <w:r>
        <w:rPr>
          <w:rFonts w:hint="eastAsia" w:ascii="宋体" w:hAnsi="宋体" w:cs="宋体"/>
          <w:kern w:val="0"/>
          <w:sz w:val="24"/>
          <w:szCs w:val="24"/>
          <w:highlight w:val="none"/>
          <w:lang w:eastAsia="zh-CN"/>
        </w:rPr>
        <w:t>铜陵高新产业园发展有限公司、铜陵高新发展投资有限公司</w:t>
      </w:r>
    </w:p>
    <w:p w14:paraId="3C090B2A">
      <w:pPr>
        <w:widowControl/>
        <w:shd w:val="clear" w:color="auto" w:fill="FFFFFF"/>
        <w:adjustRightInd w:val="0"/>
        <w:snapToGrid w:val="0"/>
        <w:spacing w:line="360" w:lineRule="auto"/>
        <w:ind w:firstLine="482" w:firstLineChars="200"/>
        <w:rPr>
          <w:rFonts w:hint="default" w:ascii="宋体" w:hAnsi="宋体" w:eastAsia="宋体" w:cs="宋体"/>
          <w:kern w:val="0"/>
          <w:sz w:val="24"/>
          <w:szCs w:val="24"/>
          <w:highlight w:val="none"/>
          <w:lang w:val="en-US" w:eastAsia="zh-CN"/>
        </w:rPr>
      </w:pPr>
      <w:r>
        <w:rPr>
          <w:rFonts w:hint="eastAsia" w:ascii="宋体" w:hAnsi="宋体" w:eastAsia="宋体" w:cs="宋体"/>
          <w:b/>
          <w:kern w:val="0"/>
          <w:sz w:val="24"/>
          <w:szCs w:val="24"/>
          <w:highlight w:val="none"/>
          <w:lang w:val="en-US" w:eastAsia="zh-CN"/>
        </w:rPr>
        <w:t>3、</w:t>
      </w:r>
      <w:r>
        <w:rPr>
          <w:rFonts w:hint="eastAsia" w:ascii="宋体" w:hAnsi="宋体" w:eastAsia="宋体" w:cs="宋体"/>
          <w:b/>
          <w:kern w:val="0"/>
          <w:sz w:val="24"/>
          <w:szCs w:val="24"/>
          <w:highlight w:val="none"/>
        </w:rPr>
        <w:t>招标范围</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铜陵市狮子山高新技术产业开发区预计2026年全年用电总量预估为8000兆瓦时/年（以实际使用量进行结算），现拟采购一家通过安徽电力交易中心注册且具备交易资格的售电公司，为</w:t>
      </w:r>
      <w:r>
        <w:rPr>
          <w:rFonts w:hint="eastAsia" w:ascii="宋体" w:hAnsi="宋体" w:cs="宋体"/>
          <w:kern w:val="0"/>
          <w:sz w:val="24"/>
          <w:szCs w:val="24"/>
          <w:highlight w:val="none"/>
          <w:lang w:val="en-US" w:eastAsia="zh-CN"/>
        </w:rPr>
        <w:t>铜陵高新产业园发展有限公司、铜陵高新发展投资有限公司</w:t>
      </w:r>
      <w:r>
        <w:rPr>
          <w:rFonts w:hint="eastAsia" w:ascii="宋体" w:hAnsi="宋体" w:eastAsia="宋体" w:cs="宋体"/>
          <w:kern w:val="0"/>
          <w:sz w:val="24"/>
          <w:szCs w:val="24"/>
          <w:highlight w:val="none"/>
          <w:lang w:val="en-US" w:eastAsia="zh-CN"/>
        </w:rPr>
        <w:t>提供代理购电服务，包括但不限于：1.市场化电量交易（参与年度、月度等双边协商、集中竞价交易）；2.用电数据监测与分析；3.用电优化建议与节能咨询；4.电费结算支持与服务；5.相关政策解读与风险预警；6.以及招标人委托的其他事宜。具体详见招标文件及项目需求。</w:t>
      </w:r>
    </w:p>
    <w:p w14:paraId="4D29382F">
      <w:pPr>
        <w:widowControl/>
        <w:adjustRightInd w:val="0"/>
        <w:snapToGrid w:val="0"/>
        <w:spacing w:line="360" w:lineRule="auto"/>
        <w:ind w:firstLine="472" w:firstLineChars="196"/>
        <w:rPr>
          <w:rFonts w:hint="eastAsia" w:ascii="宋体" w:hAnsi="宋体" w:eastAsia="宋体" w:cs="宋体"/>
          <w:kern w:val="0"/>
          <w:sz w:val="24"/>
          <w:szCs w:val="24"/>
          <w:highlight w:val="none"/>
        </w:rPr>
      </w:pPr>
      <w:r>
        <w:rPr>
          <w:rFonts w:hint="eastAsia" w:ascii="宋体" w:hAnsi="宋体" w:cs="宋体"/>
          <w:b/>
          <w:kern w:val="0"/>
          <w:sz w:val="24"/>
          <w:szCs w:val="24"/>
          <w:highlight w:val="none"/>
          <w:lang w:val="en-US" w:eastAsia="zh-CN"/>
        </w:rPr>
        <w:t>4</w:t>
      </w:r>
      <w:r>
        <w:rPr>
          <w:rFonts w:hint="eastAsia" w:ascii="宋体" w:hAnsi="宋体" w:eastAsia="宋体" w:cs="宋体"/>
          <w:b/>
          <w:kern w:val="0"/>
          <w:sz w:val="24"/>
          <w:szCs w:val="24"/>
          <w:highlight w:val="none"/>
        </w:rPr>
        <w:t>、标段划分：一个标段</w:t>
      </w:r>
    </w:p>
    <w:p w14:paraId="1E7D6711">
      <w:pPr>
        <w:widowControl/>
        <w:adjustRightInd w:val="0"/>
        <w:snapToGrid w:val="0"/>
        <w:spacing w:line="360" w:lineRule="auto"/>
        <w:ind w:firstLine="472" w:firstLineChars="196"/>
        <w:rPr>
          <w:rFonts w:hint="eastAsia" w:ascii="宋体" w:hAnsi="宋体" w:eastAsia="宋体" w:cs="宋体"/>
          <w:kern w:val="0"/>
          <w:sz w:val="24"/>
          <w:szCs w:val="24"/>
          <w:highlight w:val="none"/>
        </w:rPr>
      </w:pPr>
      <w:r>
        <w:rPr>
          <w:rFonts w:hint="eastAsia" w:ascii="宋体" w:hAnsi="宋体" w:eastAsia="宋体" w:cs="宋体"/>
          <w:b/>
          <w:kern w:val="0"/>
          <w:sz w:val="24"/>
          <w:szCs w:val="24"/>
          <w:highlight w:val="none"/>
          <w:lang w:val="en-US" w:eastAsia="zh-CN"/>
        </w:rPr>
        <w:t>5</w:t>
      </w:r>
      <w:r>
        <w:rPr>
          <w:rFonts w:hint="eastAsia" w:ascii="宋体" w:hAnsi="宋体" w:eastAsia="宋体" w:cs="宋体"/>
          <w:b/>
          <w:kern w:val="0"/>
          <w:sz w:val="24"/>
          <w:szCs w:val="24"/>
          <w:highlight w:val="none"/>
        </w:rPr>
        <w:t>、现场勘察：</w:t>
      </w:r>
      <w:r>
        <w:rPr>
          <w:rFonts w:hint="eastAsia" w:ascii="宋体" w:hAnsi="宋体" w:eastAsia="宋体" w:cs="宋体"/>
          <w:kern w:val="0"/>
          <w:sz w:val="24"/>
          <w:szCs w:val="24"/>
          <w:highlight w:val="none"/>
        </w:rPr>
        <w:t>如有需要，投标人自行与招标人联系</w:t>
      </w:r>
    </w:p>
    <w:p w14:paraId="2E06C55E">
      <w:pPr>
        <w:widowControl/>
        <w:adjustRightInd w:val="0"/>
        <w:snapToGrid w:val="0"/>
        <w:spacing w:line="360" w:lineRule="auto"/>
        <w:ind w:firstLine="472" w:firstLineChars="196"/>
        <w:rPr>
          <w:rFonts w:hint="eastAsia" w:ascii="宋体" w:hAnsi="宋体" w:eastAsia="宋体" w:cs="宋体"/>
          <w:kern w:val="0"/>
          <w:sz w:val="24"/>
          <w:szCs w:val="24"/>
          <w:highlight w:val="none"/>
        </w:rPr>
      </w:pPr>
      <w:r>
        <w:rPr>
          <w:rFonts w:hint="eastAsia" w:ascii="宋体" w:hAnsi="宋体" w:eastAsia="宋体" w:cs="宋体"/>
          <w:b/>
          <w:kern w:val="0"/>
          <w:sz w:val="24"/>
          <w:szCs w:val="24"/>
          <w:highlight w:val="none"/>
          <w:lang w:val="en-US" w:eastAsia="zh-CN"/>
        </w:rPr>
        <w:t>6</w:t>
      </w:r>
      <w:r>
        <w:rPr>
          <w:rFonts w:hint="eastAsia" w:ascii="宋体" w:hAnsi="宋体" w:eastAsia="宋体" w:cs="宋体"/>
          <w:b/>
          <w:kern w:val="0"/>
          <w:sz w:val="24"/>
          <w:szCs w:val="24"/>
          <w:highlight w:val="none"/>
        </w:rPr>
        <w:t>、投标文件有效期</w:t>
      </w:r>
      <w:r>
        <w:rPr>
          <w:rFonts w:hint="eastAsia" w:ascii="宋体" w:hAnsi="宋体" w:eastAsia="宋体" w:cs="宋体"/>
          <w:kern w:val="0"/>
          <w:sz w:val="24"/>
          <w:szCs w:val="24"/>
          <w:highlight w:val="none"/>
        </w:rPr>
        <w:t>：自提交之日起</w:t>
      </w:r>
      <w:r>
        <w:rPr>
          <w:rFonts w:hint="eastAsia" w:ascii="宋体" w:hAnsi="宋体" w:eastAsia="宋体" w:cs="宋体"/>
          <w:kern w:val="0"/>
          <w:sz w:val="24"/>
          <w:szCs w:val="24"/>
          <w:highlight w:val="none"/>
          <w:u w:val="single"/>
        </w:rPr>
        <w:t xml:space="preserve">60 </w:t>
      </w:r>
      <w:r>
        <w:rPr>
          <w:rFonts w:hint="eastAsia" w:ascii="宋体" w:hAnsi="宋体" w:eastAsia="宋体" w:cs="宋体"/>
          <w:kern w:val="0"/>
          <w:sz w:val="24"/>
          <w:szCs w:val="24"/>
          <w:highlight w:val="none"/>
        </w:rPr>
        <w:t>日历天内</w:t>
      </w:r>
    </w:p>
    <w:p w14:paraId="4655F218">
      <w:pPr>
        <w:widowControl/>
        <w:adjustRightInd w:val="0"/>
        <w:snapToGrid w:val="0"/>
        <w:spacing w:line="360" w:lineRule="auto"/>
        <w:ind w:firstLine="472" w:firstLineChars="196"/>
        <w:rPr>
          <w:rFonts w:hint="eastAsia" w:ascii="宋体" w:hAnsi="宋体" w:eastAsia="宋体" w:cs="宋体"/>
          <w:b w:val="0"/>
          <w:bCs/>
          <w:kern w:val="0"/>
          <w:sz w:val="24"/>
          <w:szCs w:val="24"/>
          <w:highlight w:val="none"/>
          <w:lang w:val="zh-CN"/>
        </w:rPr>
      </w:pPr>
      <w:r>
        <w:rPr>
          <w:rFonts w:hint="eastAsia" w:ascii="宋体" w:hAnsi="宋体" w:eastAsia="宋体" w:cs="宋体"/>
          <w:b/>
          <w:kern w:val="0"/>
          <w:sz w:val="24"/>
          <w:szCs w:val="24"/>
          <w:highlight w:val="none"/>
          <w:lang w:val="en-US" w:eastAsia="zh-CN"/>
        </w:rPr>
        <w:t>7</w:t>
      </w:r>
      <w:r>
        <w:rPr>
          <w:rFonts w:hint="eastAsia" w:ascii="宋体" w:hAnsi="宋体" w:eastAsia="宋体" w:cs="宋体"/>
          <w:b/>
          <w:kern w:val="0"/>
          <w:sz w:val="24"/>
          <w:szCs w:val="24"/>
          <w:highlight w:val="none"/>
        </w:rPr>
        <w:t>、投标文件数量：</w:t>
      </w:r>
      <w:r>
        <w:rPr>
          <w:rFonts w:hint="eastAsia" w:ascii="宋体" w:hAnsi="宋体" w:eastAsia="宋体" w:cs="宋体"/>
          <w:b w:val="0"/>
          <w:bCs/>
          <w:kern w:val="0"/>
          <w:sz w:val="24"/>
          <w:szCs w:val="24"/>
          <w:highlight w:val="none"/>
          <w:lang w:val="zh-CN"/>
        </w:rPr>
        <w:t>一份正本，一份副本以及完整版本的加盖公章(或电子章)PDF版本电子投标文件(u盘单独封装)，内容须和纸质投标文件保持一致；另中标单位在领取中标通知书时再提供纸质原样投标文件3份。</w:t>
      </w:r>
    </w:p>
    <w:p w14:paraId="756C6133">
      <w:pPr>
        <w:widowControl/>
        <w:adjustRightInd w:val="0"/>
        <w:snapToGrid w:val="0"/>
        <w:spacing w:line="36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b w:val="0"/>
          <w:bCs/>
          <w:kern w:val="0"/>
          <w:sz w:val="24"/>
          <w:szCs w:val="24"/>
          <w:highlight w:val="none"/>
          <w:lang w:val="zh-CN"/>
        </w:rPr>
        <w:t>注：</w:t>
      </w:r>
      <w:r>
        <w:rPr>
          <w:rFonts w:hint="eastAsia" w:ascii="宋体" w:hAnsi="宋体" w:eastAsia="宋体" w:cs="宋体"/>
          <w:b w:val="0"/>
          <w:bCs/>
          <w:kern w:val="0"/>
          <w:sz w:val="24"/>
          <w:szCs w:val="24"/>
          <w:highlight w:val="none"/>
          <w:lang w:val="en-US" w:eastAsia="zh-CN"/>
        </w:rPr>
        <w:t>1.</w:t>
      </w:r>
      <w:r>
        <w:rPr>
          <w:rFonts w:hint="eastAsia" w:ascii="宋体" w:hAnsi="宋体" w:eastAsia="宋体" w:cs="宋体"/>
          <w:b w:val="0"/>
          <w:bCs/>
          <w:kern w:val="0"/>
          <w:sz w:val="24"/>
          <w:szCs w:val="24"/>
          <w:highlight w:val="none"/>
          <w:lang w:val="zh-CN"/>
        </w:rPr>
        <w:t>电子投标文件必须和纸质投标文件保持一致，若因电子投标文件与纸质投标文件不一致而产生的一切后果，由投标人自行承担。2.评审过程中，电子版投标文件与纸质版投标文件不一致时，以纸质版为准</w:t>
      </w:r>
    </w:p>
    <w:p w14:paraId="625B27B4">
      <w:pPr>
        <w:widowControl/>
        <w:adjustRightInd w:val="0"/>
        <w:snapToGrid w:val="0"/>
        <w:spacing w:line="360" w:lineRule="auto"/>
        <w:ind w:firstLine="472" w:firstLineChars="196"/>
        <w:rPr>
          <w:rFonts w:hint="eastAsia" w:ascii="宋体" w:hAnsi="宋体" w:eastAsia="宋体" w:cs="宋体"/>
          <w:kern w:val="0"/>
          <w:sz w:val="24"/>
          <w:szCs w:val="24"/>
          <w:highlight w:val="none"/>
        </w:rPr>
      </w:pPr>
      <w:r>
        <w:rPr>
          <w:rFonts w:hint="eastAsia" w:ascii="宋体" w:hAnsi="宋体" w:eastAsia="宋体" w:cs="宋体"/>
          <w:b/>
          <w:kern w:val="0"/>
          <w:sz w:val="24"/>
          <w:szCs w:val="24"/>
          <w:highlight w:val="none"/>
          <w:lang w:val="en-US" w:eastAsia="zh-CN"/>
        </w:rPr>
        <w:t>8</w:t>
      </w:r>
      <w:r>
        <w:rPr>
          <w:rFonts w:hint="eastAsia" w:ascii="宋体" w:hAnsi="宋体" w:eastAsia="宋体" w:cs="宋体"/>
          <w:b/>
          <w:kern w:val="0"/>
          <w:sz w:val="24"/>
          <w:szCs w:val="24"/>
          <w:highlight w:val="none"/>
        </w:rPr>
        <w:t>、服务期：</w:t>
      </w:r>
      <w:r>
        <w:rPr>
          <w:rFonts w:hint="eastAsia" w:ascii="宋体" w:hAnsi="宋体" w:eastAsia="宋体" w:cs="宋体"/>
          <w:b w:val="0"/>
          <w:bCs/>
          <w:color w:val="auto"/>
          <w:sz w:val="24"/>
          <w:szCs w:val="24"/>
          <w:highlight w:val="none"/>
          <w:lang w:val="zh-CN"/>
        </w:rPr>
        <w:t>2026年1月1日至2026年12月31日</w:t>
      </w:r>
    </w:p>
    <w:p w14:paraId="2A70AAEB">
      <w:pPr>
        <w:widowControl/>
        <w:adjustRightInd w:val="0"/>
        <w:snapToGrid w:val="0"/>
        <w:spacing w:line="360" w:lineRule="auto"/>
        <w:ind w:firstLine="472" w:firstLineChars="196"/>
        <w:rPr>
          <w:rFonts w:hint="eastAsia" w:ascii="宋体" w:hAnsi="宋体" w:eastAsia="宋体" w:cs="宋体"/>
          <w:b w:val="0"/>
          <w:bCs/>
          <w:kern w:val="0"/>
          <w:sz w:val="24"/>
          <w:szCs w:val="24"/>
          <w:highlight w:val="none"/>
          <w:lang w:val="en-US" w:eastAsia="zh-CN"/>
        </w:rPr>
      </w:pPr>
      <w:r>
        <w:rPr>
          <w:rFonts w:hint="eastAsia" w:ascii="宋体" w:hAnsi="宋体" w:eastAsia="宋体" w:cs="宋体"/>
          <w:b/>
          <w:kern w:val="0"/>
          <w:sz w:val="24"/>
          <w:szCs w:val="24"/>
          <w:highlight w:val="none"/>
          <w:lang w:val="en-US" w:eastAsia="zh-CN"/>
        </w:rPr>
        <w:t>9、</w:t>
      </w:r>
      <w:r>
        <w:rPr>
          <w:rFonts w:hint="eastAsia" w:ascii="宋体" w:hAnsi="宋体" w:eastAsia="宋体" w:cs="宋体"/>
          <w:b/>
          <w:kern w:val="0"/>
          <w:sz w:val="24"/>
          <w:szCs w:val="24"/>
          <w:highlight w:val="none"/>
        </w:rPr>
        <w:t>付款方式</w:t>
      </w:r>
      <w:r>
        <w:rPr>
          <w:rFonts w:hint="eastAsia" w:ascii="宋体" w:hAnsi="宋体" w:eastAsia="宋体" w:cs="宋体"/>
          <w:b/>
          <w:kern w:val="0"/>
          <w:sz w:val="24"/>
          <w:szCs w:val="24"/>
          <w:highlight w:val="none"/>
          <w:lang w:eastAsia="zh-CN"/>
        </w:rPr>
        <w:t>：</w:t>
      </w:r>
      <w:r>
        <w:rPr>
          <w:rFonts w:hint="eastAsia" w:ascii="宋体" w:hAnsi="宋体" w:eastAsia="宋体" w:cs="宋体"/>
          <w:b w:val="0"/>
          <w:bCs/>
          <w:kern w:val="0"/>
          <w:sz w:val="24"/>
          <w:szCs w:val="24"/>
          <w:highlight w:val="none"/>
          <w:lang w:val="en-US" w:eastAsia="zh-CN"/>
        </w:rPr>
        <w:t>按月结算，每月实际交易电量*每月结算单价[(套餐一单价+套餐二单价）/2]</w:t>
      </w:r>
    </w:p>
    <w:p w14:paraId="179672FD">
      <w:pPr>
        <w:widowControl/>
        <w:adjustRightInd w:val="0"/>
        <w:snapToGrid w:val="0"/>
        <w:spacing w:line="360" w:lineRule="auto"/>
        <w:ind w:firstLine="470" w:firstLineChars="196"/>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kern w:val="0"/>
          <w:sz w:val="24"/>
          <w:szCs w:val="24"/>
          <w:highlight w:val="none"/>
          <w:lang w:val="en-US" w:eastAsia="zh-CN"/>
        </w:rPr>
        <w:t>注：上网环节线损费、输配电费、系统运行费、政府性基金及附加等，在此基础上另行支付。</w:t>
      </w:r>
    </w:p>
    <w:p w14:paraId="6D5450E3">
      <w:pPr>
        <w:widowControl/>
        <w:adjustRightInd w:val="0"/>
        <w:snapToGrid w:val="0"/>
        <w:spacing w:line="360" w:lineRule="auto"/>
        <w:ind w:firstLine="472" w:firstLineChars="196"/>
        <w:rPr>
          <w:rFonts w:hint="eastAsia" w:ascii="宋体" w:hAnsi="宋体" w:eastAsia="宋体" w:cs="宋体"/>
          <w:color w:val="auto"/>
          <w:sz w:val="24"/>
          <w:szCs w:val="24"/>
          <w:highlight w:val="none"/>
          <w:lang w:val="en-US" w:eastAsia="zh-CN"/>
        </w:rPr>
      </w:pPr>
      <w:r>
        <w:rPr>
          <w:rFonts w:hint="eastAsia" w:ascii="宋体" w:hAnsi="宋体" w:eastAsia="宋体" w:cs="宋体"/>
          <w:b/>
          <w:kern w:val="0"/>
          <w:sz w:val="24"/>
          <w:szCs w:val="24"/>
          <w:highlight w:val="none"/>
          <w:lang w:val="en-US" w:eastAsia="zh-CN"/>
        </w:rPr>
        <w:t>10、代理服务费：</w:t>
      </w:r>
      <w:r>
        <w:rPr>
          <w:rFonts w:hint="eastAsia" w:ascii="宋体" w:hAnsi="宋体" w:cs="宋体"/>
          <w:color w:val="auto"/>
          <w:sz w:val="24"/>
          <w:szCs w:val="24"/>
          <w:highlight w:val="none"/>
          <w:lang w:val="en-US" w:eastAsia="zh-CN"/>
        </w:rPr>
        <w:t>中标</w:t>
      </w:r>
      <w:r>
        <w:rPr>
          <w:rFonts w:hint="eastAsia" w:ascii="宋体" w:hAnsi="宋体" w:eastAsia="宋体" w:cs="宋体"/>
          <w:color w:val="auto"/>
          <w:sz w:val="24"/>
          <w:szCs w:val="24"/>
          <w:highlight w:val="none"/>
          <w:lang w:val="en-US" w:eastAsia="zh-CN"/>
        </w:rPr>
        <w:t>人支付。</w:t>
      </w:r>
    </w:p>
    <w:p w14:paraId="697327C3">
      <w:pPr>
        <w:pStyle w:val="7"/>
        <w:adjustRightInd/>
        <w:spacing w:before="0" w:after="0" w:line="360" w:lineRule="auto"/>
        <w:jc w:val="center"/>
        <w:textAlignment w:val="auto"/>
        <w:rPr>
          <w:rFonts w:hint="eastAsia" w:ascii="宋体" w:hAnsi="宋体" w:eastAsia="宋体" w:cs="宋体"/>
          <w:sz w:val="28"/>
          <w:szCs w:val="28"/>
          <w:highlight w:val="none"/>
        </w:rPr>
      </w:pPr>
      <w:bookmarkStart w:id="14" w:name="_Toc20220"/>
      <w:r>
        <w:rPr>
          <w:rFonts w:hint="eastAsia" w:ascii="宋体" w:hAnsi="宋体" w:eastAsia="宋体" w:cs="宋体"/>
          <w:sz w:val="28"/>
          <w:szCs w:val="28"/>
          <w:highlight w:val="none"/>
        </w:rPr>
        <w:t>（二）</w:t>
      </w:r>
      <w:bookmarkStart w:id="15" w:name="_Toc395356904"/>
      <w:bookmarkStart w:id="16" w:name="_Toc411524616"/>
      <w:r>
        <w:rPr>
          <w:rFonts w:hint="eastAsia" w:ascii="宋体" w:hAnsi="宋体" w:eastAsia="宋体" w:cs="宋体"/>
          <w:sz w:val="28"/>
          <w:szCs w:val="28"/>
          <w:highlight w:val="none"/>
        </w:rPr>
        <w:t>投标书的编制</w:t>
      </w:r>
      <w:bookmarkEnd w:id="14"/>
      <w:bookmarkEnd w:id="15"/>
      <w:bookmarkEnd w:id="16"/>
    </w:p>
    <w:p w14:paraId="42957E7A">
      <w:p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bCs/>
          <w:sz w:val="24"/>
          <w:szCs w:val="24"/>
          <w:highlight w:val="none"/>
        </w:rPr>
        <w:t>11、</w:t>
      </w:r>
      <w:r>
        <w:rPr>
          <w:rFonts w:hint="eastAsia" w:ascii="宋体" w:hAnsi="宋体" w:eastAsia="宋体" w:cs="宋体"/>
          <w:b/>
          <w:sz w:val="24"/>
          <w:szCs w:val="24"/>
          <w:highlight w:val="none"/>
        </w:rPr>
        <w:t>投标书构成</w:t>
      </w:r>
    </w:p>
    <w:p w14:paraId="4EA0E759">
      <w:pPr>
        <w:adjustRightInd w:val="0"/>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11.1</w:t>
      </w:r>
      <w:r>
        <w:rPr>
          <w:rFonts w:hint="eastAsia" w:ascii="宋体" w:hAnsi="宋体" w:eastAsia="宋体" w:cs="宋体"/>
          <w:sz w:val="24"/>
          <w:szCs w:val="24"/>
          <w:highlight w:val="none"/>
        </w:rPr>
        <w:t>投标书应包括本招标文件第六章投标文件格式中所规定的全部内容。</w:t>
      </w:r>
    </w:p>
    <w:p w14:paraId="14416D5A">
      <w:pPr>
        <w:adjustRightInd w:val="0"/>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11.2</w:t>
      </w:r>
      <w:r>
        <w:rPr>
          <w:rFonts w:hint="eastAsia" w:ascii="宋体" w:hAnsi="宋体" w:eastAsia="宋体" w:cs="宋体"/>
          <w:sz w:val="24"/>
          <w:szCs w:val="24"/>
          <w:highlight w:val="none"/>
        </w:rPr>
        <w:t xml:space="preserve"> 投标人必须对其投标书的真实性与准确性负责。投标人一旦成为中标人，其投标书将作为合同的重要组成部分。</w:t>
      </w:r>
    </w:p>
    <w:p w14:paraId="7C1B4BE1">
      <w:pPr>
        <w:adjustRightInd w:val="0"/>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11.3</w:t>
      </w:r>
      <w:r>
        <w:rPr>
          <w:rFonts w:hint="eastAsia" w:ascii="宋体" w:hAnsi="宋体" w:eastAsia="宋体" w:cs="宋体"/>
          <w:sz w:val="24"/>
          <w:szCs w:val="24"/>
          <w:highlight w:val="none"/>
        </w:rPr>
        <w:t>投标人不得擅自对招标文件的格式、条款和技术要求进行修改。否则，其投标书在评标时有可能被认为是未对招标文件做出实质性的响应而中止对其作进一步的评审。</w:t>
      </w:r>
    </w:p>
    <w:p w14:paraId="7377D7CC">
      <w:pPr>
        <w:adjustRightInd w:val="0"/>
        <w:snapToGrid w:val="0"/>
        <w:spacing w:line="360" w:lineRule="auto"/>
        <w:ind w:firstLine="482" w:firstLineChars="200"/>
        <w:rPr>
          <w:rFonts w:hint="eastAsia" w:ascii="宋体" w:hAnsi="宋体" w:eastAsia="宋体" w:cs="宋体"/>
          <w:bCs/>
          <w:sz w:val="24"/>
          <w:szCs w:val="24"/>
          <w:highlight w:val="none"/>
        </w:rPr>
      </w:pPr>
      <w:r>
        <w:rPr>
          <w:rFonts w:hint="eastAsia" w:ascii="宋体" w:hAnsi="宋体" w:eastAsia="宋体" w:cs="宋体"/>
          <w:b/>
          <w:sz w:val="24"/>
          <w:szCs w:val="24"/>
          <w:highlight w:val="none"/>
        </w:rPr>
        <w:t>12、投标报价</w:t>
      </w:r>
    </w:p>
    <w:p w14:paraId="42AEBD24">
      <w:pPr>
        <w:adjustRightInd w:val="0"/>
        <w:snapToGrid w:val="0"/>
        <w:spacing w:line="360" w:lineRule="auto"/>
        <w:ind w:firstLine="482" w:firstLineChars="200"/>
        <w:rPr>
          <w:rFonts w:hint="eastAsia" w:ascii="宋体" w:hAnsi="宋体" w:eastAsia="宋体" w:cs="宋体"/>
          <w:bCs/>
          <w:sz w:val="24"/>
          <w:szCs w:val="24"/>
          <w:highlight w:val="none"/>
        </w:rPr>
      </w:pPr>
      <w:r>
        <w:rPr>
          <w:rFonts w:hint="eastAsia" w:ascii="宋体" w:hAnsi="宋体" w:eastAsia="宋体" w:cs="宋体"/>
          <w:b/>
          <w:sz w:val="24"/>
          <w:szCs w:val="24"/>
          <w:highlight w:val="none"/>
        </w:rPr>
        <w:t>12.1</w:t>
      </w:r>
      <w:r>
        <w:rPr>
          <w:rFonts w:hint="eastAsia" w:ascii="宋体" w:hAnsi="宋体" w:eastAsia="宋体" w:cs="宋体"/>
          <w:bCs/>
          <w:sz w:val="24"/>
          <w:szCs w:val="24"/>
          <w:highlight w:val="none"/>
        </w:rPr>
        <w:t xml:space="preserve"> 投标书的投标报价表上应清楚地标明</w:t>
      </w:r>
      <w:r>
        <w:rPr>
          <w:rFonts w:hint="eastAsia" w:ascii="宋体" w:hAnsi="宋体" w:eastAsia="宋体" w:cs="宋体"/>
          <w:sz w:val="24"/>
          <w:szCs w:val="24"/>
          <w:highlight w:val="none"/>
        </w:rPr>
        <w:t>投标人</w:t>
      </w:r>
      <w:r>
        <w:rPr>
          <w:rFonts w:hint="eastAsia" w:ascii="宋体" w:hAnsi="宋体" w:eastAsia="宋体" w:cs="宋体"/>
          <w:bCs/>
          <w:sz w:val="24"/>
          <w:szCs w:val="24"/>
          <w:highlight w:val="none"/>
        </w:rPr>
        <w:t>拟提供服务的名称、报价。只允许有一个方案、一个报价，多方案、多报价的投标文件将不被接受。</w:t>
      </w:r>
    </w:p>
    <w:p w14:paraId="4EE855EA">
      <w:pPr>
        <w:adjustRightInd w:val="0"/>
        <w:snapToGrid w:val="0"/>
        <w:spacing w:line="360" w:lineRule="auto"/>
        <w:ind w:firstLine="482" w:firstLineChars="200"/>
        <w:rPr>
          <w:rFonts w:hint="eastAsia" w:ascii="宋体" w:hAnsi="宋体" w:eastAsia="宋体" w:cs="宋体"/>
          <w:bCs/>
          <w:sz w:val="24"/>
          <w:szCs w:val="24"/>
          <w:highlight w:val="none"/>
        </w:rPr>
      </w:pPr>
      <w:r>
        <w:rPr>
          <w:rFonts w:hint="eastAsia" w:ascii="宋体" w:hAnsi="宋体" w:eastAsia="宋体" w:cs="宋体"/>
          <w:b/>
          <w:sz w:val="24"/>
          <w:szCs w:val="24"/>
          <w:highlight w:val="none"/>
        </w:rPr>
        <w:t>12.2</w:t>
      </w:r>
      <w:r>
        <w:rPr>
          <w:rFonts w:hint="eastAsia" w:ascii="宋体" w:hAnsi="宋体" w:eastAsia="宋体" w:cs="宋体"/>
          <w:bCs/>
          <w:sz w:val="24"/>
          <w:szCs w:val="24"/>
          <w:highlight w:val="none"/>
        </w:rPr>
        <w:t xml:space="preserve"> 投标报价表上服务的价格按招标文件约定作为签约合同价，其总价即为履行合同的固定价格。</w:t>
      </w:r>
    </w:p>
    <w:p w14:paraId="129B114A">
      <w:p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13、投标保证金</w:t>
      </w:r>
    </w:p>
    <w:p w14:paraId="67443ECC">
      <w:pPr>
        <w:adjustRightInd w:val="0"/>
        <w:snapToGrid w:val="0"/>
        <w:spacing w:line="360" w:lineRule="auto"/>
        <w:ind w:firstLine="480" w:firstLineChars="200"/>
        <w:rPr>
          <w:rFonts w:hint="eastAsia" w:ascii="宋体" w:hAnsi="宋体" w:eastAsia="宋体" w:cs="宋体"/>
          <w:sz w:val="24"/>
          <w:szCs w:val="24"/>
          <w:highlight w:val="none"/>
        </w:rPr>
      </w:pPr>
      <w:r>
        <w:rPr>
          <w:rFonts w:hint="eastAsia" w:ascii="宋体" w:hAnsi="宋体" w:eastAsia="宋体" w:cs="宋体"/>
          <w:bCs/>
          <w:sz w:val="24"/>
          <w:szCs w:val="24"/>
          <w:highlight w:val="none"/>
        </w:rPr>
        <w:t>本项目</w:t>
      </w:r>
      <w:r>
        <w:rPr>
          <w:rFonts w:hint="eastAsia" w:ascii="宋体" w:hAnsi="宋体" w:eastAsia="宋体" w:cs="宋体"/>
          <w:bCs/>
          <w:sz w:val="24"/>
          <w:szCs w:val="24"/>
          <w:highlight w:val="none"/>
          <w:lang w:val="en-US" w:eastAsia="zh-CN"/>
        </w:rPr>
        <w:t>不设置投标保证金</w:t>
      </w:r>
      <w:r>
        <w:rPr>
          <w:rFonts w:hint="eastAsia" w:ascii="宋体" w:hAnsi="宋体" w:eastAsia="宋体" w:cs="宋体"/>
          <w:bCs/>
          <w:sz w:val="24"/>
          <w:szCs w:val="24"/>
          <w:highlight w:val="none"/>
        </w:rPr>
        <w:t xml:space="preserve">  </w:t>
      </w:r>
    </w:p>
    <w:p w14:paraId="06FE060A">
      <w:pPr>
        <w:adjustRightInd w:val="0"/>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14、</w:t>
      </w:r>
      <w:r>
        <w:rPr>
          <w:rFonts w:hint="eastAsia" w:ascii="宋体" w:hAnsi="宋体" w:eastAsia="宋体" w:cs="宋体"/>
          <w:b/>
          <w:sz w:val="24"/>
          <w:szCs w:val="24"/>
          <w:highlight w:val="none"/>
        </w:rPr>
        <w:t>投标书份数和签署</w:t>
      </w:r>
    </w:p>
    <w:p w14:paraId="5796447A">
      <w:pPr>
        <w:pStyle w:val="48"/>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14.1</w:t>
      </w:r>
      <w:r>
        <w:rPr>
          <w:rFonts w:hint="eastAsia" w:ascii="宋体" w:hAnsi="宋体" w:eastAsia="宋体" w:cs="宋体"/>
          <w:sz w:val="24"/>
          <w:szCs w:val="24"/>
          <w:highlight w:val="none"/>
        </w:rPr>
        <w:t>投标人应按招标文件要求准备正本一份、副本</w:t>
      </w:r>
      <w:r>
        <w:rPr>
          <w:rFonts w:hint="eastAsia" w:hAnsi="宋体" w:cs="宋体"/>
          <w:sz w:val="24"/>
          <w:szCs w:val="24"/>
          <w:highlight w:val="none"/>
          <w:lang w:val="en-US" w:eastAsia="zh-CN"/>
        </w:rPr>
        <w:t>一</w:t>
      </w:r>
      <w:r>
        <w:rPr>
          <w:rFonts w:hint="eastAsia" w:ascii="宋体" w:hAnsi="宋体" w:eastAsia="宋体" w:cs="宋体"/>
          <w:sz w:val="24"/>
          <w:szCs w:val="24"/>
          <w:highlight w:val="none"/>
        </w:rPr>
        <w:t>份。每份投标文件密封袋上须清楚地标明“正本”或“副本”字样，正本与副本必须一致；若正本与副本不一致，以正本为准，</w:t>
      </w:r>
      <w:r>
        <w:rPr>
          <w:rFonts w:hint="eastAsia" w:ascii="宋体" w:hAnsi="宋体" w:eastAsia="宋体" w:cs="宋体"/>
          <w:b/>
          <w:sz w:val="24"/>
          <w:szCs w:val="24"/>
          <w:highlight w:val="none"/>
        </w:rPr>
        <w:t>密封袋封口处应密封，并应加盖投标人法人章或法定代表人印章。</w:t>
      </w:r>
    </w:p>
    <w:p w14:paraId="0851D324">
      <w:pPr>
        <w:adjustRightInd w:val="0"/>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14.2</w:t>
      </w:r>
      <w:r>
        <w:rPr>
          <w:rFonts w:hint="eastAsia" w:ascii="宋体" w:hAnsi="宋体" w:eastAsia="宋体" w:cs="宋体"/>
          <w:sz w:val="24"/>
          <w:szCs w:val="24"/>
          <w:highlight w:val="none"/>
        </w:rPr>
        <w:t xml:space="preserve"> 投标文件的正本和所有的副本均需用A4纸打印，在</w:t>
      </w:r>
      <w:r>
        <w:rPr>
          <w:rFonts w:hint="eastAsia" w:ascii="宋体" w:hAnsi="宋体" w:eastAsia="宋体" w:cs="宋体"/>
          <w:b/>
          <w:sz w:val="24"/>
          <w:szCs w:val="24"/>
          <w:highlight w:val="none"/>
        </w:rPr>
        <w:t>封面</w:t>
      </w:r>
      <w:r>
        <w:rPr>
          <w:rFonts w:hint="eastAsia" w:ascii="宋体" w:hAnsi="宋体" w:eastAsia="宋体" w:cs="宋体"/>
          <w:sz w:val="24"/>
          <w:szCs w:val="24"/>
          <w:highlight w:val="none"/>
        </w:rPr>
        <w:t>由投标人的法定代表人或其授权代表正确签署。</w:t>
      </w:r>
    </w:p>
    <w:p w14:paraId="5F086A83">
      <w:pPr>
        <w:adjustRightInd w:val="0"/>
        <w:snapToGrid w:val="0"/>
        <w:spacing w:line="360" w:lineRule="auto"/>
        <w:ind w:firstLine="482" w:firstLineChars="200"/>
        <w:rPr>
          <w:rFonts w:hint="eastAsia" w:ascii="宋体" w:hAnsi="宋体" w:eastAsia="宋体" w:cs="宋体"/>
          <w:sz w:val="24"/>
          <w:szCs w:val="24"/>
          <w:highlight w:val="none"/>
        </w:rPr>
      </w:pPr>
      <w:r>
        <w:rPr>
          <w:rFonts w:hint="eastAsia" w:ascii="宋体" w:hAnsi="宋体" w:eastAsia="宋体" w:cs="宋体"/>
          <w:b/>
          <w:bCs/>
          <w:sz w:val="24"/>
          <w:szCs w:val="24"/>
          <w:highlight w:val="none"/>
        </w:rPr>
        <w:t>14.3</w:t>
      </w:r>
      <w:r>
        <w:rPr>
          <w:rFonts w:hint="eastAsia" w:ascii="宋体" w:hAnsi="宋体" w:eastAsia="宋体" w:cs="宋体"/>
          <w:sz w:val="24"/>
          <w:szCs w:val="24"/>
          <w:highlight w:val="none"/>
        </w:rPr>
        <w:t xml:space="preserve"> 投标文件不得行间插字、涂改或增删。如有修改错漏处，必须由投标人的法定代表人或其授权代表签字或盖章。</w:t>
      </w:r>
    </w:p>
    <w:p w14:paraId="74540517">
      <w:p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15、投标书的密封和标记</w:t>
      </w:r>
    </w:p>
    <w:p w14:paraId="60841F16">
      <w:pPr>
        <w:adjustRightInd w:val="0"/>
        <w:snapToGrid w:val="0"/>
        <w:spacing w:line="360" w:lineRule="auto"/>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15.1 投标人应将投标文件封装。封装应该严密、不易破损。封口处应盖有投标人公章。</w:t>
      </w:r>
    </w:p>
    <w:p w14:paraId="47A0143F">
      <w:pPr>
        <w:pStyle w:val="5"/>
        <w:snapToGrid w:val="0"/>
        <w:spacing w:after="0" w:line="360" w:lineRule="auto"/>
        <w:ind w:firstLine="482" w:firstLineChars="200"/>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16、其他：</w:t>
      </w:r>
    </w:p>
    <w:p w14:paraId="2323BAAE">
      <w:pPr>
        <w:widowControl/>
        <w:adjustRightInd w:val="0"/>
        <w:snapToGrid w:val="0"/>
        <w:spacing w:line="36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16.1 投标文件的语言及度量衡单位</w:t>
      </w:r>
    </w:p>
    <w:p w14:paraId="4AEC1AD0">
      <w:pPr>
        <w:widowControl/>
        <w:adjustRightInd w:val="0"/>
        <w:snapToGrid w:val="0"/>
        <w:spacing w:line="36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16.1.1投标文件和与投标有关的所有文件均应使用中文。投标人随投标文件提供的证明文件和印刷品可以是其它语言，但应当附有经权威翻译机构核准的中文译文或得到评标委员会的认可。</w:t>
      </w:r>
    </w:p>
    <w:p w14:paraId="5604CEA3">
      <w:pPr>
        <w:widowControl/>
        <w:adjustRightInd w:val="0"/>
        <w:snapToGrid w:val="0"/>
        <w:spacing w:line="36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16.1.2除工程规范另有规定外，投标文件使用的度量衡单位，均采用中华人民共和国法定计量单位。</w:t>
      </w:r>
    </w:p>
    <w:p w14:paraId="0F9B25C9">
      <w:pPr>
        <w:widowControl/>
        <w:adjustRightInd w:val="0"/>
        <w:snapToGrid w:val="0"/>
        <w:spacing w:line="36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16.2 投标文件的组成和内容</w:t>
      </w:r>
    </w:p>
    <w:p w14:paraId="4C9FD907">
      <w:pPr>
        <w:widowControl/>
        <w:adjustRightInd w:val="0"/>
        <w:snapToGrid w:val="0"/>
        <w:spacing w:line="36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16.2.1 投标文件由资信标、技术标</w:t>
      </w:r>
      <w:r>
        <w:rPr>
          <w:rFonts w:hint="eastAsia" w:ascii="宋体" w:hAnsi="宋体" w:cs="宋体"/>
          <w:kern w:val="0"/>
          <w:sz w:val="24"/>
          <w:szCs w:val="24"/>
          <w:highlight w:val="none"/>
          <w:lang w:eastAsia="zh-CN"/>
        </w:rPr>
        <w:t>、</w:t>
      </w:r>
      <w:r>
        <w:rPr>
          <w:rFonts w:hint="eastAsia" w:ascii="宋体" w:hAnsi="宋体" w:cs="宋体"/>
          <w:kern w:val="0"/>
          <w:sz w:val="24"/>
          <w:szCs w:val="24"/>
          <w:highlight w:val="none"/>
          <w:lang w:val="en-US" w:eastAsia="zh-CN"/>
        </w:rPr>
        <w:t>商务标文件</w:t>
      </w:r>
      <w:r>
        <w:rPr>
          <w:rFonts w:hint="eastAsia" w:ascii="宋体" w:hAnsi="宋体" w:eastAsia="宋体" w:cs="宋体"/>
          <w:kern w:val="0"/>
          <w:sz w:val="24"/>
          <w:szCs w:val="24"/>
          <w:highlight w:val="none"/>
        </w:rPr>
        <w:t>组成，各部分内容详见本招标文件第四章“投标文件格式”。</w:t>
      </w:r>
    </w:p>
    <w:p w14:paraId="1F4C548B">
      <w:pPr>
        <w:widowControl/>
        <w:adjustRightInd w:val="0"/>
        <w:snapToGrid w:val="0"/>
        <w:spacing w:line="36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16.2.2投标人必须保证其标书中所有资料的真实性。若有弄虚作假及其它违法违规行为的，由公共资源交易监督管理部门依照相关法律法规进行处理，记入不良行为记录。</w:t>
      </w:r>
    </w:p>
    <w:p w14:paraId="3A1BADD5">
      <w:pPr>
        <w:widowControl/>
        <w:adjustRightInd w:val="0"/>
        <w:snapToGrid w:val="0"/>
        <w:spacing w:line="36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16.3投标货币：本</w:t>
      </w:r>
      <w:r>
        <w:rPr>
          <w:rFonts w:hint="eastAsia" w:ascii="宋体" w:hAnsi="宋体" w:eastAsia="宋体" w:cs="宋体"/>
          <w:kern w:val="0"/>
          <w:sz w:val="24"/>
          <w:szCs w:val="24"/>
          <w:highlight w:val="none"/>
          <w:lang w:val="en-US" w:eastAsia="zh-CN"/>
        </w:rPr>
        <w:t>项目</w:t>
      </w:r>
      <w:r>
        <w:rPr>
          <w:rFonts w:hint="eastAsia" w:ascii="宋体" w:hAnsi="宋体" w:eastAsia="宋体" w:cs="宋体"/>
          <w:kern w:val="0"/>
          <w:sz w:val="24"/>
          <w:szCs w:val="24"/>
          <w:highlight w:val="none"/>
        </w:rPr>
        <w:t>投标报价采用的币种为</w:t>
      </w:r>
      <w:r>
        <w:rPr>
          <w:rFonts w:hint="eastAsia" w:ascii="宋体" w:hAnsi="宋体" w:eastAsia="宋体" w:cs="宋体"/>
          <w:kern w:val="0"/>
          <w:sz w:val="24"/>
          <w:szCs w:val="24"/>
          <w:highlight w:val="none"/>
          <w:u w:val="single"/>
        </w:rPr>
        <w:t xml:space="preserve">  人民币  </w:t>
      </w:r>
      <w:r>
        <w:rPr>
          <w:rFonts w:hint="eastAsia" w:ascii="宋体" w:hAnsi="宋体" w:eastAsia="宋体" w:cs="宋体"/>
          <w:kern w:val="0"/>
          <w:sz w:val="24"/>
          <w:szCs w:val="24"/>
          <w:highlight w:val="none"/>
        </w:rPr>
        <w:t>。</w:t>
      </w:r>
    </w:p>
    <w:p w14:paraId="48EF1CC0">
      <w:pPr>
        <w:pStyle w:val="7"/>
        <w:adjustRightInd/>
        <w:spacing w:before="0" w:after="0" w:line="360" w:lineRule="auto"/>
        <w:jc w:val="center"/>
        <w:textAlignment w:val="auto"/>
        <w:rPr>
          <w:rFonts w:hint="eastAsia" w:ascii="宋体" w:hAnsi="宋体" w:eastAsia="宋体" w:cs="宋体"/>
          <w:sz w:val="28"/>
          <w:szCs w:val="28"/>
          <w:highlight w:val="none"/>
        </w:rPr>
      </w:pPr>
      <w:bookmarkStart w:id="17" w:name="_Toc3236"/>
      <w:bookmarkStart w:id="18" w:name="_Toc395356905"/>
      <w:bookmarkStart w:id="19" w:name="_Toc411524617"/>
      <w:r>
        <w:rPr>
          <w:rFonts w:hint="eastAsia" w:ascii="宋体" w:hAnsi="宋体" w:eastAsia="宋体" w:cs="宋体"/>
          <w:sz w:val="28"/>
          <w:szCs w:val="28"/>
          <w:highlight w:val="none"/>
        </w:rPr>
        <w:t>（三）投标文件的递交</w:t>
      </w:r>
      <w:bookmarkEnd w:id="17"/>
      <w:bookmarkEnd w:id="18"/>
      <w:bookmarkEnd w:id="19"/>
    </w:p>
    <w:p w14:paraId="5173EA99">
      <w:pPr>
        <w:widowControl/>
        <w:adjustRightInd w:val="0"/>
        <w:snapToGrid w:val="0"/>
        <w:spacing w:line="360" w:lineRule="auto"/>
        <w:ind w:firstLine="472" w:firstLineChars="196"/>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17.纸质投标文件的装订、密封和标记</w:t>
      </w:r>
    </w:p>
    <w:p w14:paraId="530C1654">
      <w:pPr>
        <w:widowControl/>
        <w:adjustRightInd w:val="0"/>
        <w:snapToGrid w:val="0"/>
        <w:spacing w:line="36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17.1招标文件要求提交纸质投标文件的，投标人应根据本招标文件下篇第四章“投标文件格式”的要求</w:t>
      </w:r>
      <w:r>
        <w:rPr>
          <w:rFonts w:hint="eastAsia" w:ascii="宋体" w:hAnsi="宋体" w:eastAsia="宋体" w:cs="宋体"/>
          <w:b/>
          <w:bCs/>
          <w:kern w:val="0"/>
          <w:sz w:val="24"/>
          <w:szCs w:val="24"/>
          <w:highlight w:val="none"/>
        </w:rPr>
        <w:t>将纸质资信标、技术标</w:t>
      </w:r>
      <w:r>
        <w:rPr>
          <w:rFonts w:hint="eastAsia" w:ascii="宋体" w:hAnsi="宋体" w:cs="宋体"/>
          <w:b/>
          <w:bCs/>
          <w:kern w:val="0"/>
          <w:sz w:val="24"/>
          <w:szCs w:val="24"/>
          <w:highlight w:val="none"/>
          <w:lang w:eastAsia="zh-CN"/>
        </w:rPr>
        <w:t>、</w:t>
      </w:r>
      <w:r>
        <w:rPr>
          <w:rFonts w:hint="eastAsia" w:ascii="宋体" w:hAnsi="宋体" w:cs="宋体"/>
          <w:b/>
          <w:bCs/>
          <w:kern w:val="0"/>
          <w:sz w:val="24"/>
          <w:szCs w:val="24"/>
          <w:highlight w:val="none"/>
          <w:lang w:val="en-US" w:eastAsia="zh-CN"/>
        </w:rPr>
        <w:t>商务</w:t>
      </w:r>
      <w:r>
        <w:rPr>
          <w:rFonts w:hint="eastAsia" w:ascii="宋体" w:hAnsi="宋体" w:cs="宋体"/>
          <w:b/>
          <w:bCs/>
          <w:snapToGrid w:val="0"/>
          <w:kern w:val="0"/>
          <w:sz w:val="24"/>
          <w:szCs w:val="24"/>
          <w:highlight w:val="none"/>
          <w:lang w:val="en-US" w:eastAsia="zh-CN"/>
        </w:rPr>
        <w:t>标</w:t>
      </w:r>
      <w:r>
        <w:rPr>
          <w:rFonts w:hint="eastAsia" w:ascii="宋体" w:hAnsi="宋体" w:eastAsia="宋体" w:cs="宋体"/>
          <w:b/>
          <w:bCs/>
          <w:snapToGrid w:val="0"/>
          <w:kern w:val="0"/>
          <w:sz w:val="24"/>
          <w:szCs w:val="24"/>
          <w:highlight w:val="none"/>
        </w:rPr>
        <w:t>文件</w:t>
      </w:r>
      <w:r>
        <w:rPr>
          <w:rFonts w:hint="eastAsia" w:ascii="宋体" w:hAnsi="宋体" w:eastAsia="宋体" w:cs="宋体"/>
          <w:b/>
          <w:bCs/>
          <w:kern w:val="0"/>
          <w:sz w:val="24"/>
          <w:szCs w:val="24"/>
          <w:highlight w:val="none"/>
        </w:rPr>
        <w:t>分别密封装订并标明相应名称</w:t>
      </w:r>
      <w:r>
        <w:rPr>
          <w:rFonts w:hint="eastAsia" w:ascii="宋体" w:hAnsi="宋体" w:eastAsia="宋体" w:cs="宋体"/>
          <w:kern w:val="0"/>
          <w:sz w:val="24"/>
          <w:szCs w:val="24"/>
          <w:highlight w:val="none"/>
        </w:rPr>
        <w:t>。</w:t>
      </w:r>
    </w:p>
    <w:p w14:paraId="25CAF606">
      <w:pPr>
        <w:widowControl/>
        <w:adjustRightInd w:val="0"/>
        <w:snapToGrid w:val="0"/>
        <w:spacing w:line="36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17.2纸质投标文件的正本和所有副本应分别密封，并在密封袋上清楚地标明“正本”或“副本”，密封袋封口处应密封，并应加盖投标人法人章或法定代表人印章；</w:t>
      </w:r>
    </w:p>
    <w:p w14:paraId="410F668F">
      <w:pPr>
        <w:widowControl/>
        <w:adjustRightInd w:val="0"/>
        <w:snapToGrid w:val="0"/>
        <w:spacing w:line="36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17.3 纸质投标文件在投标文件密封袋上均应写明：</w:t>
      </w:r>
    </w:p>
    <w:p w14:paraId="52072881">
      <w:pPr>
        <w:widowControl/>
        <w:adjustRightInd w:val="0"/>
        <w:snapToGrid w:val="0"/>
        <w:spacing w:line="36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17.3.1 招标人名称；</w:t>
      </w:r>
    </w:p>
    <w:p w14:paraId="6FD25E3C">
      <w:pPr>
        <w:widowControl/>
        <w:adjustRightInd w:val="0"/>
        <w:snapToGrid w:val="0"/>
        <w:spacing w:line="36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17.3.2 招标编号；</w:t>
      </w:r>
    </w:p>
    <w:p w14:paraId="2264EF76">
      <w:pPr>
        <w:widowControl/>
        <w:adjustRightInd w:val="0"/>
        <w:snapToGrid w:val="0"/>
        <w:spacing w:line="36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17.3.3 </w:t>
      </w:r>
      <w:r>
        <w:rPr>
          <w:rFonts w:hint="eastAsia" w:ascii="宋体" w:hAnsi="宋体" w:eastAsia="宋体" w:cs="宋体"/>
          <w:kern w:val="0"/>
          <w:sz w:val="24"/>
          <w:szCs w:val="24"/>
          <w:highlight w:val="none"/>
          <w:lang w:val="en-US" w:eastAsia="zh-CN"/>
        </w:rPr>
        <w:t>项目</w:t>
      </w:r>
      <w:r>
        <w:rPr>
          <w:rFonts w:hint="eastAsia" w:ascii="宋体" w:hAnsi="宋体" w:eastAsia="宋体" w:cs="宋体"/>
          <w:kern w:val="0"/>
          <w:sz w:val="24"/>
          <w:szCs w:val="24"/>
          <w:highlight w:val="none"/>
        </w:rPr>
        <w:t>名称；</w:t>
      </w:r>
    </w:p>
    <w:p w14:paraId="617DD486">
      <w:pPr>
        <w:widowControl/>
        <w:adjustRightInd w:val="0"/>
        <w:snapToGrid w:val="0"/>
        <w:spacing w:line="36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17.3.4        年       月      日      时      分开标，此时间以前不得开启；</w:t>
      </w:r>
    </w:p>
    <w:p w14:paraId="0B9FF8A0">
      <w:pPr>
        <w:widowControl/>
        <w:adjustRightInd w:val="0"/>
        <w:snapToGrid w:val="0"/>
        <w:spacing w:line="36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17.3.5投标人名称和地址。</w:t>
      </w:r>
    </w:p>
    <w:p w14:paraId="6EF9C894">
      <w:pPr>
        <w:widowControl/>
        <w:adjustRightInd w:val="0"/>
        <w:snapToGrid w:val="0"/>
        <w:spacing w:line="360" w:lineRule="auto"/>
        <w:ind w:firstLine="472" w:firstLineChars="196"/>
        <w:rPr>
          <w:rFonts w:hint="eastAsia" w:ascii="宋体" w:hAnsi="宋体" w:eastAsia="宋体" w:cs="宋体"/>
          <w:b/>
          <w:kern w:val="0"/>
          <w:sz w:val="24"/>
          <w:szCs w:val="24"/>
          <w:highlight w:val="none"/>
        </w:rPr>
      </w:pPr>
      <w:r>
        <w:rPr>
          <w:rFonts w:hint="eastAsia" w:ascii="宋体" w:hAnsi="宋体" w:eastAsia="宋体" w:cs="宋体"/>
          <w:b/>
          <w:kern w:val="0"/>
          <w:sz w:val="24"/>
          <w:szCs w:val="24"/>
          <w:highlight w:val="none"/>
        </w:rPr>
        <w:t>18.投标文件的提交</w:t>
      </w:r>
    </w:p>
    <w:p w14:paraId="6E0B6A24">
      <w:pPr>
        <w:widowControl/>
        <w:adjustRightInd w:val="0"/>
        <w:snapToGrid w:val="0"/>
        <w:spacing w:line="36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18.1投标人应按招标公告中规定的地点，于投标截止时间前提交投标文件。</w:t>
      </w:r>
    </w:p>
    <w:p w14:paraId="1B95B0CA">
      <w:pPr>
        <w:widowControl/>
        <w:adjustRightInd w:val="0"/>
        <w:snapToGrid w:val="0"/>
        <w:spacing w:line="36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18.2投标文件提交的截止时间见招标公告的规定。</w:t>
      </w:r>
    </w:p>
    <w:p w14:paraId="6BBD932E">
      <w:pPr>
        <w:widowControl/>
        <w:adjustRightInd w:val="0"/>
        <w:snapToGrid w:val="0"/>
        <w:spacing w:line="36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18.3 招标人可按招标文件规定以澄清或修改、补充通知的方式，酌情延长提交投标文件的截止时间。在此情况下，投标人的所有权利和义务以及投标人受制约的截止时间，均以延长后新的投标截止时间为准。</w:t>
      </w:r>
    </w:p>
    <w:p w14:paraId="1E92BE36">
      <w:pPr>
        <w:widowControl/>
        <w:adjustRightInd w:val="0"/>
        <w:snapToGrid w:val="0"/>
        <w:spacing w:line="36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18.4到投标截止时间止，招标人收到的有效投标文件少于3个的，招标人将依法重新组织招标。</w:t>
      </w:r>
    </w:p>
    <w:p w14:paraId="1B358614">
      <w:pPr>
        <w:widowControl/>
        <w:adjustRightInd w:val="0"/>
        <w:snapToGrid w:val="0"/>
        <w:spacing w:line="36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19.迟交的投标文件</w:t>
      </w:r>
    </w:p>
    <w:p w14:paraId="619AF167">
      <w:pPr>
        <w:widowControl/>
        <w:adjustRightInd w:val="0"/>
        <w:snapToGrid w:val="0"/>
        <w:spacing w:line="36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投标人在投标截止时间后递交的投标文件，将被拒绝。</w:t>
      </w:r>
    </w:p>
    <w:p w14:paraId="6B939796">
      <w:pPr>
        <w:widowControl/>
        <w:adjustRightInd w:val="0"/>
        <w:snapToGrid w:val="0"/>
        <w:spacing w:line="36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20.投标文件的补充、修改与撤回</w:t>
      </w:r>
    </w:p>
    <w:p w14:paraId="2ED0CCDB">
      <w:pPr>
        <w:widowControl/>
        <w:adjustRightInd w:val="0"/>
        <w:snapToGrid w:val="0"/>
        <w:spacing w:line="36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20.1 投标人在提交投标文件以后，在规定的投标截止时间之前，可以补充、修改或撤回已提交的投标文件，并通知招标人。补充、修改的内容为投标文件的组成部分。</w:t>
      </w:r>
    </w:p>
    <w:p w14:paraId="39719533">
      <w:pPr>
        <w:widowControl/>
        <w:adjustRightInd w:val="0"/>
        <w:snapToGrid w:val="0"/>
        <w:spacing w:line="36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21.2 采用纸质投标文件的，投标人对投标文件的补充、修改或撤回通知，应按须知本招标文件的规定密封、标记和提交，并在投标文件密封袋上清楚标明“补充、修改”或“撤回”字样。否则，补充、修改或撤回通知无效。</w:t>
      </w:r>
    </w:p>
    <w:p w14:paraId="57C5977D">
      <w:pPr>
        <w:widowControl/>
        <w:adjustRightInd w:val="0"/>
        <w:snapToGrid w:val="0"/>
        <w:spacing w:line="360" w:lineRule="auto"/>
        <w:ind w:firstLine="470" w:firstLineChars="196"/>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22.3在投标截止时间之后，投标人不得补充、修改投标文件。</w:t>
      </w:r>
    </w:p>
    <w:p w14:paraId="6068EC1B">
      <w:pPr>
        <w:pStyle w:val="7"/>
        <w:adjustRightInd/>
        <w:spacing w:before="0" w:after="0" w:line="360" w:lineRule="auto"/>
        <w:jc w:val="center"/>
        <w:textAlignment w:val="auto"/>
        <w:rPr>
          <w:rFonts w:ascii="宋体" w:hAnsi="宋体" w:cs="Times New Roman"/>
          <w:sz w:val="28"/>
          <w:szCs w:val="28"/>
          <w:highlight w:val="none"/>
        </w:rPr>
      </w:pPr>
      <w:bookmarkStart w:id="20" w:name="_Toc411524618"/>
      <w:bookmarkStart w:id="21" w:name="_Toc395356906"/>
      <w:bookmarkStart w:id="22" w:name="_Toc4911"/>
      <w:r>
        <w:rPr>
          <w:rFonts w:hint="eastAsia" w:ascii="宋体" w:hAnsi="宋体" w:cs="Times New Roman"/>
          <w:sz w:val="28"/>
          <w:szCs w:val="28"/>
          <w:highlight w:val="none"/>
        </w:rPr>
        <w:t>（四）开标</w:t>
      </w:r>
      <w:bookmarkEnd w:id="20"/>
      <w:bookmarkEnd w:id="21"/>
      <w:bookmarkEnd w:id="22"/>
    </w:p>
    <w:p w14:paraId="791D096E">
      <w:pPr>
        <w:pStyle w:val="22"/>
        <w:spacing w:line="360" w:lineRule="auto"/>
        <w:ind w:left="902" w:hanging="482"/>
        <w:rPr>
          <w:rFonts w:hAnsi="宋体"/>
          <w:b/>
          <w:bCs/>
          <w:sz w:val="24"/>
          <w:szCs w:val="24"/>
          <w:highlight w:val="none"/>
        </w:rPr>
      </w:pPr>
      <w:r>
        <w:rPr>
          <w:rFonts w:hint="eastAsia" w:hAnsi="宋体"/>
          <w:b/>
          <w:bCs/>
          <w:sz w:val="24"/>
          <w:szCs w:val="24"/>
          <w:highlight w:val="none"/>
        </w:rPr>
        <w:t>23.开标</w:t>
      </w:r>
    </w:p>
    <w:p w14:paraId="4A5AEBF9">
      <w:pPr>
        <w:pStyle w:val="22"/>
        <w:spacing w:line="360" w:lineRule="auto"/>
        <w:ind w:left="420" w:firstLine="480" w:firstLineChars="200"/>
        <w:rPr>
          <w:rFonts w:hAnsi="宋体"/>
          <w:b/>
          <w:bCs/>
          <w:sz w:val="24"/>
          <w:szCs w:val="24"/>
          <w:highlight w:val="none"/>
        </w:rPr>
      </w:pPr>
      <w:r>
        <w:rPr>
          <w:rFonts w:hint="eastAsia" w:hAnsi="宋体"/>
          <w:bCs/>
          <w:sz w:val="24"/>
          <w:szCs w:val="24"/>
          <w:highlight w:val="none"/>
        </w:rPr>
        <w:t>23.1招标人按</w:t>
      </w:r>
      <w:r>
        <w:rPr>
          <w:rFonts w:hint="eastAsia" w:hAnsi="宋体"/>
          <w:kern w:val="0"/>
          <w:sz w:val="24"/>
          <w:szCs w:val="24"/>
          <w:highlight w:val="none"/>
          <w:lang w:eastAsia="zh-CN"/>
        </w:rPr>
        <w:t>招标公告</w:t>
      </w:r>
      <w:r>
        <w:rPr>
          <w:rFonts w:hint="eastAsia" w:hAnsi="宋体"/>
          <w:bCs/>
          <w:sz w:val="24"/>
          <w:szCs w:val="24"/>
          <w:highlight w:val="none"/>
        </w:rPr>
        <w:t>所规定的时间和地点开标，</w:t>
      </w:r>
      <w:r>
        <w:rPr>
          <w:rFonts w:hint="eastAsia" w:hAnsi="宋体"/>
          <w:b/>
          <w:bCs/>
          <w:sz w:val="24"/>
          <w:szCs w:val="24"/>
          <w:highlight w:val="none"/>
        </w:rPr>
        <w:t>未出席开标会议不影响投标人的投标文件效力。</w:t>
      </w:r>
    </w:p>
    <w:p w14:paraId="16F456F8">
      <w:pPr>
        <w:pStyle w:val="22"/>
        <w:spacing w:line="360" w:lineRule="auto"/>
        <w:ind w:left="420" w:firstLine="480" w:firstLineChars="200"/>
        <w:rPr>
          <w:rFonts w:hAnsi="宋体"/>
          <w:bCs/>
          <w:sz w:val="24"/>
          <w:szCs w:val="24"/>
          <w:highlight w:val="none"/>
        </w:rPr>
      </w:pPr>
      <w:r>
        <w:rPr>
          <w:rFonts w:hint="eastAsia" w:hAnsi="宋体"/>
          <w:bCs/>
          <w:sz w:val="24"/>
          <w:szCs w:val="24"/>
          <w:highlight w:val="none"/>
        </w:rPr>
        <w:t>23.2按规定提交合格的撤回通知的投标文件不予开启，并退回给投标人；按本须知第21条规定拒收的投标文件，不予送交评审。</w:t>
      </w:r>
    </w:p>
    <w:p w14:paraId="0A15CA96">
      <w:pPr>
        <w:pStyle w:val="22"/>
        <w:spacing w:line="360" w:lineRule="auto"/>
        <w:ind w:left="420" w:firstLine="480" w:firstLineChars="200"/>
        <w:rPr>
          <w:rFonts w:hAnsi="宋体"/>
          <w:bCs/>
          <w:sz w:val="24"/>
          <w:szCs w:val="24"/>
          <w:highlight w:val="none"/>
        </w:rPr>
      </w:pPr>
      <w:r>
        <w:rPr>
          <w:rFonts w:hint="eastAsia" w:hAnsi="宋体"/>
          <w:bCs/>
          <w:sz w:val="24"/>
          <w:szCs w:val="24"/>
          <w:highlight w:val="none"/>
        </w:rPr>
        <w:t>23.3开标由招标人或招标代理机构主持，主持人按下列程序进行：</w:t>
      </w:r>
    </w:p>
    <w:p w14:paraId="4C78EA8A">
      <w:pPr>
        <w:pStyle w:val="22"/>
        <w:spacing w:line="360" w:lineRule="auto"/>
        <w:ind w:left="420" w:firstLine="480" w:firstLineChars="200"/>
        <w:rPr>
          <w:rFonts w:hAnsi="宋体"/>
          <w:bCs/>
          <w:sz w:val="24"/>
          <w:szCs w:val="24"/>
          <w:highlight w:val="none"/>
        </w:rPr>
      </w:pPr>
      <w:r>
        <w:rPr>
          <w:rFonts w:hint="eastAsia" w:hAnsi="宋体"/>
          <w:bCs/>
          <w:sz w:val="24"/>
          <w:szCs w:val="24"/>
          <w:highlight w:val="none"/>
        </w:rPr>
        <w:t>23.3.1由主持人宣布开标会开始、同时宣布开标人、唱标人、记录人和监督人员及到场的相关人员；</w:t>
      </w:r>
    </w:p>
    <w:p w14:paraId="46620D08">
      <w:pPr>
        <w:pStyle w:val="22"/>
        <w:spacing w:line="360" w:lineRule="auto"/>
        <w:ind w:left="420" w:firstLine="480" w:firstLineChars="200"/>
        <w:rPr>
          <w:rFonts w:hAnsi="宋体"/>
          <w:b/>
          <w:bCs/>
          <w:sz w:val="24"/>
          <w:szCs w:val="24"/>
          <w:highlight w:val="none"/>
        </w:rPr>
      </w:pPr>
      <w:r>
        <w:rPr>
          <w:rFonts w:hint="eastAsia" w:hAnsi="宋体"/>
          <w:bCs/>
          <w:sz w:val="24"/>
          <w:szCs w:val="24"/>
          <w:highlight w:val="none"/>
        </w:rPr>
        <w:t>23.3.2宣读至投标截止时间前接收到递交的有效投标文件的份数及投标单位名称。</w:t>
      </w:r>
    </w:p>
    <w:p w14:paraId="29A8C68F">
      <w:pPr>
        <w:pStyle w:val="22"/>
        <w:spacing w:line="360" w:lineRule="auto"/>
        <w:ind w:left="420" w:firstLine="480" w:firstLineChars="200"/>
        <w:rPr>
          <w:rFonts w:hAnsi="宋体"/>
          <w:bCs/>
          <w:sz w:val="24"/>
          <w:szCs w:val="24"/>
          <w:highlight w:val="none"/>
        </w:rPr>
      </w:pPr>
      <w:r>
        <w:rPr>
          <w:rFonts w:hint="eastAsia" w:hAnsi="宋体"/>
          <w:bCs/>
          <w:sz w:val="24"/>
          <w:szCs w:val="24"/>
          <w:highlight w:val="none"/>
        </w:rPr>
        <w:t>23.3.3</w:t>
      </w:r>
      <w:r>
        <w:rPr>
          <w:rFonts w:hint="eastAsia" w:hAnsi="宋体"/>
          <w:b/>
          <w:bCs/>
          <w:sz w:val="24"/>
          <w:szCs w:val="24"/>
          <w:highlight w:val="none"/>
        </w:rPr>
        <w:t>招标人和投标人的代表共同检查各投标书密封情况，对密封情况有异议的应当场提出，标书开启后不再接受任何对标书密封情况的异议和投诉。</w:t>
      </w:r>
    </w:p>
    <w:p w14:paraId="37C4B12C">
      <w:pPr>
        <w:pStyle w:val="22"/>
        <w:spacing w:line="360" w:lineRule="auto"/>
        <w:ind w:left="420" w:firstLine="480" w:firstLineChars="200"/>
        <w:rPr>
          <w:rFonts w:hAnsi="宋体"/>
          <w:b/>
          <w:bCs/>
          <w:sz w:val="24"/>
          <w:szCs w:val="24"/>
          <w:highlight w:val="none"/>
        </w:rPr>
      </w:pPr>
      <w:r>
        <w:rPr>
          <w:rFonts w:hint="eastAsia" w:hAnsi="宋体"/>
          <w:bCs/>
          <w:sz w:val="24"/>
          <w:szCs w:val="24"/>
          <w:highlight w:val="none"/>
        </w:rPr>
        <w:t>23.3.4</w:t>
      </w:r>
      <w:r>
        <w:rPr>
          <w:rFonts w:hint="eastAsia" w:hAnsi="宋体"/>
          <w:b/>
          <w:sz w:val="24"/>
          <w:szCs w:val="24"/>
          <w:highlight w:val="none"/>
        </w:rPr>
        <w:t>主持人</w:t>
      </w:r>
      <w:r>
        <w:rPr>
          <w:rFonts w:hint="eastAsia" w:hAnsi="宋体"/>
          <w:b/>
          <w:bCs/>
          <w:sz w:val="24"/>
          <w:szCs w:val="24"/>
          <w:highlight w:val="none"/>
        </w:rPr>
        <w:t>告知所有投标人，任何对开标期间的异议应当在开标现场提出，开标结束后，不再接受任何对开标的异议和投诉。</w:t>
      </w:r>
    </w:p>
    <w:p w14:paraId="06FB7354">
      <w:pPr>
        <w:pStyle w:val="22"/>
        <w:spacing w:line="360" w:lineRule="auto"/>
        <w:ind w:left="420" w:firstLine="480" w:firstLineChars="200"/>
        <w:rPr>
          <w:rFonts w:hAnsi="宋体"/>
          <w:bCs/>
          <w:sz w:val="24"/>
          <w:szCs w:val="24"/>
          <w:highlight w:val="none"/>
        </w:rPr>
      </w:pPr>
      <w:r>
        <w:rPr>
          <w:rFonts w:hint="eastAsia" w:hAnsi="宋体"/>
          <w:bCs/>
          <w:sz w:val="24"/>
          <w:szCs w:val="24"/>
          <w:highlight w:val="none"/>
        </w:rPr>
        <w:t>23.3.5主持人按投标书送达时间逆顺序进行开标、唱标。</w:t>
      </w:r>
    </w:p>
    <w:p w14:paraId="29BB03FE">
      <w:pPr>
        <w:pStyle w:val="22"/>
        <w:spacing w:line="360" w:lineRule="auto"/>
        <w:ind w:left="420" w:firstLine="480" w:firstLineChars="200"/>
        <w:rPr>
          <w:rFonts w:hAnsi="宋体"/>
          <w:bCs/>
          <w:sz w:val="24"/>
          <w:szCs w:val="24"/>
          <w:highlight w:val="none"/>
        </w:rPr>
      </w:pPr>
      <w:r>
        <w:rPr>
          <w:rFonts w:hint="eastAsia" w:hAnsi="宋体"/>
          <w:bCs/>
          <w:sz w:val="24"/>
          <w:szCs w:val="24"/>
          <w:highlight w:val="none"/>
        </w:rPr>
        <w:t>23.4.6开标结束。</w:t>
      </w:r>
    </w:p>
    <w:p w14:paraId="4DA8BE0B">
      <w:pPr>
        <w:pStyle w:val="22"/>
        <w:spacing w:line="360" w:lineRule="auto"/>
        <w:ind w:left="900" w:hanging="480"/>
        <w:rPr>
          <w:rFonts w:hAnsi="宋体"/>
          <w:sz w:val="24"/>
          <w:szCs w:val="24"/>
          <w:highlight w:val="none"/>
        </w:rPr>
      </w:pPr>
      <w:r>
        <w:rPr>
          <w:rFonts w:hint="eastAsia" w:hAnsi="宋体"/>
          <w:sz w:val="24"/>
          <w:szCs w:val="24"/>
          <w:highlight w:val="none"/>
        </w:rPr>
        <w:t>24.</w:t>
      </w:r>
      <w:r>
        <w:rPr>
          <w:rFonts w:hint="eastAsia" w:hAnsi="宋体"/>
          <w:b/>
          <w:bCs/>
          <w:sz w:val="24"/>
          <w:szCs w:val="24"/>
          <w:highlight w:val="none"/>
        </w:rPr>
        <w:t>投标文件有下列情形之一的，招标人将不予接受</w:t>
      </w:r>
      <w:r>
        <w:rPr>
          <w:rFonts w:hint="eastAsia" w:hAnsi="宋体"/>
          <w:sz w:val="24"/>
          <w:szCs w:val="24"/>
          <w:highlight w:val="none"/>
        </w:rPr>
        <w:t xml:space="preserve">： </w:t>
      </w:r>
    </w:p>
    <w:p w14:paraId="6E1F487C">
      <w:pPr>
        <w:pStyle w:val="22"/>
        <w:spacing w:line="360" w:lineRule="auto"/>
        <w:ind w:left="420" w:firstLine="480" w:firstLineChars="200"/>
        <w:rPr>
          <w:rFonts w:hAnsi="宋体"/>
          <w:sz w:val="24"/>
          <w:szCs w:val="24"/>
          <w:highlight w:val="none"/>
        </w:rPr>
      </w:pPr>
      <w:r>
        <w:rPr>
          <w:rFonts w:hint="eastAsia" w:hAnsi="宋体"/>
          <w:sz w:val="24"/>
          <w:szCs w:val="24"/>
          <w:highlight w:val="none"/>
        </w:rPr>
        <w:t xml:space="preserve">24.1逾期送达的或者未送达指定地点的； </w:t>
      </w:r>
    </w:p>
    <w:p w14:paraId="27A87E5E">
      <w:pPr>
        <w:pStyle w:val="22"/>
        <w:spacing w:line="360" w:lineRule="auto"/>
        <w:ind w:left="420" w:firstLine="480" w:firstLineChars="200"/>
        <w:rPr>
          <w:rFonts w:hAnsi="宋体"/>
          <w:sz w:val="24"/>
          <w:szCs w:val="24"/>
          <w:highlight w:val="none"/>
        </w:rPr>
      </w:pPr>
      <w:r>
        <w:rPr>
          <w:rFonts w:hint="eastAsia" w:hAnsi="宋体"/>
          <w:sz w:val="24"/>
          <w:szCs w:val="24"/>
          <w:highlight w:val="none"/>
        </w:rPr>
        <w:t>24.2纸质投标文件，未按招标文件要求包装、密封</w:t>
      </w:r>
      <w:r>
        <w:rPr>
          <w:rFonts w:hint="eastAsia" w:hAnsi="宋体"/>
          <w:bCs/>
          <w:sz w:val="24"/>
          <w:szCs w:val="24"/>
          <w:highlight w:val="none"/>
        </w:rPr>
        <w:t>及加写标记</w:t>
      </w:r>
      <w:r>
        <w:rPr>
          <w:rFonts w:hint="eastAsia" w:hAnsi="宋体"/>
          <w:sz w:val="24"/>
          <w:szCs w:val="24"/>
          <w:highlight w:val="none"/>
        </w:rPr>
        <w:t>的。</w:t>
      </w:r>
      <w:r>
        <w:rPr>
          <w:rFonts w:hint="eastAsia" w:hAnsi="宋体"/>
          <w:bCs/>
          <w:sz w:val="24"/>
          <w:szCs w:val="24"/>
          <w:highlight w:val="none"/>
        </w:rPr>
        <w:cr/>
      </w:r>
      <w:r>
        <w:rPr>
          <w:rFonts w:hint="eastAsia" w:hAnsi="宋体"/>
          <w:b/>
          <w:bCs/>
          <w:sz w:val="24"/>
          <w:szCs w:val="24"/>
          <w:highlight w:val="none"/>
        </w:rPr>
        <w:t>25.开标记录：</w:t>
      </w:r>
    </w:p>
    <w:p w14:paraId="413E98D1">
      <w:pPr>
        <w:pStyle w:val="58"/>
        <w:snapToGrid w:val="0"/>
        <w:spacing w:line="360" w:lineRule="auto"/>
        <w:ind w:firstLine="480" w:firstLineChars="200"/>
        <w:jc w:val="both"/>
        <w:rPr>
          <w:highlight w:val="none"/>
        </w:rPr>
      </w:pPr>
      <w:r>
        <w:rPr>
          <w:rFonts w:hint="eastAsia"/>
          <w:bCs/>
          <w:highlight w:val="none"/>
        </w:rPr>
        <w:t>招标人或其委托的招标代理机构对开标过程进行记录所有投标单位的报价、服务期及项目负责人信息，纸质资料应妥善保管并存档备查。</w:t>
      </w:r>
    </w:p>
    <w:p w14:paraId="5A54EE34">
      <w:pPr>
        <w:pStyle w:val="7"/>
        <w:adjustRightInd/>
        <w:spacing w:before="0" w:after="0" w:line="360" w:lineRule="auto"/>
        <w:jc w:val="center"/>
        <w:textAlignment w:val="auto"/>
        <w:rPr>
          <w:rFonts w:ascii="宋体" w:hAnsi="宋体" w:cs="Times New Roman"/>
          <w:sz w:val="28"/>
          <w:szCs w:val="28"/>
          <w:highlight w:val="none"/>
        </w:rPr>
      </w:pPr>
      <w:bookmarkStart w:id="23" w:name="_Toc4019"/>
      <w:bookmarkStart w:id="24" w:name="_Toc411524619"/>
      <w:bookmarkStart w:id="25" w:name="_Toc395356907"/>
      <w:r>
        <w:rPr>
          <w:rFonts w:hint="eastAsia" w:ascii="宋体" w:hAnsi="宋体" w:cs="Times New Roman"/>
          <w:sz w:val="28"/>
          <w:szCs w:val="28"/>
          <w:highlight w:val="none"/>
        </w:rPr>
        <w:t>（五）评标定标</w:t>
      </w:r>
      <w:bookmarkEnd w:id="23"/>
      <w:bookmarkEnd w:id="24"/>
      <w:bookmarkEnd w:id="25"/>
    </w:p>
    <w:p w14:paraId="158DE449">
      <w:pPr>
        <w:pStyle w:val="58"/>
        <w:snapToGrid w:val="0"/>
        <w:spacing w:line="360" w:lineRule="auto"/>
        <w:ind w:firstLine="482" w:firstLineChars="200"/>
        <w:jc w:val="both"/>
        <w:rPr>
          <w:highlight w:val="none"/>
        </w:rPr>
      </w:pPr>
      <w:r>
        <w:rPr>
          <w:rFonts w:hint="eastAsia"/>
          <w:b/>
          <w:highlight w:val="none"/>
        </w:rPr>
        <w:t>26、评标委员会与评标</w:t>
      </w:r>
    </w:p>
    <w:p w14:paraId="5CE4B3DE">
      <w:pPr>
        <w:pStyle w:val="58"/>
        <w:snapToGrid w:val="0"/>
        <w:spacing w:line="360" w:lineRule="auto"/>
        <w:ind w:firstLine="482" w:firstLineChars="200"/>
        <w:jc w:val="both"/>
        <w:rPr>
          <w:highlight w:val="none"/>
        </w:rPr>
      </w:pPr>
      <w:r>
        <w:rPr>
          <w:rFonts w:hint="eastAsia"/>
          <w:b/>
          <w:highlight w:val="none"/>
        </w:rPr>
        <w:t>26.1</w:t>
      </w:r>
      <w:r>
        <w:rPr>
          <w:rFonts w:hint="eastAsia"/>
          <w:highlight w:val="none"/>
        </w:rPr>
        <w:t xml:space="preserve"> 评标委员会由招标人依法组建，评标活动由评标委员会负责。</w:t>
      </w:r>
    </w:p>
    <w:p w14:paraId="66D26BEB">
      <w:pPr>
        <w:pStyle w:val="58"/>
        <w:snapToGrid w:val="0"/>
        <w:spacing w:line="360" w:lineRule="auto"/>
        <w:ind w:firstLine="482" w:firstLineChars="200"/>
        <w:jc w:val="both"/>
        <w:rPr>
          <w:highlight w:val="none"/>
        </w:rPr>
      </w:pPr>
      <w:r>
        <w:rPr>
          <w:rFonts w:hint="eastAsia"/>
          <w:b/>
          <w:highlight w:val="none"/>
        </w:rPr>
        <w:t>26.2</w:t>
      </w:r>
      <w:r>
        <w:rPr>
          <w:rFonts w:hint="eastAsia"/>
          <w:highlight w:val="none"/>
        </w:rPr>
        <w:t xml:space="preserve"> 开标结束后，开始评标，评标采用保密方式进行。</w:t>
      </w:r>
    </w:p>
    <w:p w14:paraId="53AC0B51">
      <w:pPr>
        <w:pStyle w:val="58"/>
        <w:snapToGrid w:val="0"/>
        <w:spacing w:line="360" w:lineRule="auto"/>
        <w:ind w:firstLine="482" w:firstLineChars="200"/>
        <w:jc w:val="both"/>
        <w:rPr>
          <w:highlight w:val="none"/>
        </w:rPr>
      </w:pPr>
      <w:r>
        <w:rPr>
          <w:b/>
          <w:highlight w:val="none"/>
        </w:rPr>
        <w:t>2</w:t>
      </w:r>
      <w:r>
        <w:rPr>
          <w:rFonts w:hint="eastAsia"/>
          <w:b/>
          <w:highlight w:val="none"/>
        </w:rPr>
        <w:t>7、评标过程的保密</w:t>
      </w:r>
    </w:p>
    <w:p w14:paraId="51591FC0">
      <w:pPr>
        <w:pStyle w:val="58"/>
        <w:snapToGrid w:val="0"/>
        <w:spacing w:line="360" w:lineRule="auto"/>
        <w:ind w:firstLine="480" w:firstLineChars="200"/>
        <w:rPr>
          <w:highlight w:val="none"/>
        </w:rPr>
      </w:pPr>
      <w:r>
        <w:rPr>
          <w:rFonts w:hint="eastAsia"/>
          <w:highlight w:val="none"/>
        </w:rPr>
        <w:t>27.1开标后，直至授予中标人合同为止，凡属于对投标文件的审查、澄清、评价和比较的有关资料以及中标候选人的推荐情况，与评标有关的其他任何情况均严格保密。</w:t>
      </w:r>
    </w:p>
    <w:p w14:paraId="7511DFCE">
      <w:pPr>
        <w:pStyle w:val="58"/>
        <w:snapToGrid w:val="0"/>
        <w:spacing w:line="360" w:lineRule="auto"/>
        <w:ind w:firstLine="480" w:firstLineChars="200"/>
        <w:rPr>
          <w:highlight w:val="none"/>
        </w:rPr>
      </w:pPr>
      <w:r>
        <w:rPr>
          <w:rFonts w:hint="eastAsia"/>
          <w:highlight w:val="none"/>
        </w:rPr>
        <w:t>27.2 在投标文件的评审和比较、中标候选人推荐以及授予合同的过程中，投标人向招标人和评标委员会施加影响的任何行为，都将会导致其投标被拒绝。</w:t>
      </w:r>
    </w:p>
    <w:p w14:paraId="0F173FFB">
      <w:pPr>
        <w:pStyle w:val="58"/>
        <w:snapToGrid w:val="0"/>
        <w:spacing w:line="360" w:lineRule="auto"/>
        <w:ind w:firstLine="480" w:firstLineChars="200"/>
        <w:jc w:val="both"/>
        <w:rPr>
          <w:highlight w:val="none"/>
        </w:rPr>
      </w:pPr>
      <w:r>
        <w:rPr>
          <w:rFonts w:hint="eastAsia"/>
          <w:highlight w:val="none"/>
        </w:rPr>
        <w:t>27.3中标人确定后，招标人不对未中标人就评标过程以及未能中标原因作出任何解释。未中标人不得向评标委员会组成人员或其他有关人员询问评标过程的情况和材料。</w:t>
      </w:r>
    </w:p>
    <w:p w14:paraId="0C6D2CF6">
      <w:pPr>
        <w:pStyle w:val="58"/>
        <w:snapToGrid w:val="0"/>
        <w:spacing w:line="360" w:lineRule="auto"/>
        <w:ind w:firstLine="482" w:firstLineChars="200"/>
        <w:jc w:val="both"/>
        <w:rPr>
          <w:b/>
          <w:highlight w:val="none"/>
        </w:rPr>
      </w:pPr>
      <w:r>
        <w:rPr>
          <w:b/>
          <w:highlight w:val="none"/>
        </w:rPr>
        <w:t>2</w:t>
      </w:r>
      <w:r>
        <w:rPr>
          <w:rFonts w:hint="eastAsia"/>
          <w:b/>
          <w:highlight w:val="none"/>
        </w:rPr>
        <w:t>8、投标文件的澄清</w:t>
      </w:r>
    </w:p>
    <w:p w14:paraId="7F56686C">
      <w:pPr>
        <w:pStyle w:val="58"/>
        <w:snapToGrid w:val="0"/>
        <w:spacing w:line="360" w:lineRule="auto"/>
        <w:ind w:firstLine="480" w:firstLineChars="200"/>
        <w:rPr>
          <w:highlight w:val="none"/>
        </w:rPr>
      </w:pPr>
      <w:r>
        <w:rPr>
          <w:rFonts w:hint="eastAsia"/>
          <w:highlight w:val="none"/>
        </w:rPr>
        <w:t>28.1 为有助于投标文件的审查、评价和比较，评标委员会可以要求投标人对投标文件含义不明确的内容作必要的澄清或说明，投标人应进行澄清或说明，但不得超出投标文件的范围或改变投标文件的实质性内容。凡属于评标委员会在评标中发现的计算错误进行核实的修改不在此列。</w:t>
      </w:r>
    </w:p>
    <w:p w14:paraId="05D105F5">
      <w:pPr>
        <w:pStyle w:val="58"/>
        <w:snapToGrid w:val="0"/>
        <w:spacing w:line="360" w:lineRule="auto"/>
        <w:ind w:firstLine="480" w:firstLineChars="200"/>
        <w:rPr>
          <w:highlight w:val="none"/>
        </w:rPr>
      </w:pPr>
      <w:r>
        <w:rPr>
          <w:rFonts w:hint="eastAsia"/>
          <w:highlight w:val="none"/>
        </w:rPr>
        <w:t>28.2 有下列情形之一的，在评标现场评标时，评标委员会可以要求投标人当场作出说明并提供相关材料：</w:t>
      </w:r>
    </w:p>
    <w:p w14:paraId="1FFE9B3E">
      <w:pPr>
        <w:pStyle w:val="58"/>
        <w:snapToGrid w:val="0"/>
        <w:spacing w:line="360" w:lineRule="auto"/>
        <w:ind w:firstLine="480" w:firstLineChars="200"/>
        <w:rPr>
          <w:highlight w:val="none"/>
        </w:rPr>
      </w:pPr>
      <w:r>
        <w:rPr>
          <w:rFonts w:hint="eastAsia"/>
          <w:highlight w:val="none"/>
        </w:rPr>
        <w:t>（一）设有最高投标限价的，投标报价低于最高投标限价合理幅度的；</w:t>
      </w:r>
    </w:p>
    <w:p w14:paraId="5F2806A6">
      <w:pPr>
        <w:pStyle w:val="58"/>
        <w:snapToGrid w:val="0"/>
        <w:spacing w:line="360" w:lineRule="auto"/>
        <w:ind w:firstLine="480" w:firstLineChars="200"/>
        <w:jc w:val="both"/>
        <w:rPr>
          <w:highlight w:val="none"/>
        </w:rPr>
      </w:pPr>
      <w:r>
        <w:rPr>
          <w:rFonts w:hint="eastAsia"/>
          <w:highlight w:val="none"/>
        </w:rPr>
        <w:t>（二）不设最高投标限价的，投标报价明显低于其他投标报价，有可能低于其企业成本的。</w:t>
      </w:r>
    </w:p>
    <w:p w14:paraId="55D2762D">
      <w:pPr>
        <w:pStyle w:val="58"/>
        <w:snapToGrid w:val="0"/>
        <w:spacing w:line="360" w:lineRule="auto"/>
        <w:ind w:firstLine="482" w:firstLineChars="200"/>
        <w:jc w:val="both"/>
        <w:rPr>
          <w:b/>
          <w:highlight w:val="none"/>
        </w:rPr>
      </w:pPr>
      <w:r>
        <w:rPr>
          <w:b/>
          <w:highlight w:val="none"/>
        </w:rPr>
        <w:t>2</w:t>
      </w:r>
      <w:r>
        <w:rPr>
          <w:rFonts w:hint="eastAsia"/>
          <w:b/>
          <w:highlight w:val="none"/>
        </w:rPr>
        <w:t>9、投标文件的偏差</w:t>
      </w:r>
    </w:p>
    <w:p w14:paraId="113505D7">
      <w:pPr>
        <w:pStyle w:val="58"/>
        <w:snapToGrid w:val="0"/>
        <w:spacing w:line="360" w:lineRule="auto"/>
        <w:ind w:firstLine="482" w:firstLineChars="200"/>
        <w:jc w:val="both"/>
        <w:rPr>
          <w:highlight w:val="none"/>
        </w:rPr>
      </w:pPr>
      <w:r>
        <w:rPr>
          <w:b/>
          <w:highlight w:val="none"/>
        </w:rPr>
        <w:t>2</w:t>
      </w:r>
      <w:r>
        <w:rPr>
          <w:rFonts w:hint="eastAsia"/>
          <w:b/>
          <w:highlight w:val="none"/>
        </w:rPr>
        <w:t xml:space="preserve">9.1 </w:t>
      </w:r>
      <w:r>
        <w:rPr>
          <w:rFonts w:hint="eastAsia"/>
          <w:highlight w:val="none"/>
        </w:rPr>
        <w:t>评标委员会应当根据招标文件有关规定，审查并逐项列出投标文件的全部投标偏差。投标偏差分重大偏差和细微偏差，是否属于重大偏差或细微偏差，以及偏差的程度由评标委员会按照“少数服从多数”的原则评判，持不同意见的将在评标报告中予以说明。</w:t>
      </w:r>
    </w:p>
    <w:p w14:paraId="678DA558">
      <w:pPr>
        <w:pStyle w:val="48"/>
        <w:snapToGrid w:val="0"/>
        <w:spacing w:line="360" w:lineRule="auto"/>
        <w:ind w:firstLine="482" w:firstLineChars="200"/>
        <w:rPr>
          <w:rFonts w:hAnsi="宋体"/>
          <w:b/>
          <w:sz w:val="24"/>
          <w:szCs w:val="24"/>
          <w:highlight w:val="none"/>
        </w:rPr>
      </w:pPr>
      <w:r>
        <w:rPr>
          <w:rFonts w:hAnsi="宋体"/>
          <w:b/>
          <w:sz w:val="24"/>
          <w:szCs w:val="24"/>
          <w:highlight w:val="none"/>
        </w:rPr>
        <w:t>2</w:t>
      </w:r>
      <w:r>
        <w:rPr>
          <w:rFonts w:hint="eastAsia" w:hAnsi="宋体"/>
          <w:b/>
          <w:sz w:val="24"/>
          <w:szCs w:val="24"/>
          <w:highlight w:val="none"/>
        </w:rPr>
        <w:t>9.2重大偏差的认定，投标文件有下列情形之一的，属于重大偏差，由评标委员会评审后按废标处理：</w:t>
      </w:r>
    </w:p>
    <w:p w14:paraId="7CA5ED26">
      <w:pPr>
        <w:pStyle w:val="48"/>
        <w:snapToGrid w:val="0"/>
        <w:spacing w:line="360" w:lineRule="auto"/>
        <w:ind w:firstLine="482" w:firstLineChars="200"/>
        <w:rPr>
          <w:rFonts w:hAnsi="宋体"/>
          <w:b/>
          <w:sz w:val="24"/>
          <w:szCs w:val="24"/>
          <w:highlight w:val="none"/>
        </w:rPr>
      </w:pPr>
      <w:r>
        <w:rPr>
          <w:rFonts w:hAnsi="宋体"/>
          <w:b/>
          <w:sz w:val="24"/>
          <w:szCs w:val="24"/>
          <w:highlight w:val="none"/>
        </w:rPr>
        <w:t>2</w:t>
      </w:r>
      <w:r>
        <w:rPr>
          <w:rFonts w:hint="eastAsia" w:hAnsi="宋体"/>
          <w:b/>
          <w:sz w:val="24"/>
          <w:szCs w:val="24"/>
          <w:highlight w:val="none"/>
        </w:rPr>
        <w:t>9.2.1投标文件未按照招标文件的要求予以装订、密封的；</w:t>
      </w:r>
    </w:p>
    <w:p w14:paraId="46DA64BF">
      <w:pPr>
        <w:pStyle w:val="48"/>
        <w:snapToGrid w:val="0"/>
        <w:spacing w:line="360" w:lineRule="auto"/>
        <w:ind w:firstLine="482" w:firstLineChars="200"/>
        <w:rPr>
          <w:rFonts w:hAnsi="宋体"/>
          <w:b/>
          <w:sz w:val="24"/>
          <w:szCs w:val="24"/>
          <w:highlight w:val="none"/>
        </w:rPr>
      </w:pPr>
      <w:r>
        <w:rPr>
          <w:rFonts w:hint="eastAsia" w:hAnsi="宋体"/>
          <w:b/>
          <w:sz w:val="24"/>
          <w:szCs w:val="24"/>
          <w:highlight w:val="none"/>
        </w:rPr>
        <w:t>29.2.2未按招标文件中要求提供相关资格审查证书或提供的证书不符合要求的；</w:t>
      </w:r>
    </w:p>
    <w:p w14:paraId="5E7FDCF4">
      <w:pPr>
        <w:pStyle w:val="48"/>
        <w:snapToGrid w:val="0"/>
        <w:spacing w:line="360" w:lineRule="auto"/>
        <w:ind w:firstLine="482" w:firstLineChars="200"/>
        <w:rPr>
          <w:rFonts w:hAnsi="宋体"/>
          <w:b/>
          <w:sz w:val="24"/>
          <w:szCs w:val="24"/>
          <w:highlight w:val="none"/>
        </w:rPr>
      </w:pPr>
      <w:r>
        <w:rPr>
          <w:rFonts w:hint="eastAsia" w:hAnsi="宋体"/>
          <w:b/>
          <w:bCs/>
          <w:sz w:val="24"/>
          <w:szCs w:val="24"/>
          <w:highlight w:val="none"/>
        </w:rPr>
        <w:t>29.2.3投标文件封面、投标总价表未加盖投标人的企业印章、企业法定代表人或其授权的委托代理人签字或盖章的。企业法定代表人授权的委托代理人没有合法、有效的委托书（原件必须装入标书内）。</w:t>
      </w:r>
    </w:p>
    <w:p w14:paraId="5A1A2103">
      <w:pPr>
        <w:pStyle w:val="48"/>
        <w:snapToGrid w:val="0"/>
        <w:spacing w:line="360" w:lineRule="auto"/>
        <w:ind w:firstLine="482" w:firstLineChars="200"/>
        <w:rPr>
          <w:rFonts w:hAnsi="宋体"/>
          <w:b/>
          <w:bCs/>
          <w:sz w:val="24"/>
          <w:szCs w:val="24"/>
          <w:highlight w:val="none"/>
        </w:rPr>
      </w:pPr>
      <w:r>
        <w:rPr>
          <w:rFonts w:hint="eastAsia" w:hAnsi="宋体"/>
          <w:b/>
          <w:bCs/>
          <w:sz w:val="24"/>
          <w:szCs w:val="24"/>
          <w:highlight w:val="none"/>
        </w:rPr>
        <w:t>29.2.</w:t>
      </w:r>
      <w:r>
        <w:rPr>
          <w:rFonts w:hint="eastAsia" w:hAnsi="宋体"/>
          <w:b/>
          <w:sz w:val="24"/>
          <w:szCs w:val="24"/>
          <w:highlight w:val="none"/>
        </w:rPr>
        <w:t>4</w:t>
      </w:r>
      <w:r>
        <w:rPr>
          <w:rFonts w:hint="eastAsia" w:hAnsi="宋体"/>
          <w:b/>
          <w:bCs/>
          <w:sz w:val="24"/>
          <w:szCs w:val="24"/>
          <w:highlight w:val="none"/>
        </w:rPr>
        <w:t>未按规定的格式填写，</w:t>
      </w:r>
      <w:r>
        <w:rPr>
          <w:rFonts w:hint="eastAsia" w:hAnsi="宋体"/>
          <w:b/>
          <w:sz w:val="24"/>
          <w:szCs w:val="24"/>
          <w:highlight w:val="none"/>
        </w:rPr>
        <w:t>实质性</w:t>
      </w:r>
      <w:r>
        <w:rPr>
          <w:rFonts w:hint="eastAsia" w:hAnsi="宋体"/>
          <w:b/>
          <w:bCs/>
          <w:sz w:val="24"/>
          <w:szCs w:val="24"/>
          <w:highlight w:val="none"/>
        </w:rPr>
        <w:t>内容不全或关键字迹模糊、无法辨认的；</w:t>
      </w:r>
    </w:p>
    <w:p w14:paraId="60F68D57">
      <w:pPr>
        <w:pStyle w:val="48"/>
        <w:snapToGrid w:val="0"/>
        <w:spacing w:line="360" w:lineRule="auto"/>
        <w:ind w:firstLine="482" w:firstLineChars="200"/>
        <w:rPr>
          <w:rFonts w:hAnsi="宋体"/>
          <w:b/>
          <w:sz w:val="24"/>
          <w:szCs w:val="24"/>
          <w:highlight w:val="none"/>
        </w:rPr>
      </w:pPr>
      <w:r>
        <w:rPr>
          <w:rFonts w:hint="eastAsia" w:hAnsi="宋体"/>
          <w:b/>
          <w:bCs/>
          <w:sz w:val="24"/>
          <w:szCs w:val="24"/>
          <w:highlight w:val="none"/>
        </w:rPr>
        <w:t>29.2.</w:t>
      </w:r>
      <w:r>
        <w:rPr>
          <w:rFonts w:hint="eastAsia" w:hAnsi="宋体"/>
          <w:b/>
          <w:sz w:val="24"/>
          <w:szCs w:val="24"/>
          <w:highlight w:val="none"/>
        </w:rPr>
        <w:t>5投标人递交两份或多份内容不同的投标文件，或在一份投标文件中对同一招标项目报有两个或多个报价，且未声明哪一个有效的。按招标文件规定提交备选投标方案的除外；</w:t>
      </w:r>
    </w:p>
    <w:p w14:paraId="7CC27BEE">
      <w:pPr>
        <w:pStyle w:val="48"/>
        <w:snapToGrid w:val="0"/>
        <w:spacing w:line="360" w:lineRule="auto"/>
        <w:ind w:firstLine="482" w:firstLineChars="200"/>
        <w:rPr>
          <w:rFonts w:hAnsi="宋体"/>
          <w:b/>
          <w:sz w:val="24"/>
          <w:szCs w:val="24"/>
          <w:highlight w:val="none"/>
        </w:rPr>
      </w:pPr>
      <w:r>
        <w:rPr>
          <w:rFonts w:hint="eastAsia" w:hAnsi="宋体"/>
          <w:b/>
          <w:bCs/>
          <w:sz w:val="24"/>
          <w:szCs w:val="24"/>
          <w:highlight w:val="none"/>
        </w:rPr>
        <w:t>29.2.</w:t>
      </w:r>
      <w:r>
        <w:rPr>
          <w:rFonts w:hint="eastAsia" w:hAnsi="宋体"/>
          <w:b/>
          <w:sz w:val="24"/>
          <w:szCs w:val="24"/>
          <w:highlight w:val="none"/>
        </w:rPr>
        <w:t>6 投标文件明显不符合招标文件规定的报价、服务期、质量标准评审标准或其它实质性要求；</w:t>
      </w:r>
    </w:p>
    <w:p w14:paraId="5A7F96E7">
      <w:pPr>
        <w:pStyle w:val="48"/>
        <w:snapToGrid w:val="0"/>
        <w:spacing w:line="360" w:lineRule="auto"/>
        <w:ind w:firstLine="482" w:firstLineChars="200"/>
        <w:rPr>
          <w:rFonts w:hAnsi="宋体"/>
          <w:b/>
          <w:sz w:val="24"/>
          <w:szCs w:val="24"/>
          <w:highlight w:val="none"/>
        </w:rPr>
      </w:pPr>
      <w:r>
        <w:rPr>
          <w:rFonts w:hint="eastAsia" w:hAnsi="宋体"/>
          <w:b/>
          <w:bCs/>
          <w:sz w:val="24"/>
          <w:szCs w:val="24"/>
          <w:highlight w:val="none"/>
        </w:rPr>
        <w:t>29.2.</w:t>
      </w:r>
      <w:r>
        <w:rPr>
          <w:rFonts w:hint="eastAsia" w:hAnsi="宋体"/>
          <w:b/>
          <w:sz w:val="24"/>
          <w:szCs w:val="24"/>
          <w:highlight w:val="none"/>
        </w:rPr>
        <w:t>7未按招标文件要求提交投标保证金的；</w:t>
      </w:r>
    </w:p>
    <w:p w14:paraId="618C18F6">
      <w:pPr>
        <w:pStyle w:val="48"/>
        <w:snapToGrid w:val="0"/>
        <w:spacing w:line="360" w:lineRule="auto"/>
        <w:ind w:firstLine="482" w:firstLineChars="200"/>
        <w:rPr>
          <w:rFonts w:hAnsi="宋体"/>
          <w:b/>
          <w:sz w:val="24"/>
          <w:szCs w:val="24"/>
          <w:highlight w:val="none"/>
        </w:rPr>
      </w:pPr>
      <w:r>
        <w:rPr>
          <w:rFonts w:hint="eastAsia" w:hAnsi="宋体"/>
          <w:b/>
          <w:bCs/>
          <w:sz w:val="24"/>
          <w:szCs w:val="24"/>
          <w:highlight w:val="none"/>
        </w:rPr>
        <w:t>29.2.</w:t>
      </w:r>
      <w:r>
        <w:rPr>
          <w:rFonts w:hint="eastAsia" w:hAnsi="宋体"/>
          <w:b/>
          <w:sz w:val="24"/>
          <w:szCs w:val="24"/>
          <w:highlight w:val="none"/>
        </w:rPr>
        <w:t>8投标文件中的其它重大偏差（包括缺项，漏项）：</w:t>
      </w:r>
    </w:p>
    <w:p w14:paraId="1F483181">
      <w:pPr>
        <w:pStyle w:val="48"/>
        <w:snapToGrid w:val="0"/>
        <w:spacing w:line="360" w:lineRule="auto"/>
        <w:ind w:firstLine="482" w:firstLineChars="200"/>
        <w:rPr>
          <w:rFonts w:hAnsi="宋体"/>
          <w:b/>
          <w:bCs/>
          <w:sz w:val="24"/>
          <w:szCs w:val="24"/>
          <w:highlight w:val="none"/>
        </w:rPr>
      </w:pPr>
      <w:r>
        <w:rPr>
          <w:rFonts w:hint="eastAsia" w:hAnsi="宋体"/>
          <w:b/>
          <w:bCs/>
          <w:sz w:val="24"/>
          <w:szCs w:val="24"/>
          <w:highlight w:val="none"/>
        </w:rPr>
        <w:t>①投标报价高于控制价的。</w:t>
      </w:r>
    </w:p>
    <w:p w14:paraId="62E887EE">
      <w:pPr>
        <w:pStyle w:val="48"/>
        <w:snapToGrid w:val="0"/>
        <w:spacing w:line="360" w:lineRule="auto"/>
        <w:ind w:firstLine="482" w:firstLineChars="200"/>
        <w:rPr>
          <w:rFonts w:hAnsi="宋体"/>
          <w:b/>
          <w:bCs/>
          <w:sz w:val="24"/>
          <w:szCs w:val="24"/>
          <w:highlight w:val="none"/>
        </w:rPr>
      </w:pPr>
      <w:r>
        <w:rPr>
          <w:rFonts w:hint="eastAsia" w:hAnsi="宋体"/>
          <w:b/>
          <w:bCs/>
          <w:sz w:val="24"/>
          <w:szCs w:val="24"/>
          <w:highlight w:val="none"/>
        </w:rPr>
        <w:t>②投标人拒不按照要求对投标文件进行澄清、说明、补正的，或评标委员根据招标文件的规定对投标文件的计算错误进行修正后，投标人不接受修正后的投标报价的。</w:t>
      </w:r>
    </w:p>
    <w:p w14:paraId="0C29C99E">
      <w:pPr>
        <w:pStyle w:val="48"/>
        <w:snapToGrid w:val="0"/>
        <w:spacing w:line="360" w:lineRule="auto"/>
        <w:ind w:firstLine="482" w:firstLineChars="200"/>
        <w:rPr>
          <w:rFonts w:hAnsi="宋体"/>
          <w:sz w:val="24"/>
          <w:szCs w:val="24"/>
          <w:highlight w:val="none"/>
        </w:rPr>
      </w:pPr>
      <w:r>
        <w:rPr>
          <w:rFonts w:hint="eastAsia" w:hAnsi="宋体"/>
          <w:b/>
          <w:bCs/>
          <w:sz w:val="24"/>
          <w:szCs w:val="24"/>
          <w:highlight w:val="none"/>
        </w:rPr>
        <w:t>29.2.9</w:t>
      </w:r>
      <w:r>
        <w:rPr>
          <w:rFonts w:hint="eastAsia" w:hAnsi="宋体"/>
          <w:b/>
          <w:sz w:val="24"/>
          <w:szCs w:val="24"/>
          <w:highlight w:val="none"/>
        </w:rPr>
        <w:t>投标经评审委员会评审不合格的。</w:t>
      </w:r>
    </w:p>
    <w:p w14:paraId="137AA97B">
      <w:pPr>
        <w:pStyle w:val="48"/>
        <w:snapToGrid w:val="0"/>
        <w:spacing w:line="360" w:lineRule="auto"/>
        <w:ind w:firstLine="482" w:firstLineChars="200"/>
        <w:rPr>
          <w:rFonts w:hAnsi="宋体"/>
          <w:b/>
          <w:sz w:val="24"/>
          <w:szCs w:val="24"/>
          <w:highlight w:val="none"/>
        </w:rPr>
      </w:pPr>
      <w:r>
        <w:rPr>
          <w:rFonts w:hint="eastAsia" w:hAnsi="宋体"/>
          <w:b/>
          <w:bCs/>
          <w:sz w:val="24"/>
          <w:szCs w:val="24"/>
          <w:highlight w:val="none"/>
        </w:rPr>
        <w:t>29.2.10</w:t>
      </w:r>
      <w:r>
        <w:rPr>
          <w:rFonts w:hint="eastAsia" w:hAnsi="宋体"/>
          <w:b/>
          <w:sz w:val="24"/>
          <w:szCs w:val="24"/>
          <w:highlight w:val="none"/>
        </w:rPr>
        <w:t>法律、法规规定的其它情形；</w:t>
      </w:r>
    </w:p>
    <w:p w14:paraId="6C742EFB">
      <w:pPr>
        <w:pStyle w:val="58"/>
        <w:snapToGrid w:val="0"/>
        <w:spacing w:line="360" w:lineRule="auto"/>
        <w:ind w:firstLine="482" w:firstLineChars="200"/>
        <w:jc w:val="both"/>
        <w:rPr>
          <w:highlight w:val="none"/>
        </w:rPr>
      </w:pPr>
      <w:r>
        <w:rPr>
          <w:rFonts w:hint="eastAsia"/>
          <w:b/>
          <w:highlight w:val="none"/>
        </w:rPr>
        <w:t>29.3</w:t>
      </w:r>
      <w:r>
        <w:rPr>
          <w:rFonts w:hint="eastAsia"/>
          <w:highlight w:val="none"/>
        </w:rPr>
        <w:t xml:space="preserve"> 细微偏差的认定：细微偏差是指投标文件在实质上响应招标文件要求，但在个别地方存在漏项或者提供了不完整的技术信息和数据等情况，并且补正这些遗漏或者不完整不会对其它投标人造成不公平的结果。细微偏差不影响投标文件的有效性。</w:t>
      </w:r>
    </w:p>
    <w:p w14:paraId="2B119A83">
      <w:pPr>
        <w:pStyle w:val="58"/>
        <w:snapToGrid w:val="0"/>
        <w:spacing w:line="360" w:lineRule="auto"/>
        <w:ind w:firstLine="482" w:firstLineChars="200"/>
        <w:jc w:val="both"/>
        <w:rPr>
          <w:highlight w:val="none"/>
        </w:rPr>
      </w:pPr>
      <w:r>
        <w:rPr>
          <w:rFonts w:hint="eastAsia"/>
          <w:b/>
          <w:highlight w:val="none"/>
        </w:rPr>
        <w:t>29.4</w:t>
      </w:r>
      <w:r>
        <w:rPr>
          <w:rFonts w:hint="eastAsia"/>
          <w:highlight w:val="none"/>
        </w:rPr>
        <w:t xml:space="preserve"> 投标文件的澄清：投标文件需澄清、说明或者补正的(包括补正投标报价)以及投标文件存在细微偏差需要补正的，评标委员会应当以书面形式要求投标人进行书面澄清、说明、补正或确认，细微偏差的修正将由评委进行评审、解释，其投标人的法定代表人或其委托代理人应签字认可。</w:t>
      </w:r>
    </w:p>
    <w:p w14:paraId="6465D77D">
      <w:pPr>
        <w:pStyle w:val="58"/>
        <w:snapToGrid w:val="0"/>
        <w:spacing w:line="360" w:lineRule="auto"/>
        <w:ind w:firstLine="482" w:firstLineChars="200"/>
        <w:jc w:val="both"/>
        <w:rPr>
          <w:highlight w:val="none"/>
        </w:rPr>
      </w:pPr>
      <w:r>
        <w:rPr>
          <w:rFonts w:hint="eastAsia"/>
          <w:b/>
          <w:highlight w:val="none"/>
        </w:rPr>
        <w:t>29.5</w:t>
      </w:r>
      <w:r>
        <w:rPr>
          <w:rFonts w:hint="eastAsia"/>
          <w:highlight w:val="none"/>
        </w:rPr>
        <w:t xml:space="preserve"> 如果投标文件实质上不响应招标文件的各项要求，评标委员会将予以拒绝，并且不允许投标人通过修改或撤销其不符合要求的差异或保留，使之成为具有响应性的投标。</w:t>
      </w:r>
    </w:p>
    <w:p w14:paraId="4AA32CF1">
      <w:pPr>
        <w:pStyle w:val="58"/>
        <w:snapToGrid w:val="0"/>
        <w:spacing w:line="360" w:lineRule="auto"/>
        <w:ind w:firstLine="482" w:firstLineChars="200"/>
        <w:jc w:val="both"/>
        <w:rPr>
          <w:highlight w:val="none"/>
        </w:rPr>
      </w:pPr>
      <w:r>
        <w:rPr>
          <w:rFonts w:hint="eastAsia"/>
          <w:b/>
          <w:highlight w:val="none"/>
        </w:rPr>
        <w:t>29.6</w:t>
      </w:r>
      <w:r>
        <w:rPr>
          <w:rFonts w:hint="eastAsia"/>
          <w:highlight w:val="none"/>
        </w:rPr>
        <w:t xml:space="preserve"> 经审查符合招标文件要求的有效投标文件，由评标委员会进行详细评审、比较。</w:t>
      </w:r>
    </w:p>
    <w:p w14:paraId="11F9688B">
      <w:pPr>
        <w:pStyle w:val="58"/>
        <w:snapToGrid w:val="0"/>
        <w:spacing w:line="360" w:lineRule="auto"/>
        <w:ind w:firstLine="482" w:firstLineChars="200"/>
        <w:jc w:val="both"/>
        <w:rPr>
          <w:b/>
          <w:highlight w:val="none"/>
        </w:rPr>
      </w:pPr>
      <w:r>
        <w:rPr>
          <w:rFonts w:hint="eastAsia"/>
          <w:b/>
          <w:highlight w:val="none"/>
        </w:rPr>
        <w:t>30、澄清、补正后的投标报价</w:t>
      </w:r>
    </w:p>
    <w:p w14:paraId="46DFED12">
      <w:pPr>
        <w:pStyle w:val="58"/>
        <w:snapToGrid w:val="0"/>
        <w:spacing w:line="360" w:lineRule="auto"/>
        <w:ind w:firstLine="480" w:firstLineChars="200"/>
        <w:jc w:val="both"/>
        <w:rPr>
          <w:highlight w:val="none"/>
        </w:rPr>
      </w:pPr>
      <w:r>
        <w:rPr>
          <w:rFonts w:hint="eastAsia"/>
          <w:highlight w:val="none"/>
        </w:rPr>
        <w:t>按照规定进行澄清、补正后的投标报价经投标人的法定代表人或其委托代理人确认后即为该投标人的最终投标报价。投标人一旦中标，此报价即为中标价。</w:t>
      </w:r>
    </w:p>
    <w:p w14:paraId="67176874">
      <w:pPr>
        <w:pStyle w:val="58"/>
        <w:snapToGrid w:val="0"/>
        <w:spacing w:line="360" w:lineRule="auto"/>
        <w:ind w:firstLine="482" w:firstLineChars="200"/>
        <w:jc w:val="both"/>
        <w:rPr>
          <w:b/>
          <w:highlight w:val="none"/>
        </w:rPr>
      </w:pPr>
      <w:r>
        <w:rPr>
          <w:rFonts w:hint="eastAsia"/>
          <w:b/>
          <w:highlight w:val="none"/>
        </w:rPr>
        <w:t>31、投标文件的评审、比较和否决</w:t>
      </w:r>
    </w:p>
    <w:p w14:paraId="15D3189C">
      <w:pPr>
        <w:pStyle w:val="58"/>
        <w:snapToGrid w:val="0"/>
        <w:spacing w:line="360" w:lineRule="auto"/>
        <w:ind w:firstLine="482" w:firstLineChars="200"/>
        <w:jc w:val="both"/>
        <w:rPr>
          <w:highlight w:val="none"/>
        </w:rPr>
      </w:pPr>
      <w:r>
        <w:rPr>
          <w:rFonts w:hint="eastAsia"/>
          <w:b/>
          <w:highlight w:val="none"/>
        </w:rPr>
        <w:t xml:space="preserve">31.1 </w:t>
      </w:r>
      <w:r>
        <w:rPr>
          <w:rFonts w:hint="eastAsia"/>
          <w:highlight w:val="none"/>
        </w:rPr>
        <w:t>评标委员会将按照本须知规定，仅对在实质上响应招标文件要求的投标文件进行评估和比较。</w:t>
      </w:r>
    </w:p>
    <w:p w14:paraId="5C5761AD">
      <w:pPr>
        <w:pStyle w:val="58"/>
        <w:snapToGrid w:val="0"/>
        <w:spacing w:line="360" w:lineRule="auto"/>
        <w:ind w:firstLine="482" w:firstLineChars="200"/>
        <w:jc w:val="both"/>
        <w:rPr>
          <w:highlight w:val="none"/>
        </w:rPr>
      </w:pPr>
      <w:r>
        <w:rPr>
          <w:rFonts w:hint="eastAsia"/>
          <w:b/>
          <w:highlight w:val="none"/>
        </w:rPr>
        <w:t>31.2</w:t>
      </w:r>
      <w:r>
        <w:rPr>
          <w:rFonts w:hint="eastAsia"/>
          <w:highlight w:val="none"/>
        </w:rPr>
        <w:t xml:space="preserve"> 在评审过程中,评标委员会可以书面形式要求投标人就投标文件中含义不明确的内容进行书面说明并提供相关材料。</w:t>
      </w:r>
    </w:p>
    <w:p w14:paraId="1424CA8B">
      <w:pPr>
        <w:pStyle w:val="58"/>
        <w:snapToGrid w:val="0"/>
        <w:spacing w:line="360" w:lineRule="auto"/>
        <w:ind w:firstLine="482" w:firstLineChars="200"/>
        <w:jc w:val="both"/>
        <w:rPr>
          <w:b/>
          <w:highlight w:val="none"/>
        </w:rPr>
      </w:pPr>
      <w:r>
        <w:rPr>
          <w:rFonts w:hint="eastAsia"/>
          <w:b/>
          <w:highlight w:val="none"/>
        </w:rPr>
        <w:t>31.3评标委员会依据招标文件规定的评标标准和方法，对合格投标文件分别进行评审和比较，推荐出一名中标候选人。</w:t>
      </w:r>
    </w:p>
    <w:p w14:paraId="533AB36B">
      <w:pPr>
        <w:pStyle w:val="58"/>
        <w:snapToGrid w:val="0"/>
        <w:spacing w:line="360" w:lineRule="auto"/>
        <w:ind w:firstLine="482" w:firstLineChars="200"/>
        <w:jc w:val="both"/>
        <w:rPr>
          <w:highlight w:val="none"/>
        </w:rPr>
      </w:pPr>
      <w:r>
        <w:rPr>
          <w:rFonts w:hint="eastAsia"/>
          <w:b/>
          <w:highlight w:val="none"/>
        </w:rPr>
        <w:t xml:space="preserve">31.4 </w:t>
      </w:r>
      <w:r>
        <w:rPr>
          <w:rFonts w:hint="eastAsia"/>
          <w:highlight w:val="none"/>
        </w:rPr>
        <w:t>招标人根据评标委员会提出的书面评标报告和推荐的中标候选人，依据国家和地方现行法规确定中标人。招标人也可以授权评标委员会依据现行法规直接确定中标人。</w:t>
      </w:r>
    </w:p>
    <w:p w14:paraId="0B923A9E">
      <w:pPr>
        <w:pStyle w:val="58"/>
        <w:snapToGrid w:val="0"/>
        <w:spacing w:line="360" w:lineRule="auto"/>
        <w:ind w:firstLine="482" w:firstLineChars="200"/>
        <w:jc w:val="both"/>
        <w:rPr>
          <w:highlight w:val="none"/>
        </w:rPr>
      </w:pPr>
      <w:r>
        <w:rPr>
          <w:rFonts w:hint="eastAsia"/>
          <w:b/>
          <w:highlight w:val="none"/>
        </w:rPr>
        <w:t>31、</w:t>
      </w:r>
      <w:r>
        <w:rPr>
          <w:rFonts w:hint="eastAsia"/>
          <w:highlight w:val="none"/>
        </w:rPr>
        <w:t>投标人如有投标资料中弄虚作假等违法违规行为的，为中标候选人的取消中标资格，但不影响已评审的排序结果，其它单位排序结果不变，非中标候选单位在投标资料中弄虚作假等违法违规行为的，不影响已评审的排序结果。</w:t>
      </w:r>
    </w:p>
    <w:p w14:paraId="5C60BD66">
      <w:pPr>
        <w:pStyle w:val="7"/>
        <w:adjustRightInd/>
        <w:spacing w:before="0" w:after="0" w:line="360" w:lineRule="auto"/>
        <w:jc w:val="center"/>
        <w:textAlignment w:val="auto"/>
        <w:rPr>
          <w:rFonts w:ascii="宋体" w:hAnsi="宋体" w:cs="Times New Roman"/>
          <w:sz w:val="28"/>
          <w:szCs w:val="28"/>
          <w:highlight w:val="none"/>
        </w:rPr>
      </w:pPr>
      <w:bookmarkStart w:id="26" w:name="_Toc15788"/>
      <w:r>
        <w:rPr>
          <w:rFonts w:hint="eastAsia" w:ascii="宋体" w:hAnsi="宋体" w:cs="Times New Roman"/>
          <w:sz w:val="28"/>
          <w:szCs w:val="28"/>
          <w:highlight w:val="none"/>
        </w:rPr>
        <w:t>（六）合同授予</w:t>
      </w:r>
      <w:bookmarkEnd w:id="26"/>
    </w:p>
    <w:p w14:paraId="2BC01D81">
      <w:pPr>
        <w:pStyle w:val="58"/>
        <w:snapToGrid w:val="0"/>
        <w:spacing w:line="360" w:lineRule="auto"/>
        <w:ind w:firstLine="482" w:firstLineChars="200"/>
        <w:jc w:val="both"/>
        <w:rPr>
          <w:b/>
          <w:highlight w:val="none"/>
        </w:rPr>
      </w:pPr>
      <w:r>
        <w:rPr>
          <w:rFonts w:hint="eastAsia"/>
          <w:b/>
          <w:highlight w:val="none"/>
        </w:rPr>
        <w:t>32、合同授予标准</w:t>
      </w:r>
    </w:p>
    <w:p w14:paraId="3CAAD9B2">
      <w:pPr>
        <w:pStyle w:val="58"/>
        <w:snapToGrid w:val="0"/>
        <w:spacing w:line="360" w:lineRule="auto"/>
        <w:ind w:firstLine="480" w:firstLineChars="200"/>
        <w:jc w:val="both"/>
        <w:rPr>
          <w:highlight w:val="none"/>
        </w:rPr>
      </w:pPr>
      <w:r>
        <w:rPr>
          <w:rFonts w:hint="eastAsia"/>
          <w:highlight w:val="none"/>
        </w:rPr>
        <w:t>本次招标的项目合同将授予中标人。</w:t>
      </w:r>
    </w:p>
    <w:p w14:paraId="5D133F54">
      <w:pPr>
        <w:pStyle w:val="58"/>
        <w:snapToGrid w:val="0"/>
        <w:spacing w:line="360" w:lineRule="auto"/>
        <w:ind w:firstLine="482" w:firstLineChars="200"/>
        <w:jc w:val="both"/>
        <w:rPr>
          <w:b/>
          <w:highlight w:val="none"/>
        </w:rPr>
      </w:pPr>
      <w:r>
        <w:rPr>
          <w:rFonts w:hint="eastAsia"/>
          <w:b/>
          <w:highlight w:val="none"/>
        </w:rPr>
        <w:t>33、招标人拒绝投标的权力</w:t>
      </w:r>
    </w:p>
    <w:p w14:paraId="05C44D6D">
      <w:pPr>
        <w:pStyle w:val="58"/>
        <w:snapToGrid w:val="0"/>
        <w:spacing w:line="360" w:lineRule="auto"/>
        <w:ind w:firstLine="480" w:firstLineChars="200"/>
        <w:jc w:val="both"/>
        <w:rPr>
          <w:highlight w:val="none"/>
        </w:rPr>
      </w:pPr>
      <w:r>
        <w:rPr>
          <w:rFonts w:hint="eastAsia"/>
          <w:highlight w:val="none"/>
        </w:rPr>
        <w:t>招标人不承诺将合同授予报价最低的投标人。招标人在发出中标通知书前，有权依据评标委员会的评标报告拒绝不合格的投标。</w:t>
      </w:r>
    </w:p>
    <w:p w14:paraId="39BDAF91">
      <w:pPr>
        <w:pStyle w:val="58"/>
        <w:snapToGrid w:val="0"/>
        <w:spacing w:line="360" w:lineRule="auto"/>
        <w:ind w:firstLine="482" w:firstLineChars="200"/>
        <w:jc w:val="both"/>
        <w:rPr>
          <w:b/>
          <w:highlight w:val="none"/>
        </w:rPr>
      </w:pPr>
      <w:r>
        <w:rPr>
          <w:rFonts w:hint="eastAsia"/>
          <w:b/>
          <w:highlight w:val="none"/>
        </w:rPr>
        <w:t>34、中标通知书</w:t>
      </w:r>
    </w:p>
    <w:p w14:paraId="0D3FC3E0">
      <w:pPr>
        <w:pStyle w:val="58"/>
        <w:snapToGrid w:val="0"/>
        <w:spacing w:line="360" w:lineRule="auto"/>
        <w:ind w:firstLine="480" w:firstLineChars="200"/>
        <w:jc w:val="both"/>
        <w:rPr>
          <w:highlight w:val="none"/>
        </w:rPr>
      </w:pPr>
      <w:r>
        <w:rPr>
          <w:rFonts w:hint="eastAsia"/>
          <w:highlight w:val="none"/>
        </w:rPr>
        <w:t>招标人将在发出中标通知书的同时,将中标结果通知所有未中标的投标人。公开招标的项目将在招标公告发布网站以中标公告的形式通知；邀请招标的项目将以传真或电子邮件等方式通知，投标人收到后，应以传真或电邮等的方式确认签收。</w:t>
      </w:r>
    </w:p>
    <w:p w14:paraId="5FBF4894">
      <w:pPr>
        <w:pStyle w:val="58"/>
        <w:snapToGrid w:val="0"/>
        <w:spacing w:line="360" w:lineRule="auto"/>
        <w:ind w:firstLine="482" w:firstLineChars="200"/>
        <w:jc w:val="both"/>
        <w:rPr>
          <w:b/>
          <w:highlight w:val="none"/>
        </w:rPr>
      </w:pPr>
      <w:r>
        <w:rPr>
          <w:rFonts w:hint="eastAsia"/>
          <w:b/>
          <w:highlight w:val="none"/>
        </w:rPr>
        <w:t>35、合同协议书的签订</w:t>
      </w:r>
    </w:p>
    <w:p w14:paraId="7FF81F44">
      <w:pPr>
        <w:pStyle w:val="58"/>
        <w:snapToGrid w:val="0"/>
        <w:spacing w:line="360" w:lineRule="auto"/>
        <w:ind w:firstLine="480" w:firstLineChars="200"/>
        <w:jc w:val="both"/>
        <w:rPr>
          <w:highlight w:val="none"/>
        </w:rPr>
      </w:pPr>
      <w:r>
        <w:rPr>
          <w:rFonts w:hint="eastAsia"/>
          <w:highlight w:val="none"/>
        </w:rPr>
        <w:t>35.1 招标人与中标人将于中标通知书发出之日起30日内，按照招标文件和中标人的投标文件订立书面合同，招标人和中标人不得再行订立背离合同实质性内容的其他协议。</w:t>
      </w:r>
    </w:p>
    <w:p w14:paraId="313ED2F8">
      <w:pPr>
        <w:pStyle w:val="58"/>
        <w:snapToGrid w:val="0"/>
        <w:spacing w:line="360" w:lineRule="auto"/>
        <w:ind w:firstLine="480" w:firstLineChars="200"/>
        <w:jc w:val="both"/>
        <w:rPr>
          <w:highlight w:val="none"/>
        </w:rPr>
      </w:pPr>
      <w:r>
        <w:rPr>
          <w:rFonts w:hint="eastAsia"/>
          <w:highlight w:val="none"/>
        </w:rPr>
        <w:t>35.2 中标人如不按本招标文件规定与招标人订立合同，招标人将取消其中标资格，投标担保不予退还，给招标人造成的损失超过投标担保数额的，还应当对超过部分予以赔偿，同时依法承担相应法律责任。</w:t>
      </w:r>
    </w:p>
    <w:p w14:paraId="2226F390">
      <w:pPr>
        <w:pStyle w:val="58"/>
        <w:snapToGrid w:val="0"/>
        <w:spacing w:line="360" w:lineRule="auto"/>
        <w:ind w:firstLine="480" w:firstLineChars="200"/>
        <w:jc w:val="both"/>
        <w:rPr>
          <w:highlight w:val="none"/>
        </w:rPr>
      </w:pPr>
      <w:r>
        <w:rPr>
          <w:rFonts w:hint="eastAsia"/>
          <w:highlight w:val="none"/>
        </w:rPr>
        <w:t>35.3中标人应当按照合同约定履行义务，完成中标项目服务，不得将中标项目服务转让（转包）给他人。</w:t>
      </w:r>
    </w:p>
    <w:p w14:paraId="17979BC6">
      <w:pPr>
        <w:widowControl/>
        <w:shd w:val="clear" w:color="auto" w:fill="FFFFFF"/>
        <w:adjustRightInd w:val="0"/>
        <w:snapToGrid w:val="0"/>
        <w:spacing w:line="360" w:lineRule="auto"/>
        <w:ind w:firstLine="600" w:firstLineChars="250"/>
        <w:rPr>
          <w:rFonts w:ascii="宋体" w:hAnsi="宋体"/>
          <w:kern w:val="0"/>
          <w:sz w:val="24"/>
          <w:szCs w:val="24"/>
          <w:highlight w:val="none"/>
        </w:rPr>
      </w:pPr>
    </w:p>
    <w:p w14:paraId="7719B156">
      <w:pPr>
        <w:pStyle w:val="3"/>
        <w:spacing w:before="0" w:after="0" w:line="360" w:lineRule="auto"/>
        <w:jc w:val="center"/>
        <w:rPr>
          <w:rFonts w:ascii="宋体" w:hAnsi="宋体" w:eastAsia="宋体" w:cs="Times New Roman"/>
          <w:szCs w:val="28"/>
          <w:highlight w:val="none"/>
        </w:rPr>
      </w:pPr>
      <w:r>
        <w:rPr>
          <w:rFonts w:ascii="宋体" w:hAnsi="宋体"/>
          <w:b w:val="0"/>
          <w:bCs w:val="0"/>
          <w:highlight w:val="none"/>
        </w:rPr>
        <w:br w:type="page"/>
      </w:r>
      <w:bookmarkStart w:id="27" w:name="_Toc3432"/>
      <w:r>
        <w:rPr>
          <w:rFonts w:hint="eastAsia" w:ascii="宋体" w:hAnsi="宋体" w:eastAsia="宋体" w:cs="Times New Roman"/>
          <w:szCs w:val="28"/>
          <w:highlight w:val="none"/>
        </w:rPr>
        <w:t>第四章  评标办法</w:t>
      </w:r>
      <w:bookmarkEnd w:id="27"/>
    </w:p>
    <w:p w14:paraId="64F5AF70">
      <w:pPr>
        <w:adjustRightInd w:val="0"/>
        <w:snapToGrid w:val="0"/>
        <w:spacing w:line="360" w:lineRule="auto"/>
        <w:ind w:firstLine="482" w:firstLineChars="200"/>
        <w:rPr>
          <w:rFonts w:ascii="宋体" w:hAnsi="宋体" w:cs="仿宋"/>
          <w:sz w:val="24"/>
          <w:highlight w:val="none"/>
        </w:rPr>
      </w:pPr>
      <w:r>
        <w:rPr>
          <w:rFonts w:ascii="宋体" w:hAnsi="宋体" w:cs="仿宋"/>
          <w:b/>
          <w:sz w:val="24"/>
          <w:highlight w:val="none"/>
        </w:rPr>
        <w:t>1.</w:t>
      </w:r>
      <w:r>
        <w:rPr>
          <w:rFonts w:hint="eastAsia" w:ascii="宋体" w:hAnsi="宋体" w:cs="仿宋"/>
          <w:b/>
          <w:sz w:val="24"/>
          <w:highlight w:val="none"/>
        </w:rPr>
        <w:t>总则：</w:t>
      </w:r>
      <w:r>
        <w:rPr>
          <w:rFonts w:hint="eastAsia" w:ascii="宋体" w:hAnsi="宋体" w:cs="仿宋"/>
          <w:sz w:val="24"/>
          <w:highlight w:val="none"/>
        </w:rPr>
        <w:t>本着坚持“公开、公平、公正”的原则，为维护招投标双方的合法权益，增加评标工作透明度，保证评标、定标的科学性、公正性和可操作性，根据《招标投标法》、《招标投标法实施条例》、《评标委员会和评标办法暂行规定（七部委</w:t>
      </w:r>
      <w:r>
        <w:rPr>
          <w:rFonts w:ascii="宋体" w:hAnsi="宋体" w:cs="仿宋"/>
          <w:sz w:val="24"/>
          <w:highlight w:val="none"/>
        </w:rPr>
        <w:t>12</w:t>
      </w:r>
      <w:r>
        <w:rPr>
          <w:rFonts w:hint="eastAsia" w:ascii="宋体" w:hAnsi="宋体" w:cs="仿宋"/>
          <w:sz w:val="24"/>
          <w:highlight w:val="none"/>
        </w:rPr>
        <w:t>号令）》等法律法规的精神，并结合本项目实际制定本办法。</w:t>
      </w:r>
    </w:p>
    <w:p w14:paraId="129C6C79">
      <w:pPr>
        <w:adjustRightInd w:val="0"/>
        <w:snapToGrid w:val="0"/>
        <w:spacing w:line="360" w:lineRule="auto"/>
        <w:ind w:firstLine="482" w:firstLineChars="200"/>
        <w:rPr>
          <w:rFonts w:ascii="宋体" w:hAnsi="宋体" w:cs="仿宋"/>
          <w:b/>
          <w:sz w:val="24"/>
          <w:highlight w:val="none"/>
        </w:rPr>
      </w:pPr>
      <w:r>
        <w:rPr>
          <w:rFonts w:ascii="宋体" w:hAnsi="宋体" w:cs="仿宋"/>
          <w:b/>
          <w:sz w:val="24"/>
          <w:highlight w:val="none"/>
        </w:rPr>
        <w:t>2.</w:t>
      </w:r>
      <w:r>
        <w:rPr>
          <w:rFonts w:hint="eastAsia" w:ascii="宋体" w:hAnsi="宋体" w:cs="仿宋"/>
          <w:b/>
          <w:sz w:val="24"/>
          <w:highlight w:val="none"/>
        </w:rPr>
        <w:t>评标程序</w:t>
      </w:r>
    </w:p>
    <w:p w14:paraId="3193121B">
      <w:pPr>
        <w:adjustRightInd w:val="0"/>
        <w:snapToGrid w:val="0"/>
        <w:spacing w:line="360" w:lineRule="auto"/>
        <w:ind w:firstLine="480"/>
        <w:rPr>
          <w:rFonts w:ascii="宋体" w:hAnsi="宋体"/>
          <w:sz w:val="24"/>
          <w:highlight w:val="none"/>
        </w:rPr>
      </w:pPr>
      <w:r>
        <w:rPr>
          <w:rFonts w:hint="eastAsia" w:ascii="宋体" w:hAnsi="宋体"/>
          <w:sz w:val="24"/>
          <w:highlight w:val="none"/>
        </w:rPr>
        <w:t>2.1开标时，评标委员会应按照本章规定的评审顺序依次进行。前一顺序评审通过的方可进行下一顺序评审，已进入下一顺序评审的，评审委员会不应再对前面顺序评审的结果进行重新复核。</w:t>
      </w:r>
    </w:p>
    <w:p w14:paraId="6F52E95B">
      <w:pPr>
        <w:adjustRightInd w:val="0"/>
        <w:snapToGrid w:val="0"/>
        <w:spacing w:line="360" w:lineRule="auto"/>
        <w:ind w:firstLine="480"/>
        <w:rPr>
          <w:rFonts w:ascii="宋体" w:hAnsi="宋体"/>
          <w:sz w:val="24"/>
          <w:highlight w:val="none"/>
        </w:rPr>
      </w:pPr>
      <w:r>
        <w:rPr>
          <w:rFonts w:hint="eastAsia" w:ascii="宋体" w:hAnsi="宋体"/>
          <w:sz w:val="24"/>
          <w:highlight w:val="none"/>
        </w:rPr>
        <w:t>2.2评标委员会对招标文件及评标方法中存在模糊不清、不易理解的内容，可要求招标人或代理机构现场解释澄清。解释澄清的内容合理的，评委会应当接受；解释澄清的内容超出了招标文件字面含义、违背了相关法律法规的，评委会应当拒绝并根据自己的专业素质做出判断。</w:t>
      </w:r>
    </w:p>
    <w:p w14:paraId="266E654C">
      <w:pPr>
        <w:adjustRightInd w:val="0"/>
        <w:snapToGrid w:val="0"/>
        <w:spacing w:line="360" w:lineRule="auto"/>
        <w:ind w:firstLine="480"/>
        <w:rPr>
          <w:rFonts w:ascii="宋体" w:hAnsi="宋体"/>
          <w:sz w:val="24"/>
          <w:highlight w:val="none"/>
        </w:rPr>
      </w:pPr>
      <w:r>
        <w:rPr>
          <w:rFonts w:hint="eastAsia" w:ascii="宋体" w:hAnsi="宋体"/>
          <w:sz w:val="24"/>
          <w:highlight w:val="none"/>
        </w:rPr>
        <w:t>2.3现场出席开标会议的投标人法定代表人或授权委托人在答复专家质询或对开评标程序提出异议时需出示身份证原件，并提供身份证件交招标代理机构核验（授权委托人需提交授权委托书，法人需提供法人身份证明书），不能证明身份的澄清无效，并视为放弃澄清的权力，不能证明身份的异议不被接收。</w:t>
      </w:r>
    </w:p>
    <w:p w14:paraId="1F303B03">
      <w:pPr>
        <w:adjustRightInd w:val="0"/>
        <w:snapToGrid w:val="0"/>
        <w:spacing w:line="360" w:lineRule="auto"/>
        <w:ind w:firstLine="480"/>
        <w:rPr>
          <w:rFonts w:ascii="宋体" w:hAnsi="宋体"/>
          <w:sz w:val="24"/>
          <w:highlight w:val="none"/>
        </w:rPr>
      </w:pPr>
      <w:r>
        <w:rPr>
          <w:rFonts w:hint="eastAsia" w:ascii="宋体" w:hAnsi="宋体"/>
          <w:sz w:val="24"/>
          <w:highlight w:val="none"/>
        </w:rPr>
        <w:t>2.4评标委员会按评标办法，推荐有排序的预中标候选人。对否定的投标文件，评委要提出充足的否定理由，并填写在评标记录上；对认定出现异议的，按照少数服从多数的原则由评委采取投票方式表决确定。评委对评标结论有异议的应用书面方式阐述，评委拒绝在评标报告上签字且不陈述其不同意见和理由的，视为同意评标结论。</w:t>
      </w:r>
    </w:p>
    <w:p w14:paraId="44B5DD00">
      <w:pPr>
        <w:adjustRightInd w:val="0"/>
        <w:snapToGrid w:val="0"/>
        <w:spacing w:line="360" w:lineRule="auto"/>
        <w:ind w:firstLine="480"/>
        <w:rPr>
          <w:rFonts w:ascii="宋体" w:hAnsi="宋体"/>
          <w:sz w:val="24"/>
          <w:highlight w:val="none"/>
        </w:rPr>
      </w:pPr>
      <w:r>
        <w:rPr>
          <w:rFonts w:hint="eastAsia" w:ascii="宋体" w:hAnsi="宋体"/>
          <w:sz w:val="24"/>
          <w:highlight w:val="none"/>
        </w:rPr>
        <w:t>2.5当通过投标资格评审初步评审的投标人少于3家时，评标委员会应当对本次招标是否具有竞争性进行评审。评标委员会所有成员一致认为仍具有竞争性的，应当继续评审，并在评标报告中予以说明。评标委员会个别或全部成员认为不再具有竞争性的，评标委员会应当否决全部投标，本次招标做流标处理。</w:t>
      </w:r>
    </w:p>
    <w:p w14:paraId="6489EA8E">
      <w:pPr>
        <w:adjustRightInd w:val="0"/>
        <w:snapToGrid w:val="0"/>
        <w:spacing w:line="360" w:lineRule="auto"/>
        <w:ind w:firstLine="480"/>
        <w:rPr>
          <w:rFonts w:ascii="宋体" w:hAnsi="宋体"/>
          <w:sz w:val="24"/>
          <w:highlight w:val="none"/>
        </w:rPr>
      </w:pPr>
      <w:r>
        <w:rPr>
          <w:rFonts w:hint="eastAsia" w:ascii="宋体" w:hAnsi="宋体"/>
          <w:sz w:val="24"/>
          <w:highlight w:val="none"/>
        </w:rPr>
        <w:t>2.6流标的项目，评标委员会除应在评标报告上说明认定项目流标的理由外，还应分析流标产生的可能原因、招标文件有无不合理条款，并提出预防再次流标的措施和建议。</w:t>
      </w:r>
    </w:p>
    <w:p w14:paraId="738D93EF">
      <w:pPr>
        <w:adjustRightInd w:val="0"/>
        <w:snapToGrid w:val="0"/>
        <w:spacing w:line="360" w:lineRule="auto"/>
        <w:ind w:firstLine="482" w:firstLineChars="200"/>
        <w:rPr>
          <w:rFonts w:ascii="宋体" w:hAnsi="宋体" w:cs="仿宋"/>
          <w:b/>
          <w:sz w:val="24"/>
          <w:highlight w:val="none"/>
        </w:rPr>
      </w:pPr>
      <w:r>
        <w:rPr>
          <w:rFonts w:hint="eastAsia" w:ascii="宋体" w:hAnsi="宋体" w:cs="仿宋"/>
          <w:b/>
          <w:sz w:val="24"/>
          <w:highlight w:val="none"/>
        </w:rPr>
        <w:t>3.资格审查</w:t>
      </w:r>
    </w:p>
    <w:tbl>
      <w:tblPr>
        <w:tblStyle w:val="32"/>
        <w:tblW w:w="93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493"/>
        <w:gridCol w:w="3890"/>
        <w:gridCol w:w="1892"/>
        <w:gridCol w:w="1578"/>
      </w:tblGrid>
      <w:tr w14:paraId="1E7A0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68" w:type="dxa"/>
            <w:vAlign w:val="center"/>
          </w:tcPr>
          <w:p w14:paraId="29AB1999">
            <w:pPr>
              <w:widowControl/>
              <w:adjustRightInd w:val="0"/>
              <w:snapToGrid w:val="0"/>
              <w:spacing w:line="240" w:lineRule="auto"/>
              <w:jc w:val="center"/>
              <w:rPr>
                <w:rFonts w:ascii="宋体" w:hAnsi="宋体"/>
                <w:kern w:val="0"/>
                <w:highlight w:val="none"/>
              </w:rPr>
            </w:pPr>
            <w:r>
              <w:rPr>
                <w:rFonts w:hint="eastAsia" w:ascii="宋体" w:hAnsi="宋体"/>
                <w:kern w:val="0"/>
                <w:highlight w:val="none"/>
              </w:rPr>
              <w:t>序号</w:t>
            </w:r>
          </w:p>
        </w:tc>
        <w:tc>
          <w:tcPr>
            <w:tcW w:w="1493" w:type="dxa"/>
            <w:vAlign w:val="center"/>
          </w:tcPr>
          <w:p w14:paraId="51BF885C">
            <w:pPr>
              <w:widowControl/>
              <w:adjustRightInd w:val="0"/>
              <w:snapToGrid w:val="0"/>
              <w:spacing w:line="240" w:lineRule="auto"/>
              <w:jc w:val="center"/>
              <w:rPr>
                <w:rFonts w:ascii="宋体" w:hAnsi="宋体"/>
                <w:kern w:val="0"/>
                <w:highlight w:val="none"/>
              </w:rPr>
            </w:pPr>
            <w:r>
              <w:rPr>
                <w:rFonts w:hint="eastAsia" w:ascii="宋体" w:hAnsi="宋体"/>
                <w:kern w:val="0"/>
                <w:highlight w:val="none"/>
              </w:rPr>
              <w:t>合格条件</w:t>
            </w:r>
          </w:p>
        </w:tc>
        <w:tc>
          <w:tcPr>
            <w:tcW w:w="3890" w:type="dxa"/>
            <w:vAlign w:val="center"/>
          </w:tcPr>
          <w:p w14:paraId="40E26ED4">
            <w:pPr>
              <w:widowControl/>
              <w:adjustRightInd w:val="0"/>
              <w:snapToGrid w:val="0"/>
              <w:spacing w:line="240" w:lineRule="auto"/>
              <w:jc w:val="center"/>
              <w:rPr>
                <w:rFonts w:ascii="宋体" w:hAnsi="宋体"/>
                <w:kern w:val="0"/>
                <w:highlight w:val="none"/>
              </w:rPr>
            </w:pPr>
            <w:r>
              <w:rPr>
                <w:rFonts w:hint="eastAsia" w:ascii="宋体" w:hAnsi="宋体"/>
                <w:kern w:val="0"/>
                <w:highlight w:val="none"/>
              </w:rPr>
              <w:t>投标资格合格条件标准</w:t>
            </w:r>
          </w:p>
        </w:tc>
        <w:tc>
          <w:tcPr>
            <w:tcW w:w="1892" w:type="dxa"/>
            <w:vAlign w:val="center"/>
          </w:tcPr>
          <w:p w14:paraId="619B76A3">
            <w:pPr>
              <w:widowControl/>
              <w:adjustRightInd w:val="0"/>
              <w:snapToGrid w:val="0"/>
              <w:spacing w:line="240" w:lineRule="auto"/>
              <w:jc w:val="center"/>
              <w:rPr>
                <w:rFonts w:ascii="宋体" w:hAnsi="宋体"/>
                <w:kern w:val="0"/>
                <w:highlight w:val="none"/>
              </w:rPr>
            </w:pPr>
            <w:r>
              <w:rPr>
                <w:rFonts w:hint="eastAsia" w:ascii="宋体" w:hAnsi="宋体"/>
                <w:kern w:val="0"/>
                <w:highlight w:val="none"/>
              </w:rPr>
              <w:t>有效证明材料</w:t>
            </w:r>
          </w:p>
        </w:tc>
        <w:tc>
          <w:tcPr>
            <w:tcW w:w="1578" w:type="dxa"/>
            <w:vAlign w:val="center"/>
          </w:tcPr>
          <w:p w14:paraId="01184ED3">
            <w:pPr>
              <w:widowControl/>
              <w:adjustRightInd w:val="0"/>
              <w:snapToGrid w:val="0"/>
              <w:spacing w:line="240" w:lineRule="auto"/>
              <w:jc w:val="center"/>
              <w:rPr>
                <w:rFonts w:ascii="宋体" w:hAnsi="宋体"/>
                <w:kern w:val="0"/>
                <w:highlight w:val="none"/>
              </w:rPr>
            </w:pPr>
            <w:r>
              <w:rPr>
                <w:rFonts w:hint="eastAsia" w:ascii="宋体" w:hAnsi="宋体"/>
                <w:kern w:val="0"/>
                <w:highlight w:val="none"/>
              </w:rPr>
              <w:t>定性的结论及相关情况说明</w:t>
            </w:r>
          </w:p>
        </w:tc>
      </w:tr>
      <w:tr w14:paraId="16CDE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468" w:type="dxa"/>
            <w:vAlign w:val="center"/>
          </w:tcPr>
          <w:p w14:paraId="26F3E242">
            <w:pPr>
              <w:widowControl/>
              <w:adjustRightInd w:val="0"/>
              <w:snapToGrid w:val="0"/>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1</w:t>
            </w:r>
          </w:p>
        </w:tc>
        <w:tc>
          <w:tcPr>
            <w:tcW w:w="1493" w:type="dxa"/>
            <w:vAlign w:val="center"/>
          </w:tcPr>
          <w:p w14:paraId="73A04EB1">
            <w:pPr>
              <w:widowControl/>
              <w:adjustRightInd w:val="0"/>
              <w:snapToGrid w:val="0"/>
              <w:spacing w:line="240" w:lineRule="auto"/>
              <w:jc w:val="center"/>
              <w:rPr>
                <w:rFonts w:hint="eastAsia" w:ascii="Times New Roman" w:hAnsi="宋体" w:eastAsia="宋体" w:cs="宋体"/>
                <w:sz w:val="22"/>
                <w:szCs w:val="22"/>
                <w:highlight w:val="none"/>
              </w:rPr>
            </w:pPr>
            <w:r>
              <w:rPr>
                <w:rFonts w:hint="eastAsia" w:ascii="Times New Roman" w:hAnsi="宋体" w:eastAsia="宋体" w:cs="宋体"/>
                <w:sz w:val="22"/>
                <w:szCs w:val="22"/>
                <w:highlight w:val="none"/>
              </w:rPr>
              <w:t>独立承担民事责任的能力</w:t>
            </w:r>
          </w:p>
        </w:tc>
        <w:tc>
          <w:tcPr>
            <w:tcW w:w="3890" w:type="dxa"/>
            <w:vAlign w:val="center"/>
          </w:tcPr>
          <w:p w14:paraId="13884D6A">
            <w:pPr>
              <w:widowControl/>
              <w:adjustRightInd w:val="0"/>
              <w:snapToGrid w:val="0"/>
              <w:spacing w:line="240" w:lineRule="auto"/>
              <w:jc w:val="center"/>
              <w:rPr>
                <w:rFonts w:hint="eastAsia" w:ascii="Times New Roman" w:hAnsi="宋体" w:eastAsia="宋体" w:cs="宋体"/>
                <w:sz w:val="22"/>
                <w:szCs w:val="22"/>
                <w:highlight w:val="none"/>
              </w:rPr>
            </w:pPr>
            <w:r>
              <w:rPr>
                <w:rFonts w:hint="eastAsia" w:ascii="Times New Roman" w:hAnsi="宋体" w:eastAsia="宋体" w:cs="宋体"/>
                <w:sz w:val="22"/>
                <w:szCs w:val="22"/>
                <w:highlight w:val="none"/>
              </w:rPr>
              <w:t>具有独立</w:t>
            </w:r>
            <w:r>
              <w:rPr>
                <w:rFonts w:hint="eastAsia" w:ascii="Times New Roman" w:hAnsi="宋体" w:eastAsia="宋体" w:cs="宋体"/>
                <w:sz w:val="22"/>
                <w:szCs w:val="22"/>
                <w:highlight w:val="none"/>
                <w:lang w:val="en-US" w:eastAsia="zh-CN"/>
              </w:rPr>
              <w:t>企业</w:t>
            </w:r>
            <w:r>
              <w:rPr>
                <w:rFonts w:hint="eastAsia" w:ascii="Times New Roman" w:hAnsi="宋体" w:eastAsia="宋体" w:cs="宋体"/>
                <w:sz w:val="22"/>
                <w:szCs w:val="22"/>
                <w:highlight w:val="none"/>
              </w:rPr>
              <w:t>法人资格，联合体投标的，构成联合体的各成员均应具备独立法人资格。</w:t>
            </w:r>
          </w:p>
        </w:tc>
        <w:tc>
          <w:tcPr>
            <w:tcW w:w="1892" w:type="dxa"/>
            <w:vAlign w:val="center"/>
          </w:tcPr>
          <w:p w14:paraId="66C95725">
            <w:pPr>
              <w:widowControl/>
              <w:adjustRightInd w:val="0"/>
              <w:snapToGrid w:val="0"/>
              <w:spacing w:line="240" w:lineRule="auto"/>
              <w:jc w:val="center"/>
              <w:rPr>
                <w:rFonts w:hint="eastAsia" w:ascii="Times New Roman" w:hAnsi="宋体" w:eastAsia="宋体" w:cs="宋体"/>
                <w:sz w:val="22"/>
                <w:szCs w:val="22"/>
                <w:highlight w:val="none"/>
              </w:rPr>
            </w:pPr>
            <w:r>
              <w:rPr>
                <w:rFonts w:hint="eastAsia" w:ascii="Times New Roman" w:hAnsi="宋体" w:eastAsia="宋体" w:cs="宋体"/>
                <w:sz w:val="22"/>
                <w:szCs w:val="22"/>
                <w:highlight w:val="none"/>
              </w:rPr>
              <w:t>提供有效的企业法人营业执照，如是联合体投标，联合体各方均须提供。</w:t>
            </w:r>
          </w:p>
        </w:tc>
        <w:tc>
          <w:tcPr>
            <w:tcW w:w="1578" w:type="dxa"/>
            <w:vMerge w:val="restart"/>
            <w:vAlign w:val="center"/>
          </w:tcPr>
          <w:p w14:paraId="33F70D38">
            <w:pPr>
              <w:widowControl/>
              <w:adjustRightInd w:val="0"/>
              <w:snapToGrid w:val="0"/>
              <w:spacing w:line="240" w:lineRule="auto"/>
              <w:jc w:val="center"/>
              <w:rPr>
                <w:rFonts w:hint="eastAsia" w:ascii="Times New Roman" w:hAnsi="宋体" w:eastAsia="宋体" w:cs="宋体"/>
                <w:sz w:val="22"/>
                <w:szCs w:val="22"/>
                <w:highlight w:val="none"/>
              </w:rPr>
            </w:pPr>
            <w:r>
              <w:rPr>
                <w:rFonts w:hint="eastAsia" w:ascii="Times New Roman" w:hAnsi="宋体" w:eastAsia="宋体" w:cs="宋体"/>
                <w:sz w:val="22"/>
                <w:szCs w:val="22"/>
                <w:highlight w:val="none"/>
                <w:lang w:val="en-US" w:eastAsia="zh-CN"/>
              </w:rPr>
              <w:t>证</w:t>
            </w:r>
            <w:r>
              <w:rPr>
                <w:rFonts w:hint="eastAsia" w:ascii="Times New Roman" w:hAnsi="宋体" w:eastAsia="宋体" w:cs="宋体"/>
                <w:sz w:val="22"/>
                <w:szCs w:val="22"/>
                <w:highlight w:val="none"/>
              </w:rPr>
              <w:t>书</w:t>
            </w:r>
            <w:r>
              <w:rPr>
                <w:rFonts w:hint="eastAsia" w:ascii="Times New Roman" w:hAnsi="宋体" w:eastAsia="宋体" w:cs="宋体"/>
                <w:sz w:val="22"/>
                <w:szCs w:val="22"/>
                <w:highlight w:val="none"/>
                <w:lang w:val="en-US" w:eastAsia="zh-CN"/>
              </w:rPr>
              <w:t>及其他资料</w:t>
            </w:r>
            <w:r>
              <w:rPr>
                <w:rFonts w:hint="eastAsia" w:ascii="Times New Roman" w:hAnsi="宋体" w:eastAsia="宋体" w:cs="宋体"/>
                <w:sz w:val="22"/>
                <w:szCs w:val="22"/>
                <w:highlight w:val="none"/>
              </w:rPr>
              <w:t>扫描件</w:t>
            </w:r>
            <w:r>
              <w:rPr>
                <w:rFonts w:hint="eastAsia" w:ascii="Times New Roman" w:hAnsi="宋体" w:eastAsia="宋体" w:cs="宋体"/>
                <w:sz w:val="22"/>
                <w:szCs w:val="22"/>
                <w:highlight w:val="none"/>
                <w:lang w:eastAsia="zh-CN"/>
              </w:rPr>
              <w:t>（</w:t>
            </w:r>
            <w:r>
              <w:rPr>
                <w:rFonts w:hint="eastAsia" w:ascii="Times New Roman" w:hAnsi="宋体" w:eastAsia="宋体" w:cs="宋体"/>
                <w:sz w:val="22"/>
                <w:szCs w:val="22"/>
                <w:highlight w:val="none"/>
              </w:rPr>
              <w:t>包含复印件或影印件</w:t>
            </w:r>
            <w:r>
              <w:rPr>
                <w:rFonts w:hint="eastAsia" w:ascii="Times New Roman" w:hAnsi="宋体" w:eastAsia="宋体" w:cs="宋体"/>
                <w:sz w:val="22"/>
                <w:szCs w:val="22"/>
                <w:highlight w:val="none"/>
                <w:lang w:eastAsia="zh-CN"/>
              </w:rPr>
              <w:t>）</w:t>
            </w:r>
            <w:r>
              <w:rPr>
                <w:rFonts w:hint="eastAsia" w:ascii="Times New Roman" w:hAnsi="宋体" w:eastAsia="宋体" w:cs="宋体"/>
                <w:sz w:val="22"/>
                <w:szCs w:val="22"/>
                <w:highlight w:val="none"/>
              </w:rPr>
              <w:t>加盖公章的复印件</w:t>
            </w:r>
            <w:r>
              <w:rPr>
                <w:rFonts w:hint="eastAsia" w:ascii="Times New Roman" w:hAnsi="宋体" w:eastAsia="宋体" w:cs="宋体"/>
                <w:sz w:val="22"/>
                <w:szCs w:val="22"/>
                <w:highlight w:val="none"/>
                <w:lang w:val="en-US" w:eastAsia="zh-CN"/>
              </w:rPr>
              <w:t>或</w:t>
            </w:r>
            <w:r>
              <w:rPr>
                <w:rFonts w:hint="eastAsia" w:ascii="Times New Roman" w:hAnsi="宋体" w:eastAsia="宋体" w:cs="宋体"/>
                <w:sz w:val="22"/>
                <w:szCs w:val="22"/>
                <w:highlight w:val="none"/>
              </w:rPr>
              <w:t>扫描件放入投标文件。</w:t>
            </w:r>
          </w:p>
        </w:tc>
      </w:tr>
      <w:tr w14:paraId="75080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468" w:type="dxa"/>
            <w:vAlign w:val="center"/>
          </w:tcPr>
          <w:p w14:paraId="5A4D524D">
            <w:pPr>
              <w:widowControl/>
              <w:adjustRightInd w:val="0"/>
              <w:snapToGrid w:val="0"/>
              <w:spacing w:line="360" w:lineRule="auto"/>
              <w:jc w:val="center"/>
              <w:rPr>
                <w:rFonts w:ascii="宋体" w:hAnsi="宋体"/>
                <w:kern w:val="0"/>
                <w:highlight w:val="none"/>
              </w:rPr>
            </w:pPr>
            <w:r>
              <w:rPr>
                <w:rFonts w:hint="eastAsia" w:ascii="宋体" w:hAnsi="宋体"/>
                <w:kern w:val="0"/>
                <w:highlight w:val="none"/>
              </w:rPr>
              <w:t>2</w:t>
            </w:r>
          </w:p>
        </w:tc>
        <w:tc>
          <w:tcPr>
            <w:tcW w:w="1493" w:type="dxa"/>
            <w:vAlign w:val="center"/>
          </w:tcPr>
          <w:p w14:paraId="09ED0525">
            <w:pPr>
              <w:widowControl/>
              <w:adjustRightInd w:val="0"/>
              <w:snapToGrid w:val="0"/>
              <w:spacing w:line="240" w:lineRule="auto"/>
              <w:jc w:val="center"/>
              <w:rPr>
                <w:rFonts w:hint="eastAsia" w:ascii="Times New Roman" w:hAnsi="宋体" w:eastAsia="宋体" w:cs="宋体"/>
                <w:sz w:val="22"/>
                <w:szCs w:val="22"/>
                <w:highlight w:val="none"/>
              </w:rPr>
            </w:pPr>
            <w:r>
              <w:rPr>
                <w:rFonts w:hint="eastAsia" w:ascii="Times New Roman" w:hAnsi="宋体" w:eastAsia="宋体" w:cs="宋体"/>
                <w:sz w:val="22"/>
                <w:szCs w:val="22"/>
                <w:highlight w:val="none"/>
              </w:rPr>
              <w:t>企业资质要求</w:t>
            </w:r>
          </w:p>
        </w:tc>
        <w:tc>
          <w:tcPr>
            <w:tcW w:w="3890" w:type="dxa"/>
            <w:vAlign w:val="center"/>
          </w:tcPr>
          <w:p w14:paraId="35BF58C1">
            <w:pPr>
              <w:widowControl/>
              <w:adjustRightInd w:val="0"/>
              <w:snapToGrid w:val="0"/>
              <w:spacing w:line="240" w:lineRule="auto"/>
              <w:jc w:val="center"/>
              <w:rPr>
                <w:rFonts w:hint="eastAsia" w:ascii="Times New Roman" w:hAnsi="宋体" w:eastAsia="宋体" w:cs="宋体"/>
                <w:sz w:val="22"/>
                <w:szCs w:val="22"/>
                <w:highlight w:val="none"/>
              </w:rPr>
            </w:pPr>
            <w:r>
              <w:rPr>
                <w:rFonts w:hint="eastAsia" w:ascii="Times New Roman" w:hAnsi="宋体" w:eastAsia="宋体" w:cs="宋体"/>
                <w:sz w:val="22"/>
                <w:szCs w:val="22"/>
                <w:highlight w:val="none"/>
              </w:rPr>
              <w:t>具备招标公告规定的资格</w:t>
            </w:r>
          </w:p>
        </w:tc>
        <w:tc>
          <w:tcPr>
            <w:tcW w:w="1892" w:type="dxa"/>
            <w:vAlign w:val="center"/>
          </w:tcPr>
          <w:p w14:paraId="74DE309D">
            <w:pPr>
              <w:widowControl/>
              <w:adjustRightInd w:val="0"/>
              <w:snapToGrid w:val="0"/>
              <w:spacing w:line="240" w:lineRule="auto"/>
              <w:jc w:val="center"/>
              <w:rPr>
                <w:rFonts w:hint="eastAsia" w:ascii="Times New Roman" w:hAnsi="宋体" w:eastAsia="宋体" w:cs="宋体"/>
                <w:sz w:val="22"/>
                <w:szCs w:val="22"/>
                <w:highlight w:val="none"/>
              </w:rPr>
            </w:pPr>
            <w:r>
              <w:rPr>
                <w:rFonts w:hint="eastAsia" w:ascii="Times New Roman" w:hAnsi="宋体" w:eastAsia="宋体" w:cs="宋体"/>
                <w:sz w:val="22"/>
                <w:szCs w:val="22"/>
                <w:highlight w:val="none"/>
              </w:rPr>
              <w:t xml:space="preserve">有效的企业资质证书 </w:t>
            </w:r>
          </w:p>
        </w:tc>
        <w:tc>
          <w:tcPr>
            <w:tcW w:w="1578" w:type="dxa"/>
            <w:vMerge w:val="continue"/>
            <w:vAlign w:val="center"/>
          </w:tcPr>
          <w:p w14:paraId="66FB61E7">
            <w:pPr>
              <w:widowControl/>
              <w:adjustRightInd w:val="0"/>
              <w:snapToGrid w:val="0"/>
              <w:spacing w:line="240" w:lineRule="auto"/>
              <w:jc w:val="center"/>
              <w:rPr>
                <w:rFonts w:hint="eastAsia" w:ascii="Times New Roman" w:hAnsi="宋体" w:eastAsia="宋体" w:cs="宋体"/>
                <w:sz w:val="22"/>
                <w:szCs w:val="22"/>
                <w:highlight w:val="none"/>
              </w:rPr>
            </w:pPr>
          </w:p>
        </w:tc>
      </w:tr>
      <w:tr w14:paraId="25410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468" w:type="dxa"/>
            <w:vAlign w:val="center"/>
          </w:tcPr>
          <w:p w14:paraId="52D15767">
            <w:pPr>
              <w:widowControl/>
              <w:snapToGrid w:val="0"/>
              <w:jc w:val="center"/>
              <w:rPr>
                <w:rFonts w:hint="eastAsia" w:ascii="宋体" w:hAnsi="宋体"/>
                <w:kern w:val="0"/>
                <w:highlight w:val="none"/>
              </w:rPr>
            </w:pPr>
            <w:r>
              <w:rPr>
                <w:rFonts w:hint="eastAsia" w:hAnsi="宋体" w:eastAsia="宋体"/>
                <w:b w:val="0"/>
                <w:bCs/>
                <w:color w:val="auto"/>
                <w:sz w:val="22"/>
                <w:szCs w:val="18"/>
                <w:highlight w:val="none"/>
                <w:lang w:val="en-US" w:eastAsia="zh-CN"/>
              </w:rPr>
              <w:t>3</w:t>
            </w:r>
          </w:p>
        </w:tc>
        <w:tc>
          <w:tcPr>
            <w:tcW w:w="1493" w:type="dxa"/>
            <w:vAlign w:val="center"/>
          </w:tcPr>
          <w:p w14:paraId="765EA5D8">
            <w:pPr>
              <w:widowControl/>
              <w:adjustRightInd w:val="0"/>
              <w:snapToGrid w:val="0"/>
              <w:spacing w:line="240" w:lineRule="auto"/>
              <w:jc w:val="center"/>
              <w:rPr>
                <w:rFonts w:hint="eastAsia" w:ascii="Times New Roman" w:hAnsi="宋体" w:eastAsia="宋体" w:cs="宋体"/>
                <w:sz w:val="22"/>
                <w:szCs w:val="22"/>
                <w:highlight w:val="none"/>
              </w:rPr>
            </w:pPr>
            <w:r>
              <w:rPr>
                <w:rFonts w:hint="eastAsia" w:ascii="Times New Roman" w:hAnsi="宋体" w:eastAsia="宋体" w:cs="宋体"/>
                <w:sz w:val="22"/>
                <w:szCs w:val="22"/>
                <w:highlight w:val="none"/>
                <w:lang w:val="en-US" w:eastAsia="zh-CN"/>
              </w:rPr>
              <w:t>企业业绩</w:t>
            </w:r>
          </w:p>
        </w:tc>
        <w:tc>
          <w:tcPr>
            <w:tcW w:w="3890" w:type="dxa"/>
            <w:vAlign w:val="center"/>
          </w:tcPr>
          <w:p w14:paraId="5A2A5873">
            <w:pPr>
              <w:widowControl/>
              <w:adjustRightInd w:val="0"/>
              <w:snapToGrid w:val="0"/>
              <w:spacing w:line="240" w:lineRule="auto"/>
              <w:jc w:val="center"/>
              <w:rPr>
                <w:rFonts w:hint="eastAsia" w:ascii="Times New Roman" w:hAnsi="宋体" w:eastAsia="宋体" w:cs="宋体"/>
                <w:sz w:val="22"/>
                <w:szCs w:val="22"/>
                <w:highlight w:val="none"/>
              </w:rPr>
            </w:pPr>
            <w:r>
              <w:rPr>
                <w:rFonts w:hint="eastAsia" w:ascii="Times New Roman" w:hAnsi="宋体" w:eastAsia="宋体" w:cs="宋体"/>
                <w:sz w:val="22"/>
                <w:szCs w:val="22"/>
                <w:highlight w:val="none"/>
              </w:rPr>
              <w:t>具备招标公告规定的</w:t>
            </w:r>
            <w:r>
              <w:rPr>
                <w:rFonts w:hint="eastAsia" w:ascii="Times New Roman" w:hAnsi="宋体" w:eastAsia="宋体" w:cs="宋体"/>
                <w:sz w:val="22"/>
                <w:szCs w:val="22"/>
                <w:highlight w:val="none"/>
                <w:lang w:val="en-US" w:eastAsia="zh-CN"/>
              </w:rPr>
              <w:t>业绩</w:t>
            </w:r>
          </w:p>
        </w:tc>
        <w:tc>
          <w:tcPr>
            <w:tcW w:w="1892" w:type="dxa"/>
            <w:vAlign w:val="center"/>
          </w:tcPr>
          <w:p w14:paraId="5330BE2B">
            <w:pPr>
              <w:widowControl/>
              <w:adjustRightInd w:val="0"/>
              <w:snapToGrid w:val="0"/>
              <w:spacing w:line="240" w:lineRule="auto"/>
              <w:jc w:val="center"/>
              <w:rPr>
                <w:rFonts w:hint="eastAsia" w:ascii="Times New Roman" w:hAnsi="宋体" w:eastAsia="宋体" w:cs="宋体"/>
                <w:sz w:val="22"/>
                <w:szCs w:val="22"/>
                <w:highlight w:val="none"/>
              </w:rPr>
            </w:pPr>
            <w:r>
              <w:rPr>
                <w:rFonts w:hint="eastAsia" w:ascii="Times New Roman" w:hAnsi="宋体" w:eastAsia="宋体" w:cs="宋体"/>
                <w:sz w:val="22"/>
                <w:szCs w:val="22"/>
                <w:highlight w:val="none"/>
                <w:lang w:val="zh-CN" w:eastAsia="zh-CN"/>
              </w:rPr>
              <w:t>提供合同及相关证明资料扫描件</w:t>
            </w:r>
          </w:p>
        </w:tc>
        <w:tc>
          <w:tcPr>
            <w:tcW w:w="1578" w:type="dxa"/>
            <w:vAlign w:val="center"/>
          </w:tcPr>
          <w:p w14:paraId="085DE52D">
            <w:pPr>
              <w:widowControl/>
              <w:adjustRightInd w:val="0"/>
              <w:snapToGrid w:val="0"/>
              <w:spacing w:line="240" w:lineRule="auto"/>
              <w:jc w:val="center"/>
              <w:rPr>
                <w:rFonts w:hint="eastAsia" w:ascii="Times New Roman" w:hAnsi="宋体" w:eastAsia="宋体" w:cs="宋体"/>
                <w:sz w:val="22"/>
                <w:szCs w:val="22"/>
                <w:highlight w:val="none"/>
              </w:rPr>
            </w:pPr>
            <w:r>
              <w:rPr>
                <w:rFonts w:hint="eastAsia" w:ascii="Times New Roman" w:hAnsi="宋体" w:eastAsia="宋体" w:cs="宋体"/>
                <w:sz w:val="22"/>
                <w:szCs w:val="22"/>
                <w:highlight w:val="none"/>
                <w:lang w:val="zh-CN" w:eastAsia="zh-CN"/>
              </w:rPr>
              <w:t>提供合同及相关证明资料扫描件（包含复印件或影印件）</w:t>
            </w:r>
            <w:r>
              <w:rPr>
                <w:rFonts w:hint="eastAsia" w:ascii="Times New Roman" w:hAnsi="宋体" w:eastAsia="宋体" w:cs="宋体"/>
                <w:sz w:val="22"/>
                <w:szCs w:val="22"/>
                <w:highlight w:val="none"/>
                <w:lang w:val="zh-CN"/>
              </w:rPr>
              <w:t>加盖投标单位</w:t>
            </w:r>
            <w:r>
              <w:rPr>
                <w:rFonts w:hint="eastAsia" w:ascii="Times New Roman" w:hAnsi="宋体" w:eastAsia="宋体" w:cs="宋体"/>
                <w:sz w:val="22"/>
                <w:szCs w:val="22"/>
                <w:highlight w:val="none"/>
                <w:lang w:val="en-US" w:eastAsia="zh-CN"/>
              </w:rPr>
              <w:t>公章放入</w:t>
            </w:r>
            <w:r>
              <w:rPr>
                <w:rFonts w:hint="eastAsia" w:ascii="Times New Roman" w:hAnsi="宋体" w:eastAsia="宋体" w:cs="宋体"/>
                <w:sz w:val="22"/>
                <w:szCs w:val="22"/>
                <w:highlight w:val="none"/>
                <w:lang w:val="zh-CN"/>
              </w:rPr>
              <w:t>投标文件内</w:t>
            </w:r>
          </w:p>
        </w:tc>
      </w:tr>
      <w:tr w14:paraId="2D2FE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68" w:type="dxa"/>
            <w:vAlign w:val="center"/>
          </w:tcPr>
          <w:p w14:paraId="5381CCFA">
            <w:pPr>
              <w:widowControl/>
              <w:adjustRightInd w:val="0"/>
              <w:snapToGrid w:val="0"/>
              <w:spacing w:line="360" w:lineRule="auto"/>
              <w:jc w:val="center"/>
              <w:rPr>
                <w:rFonts w:hint="eastAsia" w:ascii="宋体" w:hAnsi="宋体" w:eastAsia="宋体"/>
                <w:kern w:val="0"/>
                <w:highlight w:val="none"/>
                <w:lang w:eastAsia="zh-CN"/>
              </w:rPr>
            </w:pPr>
            <w:r>
              <w:rPr>
                <w:rFonts w:hint="eastAsia" w:ascii="宋体" w:hAnsi="宋体"/>
                <w:kern w:val="0"/>
                <w:highlight w:val="none"/>
                <w:lang w:val="en-US" w:eastAsia="zh-CN"/>
              </w:rPr>
              <w:t>4</w:t>
            </w:r>
          </w:p>
        </w:tc>
        <w:tc>
          <w:tcPr>
            <w:tcW w:w="1493" w:type="dxa"/>
            <w:vAlign w:val="center"/>
          </w:tcPr>
          <w:p w14:paraId="2C61F589">
            <w:pPr>
              <w:widowControl/>
              <w:adjustRightInd w:val="0"/>
              <w:snapToGrid w:val="0"/>
              <w:spacing w:line="240" w:lineRule="auto"/>
              <w:jc w:val="center"/>
              <w:rPr>
                <w:rFonts w:hint="eastAsia" w:ascii="Times New Roman" w:hAnsi="宋体" w:eastAsia="宋体" w:cs="宋体"/>
                <w:sz w:val="22"/>
                <w:szCs w:val="22"/>
                <w:highlight w:val="none"/>
              </w:rPr>
            </w:pPr>
            <w:r>
              <w:rPr>
                <w:rFonts w:hint="eastAsia" w:ascii="Times New Roman" w:hAnsi="宋体" w:eastAsia="宋体" w:cs="宋体"/>
                <w:sz w:val="22"/>
                <w:szCs w:val="22"/>
                <w:highlight w:val="none"/>
              </w:rPr>
              <w:t>授权委托书</w:t>
            </w:r>
          </w:p>
        </w:tc>
        <w:tc>
          <w:tcPr>
            <w:tcW w:w="3890" w:type="dxa"/>
            <w:vAlign w:val="center"/>
          </w:tcPr>
          <w:p w14:paraId="0537B053">
            <w:pPr>
              <w:widowControl/>
              <w:adjustRightInd w:val="0"/>
              <w:snapToGrid w:val="0"/>
              <w:spacing w:line="240" w:lineRule="auto"/>
              <w:jc w:val="center"/>
              <w:rPr>
                <w:rFonts w:hint="eastAsia" w:ascii="Times New Roman" w:hAnsi="宋体" w:eastAsia="宋体" w:cs="宋体"/>
                <w:sz w:val="22"/>
                <w:szCs w:val="22"/>
                <w:highlight w:val="none"/>
              </w:rPr>
            </w:pPr>
            <w:r>
              <w:rPr>
                <w:rFonts w:hint="eastAsia" w:ascii="Times New Roman" w:hAnsi="宋体" w:eastAsia="宋体" w:cs="宋体"/>
                <w:sz w:val="22"/>
                <w:szCs w:val="22"/>
                <w:highlight w:val="none"/>
              </w:rPr>
              <w:t>按格式要求填写、签章</w:t>
            </w:r>
          </w:p>
        </w:tc>
        <w:tc>
          <w:tcPr>
            <w:tcW w:w="1892" w:type="dxa"/>
            <w:vAlign w:val="center"/>
          </w:tcPr>
          <w:p w14:paraId="5C5E36E3">
            <w:pPr>
              <w:widowControl/>
              <w:adjustRightInd w:val="0"/>
              <w:snapToGrid w:val="0"/>
              <w:spacing w:line="240" w:lineRule="auto"/>
              <w:jc w:val="center"/>
              <w:rPr>
                <w:rFonts w:hint="eastAsia" w:ascii="Times New Roman" w:hAnsi="宋体" w:eastAsia="宋体" w:cs="宋体"/>
                <w:sz w:val="22"/>
                <w:szCs w:val="22"/>
                <w:highlight w:val="none"/>
              </w:rPr>
            </w:pPr>
            <w:r>
              <w:rPr>
                <w:rFonts w:hint="eastAsia" w:ascii="Times New Roman" w:hAnsi="宋体" w:eastAsia="宋体" w:cs="宋体"/>
                <w:sz w:val="22"/>
                <w:szCs w:val="22"/>
                <w:highlight w:val="none"/>
              </w:rPr>
              <w:t>由法定代表人签署并加盖公章</w:t>
            </w:r>
          </w:p>
        </w:tc>
        <w:tc>
          <w:tcPr>
            <w:tcW w:w="1578" w:type="dxa"/>
            <w:vMerge w:val="restart"/>
            <w:vAlign w:val="center"/>
          </w:tcPr>
          <w:p w14:paraId="4A4160AB">
            <w:pPr>
              <w:widowControl/>
              <w:adjustRightInd w:val="0"/>
              <w:snapToGrid w:val="0"/>
              <w:spacing w:line="240" w:lineRule="auto"/>
              <w:jc w:val="center"/>
              <w:rPr>
                <w:rFonts w:hint="eastAsia" w:ascii="Times New Roman" w:hAnsi="宋体" w:eastAsia="宋体" w:cs="宋体"/>
                <w:sz w:val="22"/>
                <w:szCs w:val="22"/>
                <w:highlight w:val="none"/>
              </w:rPr>
            </w:pPr>
            <w:r>
              <w:rPr>
                <w:rFonts w:hint="eastAsia" w:ascii="Times New Roman" w:hAnsi="宋体" w:eastAsia="宋体" w:cs="宋体"/>
                <w:sz w:val="22"/>
                <w:szCs w:val="22"/>
                <w:highlight w:val="none"/>
              </w:rPr>
              <w:t>原件装订在投标文件内</w:t>
            </w:r>
          </w:p>
        </w:tc>
      </w:tr>
      <w:tr w14:paraId="6A7D6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68" w:type="dxa"/>
            <w:vAlign w:val="center"/>
          </w:tcPr>
          <w:p w14:paraId="0382E82F">
            <w:pPr>
              <w:widowControl/>
              <w:adjustRightInd w:val="0"/>
              <w:snapToGrid w:val="0"/>
              <w:spacing w:line="360" w:lineRule="auto"/>
              <w:jc w:val="center"/>
              <w:rPr>
                <w:rFonts w:hint="eastAsia" w:ascii="宋体" w:hAnsi="宋体" w:eastAsia="宋体"/>
                <w:kern w:val="0"/>
                <w:highlight w:val="none"/>
                <w:lang w:eastAsia="zh-CN"/>
              </w:rPr>
            </w:pPr>
            <w:r>
              <w:rPr>
                <w:rFonts w:hint="eastAsia" w:ascii="宋体" w:hAnsi="宋体"/>
                <w:kern w:val="0"/>
                <w:highlight w:val="none"/>
                <w:lang w:val="en-US" w:eastAsia="zh-CN"/>
              </w:rPr>
              <w:t>5</w:t>
            </w:r>
          </w:p>
        </w:tc>
        <w:tc>
          <w:tcPr>
            <w:tcW w:w="1493" w:type="dxa"/>
            <w:vAlign w:val="center"/>
          </w:tcPr>
          <w:p w14:paraId="42E19DC1">
            <w:pPr>
              <w:widowControl/>
              <w:adjustRightInd w:val="0"/>
              <w:snapToGrid w:val="0"/>
              <w:spacing w:line="240" w:lineRule="auto"/>
              <w:jc w:val="center"/>
              <w:rPr>
                <w:rFonts w:hint="eastAsia" w:ascii="Times New Roman" w:hAnsi="宋体" w:eastAsia="宋体" w:cs="宋体"/>
                <w:sz w:val="22"/>
                <w:szCs w:val="22"/>
                <w:highlight w:val="none"/>
              </w:rPr>
            </w:pPr>
            <w:r>
              <w:rPr>
                <w:rFonts w:hint="eastAsia" w:ascii="Times New Roman" w:hAnsi="宋体" w:eastAsia="宋体" w:cs="宋体"/>
                <w:sz w:val="22"/>
                <w:szCs w:val="22"/>
                <w:highlight w:val="none"/>
              </w:rPr>
              <w:t>诚信承诺书</w:t>
            </w:r>
          </w:p>
        </w:tc>
        <w:tc>
          <w:tcPr>
            <w:tcW w:w="3890" w:type="dxa"/>
            <w:vAlign w:val="center"/>
          </w:tcPr>
          <w:p w14:paraId="3A2B5BED">
            <w:pPr>
              <w:widowControl/>
              <w:adjustRightInd w:val="0"/>
              <w:snapToGrid w:val="0"/>
              <w:spacing w:line="240" w:lineRule="auto"/>
              <w:jc w:val="center"/>
              <w:rPr>
                <w:rFonts w:hint="eastAsia" w:ascii="Times New Roman" w:hAnsi="宋体" w:eastAsia="宋体" w:cs="宋体"/>
                <w:sz w:val="22"/>
                <w:szCs w:val="22"/>
                <w:highlight w:val="none"/>
              </w:rPr>
            </w:pPr>
            <w:r>
              <w:rPr>
                <w:rFonts w:hint="eastAsia" w:ascii="Times New Roman" w:hAnsi="宋体" w:eastAsia="宋体" w:cs="宋体"/>
                <w:sz w:val="22"/>
                <w:szCs w:val="22"/>
                <w:highlight w:val="none"/>
              </w:rPr>
              <w:t>投标诚信承诺，按格式要求填写</w:t>
            </w:r>
          </w:p>
        </w:tc>
        <w:tc>
          <w:tcPr>
            <w:tcW w:w="1892" w:type="dxa"/>
          </w:tcPr>
          <w:p w14:paraId="06910A31">
            <w:pPr>
              <w:widowControl/>
              <w:adjustRightInd w:val="0"/>
              <w:snapToGrid w:val="0"/>
              <w:spacing w:line="240" w:lineRule="auto"/>
              <w:jc w:val="center"/>
              <w:rPr>
                <w:rFonts w:hint="eastAsia" w:ascii="Times New Roman" w:hAnsi="宋体" w:eastAsia="宋体" w:cs="宋体"/>
                <w:sz w:val="22"/>
                <w:szCs w:val="22"/>
                <w:highlight w:val="none"/>
              </w:rPr>
            </w:pPr>
            <w:r>
              <w:rPr>
                <w:rFonts w:hint="eastAsia" w:ascii="Times New Roman" w:hAnsi="宋体" w:eastAsia="宋体" w:cs="宋体"/>
                <w:sz w:val="22"/>
                <w:szCs w:val="22"/>
                <w:highlight w:val="none"/>
              </w:rPr>
              <w:t>由法定代表人签字或盖章并加盖公章的诚信承诺书</w:t>
            </w:r>
          </w:p>
        </w:tc>
        <w:tc>
          <w:tcPr>
            <w:tcW w:w="1578" w:type="dxa"/>
            <w:vMerge w:val="continue"/>
            <w:vAlign w:val="center"/>
          </w:tcPr>
          <w:p w14:paraId="2B5935F8">
            <w:pPr>
              <w:widowControl/>
              <w:adjustRightInd w:val="0"/>
              <w:snapToGrid w:val="0"/>
              <w:spacing w:line="240" w:lineRule="auto"/>
              <w:jc w:val="center"/>
              <w:rPr>
                <w:rFonts w:hint="eastAsia" w:ascii="Times New Roman" w:hAnsi="宋体" w:eastAsia="宋体" w:cs="宋体"/>
                <w:sz w:val="22"/>
                <w:szCs w:val="22"/>
                <w:highlight w:val="none"/>
              </w:rPr>
            </w:pPr>
          </w:p>
        </w:tc>
      </w:tr>
      <w:tr w14:paraId="00CFC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468" w:type="dxa"/>
            <w:vAlign w:val="center"/>
          </w:tcPr>
          <w:p w14:paraId="34ECC4CA">
            <w:pPr>
              <w:widowControl/>
              <w:adjustRightInd w:val="0"/>
              <w:snapToGrid w:val="0"/>
              <w:spacing w:line="360" w:lineRule="auto"/>
              <w:jc w:val="center"/>
              <w:rPr>
                <w:rFonts w:hint="eastAsia" w:ascii="宋体" w:hAnsi="宋体" w:eastAsia="宋体"/>
                <w:kern w:val="0"/>
                <w:highlight w:val="none"/>
                <w:lang w:eastAsia="zh-CN"/>
              </w:rPr>
            </w:pPr>
            <w:r>
              <w:rPr>
                <w:rFonts w:hint="eastAsia" w:ascii="宋体" w:hAnsi="宋体"/>
                <w:kern w:val="0"/>
                <w:highlight w:val="none"/>
                <w:lang w:val="en-US" w:eastAsia="zh-CN"/>
              </w:rPr>
              <w:t>6</w:t>
            </w:r>
          </w:p>
        </w:tc>
        <w:tc>
          <w:tcPr>
            <w:tcW w:w="1493" w:type="dxa"/>
            <w:vAlign w:val="center"/>
          </w:tcPr>
          <w:p w14:paraId="0F628D90">
            <w:pPr>
              <w:widowControl/>
              <w:adjustRightInd w:val="0"/>
              <w:snapToGrid w:val="0"/>
              <w:spacing w:line="240" w:lineRule="auto"/>
              <w:jc w:val="center"/>
              <w:rPr>
                <w:rFonts w:hint="eastAsia" w:ascii="Times New Roman" w:hAnsi="宋体" w:eastAsia="宋体" w:cs="宋体"/>
                <w:sz w:val="22"/>
                <w:szCs w:val="22"/>
                <w:highlight w:val="none"/>
              </w:rPr>
            </w:pPr>
            <w:r>
              <w:rPr>
                <w:rFonts w:hint="eastAsia" w:ascii="Times New Roman" w:hAnsi="宋体" w:eastAsia="宋体" w:cs="宋体"/>
                <w:sz w:val="22"/>
                <w:szCs w:val="22"/>
                <w:highlight w:val="none"/>
              </w:rPr>
              <w:t>其他要求</w:t>
            </w:r>
          </w:p>
        </w:tc>
        <w:tc>
          <w:tcPr>
            <w:tcW w:w="3890" w:type="dxa"/>
            <w:vAlign w:val="center"/>
          </w:tcPr>
          <w:p w14:paraId="34AAF2B1">
            <w:pPr>
              <w:widowControl/>
              <w:adjustRightInd w:val="0"/>
              <w:snapToGrid w:val="0"/>
              <w:spacing w:line="240" w:lineRule="auto"/>
              <w:jc w:val="center"/>
              <w:rPr>
                <w:rFonts w:hint="eastAsia" w:ascii="Times New Roman" w:hAnsi="宋体" w:eastAsia="宋体" w:cs="宋体"/>
                <w:sz w:val="22"/>
                <w:szCs w:val="22"/>
                <w:highlight w:val="none"/>
              </w:rPr>
            </w:pPr>
            <w:r>
              <w:rPr>
                <w:rFonts w:hint="eastAsia" w:ascii="Times New Roman" w:hAnsi="宋体" w:eastAsia="宋体" w:cs="宋体"/>
                <w:sz w:val="22"/>
                <w:szCs w:val="22"/>
                <w:highlight w:val="none"/>
              </w:rPr>
              <w:t>符合招标文件要求</w:t>
            </w:r>
          </w:p>
        </w:tc>
        <w:tc>
          <w:tcPr>
            <w:tcW w:w="1892" w:type="dxa"/>
          </w:tcPr>
          <w:p w14:paraId="328BA319">
            <w:pPr>
              <w:widowControl/>
              <w:adjustRightInd w:val="0"/>
              <w:snapToGrid w:val="0"/>
              <w:spacing w:line="240" w:lineRule="auto"/>
              <w:jc w:val="center"/>
              <w:rPr>
                <w:rFonts w:hint="eastAsia" w:ascii="Times New Roman" w:hAnsi="宋体" w:eastAsia="宋体" w:cs="宋体"/>
                <w:sz w:val="22"/>
                <w:szCs w:val="22"/>
                <w:highlight w:val="none"/>
              </w:rPr>
            </w:pPr>
            <w:r>
              <w:rPr>
                <w:rFonts w:hint="eastAsia" w:ascii="Times New Roman" w:hAnsi="宋体" w:eastAsia="宋体" w:cs="宋体"/>
                <w:sz w:val="22"/>
                <w:szCs w:val="22"/>
                <w:highlight w:val="none"/>
              </w:rPr>
              <w:t>须满足招标文件以及</w:t>
            </w:r>
            <w:r>
              <w:rPr>
                <w:rFonts w:hint="eastAsia" w:ascii="Times New Roman" w:hAnsi="宋体" w:eastAsia="宋体" w:cs="宋体"/>
                <w:sz w:val="22"/>
                <w:szCs w:val="22"/>
                <w:highlight w:val="none"/>
                <w:lang w:eastAsia="zh-CN"/>
              </w:rPr>
              <w:t>招标公告</w:t>
            </w:r>
            <w:r>
              <w:rPr>
                <w:rFonts w:hint="eastAsia" w:ascii="Times New Roman" w:hAnsi="宋体" w:eastAsia="宋体" w:cs="宋体"/>
                <w:sz w:val="22"/>
                <w:szCs w:val="22"/>
                <w:highlight w:val="none"/>
              </w:rPr>
              <w:t>等列明的必须满足的要求的。</w:t>
            </w:r>
          </w:p>
        </w:tc>
        <w:tc>
          <w:tcPr>
            <w:tcW w:w="1578" w:type="dxa"/>
            <w:vAlign w:val="center"/>
          </w:tcPr>
          <w:p w14:paraId="744AE896">
            <w:pPr>
              <w:widowControl/>
              <w:adjustRightInd w:val="0"/>
              <w:snapToGrid w:val="0"/>
              <w:spacing w:line="240" w:lineRule="auto"/>
              <w:jc w:val="center"/>
              <w:rPr>
                <w:rFonts w:hint="eastAsia" w:ascii="Times New Roman" w:hAnsi="宋体" w:eastAsia="宋体" w:cs="宋体"/>
                <w:sz w:val="22"/>
                <w:szCs w:val="22"/>
                <w:highlight w:val="none"/>
              </w:rPr>
            </w:pPr>
          </w:p>
        </w:tc>
      </w:tr>
    </w:tbl>
    <w:p w14:paraId="1FE4B586">
      <w:pPr>
        <w:adjustRightInd w:val="0"/>
        <w:snapToGrid w:val="0"/>
        <w:spacing w:line="360" w:lineRule="auto"/>
        <w:ind w:firstLine="480"/>
        <w:rPr>
          <w:rFonts w:ascii="宋体" w:hAnsi="宋体"/>
          <w:sz w:val="24"/>
          <w:highlight w:val="none"/>
        </w:rPr>
      </w:pPr>
      <w:r>
        <w:rPr>
          <w:rFonts w:hint="eastAsia" w:ascii="宋体" w:hAnsi="宋体"/>
          <w:sz w:val="24"/>
          <w:highlight w:val="none"/>
        </w:rPr>
        <w:t>注</w:t>
      </w:r>
      <w:r>
        <w:rPr>
          <w:rFonts w:ascii="宋体" w:hAnsi="宋体"/>
          <w:sz w:val="24"/>
          <w:highlight w:val="none"/>
        </w:rPr>
        <w:t>:</w:t>
      </w:r>
      <w:r>
        <w:rPr>
          <w:rFonts w:hint="eastAsia" w:ascii="宋体" w:hAnsi="宋体"/>
          <w:sz w:val="24"/>
          <w:highlight w:val="none"/>
        </w:rPr>
        <w:t>①以上条款中有一条不符合即为不合格；</w:t>
      </w:r>
    </w:p>
    <w:p w14:paraId="177D40FB">
      <w:pPr>
        <w:adjustRightInd w:val="0"/>
        <w:snapToGrid w:val="0"/>
        <w:spacing w:line="360" w:lineRule="auto"/>
        <w:ind w:firstLine="480"/>
        <w:rPr>
          <w:rFonts w:ascii="宋体" w:hAnsi="宋体"/>
          <w:sz w:val="24"/>
          <w:highlight w:val="none"/>
        </w:rPr>
      </w:pPr>
      <w:r>
        <w:rPr>
          <w:rFonts w:hint="eastAsia" w:ascii="宋体" w:hAnsi="宋体"/>
          <w:sz w:val="24"/>
          <w:highlight w:val="none"/>
        </w:rPr>
        <w:t>②经公证部门公证的复印件和原件具有同等效力；</w:t>
      </w:r>
    </w:p>
    <w:p w14:paraId="1C5E9B97">
      <w:pPr>
        <w:adjustRightInd w:val="0"/>
        <w:snapToGrid w:val="0"/>
        <w:spacing w:line="360" w:lineRule="auto"/>
        <w:ind w:firstLine="480"/>
        <w:rPr>
          <w:rFonts w:ascii="宋体" w:hAnsi="宋体"/>
          <w:sz w:val="24"/>
          <w:highlight w:val="none"/>
        </w:rPr>
      </w:pPr>
      <w:r>
        <w:rPr>
          <w:rFonts w:hint="eastAsia" w:ascii="宋体" w:hAnsi="宋体"/>
          <w:sz w:val="24"/>
          <w:highlight w:val="none"/>
        </w:rPr>
        <w:t>③以上评审内容均应在投标文件中体现；</w:t>
      </w:r>
    </w:p>
    <w:p w14:paraId="12B247B9">
      <w:pPr>
        <w:adjustRightInd w:val="0"/>
        <w:snapToGrid w:val="0"/>
        <w:spacing w:line="360" w:lineRule="auto"/>
        <w:ind w:firstLine="480"/>
        <w:rPr>
          <w:rFonts w:ascii="宋体" w:hAnsi="宋体"/>
          <w:color w:val="auto"/>
          <w:sz w:val="24"/>
          <w:highlight w:val="none"/>
        </w:rPr>
      </w:pPr>
      <w:r>
        <w:rPr>
          <w:rFonts w:hint="eastAsia" w:ascii="宋体" w:hAnsi="宋体"/>
          <w:sz w:val="24"/>
          <w:highlight w:val="none"/>
        </w:rPr>
        <w:t>④以上所有应提交的证书原件与投标文件同一时间递交，超过投标规定截止时间外提交或补交的证书原件一</w:t>
      </w:r>
      <w:r>
        <w:rPr>
          <w:rFonts w:hint="eastAsia" w:ascii="宋体" w:hAnsi="宋体"/>
          <w:color w:val="auto"/>
          <w:sz w:val="24"/>
          <w:highlight w:val="none"/>
        </w:rPr>
        <w:t>律不再接收并评审；</w:t>
      </w:r>
    </w:p>
    <w:p w14:paraId="1E056EB4">
      <w:pPr>
        <w:adjustRightInd w:val="0"/>
        <w:snapToGrid w:val="0"/>
        <w:spacing w:line="360" w:lineRule="auto"/>
        <w:ind w:firstLine="480"/>
        <w:rPr>
          <w:rFonts w:ascii="宋体" w:hAnsi="宋体"/>
          <w:color w:val="auto"/>
          <w:sz w:val="24"/>
          <w:highlight w:val="none"/>
        </w:rPr>
      </w:pPr>
      <w:r>
        <w:rPr>
          <w:rFonts w:hint="eastAsia" w:ascii="宋体" w:hAnsi="宋体"/>
          <w:color w:val="auto"/>
          <w:sz w:val="24"/>
          <w:highlight w:val="none"/>
        </w:rPr>
        <w:t>⑤资格审查未通过的投标文件将不得进入投标报价部分的评审；</w:t>
      </w:r>
    </w:p>
    <w:p w14:paraId="5F16AA44">
      <w:pPr>
        <w:spacing w:line="360" w:lineRule="auto"/>
        <w:ind w:firstLine="412" w:firstLineChars="171"/>
        <w:rPr>
          <w:rFonts w:hint="eastAsia" w:ascii="宋体" w:hAnsi="宋体"/>
          <w:color w:val="auto"/>
          <w:sz w:val="24"/>
          <w:szCs w:val="24"/>
          <w:highlight w:val="none"/>
        </w:rPr>
      </w:pPr>
      <w:r>
        <w:rPr>
          <w:rFonts w:hint="eastAsia" w:ascii="宋体" w:hAnsi="宋体"/>
          <w:b/>
          <w:color w:val="auto"/>
          <w:sz w:val="24"/>
          <w:szCs w:val="24"/>
          <w:highlight w:val="none"/>
        </w:rPr>
        <w:t>本项目采用综合评估法，即评标的</w:t>
      </w:r>
      <w:r>
        <w:rPr>
          <w:rFonts w:hint="eastAsia" w:ascii="宋体" w:hAnsi="宋体"/>
          <w:b/>
          <w:color w:val="auto"/>
          <w:sz w:val="24"/>
          <w:szCs w:val="24"/>
          <w:highlight w:val="none"/>
          <w:lang w:val="en-US" w:eastAsia="zh-CN"/>
        </w:rPr>
        <w:t>总</w:t>
      </w:r>
      <w:r>
        <w:rPr>
          <w:rFonts w:hint="eastAsia" w:ascii="宋体" w:hAnsi="宋体"/>
          <w:b/>
          <w:color w:val="auto"/>
          <w:sz w:val="24"/>
          <w:szCs w:val="24"/>
          <w:highlight w:val="none"/>
        </w:rPr>
        <w:t>分为100分。分值构成如下</w:t>
      </w:r>
      <w:r>
        <w:rPr>
          <w:rFonts w:hint="eastAsia" w:ascii="宋体" w:hAnsi="宋体"/>
          <w:color w:val="auto"/>
          <w:sz w:val="24"/>
          <w:szCs w:val="24"/>
          <w:highlight w:val="none"/>
        </w:rPr>
        <w:t>：</w:t>
      </w:r>
    </w:p>
    <w:p w14:paraId="50A51081">
      <w:pPr>
        <w:pStyle w:val="58"/>
        <w:shd w:val="clear" w:color="auto" w:fill="auto"/>
        <w:wordWrap w:val="0"/>
        <w:adjustRightInd/>
        <w:spacing w:line="360" w:lineRule="auto"/>
        <w:ind w:firstLine="482" w:firstLineChars="2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4.1</w:t>
      </w:r>
      <w:r>
        <w:rPr>
          <w:rFonts w:hint="eastAsia" w:ascii="宋体" w:hAnsi="宋体" w:eastAsia="宋体" w:cs="宋体"/>
          <w:b/>
          <w:bCs/>
          <w:color w:val="auto"/>
          <w:sz w:val="24"/>
          <w:szCs w:val="24"/>
          <w:highlight w:val="none"/>
        </w:rPr>
        <w:t>报价部分评审</w:t>
      </w:r>
    </w:p>
    <w:p w14:paraId="547BA041">
      <w:pPr>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资格审查和符合性审查合格的，</w:t>
      </w:r>
      <w:r>
        <w:rPr>
          <w:rFonts w:hint="eastAsia" w:ascii="宋体" w:hAnsi="宋体" w:cs="宋体"/>
          <w:color w:val="auto"/>
          <w:sz w:val="24"/>
          <w:szCs w:val="24"/>
          <w:highlight w:val="none"/>
          <w:lang w:val="en-US" w:eastAsia="zh-CN"/>
        </w:rPr>
        <w:t>评审</w:t>
      </w:r>
      <w:r>
        <w:rPr>
          <w:rFonts w:hint="eastAsia" w:ascii="宋体" w:hAnsi="宋体" w:eastAsia="宋体" w:cs="宋体"/>
          <w:color w:val="auto"/>
          <w:sz w:val="24"/>
          <w:szCs w:val="24"/>
          <w:highlight w:val="none"/>
        </w:rPr>
        <w:t>其报价部分。</w:t>
      </w:r>
    </w:p>
    <w:p w14:paraId="34996E32">
      <w:pPr>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委员会</w:t>
      </w:r>
      <w:r>
        <w:rPr>
          <w:rFonts w:hint="eastAsia" w:ascii="宋体" w:hAnsi="宋体" w:eastAsia="宋体" w:cs="宋体"/>
          <w:color w:val="auto"/>
          <w:sz w:val="24"/>
          <w:szCs w:val="24"/>
          <w:highlight w:val="none"/>
        </w:rPr>
        <w:t>将对进入报价部分评审的各</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的报价部分有效性进行审查，经评审有效后，</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委员会</w:t>
      </w:r>
      <w:r>
        <w:rPr>
          <w:rFonts w:hint="eastAsia" w:ascii="宋体" w:hAnsi="宋体" w:eastAsia="宋体" w:cs="宋体"/>
          <w:color w:val="auto"/>
          <w:sz w:val="24"/>
          <w:szCs w:val="24"/>
          <w:highlight w:val="none"/>
        </w:rPr>
        <w:t>将对报价部分进行校核，看其是否有计算或表达上的错误，修正错误的原则如下：</w:t>
      </w:r>
    </w:p>
    <w:p w14:paraId="656690D6">
      <w:pPr>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文件中开标一览表（报价表）内容与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文件中相应内容不一致的，以开标一览表（报价表）为准；</w:t>
      </w:r>
    </w:p>
    <w:p w14:paraId="5A61949A">
      <w:pPr>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.2.2大写金额和小写金额不一致的，以大写金额为准；</w:t>
      </w:r>
    </w:p>
    <w:p w14:paraId="6AB704D9">
      <w:pPr>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.2.3单价金额小数点或者百分比有明显错位的，以开标一览表的总价为准，并修改单价；</w:t>
      </w:r>
    </w:p>
    <w:p w14:paraId="09F6858C">
      <w:pPr>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.2.4总价金额与按单价汇总金额不一致的，以单价金额计算结果为准。</w:t>
      </w:r>
    </w:p>
    <w:p w14:paraId="273525E6">
      <w:pPr>
        <w:shd w:val="clear" w:color="auto" w:fill="auto"/>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同时出现两种以上不一致的，按照前款规定的顺序修正。修正后的报价经</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确认后产生约束力，</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的确认应当加盖公章，或者由法定代表人或其授权的代表签字。</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的澄清、说明或者补正不得超出</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文件的范围或者改变</w:t>
      </w:r>
      <w:r>
        <w:rPr>
          <w:rFonts w:hint="eastAsia" w:ascii="宋体" w:hAnsi="宋体" w:eastAsia="宋体" w:cs="宋体"/>
          <w:color w:val="auto"/>
          <w:sz w:val="24"/>
          <w:szCs w:val="24"/>
          <w:highlight w:val="none"/>
          <w:lang w:eastAsia="zh-CN"/>
        </w:rPr>
        <w:t>投标</w:t>
      </w:r>
      <w:r>
        <w:rPr>
          <w:rFonts w:hint="eastAsia" w:ascii="宋体" w:hAnsi="宋体" w:eastAsia="宋体" w:cs="宋体"/>
          <w:color w:val="auto"/>
          <w:sz w:val="24"/>
          <w:szCs w:val="24"/>
          <w:highlight w:val="none"/>
        </w:rPr>
        <w:t>文件的实质性内容。</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不确认的，其</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无效。</w:t>
      </w:r>
    </w:p>
    <w:p w14:paraId="2ABADD30">
      <w:pPr>
        <w:shd w:val="clear" w:color="auto" w:fill="auto"/>
        <w:snapToGrid w:val="0"/>
        <w:spacing w:line="360" w:lineRule="auto"/>
        <w:ind w:firstLine="480" w:firstLineChars="200"/>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.3出现其中一种情形，按无效标处理：</w:t>
      </w:r>
    </w:p>
    <w:p w14:paraId="3DB61C51">
      <w:pPr>
        <w:pStyle w:val="22"/>
        <w:spacing w:line="360" w:lineRule="auto"/>
        <w:ind w:firstLine="482" w:firstLineChars="200"/>
        <w:rPr>
          <w:rFonts w:hint="eastAsia" w:ascii="宋体" w:hAnsi="宋体" w:eastAsia="宋体" w:cs="宋体"/>
          <w:b/>
          <w:bCs/>
          <w:color w:val="auto"/>
          <w:kern w:val="0"/>
          <w:sz w:val="24"/>
          <w:szCs w:val="24"/>
          <w:highlight w:val="none"/>
          <w:lang w:val="en-US" w:eastAsia="zh-CN" w:bidi="ar-SA"/>
        </w:rPr>
      </w:pPr>
      <w:r>
        <w:rPr>
          <w:rFonts w:hint="eastAsia"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kern w:val="0"/>
          <w:sz w:val="24"/>
          <w:szCs w:val="24"/>
          <w:highlight w:val="none"/>
          <w:lang w:val="en-US" w:eastAsia="zh-CN" w:bidi="ar-SA"/>
        </w:rPr>
        <w:t>投标报价高于最高投标限价的。</w:t>
      </w:r>
    </w:p>
    <w:p w14:paraId="14073A9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.3.2经</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委员会</w:t>
      </w:r>
      <w:r>
        <w:rPr>
          <w:rFonts w:hint="eastAsia" w:ascii="宋体" w:hAnsi="宋体" w:eastAsia="宋体" w:cs="宋体"/>
          <w:color w:val="auto"/>
          <w:sz w:val="24"/>
          <w:szCs w:val="24"/>
          <w:highlight w:val="none"/>
        </w:rPr>
        <w:t>认定低于成本的；</w:t>
      </w:r>
    </w:p>
    <w:p w14:paraId="67218B29">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.3.3经</w:t>
      </w:r>
      <w:r>
        <w:rPr>
          <w:rFonts w:hint="eastAsia" w:ascii="宋体" w:hAnsi="宋体" w:eastAsia="宋体" w:cs="宋体"/>
          <w:color w:val="auto"/>
          <w:sz w:val="24"/>
          <w:szCs w:val="24"/>
          <w:highlight w:val="none"/>
          <w:lang w:val="en-US" w:eastAsia="zh-CN"/>
        </w:rPr>
        <w:t>评标</w:t>
      </w:r>
      <w:r>
        <w:rPr>
          <w:rFonts w:hint="eastAsia" w:ascii="宋体" w:hAnsi="宋体" w:eastAsia="宋体" w:cs="宋体"/>
          <w:color w:val="auto"/>
          <w:sz w:val="24"/>
          <w:szCs w:val="24"/>
          <w:highlight w:val="none"/>
          <w:lang w:eastAsia="zh-CN"/>
        </w:rPr>
        <w:t>委员会</w:t>
      </w:r>
      <w:r>
        <w:rPr>
          <w:rFonts w:hint="eastAsia" w:ascii="宋体" w:hAnsi="宋体" w:eastAsia="宋体" w:cs="宋体"/>
          <w:color w:val="auto"/>
          <w:sz w:val="24"/>
          <w:szCs w:val="24"/>
          <w:highlight w:val="none"/>
        </w:rPr>
        <w:t>认定报价出现异常导致不能保证资金的使用效益的。</w:t>
      </w:r>
    </w:p>
    <w:p w14:paraId="43036836">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4.3.4法律、法规规定的其它情形。</w:t>
      </w:r>
    </w:p>
    <w:p w14:paraId="138FFBE6">
      <w:pPr>
        <w:snapToGrid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4.4.报价评审详细评审</w:t>
      </w:r>
      <w:r>
        <w:rPr>
          <w:rFonts w:hint="eastAsia" w:ascii="宋体" w:hAnsi="宋体" w:cs="宋体"/>
          <w:b/>
          <w:bCs/>
          <w:color w:val="auto"/>
          <w:sz w:val="24"/>
          <w:szCs w:val="24"/>
          <w:highlight w:val="none"/>
          <w:lang w:val="en-US" w:eastAsia="zh-CN"/>
        </w:rPr>
        <w:t>（满分30分）（商务评审报价）</w:t>
      </w:r>
    </w:p>
    <w:p w14:paraId="51D00BED">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以下所有涉及报价计算的结果均按四舍五入原则保留</w:t>
      </w:r>
      <w:r>
        <w:rPr>
          <w:rFonts w:hint="eastAsia" w:ascii="宋体" w:hAnsi="宋体" w:cs="宋体"/>
          <w:color w:val="auto"/>
          <w:sz w:val="24"/>
          <w:szCs w:val="24"/>
          <w:highlight w:val="none"/>
          <w:lang w:val="en-US" w:eastAsia="zh-CN"/>
        </w:rPr>
        <w:t>两</w:t>
      </w:r>
      <w:r>
        <w:rPr>
          <w:rFonts w:hint="eastAsia" w:ascii="宋体" w:hAnsi="宋体" w:eastAsia="宋体" w:cs="宋体"/>
          <w:color w:val="auto"/>
          <w:sz w:val="24"/>
          <w:szCs w:val="24"/>
          <w:highlight w:val="none"/>
          <w:lang w:val="en-US" w:eastAsia="zh-CN"/>
        </w:rPr>
        <w:t>位小数</w:t>
      </w:r>
      <w:r>
        <w:rPr>
          <w:rFonts w:hint="eastAsia" w:ascii="宋体" w:hAnsi="宋体" w:cs="宋体"/>
          <w:color w:val="auto"/>
          <w:sz w:val="24"/>
          <w:szCs w:val="24"/>
          <w:highlight w:val="none"/>
          <w:lang w:val="en-US" w:eastAsia="zh-CN"/>
        </w:rPr>
        <w:t>（特别注明的除外）</w:t>
      </w:r>
      <w:r>
        <w:rPr>
          <w:rFonts w:hint="eastAsia" w:ascii="宋体" w:hAnsi="宋体" w:eastAsia="宋体" w:cs="宋体"/>
          <w:color w:val="auto"/>
          <w:sz w:val="24"/>
          <w:szCs w:val="24"/>
          <w:highlight w:val="none"/>
          <w:lang w:val="en-US" w:eastAsia="zh-CN"/>
        </w:rPr>
        <w:t>。</w:t>
      </w:r>
    </w:p>
    <w:p w14:paraId="7A438BC8">
      <w:pPr>
        <w:snapToGrid w:val="0"/>
        <w:spacing w:line="360" w:lineRule="auto"/>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4.5</w:t>
      </w:r>
      <w:r>
        <w:rPr>
          <w:rFonts w:hint="eastAsia" w:ascii="宋体" w:hAnsi="宋体" w:eastAsia="宋体" w:cs="宋体"/>
          <w:b/>
          <w:bCs/>
          <w:color w:val="auto"/>
          <w:sz w:val="24"/>
          <w:szCs w:val="24"/>
          <w:highlight w:val="none"/>
          <w:lang w:val="en-US" w:eastAsia="zh-CN"/>
        </w:rPr>
        <w:t>套餐一</w:t>
      </w:r>
      <w:r>
        <w:rPr>
          <w:rFonts w:hint="eastAsia" w:ascii="宋体" w:hAnsi="宋体" w:cs="宋体"/>
          <w:b/>
          <w:bCs/>
          <w:color w:val="auto"/>
          <w:sz w:val="24"/>
          <w:szCs w:val="24"/>
          <w:highlight w:val="none"/>
          <w:lang w:val="en-US" w:eastAsia="zh-CN"/>
        </w:rPr>
        <w:t>报价</w:t>
      </w:r>
      <w:r>
        <w:rPr>
          <w:rFonts w:hint="eastAsia" w:ascii="宋体" w:hAnsi="宋体" w:eastAsia="宋体" w:cs="宋体"/>
          <w:b/>
          <w:bCs/>
          <w:color w:val="auto"/>
          <w:sz w:val="24"/>
          <w:szCs w:val="24"/>
          <w:highlight w:val="none"/>
          <w:lang w:val="en-US" w:eastAsia="zh-CN"/>
        </w:rPr>
        <w:t>得分（15分）：</w:t>
      </w:r>
    </w:p>
    <w:p w14:paraId="2767F4D2">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参与套餐一报价计算的范围</w:t>
      </w:r>
      <w:r>
        <w:rPr>
          <w:rFonts w:hint="eastAsia" w:ascii="宋体" w:hAnsi="宋体" w:eastAsia="宋体" w:cs="宋体"/>
          <w:color w:val="auto"/>
          <w:sz w:val="24"/>
          <w:szCs w:val="24"/>
          <w:highlight w:val="none"/>
          <w:lang w:val="en-US" w:eastAsia="zh-CN"/>
        </w:rPr>
        <w:t>：低于</w:t>
      </w:r>
      <w:r>
        <w:rPr>
          <w:rFonts w:hint="eastAsia" w:ascii="宋体" w:hAnsi="宋体" w:cs="宋体"/>
          <w:color w:val="auto"/>
          <w:sz w:val="24"/>
          <w:szCs w:val="24"/>
          <w:highlight w:val="none"/>
          <w:lang w:val="en-US" w:eastAsia="zh-CN"/>
        </w:rPr>
        <w:t>套餐一</w:t>
      </w:r>
      <w:r>
        <w:rPr>
          <w:rFonts w:hint="eastAsia" w:ascii="宋体" w:hAnsi="宋体" w:eastAsia="宋体" w:cs="宋体"/>
          <w:color w:val="auto"/>
          <w:sz w:val="24"/>
          <w:szCs w:val="24"/>
          <w:highlight w:val="none"/>
          <w:lang w:val="en-US" w:eastAsia="zh-CN"/>
        </w:rPr>
        <w:t>最高投标限价的85%或高于</w:t>
      </w:r>
      <w:r>
        <w:rPr>
          <w:rFonts w:hint="eastAsia" w:ascii="宋体" w:hAnsi="宋体" w:cs="宋体"/>
          <w:color w:val="auto"/>
          <w:sz w:val="24"/>
          <w:szCs w:val="24"/>
          <w:highlight w:val="none"/>
          <w:lang w:val="en-US" w:eastAsia="zh-CN"/>
        </w:rPr>
        <w:t>套餐一</w:t>
      </w:r>
      <w:r>
        <w:rPr>
          <w:rFonts w:hint="eastAsia" w:ascii="宋体" w:hAnsi="宋体" w:eastAsia="宋体" w:cs="宋体"/>
          <w:color w:val="auto"/>
          <w:sz w:val="24"/>
          <w:szCs w:val="24"/>
          <w:highlight w:val="none"/>
          <w:lang w:val="en-US" w:eastAsia="zh-CN"/>
        </w:rPr>
        <w:t>最高投标限价的95%的</w:t>
      </w:r>
      <w:r>
        <w:rPr>
          <w:rFonts w:hint="eastAsia" w:ascii="宋体" w:hAnsi="宋体" w:cs="宋体"/>
          <w:color w:val="auto"/>
          <w:sz w:val="24"/>
          <w:szCs w:val="24"/>
          <w:highlight w:val="none"/>
          <w:lang w:val="en-US" w:eastAsia="zh-CN"/>
        </w:rPr>
        <w:t>套餐一</w:t>
      </w:r>
      <w:r>
        <w:rPr>
          <w:rFonts w:hint="eastAsia" w:ascii="宋体" w:hAnsi="宋体" w:eastAsia="宋体" w:cs="宋体"/>
          <w:color w:val="auto"/>
          <w:sz w:val="24"/>
          <w:szCs w:val="24"/>
          <w:highlight w:val="none"/>
          <w:lang w:val="en-US" w:eastAsia="zh-CN"/>
        </w:rPr>
        <w:t>投标报价（不含本数），均不参与以下</w:t>
      </w:r>
      <w:r>
        <w:rPr>
          <w:rFonts w:hint="eastAsia" w:ascii="宋体" w:hAnsi="宋体" w:cs="宋体"/>
          <w:color w:val="auto"/>
          <w:sz w:val="24"/>
          <w:szCs w:val="24"/>
          <w:highlight w:val="none"/>
          <w:lang w:val="en-US" w:eastAsia="zh-CN"/>
        </w:rPr>
        <w:t>套餐一</w:t>
      </w:r>
      <w:r>
        <w:rPr>
          <w:rFonts w:hint="eastAsia" w:ascii="宋体" w:hAnsi="宋体" w:eastAsia="宋体" w:cs="宋体"/>
          <w:color w:val="auto"/>
          <w:sz w:val="24"/>
          <w:szCs w:val="24"/>
          <w:highlight w:val="none"/>
          <w:lang w:val="en-US" w:eastAsia="zh-CN"/>
        </w:rPr>
        <w:t>报价的平均值的计算：</w:t>
      </w:r>
    </w:p>
    <w:p w14:paraId="52DC7D67">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4.5</w:t>
      </w:r>
      <w:r>
        <w:rPr>
          <w:rFonts w:hint="eastAsia" w:ascii="宋体" w:hAnsi="宋体" w:eastAsia="宋体" w:cs="宋体"/>
          <w:color w:val="auto"/>
          <w:sz w:val="24"/>
          <w:szCs w:val="24"/>
          <w:highlight w:val="none"/>
          <w:lang w:val="en-US" w:eastAsia="zh-CN"/>
        </w:rPr>
        <w:t>.2</w:t>
      </w:r>
      <w:r>
        <w:rPr>
          <w:rFonts w:hint="eastAsia" w:ascii="宋体" w:hAnsi="宋体" w:cs="宋体"/>
          <w:color w:val="auto"/>
          <w:sz w:val="24"/>
          <w:szCs w:val="24"/>
          <w:highlight w:val="none"/>
          <w:lang w:val="en-US" w:eastAsia="zh-CN"/>
        </w:rPr>
        <w:t>评标基准值的计算：</w:t>
      </w:r>
      <w:r>
        <w:rPr>
          <w:rFonts w:hint="eastAsia" w:ascii="宋体" w:hAnsi="宋体" w:eastAsia="宋体" w:cs="宋体"/>
          <w:color w:val="auto"/>
          <w:sz w:val="24"/>
          <w:szCs w:val="24"/>
          <w:highlight w:val="none"/>
          <w:lang w:val="en-US" w:eastAsia="zh-CN"/>
        </w:rPr>
        <w:t>设通过前述各步骤评审后的所有有效</w:t>
      </w:r>
      <w:r>
        <w:rPr>
          <w:rFonts w:hint="eastAsia" w:ascii="宋体" w:hAnsi="宋体" w:cs="宋体"/>
          <w:color w:val="auto"/>
          <w:sz w:val="24"/>
          <w:szCs w:val="24"/>
          <w:highlight w:val="none"/>
          <w:lang w:val="en-US" w:eastAsia="zh-CN"/>
        </w:rPr>
        <w:t>套餐一</w:t>
      </w:r>
      <w:r>
        <w:rPr>
          <w:rFonts w:hint="eastAsia" w:ascii="宋体" w:hAnsi="宋体" w:eastAsia="宋体" w:cs="宋体"/>
          <w:color w:val="auto"/>
          <w:sz w:val="24"/>
          <w:szCs w:val="24"/>
          <w:highlight w:val="none"/>
          <w:lang w:val="en-US" w:eastAsia="zh-CN"/>
        </w:rPr>
        <w:t>投标报价取算术平均值为</w:t>
      </w:r>
      <w:r>
        <w:rPr>
          <w:rFonts w:hint="eastAsia" w:ascii="宋体" w:hAnsi="宋体" w:cs="宋体"/>
          <w:color w:val="auto"/>
          <w:sz w:val="24"/>
          <w:szCs w:val="24"/>
          <w:highlight w:val="none"/>
          <w:lang w:val="en-US" w:eastAsia="zh-CN"/>
        </w:rPr>
        <w:t>套餐一</w:t>
      </w:r>
      <w:r>
        <w:rPr>
          <w:rFonts w:hint="eastAsia" w:ascii="宋体" w:hAnsi="宋体" w:eastAsia="宋体" w:cs="宋体"/>
          <w:color w:val="auto"/>
          <w:sz w:val="24"/>
          <w:szCs w:val="24"/>
          <w:highlight w:val="none"/>
          <w:lang w:val="en-US" w:eastAsia="zh-CN"/>
        </w:rPr>
        <w:t>评标基准值B</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值；</w:t>
      </w:r>
    </w:p>
    <w:p w14:paraId="7C27B6FA">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4.5.3</w:t>
      </w:r>
      <w:bookmarkStart w:id="28" w:name="OLE_LINK1"/>
      <w:r>
        <w:rPr>
          <w:rFonts w:hint="eastAsia" w:ascii="宋体" w:hAnsi="宋体" w:cs="宋体"/>
          <w:color w:val="auto"/>
          <w:sz w:val="24"/>
          <w:szCs w:val="24"/>
          <w:highlight w:val="none"/>
          <w:lang w:val="en-US" w:eastAsia="zh-CN"/>
        </w:rPr>
        <w:t>套餐一</w:t>
      </w:r>
      <w:r>
        <w:rPr>
          <w:rFonts w:hint="eastAsia" w:ascii="宋体" w:hAnsi="宋体" w:eastAsia="宋体" w:cs="宋体"/>
          <w:color w:val="auto"/>
          <w:sz w:val="24"/>
          <w:szCs w:val="24"/>
          <w:highlight w:val="none"/>
          <w:lang w:val="en-US" w:eastAsia="zh-CN"/>
        </w:rPr>
        <w:t>投标报价等于</w:t>
      </w:r>
      <w:r>
        <w:rPr>
          <w:rFonts w:hint="eastAsia" w:ascii="宋体" w:hAnsi="宋体" w:cs="宋体"/>
          <w:color w:val="auto"/>
          <w:sz w:val="24"/>
          <w:szCs w:val="24"/>
          <w:highlight w:val="none"/>
          <w:lang w:val="en-US" w:eastAsia="zh-CN"/>
        </w:rPr>
        <w:t>B1</w:t>
      </w:r>
      <w:r>
        <w:rPr>
          <w:rFonts w:hint="eastAsia" w:ascii="宋体" w:hAnsi="宋体" w:eastAsia="宋体" w:cs="宋体"/>
          <w:color w:val="auto"/>
          <w:sz w:val="24"/>
          <w:szCs w:val="24"/>
          <w:highlight w:val="none"/>
          <w:lang w:val="en-US" w:eastAsia="zh-CN"/>
        </w:rPr>
        <w:t>值得满分15分，</w:t>
      </w:r>
      <w:r>
        <w:rPr>
          <w:rFonts w:hint="eastAsia" w:ascii="宋体" w:hAnsi="宋体" w:cs="宋体"/>
          <w:color w:val="auto"/>
          <w:sz w:val="24"/>
          <w:szCs w:val="24"/>
          <w:highlight w:val="none"/>
          <w:lang w:val="en-US" w:eastAsia="zh-CN"/>
        </w:rPr>
        <w:t>套餐一</w:t>
      </w:r>
      <w:r>
        <w:rPr>
          <w:rFonts w:hint="eastAsia" w:ascii="宋体" w:hAnsi="宋体" w:eastAsia="宋体" w:cs="宋体"/>
          <w:color w:val="auto"/>
          <w:sz w:val="24"/>
          <w:szCs w:val="24"/>
          <w:highlight w:val="none"/>
          <w:lang w:val="en-US" w:eastAsia="zh-CN"/>
        </w:rPr>
        <w:t>报价每高于B</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值1%扣0.5分，每低于B</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值1%扣0.3分，计算结果按四舍五入原则保留</w:t>
      </w:r>
      <w:r>
        <w:rPr>
          <w:rFonts w:hint="eastAsia" w:ascii="宋体" w:hAnsi="宋体" w:cs="宋体"/>
          <w:color w:val="auto"/>
          <w:sz w:val="24"/>
          <w:szCs w:val="24"/>
          <w:highlight w:val="none"/>
          <w:lang w:val="en-US" w:eastAsia="zh-CN"/>
        </w:rPr>
        <w:t>两</w:t>
      </w:r>
      <w:r>
        <w:rPr>
          <w:rFonts w:hint="eastAsia" w:ascii="宋体" w:hAnsi="宋体" w:eastAsia="宋体" w:cs="宋体"/>
          <w:color w:val="auto"/>
          <w:sz w:val="24"/>
          <w:szCs w:val="24"/>
          <w:highlight w:val="none"/>
          <w:lang w:val="en-US" w:eastAsia="zh-CN"/>
        </w:rPr>
        <w:t>位小数，计算公式为：</w:t>
      </w:r>
    </w:p>
    <w:p w14:paraId="298CF538">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套餐一投标人报价得分=</w:t>
      </w:r>
      <w:r>
        <w:rPr>
          <w:rFonts w:hint="eastAsia" w:ascii="宋体" w:hAnsi="宋体" w:eastAsia="宋体" w:cs="宋体"/>
          <w:color w:val="auto"/>
          <w:sz w:val="24"/>
          <w:szCs w:val="24"/>
          <w:highlight w:val="none"/>
          <w:lang w:val="en-US" w:eastAsia="zh-CN"/>
        </w:rPr>
        <w:t>15-|</w:t>
      </w:r>
      <w:r>
        <w:rPr>
          <w:rFonts w:hint="eastAsia" w:ascii="宋体" w:hAnsi="宋体" w:cs="宋体"/>
          <w:color w:val="auto"/>
          <w:sz w:val="24"/>
          <w:szCs w:val="24"/>
          <w:highlight w:val="none"/>
          <w:lang w:val="en-US" w:eastAsia="zh-CN"/>
        </w:rPr>
        <w:t>套餐一</w:t>
      </w:r>
      <w:r>
        <w:rPr>
          <w:rFonts w:hint="eastAsia" w:ascii="宋体" w:hAnsi="宋体" w:eastAsia="宋体" w:cs="宋体"/>
          <w:color w:val="auto"/>
          <w:sz w:val="24"/>
          <w:szCs w:val="24"/>
          <w:highlight w:val="none"/>
          <w:lang w:val="en-US" w:eastAsia="zh-CN"/>
        </w:rPr>
        <w:t>投标人报价-</w:t>
      </w:r>
      <w:r>
        <w:rPr>
          <w:rFonts w:hint="eastAsia" w:ascii="宋体" w:hAnsi="宋体" w:cs="宋体"/>
          <w:color w:val="auto"/>
          <w:sz w:val="24"/>
          <w:szCs w:val="24"/>
          <w:highlight w:val="none"/>
          <w:lang w:val="en-US" w:eastAsia="zh-CN"/>
        </w:rPr>
        <w:t>B1</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B1</w:t>
      </w:r>
      <w:r>
        <w:rPr>
          <w:rFonts w:hint="eastAsia" w:ascii="宋体" w:hAnsi="宋体" w:eastAsia="宋体" w:cs="宋体"/>
          <w:color w:val="auto"/>
          <w:sz w:val="24"/>
          <w:szCs w:val="24"/>
          <w:highlight w:val="none"/>
          <w:lang w:val="en-US" w:eastAsia="zh-CN"/>
        </w:rPr>
        <w:t>*（0.5或0.3）*100</w:t>
      </w:r>
      <w:bookmarkEnd w:id="28"/>
    </w:p>
    <w:p w14:paraId="1691345B">
      <w:pPr>
        <w:snapToGrid w:val="0"/>
        <w:spacing w:line="360" w:lineRule="auto"/>
        <w:ind w:firstLine="482"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注：套餐一报价高于套餐一最高投标限价的95%或低于套餐一最高投标限价的85%不推荐为本项目中标候选人。</w:t>
      </w:r>
    </w:p>
    <w:p w14:paraId="11C38CB4">
      <w:pPr>
        <w:snapToGrid w:val="0"/>
        <w:spacing w:line="360" w:lineRule="auto"/>
        <w:ind w:firstLine="482" w:firstLineChars="200"/>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4.6</w:t>
      </w:r>
      <w:r>
        <w:rPr>
          <w:rFonts w:hint="eastAsia" w:ascii="宋体" w:hAnsi="宋体" w:eastAsia="宋体" w:cs="宋体"/>
          <w:b/>
          <w:bCs/>
          <w:color w:val="auto"/>
          <w:sz w:val="24"/>
          <w:szCs w:val="24"/>
          <w:highlight w:val="none"/>
          <w:lang w:val="en-US" w:eastAsia="zh-CN"/>
        </w:rPr>
        <w:t>套餐二</w:t>
      </w:r>
      <w:r>
        <w:rPr>
          <w:rFonts w:hint="eastAsia" w:ascii="宋体" w:hAnsi="宋体" w:cs="宋体"/>
          <w:b/>
          <w:bCs/>
          <w:color w:val="auto"/>
          <w:sz w:val="24"/>
          <w:szCs w:val="24"/>
          <w:highlight w:val="none"/>
          <w:lang w:val="en-US" w:eastAsia="zh-CN"/>
        </w:rPr>
        <w:t>报价</w:t>
      </w:r>
      <w:r>
        <w:rPr>
          <w:rFonts w:hint="eastAsia" w:ascii="宋体" w:hAnsi="宋体" w:eastAsia="宋体" w:cs="宋体"/>
          <w:b/>
          <w:bCs/>
          <w:color w:val="auto"/>
          <w:sz w:val="24"/>
          <w:szCs w:val="24"/>
          <w:highlight w:val="none"/>
          <w:lang w:val="en-US" w:eastAsia="zh-CN"/>
        </w:rPr>
        <w:t>得分（15分）：</w:t>
      </w:r>
    </w:p>
    <w:p w14:paraId="656AA115">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4.6</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评标基准值的计算：</w:t>
      </w:r>
      <w:r>
        <w:rPr>
          <w:rFonts w:hint="eastAsia" w:ascii="宋体" w:hAnsi="宋体" w:eastAsia="宋体" w:cs="宋体"/>
          <w:color w:val="auto"/>
          <w:sz w:val="24"/>
          <w:szCs w:val="24"/>
          <w:highlight w:val="none"/>
          <w:lang w:val="en-US" w:eastAsia="zh-CN"/>
        </w:rPr>
        <w:t>设通过前述各步骤评审后的所有有效</w:t>
      </w:r>
      <w:r>
        <w:rPr>
          <w:rFonts w:hint="eastAsia" w:ascii="宋体" w:hAnsi="宋体" w:cs="宋体"/>
          <w:color w:val="auto"/>
          <w:sz w:val="24"/>
          <w:szCs w:val="24"/>
          <w:highlight w:val="none"/>
          <w:lang w:val="en-US" w:eastAsia="zh-CN"/>
        </w:rPr>
        <w:t>套餐二</w:t>
      </w:r>
      <w:r>
        <w:rPr>
          <w:rFonts w:hint="eastAsia" w:ascii="宋体" w:hAnsi="宋体" w:eastAsia="宋体" w:cs="宋体"/>
          <w:color w:val="auto"/>
          <w:sz w:val="24"/>
          <w:szCs w:val="24"/>
          <w:highlight w:val="none"/>
          <w:lang w:val="en-US" w:eastAsia="zh-CN"/>
        </w:rPr>
        <w:t>投标报价取算术平均值</w:t>
      </w:r>
      <w:r>
        <w:rPr>
          <w:rFonts w:hint="eastAsia" w:ascii="宋体" w:hAnsi="宋体" w:cs="宋体"/>
          <w:color w:val="auto"/>
          <w:sz w:val="24"/>
          <w:szCs w:val="24"/>
          <w:highlight w:val="none"/>
          <w:lang w:val="en-US" w:eastAsia="zh-CN"/>
        </w:rPr>
        <w:t>的绝对值</w:t>
      </w:r>
      <w:r>
        <w:rPr>
          <w:rFonts w:hint="eastAsia" w:ascii="宋体" w:hAnsi="宋体" w:eastAsia="宋体" w:cs="宋体"/>
          <w:color w:val="auto"/>
          <w:sz w:val="24"/>
          <w:szCs w:val="24"/>
          <w:highlight w:val="none"/>
          <w:lang w:val="en-US" w:eastAsia="zh-CN"/>
        </w:rPr>
        <w:t>为</w:t>
      </w:r>
      <w:r>
        <w:rPr>
          <w:rFonts w:hint="eastAsia" w:ascii="宋体" w:hAnsi="宋体" w:cs="宋体"/>
          <w:color w:val="auto"/>
          <w:sz w:val="24"/>
          <w:szCs w:val="24"/>
          <w:highlight w:val="none"/>
          <w:lang w:val="en-US" w:eastAsia="zh-CN"/>
        </w:rPr>
        <w:t>套餐二</w:t>
      </w:r>
      <w:r>
        <w:rPr>
          <w:rFonts w:hint="eastAsia" w:ascii="宋体" w:hAnsi="宋体" w:eastAsia="宋体" w:cs="宋体"/>
          <w:color w:val="auto"/>
          <w:sz w:val="24"/>
          <w:szCs w:val="24"/>
          <w:highlight w:val="none"/>
          <w:lang w:val="en-US" w:eastAsia="zh-CN"/>
        </w:rPr>
        <w:t>评标基准值B</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值；</w:t>
      </w:r>
    </w:p>
    <w:p w14:paraId="5FB243C6">
      <w:pPr>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4.6.2</w:t>
      </w:r>
      <w:r>
        <w:rPr>
          <w:rFonts w:hint="eastAsia" w:ascii="宋体" w:hAnsi="宋体" w:eastAsia="宋体" w:cs="宋体"/>
          <w:color w:val="auto"/>
          <w:sz w:val="24"/>
          <w:szCs w:val="24"/>
          <w:highlight w:val="none"/>
          <w:lang w:val="en-US" w:eastAsia="zh-CN"/>
        </w:rPr>
        <w:t>投标报价</w:t>
      </w:r>
      <w:r>
        <w:rPr>
          <w:rFonts w:hint="eastAsia" w:ascii="宋体" w:hAnsi="宋体" w:cs="宋体"/>
          <w:color w:val="auto"/>
          <w:sz w:val="24"/>
          <w:szCs w:val="24"/>
          <w:highlight w:val="none"/>
          <w:lang w:val="en-US" w:eastAsia="zh-CN"/>
        </w:rPr>
        <w:t>绝对值</w:t>
      </w:r>
      <w:r>
        <w:rPr>
          <w:rFonts w:hint="eastAsia" w:ascii="宋体" w:hAnsi="宋体" w:eastAsia="宋体" w:cs="宋体"/>
          <w:color w:val="auto"/>
          <w:sz w:val="24"/>
          <w:szCs w:val="24"/>
          <w:highlight w:val="none"/>
          <w:lang w:val="en-US" w:eastAsia="zh-CN"/>
        </w:rPr>
        <w:t>等于</w:t>
      </w:r>
      <w:r>
        <w:rPr>
          <w:rFonts w:hint="eastAsia" w:ascii="宋体" w:hAnsi="宋体" w:cs="宋体"/>
          <w:color w:val="auto"/>
          <w:sz w:val="24"/>
          <w:szCs w:val="24"/>
          <w:highlight w:val="none"/>
          <w:lang w:val="en-US" w:eastAsia="zh-CN"/>
        </w:rPr>
        <w:t>B2</w:t>
      </w:r>
      <w:r>
        <w:rPr>
          <w:rFonts w:hint="eastAsia" w:ascii="宋体" w:hAnsi="宋体" w:eastAsia="宋体" w:cs="宋体"/>
          <w:color w:val="auto"/>
          <w:sz w:val="24"/>
          <w:szCs w:val="24"/>
          <w:highlight w:val="none"/>
          <w:lang w:val="en-US" w:eastAsia="zh-CN"/>
        </w:rPr>
        <w:t>值得满分15分</w:t>
      </w:r>
      <w:r>
        <w:rPr>
          <w:rFonts w:hint="eastAsia" w:ascii="宋体" w:hAnsi="宋体" w:cs="宋体"/>
          <w:color w:val="auto"/>
          <w:sz w:val="24"/>
          <w:szCs w:val="24"/>
          <w:highlight w:val="none"/>
          <w:lang w:val="en-US" w:eastAsia="zh-CN"/>
        </w:rPr>
        <w:t>。套餐二</w:t>
      </w:r>
      <w:r>
        <w:rPr>
          <w:rFonts w:hint="eastAsia" w:ascii="宋体" w:hAnsi="宋体" w:eastAsia="宋体" w:cs="宋体"/>
          <w:color w:val="auto"/>
          <w:sz w:val="24"/>
          <w:szCs w:val="24"/>
          <w:highlight w:val="none"/>
          <w:lang w:val="en-US" w:eastAsia="zh-CN"/>
        </w:rPr>
        <w:t>投标报价</w:t>
      </w:r>
      <w:r>
        <w:rPr>
          <w:rFonts w:hint="eastAsia" w:ascii="宋体" w:hAnsi="宋体" w:cs="宋体"/>
          <w:color w:val="auto"/>
          <w:sz w:val="24"/>
          <w:szCs w:val="24"/>
          <w:highlight w:val="none"/>
          <w:lang w:val="en-US" w:eastAsia="zh-CN"/>
        </w:rPr>
        <w:t>绝对值</w:t>
      </w:r>
      <w:r>
        <w:rPr>
          <w:rFonts w:hint="eastAsia" w:ascii="宋体" w:hAnsi="宋体" w:eastAsia="宋体" w:cs="宋体"/>
          <w:color w:val="auto"/>
          <w:sz w:val="24"/>
          <w:szCs w:val="24"/>
          <w:highlight w:val="none"/>
          <w:lang w:val="en-US" w:eastAsia="zh-CN"/>
        </w:rPr>
        <w:t>每高于</w:t>
      </w:r>
      <w:r>
        <w:rPr>
          <w:rFonts w:hint="eastAsia" w:ascii="宋体" w:hAnsi="宋体" w:cs="宋体"/>
          <w:color w:val="auto"/>
          <w:sz w:val="24"/>
          <w:szCs w:val="24"/>
          <w:highlight w:val="none"/>
          <w:lang w:val="en-US" w:eastAsia="zh-CN"/>
        </w:rPr>
        <w:t>B2</w:t>
      </w:r>
      <w:r>
        <w:rPr>
          <w:rFonts w:hint="eastAsia" w:ascii="宋体" w:hAnsi="宋体" w:eastAsia="宋体" w:cs="宋体"/>
          <w:color w:val="auto"/>
          <w:sz w:val="24"/>
          <w:szCs w:val="24"/>
          <w:highlight w:val="none"/>
          <w:lang w:val="en-US" w:eastAsia="zh-CN"/>
        </w:rPr>
        <w:t>值1%扣0.</w:t>
      </w:r>
      <w:r>
        <w:rPr>
          <w:rFonts w:hint="eastAsia" w:ascii="宋体" w:hAnsi="宋体" w:cs="宋体"/>
          <w:color w:val="auto"/>
          <w:sz w:val="24"/>
          <w:szCs w:val="24"/>
          <w:highlight w:val="none"/>
          <w:lang w:val="en-US" w:eastAsia="zh-CN"/>
        </w:rPr>
        <w:t>03</w:t>
      </w:r>
      <w:r>
        <w:rPr>
          <w:rFonts w:hint="eastAsia" w:ascii="宋体" w:hAnsi="宋体" w:eastAsia="宋体" w:cs="宋体"/>
          <w:color w:val="auto"/>
          <w:sz w:val="24"/>
          <w:szCs w:val="24"/>
          <w:highlight w:val="none"/>
          <w:lang w:val="en-US" w:eastAsia="zh-CN"/>
        </w:rPr>
        <w:t>分，每低于</w:t>
      </w:r>
      <w:r>
        <w:rPr>
          <w:rFonts w:hint="eastAsia" w:ascii="宋体" w:hAnsi="宋体" w:cs="宋体"/>
          <w:color w:val="auto"/>
          <w:sz w:val="24"/>
          <w:szCs w:val="24"/>
          <w:highlight w:val="none"/>
          <w:lang w:val="en-US" w:eastAsia="zh-CN"/>
        </w:rPr>
        <w:t>B2</w:t>
      </w:r>
      <w:r>
        <w:rPr>
          <w:rFonts w:hint="eastAsia" w:ascii="宋体" w:hAnsi="宋体" w:eastAsia="宋体" w:cs="宋体"/>
          <w:color w:val="auto"/>
          <w:sz w:val="24"/>
          <w:szCs w:val="24"/>
          <w:highlight w:val="none"/>
          <w:lang w:val="en-US" w:eastAsia="zh-CN"/>
        </w:rPr>
        <w:t>值1%扣0.</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分，计算结果按四舍五入原则保留</w:t>
      </w:r>
      <w:r>
        <w:rPr>
          <w:rFonts w:hint="eastAsia" w:ascii="宋体" w:hAnsi="宋体" w:cs="宋体"/>
          <w:color w:val="auto"/>
          <w:sz w:val="24"/>
          <w:szCs w:val="24"/>
          <w:highlight w:val="none"/>
          <w:lang w:val="en-US" w:eastAsia="zh-CN"/>
        </w:rPr>
        <w:t>两</w:t>
      </w:r>
      <w:r>
        <w:rPr>
          <w:rFonts w:hint="eastAsia" w:ascii="宋体" w:hAnsi="宋体" w:eastAsia="宋体" w:cs="宋体"/>
          <w:color w:val="auto"/>
          <w:sz w:val="24"/>
          <w:szCs w:val="24"/>
          <w:highlight w:val="none"/>
          <w:lang w:val="en-US" w:eastAsia="zh-CN"/>
        </w:rPr>
        <w:t>位小数，计算公式为：</w:t>
      </w:r>
    </w:p>
    <w:p w14:paraId="387560AE">
      <w:pPr>
        <w:snapToGrid w:val="0"/>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套餐二投标人报价得分=</w:t>
      </w:r>
      <w:r>
        <w:rPr>
          <w:rFonts w:hint="eastAsia" w:ascii="宋体" w:hAnsi="宋体" w:eastAsia="宋体" w:cs="宋体"/>
          <w:color w:val="auto"/>
          <w:sz w:val="24"/>
          <w:szCs w:val="24"/>
          <w:highlight w:val="none"/>
          <w:lang w:val="en-US" w:eastAsia="zh-CN"/>
        </w:rPr>
        <w:t>15-||</w:t>
      </w:r>
      <w:r>
        <w:rPr>
          <w:rFonts w:hint="eastAsia" w:ascii="宋体" w:hAnsi="宋体" w:cs="宋体"/>
          <w:color w:val="auto"/>
          <w:sz w:val="24"/>
          <w:szCs w:val="24"/>
          <w:highlight w:val="none"/>
          <w:lang w:val="en-US" w:eastAsia="zh-CN"/>
        </w:rPr>
        <w:t>套餐二</w:t>
      </w:r>
      <w:r>
        <w:rPr>
          <w:rFonts w:hint="eastAsia" w:ascii="宋体" w:hAnsi="宋体" w:eastAsia="宋体" w:cs="宋体"/>
          <w:color w:val="auto"/>
          <w:sz w:val="24"/>
          <w:szCs w:val="24"/>
          <w:highlight w:val="none"/>
          <w:lang w:val="en-US" w:eastAsia="zh-CN"/>
        </w:rPr>
        <w:t>投标人报价|-B</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|/B</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5或0.</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lang w:val="en-US" w:eastAsia="zh-CN"/>
        </w:rPr>
        <w:t>3）*10</w:t>
      </w:r>
      <w:r>
        <w:rPr>
          <w:rFonts w:hint="eastAsia" w:ascii="宋体" w:hAnsi="宋体" w:cs="宋体"/>
          <w:color w:val="auto"/>
          <w:sz w:val="24"/>
          <w:szCs w:val="24"/>
          <w:highlight w:val="none"/>
          <w:lang w:val="en-US" w:eastAsia="zh-CN"/>
        </w:rPr>
        <w:t>0。</w:t>
      </w:r>
    </w:p>
    <w:p w14:paraId="33011A16">
      <w:pPr>
        <w:snapToGrid w:val="0"/>
        <w:spacing w:line="360" w:lineRule="auto"/>
        <w:ind w:firstLine="482" w:firstLineChars="200"/>
      </w:pPr>
      <w:r>
        <w:rPr>
          <w:rFonts w:hint="eastAsia" w:ascii="宋体" w:hAnsi="宋体" w:cs="宋体"/>
          <w:b/>
          <w:bCs/>
          <w:color w:val="auto"/>
          <w:sz w:val="24"/>
          <w:szCs w:val="24"/>
          <w:highlight w:val="none"/>
          <w:lang w:val="en-US" w:eastAsia="zh-CN"/>
        </w:rPr>
        <w:t>4.6.</w:t>
      </w:r>
      <w:r>
        <w:rPr>
          <w:rFonts w:hint="eastAsia" w:ascii="宋体" w:hAnsi="宋体" w:eastAsia="宋体" w:cs="宋体"/>
          <w:b/>
          <w:bCs/>
          <w:color w:val="auto"/>
          <w:sz w:val="24"/>
          <w:szCs w:val="24"/>
          <w:highlight w:val="none"/>
          <w:lang w:val="en-US" w:eastAsia="zh-CN"/>
        </w:rPr>
        <w:t>3.按照上述计算方式分别计算套餐一和套餐二的报价得分，</w:t>
      </w:r>
      <w:r>
        <w:rPr>
          <w:rFonts w:hint="eastAsia" w:ascii="宋体" w:hAnsi="宋体" w:cs="宋体"/>
          <w:b/>
          <w:bCs/>
          <w:color w:val="auto"/>
          <w:sz w:val="24"/>
          <w:szCs w:val="24"/>
          <w:highlight w:val="none"/>
          <w:lang w:val="en-US" w:eastAsia="zh-CN"/>
        </w:rPr>
        <w:t>投标</w:t>
      </w:r>
      <w:r>
        <w:rPr>
          <w:rFonts w:hint="eastAsia" w:ascii="宋体" w:hAnsi="宋体" w:eastAsia="宋体" w:cs="宋体"/>
          <w:b/>
          <w:bCs/>
          <w:color w:val="auto"/>
          <w:sz w:val="24"/>
          <w:szCs w:val="24"/>
          <w:highlight w:val="none"/>
          <w:lang w:val="en-US" w:eastAsia="zh-CN"/>
        </w:rPr>
        <w:t>报价最终得分=套餐一</w:t>
      </w:r>
      <w:r>
        <w:rPr>
          <w:rFonts w:hint="eastAsia" w:ascii="宋体" w:hAnsi="宋体" w:cs="宋体"/>
          <w:b/>
          <w:bCs/>
          <w:color w:val="auto"/>
          <w:sz w:val="24"/>
          <w:szCs w:val="24"/>
          <w:highlight w:val="none"/>
          <w:lang w:val="en-US" w:eastAsia="zh-CN"/>
        </w:rPr>
        <w:t>报价</w:t>
      </w:r>
      <w:r>
        <w:rPr>
          <w:rFonts w:hint="eastAsia" w:ascii="宋体" w:hAnsi="宋体" w:eastAsia="宋体" w:cs="宋体"/>
          <w:b/>
          <w:bCs/>
          <w:color w:val="auto"/>
          <w:sz w:val="24"/>
          <w:szCs w:val="24"/>
          <w:highlight w:val="none"/>
          <w:lang w:val="en-US" w:eastAsia="zh-CN"/>
        </w:rPr>
        <w:t>得分+套餐二</w:t>
      </w:r>
      <w:r>
        <w:rPr>
          <w:rFonts w:hint="eastAsia" w:ascii="宋体" w:hAnsi="宋体" w:cs="宋体"/>
          <w:b/>
          <w:bCs/>
          <w:color w:val="auto"/>
          <w:sz w:val="24"/>
          <w:szCs w:val="24"/>
          <w:highlight w:val="none"/>
          <w:lang w:val="en-US" w:eastAsia="zh-CN"/>
        </w:rPr>
        <w:t>报价</w:t>
      </w:r>
      <w:r>
        <w:rPr>
          <w:rFonts w:hint="eastAsia" w:ascii="宋体" w:hAnsi="宋体" w:eastAsia="宋体" w:cs="宋体"/>
          <w:b/>
          <w:bCs/>
          <w:color w:val="auto"/>
          <w:sz w:val="24"/>
          <w:szCs w:val="24"/>
          <w:highlight w:val="none"/>
          <w:lang w:val="en-US" w:eastAsia="zh-CN"/>
        </w:rPr>
        <w:t>得分（计算结果保留</w:t>
      </w:r>
      <w:r>
        <w:rPr>
          <w:rFonts w:hint="eastAsia" w:ascii="宋体" w:hAnsi="宋体" w:cs="宋体"/>
          <w:b/>
          <w:bCs/>
          <w:color w:val="auto"/>
          <w:sz w:val="24"/>
          <w:szCs w:val="24"/>
          <w:highlight w:val="none"/>
          <w:lang w:val="en-US" w:eastAsia="zh-CN"/>
        </w:rPr>
        <w:t>两</w:t>
      </w:r>
      <w:r>
        <w:rPr>
          <w:rFonts w:hint="eastAsia" w:ascii="宋体" w:hAnsi="宋体" w:eastAsia="宋体" w:cs="宋体"/>
          <w:b/>
          <w:bCs/>
          <w:color w:val="auto"/>
          <w:sz w:val="24"/>
          <w:szCs w:val="24"/>
          <w:highlight w:val="none"/>
          <w:lang w:val="en-US" w:eastAsia="zh-CN"/>
        </w:rPr>
        <w:t>位小数，第</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位四舍五入）。</w:t>
      </w:r>
    </w:p>
    <w:p w14:paraId="4221125A">
      <w:pPr>
        <w:pStyle w:val="82"/>
        <w:ind w:firstLine="482"/>
        <w:rPr>
          <w:rFonts w:hint="default" w:ascii="宋体" w:hAnsi="宋体"/>
          <w:b/>
          <w:bCs/>
          <w:color w:val="auto"/>
          <w:sz w:val="24"/>
          <w:szCs w:val="24"/>
          <w:highlight w:val="none"/>
        </w:rPr>
      </w:pPr>
      <w:r>
        <w:rPr>
          <w:rFonts w:ascii="宋体" w:hAnsi="宋体"/>
          <w:b/>
          <w:bCs/>
          <w:color w:val="auto"/>
          <w:sz w:val="24"/>
          <w:szCs w:val="24"/>
          <w:highlight w:val="none"/>
        </w:rPr>
        <w:t>4.</w:t>
      </w:r>
      <w:r>
        <w:rPr>
          <w:rFonts w:hint="eastAsia" w:ascii="宋体" w:hAnsi="宋体"/>
          <w:b/>
          <w:bCs/>
          <w:color w:val="auto"/>
          <w:sz w:val="24"/>
          <w:szCs w:val="24"/>
          <w:highlight w:val="none"/>
          <w:lang w:val="en-US" w:eastAsia="zh-CN"/>
        </w:rPr>
        <w:t>7</w:t>
      </w:r>
      <w:r>
        <w:rPr>
          <w:rFonts w:ascii="宋体" w:hAnsi="宋体"/>
          <w:b/>
          <w:bCs/>
          <w:color w:val="auto"/>
          <w:sz w:val="24"/>
          <w:szCs w:val="24"/>
          <w:highlight w:val="none"/>
        </w:rPr>
        <w:t>技术标评分表（满分</w:t>
      </w:r>
      <w:r>
        <w:rPr>
          <w:rFonts w:hint="eastAsia" w:ascii="宋体" w:hAnsi="宋体"/>
          <w:b/>
          <w:bCs/>
          <w:color w:val="auto"/>
          <w:sz w:val="24"/>
          <w:szCs w:val="24"/>
          <w:highlight w:val="none"/>
          <w:lang w:val="en-US" w:eastAsia="zh-CN"/>
        </w:rPr>
        <w:t>70</w:t>
      </w:r>
      <w:r>
        <w:rPr>
          <w:rFonts w:ascii="宋体" w:hAnsi="宋体"/>
          <w:b/>
          <w:bCs/>
          <w:color w:val="auto"/>
          <w:sz w:val="24"/>
          <w:szCs w:val="24"/>
          <w:highlight w:val="none"/>
        </w:rPr>
        <w:t>分）</w:t>
      </w:r>
    </w:p>
    <w:tbl>
      <w:tblPr>
        <w:tblStyle w:val="32"/>
        <w:tblW w:w="92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211"/>
        <w:gridCol w:w="7271"/>
      </w:tblGrid>
      <w:tr w14:paraId="42677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05411684">
            <w:pPr>
              <w:adjustRightInd w:val="0"/>
              <w:snapToGrid w:val="0"/>
              <w:spacing w:before="100" w:beforeAutospacing="1" w:after="100" w:afterAutospacing="1"/>
              <w:jc w:val="center"/>
              <w:rPr>
                <w:rFonts w:ascii="宋体" w:hAnsi="宋体"/>
                <w:b/>
                <w:color w:val="auto"/>
                <w:sz w:val="24"/>
                <w:szCs w:val="24"/>
                <w:highlight w:val="none"/>
              </w:rPr>
            </w:pPr>
            <w:r>
              <w:rPr>
                <w:rFonts w:hint="eastAsia" w:ascii="宋体" w:hAnsi="宋体"/>
                <w:b/>
                <w:color w:val="auto"/>
                <w:sz w:val="24"/>
                <w:szCs w:val="24"/>
                <w:highlight w:val="none"/>
              </w:rPr>
              <w:t>序号</w:t>
            </w:r>
          </w:p>
        </w:tc>
        <w:tc>
          <w:tcPr>
            <w:tcW w:w="1211" w:type="dxa"/>
            <w:tcBorders>
              <w:top w:val="single" w:color="auto" w:sz="4" w:space="0"/>
              <w:left w:val="nil"/>
              <w:bottom w:val="single" w:color="auto" w:sz="4" w:space="0"/>
              <w:right w:val="single" w:color="auto" w:sz="4" w:space="0"/>
            </w:tcBorders>
            <w:vAlign w:val="bottom"/>
          </w:tcPr>
          <w:p w14:paraId="5BF56851">
            <w:pPr>
              <w:adjustRightInd w:val="0"/>
              <w:snapToGrid w:val="0"/>
              <w:spacing w:before="100" w:beforeAutospacing="1" w:after="100" w:afterAutospacing="1"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评分因素</w:t>
            </w:r>
          </w:p>
        </w:tc>
        <w:tc>
          <w:tcPr>
            <w:tcW w:w="7271" w:type="dxa"/>
            <w:tcBorders>
              <w:top w:val="single" w:color="auto" w:sz="4" w:space="0"/>
              <w:left w:val="single" w:color="auto" w:sz="4" w:space="0"/>
              <w:bottom w:val="single" w:color="auto" w:sz="4" w:space="0"/>
              <w:right w:val="single" w:color="auto" w:sz="4" w:space="0"/>
            </w:tcBorders>
            <w:vAlign w:val="bottom"/>
          </w:tcPr>
          <w:p w14:paraId="3293A881">
            <w:pPr>
              <w:adjustRightInd w:val="0"/>
              <w:snapToGrid w:val="0"/>
              <w:spacing w:before="100" w:beforeAutospacing="1" w:after="100" w:afterAutospacing="1"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评审标准</w:t>
            </w:r>
          </w:p>
        </w:tc>
      </w:tr>
      <w:tr w14:paraId="23FBF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935D0AF">
            <w:pPr>
              <w:jc w:val="center"/>
              <w:rPr>
                <w:rFonts w:ascii="宋体" w:hAnsi="宋体"/>
                <w:b w:val="0"/>
                <w:bCs w:val="0"/>
                <w:color w:val="auto"/>
                <w:spacing w:val="-12"/>
                <w:sz w:val="24"/>
                <w:szCs w:val="24"/>
                <w:highlight w:val="none"/>
              </w:rPr>
            </w:pPr>
            <w:r>
              <w:rPr>
                <w:rFonts w:hint="eastAsia" w:ascii="宋体" w:hAnsi="宋体"/>
                <w:b w:val="0"/>
                <w:bCs w:val="0"/>
                <w:color w:val="auto"/>
                <w:spacing w:val="-12"/>
                <w:sz w:val="24"/>
                <w:szCs w:val="24"/>
                <w:highlight w:val="none"/>
              </w:rPr>
              <w:t>1</w:t>
            </w:r>
          </w:p>
        </w:tc>
        <w:tc>
          <w:tcPr>
            <w:tcW w:w="1211" w:type="dxa"/>
            <w:tcBorders>
              <w:top w:val="single" w:color="auto" w:sz="4" w:space="0"/>
              <w:left w:val="nil"/>
              <w:bottom w:val="single" w:color="auto" w:sz="4" w:space="0"/>
              <w:right w:val="single" w:color="auto" w:sz="4" w:space="0"/>
            </w:tcBorders>
            <w:vAlign w:val="center"/>
          </w:tcPr>
          <w:p w14:paraId="075CEF73">
            <w:pPr>
              <w:spacing w:line="240" w:lineRule="auto"/>
              <w:jc w:val="center"/>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企业</w:t>
            </w:r>
            <w:r>
              <w:rPr>
                <w:rFonts w:hint="eastAsia" w:ascii="宋体" w:hAnsi="宋体" w:eastAsia="宋体" w:cs="宋体"/>
                <w:b w:val="0"/>
                <w:bCs/>
                <w:color w:val="auto"/>
                <w:sz w:val="24"/>
                <w:szCs w:val="24"/>
                <w:highlight w:val="none"/>
              </w:rPr>
              <w:t>业绩（</w:t>
            </w: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0</w:t>
            </w:r>
            <w:r>
              <w:rPr>
                <w:rFonts w:hint="eastAsia" w:ascii="宋体" w:hAnsi="宋体" w:eastAsia="宋体" w:cs="宋体"/>
                <w:b w:val="0"/>
                <w:bCs/>
                <w:color w:val="auto"/>
                <w:sz w:val="24"/>
                <w:szCs w:val="24"/>
                <w:highlight w:val="none"/>
              </w:rPr>
              <w:t>分）</w:t>
            </w:r>
          </w:p>
        </w:tc>
        <w:tc>
          <w:tcPr>
            <w:tcW w:w="7271" w:type="dxa"/>
            <w:tcBorders>
              <w:top w:val="single" w:color="auto" w:sz="4" w:space="0"/>
              <w:left w:val="single" w:color="auto" w:sz="4" w:space="0"/>
              <w:bottom w:val="single" w:color="auto" w:sz="4" w:space="0"/>
              <w:right w:val="single" w:color="auto" w:sz="4" w:space="0"/>
            </w:tcBorders>
            <w:vAlign w:val="center"/>
          </w:tcPr>
          <w:p w14:paraId="39CCBE93">
            <w:pPr>
              <w:spacing w:line="240" w:lineRule="auto"/>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自2020年11月1日至开标截止之日，承接过≥5500兆瓦时/年电力销售服务项目的，每提供一份合同得5分，最高得10分。</w:t>
            </w:r>
          </w:p>
          <w:p w14:paraId="58E96F4A">
            <w:pPr>
              <w:spacing w:line="240" w:lineRule="auto"/>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注：1.业绩时间以合同签订时间为准，业绩合同如不能反映评审内容的，应同时提供业主证明材料复印件。</w:t>
            </w:r>
          </w:p>
          <w:p w14:paraId="11520EF8">
            <w:pPr>
              <w:spacing w:line="240" w:lineRule="auto"/>
              <w:ind w:firstLine="480" w:firstLineChars="200"/>
              <w:jc w:val="lef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2.可与招标公告要求的资格业绩重复。</w:t>
            </w:r>
          </w:p>
        </w:tc>
      </w:tr>
      <w:tr w14:paraId="1D12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1FBE47A6">
            <w:pPr>
              <w:pStyle w:val="30"/>
              <w:shd w:val="clear" w:color="auto" w:fill="FFFFFF"/>
              <w:adjustRightInd w:val="0"/>
              <w:snapToGrid w:val="0"/>
              <w:jc w:val="center"/>
              <w:rPr>
                <w:rFonts w:hint="eastAsia" w:ascii="宋体" w:hAnsi="宋体" w:eastAsia="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2</w:t>
            </w:r>
          </w:p>
        </w:tc>
        <w:tc>
          <w:tcPr>
            <w:tcW w:w="1211" w:type="dxa"/>
            <w:tcBorders>
              <w:top w:val="single" w:color="auto" w:sz="4" w:space="0"/>
              <w:left w:val="nil"/>
              <w:bottom w:val="single" w:color="auto" w:sz="4" w:space="0"/>
              <w:right w:val="single" w:color="auto" w:sz="4" w:space="0"/>
            </w:tcBorders>
            <w:vAlign w:val="center"/>
          </w:tcPr>
          <w:p w14:paraId="3D6D63A7">
            <w:pPr>
              <w:jc w:val="center"/>
              <w:rPr>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lang w:val="en-US" w:eastAsia="zh-CN"/>
              </w:rPr>
              <w:t>综合实力</w:t>
            </w:r>
            <w:r>
              <w:rPr>
                <w:rFonts w:hint="eastAsia" w:ascii="宋体" w:hAnsi="宋体" w:eastAsia="宋体" w:cs="宋体"/>
                <w:color w:val="auto"/>
                <w:kern w:val="0"/>
                <w:sz w:val="24"/>
                <w:szCs w:val="24"/>
                <w:highlight w:val="none"/>
              </w:rPr>
              <w:t>（</w:t>
            </w:r>
            <w:r>
              <w:rPr>
                <w:rFonts w:hint="eastAsia" w:ascii="宋体" w:hAnsi="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分）</w:t>
            </w:r>
          </w:p>
        </w:tc>
        <w:tc>
          <w:tcPr>
            <w:tcW w:w="7271" w:type="dxa"/>
            <w:tcBorders>
              <w:top w:val="single" w:color="auto" w:sz="4" w:space="0"/>
              <w:left w:val="nil"/>
              <w:bottom w:val="single" w:color="auto" w:sz="4" w:space="0"/>
              <w:right w:val="single" w:color="auto" w:sz="4" w:space="0"/>
            </w:tcBorders>
            <w:vAlign w:val="center"/>
          </w:tcPr>
          <w:p w14:paraId="4A7533E6">
            <w:pPr>
              <w:pStyle w:val="92"/>
              <w:spacing w:line="24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自2020年11月1日至开标截止之日，投标人在安徽电力交易中心的信用评级进行评分，满分5分：</w:t>
            </w:r>
          </w:p>
          <w:p w14:paraId="507E7F4C">
            <w:pPr>
              <w:pStyle w:val="92"/>
              <w:spacing w:line="24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投标人获得AA级及以上的，得5分；</w:t>
            </w:r>
          </w:p>
          <w:p w14:paraId="2E0C4B22">
            <w:pPr>
              <w:pStyle w:val="92"/>
              <w:spacing w:line="240" w:lineRule="auto"/>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投标人获得A级的，得3分；</w:t>
            </w:r>
          </w:p>
          <w:p w14:paraId="5F25FBB6">
            <w:pPr>
              <w:pStyle w:val="92"/>
              <w:spacing w:line="240" w:lineRule="auto"/>
              <w:ind w:firstLine="480" w:firstLineChars="20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投标人获得A级以下的，得1分。</w:t>
            </w:r>
          </w:p>
          <w:p w14:paraId="0FA5B077">
            <w:pPr>
              <w:ind w:firstLine="480" w:firstLineChars="200"/>
              <w:jc w:val="left"/>
              <w:rPr>
                <w:rFonts w:hint="default"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注：须提供相关证明材料，并加盖公章。</w:t>
            </w:r>
            <w:r>
              <w:rPr>
                <w:rFonts w:hint="eastAsia" w:ascii="宋体" w:hAnsi="宋体" w:cs="宋体"/>
                <w:color w:val="auto"/>
                <w:sz w:val="24"/>
                <w:szCs w:val="24"/>
                <w:highlight w:val="none"/>
                <w:lang w:val="en-US" w:eastAsia="zh-CN"/>
              </w:rPr>
              <w:t>本项目仅计一次分值，提供多个信用评级的，按最高等级得分。</w:t>
            </w:r>
          </w:p>
        </w:tc>
      </w:tr>
      <w:tr w14:paraId="1CEC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4125204B">
            <w:pPr>
              <w:pStyle w:val="30"/>
              <w:shd w:val="clear" w:color="auto" w:fill="FFFFFF"/>
              <w:adjustRightInd w:val="0"/>
              <w:snapToGrid w:val="0"/>
              <w:jc w:val="center"/>
              <w:rPr>
                <w:rFonts w:hint="eastAsia" w:ascii="宋体" w:hAnsi="宋体" w:eastAsia="宋体"/>
                <w:b w:val="0"/>
                <w:bCs w:val="0"/>
                <w:color w:val="auto"/>
                <w:sz w:val="24"/>
                <w:szCs w:val="24"/>
                <w:highlight w:val="none"/>
                <w:lang w:eastAsia="zh-CN"/>
              </w:rPr>
            </w:pPr>
            <w:r>
              <w:rPr>
                <w:rFonts w:hint="eastAsia" w:ascii="宋体" w:hAnsi="宋体"/>
                <w:b w:val="0"/>
                <w:bCs w:val="0"/>
                <w:color w:val="auto"/>
                <w:sz w:val="24"/>
                <w:szCs w:val="24"/>
                <w:highlight w:val="none"/>
                <w:lang w:val="en-US" w:eastAsia="zh-CN"/>
              </w:rPr>
              <w:t>3</w:t>
            </w:r>
          </w:p>
        </w:tc>
        <w:tc>
          <w:tcPr>
            <w:tcW w:w="1211" w:type="dxa"/>
            <w:tcBorders>
              <w:top w:val="single" w:color="auto" w:sz="4" w:space="0"/>
              <w:left w:val="nil"/>
              <w:bottom w:val="single" w:color="auto" w:sz="4" w:space="0"/>
              <w:right w:val="single" w:color="auto" w:sz="4" w:space="0"/>
            </w:tcBorders>
            <w:vAlign w:val="center"/>
          </w:tcPr>
          <w:p w14:paraId="646FEF59">
            <w:pPr>
              <w:jc w:val="center"/>
              <w:rPr>
                <w:rFonts w:hint="eastAsia" w:ascii="宋体" w:hAnsi="宋体" w:eastAsia="宋体" w:cs="宋体"/>
                <w:b w:val="0"/>
                <w:bCs/>
                <w:color w:val="auto"/>
                <w:sz w:val="24"/>
                <w:szCs w:val="24"/>
                <w:highlight w:val="none"/>
                <w:lang w:eastAsia="zh-CN"/>
              </w:rPr>
            </w:pPr>
            <w:r>
              <w:rPr>
                <w:rFonts w:hint="eastAsia" w:ascii="宋体" w:hAnsi="宋体" w:eastAsia="宋体" w:cs="宋体"/>
                <w:color w:val="auto"/>
                <w:sz w:val="24"/>
                <w:szCs w:val="24"/>
                <w:highlight w:val="none"/>
                <w:lang w:val="en-US" w:eastAsia="zh-CN"/>
              </w:rPr>
              <w:t>人员配备</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10分</w:t>
            </w:r>
            <w:r>
              <w:rPr>
                <w:rFonts w:hint="eastAsia" w:ascii="宋体" w:hAnsi="宋体" w:cs="宋体"/>
                <w:b w:val="0"/>
                <w:bCs/>
                <w:color w:val="auto"/>
                <w:sz w:val="24"/>
                <w:szCs w:val="24"/>
                <w:highlight w:val="none"/>
                <w:lang w:eastAsia="zh-CN"/>
              </w:rPr>
              <w:t>）</w:t>
            </w:r>
          </w:p>
        </w:tc>
        <w:tc>
          <w:tcPr>
            <w:tcW w:w="7271" w:type="dxa"/>
            <w:tcBorders>
              <w:top w:val="single" w:color="auto" w:sz="4" w:space="0"/>
              <w:left w:val="nil"/>
              <w:bottom w:val="single" w:color="auto" w:sz="4" w:space="0"/>
              <w:right w:val="single" w:color="auto" w:sz="4" w:space="0"/>
            </w:tcBorders>
            <w:vAlign w:val="center"/>
          </w:tcPr>
          <w:p w14:paraId="39C178B6">
            <w:pPr>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拟派本项目团队成员具有机电类高级（或以上）工程师职称的，每投入一名得5分；具有机电类中级工程师职称的，每投入一名得3分；具有机电类初级工程师职称的，每投入一名得1分；本项满分为10分。</w:t>
            </w:r>
          </w:p>
          <w:p w14:paraId="1161ECBC">
            <w:pPr>
              <w:ind w:firstLine="480" w:firstLineChars="200"/>
              <w:jc w:val="left"/>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注：（1）拟派本项目团队成员同一人同时具有以上两个及以上证书的，不累计计分；</w:t>
            </w:r>
            <w:r>
              <w:rPr>
                <w:rFonts w:hint="eastAsia" w:ascii="宋体" w:hAnsi="宋体" w:eastAsia="宋体" w:cs="宋体"/>
                <w:b w:val="0"/>
                <w:bCs/>
                <w:color w:val="auto"/>
                <w:sz w:val="24"/>
                <w:szCs w:val="24"/>
                <w:highlight w:val="none"/>
                <w:lang w:val="en-US" w:eastAsia="zh-CN"/>
              </w:rPr>
              <w:br w:type="textWrapping"/>
            </w:r>
            <w:r>
              <w:rPr>
                <w:rFonts w:hint="eastAsia" w:ascii="宋体" w:hAnsi="宋体" w:eastAsia="宋体" w:cs="宋体"/>
                <w:b w:val="0"/>
                <w:bCs/>
                <w:color w:val="auto"/>
                <w:sz w:val="24"/>
                <w:szCs w:val="24"/>
                <w:highlight w:val="none"/>
                <w:lang w:val="en-US" w:eastAsia="zh-CN"/>
              </w:rPr>
              <w:t>（2）提供证书及开标前近三个月任意一个月在该投标人的社保缴纳证明复印件或扫描件加盖公章装订在投标文件中。</w:t>
            </w:r>
          </w:p>
        </w:tc>
      </w:tr>
      <w:tr w14:paraId="33E42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669C3628">
            <w:pPr>
              <w:pStyle w:val="30"/>
              <w:shd w:val="clear" w:color="auto" w:fill="FFFFFF"/>
              <w:adjustRightInd w:val="0"/>
              <w:snapToGrid w:val="0"/>
              <w:jc w:val="center"/>
              <w:rPr>
                <w:rFonts w:hint="default"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4</w:t>
            </w:r>
          </w:p>
        </w:tc>
        <w:tc>
          <w:tcPr>
            <w:tcW w:w="1211" w:type="dxa"/>
            <w:tcBorders>
              <w:top w:val="single" w:color="auto" w:sz="4" w:space="0"/>
              <w:left w:val="nil"/>
              <w:bottom w:val="single" w:color="auto" w:sz="4" w:space="0"/>
              <w:right w:val="single" w:color="auto" w:sz="4" w:space="0"/>
            </w:tcBorders>
            <w:vAlign w:val="center"/>
          </w:tcPr>
          <w:p w14:paraId="273B232E">
            <w:pPr>
              <w:jc w:val="center"/>
              <w:rPr>
                <w:rFonts w:hint="default" w:ascii="宋体" w:hAnsi="宋体" w:eastAsia="宋体" w:cs="宋体"/>
                <w:b w:val="0"/>
                <w:bCs/>
                <w:color w:val="auto"/>
                <w:sz w:val="24"/>
                <w:szCs w:val="24"/>
                <w:highlight w:val="none"/>
                <w:lang w:val="en-US"/>
              </w:rPr>
            </w:pP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方案</w:t>
            </w:r>
            <w:r>
              <w:rPr>
                <w:rFonts w:hint="eastAsia" w:ascii="宋体" w:hAnsi="宋体" w:cs="宋体"/>
                <w:b w:val="0"/>
                <w:bCs/>
                <w:color w:val="auto"/>
                <w:sz w:val="24"/>
                <w:szCs w:val="24"/>
                <w:highlight w:val="none"/>
                <w:lang w:val="en-US" w:eastAsia="zh-CN"/>
              </w:rPr>
              <w:t>（35分）</w:t>
            </w:r>
          </w:p>
        </w:tc>
        <w:tc>
          <w:tcPr>
            <w:tcW w:w="7271" w:type="dxa"/>
            <w:tcBorders>
              <w:top w:val="single" w:color="auto" w:sz="4" w:space="0"/>
              <w:left w:val="nil"/>
              <w:bottom w:val="single" w:color="auto" w:sz="4" w:space="0"/>
              <w:right w:val="single" w:color="auto" w:sz="4" w:space="0"/>
            </w:tcBorders>
            <w:vAlign w:val="center"/>
          </w:tcPr>
          <w:p w14:paraId="76813549">
            <w:pPr>
              <w:ind w:firstLine="482" w:firstLineChars="200"/>
              <w:jc w:val="left"/>
              <w:rPr>
                <w:rFonts w:hint="eastAsia" w:ascii="宋体" w:hAnsi="宋体" w:eastAsia="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lang w:val="en-US" w:eastAsia="zh-CN"/>
              </w:rPr>
              <w:t>根据</w:t>
            </w:r>
            <w:r>
              <w:rPr>
                <w:rFonts w:hint="eastAsia" w:ascii="宋体" w:hAnsi="宋体" w:cs="宋体"/>
                <w:b/>
                <w:bCs w:val="0"/>
                <w:color w:val="auto"/>
                <w:sz w:val="24"/>
                <w:szCs w:val="24"/>
                <w:highlight w:val="none"/>
                <w:lang w:val="en-US" w:eastAsia="zh-CN"/>
              </w:rPr>
              <w:t>投标人</w:t>
            </w:r>
            <w:r>
              <w:rPr>
                <w:rFonts w:hint="eastAsia" w:ascii="宋体" w:hAnsi="宋体" w:eastAsia="宋体" w:cs="宋体"/>
                <w:b/>
                <w:bCs w:val="0"/>
                <w:color w:val="auto"/>
                <w:sz w:val="24"/>
                <w:szCs w:val="24"/>
                <w:highlight w:val="none"/>
                <w:lang w:val="en-US" w:eastAsia="zh-CN"/>
              </w:rPr>
              <w:t>提供的整体方案进行综合评审：</w:t>
            </w:r>
          </w:p>
          <w:p w14:paraId="7DC2DEE8">
            <w:pPr>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（1）对本项目工作理解透彻、全面（涵盖电力市场行情研判、用户用电负荷精准预测、购售电价格策略制定、政策合规风险管控、用户用电成本优化、售后用电服务响应等核心重点），得5分；</w:t>
            </w:r>
          </w:p>
          <w:p w14:paraId="49CED86B">
            <w:pPr>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（2）对本项目工作重点理解基本透彻、基本全面（覆盖市场研判、价格策略、合规管控、用户服务等主要重点，无核心重点缺失），得3分；</w:t>
            </w:r>
          </w:p>
          <w:p w14:paraId="2BB0CEE2">
            <w:pPr>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（3）对本项目工作重点理解不够透彻、不够全面（仅覆盖市场研判、价格策略等部分重点，缺失合规管控、用户负荷优化等关键内容），得1分；</w:t>
            </w:r>
          </w:p>
          <w:p w14:paraId="60D24169">
            <w:pPr>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（4）未提供方案不得分。</w:t>
            </w:r>
          </w:p>
          <w:p w14:paraId="4267ECC5">
            <w:pPr>
              <w:ind w:firstLine="482" w:firstLineChars="20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2、根据</w:t>
            </w:r>
            <w:r>
              <w:rPr>
                <w:rFonts w:hint="eastAsia" w:ascii="宋体" w:hAnsi="宋体" w:cs="宋体"/>
                <w:b/>
                <w:bCs w:val="0"/>
                <w:color w:val="auto"/>
                <w:sz w:val="24"/>
                <w:szCs w:val="24"/>
                <w:highlight w:val="none"/>
                <w:lang w:val="en-US" w:eastAsia="zh-CN"/>
              </w:rPr>
              <w:t>投标人</w:t>
            </w:r>
            <w:r>
              <w:rPr>
                <w:rFonts w:hint="eastAsia" w:ascii="宋体" w:hAnsi="宋体" w:eastAsia="宋体" w:cs="宋体"/>
                <w:b/>
                <w:bCs w:val="0"/>
                <w:color w:val="auto"/>
                <w:sz w:val="24"/>
                <w:szCs w:val="24"/>
                <w:highlight w:val="none"/>
                <w:lang w:val="en-US" w:eastAsia="zh-CN"/>
              </w:rPr>
              <w:t>对本项目工作重点、难点的分析与对策进行综合评审：</w:t>
            </w:r>
          </w:p>
          <w:p w14:paraId="77383C0F">
            <w:pPr>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（1）对本项目工作重点理解透彻、全面，对难点的把握精确，针对项目实施中重点和难点有完整的解决方案的，得5分；</w:t>
            </w:r>
          </w:p>
          <w:p w14:paraId="1E1758E4">
            <w:pPr>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（2）对本项目工作重点理解基本透彻、基本全面，对难点的把握基本精确，针对项目实施中重点和难点有基本完整的解决方案的，得3分；</w:t>
            </w:r>
          </w:p>
          <w:p w14:paraId="24189797">
            <w:pPr>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（3）对本项目工作重点理解不够透彻、不够全面，对重难点的把握有偏差，针对项目实施中重点和难点的解决方案待进一步完善的，得1分；</w:t>
            </w:r>
          </w:p>
          <w:p w14:paraId="019DA0F0">
            <w:pPr>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（4）未提供方案不得分。</w:t>
            </w:r>
          </w:p>
          <w:p w14:paraId="31C066DC">
            <w:pPr>
              <w:ind w:firstLine="482"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3、根据</w:t>
            </w:r>
            <w:r>
              <w:rPr>
                <w:rFonts w:hint="eastAsia" w:ascii="宋体" w:hAnsi="宋体" w:cs="宋体"/>
                <w:b/>
                <w:bCs w:val="0"/>
                <w:color w:val="auto"/>
                <w:sz w:val="24"/>
                <w:szCs w:val="24"/>
                <w:highlight w:val="none"/>
                <w:lang w:val="en-US" w:eastAsia="zh-CN"/>
              </w:rPr>
              <w:t>投标人</w:t>
            </w:r>
            <w:r>
              <w:rPr>
                <w:rFonts w:hint="eastAsia" w:ascii="宋体" w:hAnsi="宋体" w:eastAsia="宋体" w:cs="宋体"/>
                <w:b/>
                <w:bCs w:val="0"/>
                <w:color w:val="auto"/>
                <w:sz w:val="24"/>
                <w:szCs w:val="24"/>
                <w:highlight w:val="none"/>
                <w:lang w:val="en-US" w:eastAsia="zh-CN"/>
              </w:rPr>
              <w:t>提交的项目管理人员配置方案</w:t>
            </w:r>
            <w:r>
              <w:rPr>
                <w:rFonts w:hint="eastAsia" w:ascii="宋体" w:hAnsi="宋体" w:eastAsia="宋体" w:cs="宋体"/>
                <w:b w:val="0"/>
                <w:bCs/>
                <w:color w:val="auto"/>
                <w:sz w:val="24"/>
                <w:szCs w:val="24"/>
                <w:highlight w:val="none"/>
                <w:lang w:val="en-US" w:eastAsia="zh-CN"/>
              </w:rPr>
              <w:t>（含人员数量、岗位设置、专业背景、分工安排）进行综合评审：（1）人员配置与售电项目规模、业务复杂度完全匹配（如市场研判岗、负荷预测岗、合规风控岗、用户服务岗等关键岗位无缺失，人员数量满足全周期管理需求），得5分；</w:t>
            </w:r>
          </w:p>
          <w:p w14:paraId="60BA3AEE">
            <w:pPr>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（2）人员配置基本匹配项目需求（关键岗位完整，仅次要辅助岗位人员数量略有不足），得3分；</w:t>
            </w:r>
          </w:p>
          <w:p w14:paraId="0E1AC046">
            <w:pPr>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（3）人员配置与项目需求匹配度低（关键岗位如负荷预测岗、合规风控岗缺失，或人员数量严重不足），得1分；</w:t>
            </w:r>
          </w:p>
          <w:p w14:paraId="317E6AE7">
            <w:pPr>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（4）未提供方案不得分。</w:t>
            </w:r>
          </w:p>
          <w:p w14:paraId="4E55A906">
            <w:pPr>
              <w:ind w:firstLine="482"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4、根据</w:t>
            </w:r>
            <w:r>
              <w:rPr>
                <w:rFonts w:hint="eastAsia" w:ascii="宋体" w:hAnsi="宋体" w:cs="宋体"/>
                <w:b/>
                <w:bCs w:val="0"/>
                <w:color w:val="auto"/>
                <w:sz w:val="24"/>
                <w:szCs w:val="24"/>
                <w:highlight w:val="none"/>
                <w:lang w:val="en-US" w:eastAsia="zh-CN"/>
              </w:rPr>
              <w:t>投标人</w:t>
            </w:r>
            <w:r>
              <w:rPr>
                <w:rFonts w:hint="eastAsia" w:ascii="宋体" w:hAnsi="宋体" w:eastAsia="宋体" w:cs="宋体"/>
                <w:b/>
                <w:bCs w:val="0"/>
                <w:color w:val="auto"/>
                <w:sz w:val="24"/>
                <w:szCs w:val="24"/>
                <w:highlight w:val="none"/>
                <w:lang w:val="en-US" w:eastAsia="zh-CN"/>
              </w:rPr>
              <w:t>提供的应急方案</w:t>
            </w:r>
            <w:r>
              <w:rPr>
                <w:rFonts w:hint="eastAsia" w:ascii="宋体" w:hAnsi="宋体" w:eastAsia="宋体" w:cs="宋体"/>
                <w:b w:val="0"/>
                <w:bCs/>
                <w:color w:val="auto"/>
                <w:sz w:val="24"/>
                <w:szCs w:val="24"/>
                <w:highlight w:val="none"/>
                <w:lang w:val="en-US" w:eastAsia="zh-CN"/>
              </w:rPr>
              <w:t>（包括但不限于应急服务内容、应急处理程序、应急预案</w:t>
            </w:r>
            <w:r>
              <w:rPr>
                <w:rFonts w:hint="eastAsia" w:ascii="宋体" w:hAnsi="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CN"/>
              </w:rPr>
              <w:t>用电高峰的电力保障、特殊情况下的电力调度等内容）进行综合评审：（1）投标人方案贴近实际，流程简介且提供的方案合理，可操作性极强，完全满足并优于项目需求的，得5分；</w:t>
            </w:r>
          </w:p>
          <w:p w14:paraId="1A97F150">
            <w:pPr>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（2）投标人方案较贴近实际、流程较简介、方案较合理、较能满足项目需求的，得3分；</w:t>
            </w:r>
          </w:p>
          <w:p w14:paraId="63A440CD">
            <w:pPr>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（3）投标人方案不太符合实际情况、流程繁琐、方案不太合理、不能完全满足项目需求的，得1分；</w:t>
            </w:r>
          </w:p>
          <w:p w14:paraId="04E97A45">
            <w:pPr>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（4）未提供方案不得分。</w:t>
            </w:r>
          </w:p>
          <w:p w14:paraId="2EB5AE92">
            <w:pPr>
              <w:ind w:firstLine="482"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5、根据</w:t>
            </w:r>
            <w:r>
              <w:rPr>
                <w:rFonts w:hint="eastAsia" w:ascii="宋体" w:hAnsi="宋体" w:cs="宋体"/>
                <w:b/>
                <w:bCs w:val="0"/>
                <w:color w:val="auto"/>
                <w:sz w:val="24"/>
                <w:szCs w:val="24"/>
                <w:highlight w:val="none"/>
                <w:lang w:val="en-US" w:eastAsia="zh-CN"/>
              </w:rPr>
              <w:t>投标人</w:t>
            </w:r>
            <w:r>
              <w:rPr>
                <w:rFonts w:hint="eastAsia" w:ascii="宋体" w:hAnsi="宋体" w:eastAsia="宋体" w:cs="宋体"/>
                <w:b/>
                <w:bCs w:val="0"/>
                <w:color w:val="auto"/>
                <w:sz w:val="24"/>
                <w:szCs w:val="24"/>
                <w:highlight w:val="none"/>
                <w:lang w:val="en-US" w:eastAsia="zh-CN"/>
              </w:rPr>
              <w:t>提供的安全、文明作业方案</w:t>
            </w:r>
            <w:r>
              <w:rPr>
                <w:rFonts w:hint="eastAsia" w:ascii="宋体" w:hAnsi="宋体" w:eastAsia="宋体" w:cs="宋体"/>
                <w:b w:val="0"/>
                <w:bCs/>
                <w:color w:val="auto"/>
                <w:sz w:val="24"/>
                <w:szCs w:val="24"/>
                <w:highlight w:val="none"/>
                <w:lang w:val="en-US" w:eastAsia="zh-CN"/>
              </w:rPr>
              <w:t>（包括但不限于安全文明规则制度、安全文明作业、安全文明管理要求等内容）进行综合评审：</w:t>
            </w:r>
          </w:p>
          <w:p w14:paraId="2A7F5365">
            <w:pPr>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（1）投标人方案分析透彻、针对性强、有创新性且提供的方案合理，可操作性极强，完全满足并优于项目需求的，得5分；</w:t>
            </w:r>
          </w:p>
          <w:p w14:paraId="682AA19E">
            <w:pPr>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（2）投标人方案分析较清晰、较有针对性、方案较合理、较能满足项目需求的，得3分；</w:t>
            </w:r>
          </w:p>
          <w:p w14:paraId="1A4D7293">
            <w:pPr>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（3）投标人方案分析一般清晰、针对性一般、方案不太合理、不能满足项目需求的，得1分；</w:t>
            </w:r>
          </w:p>
          <w:p w14:paraId="01DBF233">
            <w:pPr>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（4）未提供方案不得分。</w:t>
            </w:r>
          </w:p>
          <w:p w14:paraId="3B23C9EC">
            <w:pPr>
              <w:ind w:firstLine="482"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6、根据投标人提供的能源管理咨询服务</w:t>
            </w:r>
            <w:r>
              <w:rPr>
                <w:rFonts w:hint="eastAsia" w:ascii="宋体" w:hAnsi="宋体" w:eastAsia="宋体" w:cs="宋体"/>
                <w:b w:val="0"/>
                <w:bCs/>
                <w:color w:val="auto"/>
                <w:sz w:val="24"/>
                <w:szCs w:val="24"/>
                <w:highlight w:val="none"/>
                <w:lang w:val="en-US" w:eastAsia="zh-CN"/>
              </w:rPr>
              <w:t>（包括但不限于提供用电效率分析，挖掘节能潜力，给出节能改造建议助力客户降低能耗与成本等内容）进行综合评审：</w:t>
            </w:r>
          </w:p>
          <w:p w14:paraId="3CCB6436">
            <w:pPr>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（1）投标人方案分析透彻、有创新的节能技术应用或独特的能源管理理念且提供的方案合理，完全满足并优于项目需求的，得5分；</w:t>
            </w:r>
          </w:p>
          <w:p w14:paraId="05489C23">
            <w:pPr>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（2）投标人方案分析较清晰、有实施过节能技术应用或较独特的能源管理理念且提供的方案较合理、较能满足项目需求的，得3分；</w:t>
            </w:r>
          </w:p>
          <w:p w14:paraId="4ABA8172">
            <w:pPr>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（3）投标人方案分析一般清晰、没有创新的节能技术应用或独特的能源管理理念、方案不太合理、不能满足项目需求的，得1分；</w:t>
            </w:r>
          </w:p>
          <w:p w14:paraId="747713D4">
            <w:pPr>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（4）未提供方案不得分。</w:t>
            </w:r>
          </w:p>
          <w:p w14:paraId="2CE1FC34">
            <w:pPr>
              <w:ind w:firstLine="482"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7、根据投标人提供的售后服务方案</w:t>
            </w:r>
            <w:r>
              <w:rPr>
                <w:rFonts w:hint="eastAsia" w:ascii="宋体" w:hAnsi="宋体" w:eastAsia="宋体" w:cs="宋体"/>
                <w:b w:val="0"/>
                <w:bCs/>
                <w:color w:val="auto"/>
                <w:sz w:val="24"/>
                <w:szCs w:val="24"/>
                <w:highlight w:val="none"/>
                <w:lang w:val="en-US" w:eastAsia="zh-CN"/>
              </w:rPr>
              <w:t>（包括但不限于服务响应时间、服务能力、便利程度等方面）进行综合评审：（1）</w:t>
            </w: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lang w:val="en-US" w:eastAsia="zh-CN"/>
              </w:rPr>
              <w:t>方案履约服务能力好、机构的稳定性高、服务的便捷性强，优于并满足用户要求，得5分；</w:t>
            </w:r>
          </w:p>
          <w:p w14:paraId="5DD28A5D">
            <w:pPr>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w:t>
            </w: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lang w:val="en-US" w:eastAsia="zh-CN"/>
              </w:rPr>
              <w:t>方案履约服务能力较好、机构的稳定性较高、服务的便捷性较强，基本符合用户要求，得3分；</w:t>
            </w:r>
          </w:p>
          <w:p w14:paraId="1E67463C">
            <w:pPr>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w:t>
            </w: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color w:val="auto"/>
                <w:sz w:val="24"/>
                <w:szCs w:val="24"/>
                <w:highlight w:val="none"/>
                <w:lang w:val="en-US" w:eastAsia="zh-CN"/>
              </w:rPr>
              <w:t>方案履约服务能力一般、机构的稳定性一般、服务的便捷性一般，与用户要求有偏差，得1分；</w:t>
            </w:r>
          </w:p>
          <w:p w14:paraId="1BBE0629">
            <w:pPr>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（4）未提供方案不得分。</w:t>
            </w:r>
          </w:p>
        </w:tc>
      </w:tr>
      <w:tr w14:paraId="31386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02861E5F">
            <w:pPr>
              <w:pStyle w:val="30"/>
              <w:shd w:val="clear" w:color="auto" w:fill="FFFFFF"/>
              <w:adjustRightInd w:val="0"/>
              <w:snapToGrid w:val="0"/>
              <w:jc w:val="center"/>
              <w:rPr>
                <w:rFonts w:hint="default"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5</w:t>
            </w:r>
          </w:p>
        </w:tc>
        <w:tc>
          <w:tcPr>
            <w:tcW w:w="1211" w:type="dxa"/>
            <w:tcBorders>
              <w:top w:val="single" w:color="auto" w:sz="4" w:space="0"/>
              <w:left w:val="nil"/>
              <w:bottom w:val="single" w:color="auto" w:sz="4" w:space="0"/>
              <w:right w:val="single" w:color="auto" w:sz="4" w:space="0"/>
            </w:tcBorders>
            <w:vAlign w:val="center"/>
          </w:tcPr>
          <w:p w14:paraId="25F1CCD4">
            <w:pPr>
              <w:jc w:val="left"/>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实力</w:t>
            </w:r>
            <w:r>
              <w:rPr>
                <w:rFonts w:hint="eastAsia" w:ascii="宋体" w:hAnsi="宋体" w:cs="宋体"/>
                <w:b w:val="0"/>
                <w:bCs/>
                <w:color w:val="auto"/>
                <w:sz w:val="24"/>
                <w:szCs w:val="24"/>
                <w:highlight w:val="none"/>
                <w:lang w:val="en-US" w:eastAsia="zh-CN"/>
              </w:rPr>
              <w:t>（5分）</w:t>
            </w:r>
          </w:p>
        </w:tc>
        <w:tc>
          <w:tcPr>
            <w:tcW w:w="7271" w:type="dxa"/>
            <w:tcBorders>
              <w:top w:val="single" w:color="auto" w:sz="4" w:space="0"/>
              <w:left w:val="nil"/>
              <w:bottom w:val="single" w:color="auto" w:sz="4" w:space="0"/>
              <w:right w:val="single" w:color="auto" w:sz="4" w:space="0"/>
            </w:tcBorders>
            <w:vAlign w:val="center"/>
          </w:tcPr>
          <w:p w14:paraId="476D5F55">
            <w:pPr>
              <w:pStyle w:val="92"/>
              <w:spacing w:line="24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color w:val="auto"/>
                <w:sz w:val="24"/>
                <w:szCs w:val="24"/>
                <w:highlight w:val="none"/>
                <w:lang w:val="en-US" w:eastAsia="zh-CN"/>
              </w:rPr>
              <w:t>投标人</w:t>
            </w:r>
            <w:r>
              <w:rPr>
                <w:rFonts w:hint="eastAsia" w:ascii="宋体" w:hAnsi="宋体" w:eastAsia="宋体" w:cs="宋体"/>
                <w:b w:val="0"/>
                <w:bCs w:val="0"/>
                <w:color w:val="auto"/>
                <w:sz w:val="24"/>
                <w:szCs w:val="24"/>
                <w:highlight w:val="none"/>
                <w:lang w:val="en-US" w:eastAsia="zh-CN"/>
              </w:rPr>
              <w:t>具有绿色电力证书（绿证）的，满分5分；</w:t>
            </w:r>
          </w:p>
          <w:p w14:paraId="0D641511">
            <w:pPr>
              <w:pStyle w:val="92"/>
              <w:spacing w:line="240" w:lineRule="auto"/>
              <w:ind w:firstLine="480" w:firstLineChars="20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注：1.提供自2020年11月1日至开标截止之日有效绿色电力证书（需可追溯至具体发电项目，如风</w:t>
            </w:r>
            <w:r>
              <w:rPr>
                <w:rFonts w:hint="eastAsia" w:cs="宋体"/>
                <w:b w:val="0"/>
                <w:bCs w:val="0"/>
                <w:color w:val="auto"/>
                <w:sz w:val="24"/>
                <w:szCs w:val="24"/>
                <w:highlight w:val="none"/>
                <w:lang w:val="en-US" w:eastAsia="zh-CN"/>
              </w:rPr>
              <w:t>力</w:t>
            </w:r>
            <w:r>
              <w:rPr>
                <w:rFonts w:hint="eastAsia" w:ascii="宋体" w:hAnsi="宋体" w:eastAsia="宋体"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太阳能等</w:t>
            </w:r>
            <w:r>
              <w:rPr>
                <w:rFonts w:hint="eastAsia" w:ascii="宋体" w:hAnsi="宋体" w:eastAsia="宋体" w:cs="宋体"/>
                <w:b w:val="0"/>
                <w:bCs w:val="0"/>
                <w:color w:val="auto"/>
                <w:sz w:val="24"/>
                <w:szCs w:val="24"/>
                <w:highlight w:val="none"/>
                <w:lang w:val="en-US" w:eastAsia="zh-CN"/>
              </w:rPr>
              <w:t>），每提供 1 张绿证加2.5分，最高加5分；</w:t>
            </w:r>
          </w:p>
          <w:p w14:paraId="63E58F66">
            <w:pPr>
              <w:pStyle w:val="92"/>
              <w:spacing w:line="240" w:lineRule="auto"/>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2.提供</w:t>
            </w:r>
            <w:r>
              <w:rPr>
                <w:rFonts w:hint="default" w:ascii="宋体" w:hAnsi="宋体" w:eastAsia="宋体" w:cs="宋体"/>
                <w:b w:val="0"/>
                <w:bCs w:val="0"/>
                <w:color w:val="auto"/>
                <w:sz w:val="24"/>
                <w:szCs w:val="24"/>
                <w:highlight w:val="none"/>
                <w:lang w:val="en-US" w:eastAsia="zh-CN"/>
              </w:rPr>
              <w:t>绿色电力证书复印件（需标注证书编号、发电</w:t>
            </w:r>
            <w:r>
              <w:rPr>
                <w:rFonts w:hint="eastAsia" w:cs="宋体"/>
                <w:b w:val="0"/>
                <w:bCs w:val="0"/>
                <w:color w:val="auto"/>
                <w:sz w:val="24"/>
                <w:szCs w:val="24"/>
                <w:highlight w:val="none"/>
                <w:lang w:val="en-US" w:eastAsia="zh-CN"/>
              </w:rPr>
              <w:t>类型</w:t>
            </w:r>
            <w:r>
              <w:rPr>
                <w:rFonts w:hint="default" w:ascii="宋体" w:hAnsi="宋体" w:eastAsia="宋体" w:cs="宋体"/>
                <w:b w:val="0"/>
                <w:bCs w:val="0"/>
                <w:color w:val="auto"/>
                <w:sz w:val="24"/>
                <w:szCs w:val="24"/>
                <w:highlight w:val="none"/>
                <w:lang w:val="en-US" w:eastAsia="zh-CN"/>
              </w:rPr>
              <w:t>、有效期</w:t>
            </w:r>
            <w:r>
              <w:rPr>
                <w:rFonts w:hint="eastAsia" w:ascii="宋体" w:hAnsi="宋体" w:eastAsia="宋体" w:cs="宋体"/>
                <w:b w:val="0"/>
                <w:bCs w:val="0"/>
                <w:color w:val="auto"/>
                <w:sz w:val="24"/>
                <w:szCs w:val="24"/>
                <w:highlight w:val="none"/>
                <w:lang w:val="en-US" w:eastAsia="zh-CN"/>
              </w:rPr>
              <w:t>等内容</w:t>
            </w:r>
            <w:r>
              <w:rPr>
                <w:rFonts w:hint="default" w:ascii="宋体" w:hAnsi="宋体" w:eastAsia="宋体" w:cs="宋体"/>
                <w:b w:val="0"/>
                <w:bCs w:val="0"/>
                <w:color w:val="auto"/>
                <w:sz w:val="24"/>
                <w:szCs w:val="24"/>
                <w:highlight w:val="none"/>
                <w:lang w:val="en-US" w:eastAsia="zh-CN"/>
              </w:rPr>
              <w:t>，加盖公章）</w:t>
            </w:r>
            <w:r>
              <w:rPr>
                <w:rFonts w:hint="eastAsia" w:ascii="宋体" w:hAnsi="宋体" w:eastAsia="宋体" w:cs="宋体"/>
                <w:b w:val="0"/>
                <w:bCs w:val="0"/>
                <w:color w:val="auto"/>
                <w:sz w:val="24"/>
                <w:szCs w:val="24"/>
                <w:highlight w:val="none"/>
                <w:lang w:val="en-US" w:eastAsia="zh-CN"/>
              </w:rPr>
              <w:t>放入投标文件</w:t>
            </w:r>
            <w:r>
              <w:rPr>
                <w:rFonts w:hint="default" w:ascii="宋体" w:hAnsi="宋体" w:eastAsia="宋体" w:cs="宋体"/>
                <w:b w:val="0"/>
                <w:bCs w:val="0"/>
                <w:color w:val="auto"/>
                <w:sz w:val="24"/>
                <w:szCs w:val="24"/>
                <w:highlight w:val="none"/>
                <w:lang w:val="en-US" w:eastAsia="zh-CN"/>
              </w:rPr>
              <w:t>；</w:t>
            </w:r>
          </w:p>
          <w:p w14:paraId="4C882ED9">
            <w:pPr>
              <w:ind w:firstLine="480" w:firstLineChars="200"/>
              <w:jc w:val="left"/>
              <w:rPr>
                <w:rFonts w:hint="eastAsia" w:ascii="宋体" w:hAnsi="宋体" w:eastAsia="宋体" w:cs="宋体"/>
                <w:b w:val="0"/>
                <w:bCs/>
                <w:color w:val="auto"/>
                <w:sz w:val="24"/>
                <w:szCs w:val="24"/>
                <w:highlight w:val="none"/>
                <w:lang w:val="en-US" w:eastAsia="zh-CN"/>
              </w:rPr>
            </w:pPr>
            <w:r>
              <w:rPr>
                <w:rFonts w:hint="default"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提供</w:t>
            </w:r>
            <w:r>
              <w:rPr>
                <w:rFonts w:hint="default" w:ascii="宋体" w:hAnsi="宋体" w:eastAsia="宋体" w:cs="宋体"/>
                <w:b w:val="0"/>
                <w:bCs w:val="0"/>
                <w:color w:val="auto"/>
                <w:sz w:val="24"/>
                <w:szCs w:val="24"/>
                <w:highlight w:val="none"/>
                <w:lang w:val="en-US" w:eastAsia="zh-CN"/>
              </w:rPr>
              <w:t>绿证查询验证截图（从中国绿色电力证书</w:t>
            </w:r>
            <w:r>
              <w:rPr>
                <w:rFonts w:hint="eastAsia" w:ascii="宋体" w:hAnsi="宋体" w:cs="宋体"/>
                <w:b w:val="0"/>
                <w:bCs w:val="0"/>
                <w:color w:val="auto"/>
                <w:sz w:val="24"/>
                <w:szCs w:val="24"/>
                <w:highlight w:val="none"/>
                <w:lang w:val="en-US" w:eastAsia="zh-CN"/>
              </w:rPr>
              <w:t>交易</w:t>
            </w:r>
            <w:r>
              <w:rPr>
                <w:rFonts w:hint="default" w:ascii="宋体" w:hAnsi="宋体" w:eastAsia="宋体" w:cs="宋体"/>
                <w:b w:val="0"/>
                <w:bCs w:val="0"/>
                <w:color w:val="auto"/>
                <w:sz w:val="24"/>
                <w:szCs w:val="24"/>
                <w:highlight w:val="none"/>
                <w:lang w:val="en-US" w:eastAsia="zh-CN"/>
              </w:rPr>
              <w:t>平台下载，加盖公章）。</w:t>
            </w:r>
          </w:p>
        </w:tc>
      </w:tr>
      <w:tr w14:paraId="77CE5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14:paraId="0A7FB6D4">
            <w:pPr>
              <w:pStyle w:val="30"/>
              <w:shd w:val="clear" w:color="auto" w:fill="FFFFFF"/>
              <w:adjustRightInd w:val="0"/>
              <w:snapToGrid w:val="0"/>
              <w:jc w:val="center"/>
              <w:rPr>
                <w:rFonts w:hint="default" w:ascii="宋体" w:hAnsi="宋体"/>
                <w:b w:val="0"/>
                <w:bCs w:val="0"/>
                <w:color w:val="auto"/>
                <w:sz w:val="24"/>
                <w:szCs w:val="24"/>
                <w:highlight w:val="none"/>
                <w:lang w:val="en-US" w:eastAsia="zh-CN"/>
              </w:rPr>
            </w:pPr>
            <w:r>
              <w:rPr>
                <w:rFonts w:hint="eastAsia" w:ascii="宋体" w:hAnsi="宋体"/>
                <w:b w:val="0"/>
                <w:bCs w:val="0"/>
                <w:color w:val="auto"/>
                <w:sz w:val="24"/>
                <w:szCs w:val="24"/>
                <w:highlight w:val="none"/>
                <w:lang w:val="en-US" w:eastAsia="zh-CN"/>
              </w:rPr>
              <w:t>6</w:t>
            </w:r>
          </w:p>
        </w:tc>
        <w:tc>
          <w:tcPr>
            <w:tcW w:w="1211" w:type="dxa"/>
            <w:tcBorders>
              <w:top w:val="single" w:color="auto" w:sz="4" w:space="0"/>
              <w:left w:val="nil"/>
              <w:bottom w:val="single" w:color="auto" w:sz="4" w:space="0"/>
              <w:right w:val="single" w:color="auto" w:sz="4" w:space="0"/>
            </w:tcBorders>
            <w:vAlign w:val="center"/>
          </w:tcPr>
          <w:p w14:paraId="546EFCAF">
            <w:pPr>
              <w:jc w:val="left"/>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承诺</w:t>
            </w:r>
            <w:r>
              <w:rPr>
                <w:rFonts w:hint="eastAsia" w:ascii="宋体" w:hAnsi="宋体" w:cs="宋体"/>
                <w:b w:val="0"/>
                <w:bCs/>
                <w:color w:val="auto"/>
                <w:sz w:val="24"/>
                <w:szCs w:val="24"/>
                <w:highlight w:val="none"/>
                <w:lang w:val="en-US" w:eastAsia="zh-CN"/>
              </w:rPr>
              <w:t>（5分）</w:t>
            </w:r>
          </w:p>
        </w:tc>
        <w:tc>
          <w:tcPr>
            <w:tcW w:w="7271" w:type="dxa"/>
            <w:tcBorders>
              <w:top w:val="single" w:color="auto" w:sz="4" w:space="0"/>
              <w:left w:val="nil"/>
              <w:bottom w:val="single" w:color="auto" w:sz="4" w:space="0"/>
              <w:right w:val="single" w:color="auto" w:sz="4" w:space="0"/>
            </w:tcBorders>
            <w:vAlign w:val="center"/>
          </w:tcPr>
          <w:p w14:paraId="2993A597">
            <w:pPr>
              <w:pStyle w:val="92"/>
              <w:spacing w:line="240" w:lineRule="auto"/>
              <w:ind w:firstLine="480" w:firstLineChars="200"/>
              <w:jc w:val="left"/>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投标人承诺免费提供增值服务，具体涵盖园区内高压设备与设施的维护保养、计量设备维护及相关数据录入等服务内容，对设备的日常维护过程中发现隐患或者问题及时上报招标人，招标人进行</w:t>
            </w:r>
            <w:r>
              <w:rPr>
                <w:rFonts w:hint="eastAsia" w:cs="宋体"/>
                <w:b w:val="0"/>
                <w:bCs/>
                <w:color w:val="auto"/>
                <w:sz w:val="24"/>
                <w:szCs w:val="24"/>
                <w:highlight w:val="none"/>
                <w:lang w:val="en-US" w:eastAsia="zh-CN"/>
              </w:rPr>
              <w:t>处理（维修）</w:t>
            </w:r>
            <w:r>
              <w:rPr>
                <w:rFonts w:hint="eastAsia" w:ascii="宋体" w:hAnsi="宋体" w:cs="宋体"/>
                <w:b w:val="0"/>
                <w:bCs/>
                <w:color w:val="auto"/>
                <w:sz w:val="24"/>
                <w:szCs w:val="24"/>
                <w:highlight w:val="none"/>
                <w:lang w:val="en-US" w:eastAsia="zh-CN"/>
              </w:rPr>
              <w:t>。</w:t>
            </w:r>
          </w:p>
          <w:p w14:paraId="318AE202">
            <w:pPr>
              <w:pStyle w:val="92"/>
              <w:spacing w:line="240" w:lineRule="auto"/>
              <w:ind w:firstLine="480" w:firstLineChars="200"/>
              <w:jc w:val="left"/>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注：提供承诺函（格式自拟）及相关证明材料并加盖公章放入投标文件；提供承诺函及相关证明材料的得5分，满分5分，未提供不得分。</w:t>
            </w:r>
          </w:p>
        </w:tc>
      </w:tr>
    </w:tbl>
    <w:p w14:paraId="3F2551EE">
      <w:pPr>
        <w:pStyle w:val="82"/>
        <w:ind w:firstLine="0" w:firstLineChars="0"/>
        <w:rPr>
          <w:rFonts w:hint="default" w:ascii="宋体" w:hAnsi="宋体"/>
          <w:b/>
          <w:bCs/>
          <w:sz w:val="24"/>
          <w:szCs w:val="24"/>
          <w:highlight w:val="none"/>
        </w:rPr>
      </w:pPr>
      <w:r>
        <w:rPr>
          <w:rFonts w:hint="eastAsia" w:ascii="宋体" w:hAnsi="宋体"/>
          <w:b/>
          <w:bCs/>
          <w:sz w:val="24"/>
          <w:szCs w:val="24"/>
          <w:highlight w:val="none"/>
        </w:rPr>
        <w:t>5、投标人总得分</w:t>
      </w:r>
    </w:p>
    <w:p w14:paraId="4A66980D">
      <w:pPr>
        <w:spacing w:line="360" w:lineRule="auto"/>
        <w:ind w:firstLine="482" w:firstLineChars="200"/>
        <w:jc w:val="left"/>
        <w:outlineLvl w:val="3"/>
        <w:rPr>
          <w:rFonts w:hint="eastAsia" w:ascii="宋体" w:hAnsi="宋体"/>
          <w:b/>
          <w:bCs/>
          <w:color w:val="121212"/>
          <w:sz w:val="24"/>
          <w:szCs w:val="24"/>
          <w:highlight w:val="none"/>
        </w:rPr>
      </w:pPr>
      <w:r>
        <w:rPr>
          <w:rFonts w:hint="eastAsia" w:ascii="宋体" w:hAnsi="宋体"/>
          <w:b/>
          <w:bCs/>
          <w:color w:val="121212"/>
          <w:sz w:val="24"/>
          <w:szCs w:val="24"/>
          <w:highlight w:val="none"/>
        </w:rPr>
        <w:t>投标人总得分=</w:t>
      </w:r>
      <w:r>
        <w:rPr>
          <w:rFonts w:hint="eastAsia" w:ascii="宋体" w:hAnsi="宋体"/>
          <w:b/>
          <w:bCs/>
          <w:color w:val="121212"/>
          <w:sz w:val="24"/>
          <w:szCs w:val="24"/>
          <w:highlight w:val="none"/>
          <w:lang w:val="en-US" w:eastAsia="zh-CN"/>
        </w:rPr>
        <w:t>商务标得分+</w:t>
      </w:r>
      <w:r>
        <w:rPr>
          <w:rFonts w:hint="eastAsia" w:ascii="宋体" w:hAnsi="宋体"/>
          <w:b/>
          <w:bCs/>
          <w:color w:val="121212"/>
          <w:sz w:val="24"/>
          <w:szCs w:val="24"/>
          <w:highlight w:val="none"/>
        </w:rPr>
        <w:t>技术标得分。</w:t>
      </w:r>
    </w:p>
    <w:p w14:paraId="232CBA06">
      <w:pPr>
        <w:pStyle w:val="82"/>
        <w:ind w:firstLine="0" w:firstLineChars="0"/>
        <w:rPr>
          <w:rFonts w:hint="default" w:ascii="宋体" w:hAnsi="宋体"/>
          <w:b/>
          <w:bCs/>
          <w:sz w:val="24"/>
          <w:szCs w:val="24"/>
          <w:highlight w:val="none"/>
        </w:rPr>
      </w:pPr>
      <w:r>
        <w:rPr>
          <w:rFonts w:ascii="宋体" w:hAnsi="宋体"/>
          <w:b/>
          <w:bCs/>
          <w:sz w:val="24"/>
          <w:szCs w:val="24"/>
          <w:highlight w:val="none"/>
        </w:rPr>
        <w:t>6、企业信用评审</w:t>
      </w:r>
    </w:p>
    <w:p w14:paraId="61239FBC">
      <w:pPr>
        <w:spacing w:line="360" w:lineRule="auto"/>
        <w:ind w:firstLine="480" w:firstLineChars="200"/>
        <w:jc w:val="left"/>
        <w:outlineLvl w:val="3"/>
        <w:rPr>
          <w:rFonts w:ascii="宋体" w:hAnsi="宋体"/>
          <w:color w:val="121212"/>
          <w:sz w:val="24"/>
          <w:szCs w:val="24"/>
          <w:highlight w:val="none"/>
        </w:rPr>
      </w:pPr>
      <w:r>
        <w:rPr>
          <w:rFonts w:hint="eastAsia" w:ascii="宋体" w:hAnsi="宋体"/>
          <w:color w:val="121212"/>
          <w:sz w:val="24"/>
          <w:szCs w:val="24"/>
          <w:highlight w:val="none"/>
        </w:rPr>
        <w:t>6.1企业信用评审</w:t>
      </w:r>
    </w:p>
    <w:p w14:paraId="0C8745AA">
      <w:pPr>
        <w:snapToGrid w:val="0"/>
        <w:spacing w:line="360" w:lineRule="auto"/>
        <w:ind w:firstLine="480" w:firstLineChars="200"/>
        <w:jc w:val="left"/>
        <w:rPr>
          <w:rFonts w:ascii="宋体" w:hAnsi="宋体"/>
          <w:b/>
          <w:color w:val="121212"/>
          <w:sz w:val="24"/>
          <w:szCs w:val="24"/>
          <w:highlight w:val="none"/>
        </w:rPr>
      </w:pPr>
      <w:r>
        <w:rPr>
          <w:rFonts w:hint="eastAsia" w:ascii="宋体" w:hAnsi="宋体"/>
          <w:color w:val="121212"/>
          <w:sz w:val="24"/>
          <w:szCs w:val="24"/>
          <w:highlight w:val="none"/>
        </w:rPr>
        <w:t>评标委员会现场查询投标人诚信承诺书。</w:t>
      </w:r>
    </w:p>
    <w:p w14:paraId="7BB356AA">
      <w:pPr>
        <w:snapToGrid w:val="0"/>
        <w:spacing w:line="360" w:lineRule="auto"/>
        <w:ind w:firstLine="482" w:firstLineChars="200"/>
        <w:jc w:val="left"/>
        <w:rPr>
          <w:rFonts w:ascii="宋体" w:hAnsi="宋体"/>
          <w:b/>
          <w:color w:val="121212"/>
          <w:sz w:val="24"/>
          <w:szCs w:val="24"/>
          <w:highlight w:val="none"/>
        </w:rPr>
      </w:pPr>
      <w:r>
        <w:rPr>
          <w:rFonts w:hint="eastAsia" w:ascii="宋体" w:hAnsi="宋体"/>
          <w:b/>
          <w:color w:val="121212"/>
          <w:sz w:val="24"/>
          <w:szCs w:val="24"/>
          <w:highlight w:val="none"/>
        </w:rPr>
        <w:t>6.1.1 在招投标活动中存在弄虚作假或串通投标等行为</w:t>
      </w:r>
    </w:p>
    <w:p w14:paraId="2C1328FA">
      <w:pPr>
        <w:snapToGrid w:val="0"/>
        <w:spacing w:line="360" w:lineRule="auto"/>
        <w:ind w:firstLine="480" w:firstLineChars="200"/>
        <w:jc w:val="left"/>
        <w:rPr>
          <w:rFonts w:ascii="宋体" w:hAnsi="宋体"/>
          <w:color w:val="121212"/>
          <w:sz w:val="24"/>
          <w:szCs w:val="24"/>
          <w:highlight w:val="none"/>
        </w:rPr>
      </w:pPr>
      <w:r>
        <w:rPr>
          <w:rFonts w:hint="eastAsia" w:ascii="宋体" w:hAnsi="宋体"/>
          <w:color w:val="121212"/>
          <w:sz w:val="24"/>
          <w:szCs w:val="24"/>
          <w:highlight w:val="none"/>
        </w:rPr>
        <w:t>投标人在招投标活动中因弄虚作假或串通投标等违法违规行为被处理，在“信用中国”网站仍处于公示期内的，其信用评审不合格。</w:t>
      </w:r>
    </w:p>
    <w:p w14:paraId="553C038B">
      <w:pPr>
        <w:snapToGrid w:val="0"/>
        <w:spacing w:line="360" w:lineRule="auto"/>
        <w:ind w:firstLine="482" w:firstLineChars="200"/>
        <w:jc w:val="left"/>
        <w:rPr>
          <w:rFonts w:ascii="宋体" w:hAnsi="宋体"/>
          <w:b/>
          <w:color w:val="121212"/>
          <w:sz w:val="24"/>
          <w:szCs w:val="24"/>
          <w:highlight w:val="none"/>
        </w:rPr>
      </w:pPr>
      <w:r>
        <w:rPr>
          <w:rFonts w:hint="eastAsia" w:ascii="宋体" w:hAnsi="宋体"/>
          <w:b/>
          <w:color w:val="121212"/>
          <w:sz w:val="24"/>
          <w:szCs w:val="24"/>
          <w:highlight w:val="none"/>
        </w:rPr>
        <w:t>6.1.2 行贿犯罪记录</w:t>
      </w:r>
    </w:p>
    <w:p w14:paraId="297E1F94">
      <w:pPr>
        <w:snapToGrid w:val="0"/>
        <w:spacing w:line="360" w:lineRule="auto"/>
        <w:ind w:firstLine="480" w:firstLineChars="200"/>
        <w:jc w:val="left"/>
        <w:rPr>
          <w:rFonts w:ascii="宋体" w:hAnsi="宋体"/>
          <w:color w:val="121212"/>
          <w:sz w:val="24"/>
          <w:szCs w:val="24"/>
          <w:highlight w:val="none"/>
        </w:rPr>
      </w:pPr>
      <w:r>
        <w:rPr>
          <w:rFonts w:hint="eastAsia" w:ascii="宋体" w:hAnsi="宋体"/>
          <w:color w:val="121212"/>
          <w:sz w:val="24"/>
          <w:szCs w:val="24"/>
          <w:highlight w:val="none"/>
        </w:rPr>
        <w:t>投标人自投标截止之日起前三年有行贿犯罪记录的，信用评审不合格。</w:t>
      </w:r>
    </w:p>
    <w:p w14:paraId="4894EE84">
      <w:pPr>
        <w:snapToGrid w:val="0"/>
        <w:spacing w:line="360" w:lineRule="auto"/>
        <w:ind w:firstLine="482" w:firstLineChars="200"/>
        <w:jc w:val="left"/>
        <w:rPr>
          <w:rFonts w:ascii="宋体" w:hAnsi="宋体"/>
          <w:b/>
          <w:bCs/>
          <w:color w:val="121212"/>
          <w:sz w:val="24"/>
          <w:szCs w:val="24"/>
          <w:highlight w:val="none"/>
        </w:rPr>
      </w:pPr>
      <w:r>
        <w:rPr>
          <w:rFonts w:hint="eastAsia" w:ascii="宋体" w:hAnsi="宋体"/>
          <w:b/>
          <w:bCs/>
          <w:color w:val="121212"/>
          <w:sz w:val="24"/>
          <w:szCs w:val="24"/>
          <w:highlight w:val="none"/>
        </w:rPr>
        <w:t>6.1.3 限制投标的行政处罚、限制在本市承揽业务的行政处理</w:t>
      </w:r>
    </w:p>
    <w:p w14:paraId="3E1F213D">
      <w:pPr>
        <w:snapToGrid w:val="0"/>
        <w:spacing w:line="360" w:lineRule="auto"/>
        <w:ind w:firstLine="480" w:firstLineChars="200"/>
        <w:jc w:val="left"/>
        <w:rPr>
          <w:rFonts w:ascii="宋体" w:hAnsi="宋体"/>
          <w:color w:val="121212"/>
          <w:sz w:val="24"/>
          <w:szCs w:val="24"/>
          <w:highlight w:val="none"/>
        </w:rPr>
      </w:pPr>
      <w:r>
        <w:rPr>
          <w:rFonts w:hint="eastAsia" w:ascii="宋体" w:hAnsi="宋体"/>
          <w:color w:val="121212"/>
          <w:sz w:val="24"/>
          <w:szCs w:val="24"/>
          <w:highlight w:val="none"/>
        </w:rPr>
        <w:t>投标人或项目经理“受到招投标行政监管部门（或政府行业监管部门）限制投标的行政处罚，受到政府行业监管部门限制在本市承揽业务的行政处理，至投标截止之日仍在处罚、处理期内的”，信用评审不合格。</w:t>
      </w:r>
    </w:p>
    <w:p w14:paraId="42D4D633">
      <w:pPr>
        <w:snapToGrid w:val="0"/>
        <w:spacing w:line="360" w:lineRule="auto"/>
        <w:ind w:firstLine="482" w:firstLineChars="200"/>
        <w:jc w:val="left"/>
        <w:rPr>
          <w:rFonts w:ascii="宋体" w:hAnsi="宋体"/>
          <w:b/>
          <w:bCs/>
          <w:color w:val="121212"/>
          <w:sz w:val="24"/>
          <w:szCs w:val="24"/>
          <w:highlight w:val="none"/>
        </w:rPr>
      </w:pPr>
      <w:r>
        <w:rPr>
          <w:rFonts w:hint="eastAsia" w:ascii="宋体" w:hAnsi="宋体"/>
          <w:b/>
          <w:bCs/>
          <w:color w:val="121212"/>
          <w:sz w:val="24"/>
          <w:szCs w:val="24"/>
          <w:highlight w:val="none"/>
        </w:rPr>
        <w:t>6.1.4住建部门“黑名单”</w:t>
      </w:r>
    </w:p>
    <w:p w14:paraId="539F2CC4">
      <w:pPr>
        <w:snapToGrid w:val="0"/>
        <w:spacing w:line="360" w:lineRule="auto"/>
        <w:ind w:firstLine="480" w:firstLineChars="200"/>
        <w:jc w:val="left"/>
        <w:rPr>
          <w:rFonts w:ascii="宋体" w:hAnsi="宋体"/>
          <w:color w:val="121212"/>
          <w:sz w:val="24"/>
          <w:szCs w:val="24"/>
          <w:highlight w:val="none"/>
        </w:rPr>
      </w:pPr>
      <w:r>
        <w:rPr>
          <w:rFonts w:hint="eastAsia" w:ascii="宋体" w:hAnsi="宋体"/>
          <w:color w:val="121212"/>
          <w:sz w:val="24"/>
          <w:szCs w:val="24"/>
          <w:highlight w:val="none"/>
        </w:rPr>
        <w:t>评委现场查询市住建局网站“应用平台”栏目下的“铜陵市建筑施工企业和房地产开发企业信用系统”，被列入“黑名单”的信用评审不合格。</w:t>
      </w:r>
    </w:p>
    <w:p w14:paraId="031158F4">
      <w:pPr>
        <w:snapToGrid w:val="0"/>
        <w:spacing w:line="360" w:lineRule="auto"/>
        <w:ind w:firstLine="482" w:firstLineChars="200"/>
        <w:jc w:val="left"/>
        <w:rPr>
          <w:rFonts w:ascii="宋体" w:hAnsi="宋体"/>
          <w:b/>
          <w:bCs/>
          <w:color w:val="121212"/>
          <w:sz w:val="24"/>
          <w:szCs w:val="24"/>
          <w:highlight w:val="none"/>
        </w:rPr>
      </w:pPr>
      <w:r>
        <w:rPr>
          <w:rFonts w:hint="eastAsia" w:ascii="宋体" w:hAnsi="宋体"/>
          <w:b/>
          <w:bCs/>
          <w:color w:val="121212"/>
          <w:sz w:val="24"/>
          <w:szCs w:val="24"/>
          <w:highlight w:val="none"/>
        </w:rPr>
        <w:t>6.1.5人力资源社会保障行政部门“失信名单”</w:t>
      </w:r>
    </w:p>
    <w:p w14:paraId="15D0223C">
      <w:pPr>
        <w:snapToGrid w:val="0"/>
        <w:spacing w:line="360" w:lineRule="auto"/>
        <w:ind w:firstLine="480" w:firstLineChars="200"/>
        <w:jc w:val="left"/>
        <w:rPr>
          <w:color w:val="121212"/>
          <w:highlight w:val="none"/>
        </w:rPr>
      </w:pPr>
      <w:r>
        <w:rPr>
          <w:rFonts w:hint="eastAsia" w:ascii="宋体" w:hAnsi="宋体"/>
          <w:color w:val="121212"/>
          <w:sz w:val="24"/>
          <w:szCs w:val="24"/>
          <w:highlight w:val="none"/>
        </w:rPr>
        <w:t>被人力资源社会保障行政部门列入信用铜陵“失信名单”信用评审不合格，此项以信用铜陵（http://xytl.tl.gov.cn/）“守信失信名单”栏目为准。</w:t>
      </w:r>
    </w:p>
    <w:p w14:paraId="32E38C2B">
      <w:pPr>
        <w:spacing w:line="500" w:lineRule="exact"/>
        <w:ind w:firstLine="482" w:firstLineChars="200"/>
        <w:rPr>
          <w:rStyle w:val="96"/>
          <w:rFonts w:ascii="宋体" w:hAnsi="宋体" w:eastAsia="宋体"/>
          <w:b/>
          <w:bCs/>
          <w:kern w:val="1"/>
          <w:sz w:val="24"/>
          <w:highlight w:val="none"/>
        </w:rPr>
      </w:pPr>
      <w:r>
        <w:rPr>
          <w:rStyle w:val="96"/>
          <w:rFonts w:hint="eastAsia" w:ascii="宋体" w:hAnsi="宋体" w:eastAsia="宋体"/>
          <w:b/>
          <w:kern w:val="1"/>
          <w:sz w:val="24"/>
          <w:highlight w:val="none"/>
        </w:rPr>
        <w:t>7、</w:t>
      </w:r>
      <w:r>
        <w:rPr>
          <w:rStyle w:val="96"/>
          <w:rFonts w:ascii="宋体" w:hAnsi="宋体" w:eastAsia="宋体"/>
          <w:b/>
          <w:kern w:val="1"/>
          <w:sz w:val="24"/>
          <w:highlight w:val="none"/>
        </w:rPr>
        <w:t>推荐中标候选人</w:t>
      </w:r>
    </w:p>
    <w:p w14:paraId="1DF4D77D">
      <w:pPr>
        <w:spacing w:line="500" w:lineRule="exact"/>
        <w:ind w:firstLine="480" w:firstLineChars="200"/>
        <w:rPr>
          <w:rFonts w:hint="eastAsia" w:ascii="宋体" w:hAnsi="宋体" w:cs="仿宋"/>
          <w:bCs/>
          <w:sz w:val="24"/>
          <w:highlight w:val="none"/>
        </w:rPr>
      </w:pPr>
      <w:r>
        <w:rPr>
          <w:rFonts w:hint="eastAsia" w:ascii="宋体" w:hAnsi="宋体" w:cs="仿宋"/>
          <w:bCs/>
          <w:sz w:val="24"/>
          <w:highlight w:val="none"/>
        </w:rPr>
        <w:t>评标委员会按照投标人综合得分由高到低的顺序，推荐有排序的</w:t>
      </w:r>
      <w:r>
        <w:rPr>
          <w:rFonts w:hint="eastAsia" w:ascii="宋体" w:hAnsi="宋体" w:cs="仿宋"/>
          <w:bCs/>
          <w:sz w:val="24"/>
          <w:highlight w:val="none"/>
          <w:lang w:val="en-US" w:eastAsia="zh-CN"/>
        </w:rPr>
        <w:t>1名</w:t>
      </w:r>
      <w:r>
        <w:rPr>
          <w:rFonts w:hint="eastAsia" w:ascii="宋体" w:hAnsi="宋体" w:cs="仿宋"/>
          <w:bCs/>
          <w:sz w:val="24"/>
          <w:highlight w:val="none"/>
        </w:rPr>
        <w:t>中标候选人。综合得分相等的，</w:t>
      </w:r>
      <w:r>
        <w:rPr>
          <w:rFonts w:hint="eastAsia" w:ascii="宋体" w:hAnsi="宋体" w:cs="仿宋"/>
          <w:bCs/>
          <w:sz w:val="24"/>
          <w:highlight w:val="none"/>
          <w:lang w:val="en-US" w:eastAsia="zh-CN"/>
        </w:rPr>
        <w:t>以商务报价得分由高到低的顺序排列；</w:t>
      </w:r>
      <w:r>
        <w:rPr>
          <w:rFonts w:hint="eastAsia" w:ascii="宋体" w:hAnsi="宋体" w:cs="仿宋"/>
          <w:bCs/>
          <w:sz w:val="24"/>
          <w:highlight w:val="none"/>
        </w:rPr>
        <w:t>若</w:t>
      </w:r>
      <w:r>
        <w:rPr>
          <w:rFonts w:hint="eastAsia" w:ascii="宋体" w:hAnsi="宋体" w:cs="仿宋"/>
          <w:bCs/>
          <w:sz w:val="24"/>
          <w:highlight w:val="none"/>
          <w:lang w:val="en-US" w:eastAsia="zh-CN"/>
        </w:rPr>
        <w:t>商务报价得分</w:t>
      </w:r>
      <w:r>
        <w:rPr>
          <w:rFonts w:hint="eastAsia" w:ascii="宋体" w:hAnsi="宋体" w:cs="仿宋"/>
          <w:bCs/>
          <w:sz w:val="24"/>
          <w:highlight w:val="none"/>
        </w:rPr>
        <w:t>也相同时，由评标委员会抽签确定排序。无法推荐招标文件规定数量的，以实际合格的投标人家数为准。</w:t>
      </w:r>
    </w:p>
    <w:p w14:paraId="1A55114A">
      <w:pPr>
        <w:spacing w:line="500" w:lineRule="exact"/>
        <w:ind w:firstLine="480" w:firstLineChars="200"/>
        <w:rPr>
          <w:rFonts w:ascii="宋体" w:hAnsi="宋体" w:cs="仿宋"/>
          <w:bCs/>
          <w:sz w:val="24"/>
          <w:highlight w:val="none"/>
        </w:rPr>
      </w:pPr>
      <w:r>
        <w:rPr>
          <w:rFonts w:ascii="宋体" w:hAnsi="宋体" w:cs="仿宋"/>
          <w:bCs/>
          <w:sz w:val="24"/>
          <w:highlight w:val="none"/>
        </w:rPr>
        <w:t>当拟推荐的中标候选人报价存在可能影响合同履行的异常低价的，且投标文件中未附其不属于异常低价的证明材料或材料不足以证明时，评审委员会将要求投标人在30分钟内提供证明相关证明材料或补充证明材料。评审委员会对通过评审的异常低价中标候选人的合同履行能力及工程质量安全等风险应进行全面评估，并作为评标报告的附件；如中标候选人未提供或提供的材料不能证明其不属于异常低价的，评标委员会应否决其投标并将否决的理由写入评标报告，否决后，有其他合格的投标人可供选择的，应递补推荐。</w:t>
      </w:r>
    </w:p>
    <w:p w14:paraId="1F8865F4">
      <w:pPr>
        <w:pStyle w:val="82"/>
        <w:spacing w:line="500" w:lineRule="exact"/>
        <w:rPr>
          <w:rFonts w:hint="default" w:ascii="宋体" w:hAnsi="宋体"/>
          <w:sz w:val="24"/>
          <w:szCs w:val="24"/>
          <w:highlight w:val="none"/>
        </w:rPr>
      </w:pPr>
      <w:r>
        <w:rPr>
          <w:rFonts w:ascii="宋体" w:hAnsi="宋体"/>
          <w:bCs/>
          <w:sz w:val="24"/>
          <w:szCs w:val="24"/>
          <w:highlight w:val="none"/>
        </w:rPr>
        <w:t>中标候选人确定后，在后期异议、投诉调查过程中如发现投标人存在弄虚作假、串通投标等违法违规行为或不符合招标文件实质性要求的，不论其是否为中标候选人，均不对已评审的结果重新计算，是中标候选人的，取消其中标资格。</w:t>
      </w:r>
    </w:p>
    <w:p w14:paraId="78E26394">
      <w:pPr>
        <w:rPr>
          <w:highlight w:val="none"/>
        </w:rPr>
      </w:pPr>
    </w:p>
    <w:p w14:paraId="384E74E9">
      <w:pPr>
        <w:keepNext w:val="0"/>
        <w:keepLines w:val="0"/>
        <w:widowControl w:val="0"/>
        <w:suppressLineNumbers w:val="0"/>
        <w:snapToGrid w:val="0"/>
        <w:spacing w:before="100" w:beforeAutospacing="1" w:after="0" w:afterAutospacing="0" w:line="360" w:lineRule="auto"/>
        <w:ind w:right="0"/>
        <w:jc w:val="center"/>
        <w:rPr>
          <w:rFonts w:hint="eastAsia" w:ascii="宋体" w:hAnsi="宋体" w:eastAsia="宋体" w:cs="宋体"/>
          <w:b/>
          <w:bCs/>
          <w:color w:val="auto"/>
          <w:sz w:val="36"/>
          <w:szCs w:val="36"/>
          <w:highlight w:val="none"/>
        </w:rPr>
      </w:pPr>
      <w:r>
        <w:rPr>
          <w:rFonts w:ascii="宋体" w:hAnsi="宋体" w:eastAsia="宋体" w:cs="Times New Roman"/>
          <w:szCs w:val="28"/>
          <w:highlight w:val="none"/>
        </w:rPr>
        <w:br w:type="page"/>
      </w:r>
      <w:bookmarkStart w:id="29" w:name="_Toc1201"/>
      <w:r>
        <w:rPr>
          <w:rFonts w:hint="eastAsia" w:ascii="宋体" w:hAnsi="宋体" w:eastAsia="宋体" w:cs="宋体"/>
          <w:b/>
          <w:bCs/>
          <w:color w:val="auto"/>
          <w:sz w:val="36"/>
          <w:szCs w:val="36"/>
          <w:highlight w:val="none"/>
        </w:rPr>
        <w:t>第六章</w:t>
      </w:r>
      <w:r>
        <w:rPr>
          <w:rFonts w:hint="eastAsia" w:ascii="宋体" w:hAnsi="宋体" w:eastAsia="宋体" w:cs="宋体"/>
          <w:b/>
          <w:bCs/>
          <w:color w:val="auto"/>
          <w:sz w:val="36"/>
          <w:szCs w:val="36"/>
          <w:highlight w:val="none"/>
        </w:rPr>
        <w:tab/>
      </w:r>
      <w:r>
        <w:rPr>
          <w:rFonts w:hint="eastAsia" w:ascii="宋体" w:hAnsi="宋体" w:eastAsia="宋体" w:cs="宋体"/>
          <w:b/>
          <w:bCs/>
          <w:color w:val="auto"/>
          <w:spacing w:val="1"/>
          <w:sz w:val="36"/>
          <w:szCs w:val="36"/>
          <w:highlight w:val="none"/>
        </w:rPr>
        <w:t>拟签订的合同文本</w:t>
      </w:r>
    </w:p>
    <w:bookmarkEnd w:id="29"/>
    <w:p w14:paraId="36EA7EA6">
      <w:pPr>
        <w:spacing w:before="32" w:line="360" w:lineRule="auto"/>
        <w:ind w:left="1252" w:right="1231" w:firstLine="0"/>
        <w:jc w:val="center"/>
        <w:rPr>
          <w:rFonts w:hint="eastAsia" w:ascii="宋体" w:hAnsi="宋体" w:eastAsia="宋体" w:cs="宋体"/>
          <w:w w:val="105"/>
          <w:sz w:val="52"/>
        </w:rPr>
      </w:pPr>
      <w:bookmarkStart w:id="30" w:name="_TOC_250000"/>
      <w:bookmarkEnd w:id="30"/>
      <w:r>
        <w:rPr>
          <w:rFonts w:hint="eastAsia" w:ascii="宋体" w:hAnsi="宋体" w:eastAsia="宋体" w:cs="宋体"/>
          <w:spacing w:val="70"/>
          <w:sz w:val="52"/>
        </w:rPr>
        <w:t>安徽电力零售市场代理合同</w:t>
      </w:r>
      <w:r>
        <w:rPr>
          <w:rFonts w:hint="eastAsia" w:ascii="宋体" w:hAnsi="宋体" w:eastAsia="宋体" w:cs="宋体"/>
          <w:spacing w:val="79"/>
          <w:w w:val="105"/>
          <w:sz w:val="52"/>
        </w:rPr>
        <w:t>示范文本</w:t>
      </w:r>
      <w:r>
        <w:rPr>
          <w:rFonts w:hint="eastAsia" w:ascii="宋体" w:hAnsi="宋体" w:eastAsia="宋体" w:cs="宋体"/>
          <w:w w:val="105"/>
          <w:sz w:val="52"/>
        </w:rPr>
        <w:t>（</w:t>
      </w:r>
      <w:r>
        <w:rPr>
          <w:rFonts w:hint="eastAsia" w:ascii="宋体" w:hAnsi="宋体" w:eastAsia="宋体" w:cs="宋体"/>
          <w:spacing w:val="29"/>
          <w:w w:val="105"/>
          <w:sz w:val="52"/>
        </w:rPr>
        <w:t>2026</w:t>
      </w:r>
      <w:r>
        <w:rPr>
          <w:rFonts w:hint="eastAsia" w:ascii="宋体" w:hAnsi="宋体" w:eastAsia="宋体" w:cs="宋体"/>
          <w:spacing w:val="53"/>
          <w:w w:val="105"/>
          <w:sz w:val="52"/>
        </w:rPr>
        <w:t>年版</w:t>
      </w:r>
      <w:r>
        <w:rPr>
          <w:rFonts w:hint="eastAsia" w:ascii="宋体" w:hAnsi="宋体" w:eastAsia="宋体" w:cs="宋体"/>
          <w:w w:val="105"/>
          <w:sz w:val="52"/>
        </w:rPr>
        <w:t>）</w:t>
      </w:r>
    </w:p>
    <w:p w14:paraId="2F0968C2">
      <w:pPr>
        <w:pStyle w:val="5"/>
        <w:ind w:left="0"/>
        <w:rPr>
          <w:rFonts w:hint="eastAsia" w:ascii="宋体" w:hAnsi="宋体" w:eastAsia="宋体" w:cs="宋体"/>
          <w:sz w:val="46"/>
        </w:rPr>
      </w:pPr>
    </w:p>
    <w:p w14:paraId="34B5F539">
      <w:pPr>
        <w:pStyle w:val="5"/>
        <w:spacing w:before="10"/>
        <w:ind w:left="0"/>
        <w:rPr>
          <w:rFonts w:hint="eastAsia" w:ascii="宋体" w:hAnsi="宋体" w:eastAsia="宋体" w:cs="宋体"/>
          <w:sz w:val="29"/>
        </w:rPr>
      </w:pPr>
    </w:p>
    <w:p w14:paraId="156ED1CA">
      <w:pPr>
        <w:pStyle w:val="5"/>
        <w:spacing w:before="1"/>
        <w:rPr>
          <w:rFonts w:hint="eastAsia" w:ascii="宋体" w:hAnsi="宋体" w:eastAsia="宋体" w:cs="宋体"/>
        </w:rPr>
      </w:pPr>
      <w:r>
        <w:rPr>
          <w:rFonts w:hint="eastAsia" w:ascii="宋体" w:hAnsi="宋体" w:eastAsia="宋体" w:cs="宋体"/>
        </w:rPr>
        <w:t>甲方(电力用户)：</w:t>
      </w:r>
    </w:p>
    <w:p w14:paraId="174B86BB">
      <w:pPr>
        <w:pStyle w:val="5"/>
        <w:tabs>
          <w:tab w:val="left" w:pos="8078"/>
        </w:tabs>
        <w:spacing w:before="176" w:line="333" w:lineRule="auto"/>
        <w:ind w:left="1758" w:right="1524"/>
        <w:jc w:val="both"/>
        <w:rPr>
          <w:rFonts w:hint="eastAsia" w:ascii="宋体" w:hAnsi="宋体" w:eastAsia="宋体" w:cs="宋体"/>
        </w:rPr>
      </w:pPr>
      <w:r>
        <w:rPr>
          <w:rFonts w:hint="eastAsia" w:ascii="宋体" w:hAnsi="宋体" w:eastAsia="宋体" w:cs="宋体"/>
          <w:w w:val="95"/>
        </w:rPr>
        <w:t>企业名称：</w:t>
      </w:r>
      <w:r>
        <w:rPr>
          <w:rFonts w:hint="eastAsia" w:ascii="宋体" w:hAnsi="宋体" w:eastAsia="宋体" w:cs="宋体"/>
          <w:w w:val="95"/>
          <w:u w:val="single"/>
        </w:rPr>
        <w:tab/>
      </w:r>
      <w:r>
        <w:rPr>
          <w:rFonts w:hint="eastAsia" w:ascii="宋体" w:hAnsi="宋体" w:eastAsia="宋体" w:cs="宋体"/>
          <w:w w:val="95"/>
          <w:u w:val="single"/>
        </w:rPr>
        <w:t xml:space="preserve"> </w:t>
      </w:r>
      <w:r>
        <w:rPr>
          <w:rFonts w:hint="eastAsia" w:ascii="宋体" w:hAnsi="宋体" w:eastAsia="宋体" w:cs="宋体"/>
          <w:w w:val="95"/>
        </w:rPr>
        <w:t>统一社会信用代码：</w:t>
      </w:r>
      <w:r>
        <w:rPr>
          <w:rFonts w:hint="eastAsia" w:ascii="宋体" w:hAnsi="宋体" w:eastAsia="宋体" w:cs="宋体"/>
          <w:w w:val="95"/>
          <w:u w:val="single"/>
        </w:rPr>
        <w:tab/>
      </w:r>
      <w:r>
        <w:rPr>
          <w:rFonts w:hint="eastAsia" w:ascii="宋体" w:hAnsi="宋体" w:eastAsia="宋体" w:cs="宋体"/>
          <w:w w:val="95"/>
          <w:u w:val="single"/>
        </w:rPr>
        <w:t xml:space="preserve"> </w:t>
      </w:r>
      <w:r>
        <w:rPr>
          <w:rFonts w:hint="eastAsia" w:ascii="宋体" w:hAnsi="宋体" w:eastAsia="宋体" w:cs="宋体"/>
          <w:w w:val="95"/>
        </w:rPr>
        <w:t>法定代表人：</w:t>
      </w:r>
      <w:r>
        <w:rPr>
          <w:rFonts w:hint="eastAsia" w:ascii="宋体" w:hAnsi="宋体" w:eastAsia="宋体" w:cs="宋体"/>
          <w:w w:val="95"/>
          <w:u w:val="single"/>
        </w:rPr>
        <w:t xml:space="preserve"> </w:t>
      </w:r>
      <w:r>
        <w:rPr>
          <w:rFonts w:hint="eastAsia" w:ascii="宋体" w:hAnsi="宋体" w:eastAsia="宋体" w:cs="宋体"/>
          <w:u w:val="single"/>
        </w:rPr>
        <w:tab/>
      </w:r>
    </w:p>
    <w:p w14:paraId="2F02F17D">
      <w:pPr>
        <w:pStyle w:val="5"/>
        <w:ind w:left="0"/>
        <w:rPr>
          <w:rFonts w:hint="eastAsia" w:ascii="宋体" w:hAnsi="宋体" w:eastAsia="宋体" w:cs="宋体"/>
          <w:sz w:val="20"/>
        </w:rPr>
      </w:pPr>
    </w:p>
    <w:p w14:paraId="18DA6104">
      <w:pPr>
        <w:pStyle w:val="5"/>
        <w:spacing w:before="10"/>
        <w:ind w:left="0"/>
        <w:rPr>
          <w:rFonts w:hint="eastAsia" w:ascii="宋体" w:hAnsi="宋体" w:eastAsia="宋体" w:cs="宋体"/>
          <w:sz w:val="29"/>
        </w:rPr>
      </w:pPr>
    </w:p>
    <w:p w14:paraId="3E83E67D">
      <w:pPr>
        <w:pStyle w:val="5"/>
        <w:spacing w:before="57"/>
        <w:rPr>
          <w:rFonts w:hint="eastAsia" w:ascii="宋体" w:hAnsi="宋体" w:eastAsia="宋体" w:cs="宋体"/>
        </w:rPr>
      </w:pPr>
      <w:r>
        <w:rPr>
          <w:rFonts w:hint="eastAsia" w:ascii="宋体" w:hAnsi="宋体" w:eastAsia="宋体" w:cs="宋体"/>
        </w:rPr>
        <w:t>乙方(售电公司)：</w:t>
      </w:r>
    </w:p>
    <w:p w14:paraId="150BC5AA">
      <w:pPr>
        <w:pStyle w:val="5"/>
        <w:tabs>
          <w:tab w:val="left" w:pos="8078"/>
        </w:tabs>
        <w:spacing w:before="176" w:line="333" w:lineRule="auto"/>
        <w:ind w:left="1758" w:right="1524"/>
        <w:jc w:val="both"/>
        <w:rPr>
          <w:rFonts w:hint="eastAsia" w:ascii="宋体" w:hAnsi="宋体" w:eastAsia="宋体" w:cs="宋体"/>
        </w:rPr>
      </w:pPr>
      <w:r>
        <w:rPr>
          <w:rFonts w:hint="eastAsia" w:ascii="宋体" w:hAnsi="宋体" w:eastAsia="宋体" w:cs="宋体"/>
          <w:w w:val="95"/>
        </w:rPr>
        <w:t>企业名称：</w:t>
      </w:r>
      <w:r>
        <w:rPr>
          <w:rFonts w:hint="eastAsia" w:ascii="宋体" w:hAnsi="宋体" w:eastAsia="宋体" w:cs="宋体"/>
          <w:w w:val="95"/>
          <w:u w:val="single"/>
        </w:rPr>
        <w:tab/>
      </w:r>
      <w:r>
        <w:rPr>
          <w:rFonts w:hint="eastAsia" w:ascii="宋体" w:hAnsi="宋体" w:eastAsia="宋体" w:cs="宋体"/>
          <w:w w:val="95"/>
          <w:u w:val="single"/>
        </w:rPr>
        <w:t xml:space="preserve"> </w:t>
      </w:r>
      <w:r>
        <w:rPr>
          <w:rFonts w:hint="eastAsia" w:ascii="宋体" w:hAnsi="宋体" w:eastAsia="宋体" w:cs="宋体"/>
          <w:w w:val="95"/>
        </w:rPr>
        <w:t>统一社会信用代码：</w:t>
      </w:r>
      <w:r>
        <w:rPr>
          <w:rFonts w:hint="eastAsia" w:ascii="宋体" w:hAnsi="宋体" w:eastAsia="宋体" w:cs="宋体"/>
          <w:w w:val="95"/>
          <w:u w:val="single"/>
        </w:rPr>
        <w:tab/>
      </w:r>
      <w:r>
        <w:rPr>
          <w:rFonts w:hint="eastAsia" w:ascii="宋体" w:hAnsi="宋体" w:eastAsia="宋体" w:cs="宋体"/>
          <w:w w:val="95"/>
          <w:u w:val="single"/>
        </w:rPr>
        <w:t xml:space="preserve"> </w:t>
      </w:r>
      <w:r>
        <w:rPr>
          <w:rFonts w:hint="eastAsia" w:ascii="宋体" w:hAnsi="宋体" w:eastAsia="宋体" w:cs="宋体"/>
          <w:w w:val="95"/>
        </w:rPr>
        <w:t>法定代表人：</w:t>
      </w:r>
      <w:r>
        <w:rPr>
          <w:rFonts w:hint="eastAsia" w:ascii="宋体" w:hAnsi="宋体" w:eastAsia="宋体" w:cs="宋体"/>
          <w:w w:val="95"/>
          <w:u w:val="single"/>
        </w:rPr>
        <w:t xml:space="preserve"> </w:t>
      </w:r>
      <w:r>
        <w:rPr>
          <w:rFonts w:hint="eastAsia" w:ascii="宋体" w:hAnsi="宋体" w:eastAsia="宋体" w:cs="宋体"/>
          <w:u w:val="single"/>
        </w:rPr>
        <w:tab/>
      </w:r>
    </w:p>
    <w:p w14:paraId="2D37323B">
      <w:pPr>
        <w:pStyle w:val="5"/>
        <w:ind w:left="0"/>
        <w:rPr>
          <w:rFonts w:hint="eastAsia" w:ascii="宋体" w:hAnsi="宋体" w:eastAsia="宋体" w:cs="宋体"/>
          <w:sz w:val="20"/>
        </w:rPr>
      </w:pPr>
    </w:p>
    <w:p w14:paraId="6341FA95">
      <w:pPr>
        <w:pStyle w:val="5"/>
        <w:spacing w:before="4"/>
        <w:ind w:left="0"/>
        <w:rPr>
          <w:rFonts w:hint="eastAsia" w:ascii="宋体" w:hAnsi="宋体" w:eastAsia="宋体" w:cs="宋体"/>
          <w:sz w:val="23"/>
        </w:rPr>
      </w:pPr>
    </w:p>
    <w:p w14:paraId="52D90816">
      <w:pPr>
        <w:pStyle w:val="5"/>
        <w:tabs>
          <w:tab w:val="left" w:pos="1219"/>
          <w:tab w:val="left" w:pos="2501"/>
        </w:tabs>
        <w:spacing w:before="55"/>
        <w:ind w:left="101"/>
        <w:jc w:val="center"/>
        <w:rPr>
          <w:rFonts w:hint="eastAsia" w:ascii="宋体" w:hAnsi="宋体" w:eastAsia="宋体" w:cs="宋体"/>
        </w:rPr>
        <w:sectPr>
          <w:footerReference r:id="rId3" w:type="default"/>
          <w:pgSz w:w="11910" w:h="16840"/>
          <w:pgMar w:top="1580" w:right="1201" w:bottom="280" w:left="1100" w:header="720" w:footer="720" w:gutter="0"/>
          <w:pgNumType w:fmt="decimal"/>
          <w:cols w:space="720" w:num="1"/>
        </w:sectPr>
      </w:pPr>
      <w:r>
        <w:rPr>
          <w:rFonts w:hint="eastAsia" w:ascii="宋体" w:hAnsi="宋体" w:eastAsia="宋体" w:cs="宋体"/>
          <w:w w:val="99"/>
          <w:u w:val="single"/>
        </w:rPr>
        <w:t xml:space="preserve"> </w:t>
      </w:r>
      <w:r>
        <w:rPr>
          <w:rFonts w:hint="eastAsia" w:ascii="宋体" w:hAnsi="宋体" w:eastAsia="宋体" w:cs="宋体"/>
          <w:u w:val="single"/>
        </w:rPr>
        <w:tab/>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u w:val="single"/>
        </w:rPr>
        <w:tab/>
      </w:r>
      <w:r>
        <w:rPr>
          <w:rFonts w:hint="eastAsia" w:ascii="宋体" w:hAnsi="宋体" w:eastAsia="宋体" w:cs="宋体"/>
        </w:rPr>
        <w:t>月</w:t>
      </w:r>
    </w:p>
    <w:p w14:paraId="46AE7EE7">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pPr>
      <w:r>
        <w:rPr>
          <w:rFonts w:ascii="黑体" w:hAnsi="宋体" w:eastAsia="黑体" w:cs="黑体"/>
          <w:color w:val="000000"/>
          <w:kern w:val="0"/>
          <w:sz w:val="36"/>
          <w:szCs w:val="36"/>
          <w:lang w:val="en-US" w:eastAsia="zh-CN" w:bidi="ar"/>
        </w:rPr>
        <w:t>合同使用说明</w:t>
      </w:r>
    </w:p>
    <w:p w14:paraId="359B624C">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一、本合同通过电力交易平台（包括“ e-交易”APP 和安徽电力交易平台等软件、系统等，下同）提供，参加安徽电力市场交易的售电公司与二级用户应按照本合同示范文本建立零售服务关系，并依据合同约定严格履约。甲乙双方需按照有关规定及时完成法人实名认证等业务办理，妥善保管自身注册账号密码、手机短信验证码、工商营业执照、数字证书等重要信息且勿向他人泄露。依据安徽省零售市场有关规定，二级用户在同一时期内，只能与一家售电公司签订代理合同。</w:t>
      </w:r>
    </w:p>
    <w:p w14:paraId="2CB53173">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二、本合同（含附件，下同）由甲乙双方在电力交易平台确定有关内容，同时由双方法定代表人或授权代理人亲自签署纸质合同并加盖公章（或合同专用章,下同）以及骑缝章后扫描上传电力交易平台完成确认，上传的纸质合同需与双方在电力交易平台确定内容一致。对于需要甲方再次确认的有关合同内容，由甲方法定代表人或授权代理人亲自签署纸质确认书并加盖公章后扫描上传电力交易平台完成确认，条件具备时可通过线上方式完成确认。由授权代理人签署的均需同步提供法人授权委托书。本合同签订生效后，具体条款内容均以电力交易平台的线上约定信息为准。甲方法人实名认证完成后，安徽电力交易中心有限公司（简称省电力交易中心，下同）可将合同签订信息、再次确认内容等告知甲方法定代表人或授权代理人。 </w:t>
      </w:r>
    </w:p>
    <w:p w14:paraId="43F8E92D">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三、本合同附件为《安徽电力零售市场零售套餐参数汇总表（2026 年版）》，与合同正文具有同等的法律效力，需双方法定代表人或授权代理人亲自签署并加盖公章。甲乙双方必须严格遵循合同附件的内容样式，可根据实际情况约定售电服务的参数、自愿条款等内容，合同其他内容以示范文本的内容为准（不得修改、删除本合同及附件的有关文字、注释、说明等），若有私自修改、删除则均属于无效约定，国家与省内政策规则有新规的从其规定。对于零售套餐价格参数、结算价格超过提示阈值的，省电力交易中心可对甲方进行市场风险提示。</w:t>
      </w:r>
    </w:p>
    <w:p w14:paraId="271A93D5">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四、本合同约定的电价(含税，下同)仅为电能量价格、绿色电力环境价值，不含设备运维、能效管理等非市场购售电业务类的增值服务费用。鼓励乙方为甲方提供非市场购售电业务类的增值服务，双方可另行协商签订有关合同，不在本合同中体现。</w:t>
      </w:r>
    </w:p>
    <w:p w14:paraId="66658261">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五、根据《安徽省发展改革委安徽省能源局关于调整我省煤电容量电价的通知》（皖发改价格函〔2025〕335 号）等文件要求，自 2026 年 1 月 1 日起，我省煤电容量电价标准调整为 165 元/千瓦·年(含税)。煤电容量电费纳入系统运行费用，每月由工商业用户按当月用电量比例分摊（本合同约定的电能量价格不包含此煤电容量电价）。售电公司要严格履行电价政策告知程序，确保价格信号及时、合理传导至零售用户。</w:t>
      </w:r>
    </w:p>
    <w:p w14:paraId="162F34F0">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合同执行过程中，若国家法律法规发生重大变化或者政府主管部门出台新的政策规则，需要重新签订或调整合同内容的，双方必须按照要求对本合同相关内容以及后续尚未执行的合同电量等予以重新约定、调整、修改，重签（或新签）合同或协议等。若有违反或拖延的，其后果由责任方承担。</w:t>
      </w:r>
    </w:p>
    <w:p w14:paraId="7C58FF0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七、本合同及其附件构成双方就本合同标的达成的全部内容。交易双方可在国家法律法规及市场规则允许的条件下，自行对合同未尽事项进行协商并签订补充协议。</w:t>
      </w:r>
    </w:p>
    <w:p w14:paraId="77EA3B4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32"/>
          <w:szCs w:val="32"/>
          <w:lang w:val="en-US" w:eastAsia="zh-CN" w:bidi="ar"/>
        </w:rPr>
      </w:pPr>
    </w:p>
    <w:p w14:paraId="60A17B0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2"/>
          <w:szCs w:val="22"/>
        </w:rPr>
      </w:pPr>
    </w:p>
    <w:p w14:paraId="4A955245">
      <w:pPr>
        <w:widowControl w:val="0"/>
        <w:wordWrap/>
        <w:adjustRightInd/>
        <w:snapToGrid w:val="0"/>
        <w:spacing w:line="360" w:lineRule="auto"/>
        <w:ind w:firstLine="435"/>
        <w:textAlignment w:val="auto"/>
        <w:rPr>
          <w:rFonts w:hint="eastAsia" w:ascii="宋体" w:hAnsi="宋体" w:eastAsia="宋体" w:cs="宋体"/>
          <w:color w:val="auto"/>
          <w:sz w:val="24"/>
          <w:highlight w:val="none"/>
        </w:rPr>
      </w:pPr>
    </w:p>
    <w:p w14:paraId="338ADEB6">
      <w:pPr>
        <w:pStyle w:val="38"/>
        <w:rPr>
          <w:rFonts w:hint="eastAsia" w:ascii="宋体" w:hAnsi="宋体" w:eastAsia="宋体" w:cs="宋体"/>
          <w:color w:val="auto"/>
          <w:sz w:val="24"/>
          <w:highlight w:val="none"/>
        </w:rPr>
      </w:pPr>
    </w:p>
    <w:p w14:paraId="43DCD64E">
      <w:pPr>
        <w:pStyle w:val="38"/>
        <w:rPr>
          <w:rFonts w:hint="eastAsia" w:ascii="宋体" w:hAnsi="宋体" w:eastAsia="宋体" w:cs="宋体"/>
          <w:color w:val="auto"/>
          <w:sz w:val="24"/>
          <w:highlight w:val="none"/>
        </w:rPr>
      </w:pPr>
    </w:p>
    <w:p w14:paraId="1905E617">
      <w:pPr>
        <w:pStyle w:val="38"/>
        <w:rPr>
          <w:rFonts w:hint="eastAsia" w:ascii="宋体" w:hAnsi="宋体" w:eastAsia="宋体" w:cs="宋体"/>
          <w:color w:val="auto"/>
          <w:sz w:val="24"/>
          <w:highlight w:val="none"/>
        </w:rPr>
      </w:pPr>
    </w:p>
    <w:p w14:paraId="7ABDE111">
      <w:pPr>
        <w:pStyle w:val="38"/>
        <w:rPr>
          <w:rFonts w:hint="eastAsia" w:ascii="宋体" w:hAnsi="宋体" w:eastAsia="宋体" w:cs="宋体"/>
          <w:color w:val="auto"/>
          <w:sz w:val="24"/>
          <w:highlight w:val="none"/>
        </w:rPr>
      </w:pPr>
    </w:p>
    <w:p w14:paraId="6B6D379E">
      <w:pPr>
        <w:pStyle w:val="38"/>
        <w:rPr>
          <w:rFonts w:hint="eastAsia" w:ascii="宋体" w:hAnsi="宋体" w:eastAsia="宋体" w:cs="宋体"/>
          <w:color w:val="auto"/>
          <w:sz w:val="24"/>
          <w:highlight w:val="none"/>
        </w:rPr>
      </w:pPr>
    </w:p>
    <w:p w14:paraId="3464B54D">
      <w:pPr>
        <w:pStyle w:val="38"/>
        <w:rPr>
          <w:rFonts w:hint="eastAsia" w:ascii="宋体" w:hAnsi="宋体" w:eastAsia="宋体" w:cs="宋体"/>
          <w:color w:val="auto"/>
          <w:sz w:val="24"/>
          <w:highlight w:val="none"/>
        </w:rPr>
      </w:pPr>
    </w:p>
    <w:p w14:paraId="4411650B">
      <w:pPr>
        <w:pStyle w:val="38"/>
        <w:rPr>
          <w:rFonts w:hint="eastAsia" w:ascii="宋体" w:hAnsi="宋体" w:eastAsia="宋体" w:cs="宋体"/>
          <w:color w:val="auto"/>
          <w:sz w:val="24"/>
          <w:highlight w:val="none"/>
        </w:rPr>
      </w:pPr>
    </w:p>
    <w:p w14:paraId="22C07E1D">
      <w:pPr>
        <w:pStyle w:val="38"/>
        <w:rPr>
          <w:rFonts w:hint="eastAsia" w:ascii="宋体" w:hAnsi="宋体" w:eastAsia="宋体" w:cs="宋体"/>
          <w:color w:val="auto"/>
          <w:sz w:val="24"/>
          <w:highlight w:val="none"/>
        </w:rPr>
      </w:pPr>
    </w:p>
    <w:p w14:paraId="3A60A63C">
      <w:pPr>
        <w:pStyle w:val="38"/>
        <w:rPr>
          <w:rFonts w:hint="eastAsia" w:ascii="宋体" w:hAnsi="宋体" w:eastAsia="宋体" w:cs="宋体"/>
          <w:color w:val="auto"/>
          <w:sz w:val="24"/>
          <w:highlight w:val="none"/>
        </w:rPr>
      </w:pPr>
    </w:p>
    <w:p w14:paraId="1E40CF12">
      <w:pPr>
        <w:pStyle w:val="38"/>
        <w:rPr>
          <w:rFonts w:hint="eastAsia" w:ascii="宋体" w:hAnsi="宋体" w:eastAsia="宋体" w:cs="宋体"/>
          <w:color w:val="auto"/>
          <w:sz w:val="24"/>
          <w:highlight w:val="none"/>
        </w:rPr>
      </w:pPr>
    </w:p>
    <w:p w14:paraId="64860A0F">
      <w:pPr>
        <w:pStyle w:val="38"/>
        <w:rPr>
          <w:rFonts w:hint="eastAsia" w:ascii="宋体" w:hAnsi="宋体" w:eastAsia="宋体" w:cs="宋体"/>
          <w:color w:val="auto"/>
          <w:sz w:val="24"/>
          <w:highlight w:val="none"/>
        </w:rPr>
      </w:pPr>
    </w:p>
    <w:p w14:paraId="13B36CA1">
      <w:pPr>
        <w:pStyle w:val="38"/>
        <w:rPr>
          <w:rFonts w:hint="eastAsia" w:ascii="宋体" w:hAnsi="宋体" w:eastAsia="宋体" w:cs="宋体"/>
          <w:color w:val="auto"/>
          <w:sz w:val="24"/>
          <w:highlight w:val="none"/>
        </w:rPr>
      </w:pPr>
    </w:p>
    <w:p w14:paraId="1A89297F">
      <w:pPr>
        <w:pStyle w:val="38"/>
        <w:rPr>
          <w:rFonts w:hint="eastAsia" w:ascii="宋体" w:hAnsi="宋体" w:eastAsia="宋体" w:cs="宋体"/>
          <w:color w:val="auto"/>
          <w:sz w:val="24"/>
          <w:highlight w:val="none"/>
        </w:rPr>
      </w:pPr>
    </w:p>
    <w:p w14:paraId="19AE16DF">
      <w:pPr>
        <w:pStyle w:val="38"/>
        <w:rPr>
          <w:rFonts w:hint="eastAsia" w:ascii="宋体" w:hAnsi="宋体" w:eastAsia="宋体" w:cs="宋体"/>
          <w:color w:val="auto"/>
          <w:sz w:val="24"/>
          <w:highlight w:val="none"/>
        </w:rPr>
      </w:pPr>
    </w:p>
    <w:p w14:paraId="3E82FCA9">
      <w:pPr>
        <w:pStyle w:val="38"/>
        <w:rPr>
          <w:rFonts w:hint="eastAsia" w:ascii="宋体" w:hAnsi="宋体" w:eastAsia="宋体" w:cs="宋体"/>
          <w:color w:val="auto"/>
          <w:sz w:val="24"/>
          <w:highlight w:val="none"/>
        </w:rPr>
      </w:pPr>
    </w:p>
    <w:p w14:paraId="0661FD50">
      <w:pPr>
        <w:pStyle w:val="38"/>
        <w:rPr>
          <w:rFonts w:hint="eastAsia" w:ascii="宋体" w:hAnsi="宋体" w:eastAsia="宋体" w:cs="宋体"/>
          <w:color w:val="auto"/>
          <w:sz w:val="24"/>
          <w:highlight w:val="none"/>
        </w:rPr>
      </w:pPr>
    </w:p>
    <w:p w14:paraId="30C2C1D0">
      <w:pPr>
        <w:pStyle w:val="38"/>
        <w:rPr>
          <w:rFonts w:hint="eastAsia" w:ascii="宋体" w:hAnsi="宋体" w:eastAsia="宋体" w:cs="宋体"/>
          <w:color w:val="auto"/>
          <w:sz w:val="24"/>
          <w:highlight w:val="none"/>
        </w:rPr>
      </w:pPr>
    </w:p>
    <w:p w14:paraId="1576BD61">
      <w:pPr>
        <w:pStyle w:val="38"/>
        <w:rPr>
          <w:rFonts w:hint="eastAsia" w:ascii="宋体" w:hAnsi="宋体" w:eastAsia="宋体" w:cs="宋体"/>
          <w:color w:val="auto"/>
          <w:sz w:val="24"/>
          <w:highlight w:val="none"/>
        </w:rPr>
      </w:pPr>
    </w:p>
    <w:p w14:paraId="7DC209EE">
      <w:pPr>
        <w:pStyle w:val="38"/>
        <w:rPr>
          <w:rFonts w:hint="eastAsia" w:ascii="宋体" w:hAnsi="宋体" w:eastAsia="宋体" w:cs="宋体"/>
          <w:color w:val="auto"/>
          <w:sz w:val="24"/>
          <w:highlight w:val="none"/>
        </w:rPr>
      </w:pPr>
    </w:p>
    <w:p w14:paraId="034C6B8F">
      <w:pPr>
        <w:widowControl w:val="0"/>
        <w:wordWrap/>
        <w:adjustRightInd/>
        <w:snapToGrid w:val="0"/>
        <w:spacing w:line="360" w:lineRule="auto"/>
        <w:ind w:firstLine="435"/>
        <w:textAlignment w:val="auto"/>
        <w:rPr>
          <w:rFonts w:hint="eastAsia" w:ascii="宋体" w:hAnsi="宋体" w:eastAsia="宋体" w:cs="宋体"/>
          <w:color w:val="auto"/>
          <w:sz w:val="24"/>
          <w:highlight w:val="none"/>
        </w:rPr>
      </w:pPr>
    </w:p>
    <w:p w14:paraId="5DC4638A">
      <w:pPr>
        <w:pStyle w:val="5"/>
        <w:spacing w:before="30"/>
        <w:ind w:left="1340"/>
        <w:jc w:val="center"/>
        <w:rPr>
          <w:rFonts w:hint="eastAsia" w:ascii="宋体" w:hAnsi="宋体" w:eastAsia="宋体" w:cs="宋体"/>
          <w:b/>
          <w:bCs/>
          <w:sz w:val="28"/>
          <w:szCs w:val="28"/>
          <w:lang w:val="en-US" w:eastAsia="zh-CN"/>
        </w:rPr>
      </w:pPr>
    </w:p>
    <w:p w14:paraId="3B9197CF">
      <w:pPr>
        <w:pStyle w:val="5"/>
        <w:spacing w:before="30"/>
        <w:ind w:left="1340"/>
        <w:jc w:val="center"/>
        <w:rPr>
          <w:rFonts w:hint="eastAsia" w:ascii="宋体" w:hAnsi="宋体" w:eastAsia="宋体" w:cs="宋体"/>
          <w:b/>
          <w:bCs/>
          <w:sz w:val="28"/>
          <w:szCs w:val="28"/>
          <w:lang w:val="en-US" w:eastAsia="zh-CN"/>
        </w:rPr>
      </w:pPr>
    </w:p>
    <w:p w14:paraId="30EE1390">
      <w:pPr>
        <w:pStyle w:val="5"/>
        <w:spacing w:before="30"/>
        <w:ind w:left="1340"/>
        <w:jc w:val="center"/>
        <w:rPr>
          <w:rFonts w:hint="eastAsia" w:ascii="宋体" w:hAnsi="宋体" w:eastAsia="宋体" w:cs="宋体"/>
          <w:b/>
          <w:bCs/>
          <w:sz w:val="28"/>
          <w:szCs w:val="28"/>
          <w:lang w:val="en-US" w:eastAsia="zh-CN"/>
        </w:rPr>
      </w:pPr>
    </w:p>
    <w:p w14:paraId="7BC62A66">
      <w:pPr>
        <w:pStyle w:val="5"/>
        <w:spacing w:before="30"/>
        <w:ind w:left="1340"/>
        <w:jc w:val="center"/>
        <w:rPr>
          <w:rFonts w:hint="eastAsia" w:ascii="宋体" w:hAnsi="宋体" w:eastAsia="宋体" w:cs="宋体"/>
          <w:b/>
          <w:bCs/>
          <w:sz w:val="28"/>
          <w:szCs w:val="28"/>
          <w:lang w:val="en-US" w:eastAsia="zh-CN"/>
        </w:rPr>
      </w:pPr>
    </w:p>
    <w:p w14:paraId="3F97DA3E">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黑体" w:hAnsi="宋体" w:eastAsia="黑体" w:cs="黑体"/>
          <w:color w:val="000000"/>
          <w:kern w:val="0"/>
          <w:sz w:val="36"/>
          <w:szCs w:val="36"/>
          <w:lang w:val="en-US" w:eastAsia="zh-CN" w:bidi="ar"/>
        </w:rPr>
      </w:pPr>
      <w:r>
        <w:rPr>
          <w:rFonts w:hint="eastAsia" w:ascii="黑体" w:hAnsi="宋体" w:eastAsia="黑体" w:cs="黑体"/>
          <w:color w:val="000000"/>
          <w:kern w:val="0"/>
          <w:sz w:val="36"/>
          <w:szCs w:val="36"/>
          <w:lang w:val="en-US" w:eastAsia="zh-CN" w:bidi="ar"/>
        </w:rPr>
        <w:t>一、双方陈述</w:t>
      </w:r>
    </w:p>
    <w:p w14:paraId="5B7F1D7A">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甲、乙双方任何一方在此向对方陈述如下：</w:t>
      </w:r>
    </w:p>
    <w:p w14:paraId="26AD4F8B">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1.1 本方为一家依法设立并合法存续的企业，符合电力市场准入条件，已在省电力交易中心完成市场注册，有权签署并有能力履行本合同。 </w:t>
      </w:r>
    </w:p>
    <w:p w14:paraId="0F66AC7B">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1.2 本方签署和履行本合同所需的一切资质资格（包括办理必要的政府批准、取得营业执照等）均已办理完毕并合法有效。 </w:t>
      </w:r>
    </w:p>
    <w:p w14:paraId="483FA238">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1.3 本方根据国家有关法律、法规，依据安徽电力中长期交易规则及年度实施方案、绿色电力交易相关规则、安徽现货市场建设相关政策规则等，本着平等、自愿、公平、诚信的原则，经协商一致，签订本合同，合同内容符合国家有关市场交易的法律、法规以及政策等。在省电力交易中心通知的交易时间范围内，合同双方及时在电力交易平台完成零售关系绑定或变更，不拖签、拒签或提出不合理诉求。 </w:t>
      </w:r>
    </w:p>
    <w:p w14:paraId="2602FFF8">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1.4 在签署本合同时，人民法院、仲裁机构、行政机关均未做出过任何足以对本方履行本合同产生重大不利影响的判决、裁定、裁决或具体行政行为。</w:t>
      </w:r>
    </w:p>
    <w:p w14:paraId="35BDECB4">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1.5 本方系一家具有法人资格/经法人单位授权的用电企业/售电公司，签署本合同所需的内部授权程序均已完成，签署本合同的是本方法定代表人或授权代理人，并且本合同生效后即对双方具有法律约束力。</w:t>
      </w:r>
    </w:p>
    <w:p w14:paraId="72785B21">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1.6 本方已充分理解电力市场有关规则，完全清楚电力市场可能存在的风险，认同成交结果，统一按照本合同约定执行，并自愿承担可能存在的后果。 </w:t>
      </w:r>
    </w:p>
    <w:p w14:paraId="4A985FB6">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1.7 本方妥善保管自身注册账号密码、手机短信验证码、工商营业执照、数字证书等重要信息，勿向他人泄露，因信息泄露而产生的损失及由此引起的纠纷，由本方承担相关责任。</w:t>
      </w:r>
    </w:p>
    <w:p w14:paraId="741CF020">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1.8 如国家法律、法规发生变化或者政府有关部门出台有关规定、规则，合同双方同意按照法律、法规、规定和规则对本合同予以调整和修改。</w:t>
      </w:r>
    </w:p>
    <w:p w14:paraId="31E7872D">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1.9 甲方承诺在本代理合同签订后，除非本合同依法终止，在本合同有效期内不再与其他售电公司签订电力零售市场代理合同。</w:t>
      </w:r>
    </w:p>
    <w:p w14:paraId="38D4D9E4">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1.10 甲方应及时向乙方提供与履行本合同相关的电力电量需求和其他生产信息，通报用电户号的开户、过户、销户等可能影响电力市场交易的情况。其中，甲方所涉用电户号和用电信息等以省电力公司营销业务系统和电力交易平台为准。 </w:t>
      </w:r>
    </w:p>
    <w:p w14:paraId="5DC1F51E">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1.11 乙方应向甲方提供优质的售电服务，承担保密义务、不泄露用户信息，及时向甲方告知煤电容量电价机制等政策调整情况及其可能带来的影响，详细向甲方解释说明附件零售套餐参数及其要求。乙方退出电力市场时，应与甲方解除零售合同，并配合完成电费、电量的清算。</w:t>
      </w:r>
    </w:p>
    <w:p w14:paraId="73B0A9AA">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1.12 乙方必须按时足额缴纳履约保函或履约保险等履约担保，在履约担保额度不足时及时补缴。</w:t>
      </w:r>
    </w:p>
    <w:p w14:paraId="4336A4E5">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1.13 在批发或零售市场，若本方因自身原因在交易过程中出现误判、错漏或其他异常情况等，导致价格电量异常和亏损金额较大的，则本方自行承担相应责任和后果。乙方若在中长期、现货和绿电等交易中出现频繁或大幅反向交易、大量超买超卖、价格电量异常、盈亏金额较大等异常情况，电力交易机构可按照能源监管机构和政府主管部门要求采取信用评价或风险防控等措施。</w:t>
      </w:r>
    </w:p>
    <w:p w14:paraId="581232C5">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二、双方的权利和义务</w:t>
      </w:r>
    </w:p>
    <w:p w14:paraId="4E31DA1A">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2.1 甲方的权利包括：</w:t>
      </w:r>
    </w:p>
    <w:p w14:paraId="33503EC7">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2.1.1 根据与属地供电企业签订的《供用电合同》，按照国家有关法规享受供电企业提供的有关接入和用电服务。</w:t>
      </w:r>
    </w:p>
    <w:p w14:paraId="41F5C755">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2.1.2 获得乙方履行本合同义务相关的信息、资料。</w:t>
      </w:r>
    </w:p>
    <w:p w14:paraId="020A2F08">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2.1.3 国家法律法规、政策、交易规则规定的其他权利。</w:t>
      </w:r>
    </w:p>
    <w:p w14:paraId="4D534C3C">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2.2 甲方的义务包括：</w:t>
      </w:r>
    </w:p>
    <w:p w14:paraId="282CC281">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2.2.1 按照省电力交易中心相关规定，提交注册资料，完成市场注册。</w:t>
      </w:r>
    </w:p>
    <w:p w14:paraId="592AF193">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2.2.2 根据实际用电需求，向乙方提供代理合同意向电量并在合同中明确。</w:t>
      </w:r>
    </w:p>
    <w:p w14:paraId="758ED1BE">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2.2.3 按照安徽电力市场规则，承担偏差电费（如有）。</w:t>
      </w:r>
    </w:p>
    <w:p w14:paraId="03E7F287">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2.2.4 向乙方提供与履行本合同相关的其他信息。如实提供用户用电信息，配合乙方、供电企业及省电力交易中心进行电力（电量）交易、电费结算、数据统计等工作。 </w:t>
      </w:r>
    </w:p>
    <w:p w14:paraId="3A74DC59">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2.2.5 根据法律法规、政策规定与供电企业签订《供用电合同》，按时足额缴纳电费。</w:t>
      </w:r>
    </w:p>
    <w:p w14:paraId="174F3E75">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2.2.6 电力交易电量不得转供或变相转供。</w:t>
      </w:r>
    </w:p>
    <w:p w14:paraId="39744F16">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2.2.7 国家法律法规、政策、交易规则规定的其他义务。</w:t>
      </w:r>
    </w:p>
    <w:p w14:paraId="3CCAABD5">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2.3 乙方的权利包括：</w:t>
      </w:r>
    </w:p>
    <w:p w14:paraId="68AB7ADD">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2.3.1 获得甲方提供履行本合同义务相关的信息、资料及获得历史用电信息。 </w:t>
      </w:r>
    </w:p>
    <w:p w14:paraId="26839C00">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2.3.2 按相关政策规定和本合同约定获得电力市场相关费用。</w:t>
      </w:r>
    </w:p>
    <w:p w14:paraId="54F61C5D">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2.3.3 国家法律法规、政策、交易规则规定的其他权利。</w:t>
      </w:r>
    </w:p>
    <w:p w14:paraId="3719DDCD">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2.4 乙方的义务包括：</w:t>
      </w:r>
    </w:p>
    <w:p w14:paraId="4912CDDB">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2.4.1 按照省电力交易中心相关规定，提交注册资料，完成市场注册。</w:t>
      </w:r>
    </w:p>
    <w:p w14:paraId="6CE95953">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2.4.2 按照安徽电力市场规则，参与电力直接交易，承担偏差电费（如有）。</w:t>
      </w:r>
    </w:p>
    <w:p w14:paraId="26C8B74D">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2.4.3 按照国家有关法律法规、政策、交易规则和技术规范，代理甲方参加电力直接交易。</w:t>
      </w:r>
    </w:p>
    <w:p w14:paraId="2EC582FC">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2.4.4 向甲方提供真实准确的有关电力直接交易与本零售合同约定的相关信息及资料，不得提供虚假的或误导性的信息。</w:t>
      </w:r>
    </w:p>
    <w:p w14:paraId="3B21830E">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2.4.5 协助甲方申请办理电力交易有关手续。</w:t>
      </w:r>
    </w:p>
    <w:p w14:paraId="3809532B">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2.4.6 向甲方、供电企业及省电力交易中心提供与履行本合同相关的其他信息。</w:t>
      </w:r>
    </w:p>
    <w:p w14:paraId="0E0D9712">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2.4.7 按相关政策规定和本合同约定支出电力市场相关费用。</w:t>
      </w:r>
    </w:p>
    <w:p w14:paraId="40FEC938">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2.4.8 国家法律法规、政策、交易规则规定的其他义务。</w:t>
      </w:r>
    </w:p>
    <w:p w14:paraId="2EF94E13">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2.5 甲乙双方约定在合同有效期内，甲方同意乙方通过交易平台或供电企业营销业务系统查询甲方历史用电曲线以及分时用电数据等。</w:t>
      </w:r>
    </w:p>
    <w:p w14:paraId="79FF1BAC">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2.6 除双方另行约定外，本合同约定甲方委托乙方参与合同期内电力中长期、现货及绿电等电力直接交易。若甲方在供电企业营销系统具有多个用电户号，对应工商业用电量均由乙方代理，按本合同约定内容执行。</w:t>
      </w:r>
    </w:p>
    <w:p w14:paraId="4FA324D5">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2.7 乙方完成批发市场直接交易后，应及时将交易结果通知甲方。</w:t>
      </w:r>
    </w:p>
    <w:p w14:paraId="3905484C">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2.8 合同有效期内，因国家或安徽省电力市场相关法律法规、政策、交易规则发生重大调整，导致合同无法执行时，按国家或安徽省相关法律法规、政策、交易规则执行，必要时应根据政府有关部门要求，甲乙双方经协商一致后重新签订合同或对合同内容进行修改。</w:t>
      </w:r>
    </w:p>
    <w:p w14:paraId="53AAD337">
      <w:pPr>
        <w:pStyle w:val="6"/>
        <w:rPr>
          <w:rFonts w:hint="eastAsia" w:ascii="宋体" w:hAnsi="宋体" w:eastAsia="宋体" w:cs="宋体"/>
          <w:b w:val="0"/>
          <w:bCs w:val="0"/>
          <w:sz w:val="28"/>
          <w:szCs w:val="28"/>
        </w:rPr>
      </w:pPr>
    </w:p>
    <w:p w14:paraId="59761F29">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黑体" w:hAnsi="宋体" w:eastAsia="黑体" w:cs="黑体"/>
          <w:color w:val="000000"/>
          <w:kern w:val="0"/>
          <w:sz w:val="36"/>
          <w:szCs w:val="36"/>
          <w:lang w:val="en-US" w:eastAsia="zh-CN" w:bidi="ar"/>
        </w:rPr>
      </w:pPr>
      <w:r>
        <w:rPr>
          <w:rFonts w:hint="eastAsia" w:ascii="黑体" w:hAnsi="宋体" w:eastAsia="黑体" w:cs="黑体"/>
          <w:color w:val="000000"/>
          <w:kern w:val="0"/>
          <w:sz w:val="36"/>
          <w:szCs w:val="36"/>
          <w:lang w:val="en-US" w:eastAsia="zh-CN" w:bidi="ar"/>
        </w:rPr>
        <w:t>三、电价、计量与结算</w:t>
      </w:r>
    </w:p>
    <w:p w14:paraId="699B007F">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3.1 本合同中约定的电价(含税)均指市场化交易成交电价，即售电公司代理用户参加市场交易的电价，不含上网环节线损费用、输配电价、系统运行费用、政府性基金及附加等。甲方实际市场化购电费结算电价需在上述市场化交易成交电价的基础上加上上网环节线损费用、输配电价、系统运行费用、政府性基金及附加等。分摊（享）等费用按相关市场规则计算。</w:t>
      </w:r>
    </w:p>
    <w:p w14:paraId="34938B58">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3.2 甲方结算电量以甲方与电网企业签订的供用电合同中所约定的抄表时间抄录和计量点关口表计量数据为依据，省电力交易中心按照甲方实际用电量进行结算。 </w:t>
      </w:r>
    </w:p>
    <w:p w14:paraId="61A19A2A">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3.3 在本合同执行期内，省电力交易中心依据国家及安徽省电力市场有关政策文件、交易规则等规定，按照合同双方通过电力交易平台签约确认的零售套餐各项参数（具体参数见附件《安徽电力零售市场零售套餐参数汇总表（2026 年版）》）和电网企业提供的抄表电量，出具结算依据。电网企业按照国家及安徽省有关政策规则开展电费核算和收支。 </w:t>
      </w:r>
    </w:p>
    <w:p w14:paraId="2658E509">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黑体" w:hAnsi="宋体" w:eastAsia="黑体" w:cs="黑体"/>
          <w:color w:val="000000"/>
          <w:kern w:val="0"/>
          <w:sz w:val="36"/>
          <w:szCs w:val="36"/>
          <w:lang w:val="en-US" w:eastAsia="zh-CN" w:bidi="ar"/>
        </w:rPr>
      </w:pPr>
      <w:r>
        <w:rPr>
          <w:rFonts w:hint="eastAsia" w:ascii="黑体" w:hAnsi="宋体" w:eastAsia="黑体" w:cs="黑体"/>
          <w:color w:val="000000"/>
          <w:kern w:val="0"/>
          <w:sz w:val="36"/>
          <w:szCs w:val="36"/>
          <w:lang w:val="en-US" w:eastAsia="zh-CN" w:bidi="ar"/>
        </w:rPr>
        <w:t xml:space="preserve">四、合同签订、变更与终止 </w:t>
      </w:r>
    </w:p>
    <w:p w14:paraId="05CD1D5F">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4.1 本合同（含附件）由甲乙双方在电力交易平台确定有关内容，同时由双方法定代表人或授权代理人亲自签署纸质合同并加盖公章以及骑缝章后扫描上传电力交易平台完成确认，上传的纸质合同需与双方在电力交易平台确定内容一致。对于需要甲方再次确认的有关合同内容，由甲方法定代表人或授权代理人亲自签署纸质确认书并加盖公章后扫描上传电力交易平台完成确认，条件具备时可通过线上方式完成确认。由授权代理人签署的均需同步提供法人授权委托书。本合同签订生效后，具体条款内容均以电力交易平台的线上约定信息为准。</w:t>
      </w:r>
    </w:p>
    <w:p w14:paraId="2F563F7C">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4.2 本合同中的市场术语均依照安徽省电力市场相关规则，其具体解释按规则执行。本合同中双方做出的市场交易约定需符合安徽省电力市场相关规则，双方对本合同内容做出违背或超出市场规则的约定均属于虚假承诺。</w:t>
      </w:r>
    </w:p>
    <w:p w14:paraId="688B3751">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4.3 双方对因签署和履行本合同而获得的对方商业秘密（包括但不限于本合同履行期间一方知悉对方的任何文件及材料），负有严格的保密义务，未经该资料和文件的原提供方书面同意，不得向第三方泄露，但按照法律法规和政策规则可做出披露的情况除外。本合同中有关解除、争议解决和保密的相关条款，在本合同解除或终止后仍然有效。</w:t>
      </w:r>
    </w:p>
    <w:p w14:paraId="40A45ECB">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4.4 零售关系绑定是指双方按照电力交易平台提供的合同示范文本和零售套餐、格式文本内容、交易开展流程等，在规定的绑定期限内拟定套餐内容和选项参数等，据此形成的内容集合。</w:t>
      </w:r>
    </w:p>
    <w:p w14:paraId="6DA6F961">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4.5 双方必须在电力交易平台完成零售关系绑定和零售套餐变更等，双方约定的零售套餐条款内容均以电力交易平台线上确定信息为准；后续双方若在电力交易平台办理零售套餐变更，则以完成变更后线上确定的内容作为本合同的约定条款内容。</w:t>
      </w:r>
    </w:p>
    <w:p w14:paraId="22F313A4">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4.6 在本合同期满之前，除执行有关政策规定或已达成约定外，双方不得擅自解除绑定关系或修改绑定期限；在本合同期满之后，双方自动终止零售绑定关系。每月在电力交易平台通知的零售套餐变更截止时间之前，双方可在符合政策规则的前提下办理并完成绑定关系解除，自次月起解除零售绑定关系。</w:t>
      </w:r>
    </w:p>
    <w:p w14:paraId="10BE3FC7">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4.7 每月在电力交易平台通知的零售套餐变更截止时间之前，双方可通过办理并完成合同变更。双方通过线上方式完成提交和确认零售套餐变更内容后，必须完成认证并通过省电力交易中心审核后方可完成本次变更。</w:t>
      </w:r>
    </w:p>
    <w:p w14:paraId="44726354">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4.8 具有以下情形之一时，双方解除合同：①双方自主协商，达成解除合同一致意见并签订书面合同终止协议；②人民法院或仲裁机构出具的生效法律文书确认本合同无效、终止或解除的；③一方进入破产、清算或解散程序，或被强制退出电力市场，导致本合同客观上无法继续履行的；④本合同或附件约定的解除条件成就的。</w:t>
      </w:r>
    </w:p>
    <w:p w14:paraId="752B34FA">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4.9 任何一方违反本合同约定条款视为违约，除按本合同约定或依法可免除责任的情形外，合同另一方有权要求违约方按照《中华人民共和国民法典》的相关规定承担违约责任并赔偿违约造成的经济损失。 </w:t>
      </w:r>
    </w:p>
    <w:p w14:paraId="5FDFD716">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4.10 因签署和履行本合同所发生的与本合同有关的一切争议，双方应协商解决，在必要时可提请省电力交易中心等进行调解。协商或调解不成的，双方自行通过仲裁机构或司法程序解决。</w:t>
      </w:r>
    </w:p>
    <w:p w14:paraId="3C651211">
      <w:pPr>
        <w:keepNext w:val="0"/>
        <w:keepLines w:val="0"/>
        <w:pageBreakBefore w:val="0"/>
        <w:widowControl/>
        <w:suppressLineNumbers w:val="0"/>
        <w:kinsoku/>
        <w:wordWrap/>
        <w:overflowPunct/>
        <w:topLinePunct w:val="0"/>
        <w:autoSpaceDE/>
        <w:autoSpaceDN/>
        <w:bidi w:val="0"/>
        <w:adjustRightInd/>
        <w:snapToGrid/>
        <w:spacing w:line="480" w:lineRule="auto"/>
        <w:jc w:val="center"/>
        <w:textAlignment w:val="auto"/>
        <w:rPr>
          <w:rFonts w:hint="eastAsia" w:ascii="黑体" w:hAnsi="宋体" w:eastAsia="黑体" w:cs="黑体"/>
          <w:color w:val="000000"/>
          <w:kern w:val="0"/>
          <w:sz w:val="36"/>
          <w:szCs w:val="36"/>
          <w:lang w:val="en-US" w:eastAsia="zh-CN" w:bidi="ar"/>
        </w:rPr>
      </w:pPr>
      <w:r>
        <w:rPr>
          <w:rFonts w:hint="eastAsia" w:ascii="黑体" w:hAnsi="宋体" w:eastAsia="黑体" w:cs="黑体"/>
          <w:color w:val="000000"/>
          <w:kern w:val="0"/>
          <w:sz w:val="36"/>
          <w:szCs w:val="36"/>
          <w:lang w:val="en-US" w:eastAsia="zh-CN" w:bidi="ar"/>
        </w:rPr>
        <w:t>五、其他</w:t>
      </w:r>
    </w:p>
    <w:p w14:paraId="1A2E3769">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5.1 本合同的订立、效力、解释、履行和争议解决适用《中华人民共和国民法典》《中华人民共和民事诉讼法》《中华人民共和国电力法》及其配套法律、行政法规、规章等中华人民共和国法律。</w:t>
      </w:r>
    </w:p>
    <w:p w14:paraId="4BABD8DE">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5.2 任一方未通过书面形式声明放弃其在本合同项下的任何权利，均不应被视为其弃权。任一方未行使其在本合同项下的任何权利，均不应被视为对任何上述权利的放弃或对今后任何上述权利的放弃。</w:t>
      </w:r>
    </w:p>
    <w:p w14:paraId="6ECE93D8">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5.3 甲乙双方任何与本合同有关的通知、文件和合规的帐单等均须以书面方式进行。通过挂号信、快递或当面送交的，经收件方签字确认即被认为送达；若以传真方式发出并被接收，即视为送达。所有通知、文件和合规的帐单等均在送达或接收后方能生效。一切通知、帐单、资料或文件等应发往本合同提供的地址。当该方书面通知另一方变更地址时，发往变更后的地址。</w:t>
      </w:r>
    </w:p>
    <w:p w14:paraId="398D01F2">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 xml:space="preserve">5.4 本合同中绿色电力交易是指以绿色电力和对应绿色电力环境价值为标的物的电力交易品种，交易电力同时提供国家核发的可再生能源绿色电力证书（简称“绿证”）。乙方需根据本合同约定满足甲方提出的绿色电力需求。 </w:t>
      </w:r>
    </w:p>
    <w:p w14:paraId="6439315D">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5.5 本合同中常规电力交易是指除绿色电力交易外的中长期、现货等电力直接交易。</w:t>
      </w:r>
    </w:p>
    <w:p w14:paraId="400C19D6">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5.6 如有需要，双方可就增值服务、保密、违约赔偿等其他事项，在国家法律法规及市场规则等允许的条件下，对合同未尽事项进行协商并签订补充协议。但补充协议不得与本合同内容（包括但不限于电价、电量、结算方式、绑定关系）相抵触，且不得以补充协议为由对抗省电力交易中心依据本合同及平台数据进行的结算、执行与管理。</w:t>
      </w:r>
    </w:p>
    <w:p w14:paraId="5E9DF882">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5.7 在发生不可抗力时，若不可抗力的发生完全或部分地妨碍合同任一方履行本合同项下的任何义务，则该方可暂停履行其义务，但前提是：暂停履行的范围和时间不超过消除不可抗力影响的合理需要；受不可抗力影响的一方应继续履行本合同项下未受不可抗力影响的其他义务，包括所有到期付款的义务。</w:t>
      </w:r>
    </w:p>
    <w:p w14:paraId="69A57EA9">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5.7.1 受不可抗力影响的一方应采取合理的措施，以减少因不可抗力给对方带来的损失。如果受不可抗力影响的一方未能尽其努力采取合理措施减少不可抗力的影响，则该方应承担由此扩大的损失。</w:t>
      </w:r>
    </w:p>
    <w:p w14:paraId="40E03C0E">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5.7.2 若合同一方因不可抗力而不能履行本合同，则该方应书面通知另一方。该通知书应说明不可抗力的发生日期和预计持续的时间、事件性质、对该方履行本合同的影响、该方为减少不可抗力影响所采取的措施及由不可抗力发生地公证机构出具的证明文件。</w:t>
      </w:r>
    </w:p>
    <w:p w14:paraId="65D4A622">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000000"/>
          <w:kern w:val="0"/>
          <w:sz w:val="32"/>
          <w:szCs w:val="32"/>
          <w:lang w:val="en-US" w:eastAsia="zh-CN" w:bidi="ar"/>
        </w:rPr>
      </w:pPr>
      <w:r>
        <w:rPr>
          <w:rFonts w:hint="eastAsia" w:ascii="仿宋" w:hAnsi="仿宋" w:eastAsia="仿宋" w:cs="仿宋"/>
          <w:color w:val="000000"/>
          <w:kern w:val="0"/>
          <w:sz w:val="32"/>
          <w:szCs w:val="32"/>
          <w:lang w:val="en-US" w:eastAsia="zh-CN" w:bidi="ar"/>
        </w:rPr>
        <w:t>5.8 未尽事宜，按照国家、地方政府等出台的相关政策文件执行。本合同内容与国家及地方政府等有关部门出台政策文件不符的，以政策文件有关规定为准。</w:t>
      </w:r>
    </w:p>
    <w:p w14:paraId="233C592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32"/>
          <w:szCs w:val="32"/>
          <w:lang w:val="en-US" w:eastAsia="zh-CN" w:bidi="ar"/>
        </w:rPr>
      </w:pPr>
    </w:p>
    <w:p w14:paraId="6FE206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32"/>
          <w:szCs w:val="32"/>
          <w:lang w:val="en-US" w:eastAsia="zh-CN" w:bidi="ar"/>
        </w:rPr>
      </w:pPr>
    </w:p>
    <w:p w14:paraId="5BF8D0E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32"/>
          <w:szCs w:val="32"/>
          <w:lang w:val="en-US" w:eastAsia="zh-CN" w:bidi="ar"/>
        </w:rPr>
      </w:pPr>
    </w:p>
    <w:p w14:paraId="111C4F94">
      <w:pPr>
        <w:pStyle w:val="38"/>
        <w:rPr>
          <w:rFonts w:hint="eastAsia" w:ascii="仿宋" w:hAnsi="仿宋" w:eastAsia="仿宋" w:cs="仿宋"/>
          <w:color w:val="000000"/>
          <w:kern w:val="0"/>
          <w:sz w:val="32"/>
          <w:szCs w:val="32"/>
          <w:lang w:val="en-US" w:eastAsia="zh-CN" w:bidi="ar"/>
        </w:rPr>
      </w:pPr>
    </w:p>
    <w:p w14:paraId="2FA5ABB2">
      <w:pPr>
        <w:pStyle w:val="38"/>
        <w:rPr>
          <w:rFonts w:hint="eastAsia" w:ascii="仿宋" w:hAnsi="仿宋" w:eastAsia="仿宋" w:cs="仿宋"/>
          <w:color w:val="000000"/>
          <w:kern w:val="0"/>
          <w:sz w:val="32"/>
          <w:szCs w:val="32"/>
          <w:lang w:val="en-US" w:eastAsia="zh-CN" w:bidi="ar"/>
        </w:rPr>
      </w:pPr>
    </w:p>
    <w:p w14:paraId="431B6677">
      <w:pPr>
        <w:pStyle w:val="6"/>
        <w:rPr>
          <w:rFonts w:hint="eastAsia" w:ascii="宋体" w:hAnsi="宋体" w:eastAsia="宋体" w:cs="宋体"/>
          <w:b w:val="0"/>
          <w:bCs w:val="0"/>
          <w:sz w:val="28"/>
          <w:szCs w:val="28"/>
        </w:rPr>
      </w:pPr>
    </w:p>
    <w:p w14:paraId="33EA09F4">
      <w:pPr>
        <w:pStyle w:val="6"/>
        <w:rPr>
          <w:rFonts w:hint="eastAsia" w:ascii="宋体" w:hAnsi="宋体" w:eastAsia="宋体" w:cs="宋体"/>
          <w:b w:val="0"/>
          <w:bCs w:val="0"/>
          <w:sz w:val="28"/>
          <w:szCs w:val="28"/>
        </w:rPr>
      </w:pPr>
    </w:p>
    <w:p w14:paraId="09164B14">
      <w:pPr>
        <w:pStyle w:val="6"/>
        <w:rPr>
          <w:rFonts w:hint="eastAsia" w:ascii="宋体" w:hAnsi="宋体" w:eastAsia="宋体" w:cs="宋体"/>
          <w:b w:val="0"/>
          <w:bCs w:val="0"/>
          <w:sz w:val="28"/>
          <w:szCs w:val="28"/>
        </w:rPr>
      </w:pPr>
    </w:p>
    <w:p w14:paraId="28A3DCC0">
      <w:pPr>
        <w:pStyle w:val="6"/>
        <w:rPr>
          <w:rFonts w:hint="eastAsia" w:ascii="宋体" w:hAnsi="宋体" w:eastAsia="宋体" w:cs="宋体"/>
          <w:b w:val="0"/>
          <w:bCs w:val="0"/>
          <w:sz w:val="28"/>
          <w:szCs w:val="28"/>
        </w:rPr>
      </w:pPr>
    </w:p>
    <w:p w14:paraId="46AA1591">
      <w:pPr>
        <w:pStyle w:val="6"/>
        <w:rPr>
          <w:rFonts w:hint="eastAsia" w:ascii="宋体" w:hAnsi="宋体" w:eastAsia="宋体" w:cs="宋体"/>
          <w:b w:val="0"/>
          <w:bCs w:val="0"/>
          <w:sz w:val="28"/>
          <w:szCs w:val="28"/>
        </w:rPr>
      </w:pPr>
    </w:p>
    <w:p w14:paraId="472B2F7C">
      <w:pPr>
        <w:pStyle w:val="6"/>
        <w:rPr>
          <w:rFonts w:hint="eastAsia" w:ascii="宋体" w:hAnsi="宋体" w:eastAsia="宋体" w:cs="宋体"/>
          <w:b w:val="0"/>
          <w:bCs w:val="0"/>
          <w:sz w:val="28"/>
          <w:szCs w:val="28"/>
        </w:rPr>
      </w:pPr>
    </w:p>
    <w:p w14:paraId="7A74C478">
      <w:pPr>
        <w:pStyle w:val="6"/>
        <w:rPr>
          <w:rFonts w:hint="eastAsia" w:ascii="宋体" w:hAnsi="宋体" w:eastAsia="宋体" w:cs="宋体"/>
          <w:b w:val="0"/>
          <w:bCs w:val="0"/>
          <w:sz w:val="28"/>
          <w:szCs w:val="28"/>
        </w:rPr>
      </w:pPr>
    </w:p>
    <w:p w14:paraId="3E2C567E">
      <w:pPr>
        <w:pStyle w:val="6"/>
        <w:rPr>
          <w:rFonts w:hint="eastAsia" w:ascii="宋体" w:hAnsi="宋体" w:eastAsia="宋体" w:cs="宋体"/>
          <w:b w:val="0"/>
          <w:bCs w:val="0"/>
          <w:sz w:val="28"/>
          <w:szCs w:val="28"/>
        </w:rPr>
      </w:pPr>
    </w:p>
    <w:p w14:paraId="7F911DFA">
      <w:pPr>
        <w:pStyle w:val="6"/>
        <w:rPr>
          <w:rFonts w:hint="eastAsia" w:ascii="宋体" w:hAnsi="宋体" w:eastAsia="宋体" w:cs="宋体"/>
          <w:b w:val="0"/>
          <w:bCs w:val="0"/>
          <w:sz w:val="28"/>
          <w:szCs w:val="28"/>
        </w:rPr>
      </w:pPr>
    </w:p>
    <w:p w14:paraId="2485D308">
      <w:pPr>
        <w:pStyle w:val="6"/>
        <w:rPr>
          <w:rFonts w:hint="eastAsia" w:ascii="宋体" w:hAnsi="宋体" w:eastAsia="宋体" w:cs="宋体"/>
          <w:b w:val="0"/>
          <w:bCs w:val="0"/>
          <w:sz w:val="28"/>
          <w:szCs w:val="28"/>
        </w:rPr>
      </w:pPr>
    </w:p>
    <w:p w14:paraId="5CEB1777">
      <w:pPr>
        <w:pStyle w:val="6"/>
        <w:rPr>
          <w:rFonts w:hint="eastAsia" w:ascii="宋体" w:hAnsi="宋体" w:eastAsia="宋体" w:cs="宋体"/>
          <w:b w:val="0"/>
          <w:bCs w:val="0"/>
          <w:sz w:val="28"/>
          <w:szCs w:val="28"/>
        </w:rPr>
      </w:pPr>
    </w:p>
    <w:p w14:paraId="07DFCA30">
      <w:pPr>
        <w:pStyle w:val="6"/>
        <w:rPr>
          <w:rFonts w:hint="eastAsia" w:ascii="宋体" w:hAnsi="宋体" w:eastAsia="宋体" w:cs="宋体"/>
          <w:b w:val="0"/>
          <w:bCs w:val="0"/>
          <w:sz w:val="28"/>
          <w:szCs w:val="28"/>
        </w:rPr>
      </w:pPr>
    </w:p>
    <w:p w14:paraId="2E194C70">
      <w:pPr>
        <w:pStyle w:val="6"/>
        <w:rPr>
          <w:rFonts w:hint="eastAsia" w:ascii="宋体" w:hAnsi="宋体" w:eastAsia="宋体" w:cs="宋体"/>
          <w:b w:val="0"/>
          <w:bCs w:val="0"/>
          <w:sz w:val="28"/>
          <w:szCs w:val="28"/>
        </w:rPr>
      </w:pPr>
    </w:p>
    <w:p w14:paraId="5AA3EE70">
      <w:pPr>
        <w:pStyle w:val="6"/>
        <w:rPr>
          <w:rFonts w:hint="eastAsia" w:ascii="宋体" w:hAnsi="宋体" w:eastAsia="宋体" w:cs="宋体"/>
          <w:b w:val="0"/>
          <w:bCs w:val="0"/>
          <w:sz w:val="28"/>
          <w:szCs w:val="28"/>
        </w:rPr>
      </w:pPr>
    </w:p>
    <w:p w14:paraId="663D96FE">
      <w:pPr>
        <w:pStyle w:val="6"/>
        <w:rPr>
          <w:rFonts w:hint="eastAsia" w:ascii="宋体" w:hAnsi="宋体" w:eastAsia="宋体" w:cs="宋体"/>
          <w:b w:val="0"/>
          <w:bCs w:val="0"/>
          <w:sz w:val="28"/>
          <w:szCs w:val="28"/>
        </w:rPr>
      </w:pPr>
    </w:p>
    <w:p w14:paraId="6D23FEFC">
      <w:pPr>
        <w:pStyle w:val="6"/>
        <w:rPr>
          <w:rFonts w:hint="eastAsia" w:ascii="宋体" w:hAnsi="宋体" w:eastAsia="宋体" w:cs="宋体"/>
          <w:b w:val="0"/>
          <w:bCs w:val="0"/>
          <w:sz w:val="28"/>
          <w:szCs w:val="28"/>
        </w:rPr>
      </w:pPr>
    </w:p>
    <w:p w14:paraId="40DB090F">
      <w:pPr>
        <w:pStyle w:val="6"/>
        <w:rPr>
          <w:rFonts w:hint="eastAsia" w:ascii="宋体" w:hAnsi="宋体" w:eastAsia="宋体" w:cs="宋体"/>
          <w:b w:val="0"/>
          <w:bCs w:val="0"/>
          <w:sz w:val="28"/>
          <w:szCs w:val="28"/>
        </w:rPr>
      </w:pPr>
    </w:p>
    <w:p w14:paraId="391EE382">
      <w:pPr>
        <w:pStyle w:val="6"/>
        <w:rPr>
          <w:rFonts w:hint="eastAsia" w:ascii="宋体" w:hAnsi="宋体" w:eastAsia="宋体" w:cs="宋体"/>
          <w:b w:val="0"/>
          <w:bCs w:val="0"/>
          <w:sz w:val="28"/>
          <w:szCs w:val="28"/>
        </w:rPr>
      </w:pPr>
    </w:p>
    <w:p w14:paraId="296E61C3">
      <w:pPr>
        <w:pStyle w:val="5"/>
        <w:spacing w:before="30"/>
        <w:ind w:left="1340"/>
        <w:rPr>
          <w:rFonts w:hint="eastAsia" w:ascii="宋体" w:hAnsi="宋体" w:eastAsia="宋体" w:cs="宋体"/>
          <w:b w:val="0"/>
          <w:bCs w:val="0"/>
          <w:sz w:val="28"/>
          <w:szCs w:val="28"/>
        </w:rPr>
      </w:pPr>
      <w:r>
        <w:rPr>
          <w:rFonts w:hint="eastAsia" w:ascii="宋体" w:hAnsi="宋体" w:eastAsia="宋体" w:cs="宋体"/>
          <w:b w:val="0"/>
          <w:bCs w:val="0"/>
          <w:sz w:val="28"/>
          <w:szCs w:val="28"/>
        </w:rPr>
        <w:t>签字页</w:t>
      </w:r>
    </w:p>
    <w:p w14:paraId="485CC279">
      <w:pPr>
        <w:pStyle w:val="5"/>
        <w:ind w:left="0"/>
        <w:rPr>
          <w:rFonts w:hint="eastAsia" w:ascii="宋体" w:hAnsi="宋体" w:eastAsia="宋体" w:cs="宋体"/>
          <w:b w:val="0"/>
          <w:bCs w:val="0"/>
          <w:sz w:val="28"/>
          <w:szCs w:val="28"/>
        </w:rPr>
      </w:pPr>
    </w:p>
    <w:p w14:paraId="221F0C87">
      <w:pPr>
        <w:pStyle w:val="5"/>
        <w:ind w:left="0"/>
        <w:rPr>
          <w:rFonts w:hint="eastAsia" w:ascii="宋体" w:hAnsi="宋体" w:eastAsia="宋体" w:cs="宋体"/>
          <w:b w:val="0"/>
          <w:bCs w:val="0"/>
          <w:sz w:val="28"/>
          <w:szCs w:val="28"/>
        </w:rPr>
      </w:pPr>
    </w:p>
    <w:p w14:paraId="36775097">
      <w:pPr>
        <w:pStyle w:val="5"/>
        <w:tabs>
          <w:tab w:val="left" w:pos="8299"/>
        </w:tabs>
        <w:spacing w:before="232"/>
        <w:ind w:left="1340"/>
        <w:rPr>
          <w:rFonts w:hint="eastAsia" w:ascii="宋体" w:hAnsi="宋体" w:eastAsia="宋体" w:cs="宋体"/>
          <w:b w:val="0"/>
          <w:bCs w:val="0"/>
          <w:sz w:val="28"/>
          <w:szCs w:val="28"/>
        </w:rPr>
      </w:pPr>
      <w:r>
        <w:rPr>
          <w:rFonts w:hint="eastAsia" w:ascii="宋体" w:hAnsi="宋体" w:eastAsia="宋体" w:cs="宋体"/>
          <w:b w:val="0"/>
          <w:bCs w:val="0"/>
          <w:w w:val="95"/>
          <w:sz w:val="28"/>
          <w:szCs w:val="28"/>
        </w:rPr>
        <w:t>甲方：（盖章）</w:t>
      </w:r>
      <w:r>
        <w:rPr>
          <w:rFonts w:hint="eastAsia" w:ascii="宋体" w:hAnsi="宋体" w:eastAsia="宋体" w:cs="宋体"/>
          <w:b w:val="0"/>
          <w:bCs w:val="0"/>
          <w:w w:val="95"/>
          <w:sz w:val="28"/>
          <w:szCs w:val="28"/>
          <w:u w:val="single"/>
        </w:rPr>
        <w:t xml:space="preserve"> </w:t>
      </w:r>
      <w:r>
        <w:rPr>
          <w:rFonts w:hint="eastAsia" w:ascii="宋体" w:hAnsi="宋体" w:eastAsia="宋体" w:cs="宋体"/>
          <w:b w:val="0"/>
          <w:bCs w:val="0"/>
          <w:sz w:val="28"/>
          <w:szCs w:val="28"/>
          <w:u w:val="single"/>
        </w:rPr>
        <w:tab/>
      </w:r>
    </w:p>
    <w:p w14:paraId="3530A8FC">
      <w:pPr>
        <w:pStyle w:val="5"/>
        <w:spacing w:before="2"/>
        <w:ind w:left="0"/>
        <w:rPr>
          <w:rFonts w:hint="eastAsia" w:ascii="宋体" w:hAnsi="宋体" w:eastAsia="宋体" w:cs="宋体"/>
          <w:b w:val="0"/>
          <w:bCs w:val="0"/>
          <w:sz w:val="28"/>
          <w:szCs w:val="28"/>
        </w:rPr>
      </w:pPr>
    </w:p>
    <w:p w14:paraId="3CE8CFEE">
      <w:pPr>
        <w:pStyle w:val="5"/>
        <w:tabs>
          <w:tab w:val="left" w:pos="6994"/>
        </w:tabs>
        <w:spacing w:before="65"/>
        <w:ind w:left="35"/>
        <w:jc w:val="center"/>
        <w:rPr>
          <w:rFonts w:hint="eastAsia" w:ascii="宋体" w:hAnsi="宋体" w:eastAsia="宋体" w:cs="宋体"/>
          <w:b w:val="0"/>
          <w:bCs w:val="0"/>
          <w:sz w:val="28"/>
          <w:szCs w:val="28"/>
        </w:rPr>
      </w:pPr>
      <w:r>
        <w:rPr>
          <w:rFonts w:hint="eastAsia" w:ascii="宋体" w:hAnsi="宋体" w:eastAsia="宋体" w:cs="宋体"/>
          <w:b w:val="0"/>
          <w:bCs w:val="0"/>
          <w:w w:val="95"/>
          <w:sz w:val="28"/>
          <w:szCs w:val="28"/>
        </w:rPr>
        <w:t>法定代表人/授权代理人：</w:t>
      </w:r>
      <w:r>
        <w:rPr>
          <w:rFonts w:hint="eastAsia" w:ascii="宋体" w:hAnsi="宋体" w:eastAsia="宋体" w:cs="宋体"/>
          <w:b w:val="0"/>
          <w:bCs w:val="0"/>
          <w:w w:val="95"/>
          <w:sz w:val="28"/>
          <w:szCs w:val="28"/>
          <w:u w:val="single"/>
        </w:rPr>
        <w:t xml:space="preserve"> </w:t>
      </w:r>
      <w:r>
        <w:rPr>
          <w:rFonts w:hint="eastAsia" w:ascii="宋体" w:hAnsi="宋体" w:eastAsia="宋体" w:cs="宋体"/>
          <w:b w:val="0"/>
          <w:bCs w:val="0"/>
          <w:sz w:val="28"/>
          <w:szCs w:val="28"/>
          <w:u w:val="single"/>
        </w:rPr>
        <w:tab/>
      </w:r>
    </w:p>
    <w:p w14:paraId="10398B55">
      <w:pPr>
        <w:pStyle w:val="5"/>
        <w:spacing w:before="2"/>
        <w:ind w:left="0"/>
        <w:rPr>
          <w:rFonts w:hint="eastAsia" w:ascii="宋体" w:hAnsi="宋体" w:eastAsia="宋体" w:cs="宋体"/>
          <w:b w:val="0"/>
          <w:bCs w:val="0"/>
          <w:sz w:val="28"/>
          <w:szCs w:val="28"/>
        </w:rPr>
      </w:pPr>
    </w:p>
    <w:p w14:paraId="61484303">
      <w:pPr>
        <w:pStyle w:val="5"/>
        <w:tabs>
          <w:tab w:val="left" w:pos="3234"/>
          <w:tab w:val="left" w:pos="6994"/>
        </w:tabs>
        <w:spacing w:before="65"/>
        <w:ind w:left="35"/>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联系人：</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u w:val="single"/>
        </w:rPr>
        <w:tab/>
      </w:r>
      <w:r>
        <w:rPr>
          <w:rFonts w:hint="eastAsia" w:ascii="宋体" w:hAnsi="宋体" w:eastAsia="宋体" w:cs="宋体"/>
          <w:b w:val="0"/>
          <w:bCs w:val="0"/>
          <w:w w:val="95"/>
          <w:sz w:val="28"/>
          <w:szCs w:val="28"/>
        </w:rPr>
        <w:t>手机号码：</w:t>
      </w:r>
      <w:r>
        <w:rPr>
          <w:rFonts w:hint="eastAsia" w:ascii="宋体" w:hAnsi="宋体" w:eastAsia="宋体" w:cs="宋体"/>
          <w:b w:val="0"/>
          <w:bCs w:val="0"/>
          <w:w w:val="95"/>
          <w:sz w:val="28"/>
          <w:szCs w:val="28"/>
          <w:u w:val="single"/>
        </w:rPr>
        <w:t xml:space="preserve"> </w:t>
      </w:r>
      <w:r>
        <w:rPr>
          <w:rFonts w:hint="eastAsia" w:ascii="宋体" w:hAnsi="宋体" w:eastAsia="宋体" w:cs="宋体"/>
          <w:b w:val="0"/>
          <w:bCs w:val="0"/>
          <w:sz w:val="28"/>
          <w:szCs w:val="28"/>
          <w:u w:val="single"/>
        </w:rPr>
        <w:tab/>
      </w:r>
    </w:p>
    <w:p w14:paraId="14D0E209">
      <w:pPr>
        <w:pStyle w:val="5"/>
        <w:spacing w:before="5"/>
        <w:ind w:left="0"/>
        <w:rPr>
          <w:rFonts w:hint="eastAsia" w:ascii="宋体" w:hAnsi="宋体" w:eastAsia="宋体" w:cs="宋体"/>
          <w:b w:val="0"/>
          <w:bCs w:val="0"/>
          <w:sz w:val="28"/>
          <w:szCs w:val="28"/>
        </w:rPr>
      </w:pPr>
    </w:p>
    <w:p w14:paraId="4CD0A1DE">
      <w:pPr>
        <w:pStyle w:val="5"/>
        <w:tabs>
          <w:tab w:val="left" w:pos="6994"/>
        </w:tabs>
        <w:spacing w:before="65"/>
        <w:ind w:left="35"/>
        <w:jc w:val="center"/>
        <w:rPr>
          <w:rFonts w:hint="eastAsia" w:ascii="宋体" w:hAnsi="宋体" w:eastAsia="宋体" w:cs="宋体"/>
          <w:b w:val="0"/>
          <w:bCs w:val="0"/>
          <w:sz w:val="28"/>
          <w:szCs w:val="28"/>
        </w:rPr>
      </w:pPr>
      <w:r>
        <w:rPr>
          <w:rFonts w:hint="eastAsia" w:ascii="宋体" w:hAnsi="宋体" w:eastAsia="宋体" w:cs="宋体"/>
          <w:b w:val="0"/>
          <w:bCs w:val="0"/>
          <w:w w:val="95"/>
          <w:sz w:val="28"/>
          <w:szCs w:val="28"/>
        </w:rPr>
        <w:t>电子邮箱：</w:t>
      </w:r>
      <w:r>
        <w:rPr>
          <w:rFonts w:hint="eastAsia" w:ascii="宋体" w:hAnsi="宋体" w:eastAsia="宋体" w:cs="宋体"/>
          <w:b w:val="0"/>
          <w:bCs w:val="0"/>
          <w:w w:val="95"/>
          <w:sz w:val="28"/>
          <w:szCs w:val="28"/>
          <w:u w:val="single"/>
        </w:rPr>
        <w:t xml:space="preserve"> </w:t>
      </w:r>
      <w:r>
        <w:rPr>
          <w:rFonts w:hint="eastAsia" w:ascii="宋体" w:hAnsi="宋体" w:eastAsia="宋体" w:cs="宋体"/>
          <w:b w:val="0"/>
          <w:bCs w:val="0"/>
          <w:sz w:val="28"/>
          <w:szCs w:val="28"/>
          <w:u w:val="single"/>
        </w:rPr>
        <w:tab/>
      </w:r>
    </w:p>
    <w:p w14:paraId="3D69882E">
      <w:pPr>
        <w:pStyle w:val="5"/>
        <w:spacing w:before="2"/>
        <w:ind w:left="0"/>
        <w:rPr>
          <w:rFonts w:hint="eastAsia" w:ascii="宋体" w:hAnsi="宋体" w:eastAsia="宋体" w:cs="宋体"/>
          <w:b w:val="0"/>
          <w:bCs w:val="0"/>
          <w:sz w:val="28"/>
          <w:szCs w:val="28"/>
        </w:rPr>
      </w:pPr>
    </w:p>
    <w:p w14:paraId="55808307">
      <w:pPr>
        <w:pStyle w:val="5"/>
        <w:tabs>
          <w:tab w:val="left" w:pos="6994"/>
        </w:tabs>
        <w:spacing w:before="65"/>
        <w:ind w:left="35"/>
        <w:jc w:val="center"/>
        <w:rPr>
          <w:rFonts w:hint="eastAsia" w:ascii="宋体" w:hAnsi="宋体" w:eastAsia="宋体" w:cs="宋体"/>
          <w:b w:val="0"/>
          <w:bCs w:val="0"/>
          <w:sz w:val="28"/>
          <w:szCs w:val="28"/>
        </w:rPr>
      </w:pPr>
      <w:r>
        <w:rPr>
          <w:rFonts w:hint="eastAsia" w:ascii="宋体" w:hAnsi="宋体" w:eastAsia="宋体" w:cs="宋体"/>
          <w:b w:val="0"/>
          <w:bCs w:val="0"/>
          <w:w w:val="95"/>
          <w:sz w:val="28"/>
          <w:szCs w:val="28"/>
        </w:rPr>
        <w:t>通信地址：</w:t>
      </w:r>
      <w:r>
        <w:rPr>
          <w:rFonts w:hint="eastAsia" w:ascii="宋体" w:hAnsi="宋体" w:eastAsia="宋体" w:cs="宋体"/>
          <w:b w:val="0"/>
          <w:bCs w:val="0"/>
          <w:w w:val="95"/>
          <w:sz w:val="28"/>
          <w:szCs w:val="28"/>
          <w:u w:val="single"/>
        </w:rPr>
        <w:t xml:space="preserve"> </w:t>
      </w:r>
      <w:r>
        <w:rPr>
          <w:rFonts w:hint="eastAsia" w:ascii="宋体" w:hAnsi="宋体" w:eastAsia="宋体" w:cs="宋体"/>
          <w:b w:val="0"/>
          <w:bCs w:val="0"/>
          <w:sz w:val="28"/>
          <w:szCs w:val="28"/>
          <w:u w:val="single"/>
        </w:rPr>
        <w:tab/>
      </w:r>
    </w:p>
    <w:p w14:paraId="016A81AB">
      <w:pPr>
        <w:pStyle w:val="5"/>
        <w:spacing w:before="3"/>
        <w:ind w:left="0"/>
        <w:rPr>
          <w:rFonts w:hint="eastAsia" w:ascii="宋体" w:hAnsi="宋体" w:eastAsia="宋体" w:cs="宋体"/>
          <w:b w:val="0"/>
          <w:bCs w:val="0"/>
          <w:sz w:val="28"/>
          <w:szCs w:val="28"/>
        </w:rPr>
      </w:pPr>
    </w:p>
    <w:p w14:paraId="6B379DE3">
      <w:pPr>
        <w:pStyle w:val="5"/>
        <w:tabs>
          <w:tab w:val="left" w:pos="4059"/>
          <w:tab w:val="left" w:pos="4859"/>
          <w:tab w:val="left" w:pos="5660"/>
        </w:tabs>
        <w:spacing w:before="64"/>
        <w:ind w:left="1340"/>
        <w:rPr>
          <w:rFonts w:hint="eastAsia" w:ascii="宋体" w:hAnsi="宋体" w:eastAsia="宋体" w:cs="宋体"/>
          <w:b w:val="0"/>
          <w:bCs w:val="0"/>
          <w:sz w:val="28"/>
          <w:szCs w:val="28"/>
        </w:rPr>
      </w:pPr>
      <w:r>
        <w:rPr>
          <w:rFonts w:hint="eastAsia" w:ascii="宋体" w:hAnsi="宋体" w:eastAsia="宋体" w:cs="宋体"/>
          <w:b w:val="0"/>
          <w:bCs w:val="0"/>
          <w:sz w:val="28"/>
          <w:szCs w:val="28"/>
        </w:rPr>
        <w:t>签字日期：</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u w:val="single"/>
        </w:rPr>
        <w:tab/>
      </w:r>
      <w:r>
        <w:rPr>
          <w:rFonts w:hint="eastAsia" w:ascii="宋体" w:hAnsi="宋体" w:eastAsia="宋体" w:cs="宋体"/>
          <w:b w:val="0"/>
          <w:bCs w:val="0"/>
          <w:sz w:val="28"/>
          <w:szCs w:val="28"/>
        </w:rPr>
        <w:t>年</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u w:val="single"/>
        </w:rPr>
        <w:tab/>
      </w:r>
      <w:r>
        <w:rPr>
          <w:rFonts w:hint="eastAsia" w:ascii="宋体" w:hAnsi="宋体" w:eastAsia="宋体" w:cs="宋体"/>
          <w:b w:val="0"/>
          <w:bCs w:val="0"/>
          <w:sz w:val="28"/>
          <w:szCs w:val="28"/>
        </w:rPr>
        <w:t>月</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u w:val="single"/>
        </w:rPr>
        <w:tab/>
      </w:r>
      <w:r>
        <w:rPr>
          <w:rFonts w:hint="eastAsia" w:ascii="宋体" w:hAnsi="宋体" w:eastAsia="宋体" w:cs="宋体"/>
          <w:b w:val="0"/>
          <w:bCs w:val="0"/>
          <w:sz w:val="28"/>
          <w:szCs w:val="28"/>
        </w:rPr>
        <w:t>日</w:t>
      </w:r>
    </w:p>
    <w:p w14:paraId="1CB0DB06">
      <w:pPr>
        <w:pStyle w:val="5"/>
        <w:ind w:left="0"/>
        <w:rPr>
          <w:rFonts w:hint="eastAsia" w:ascii="宋体" w:hAnsi="宋体" w:eastAsia="宋体" w:cs="宋体"/>
          <w:b w:val="0"/>
          <w:bCs w:val="0"/>
          <w:sz w:val="28"/>
          <w:szCs w:val="28"/>
        </w:rPr>
      </w:pPr>
    </w:p>
    <w:p w14:paraId="3EF730F2">
      <w:pPr>
        <w:pStyle w:val="5"/>
        <w:ind w:left="0"/>
        <w:rPr>
          <w:rFonts w:hint="eastAsia" w:ascii="宋体" w:hAnsi="宋体" w:eastAsia="宋体" w:cs="宋体"/>
          <w:b w:val="0"/>
          <w:bCs w:val="0"/>
          <w:sz w:val="28"/>
          <w:szCs w:val="28"/>
        </w:rPr>
      </w:pPr>
    </w:p>
    <w:p w14:paraId="675AAC4B">
      <w:pPr>
        <w:pStyle w:val="5"/>
        <w:tabs>
          <w:tab w:val="left" w:pos="8138"/>
        </w:tabs>
        <w:spacing w:before="248"/>
        <w:ind w:left="1340"/>
        <w:rPr>
          <w:rFonts w:hint="eastAsia" w:ascii="宋体" w:hAnsi="宋体" w:eastAsia="宋体" w:cs="宋体"/>
          <w:b w:val="0"/>
          <w:bCs w:val="0"/>
          <w:sz w:val="28"/>
          <w:szCs w:val="28"/>
        </w:rPr>
      </w:pPr>
      <w:r>
        <w:rPr>
          <w:rFonts w:hint="eastAsia" w:ascii="宋体" w:hAnsi="宋体" w:eastAsia="宋体" w:cs="宋体"/>
          <w:b w:val="0"/>
          <w:bCs w:val="0"/>
          <w:w w:val="95"/>
          <w:sz w:val="28"/>
          <w:szCs w:val="28"/>
        </w:rPr>
        <w:t>乙方：（盖章）</w:t>
      </w:r>
      <w:r>
        <w:rPr>
          <w:rFonts w:hint="eastAsia" w:ascii="宋体" w:hAnsi="宋体" w:eastAsia="宋体" w:cs="宋体"/>
          <w:b w:val="0"/>
          <w:bCs w:val="0"/>
          <w:w w:val="95"/>
          <w:sz w:val="28"/>
          <w:szCs w:val="28"/>
          <w:u w:val="single"/>
        </w:rPr>
        <w:t xml:space="preserve"> </w:t>
      </w:r>
      <w:r>
        <w:rPr>
          <w:rFonts w:hint="eastAsia" w:ascii="宋体" w:hAnsi="宋体" w:eastAsia="宋体" w:cs="宋体"/>
          <w:b w:val="0"/>
          <w:bCs w:val="0"/>
          <w:sz w:val="28"/>
          <w:szCs w:val="28"/>
          <w:u w:val="single"/>
        </w:rPr>
        <w:tab/>
      </w:r>
    </w:p>
    <w:p w14:paraId="358DB7FB">
      <w:pPr>
        <w:pStyle w:val="5"/>
        <w:spacing w:before="5"/>
        <w:ind w:left="0"/>
        <w:rPr>
          <w:rFonts w:hint="eastAsia" w:ascii="宋体" w:hAnsi="宋体" w:eastAsia="宋体" w:cs="宋体"/>
          <w:b w:val="0"/>
          <w:bCs w:val="0"/>
          <w:sz w:val="28"/>
          <w:szCs w:val="28"/>
        </w:rPr>
      </w:pPr>
    </w:p>
    <w:p w14:paraId="5C379939">
      <w:pPr>
        <w:pStyle w:val="5"/>
        <w:tabs>
          <w:tab w:val="left" w:pos="6994"/>
        </w:tabs>
        <w:spacing w:before="64"/>
        <w:ind w:left="35"/>
        <w:jc w:val="center"/>
        <w:rPr>
          <w:rFonts w:hint="eastAsia" w:ascii="宋体" w:hAnsi="宋体" w:eastAsia="宋体" w:cs="宋体"/>
          <w:b w:val="0"/>
          <w:bCs w:val="0"/>
          <w:sz w:val="28"/>
          <w:szCs w:val="28"/>
        </w:rPr>
      </w:pPr>
      <w:r>
        <w:rPr>
          <w:rFonts w:hint="eastAsia" w:ascii="宋体" w:hAnsi="宋体" w:eastAsia="宋体" w:cs="宋体"/>
          <w:b w:val="0"/>
          <w:bCs w:val="0"/>
          <w:w w:val="95"/>
          <w:sz w:val="28"/>
          <w:szCs w:val="28"/>
        </w:rPr>
        <w:t>法定代表人/授权代理人：</w:t>
      </w:r>
      <w:r>
        <w:rPr>
          <w:rFonts w:hint="eastAsia" w:ascii="宋体" w:hAnsi="宋体" w:eastAsia="宋体" w:cs="宋体"/>
          <w:b w:val="0"/>
          <w:bCs w:val="0"/>
          <w:w w:val="95"/>
          <w:sz w:val="28"/>
          <w:szCs w:val="28"/>
          <w:u w:val="single"/>
        </w:rPr>
        <w:t xml:space="preserve"> </w:t>
      </w:r>
      <w:r>
        <w:rPr>
          <w:rFonts w:hint="eastAsia" w:ascii="宋体" w:hAnsi="宋体" w:eastAsia="宋体" w:cs="宋体"/>
          <w:b w:val="0"/>
          <w:bCs w:val="0"/>
          <w:sz w:val="28"/>
          <w:szCs w:val="28"/>
          <w:u w:val="single"/>
        </w:rPr>
        <w:tab/>
      </w:r>
    </w:p>
    <w:p w14:paraId="09FF68CE">
      <w:pPr>
        <w:pStyle w:val="5"/>
        <w:spacing w:before="3"/>
        <w:ind w:left="0"/>
        <w:rPr>
          <w:rFonts w:hint="eastAsia" w:ascii="宋体" w:hAnsi="宋体" w:eastAsia="宋体" w:cs="宋体"/>
          <w:b w:val="0"/>
          <w:bCs w:val="0"/>
          <w:sz w:val="28"/>
          <w:szCs w:val="28"/>
        </w:rPr>
      </w:pPr>
    </w:p>
    <w:p w14:paraId="1F06A616">
      <w:pPr>
        <w:pStyle w:val="5"/>
        <w:tabs>
          <w:tab w:val="left" w:pos="3234"/>
          <w:tab w:val="left" w:pos="6994"/>
        </w:tabs>
        <w:spacing w:before="64"/>
        <w:ind w:left="35"/>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t>联系人：</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u w:val="single"/>
        </w:rPr>
        <w:tab/>
      </w:r>
      <w:r>
        <w:rPr>
          <w:rFonts w:hint="eastAsia" w:ascii="宋体" w:hAnsi="宋体" w:eastAsia="宋体" w:cs="宋体"/>
          <w:b w:val="0"/>
          <w:bCs w:val="0"/>
          <w:w w:val="95"/>
          <w:sz w:val="28"/>
          <w:szCs w:val="28"/>
        </w:rPr>
        <w:t>手机号码：</w:t>
      </w:r>
      <w:r>
        <w:rPr>
          <w:rFonts w:hint="eastAsia" w:ascii="宋体" w:hAnsi="宋体" w:eastAsia="宋体" w:cs="宋体"/>
          <w:b w:val="0"/>
          <w:bCs w:val="0"/>
          <w:w w:val="95"/>
          <w:sz w:val="28"/>
          <w:szCs w:val="28"/>
          <w:u w:val="single"/>
        </w:rPr>
        <w:t xml:space="preserve"> </w:t>
      </w:r>
      <w:r>
        <w:rPr>
          <w:rFonts w:hint="eastAsia" w:ascii="宋体" w:hAnsi="宋体" w:eastAsia="宋体" w:cs="宋体"/>
          <w:b w:val="0"/>
          <w:bCs w:val="0"/>
          <w:sz w:val="28"/>
          <w:szCs w:val="28"/>
          <w:u w:val="single"/>
        </w:rPr>
        <w:tab/>
      </w:r>
    </w:p>
    <w:p w14:paraId="4521AAF4">
      <w:pPr>
        <w:pStyle w:val="5"/>
        <w:spacing w:before="3"/>
        <w:ind w:left="0"/>
        <w:rPr>
          <w:rFonts w:hint="eastAsia" w:ascii="宋体" w:hAnsi="宋体" w:eastAsia="宋体" w:cs="宋体"/>
          <w:b w:val="0"/>
          <w:bCs w:val="0"/>
          <w:sz w:val="28"/>
          <w:szCs w:val="28"/>
        </w:rPr>
      </w:pPr>
    </w:p>
    <w:p w14:paraId="5F89E232">
      <w:pPr>
        <w:pStyle w:val="5"/>
        <w:tabs>
          <w:tab w:val="left" w:pos="6994"/>
        </w:tabs>
        <w:spacing w:before="65"/>
        <w:ind w:left="35"/>
        <w:jc w:val="center"/>
        <w:rPr>
          <w:rFonts w:hint="eastAsia" w:ascii="宋体" w:hAnsi="宋体" w:eastAsia="宋体" w:cs="宋体"/>
          <w:b w:val="0"/>
          <w:bCs w:val="0"/>
          <w:sz w:val="28"/>
          <w:szCs w:val="28"/>
        </w:rPr>
      </w:pPr>
      <w:r>
        <w:rPr>
          <w:rFonts w:hint="eastAsia" w:ascii="宋体" w:hAnsi="宋体" w:eastAsia="宋体" w:cs="宋体"/>
          <w:b w:val="0"/>
          <w:bCs w:val="0"/>
          <w:w w:val="95"/>
          <w:sz w:val="28"/>
          <w:szCs w:val="28"/>
        </w:rPr>
        <w:t>电子邮箱：</w:t>
      </w:r>
      <w:r>
        <w:rPr>
          <w:rFonts w:hint="eastAsia" w:ascii="宋体" w:hAnsi="宋体" w:eastAsia="宋体" w:cs="宋体"/>
          <w:b w:val="0"/>
          <w:bCs w:val="0"/>
          <w:w w:val="95"/>
          <w:sz w:val="28"/>
          <w:szCs w:val="28"/>
          <w:u w:val="single"/>
        </w:rPr>
        <w:t xml:space="preserve"> </w:t>
      </w:r>
      <w:r>
        <w:rPr>
          <w:rFonts w:hint="eastAsia" w:ascii="宋体" w:hAnsi="宋体" w:eastAsia="宋体" w:cs="宋体"/>
          <w:b w:val="0"/>
          <w:bCs w:val="0"/>
          <w:sz w:val="28"/>
          <w:szCs w:val="28"/>
          <w:u w:val="single"/>
        </w:rPr>
        <w:tab/>
      </w:r>
    </w:p>
    <w:p w14:paraId="01BD88C0">
      <w:pPr>
        <w:pStyle w:val="5"/>
        <w:spacing w:before="5"/>
        <w:ind w:left="0"/>
        <w:rPr>
          <w:rFonts w:hint="eastAsia" w:ascii="宋体" w:hAnsi="宋体" w:eastAsia="宋体" w:cs="宋体"/>
          <w:b w:val="0"/>
          <w:bCs w:val="0"/>
          <w:sz w:val="28"/>
          <w:szCs w:val="28"/>
        </w:rPr>
      </w:pPr>
    </w:p>
    <w:p w14:paraId="72062F5E">
      <w:pPr>
        <w:pStyle w:val="5"/>
        <w:tabs>
          <w:tab w:val="left" w:pos="6994"/>
        </w:tabs>
        <w:spacing w:before="64"/>
        <w:ind w:left="35"/>
        <w:jc w:val="center"/>
        <w:rPr>
          <w:rFonts w:hint="eastAsia" w:ascii="宋体" w:hAnsi="宋体" w:eastAsia="宋体" w:cs="宋体"/>
          <w:b w:val="0"/>
          <w:bCs w:val="0"/>
          <w:sz w:val="28"/>
          <w:szCs w:val="28"/>
        </w:rPr>
      </w:pPr>
      <w:r>
        <w:rPr>
          <w:rFonts w:hint="eastAsia" w:ascii="宋体" w:hAnsi="宋体" w:eastAsia="宋体" w:cs="宋体"/>
          <w:b w:val="0"/>
          <w:bCs w:val="0"/>
          <w:w w:val="95"/>
          <w:sz w:val="28"/>
          <w:szCs w:val="28"/>
        </w:rPr>
        <w:t>通信地址：</w:t>
      </w:r>
      <w:r>
        <w:rPr>
          <w:rFonts w:hint="eastAsia" w:ascii="宋体" w:hAnsi="宋体" w:eastAsia="宋体" w:cs="宋体"/>
          <w:b w:val="0"/>
          <w:bCs w:val="0"/>
          <w:w w:val="95"/>
          <w:sz w:val="28"/>
          <w:szCs w:val="28"/>
          <w:u w:val="single"/>
        </w:rPr>
        <w:t xml:space="preserve"> </w:t>
      </w:r>
      <w:r>
        <w:rPr>
          <w:rFonts w:hint="eastAsia" w:ascii="宋体" w:hAnsi="宋体" w:eastAsia="宋体" w:cs="宋体"/>
          <w:b w:val="0"/>
          <w:bCs w:val="0"/>
          <w:sz w:val="28"/>
          <w:szCs w:val="28"/>
          <w:u w:val="single"/>
        </w:rPr>
        <w:tab/>
      </w:r>
    </w:p>
    <w:p w14:paraId="0B7036A2">
      <w:pPr>
        <w:pStyle w:val="5"/>
        <w:spacing w:before="2"/>
        <w:ind w:left="0"/>
        <w:rPr>
          <w:rFonts w:hint="eastAsia" w:ascii="宋体" w:hAnsi="宋体" w:eastAsia="宋体" w:cs="宋体"/>
          <w:b w:val="0"/>
          <w:bCs w:val="0"/>
          <w:sz w:val="28"/>
          <w:szCs w:val="28"/>
        </w:rPr>
      </w:pPr>
    </w:p>
    <w:p w14:paraId="3E2AF2CA">
      <w:pPr>
        <w:pStyle w:val="5"/>
        <w:tabs>
          <w:tab w:val="left" w:pos="4059"/>
          <w:tab w:val="left" w:pos="4859"/>
          <w:tab w:val="left" w:pos="5660"/>
        </w:tabs>
        <w:spacing w:before="54"/>
        <w:ind w:left="1340"/>
        <w:rPr>
          <w:rFonts w:hint="eastAsia" w:ascii="宋体" w:hAnsi="宋体" w:eastAsia="宋体" w:cs="宋体"/>
          <w:b w:val="0"/>
          <w:bCs w:val="0"/>
          <w:sz w:val="28"/>
          <w:szCs w:val="28"/>
        </w:rPr>
      </w:pPr>
      <w:r>
        <w:rPr>
          <w:rFonts w:hint="eastAsia" w:ascii="宋体" w:hAnsi="宋体" w:eastAsia="宋体" w:cs="宋体"/>
          <w:b w:val="0"/>
          <w:bCs w:val="0"/>
          <w:sz w:val="28"/>
          <w:szCs w:val="28"/>
        </w:rPr>
        <w:t>签字日期：</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u w:val="single"/>
        </w:rPr>
        <w:tab/>
      </w:r>
      <w:r>
        <w:rPr>
          <w:rFonts w:hint="eastAsia" w:ascii="宋体" w:hAnsi="宋体" w:eastAsia="宋体" w:cs="宋体"/>
          <w:b w:val="0"/>
          <w:bCs w:val="0"/>
          <w:sz w:val="28"/>
          <w:szCs w:val="28"/>
        </w:rPr>
        <w:t>年</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u w:val="single"/>
        </w:rPr>
        <w:tab/>
      </w:r>
      <w:r>
        <w:rPr>
          <w:rFonts w:hint="eastAsia" w:ascii="宋体" w:hAnsi="宋体" w:eastAsia="宋体" w:cs="宋体"/>
          <w:b w:val="0"/>
          <w:bCs w:val="0"/>
          <w:sz w:val="28"/>
          <w:szCs w:val="28"/>
        </w:rPr>
        <w:t>月</w:t>
      </w:r>
      <w:r>
        <w:rPr>
          <w:rFonts w:hint="eastAsia" w:ascii="宋体" w:hAnsi="宋体" w:eastAsia="宋体" w:cs="宋体"/>
          <w:b w:val="0"/>
          <w:bCs w:val="0"/>
          <w:sz w:val="28"/>
          <w:szCs w:val="28"/>
          <w:u w:val="single"/>
        </w:rPr>
        <w:t xml:space="preserve"> </w:t>
      </w:r>
      <w:r>
        <w:rPr>
          <w:rFonts w:hint="eastAsia" w:ascii="宋体" w:hAnsi="宋体" w:eastAsia="宋体" w:cs="宋体"/>
          <w:b w:val="0"/>
          <w:bCs w:val="0"/>
          <w:sz w:val="28"/>
          <w:szCs w:val="28"/>
          <w:u w:val="single"/>
        </w:rPr>
        <w:tab/>
      </w:r>
      <w:r>
        <w:rPr>
          <w:rFonts w:hint="eastAsia" w:ascii="宋体" w:hAnsi="宋体" w:eastAsia="宋体" w:cs="宋体"/>
          <w:b w:val="0"/>
          <w:bCs w:val="0"/>
          <w:sz w:val="28"/>
          <w:szCs w:val="28"/>
        </w:rPr>
        <w:t>日</w:t>
      </w:r>
    </w:p>
    <w:p w14:paraId="2A17F324">
      <w:pPr>
        <w:spacing w:after="0"/>
        <w:rPr>
          <w:rFonts w:hint="eastAsia" w:ascii="宋体" w:hAnsi="宋体" w:eastAsia="宋体" w:cs="宋体"/>
          <w:sz w:val="28"/>
          <w:szCs w:val="28"/>
        </w:rPr>
        <w:sectPr>
          <w:footerReference r:id="rId4" w:type="default"/>
          <w:pgSz w:w="11910" w:h="16840"/>
          <w:pgMar w:top="1500" w:right="1201" w:bottom="1380" w:left="1100" w:header="0" w:footer="1189" w:gutter="0"/>
          <w:pgNumType w:fmt="decimal"/>
          <w:cols w:space="720" w:num="1"/>
        </w:sectPr>
      </w:pPr>
    </w:p>
    <w:p w14:paraId="2D05A764">
      <w:pPr>
        <w:spacing w:before="53"/>
        <w:ind w:left="155" w:right="0" w:firstLine="0"/>
        <w:jc w:val="left"/>
        <w:rPr>
          <w:rFonts w:hint="eastAsia" w:ascii="宋体" w:hAnsi="宋体" w:eastAsia="宋体" w:cs="宋体"/>
          <w:b/>
          <w:sz w:val="24"/>
          <w:szCs w:val="28"/>
        </w:rPr>
      </w:pPr>
      <w:r>
        <w:rPr>
          <w:rFonts w:hint="eastAsia" w:ascii="宋体" w:hAnsi="宋体" w:eastAsia="宋体" w:cs="宋体"/>
          <w:sz w:val="28"/>
          <w:szCs w:val="28"/>
        </w:rPr>
        <w:drawing>
          <wp:anchor distT="0" distB="0" distL="0" distR="0" simplePos="0" relativeHeight="251665408" behindDoc="1" locked="0" layoutInCell="1" allowOverlap="1">
            <wp:simplePos x="0" y="0"/>
            <wp:positionH relativeFrom="page">
              <wp:posOffset>1986915</wp:posOffset>
            </wp:positionH>
            <wp:positionV relativeFrom="page">
              <wp:posOffset>6216015</wp:posOffset>
            </wp:positionV>
            <wp:extent cx="551815" cy="196215"/>
            <wp:effectExtent l="0" t="0" r="6985" b="6985"/>
            <wp:wrapNone/>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png"/>
                    <pic:cNvPicPr>
                      <a:picLocks noChangeAspect="1"/>
                    </pic:cNvPicPr>
                  </pic:nvPicPr>
                  <pic:blipFill>
                    <a:blip r:embed="rId10" cstate="print"/>
                    <a:stretch>
                      <a:fillRect/>
                    </a:stretch>
                  </pic:blipFill>
                  <pic:spPr>
                    <a:xfrm>
                      <a:off x="0" y="0"/>
                      <a:ext cx="551603" cy="196024"/>
                    </a:xfrm>
                    <a:prstGeom prst="rect">
                      <a:avLst/>
                    </a:prstGeom>
                  </pic:spPr>
                </pic:pic>
              </a:graphicData>
            </a:graphic>
          </wp:anchor>
        </w:drawing>
      </w:r>
      <w:r>
        <w:rPr>
          <w:rFonts w:hint="eastAsia" w:ascii="宋体" w:hAnsi="宋体" w:eastAsia="宋体" w:cs="宋体"/>
          <w:b/>
          <w:sz w:val="24"/>
          <w:szCs w:val="28"/>
        </w:rPr>
        <w:t>附件：</w:t>
      </w:r>
    </w:p>
    <w:p w14:paraId="47CE212D">
      <w:pPr>
        <w:spacing w:before="116"/>
        <w:ind w:left="1374" w:right="0" w:firstLine="964" w:firstLineChars="400"/>
        <w:jc w:val="left"/>
        <w:rPr>
          <w:rFonts w:hint="eastAsia" w:ascii="宋体" w:hAnsi="宋体" w:eastAsia="宋体" w:cs="宋体"/>
          <w:b/>
          <w:sz w:val="24"/>
          <w:szCs w:val="28"/>
        </w:rPr>
      </w:pPr>
      <w:r>
        <w:rPr>
          <w:rFonts w:hint="eastAsia" w:ascii="宋体" w:hAnsi="宋体" w:eastAsia="宋体" w:cs="宋体"/>
          <w:b/>
          <w:sz w:val="24"/>
          <w:szCs w:val="28"/>
        </w:rPr>
        <w:t>安徽电力零售市场零售套餐参数汇总表（2026年版）</w:t>
      </w:r>
    </w:p>
    <w:tbl>
      <w:tblPr>
        <w:tblStyle w:val="32"/>
        <w:tblW w:w="9525" w:type="dxa"/>
        <w:tblInd w:w="12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06"/>
        <w:gridCol w:w="348"/>
        <w:gridCol w:w="1057"/>
        <w:gridCol w:w="3"/>
        <w:gridCol w:w="240"/>
        <w:gridCol w:w="491"/>
        <w:gridCol w:w="7"/>
        <w:gridCol w:w="884"/>
        <w:gridCol w:w="927"/>
        <w:gridCol w:w="7"/>
        <w:gridCol w:w="777"/>
        <w:gridCol w:w="7"/>
        <w:gridCol w:w="1109"/>
        <w:gridCol w:w="7"/>
        <w:gridCol w:w="876"/>
        <w:gridCol w:w="7"/>
        <w:gridCol w:w="196"/>
        <w:gridCol w:w="710"/>
        <w:gridCol w:w="7"/>
        <w:gridCol w:w="1152"/>
        <w:gridCol w:w="7"/>
      </w:tblGrid>
      <w:tr w14:paraId="4CA42C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340" w:hRule="atLeast"/>
        </w:trPr>
        <w:tc>
          <w:tcPr>
            <w:tcW w:w="4663" w:type="dxa"/>
            <w:gridSpan w:val="9"/>
          </w:tcPr>
          <w:p w14:paraId="2C77A0C1">
            <w:pPr>
              <w:pStyle w:val="92"/>
              <w:spacing w:before="86"/>
              <w:ind w:left="1591" w:right="1588"/>
              <w:jc w:val="center"/>
              <w:rPr>
                <w:rFonts w:hint="eastAsia" w:ascii="宋体" w:hAnsi="宋体" w:eastAsia="宋体" w:cs="宋体"/>
                <w:b/>
                <w:sz w:val="16"/>
                <w:szCs w:val="28"/>
              </w:rPr>
            </w:pPr>
            <w:r>
              <w:rPr>
                <w:rFonts w:hint="eastAsia" w:ascii="宋体" w:hAnsi="宋体" w:eastAsia="宋体" w:cs="宋体"/>
                <w:b/>
                <w:sz w:val="16"/>
                <w:szCs w:val="28"/>
              </w:rPr>
              <w:t>零售关系绑定期限</w:t>
            </w:r>
          </w:p>
        </w:tc>
        <w:tc>
          <w:tcPr>
            <w:tcW w:w="784" w:type="dxa"/>
            <w:gridSpan w:val="2"/>
            <w:tcBorders>
              <w:right w:val="nil"/>
            </w:tcBorders>
          </w:tcPr>
          <w:p w14:paraId="4A8913EC">
            <w:pPr>
              <w:pStyle w:val="92"/>
              <w:rPr>
                <w:rFonts w:hint="eastAsia" w:ascii="宋体" w:hAnsi="宋体" w:eastAsia="宋体" w:cs="宋体"/>
                <w:sz w:val="15"/>
                <w:szCs w:val="28"/>
              </w:rPr>
            </w:pPr>
          </w:p>
        </w:tc>
        <w:tc>
          <w:tcPr>
            <w:tcW w:w="1116" w:type="dxa"/>
            <w:gridSpan w:val="2"/>
            <w:tcBorders>
              <w:left w:val="nil"/>
              <w:right w:val="nil"/>
            </w:tcBorders>
          </w:tcPr>
          <w:p w14:paraId="3100D376">
            <w:pPr>
              <w:pStyle w:val="92"/>
              <w:spacing w:before="86"/>
              <w:rPr>
                <w:rFonts w:hint="eastAsia" w:ascii="宋体" w:hAnsi="宋体" w:eastAsia="宋体" w:cs="宋体"/>
                <w:sz w:val="16"/>
                <w:szCs w:val="28"/>
              </w:rPr>
            </w:pPr>
            <w:r>
              <w:rPr>
                <w:rFonts w:hint="eastAsia" w:ascii="宋体" w:hAnsi="宋体" w:eastAsia="宋体" w:cs="宋体"/>
                <w:sz w:val="16"/>
                <w:szCs w:val="28"/>
              </w:rPr>
              <w:t>2026 年</w:t>
            </w:r>
          </w:p>
        </w:tc>
        <w:tc>
          <w:tcPr>
            <w:tcW w:w="1086" w:type="dxa"/>
            <w:gridSpan w:val="4"/>
            <w:tcBorders>
              <w:left w:val="nil"/>
              <w:right w:val="nil"/>
            </w:tcBorders>
          </w:tcPr>
          <w:p w14:paraId="417EC39A">
            <w:pPr>
              <w:pStyle w:val="92"/>
              <w:spacing w:before="86"/>
              <w:rPr>
                <w:rFonts w:hint="eastAsia" w:ascii="宋体" w:hAnsi="宋体" w:eastAsia="宋体" w:cs="宋体"/>
                <w:sz w:val="16"/>
                <w:szCs w:val="28"/>
                <w:lang w:val="en-US" w:eastAsia="zh-CN"/>
              </w:rPr>
            </w:pPr>
            <w:r>
              <w:rPr>
                <w:rFonts w:hint="eastAsia" w:ascii="宋体" w:hAnsi="宋体" w:eastAsia="宋体" w:cs="宋体"/>
                <w:sz w:val="16"/>
                <w:szCs w:val="28"/>
              </w:rPr>
              <w:t>月至202</w:t>
            </w:r>
            <w:r>
              <w:rPr>
                <w:rFonts w:hint="eastAsia" w:ascii="宋体" w:hAnsi="宋体" w:eastAsia="宋体" w:cs="宋体"/>
                <w:sz w:val="16"/>
                <w:szCs w:val="28"/>
                <w:lang w:val="en-US" w:eastAsia="zh-CN"/>
              </w:rPr>
              <w:t>6年</w:t>
            </w:r>
          </w:p>
        </w:tc>
        <w:tc>
          <w:tcPr>
            <w:tcW w:w="710" w:type="dxa"/>
            <w:tcBorders>
              <w:left w:val="nil"/>
              <w:right w:val="nil"/>
            </w:tcBorders>
          </w:tcPr>
          <w:p w14:paraId="136C4717">
            <w:pPr>
              <w:pStyle w:val="92"/>
              <w:spacing w:before="86"/>
              <w:ind w:left="163"/>
              <w:rPr>
                <w:rFonts w:hint="eastAsia" w:ascii="宋体" w:hAnsi="宋体" w:eastAsia="宋体" w:cs="宋体"/>
                <w:sz w:val="16"/>
                <w:szCs w:val="28"/>
                <w:lang w:val="en-US" w:eastAsia="zh-CN"/>
              </w:rPr>
            </w:pPr>
            <w:r>
              <w:rPr>
                <w:rFonts w:hint="eastAsia" w:ascii="宋体" w:hAnsi="宋体" w:eastAsia="宋体" w:cs="宋体"/>
                <w:sz w:val="16"/>
                <w:szCs w:val="28"/>
                <w:lang w:val="en-US" w:eastAsia="zh-CN"/>
              </w:rPr>
              <w:t>月</w:t>
            </w:r>
          </w:p>
        </w:tc>
        <w:tc>
          <w:tcPr>
            <w:tcW w:w="1159" w:type="dxa"/>
            <w:gridSpan w:val="2"/>
            <w:tcBorders>
              <w:left w:val="nil"/>
            </w:tcBorders>
          </w:tcPr>
          <w:p w14:paraId="42BA58C2">
            <w:pPr>
              <w:pStyle w:val="92"/>
              <w:rPr>
                <w:rFonts w:hint="eastAsia" w:ascii="宋体" w:hAnsi="宋体" w:eastAsia="宋体" w:cs="宋体"/>
                <w:sz w:val="15"/>
                <w:szCs w:val="28"/>
              </w:rPr>
            </w:pPr>
          </w:p>
        </w:tc>
      </w:tr>
      <w:tr w14:paraId="75933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340" w:hRule="atLeast"/>
        </w:trPr>
        <w:tc>
          <w:tcPr>
            <w:tcW w:w="4663" w:type="dxa"/>
            <w:gridSpan w:val="9"/>
          </w:tcPr>
          <w:p w14:paraId="59D4D94A">
            <w:pPr>
              <w:pStyle w:val="92"/>
              <w:spacing w:before="86"/>
              <w:ind w:left="1591" w:right="1588"/>
              <w:jc w:val="center"/>
              <w:rPr>
                <w:rFonts w:hint="eastAsia" w:ascii="宋体" w:hAnsi="宋体" w:eastAsia="宋体" w:cs="宋体"/>
                <w:b/>
                <w:sz w:val="16"/>
                <w:szCs w:val="28"/>
              </w:rPr>
            </w:pPr>
          </w:p>
        </w:tc>
        <w:tc>
          <w:tcPr>
            <w:tcW w:w="784" w:type="dxa"/>
            <w:gridSpan w:val="2"/>
            <w:tcBorders>
              <w:right w:val="nil"/>
            </w:tcBorders>
          </w:tcPr>
          <w:p w14:paraId="4A133082">
            <w:pPr>
              <w:pStyle w:val="92"/>
              <w:rPr>
                <w:rFonts w:hint="eastAsia" w:ascii="宋体" w:hAnsi="宋体" w:eastAsia="宋体" w:cs="宋体"/>
                <w:sz w:val="15"/>
                <w:szCs w:val="28"/>
              </w:rPr>
            </w:pPr>
          </w:p>
        </w:tc>
        <w:tc>
          <w:tcPr>
            <w:tcW w:w="1116" w:type="dxa"/>
            <w:gridSpan w:val="2"/>
            <w:tcBorders>
              <w:left w:val="nil"/>
              <w:right w:val="nil"/>
            </w:tcBorders>
          </w:tcPr>
          <w:p w14:paraId="7D6A4B31">
            <w:pPr>
              <w:pStyle w:val="92"/>
              <w:spacing w:before="86"/>
              <w:rPr>
                <w:rFonts w:hint="eastAsia" w:ascii="宋体" w:hAnsi="宋体" w:eastAsia="宋体" w:cs="宋体"/>
                <w:sz w:val="16"/>
                <w:szCs w:val="28"/>
              </w:rPr>
            </w:pPr>
          </w:p>
        </w:tc>
        <w:tc>
          <w:tcPr>
            <w:tcW w:w="1086" w:type="dxa"/>
            <w:gridSpan w:val="4"/>
            <w:tcBorders>
              <w:left w:val="nil"/>
              <w:right w:val="nil"/>
            </w:tcBorders>
          </w:tcPr>
          <w:p w14:paraId="3F072B3D">
            <w:pPr>
              <w:pStyle w:val="92"/>
              <w:spacing w:before="86"/>
              <w:rPr>
                <w:rFonts w:hint="eastAsia" w:ascii="宋体" w:hAnsi="宋体" w:eastAsia="宋体" w:cs="宋体"/>
                <w:sz w:val="16"/>
                <w:szCs w:val="28"/>
              </w:rPr>
            </w:pPr>
          </w:p>
        </w:tc>
        <w:tc>
          <w:tcPr>
            <w:tcW w:w="710" w:type="dxa"/>
            <w:tcBorders>
              <w:left w:val="nil"/>
              <w:right w:val="nil"/>
            </w:tcBorders>
          </w:tcPr>
          <w:p w14:paraId="2C67C6ED">
            <w:pPr>
              <w:pStyle w:val="92"/>
              <w:spacing w:before="86"/>
              <w:ind w:left="163"/>
              <w:rPr>
                <w:rFonts w:hint="eastAsia" w:ascii="宋体" w:hAnsi="宋体" w:eastAsia="宋体" w:cs="宋体"/>
                <w:sz w:val="16"/>
                <w:szCs w:val="28"/>
                <w:lang w:val="en-US" w:eastAsia="zh-CN"/>
              </w:rPr>
            </w:pPr>
          </w:p>
        </w:tc>
        <w:tc>
          <w:tcPr>
            <w:tcW w:w="1159" w:type="dxa"/>
            <w:gridSpan w:val="2"/>
            <w:tcBorders>
              <w:left w:val="nil"/>
            </w:tcBorders>
          </w:tcPr>
          <w:p w14:paraId="2869E086">
            <w:pPr>
              <w:pStyle w:val="92"/>
              <w:rPr>
                <w:rFonts w:hint="eastAsia" w:ascii="宋体" w:hAnsi="宋体" w:eastAsia="宋体" w:cs="宋体"/>
                <w:sz w:val="15"/>
                <w:szCs w:val="28"/>
              </w:rPr>
            </w:pPr>
          </w:p>
        </w:tc>
      </w:tr>
      <w:tr w14:paraId="3E36F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 w:hRule="atLeast"/>
        </w:trPr>
        <w:tc>
          <w:tcPr>
            <w:tcW w:w="2114" w:type="dxa"/>
            <w:gridSpan w:val="4"/>
            <w:vMerge w:val="restart"/>
            <w:tcBorders>
              <w:bottom w:val="nil"/>
              <w:right w:val="single" w:color="auto" w:sz="4" w:space="0"/>
            </w:tcBorders>
            <w:vAlign w:val="center"/>
          </w:tcPr>
          <w:p w14:paraId="01BDB5F0">
            <w:pPr>
              <w:keepNext w:val="0"/>
              <w:keepLines w:val="0"/>
              <w:widowControl/>
              <w:suppressLineNumbers w:val="0"/>
              <w:jc w:val="center"/>
            </w:pPr>
            <w:r>
              <w:rPr>
                <w:rFonts w:hint="eastAsia" w:ascii="宋体" w:hAnsi="宋体" w:eastAsia="宋体" w:cs="宋体"/>
                <w:b/>
                <w:bCs/>
                <w:color w:val="000000"/>
                <w:kern w:val="0"/>
                <w:sz w:val="14"/>
                <w:szCs w:val="14"/>
                <w:lang w:val="en-US" w:eastAsia="zh-CN" w:bidi="ar"/>
              </w:rPr>
              <w:t>甲方常规电量</w:t>
            </w:r>
          </w:p>
          <w:p w14:paraId="01523B9D">
            <w:pPr>
              <w:keepNext w:val="0"/>
              <w:keepLines w:val="0"/>
              <w:widowControl/>
              <w:suppressLineNumbers w:val="0"/>
              <w:jc w:val="center"/>
            </w:pPr>
            <w:r>
              <w:rPr>
                <w:rFonts w:hint="eastAsia" w:ascii="宋体" w:hAnsi="宋体" w:eastAsia="宋体" w:cs="宋体"/>
                <w:b/>
                <w:bCs/>
                <w:color w:val="000000"/>
                <w:kern w:val="0"/>
                <w:sz w:val="14"/>
                <w:szCs w:val="14"/>
                <w:lang w:val="en-US" w:eastAsia="zh-CN" w:bidi="ar"/>
              </w:rPr>
              <w:t>意向需求(不含绿电)</w:t>
            </w:r>
          </w:p>
          <w:p w14:paraId="753DBD35">
            <w:pPr>
              <w:pStyle w:val="92"/>
              <w:ind w:right="242"/>
              <w:jc w:val="center"/>
              <w:rPr>
                <w:rFonts w:hint="eastAsia" w:ascii="宋体" w:hAnsi="宋体" w:eastAsia="宋体" w:cs="宋体"/>
                <w:b/>
                <w:sz w:val="16"/>
                <w:szCs w:val="28"/>
              </w:rPr>
            </w:pPr>
          </w:p>
        </w:tc>
        <w:tc>
          <w:tcPr>
            <w:tcW w:w="240" w:type="dxa"/>
            <w:tcBorders>
              <w:left w:val="single" w:color="auto" w:sz="4" w:space="0"/>
              <w:bottom w:val="single" w:color="auto" w:sz="4" w:space="0"/>
              <w:right w:val="nil"/>
            </w:tcBorders>
          </w:tcPr>
          <w:p w14:paraId="63A374C2">
            <w:pPr>
              <w:pStyle w:val="92"/>
              <w:ind w:left="257" w:right="242"/>
              <w:jc w:val="center"/>
              <w:rPr>
                <w:rFonts w:hint="eastAsia" w:ascii="宋体" w:hAnsi="宋体" w:eastAsia="宋体" w:cs="宋体"/>
                <w:b/>
                <w:sz w:val="16"/>
                <w:szCs w:val="28"/>
              </w:rPr>
            </w:pPr>
          </w:p>
        </w:tc>
        <w:tc>
          <w:tcPr>
            <w:tcW w:w="498" w:type="dxa"/>
            <w:gridSpan w:val="2"/>
            <w:tcBorders>
              <w:left w:val="nil"/>
            </w:tcBorders>
          </w:tcPr>
          <w:p w14:paraId="05FB443C">
            <w:pPr>
              <w:pStyle w:val="92"/>
              <w:spacing w:before="44" w:line="190" w:lineRule="exact"/>
              <w:ind w:right="184"/>
              <w:jc w:val="both"/>
              <w:rPr>
                <w:rFonts w:hint="default" w:ascii="宋体" w:hAnsi="宋体" w:eastAsia="宋体" w:cs="宋体"/>
                <w:sz w:val="16"/>
                <w:szCs w:val="28"/>
                <w:lang w:val="en-US" w:eastAsia="zh-CN"/>
              </w:rPr>
            </w:pPr>
            <w:r>
              <w:rPr>
                <w:rFonts w:hint="eastAsia" w:cs="宋体"/>
                <w:sz w:val="16"/>
                <w:szCs w:val="28"/>
                <w:lang w:val="en-US" w:eastAsia="zh-CN"/>
              </w:rPr>
              <w:t>1月</w:t>
            </w:r>
          </w:p>
        </w:tc>
        <w:tc>
          <w:tcPr>
            <w:tcW w:w="884" w:type="dxa"/>
          </w:tcPr>
          <w:p w14:paraId="5F0F0545">
            <w:pPr>
              <w:pStyle w:val="92"/>
              <w:rPr>
                <w:rFonts w:hint="eastAsia" w:ascii="宋体" w:hAnsi="宋体" w:eastAsia="宋体" w:cs="宋体"/>
                <w:sz w:val="15"/>
                <w:szCs w:val="28"/>
              </w:rPr>
            </w:pPr>
          </w:p>
        </w:tc>
        <w:tc>
          <w:tcPr>
            <w:tcW w:w="934" w:type="dxa"/>
            <w:gridSpan w:val="2"/>
          </w:tcPr>
          <w:p w14:paraId="7550DE08">
            <w:pPr>
              <w:pStyle w:val="92"/>
              <w:spacing w:before="44" w:line="190" w:lineRule="exact"/>
              <w:ind w:left="291"/>
              <w:rPr>
                <w:rFonts w:hint="eastAsia" w:ascii="宋体" w:hAnsi="宋体" w:eastAsia="宋体" w:cs="宋体"/>
                <w:sz w:val="16"/>
                <w:szCs w:val="28"/>
              </w:rPr>
            </w:pPr>
            <w:r>
              <w:rPr>
                <w:rFonts w:hint="eastAsia" w:ascii="宋体" w:hAnsi="宋体" w:eastAsia="宋体" w:cs="宋体"/>
                <w:sz w:val="16"/>
                <w:szCs w:val="28"/>
              </w:rPr>
              <w:t>2月</w:t>
            </w:r>
          </w:p>
        </w:tc>
        <w:tc>
          <w:tcPr>
            <w:tcW w:w="784" w:type="dxa"/>
            <w:gridSpan w:val="2"/>
          </w:tcPr>
          <w:p w14:paraId="75164C50">
            <w:pPr>
              <w:pStyle w:val="92"/>
              <w:rPr>
                <w:rFonts w:hint="eastAsia" w:ascii="宋体" w:hAnsi="宋体" w:eastAsia="宋体" w:cs="宋体"/>
                <w:sz w:val="15"/>
                <w:szCs w:val="28"/>
              </w:rPr>
            </w:pPr>
          </w:p>
        </w:tc>
        <w:tc>
          <w:tcPr>
            <w:tcW w:w="1116" w:type="dxa"/>
            <w:gridSpan w:val="2"/>
            <w:vAlign w:val="center"/>
          </w:tcPr>
          <w:p w14:paraId="58A17A0C">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3月</w:t>
            </w:r>
          </w:p>
        </w:tc>
        <w:tc>
          <w:tcPr>
            <w:tcW w:w="883" w:type="dxa"/>
            <w:gridSpan w:val="2"/>
            <w:vAlign w:val="center"/>
          </w:tcPr>
          <w:p w14:paraId="46B65FC7">
            <w:pPr>
              <w:pStyle w:val="92"/>
              <w:spacing w:before="43" w:line="190" w:lineRule="exact"/>
              <w:ind w:left="204" w:right="184"/>
              <w:jc w:val="center"/>
              <w:rPr>
                <w:rFonts w:hint="eastAsia" w:ascii="宋体" w:hAnsi="宋体" w:eastAsia="宋体" w:cs="宋体"/>
                <w:sz w:val="16"/>
                <w:szCs w:val="28"/>
              </w:rPr>
            </w:pPr>
          </w:p>
        </w:tc>
        <w:tc>
          <w:tcPr>
            <w:tcW w:w="913" w:type="dxa"/>
            <w:gridSpan w:val="3"/>
            <w:vAlign w:val="center"/>
          </w:tcPr>
          <w:p w14:paraId="5836DA56">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4月</w:t>
            </w:r>
          </w:p>
        </w:tc>
        <w:tc>
          <w:tcPr>
            <w:tcW w:w="1159" w:type="dxa"/>
            <w:gridSpan w:val="2"/>
          </w:tcPr>
          <w:p w14:paraId="385BB9EF">
            <w:pPr>
              <w:pStyle w:val="92"/>
              <w:rPr>
                <w:rFonts w:hint="eastAsia" w:ascii="宋体" w:hAnsi="宋体" w:eastAsia="宋体" w:cs="宋体"/>
                <w:sz w:val="15"/>
                <w:szCs w:val="28"/>
              </w:rPr>
            </w:pPr>
          </w:p>
        </w:tc>
      </w:tr>
      <w:tr w14:paraId="17E4A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3" w:hRule="atLeast"/>
        </w:trPr>
        <w:tc>
          <w:tcPr>
            <w:tcW w:w="2114" w:type="dxa"/>
            <w:gridSpan w:val="4"/>
            <w:vMerge w:val="continue"/>
            <w:tcBorders>
              <w:bottom w:val="nil"/>
              <w:right w:val="single" w:color="auto" w:sz="4" w:space="0"/>
            </w:tcBorders>
          </w:tcPr>
          <w:p w14:paraId="1BB35F7C">
            <w:pPr>
              <w:rPr>
                <w:rFonts w:hint="eastAsia" w:ascii="宋体" w:hAnsi="宋体" w:eastAsia="宋体" w:cs="宋体"/>
                <w:sz w:val="4"/>
                <w:szCs w:val="4"/>
              </w:rPr>
            </w:pPr>
          </w:p>
        </w:tc>
        <w:tc>
          <w:tcPr>
            <w:tcW w:w="240" w:type="dxa"/>
            <w:tcBorders>
              <w:top w:val="single" w:color="auto" w:sz="4" w:space="0"/>
              <w:left w:val="single" w:color="auto" w:sz="4" w:space="0"/>
              <w:right w:val="nil"/>
            </w:tcBorders>
          </w:tcPr>
          <w:p w14:paraId="341FFBA2">
            <w:pPr>
              <w:rPr>
                <w:rFonts w:hint="eastAsia" w:ascii="宋体" w:hAnsi="宋体" w:eastAsia="宋体" w:cs="宋体"/>
                <w:sz w:val="4"/>
                <w:szCs w:val="4"/>
              </w:rPr>
            </w:pPr>
          </w:p>
        </w:tc>
        <w:tc>
          <w:tcPr>
            <w:tcW w:w="498" w:type="dxa"/>
            <w:gridSpan w:val="2"/>
            <w:tcBorders>
              <w:left w:val="nil"/>
            </w:tcBorders>
          </w:tcPr>
          <w:p w14:paraId="15DE4994">
            <w:pPr>
              <w:pStyle w:val="92"/>
              <w:spacing w:before="43" w:line="190" w:lineRule="exact"/>
              <w:ind w:right="184"/>
              <w:jc w:val="both"/>
              <w:rPr>
                <w:rFonts w:hint="default" w:ascii="宋体" w:hAnsi="宋体" w:eastAsia="宋体" w:cs="宋体"/>
                <w:sz w:val="16"/>
                <w:szCs w:val="28"/>
                <w:lang w:val="en-US" w:eastAsia="zh-CN"/>
              </w:rPr>
            </w:pPr>
            <w:r>
              <w:rPr>
                <w:rFonts w:hint="eastAsia" w:cs="宋体"/>
                <w:sz w:val="16"/>
                <w:szCs w:val="28"/>
                <w:lang w:val="en-US" w:eastAsia="zh-CN"/>
              </w:rPr>
              <w:t>5月</w:t>
            </w:r>
          </w:p>
        </w:tc>
        <w:tc>
          <w:tcPr>
            <w:tcW w:w="884" w:type="dxa"/>
          </w:tcPr>
          <w:p w14:paraId="4B6B1114">
            <w:pPr>
              <w:pStyle w:val="92"/>
              <w:rPr>
                <w:rFonts w:hint="eastAsia" w:ascii="宋体" w:hAnsi="宋体" w:eastAsia="宋体" w:cs="宋体"/>
                <w:sz w:val="15"/>
                <w:szCs w:val="28"/>
              </w:rPr>
            </w:pPr>
          </w:p>
        </w:tc>
        <w:tc>
          <w:tcPr>
            <w:tcW w:w="934" w:type="dxa"/>
            <w:gridSpan w:val="2"/>
          </w:tcPr>
          <w:p w14:paraId="3E3BB6DD">
            <w:pPr>
              <w:pStyle w:val="92"/>
              <w:spacing w:before="43" w:line="190" w:lineRule="exact"/>
              <w:ind w:left="291"/>
              <w:rPr>
                <w:rFonts w:hint="eastAsia" w:ascii="宋体" w:hAnsi="宋体" w:eastAsia="宋体" w:cs="宋体"/>
                <w:sz w:val="16"/>
                <w:szCs w:val="28"/>
              </w:rPr>
            </w:pPr>
            <w:r>
              <w:rPr>
                <w:rFonts w:hint="eastAsia" w:ascii="宋体" w:hAnsi="宋体" w:eastAsia="宋体" w:cs="宋体"/>
                <w:sz w:val="16"/>
                <w:szCs w:val="28"/>
              </w:rPr>
              <w:t>6月</w:t>
            </w:r>
          </w:p>
        </w:tc>
        <w:tc>
          <w:tcPr>
            <w:tcW w:w="784" w:type="dxa"/>
            <w:gridSpan w:val="2"/>
          </w:tcPr>
          <w:p w14:paraId="25DF1E18">
            <w:pPr>
              <w:pStyle w:val="92"/>
              <w:rPr>
                <w:rFonts w:hint="eastAsia" w:ascii="宋体" w:hAnsi="宋体" w:eastAsia="宋体" w:cs="宋体"/>
                <w:sz w:val="15"/>
                <w:szCs w:val="28"/>
              </w:rPr>
            </w:pPr>
          </w:p>
        </w:tc>
        <w:tc>
          <w:tcPr>
            <w:tcW w:w="1116" w:type="dxa"/>
            <w:gridSpan w:val="2"/>
            <w:vAlign w:val="center"/>
          </w:tcPr>
          <w:p w14:paraId="71BE9444">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7月</w:t>
            </w:r>
          </w:p>
        </w:tc>
        <w:tc>
          <w:tcPr>
            <w:tcW w:w="883" w:type="dxa"/>
            <w:gridSpan w:val="2"/>
            <w:vAlign w:val="center"/>
          </w:tcPr>
          <w:p w14:paraId="331FD371">
            <w:pPr>
              <w:pStyle w:val="92"/>
              <w:spacing w:before="43" w:line="190" w:lineRule="exact"/>
              <w:ind w:left="204" w:right="184"/>
              <w:jc w:val="center"/>
              <w:rPr>
                <w:rFonts w:hint="eastAsia" w:ascii="宋体" w:hAnsi="宋体" w:eastAsia="宋体" w:cs="宋体"/>
                <w:sz w:val="16"/>
                <w:szCs w:val="28"/>
              </w:rPr>
            </w:pPr>
          </w:p>
        </w:tc>
        <w:tc>
          <w:tcPr>
            <w:tcW w:w="913" w:type="dxa"/>
            <w:gridSpan w:val="3"/>
            <w:vAlign w:val="center"/>
          </w:tcPr>
          <w:p w14:paraId="6983F8C1">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8月</w:t>
            </w:r>
          </w:p>
        </w:tc>
        <w:tc>
          <w:tcPr>
            <w:tcW w:w="1159" w:type="dxa"/>
            <w:gridSpan w:val="2"/>
          </w:tcPr>
          <w:p w14:paraId="7A5E5AC3">
            <w:pPr>
              <w:pStyle w:val="92"/>
              <w:rPr>
                <w:rFonts w:hint="eastAsia" w:ascii="宋体" w:hAnsi="宋体" w:eastAsia="宋体" w:cs="宋体"/>
                <w:sz w:val="15"/>
                <w:szCs w:val="28"/>
              </w:rPr>
            </w:pPr>
          </w:p>
        </w:tc>
      </w:tr>
      <w:tr w14:paraId="565B1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305" w:hRule="atLeast"/>
        </w:trPr>
        <w:tc>
          <w:tcPr>
            <w:tcW w:w="2114" w:type="dxa"/>
            <w:gridSpan w:val="4"/>
            <w:tcBorders>
              <w:top w:val="nil"/>
              <w:bottom w:val="nil"/>
              <w:right w:val="single" w:color="auto" w:sz="4" w:space="0"/>
            </w:tcBorders>
          </w:tcPr>
          <w:p w14:paraId="72ED9A94">
            <w:pPr>
              <w:rPr>
                <w:rFonts w:hint="eastAsia" w:ascii="宋体" w:hAnsi="宋体" w:eastAsia="宋体" w:cs="宋体"/>
                <w:b/>
                <w:bCs/>
                <w:sz w:val="4"/>
                <w:szCs w:val="4"/>
              </w:rPr>
            </w:pPr>
          </w:p>
        </w:tc>
        <w:tc>
          <w:tcPr>
            <w:tcW w:w="731" w:type="dxa"/>
            <w:gridSpan w:val="2"/>
            <w:tcBorders>
              <w:left w:val="single" w:color="auto" w:sz="4" w:space="0"/>
            </w:tcBorders>
          </w:tcPr>
          <w:p w14:paraId="2E9A9658">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9月</w:t>
            </w:r>
          </w:p>
        </w:tc>
        <w:tc>
          <w:tcPr>
            <w:tcW w:w="891" w:type="dxa"/>
            <w:gridSpan w:val="2"/>
          </w:tcPr>
          <w:p w14:paraId="2AAABE51">
            <w:pPr>
              <w:pStyle w:val="92"/>
              <w:rPr>
                <w:rFonts w:hint="eastAsia" w:ascii="宋体" w:hAnsi="宋体" w:eastAsia="宋体" w:cs="宋体"/>
                <w:sz w:val="15"/>
                <w:szCs w:val="28"/>
              </w:rPr>
            </w:pPr>
          </w:p>
        </w:tc>
        <w:tc>
          <w:tcPr>
            <w:tcW w:w="927" w:type="dxa"/>
          </w:tcPr>
          <w:p w14:paraId="75ECAB19">
            <w:pPr>
              <w:pStyle w:val="92"/>
              <w:spacing w:before="43" w:line="190" w:lineRule="exact"/>
              <w:ind w:left="253"/>
              <w:rPr>
                <w:rFonts w:hint="eastAsia" w:ascii="宋体" w:hAnsi="宋体" w:eastAsia="宋体" w:cs="宋体"/>
                <w:sz w:val="16"/>
                <w:szCs w:val="28"/>
              </w:rPr>
            </w:pPr>
            <w:r>
              <w:rPr>
                <w:rFonts w:hint="eastAsia" w:ascii="宋体" w:hAnsi="宋体" w:eastAsia="宋体" w:cs="宋体"/>
                <w:sz w:val="16"/>
                <w:szCs w:val="28"/>
              </w:rPr>
              <w:t>10月</w:t>
            </w:r>
          </w:p>
        </w:tc>
        <w:tc>
          <w:tcPr>
            <w:tcW w:w="784" w:type="dxa"/>
            <w:gridSpan w:val="2"/>
          </w:tcPr>
          <w:p w14:paraId="442C16CC">
            <w:pPr>
              <w:pStyle w:val="92"/>
              <w:rPr>
                <w:rFonts w:hint="eastAsia" w:ascii="宋体" w:hAnsi="宋体" w:eastAsia="宋体" w:cs="宋体"/>
                <w:sz w:val="15"/>
                <w:szCs w:val="28"/>
              </w:rPr>
            </w:pPr>
          </w:p>
        </w:tc>
        <w:tc>
          <w:tcPr>
            <w:tcW w:w="1116" w:type="dxa"/>
            <w:gridSpan w:val="2"/>
            <w:vAlign w:val="center"/>
          </w:tcPr>
          <w:p w14:paraId="101CF2F3">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11月</w:t>
            </w:r>
          </w:p>
        </w:tc>
        <w:tc>
          <w:tcPr>
            <w:tcW w:w="883" w:type="dxa"/>
            <w:gridSpan w:val="2"/>
            <w:vAlign w:val="center"/>
          </w:tcPr>
          <w:p w14:paraId="6D2CF251">
            <w:pPr>
              <w:pStyle w:val="92"/>
              <w:spacing w:before="43" w:line="190" w:lineRule="exact"/>
              <w:ind w:left="204" w:right="184"/>
              <w:jc w:val="center"/>
              <w:rPr>
                <w:rFonts w:hint="eastAsia" w:ascii="宋体" w:hAnsi="宋体" w:eastAsia="宋体" w:cs="宋体"/>
                <w:sz w:val="16"/>
                <w:szCs w:val="28"/>
              </w:rPr>
            </w:pPr>
          </w:p>
        </w:tc>
        <w:tc>
          <w:tcPr>
            <w:tcW w:w="913" w:type="dxa"/>
            <w:gridSpan w:val="3"/>
            <w:vAlign w:val="center"/>
          </w:tcPr>
          <w:p w14:paraId="28F33D4B">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12月</w:t>
            </w:r>
          </w:p>
        </w:tc>
        <w:tc>
          <w:tcPr>
            <w:tcW w:w="1159" w:type="dxa"/>
            <w:gridSpan w:val="2"/>
          </w:tcPr>
          <w:p w14:paraId="1438C5D2">
            <w:pPr>
              <w:pStyle w:val="92"/>
              <w:rPr>
                <w:rFonts w:hint="eastAsia" w:ascii="宋体" w:hAnsi="宋体" w:eastAsia="宋体" w:cs="宋体"/>
                <w:sz w:val="15"/>
                <w:szCs w:val="28"/>
              </w:rPr>
            </w:pPr>
          </w:p>
        </w:tc>
      </w:tr>
      <w:tr w14:paraId="72593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53" w:hRule="atLeast"/>
        </w:trPr>
        <w:tc>
          <w:tcPr>
            <w:tcW w:w="2114" w:type="dxa"/>
            <w:gridSpan w:val="4"/>
            <w:tcBorders>
              <w:top w:val="nil"/>
              <w:right w:val="single" w:color="auto" w:sz="4" w:space="0"/>
            </w:tcBorders>
          </w:tcPr>
          <w:p w14:paraId="7854E276">
            <w:pPr>
              <w:pStyle w:val="92"/>
              <w:rPr>
                <w:rFonts w:hint="eastAsia" w:ascii="宋体" w:hAnsi="宋体" w:eastAsia="宋体" w:cs="宋体"/>
                <w:sz w:val="15"/>
                <w:szCs w:val="28"/>
              </w:rPr>
            </w:pPr>
          </w:p>
        </w:tc>
        <w:tc>
          <w:tcPr>
            <w:tcW w:w="7404" w:type="dxa"/>
            <w:gridSpan w:val="16"/>
            <w:tcBorders>
              <w:left w:val="single" w:color="auto" w:sz="4" w:space="0"/>
            </w:tcBorders>
          </w:tcPr>
          <w:p w14:paraId="37F36C10">
            <w:pPr>
              <w:pStyle w:val="92"/>
              <w:rPr>
                <w:rFonts w:hint="default" w:ascii="宋体" w:hAnsi="宋体" w:eastAsia="宋体" w:cs="宋体"/>
                <w:sz w:val="15"/>
                <w:szCs w:val="28"/>
                <w:lang w:val="en-US" w:eastAsia="zh-CN"/>
              </w:rPr>
            </w:pPr>
            <w:r>
              <w:rPr>
                <w:rFonts w:hint="eastAsia" w:cs="宋体"/>
                <w:sz w:val="15"/>
                <w:szCs w:val="28"/>
                <w:lang w:val="en-US" w:eastAsia="zh-CN"/>
              </w:rPr>
              <w:t>全年小计</w:t>
            </w:r>
          </w:p>
        </w:tc>
      </w:tr>
      <w:tr w14:paraId="477C2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53" w:hRule="atLeast"/>
        </w:trPr>
        <w:tc>
          <w:tcPr>
            <w:tcW w:w="9518" w:type="dxa"/>
            <w:gridSpan w:val="20"/>
          </w:tcPr>
          <w:p w14:paraId="1F53C4DE">
            <w:pPr>
              <w:pStyle w:val="92"/>
              <w:rPr>
                <w:rFonts w:hint="eastAsia" w:ascii="宋体" w:hAnsi="宋体" w:eastAsia="宋体" w:cs="宋体"/>
                <w:sz w:val="15"/>
                <w:szCs w:val="28"/>
              </w:rPr>
            </w:pPr>
          </w:p>
        </w:tc>
      </w:tr>
      <w:tr w14:paraId="7FA6A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53" w:hRule="atLeast"/>
        </w:trPr>
        <w:tc>
          <w:tcPr>
            <w:tcW w:w="2114" w:type="dxa"/>
            <w:gridSpan w:val="4"/>
            <w:vMerge w:val="restart"/>
          </w:tcPr>
          <w:p w14:paraId="14D15F2D">
            <w:pPr>
              <w:pStyle w:val="92"/>
              <w:ind w:left="642" w:right="475" w:hanging="159"/>
              <w:rPr>
                <w:rFonts w:hint="eastAsia" w:ascii="宋体" w:hAnsi="宋体" w:eastAsia="宋体" w:cs="宋体"/>
                <w:b/>
                <w:sz w:val="16"/>
                <w:szCs w:val="28"/>
              </w:rPr>
            </w:pPr>
            <w:r>
              <w:rPr>
                <w:rFonts w:hint="eastAsia" w:ascii="宋体" w:hAnsi="宋体" w:eastAsia="宋体" w:cs="宋体"/>
                <w:b/>
                <w:sz w:val="16"/>
                <w:szCs w:val="28"/>
                <w:lang w:val="en-US" w:eastAsia="zh-CN"/>
              </w:rPr>
              <w:t xml:space="preserve">甲方绿电电量 </w:t>
            </w:r>
          </w:p>
          <w:p w14:paraId="6C404EA1">
            <w:pPr>
              <w:pStyle w:val="92"/>
              <w:ind w:left="642" w:right="475" w:hanging="159"/>
              <w:rPr>
                <w:rFonts w:hint="eastAsia" w:ascii="宋体" w:hAnsi="宋体" w:eastAsia="宋体" w:cs="宋体"/>
                <w:b/>
                <w:sz w:val="16"/>
                <w:szCs w:val="28"/>
              </w:rPr>
            </w:pPr>
            <w:r>
              <w:rPr>
                <w:rFonts w:hint="eastAsia" w:ascii="宋体" w:hAnsi="宋体" w:eastAsia="宋体" w:cs="宋体"/>
                <w:b/>
                <w:sz w:val="16"/>
                <w:szCs w:val="28"/>
                <w:lang w:val="en-US" w:eastAsia="zh-CN"/>
              </w:rPr>
              <w:t>意向需求</w:t>
            </w:r>
          </w:p>
          <w:p w14:paraId="7E68B787">
            <w:pPr>
              <w:pStyle w:val="92"/>
              <w:ind w:left="642" w:right="475" w:hanging="159"/>
              <w:rPr>
                <w:rFonts w:hint="eastAsia" w:ascii="宋体" w:hAnsi="宋体" w:eastAsia="宋体" w:cs="宋体"/>
                <w:b/>
                <w:sz w:val="16"/>
                <w:szCs w:val="28"/>
              </w:rPr>
            </w:pPr>
          </w:p>
        </w:tc>
        <w:tc>
          <w:tcPr>
            <w:tcW w:w="731" w:type="dxa"/>
            <w:gridSpan w:val="2"/>
          </w:tcPr>
          <w:p w14:paraId="56FF055A">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1月</w:t>
            </w:r>
          </w:p>
        </w:tc>
        <w:tc>
          <w:tcPr>
            <w:tcW w:w="891" w:type="dxa"/>
            <w:gridSpan w:val="2"/>
          </w:tcPr>
          <w:p w14:paraId="7EF8061C">
            <w:pPr>
              <w:pStyle w:val="92"/>
              <w:rPr>
                <w:rFonts w:hint="eastAsia" w:ascii="宋体" w:hAnsi="宋体" w:eastAsia="宋体" w:cs="宋体"/>
                <w:sz w:val="15"/>
                <w:szCs w:val="28"/>
              </w:rPr>
            </w:pPr>
          </w:p>
        </w:tc>
        <w:tc>
          <w:tcPr>
            <w:tcW w:w="927" w:type="dxa"/>
          </w:tcPr>
          <w:p w14:paraId="486E56FF">
            <w:pPr>
              <w:pStyle w:val="92"/>
              <w:spacing w:before="43" w:line="190" w:lineRule="exact"/>
              <w:ind w:left="291"/>
              <w:rPr>
                <w:rFonts w:hint="eastAsia" w:ascii="宋体" w:hAnsi="宋体" w:eastAsia="宋体" w:cs="宋体"/>
                <w:sz w:val="16"/>
                <w:szCs w:val="28"/>
              </w:rPr>
            </w:pPr>
            <w:r>
              <w:rPr>
                <w:rFonts w:hint="eastAsia" w:ascii="宋体" w:hAnsi="宋体" w:eastAsia="宋体" w:cs="宋体"/>
                <w:sz w:val="16"/>
                <w:szCs w:val="28"/>
              </w:rPr>
              <w:t>2月</w:t>
            </w:r>
          </w:p>
        </w:tc>
        <w:tc>
          <w:tcPr>
            <w:tcW w:w="784" w:type="dxa"/>
            <w:gridSpan w:val="2"/>
          </w:tcPr>
          <w:p w14:paraId="0AAB3E75">
            <w:pPr>
              <w:pStyle w:val="92"/>
              <w:rPr>
                <w:rFonts w:hint="eastAsia" w:ascii="宋体" w:hAnsi="宋体" w:eastAsia="宋体" w:cs="宋体"/>
                <w:sz w:val="15"/>
                <w:szCs w:val="28"/>
              </w:rPr>
            </w:pPr>
          </w:p>
        </w:tc>
        <w:tc>
          <w:tcPr>
            <w:tcW w:w="1116" w:type="dxa"/>
            <w:gridSpan w:val="2"/>
          </w:tcPr>
          <w:p w14:paraId="3D9F0185">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3月</w:t>
            </w:r>
          </w:p>
        </w:tc>
        <w:tc>
          <w:tcPr>
            <w:tcW w:w="883" w:type="dxa"/>
            <w:gridSpan w:val="2"/>
          </w:tcPr>
          <w:p w14:paraId="0AC7C7FD">
            <w:pPr>
              <w:pStyle w:val="92"/>
              <w:spacing w:before="43" w:line="190" w:lineRule="exact"/>
              <w:ind w:left="204" w:right="184"/>
              <w:jc w:val="center"/>
              <w:rPr>
                <w:rFonts w:hint="eastAsia" w:ascii="宋体" w:hAnsi="宋体" w:eastAsia="宋体" w:cs="宋体"/>
                <w:sz w:val="16"/>
                <w:szCs w:val="28"/>
              </w:rPr>
            </w:pPr>
          </w:p>
        </w:tc>
        <w:tc>
          <w:tcPr>
            <w:tcW w:w="913" w:type="dxa"/>
            <w:gridSpan w:val="3"/>
          </w:tcPr>
          <w:p w14:paraId="3004D409">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4月</w:t>
            </w:r>
          </w:p>
        </w:tc>
        <w:tc>
          <w:tcPr>
            <w:tcW w:w="1159" w:type="dxa"/>
            <w:gridSpan w:val="2"/>
          </w:tcPr>
          <w:p w14:paraId="239F68EE">
            <w:pPr>
              <w:pStyle w:val="92"/>
              <w:rPr>
                <w:rFonts w:hint="eastAsia" w:ascii="宋体" w:hAnsi="宋体" w:eastAsia="宋体" w:cs="宋体"/>
                <w:sz w:val="15"/>
                <w:szCs w:val="28"/>
              </w:rPr>
            </w:pPr>
          </w:p>
        </w:tc>
      </w:tr>
      <w:tr w14:paraId="5F45D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53" w:hRule="atLeast"/>
        </w:trPr>
        <w:tc>
          <w:tcPr>
            <w:tcW w:w="2114" w:type="dxa"/>
            <w:gridSpan w:val="4"/>
            <w:vMerge w:val="continue"/>
          </w:tcPr>
          <w:p w14:paraId="3F489B00">
            <w:pPr>
              <w:rPr>
                <w:rFonts w:hint="eastAsia" w:ascii="宋体" w:hAnsi="宋体" w:eastAsia="宋体" w:cs="宋体"/>
                <w:sz w:val="4"/>
                <w:szCs w:val="4"/>
              </w:rPr>
            </w:pPr>
          </w:p>
        </w:tc>
        <w:tc>
          <w:tcPr>
            <w:tcW w:w="731" w:type="dxa"/>
            <w:gridSpan w:val="2"/>
          </w:tcPr>
          <w:p w14:paraId="15BDDD15">
            <w:pPr>
              <w:pStyle w:val="92"/>
              <w:spacing w:before="44"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5月</w:t>
            </w:r>
          </w:p>
        </w:tc>
        <w:tc>
          <w:tcPr>
            <w:tcW w:w="891" w:type="dxa"/>
            <w:gridSpan w:val="2"/>
          </w:tcPr>
          <w:p w14:paraId="5EBFDE9D">
            <w:pPr>
              <w:pStyle w:val="92"/>
              <w:rPr>
                <w:rFonts w:hint="eastAsia" w:ascii="宋体" w:hAnsi="宋体" w:eastAsia="宋体" w:cs="宋体"/>
                <w:sz w:val="15"/>
                <w:szCs w:val="28"/>
              </w:rPr>
            </w:pPr>
          </w:p>
        </w:tc>
        <w:tc>
          <w:tcPr>
            <w:tcW w:w="927" w:type="dxa"/>
          </w:tcPr>
          <w:p w14:paraId="417D48CB">
            <w:pPr>
              <w:pStyle w:val="92"/>
              <w:spacing w:before="44" w:line="190" w:lineRule="exact"/>
              <w:ind w:left="291"/>
              <w:rPr>
                <w:rFonts w:hint="eastAsia" w:ascii="宋体" w:hAnsi="宋体" w:eastAsia="宋体" w:cs="宋体"/>
                <w:sz w:val="16"/>
                <w:szCs w:val="28"/>
              </w:rPr>
            </w:pPr>
            <w:r>
              <w:rPr>
                <w:rFonts w:hint="eastAsia" w:ascii="宋体" w:hAnsi="宋体" w:eastAsia="宋体" w:cs="宋体"/>
                <w:sz w:val="16"/>
                <w:szCs w:val="28"/>
              </w:rPr>
              <w:t>6月</w:t>
            </w:r>
          </w:p>
        </w:tc>
        <w:tc>
          <w:tcPr>
            <w:tcW w:w="784" w:type="dxa"/>
            <w:gridSpan w:val="2"/>
          </w:tcPr>
          <w:p w14:paraId="21AE9DAA">
            <w:pPr>
              <w:pStyle w:val="92"/>
              <w:rPr>
                <w:rFonts w:hint="eastAsia" w:ascii="宋体" w:hAnsi="宋体" w:eastAsia="宋体" w:cs="宋体"/>
                <w:sz w:val="15"/>
                <w:szCs w:val="28"/>
              </w:rPr>
            </w:pPr>
          </w:p>
        </w:tc>
        <w:tc>
          <w:tcPr>
            <w:tcW w:w="1116" w:type="dxa"/>
            <w:gridSpan w:val="2"/>
          </w:tcPr>
          <w:p w14:paraId="17F60FB5">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7月</w:t>
            </w:r>
          </w:p>
        </w:tc>
        <w:tc>
          <w:tcPr>
            <w:tcW w:w="883" w:type="dxa"/>
            <w:gridSpan w:val="2"/>
          </w:tcPr>
          <w:p w14:paraId="4D10A85E">
            <w:pPr>
              <w:pStyle w:val="92"/>
              <w:spacing w:before="43" w:line="190" w:lineRule="exact"/>
              <w:ind w:left="204" w:right="184"/>
              <w:jc w:val="center"/>
              <w:rPr>
                <w:rFonts w:hint="eastAsia" w:ascii="宋体" w:hAnsi="宋体" w:eastAsia="宋体" w:cs="宋体"/>
                <w:sz w:val="16"/>
                <w:szCs w:val="28"/>
              </w:rPr>
            </w:pPr>
          </w:p>
        </w:tc>
        <w:tc>
          <w:tcPr>
            <w:tcW w:w="913" w:type="dxa"/>
            <w:gridSpan w:val="3"/>
          </w:tcPr>
          <w:p w14:paraId="354FD390">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8月</w:t>
            </w:r>
          </w:p>
        </w:tc>
        <w:tc>
          <w:tcPr>
            <w:tcW w:w="1159" w:type="dxa"/>
            <w:gridSpan w:val="2"/>
          </w:tcPr>
          <w:p w14:paraId="6C9E2F6B">
            <w:pPr>
              <w:pStyle w:val="92"/>
              <w:rPr>
                <w:rFonts w:hint="eastAsia" w:ascii="宋体" w:hAnsi="宋体" w:eastAsia="宋体" w:cs="宋体"/>
                <w:sz w:val="15"/>
                <w:szCs w:val="28"/>
              </w:rPr>
            </w:pPr>
          </w:p>
        </w:tc>
      </w:tr>
      <w:tr w14:paraId="77048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53" w:hRule="atLeast"/>
        </w:trPr>
        <w:tc>
          <w:tcPr>
            <w:tcW w:w="2114" w:type="dxa"/>
            <w:gridSpan w:val="4"/>
            <w:vMerge w:val="continue"/>
            <w:tcBorders>
              <w:bottom w:val="nil"/>
            </w:tcBorders>
          </w:tcPr>
          <w:p w14:paraId="5D2B1D9E">
            <w:pPr>
              <w:rPr>
                <w:rFonts w:hint="eastAsia" w:ascii="宋体" w:hAnsi="宋体" w:eastAsia="宋体" w:cs="宋体"/>
                <w:sz w:val="4"/>
                <w:szCs w:val="4"/>
              </w:rPr>
            </w:pPr>
          </w:p>
        </w:tc>
        <w:tc>
          <w:tcPr>
            <w:tcW w:w="731" w:type="dxa"/>
            <w:gridSpan w:val="2"/>
          </w:tcPr>
          <w:p w14:paraId="4BAFD2FE">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9月</w:t>
            </w:r>
          </w:p>
        </w:tc>
        <w:tc>
          <w:tcPr>
            <w:tcW w:w="891" w:type="dxa"/>
            <w:gridSpan w:val="2"/>
          </w:tcPr>
          <w:p w14:paraId="67B33FB7">
            <w:pPr>
              <w:pStyle w:val="92"/>
              <w:rPr>
                <w:rFonts w:hint="eastAsia" w:ascii="宋体" w:hAnsi="宋体" w:eastAsia="宋体" w:cs="宋体"/>
                <w:sz w:val="15"/>
                <w:szCs w:val="28"/>
              </w:rPr>
            </w:pPr>
          </w:p>
        </w:tc>
        <w:tc>
          <w:tcPr>
            <w:tcW w:w="927" w:type="dxa"/>
          </w:tcPr>
          <w:p w14:paraId="0B1D8C87">
            <w:pPr>
              <w:pStyle w:val="92"/>
              <w:spacing w:before="43" w:line="190" w:lineRule="exact"/>
              <w:ind w:left="253"/>
              <w:rPr>
                <w:rFonts w:hint="eastAsia" w:ascii="宋体" w:hAnsi="宋体" w:eastAsia="宋体" w:cs="宋体"/>
                <w:sz w:val="16"/>
                <w:szCs w:val="28"/>
              </w:rPr>
            </w:pPr>
            <w:r>
              <w:rPr>
                <w:rFonts w:hint="eastAsia" w:ascii="宋体" w:hAnsi="宋体" w:eastAsia="宋体" w:cs="宋体"/>
                <w:sz w:val="16"/>
                <w:szCs w:val="28"/>
              </w:rPr>
              <w:t>10月</w:t>
            </w:r>
          </w:p>
        </w:tc>
        <w:tc>
          <w:tcPr>
            <w:tcW w:w="784" w:type="dxa"/>
            <w:gridSpan w:val="2"/>
          </w:tcPr>
          <w:p w14:paraId="7E87F855">
            <w:pPr>
              <w:pStyle w:val="92"/>
              <w:rPr>
                <w:rFonts w:hint="eastAsia" w:ascii="宋体" w:hAnsi="宋体" w:eastAsia="宋体" w:cs="宋体"/>
                <w:sz w:val="15"/>
                <w:szCs w:val="28"/>
              </w:rPr>
            </w:pPr>
          </w:p>
        </w:tc>
        <w:tc>
          <w:tcPr>
            <w:tcW w:w="1116" w:type="dxa"/>
            <w:gridSpan w:val="2"/>
          </w:tcPr>
          <w:p w14:paraId="52321862">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11月</w:t>
            </w:r>
          </w:p>
        </w:tc>
        <w:tc>
          <w:tcPr>
            <w:tcW w:w="883" w:type="dxa"/>
            <w:gridSpan w:val="2"/>
          </w:tcPr>
          <w:p w14:paraId="02FBEEA4">
            <w:pPr>
              <w:pStyle w:val="92"/>
              <w:spacing w:before="43" w:line="190" w:lineRule="exact"/>
              <w:ind w:left="204" w:right="184"/>
              <w:jc w:val="center"/>
              <w:rPr>
                <w:rFonts w:hint="eastAsia" w:ascii="宋体" w:hAnsi="宋体" w:eastAsia="宋体" w:cs="宋体"/>
                <w:sz w:val="16"/>
                <w:szCs w:val="28"/>
              </w:rPr>
            </w:pPr>
          </w:p>
        </w:tc>
        <w:tc>
          <w:tcPr>
            <w:tcW w:w="913" w:type="dxa"/>
            <w:gridSpan w:val="3"/>
          </w:tcPr>
          <w:p w14:paraId="65F1FC3D">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12月</w:t>
            </w:r>
          </w:p>
        </w:tc>
        <w:tc>
          <w:tcPr>
            <w:tcW w:w="1159" w:type="dxa"/>
            <w:gridSpan w:val="2"/>
          </w:tcPr>
          <w:p w14:paraId="08CB5F90">
            <w:pPr>
              <w:pStyle w:val="92"/>
              <w:rPr>
                <w:rFonts w:hint="eastAsia" w:ascii="宋体" w:hAnsi="宋体" w:eastAsia="宋体" w:cs="宋体"/>
                <w:sz w:val="15"/>
                <w:szCs w:val="28"/>
              </w:rPr>
            </w:pPr>
          </w:p>
        </w:tc>
      </w:tr>
      <w:tr w14:paraId="25C532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346" w:hRule="atLeast"/>
        </w:trPr>
        <w:tc>
          <w:tcPr>
            <w:tcW w:w="2111" w:type="dxa"/>
            <w:gridSpan w:val="3"/>
            <w:tcBorders>
              <w:top w:val="nil"/>
              <w:right w:val="single" w:color="auto" w:sz="4" w:space="0"/>
            </w:tcBorders>
          </w:tcPr>
          <w:p w14:paraId="6450F3A1">
            <w:pPr>
              <w:pStyle w:val="92"/>
              <w:rPr>
                <w:rFonts w:hint="eastAsia" w:ascii="宋体" w:hAnsi="宋体" w:eastAsia="宋体" w:cs="宋体"/>
                <w:sz w:val="15"/>
                <w:szCs w:val="32"/>
              </w:rPr>
            </w:pPr>
          </w:p>
        </w:tc>
        <w:tc>
          <w:tcPr>
            <w:tcW w:w="7407" w:type="dxa"/>
            <w:gridSpan w:val="17"/>
            <w:tcBorders>
              <w:top w:val="nil"/>
              <w:left w:val="single" w:color="auto" w:sz="4" w:space="0"/>
            </w:tcBorders>
          </w:tcPr>
          <w:p w14:paraId="67BADF94">
            <w:pPr>
              <w:pStyle w:val="92"/>
              <w:rPr>
                <w:rFonts w:hint="default" w:ascii="宋体" w:hAnsi="宋体" w:eastAsia="宋体" w:cs="宋体"/>
                <w:sz w:val="15"/>
                <w:szCs w:val="32"/>
                <w:lang w:val="en-US" w:eastAsia="zh-CN"/>
              </w:rPr>
            </w:pPr>
            <w:r>
              <w:rPr>
                <w:rFonts w:hint="eastAsia" w:cs="宋体"/>
                <w:sz w:val="15"/>
                <w:szCs w:val="32"/>
                <w:lang w:val="en-US" w:eastAsia="zh-CN"/>
              </w:rPr>
              <w:t>全年小计</w:t>
            </w:r>
          </w:p>
        </w:tc>
      </w:tr>
      <w:tr w14:paraId="461C8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88" w:hRule="atLeast"/>
        </w:trPr>
        <w:tc>
          <w:tcPr>
            <w:tcW w:w="2111" w:type="dxa"/>
            <w:gridSpan w:val="3"/>
            <w:tcBorders>
              <w:top w:val="nil"/>
              <w:right w:val="single" w:color="auto" w:sz="4" w:space="0"/>
            </w:tcBorders>
          </w:tcPr>
          <w:p w14:paraId="3576D5D3">
            <w:pPr>
              <w:pStyle w:val="92"/>
              <w:rPr>
                <w:rFonts w:hint="eastAsia" w:ascii="宋体" w:hAnsi="宋体" w:eastAsia="宋体" w:cs="宋体"/>
                <w:sz w:val="13"/>
                <w:szCs w:val="28"/>
              </w:rPr>
            </w:pPr>
          </w:p>
        </w:tc>
        <w:tc>
          <w:tcPr>
            <w:tcW w:w="7407" w:type="dxa"/>
            <w:gridSpan w:val="17"/>
            <w:tcBorders>
              <w:top w:val="nil"/>
              <w:left w:val="single" w:color="auto" w:sz="4" w:space="0"/>
            </w:tcBorders>
          </w:tcPr>
          <w:p w14:paraId="1C654C82">
            <w:pPr>
              <w:pStyle w:val="92"/>
              <w:rPr>
                <w:rFonts w:hint="eastAsia" w:ascii="宋体" w:hAnsi="宋体" w:eastAsia="宋体" w:cs="宋体"/>
                <w:sz w:val="13"/>
                <w:szCs w:val="28"/>
              </w:rPr>
            </w:pPr>
          </w:p>
        </w:tc>
      </w:tr>
      <w:tr w14:paraId="7DA9D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27" w:hRule="atLeast"/>
        </w:trPr>
        <w:tc>
          <w:tcPr>
            <w:tcW w:w="2845" w:type="dxa"/>
            <w:gridSpan w:val="6"/>
          </w:tcPr>
          <w:p w14:paraId="300B372E">
            <w:pPr>
              <w:pStyle w:val="92"/>
              <w:spacing w:before="29" w:line="178" w:lineRule="exact"/>
              <w:ind w:left="25"/>
              <w:rPr>
                <w:rFonts w:hint="eastAsia" w:ascii="宋体" w:hAnsi="宋体" w:eastAsia="宋体" w:cs="宋体"/>
                <w:b/>
                <w:sz w:val="16"/>
                <w:szCs w:val="28"/>
              </w:rPr>
            </w:pPr>
            <w:r>
              <w:rPr>
                <w:rFonts w:hint="eastAsia" w:ascii="宋体" w:hAnsi="宋体" w:eastAsia="宋体" w:cs="宋体"/>
                <w:b/>
                <w:sz w:val="16"/>
                <w:szCs w:val="28"/>
              </w:rPr>
              <w:t>套餐一：固定价格套餐</w:t>
            </w:r>
          </w:p>
        </w:tc>
        <w:tc>
          <w:tcPr>
            <w:tcW w:w="6673" w:type="dxa"/>
            <w:gridSpan w:val="14"/>
          </w:tcPr>
          <w:p w14:paraId="10623E57">
            <w:pPr>
              <w:pStyle w:val="92"/>
              <w:spacing w:before="29" w:line="178" w:lineRule="exact"/>
              <w:ind w:left="25"/>
              <w:rPr>
                <w:rFonts w:hint="eastAsia" w:ascii="宋体" w:hAnsi="宋体" w:eastAsia="宋体" w:cs="宋体"/>
                <w:b/>
                <w:sz w:val="16"/>
                <w:szCs w:val="28"/>
              </w:rPr>
            </w:pPr>
            <w:r>
              <w:rPr>
                <w:rFonts w:hint="eastAsia" w:ascii="宋体" w:hAnsi="宋体" w:eastAsia="宋体" w:cs="宋体"/>
                <w:b/>
                <w:sz w:val="16"/>
                <w:szCs w:val="28"/>
              </w:rPr>
              <w:t>电能量比例系数为K</w:t>
            </w:r>
            <w:r>
              <w:rPr>
                <w:rFonts w:hint="eastAsia" w:ascii="宋体" w:hAnsi="宋体" w:eastAsia="宋体" w:cs="宋体"/>
                <w:b/>
                <w:sz w:val="16"/>
                <w:szCs w:val="28"/>
                <w:vertAlign w:val="subscript"/>
              </w:rPr>
              <w:t>1</w:t>
            </w:r>
            <w:r>
              <w:rPr>
                <w:rFonts w:hint="eastAsia" w:ascii="宋体" w:hAnsi="宋体" w:eastAsia="宋体" w:cs="宋体"/>
                <w:b/>
                <w:sz w:val="16"/>
                <w:szCs w:val="28"/>
                <w:vertAlign w:val="baseline"/>
              </w:rPr>
              <w:t>%</w:t>
            </w:r>
          </w:p>
        </w:tc>
      </w:tr>
      <w:tr w14:paraId="0677E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53" w:hRule="atLeast"/>
        </w:trPr>
        <w:tc>
          <w:tcPr>
            <w:tcW w:w="2114" w:type="dxa"/>
            <w:gridSpan w:val="4"/>
            <w:vMerge w:val="restart"/>
          </w:tcPr>
          <w:p w14:paraId="7949F98F">
            <w:pPr>
              <w:pStyle w:val="92"/>
              <w:rPr>
                <w:rFonts w:hint="eastAsia" w:ascii="宋体" w:hAnsi="宋体" w:eastAsia="宋体" w:cs="宋体"/>
                <w:b/>
                <w:sz w:val="15"/>
                <w:szCs w:val="28"/>
              </w:rPr>
            </w:pPr>
          </w:p>
          <w:p w14:paraId="6B8128AF">
            <w:pPr>
              <w:pStyle w:val="92"/>
              <w:rPr>
                <w:rFonts w:hint="eastAsia" w:ascii="宋体" w:hAnsi="宋体" w:eastAsia="宋体" w:cs="宋体"/>
                <w:b/>
                <w:sz w:val="15"/>
                <w:szCs w:val="28"/>
              </w:rPr>
            </w:pPr>
          </w:p>
          <w:p w14:paraId="4EDFA929">
            <w:pPr>
              <w:pStyle w:val="92"/>
              <w:spacing w:before="1"/>
              <w:rPr>
                <w:rFonts w:hint="eastAsia" w:ascii="宋体" w:hAnsi="宋体" w:eastAsia="宋体" w:cs="宋体"/>
                <w:b/>
                <w:sz w:val="21"/>
                <w:szCs w:val="28"/>
              </w:rPr>
            </w:pPr>
          </w:p>
          <w:p w14:paraId="09FE3492">
            <w:pPr>
              <w:pStyle w:val="92"/>
              <w:spacing w:before="1" w:line="242" w:lineRule="auto"/>
              <w:ind w:left="551" w:right="321" w:hanging="226"/>
              <w:rPr>
                <w:rFonts w:hint="eastAsia" w:ascii="宋体" w:hAnsi="宋体" w:eastAsia="宋体" w:cs="宋体"/>
                <w:b/>
                <w:sz w:val="10"/>
                <w:szCs w:val="28"/>
              </w:rPr>
            </w:pPr>
            <w:r>
              <w:rPr>
                <w:rFonts w:hint="eastAsia" w:ascii="宋体" w:hAnsi="宋体" w:eastAsia="宋体" w:cs="宋体"/>
                <w:b/>
                <w:sz w:val="16"/>
                <w:szCs w:val="28"/>
              </w:rPr>
              <w:t>甲方各时段电能量固定价格P</w:t>
            </w:r>
            <w:r>
              <w:rPr>
                <w:rFonts w:hint="eastAsia" w:ascii="宋体" w:hAnsi="宋体" w:eastAsia="宋体" w:cs="宋体"/>
                <w:b/>
                <w:sz w:val="10"/>
                <w:szCs w:val="28"/>
              </w:rPr>
              <w:t>1T</w:t>
            </w:r>
          </w:p>
        </w:tc>
        <w:tc>
          <w:tcPr>
            <w:tcW w:w="731" w:type="dxa"/>
            <w:gridSpan w:val="2"/>
            <w:vAlign w:val="center"/>
          </w:tcPr>
          <w:p w14:paraId="05539415">
            <w:pPr>
              <w:pStyle w:val="92"/>
              <w:spacing w:before="44"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1时</w:t>
            </w:r>
          </w:p>
        </w:tc>
        <w:tc>
          <w:tcPr>
            <w:tcW w:w="891" w:type="dxa"/>
            <w:gridSpan w:val="2"/>
            <w:vAlign w:val="center"/>
          </w:tcPr>
          <w:p w14:paraId="38C5E283">
            <w:pPr>
              <w:pStyle w:val="92"/>
              <w:spacing w:before="44" w:line="190" w:lineRule="exact"/>
              <w:ind w:left="204" w:right="184"/>
              <w:jc w:val="center"/>
              <w:rPr>
                <w:rFonts w:hint="eastAsia" w:ascii="宋体" w:hAnsi="宋体" w:eastAsia="宋体" w:cs="宋体"/>
                <w:sz w:val="16"/>
                <w:szCs w:val="28"/>
              </w:rPr>
            </w:pPr>
          </w:p>
        </w:tc>
        <w:tc>
          <w:tcPr>
            <w:tcW w:w="927" w:type="dxa"/>
            <w:vAlign w:val="center"/>
          </w:tcPr>
          <w:p w14:paraId="0E015252">
            <w:pPr>
              <w:pStyle w:val="92"/>
              <w:spacing w:before="44"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2时</w:t>
            </w:r>
          </w:p>
        </w:tc>
        <w:tc>
          <w:tcPr>
            <w:tcW w:w="784" w:type="dxa"/>
            <w:gridSpan w:val="2"/>
            <w:vAlign w:val="center"/>
          </w:tcPr>
          <w:p w14:paraId="520064F6">
            <w:pPr>
              <w:pStyle w:val="92"/>
              <w:spacing w:before="44" w:line="190" w:lineRule="exact"/>
              <w:ind w:left="204" w:right="184"/>
              <w:jc w:val="center"/>
              <w:rPr>
                <w:rFonts w:hint="eastAsia" w:ascii="宋体" w:hAnsi="宋体" w:eastAsia="宋体" w:cs="宋体"/>
                <w:sz w:val="16"/>
                <w:szCs w:val="28"/>
              </w:rPr>
            </w:pPr>
          </w:p>
        </w:tc>
        <w:tc>
          <w:tcPr>
            <w:tcW w:w="1116" w:type="dxa"/>
            <w:gridSpan w:val="2"/>
            <w:vAlign w:val="center"/>
          </w:tcPr>
          <w:p w14:paraId="41B129B6">
            <w:pPr>
              <w:pStyle w:val="92"/>
              <w:spacing w:before="44"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3时</w:t>
            </w:r>
          </w:p>
        </w:tc>
        <w:tc>
          <w:tcPr>
            <w:tcW w:w="883" w:type="dxa"/>
            <w:gridSpan w:val="2"/>
            <w:vAlign w:val="center"/>
          </w:tcPr>
          <w:p w14:paraId="25F62A62">
            <w:pPr>
              <w:pStyle w:val="92"/>
              <w:spacing w:before="44" w:line="190" w:lineRule="exact"/>
              <w:ind w:left="204" w:right="184"/>
              <w:jc w:val="center"/>
              <w:rPr>
                <w:rFonts w:hint="eastAsia" w:ascii="宋体" w:hAnsi="宋体" w:eastAsia="宋体" w:cs="宋体"/>
                <w:sz w:val="16"/>
                <w:szCs w:val="28"/>
              </w:rPr>
            </w:pPr>
          </w:p>
        </w:tc>
        <w:tc>
          <w:tcPr>
            <w:tcW w:w="913" w:type="dxa"/>
            <w:gridSpan w:val="3"/>
            <w:vAlign w:val="center"/>
          </w:tcPr>
          <w:p w14:paraId="13AE8565">
            <w:pPr>
              <w:pStyle w:val="92"/>
              <w:spacing w:before="44"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4时</w:t>
            </w:r>
          </w:p>
        </w:tc>
        <w:tc>
          <w:tcPr>
            <w:tcW w:w="1159" w:type="dxa"/>
            <w:gridSpan w:val="2"/>
          </w:tcPr>
          <w:p w14:paraId="65E46230">
            <w:pPr>
              <w:pStyle w:val="92"/>
              <w:rPr>
                <w:rFonts w:hint="eastAsia" w:ascii="宋体" w:hAnsi="宋体" w:eastAsia="宋体" w:cs="宋体"/>
                <w:sz w:val="15"/>
                <w:szCs w:val="28"/>
              </w:rPr>
            </w:pPr>
          </w:p>
        </w:tc>
      </w:tr>
      <w:tr w14:paraId="67292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53" w:hRule="atLeast"/>
        </w:trPr>
        <w:tc>
          <w:tcPr>
            <w:tcW w:w="2114" w:type="dxa"/>
            <w:gridSpan w:val="4"/>
            <w:vMerge w:val="continue"/>
            <w:tcBorders>
              <w:top w:val="nil"/>
            </w:tcBorders>
          </w:tcPr>
          <w:p w14:paraId="114EEF56">
            <w:pPr>
              <w:rPr>
                <w:rFonts w:hint="eastAsia" w:ascii="宋体" w:hAnsi="宋体" w:eastAsia="宋体" w:cs="宋体"/>
                <w:sz w:val="4"/>
                <w:szCs w:val="4"/>
              </w:rPr>
            </w:pPr>
          </w:p>
        </w:tc>
        <w:tc>
          <w:tcPr>
            <w:tcW w:w="731" w:type="dxa"/>
            <w:gridSpan w:val="2"/>
            <w:vAlign w:val="center"/>
          </w:tcPr>
          <w:p w14:paraId="3DD992D5">
            <w:pPr>
              <w:pStyle w:val="92"/>
              <w:spacing w:before="44"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5时</w:t>
            </w:r>
          </w:p>
        </w:tc>
        <w:tc>
          <w:tcPr>
            <w:tcW w:w="891" w:type="dxa"/>
            <w:gridSpan w:val="2"/>
            <w:vAlign w:val="center"/>
          </w:tcPr>
          <w:p w14:paraId="747CB0D8">
            <w:pPr>
              <w:pStyle w:val="92"/>
              <w:spacing w:before="44" w:line="190" w:lineRule="exact"/>
              <w:ind w:left="204" w:right="184"/>
              <w:jc w:val="center"/>
              <w:rPr>
                <w:rFonts w:hint="eastAsia" w:ascii="宋体" w:hAnsi="宋体" w:eastAsia="宋体" w:cs="宋体"/>
                <w:sz w:val="16"/>
                <w:szCs w:val="28"/>
              </w:rPr>
            </w:pPr>
          </w:p>
        </w:tc>
        <w:tc>
          <w:tcPr>
            <w:tcW w:w="927" w:type="dxa"/>
            <w:vAlign w:val="center"/>
          </w:tcPr>
          <w:p w14:paraId="0D1B0B47">
            <w:pPr>
              <w:pStyle w:val="92"/>
              <w:spacing w:before="44"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6时</w:t>
            </w:r>
          </w:p>
        </w:tc>
        <w:tc>
          <w:tcPr>
            <w:tcW w:w="784" w:type="dxa"/>
            <w:gridSpan w:val="2"/>
            <w:vAlign w:val="center"/>
          </w:tcPr>
          <w:p w14:paraId="2DFD5581">
            <w:pPr>
              <w:pStyle w:val="92"/>
              <w:spacing w:before="44" w:line="190" w:lineRule="exact"/>
              <w:ind w:left="204" w:right="184"/>
              <w:jc w:val="center"/>
              <w:rPr>
                <w:rFonts w:hint="eastAsia" w:ascii="宋体" w:hAnsi="宋体" w:eastAsia="宋体" w:cs="宋体"/>
                <w:sz w:val="16"/>
                <w:szCs w:val="28"/>
              </w:rPr>
            </w:pPr>
          </w:p>
        </w:tc>
        <w:tc>
          <w:tcPr>
            <w:tcW w:w="1116" w:type="dxa"/>
            <w:gridSpan w:val="2"/>
            <w:vAlign w:val="center"/>
          </w:tcPr>
          <w:p w14:paraId="1DE0C34E">
            <w:pPr>
              <w:pStyle w:val="92"/>
              <w:spacing w:before="44"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7时</w:t>
            </w:r>
          </w:p>
        </w:tc>
        <w:tc>
          <w:tcPr>
            <w:tcW w:w="883" w:type="dxa"/>
            <w:gridSpan w:val="2"/>
            <w:vAlign w:val="center"/>
          </w:tcPr>
          <w:p w14:paraId="297D1655">
            <w:pPr>
              <w:pStyle w:val="92"/>
              <w:spacing w:before="44" w:line="190" w:lineRule="exact"/>
              <w:ind w:left="204" w:right="184"/>
              <w:jc w:val="center"/>
              <w:rPr>
                <w:rFonts w:hint="eastAsia" w:ascii="宋体" w:hAnsi="宋体" w:eastAsia="宋体" w:cs="宋体"/>
                <w:sz w:val="16"/>
                <w:szCs w:val="28"/>
              </w:rPr>
            </w:pPr>
          </w:p>
        </w:tc>
        <w:tc>
          <w:tcPr>
            <w:tcW w:w="913" w:type="dxa"/>
            <w:gridSpan w:val="3"/>
            <w:vAlign w:val="center"/>
          </w:tcPr>
          <w:p w14:paraId="6DA25C96">
            <w:pPr>
              <w:pStyle w:val="92"/>
              <w:spacing w:before="44"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8时</w:t>
            </w:r>
          </w:p>
        </w:tc>
        <w:tc>
          <w:tcPr>
            <w:tcW w:w="1159" w:type="dxa"/>
            <w:gridSpan w:val="2"/>
          </w:tcPr>
          <w:p w14:paraId="764069B9">
            <w:pPr>
              <w:pStyle w:val="92"/>
              <w:rPr>
                <w:rFonts w:hint="eastAsia" w:ascii="宋体" w:hAnsi="宋体" w:eastAsia="宋体" w:cs="宋体"/>
                <w:sz w:val="15"/>
                <w:szCs w:val="28"/>
              </w:rPr>
            </w:pPr>
          </w:p>
        </w:tc>
      </w:tr>
      <w:tr w14:paraId="6A173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53" w:hRule="atLeast"/>
        </w:trPr>
        <w:tc>
          <w:tcPr>
            <w:tcW w:w="2114" w:type="dxa"/>
            <w:gridSpan w:val="4"/>
            <w:vMerge w:val="continue"/>
            <w:tcBorders>
              <w:top w:val="nil"/>
            </w:tcBorders>
          </w:tcPr>
          <w:p w14:paraId="17C8DCFF">
            <w:pPr>
              <w:rPr>
                <w:rFonts w:hint="eastAsia" w:ascii="宋体" w:hAnsi="宋体" w:eastAsia="宋体" w:cs="宋体"/>
                <w:sz w:val="4"/>
                <w:szCs w:val="4"/>
              </w:rPr>
            </w:pPr>
          </w:p>
        </w:tc>
        <w:tc>
          <w:tcPr>
            <w:tcW w:w="731" w:type="dxa"/>
            <w:gridSpan w:val="2"/>
            <w:vAlign w:val="center"/>
          </w:tcPr>
          <w:p w14:paraId="75053F5E">
            <w:pPr>
              <w:pStyle w:val="92"/>
              <w:spacing w:before="44"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9时</w:t>
            </w:r>
          </w:p>
        </w:tc>
        <w:tc>
          <w:tcPr>
            <w:tcW w:w="891" w:type="dxa"/>
            <w:gridSpan w:val="2"/>
            <w:vAlign w:val="center"/>
          </w:tcPr>
          <w:p w14:paraId="619E3CA6">
            <w:pPr>
              <w:pStyle w:val="92"/>
              <w:spacing w:before="44" w:line="190" w:lineRule="exact"/>
              <w:ind w:left="204" w:right="184"/>
              <w:jc w:val="center"/>
              <w:rPr>
                <w:rFonts w:hint="eastAsia" w:ascii="宋体" w:hAnsi="宋体" w:eastAsia="宋体" w:cs="宋体"/>
                <w:sz w:val="16"/>
                <w:szCs w:val="28"/>
              </w:rPr>
            </w:pPr>
          </w:p>
        </w:tc>
        <w:tc>
          <w:tcPr>
            <w:tcW w:w="927" w:type="dxa"/>
            <w:vAlign w:val="center"/>
          </w:tcPr>
          <w:p w14:paraId="00431337">
            <w:pPr>
              <w:pStyle w:val="92"/>
              <w:spacing w:before="44"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10时</w:t>
            </w:r>
          </w:p>
        </w:tc>
        <w:tc>
          <w:tcPr>
            <w:tcW w:w="784" w:type="dxa"/>
            <w:gridSpan w:val="2"/>
            <w:vAlign w:val="center"/>
          </w:tcPr>
          <w:p w14:paraId="16F5D0BA">
            <w:pPr>
              <w:pStyle w:val="92"/>
              <w:spacing w:before="44" w:line="190" w:lineRule="exact"/>
              <w:ind w:left="204" w:right="184"/>
              <w:jc w:val="center"/>
              <w:rPr>
                <w:rFonts w:hint="eastAsia" w:ascii="宋体" w:hAnsi="宋体" w:eastAsia="宋体" w:cs="宋体"/>
                <w:sz w:val="16"/>
                <w:szCs w:val="28"/>
              </w:rPr>
            </w:pPr>
          </w:p>
        </w:tc>
        <w:tc>
          <w:tcPr>
            <w:tcW w:w="1116" w:type="dxa"/>
            <w:gridSpan w:val="2"/>
            <w:vAlign w:val="center"/>
          </w:tcPr>
          <w:p w14:paraId="6B5A6355">
            <w:pPr>
              <w:pStyle w:val="92"/>
              <w:spacing w:before="44"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11时</w:t>
            </w:r>
          </w:p>
        </w:tc>
        <w:tc>
          <w:tcPr>
            <w:tcW w:w="883" w:type="dxa"/>
            <w:gridSpan w:val="2"/>
            <w:vAlign w:val="center"/>
          </w:tcPr>
          <w:p w14:paraId="18DFDC5D">
            <w:pPr>
              <w:pStyle w:val="92"/>
              <w:spacing w:before="44" w:line="190" w:lineRule="exact"/>
              <w:ind w:left="204" w:right="184"/>
              <w:jc w:val="center"/>
              <w:rPr>
                <w:rFonts w:hint="eastAsia" w:ascii="宋体" w:hAnsi="宋体" w:eastAsia="宋体" w:cs="宋体"/>
                <w:sz w:val="16"/>
                <w:szCs w:val="28"/>
              </w:rPr>
            </w:pPr>
          </w:p>
        </w:tc>
        <w:tc>
          <w:tcPr>
            <w:tcW w:w="913" w:type="dxa"/>
            <w:gridSpan w:val="3"/>
            <w:vAlign w:val="center"/>
          </w:tcPr>
          <w:p w14:paraId="064028BE">
            <w:pPr>
              <w:pStyle w:val="92"/>
              <w:spacing w:before="44"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12时</w:t>
            </w:r>
          </w:p>
        </w:tc>
        <w:tc>
          <w:tcPr>
            <w:tcW w:w="1159" w:type="dxa"/>
            <w:gridSpan w:val="2"/>
          </w:tcPr>
          <w:p w14:paraId="616A6997">
            <w:pPr>
              <w:pStyle w:val="92"/>
              <w:rPr>
                <w:rFonts w:hint="eastAsia" w:ascii="宋体" w:hAnsi="宋体" w:eastAsia="宋体" w:cs="宋体"/>
                <w:sz w:val="15"/>
                <w:szCs w:val="28"/>
              </w:rPr>
            </w:pPr>
          </w:p>
        </w:tc>
      </w:tr>
      <w:tr w14:paraId="0BC47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53" w:hRule="atLeast"/>
        </w:trPr>
        <w:tc>
          <w:tcPr>
            <w:tcW w:w="2114" w:type="dxa"/>
            <w:gridSpan w:val="4"/>
            <w:vMerge w:val="continue"/>
            <w:tcBorders>
              <w:top w:val="nil"/>
            </w:tcBorders>
          </w:tcPr>
          <w:p w14:paraId="228CCD55">
            <w:pPr>
              <w:rPr>
                <w:rFonts w:hint="eastAsia" w:ascii="宋体" w:hAnsi="宋体" w:eastAsia="宋体" w:cs="宋体"/>
                <w:sz w:val="4"/>
                <w:szCs w:val="4"/>
              </w:rPr>
            </w:pPr>
          </w:p>
        </w:tc>
        <w:tc>
          <w:tcPr>
            <w:tcW w:w="731" w:type="dxa"/>
            <w:gridSpan w:val="2"/>
            <w:vAlign w:val="center"/>
          </w:tcPr>
          <w:p w14:paraId="170C0C7C">
            <w:pPr>
              <w:pStyle w:val="92"/>
              <w:spacing w:before="44" w:line="190" w:lineRule="exact"/>
              <w:ind w:right="184"/>
              <w:jc w:val="center"/>
              <w:rPr>
                <w:rFonts w:hint="eastAsia" w:ascii="宋体" w:hAnsi="宋体" w:eastAsia="宋体" w:cs="宋体"/>
                <w:sz w:val="16"/>
                <w:szCs w:val="28"/>
              </w:rPr>
            </w:pPr>
            <w:r>
              <w:rPr>
                <w:rFonts w:hint="eastAsia" w:ascii="宋体" w:hAnsi="宋体" w:eastAsia="宋体" w:cs="宋体"/>
                <w:sz w:val="16"/>
                <w:szCs w:val="28"/>
                <w:lang w:val="en-US" w:eastAsia="zh-CN"/>
              </w:rPr>
              <w:t xml:space="preserve">  </w:t>
            </w:r>
            <w:r>
              <w:rPr>
                <w:rFonts w:hint="eastAsia" w:ascii="宋体" w:hAnsi="宋体" w:eastAsia="宋体" w:cs="宋体"/>
                <w:sz w:val="16"/>
                <w:szCs w:val="28"/>
              </w:rPr>
              <w:t>13时</w:t>
            </w:r>
          </w:p>
        </w:tc>
        <w:tc>
          <w:tcPr>
            <w:tcW w:w="891" w:type="dxa"/>
            <w:gridSpan w:val="2"/>
            <w:vAlign w:val="center"/>
          </w:tcPr>
          <w:p w14:paraId="1A1C4C01">
            <w:pPr>
              <w:pStyle w:val="92"/>
              <w:spacing w:before="44" w:line="190" w:lineRule="exact"/>
              <w:ind w:left="204" w:right="184"/>
              <w:jc w:val="center"/>
              <w:rPr>
                <w:rFonts w:hint="eastAsia" w:ascii="宋体" w:hAnsi="宋体" w:eastAsia="宋体" w:cs="宋体"/>
                <w:sz w:val="16"/>
                <w:szCs w:val="28"/>
              </w:rPr>
            </w:pPr>
          </w:p>
        </w:tc>
        <w:tc>
          <w:tcPr>
            <w:tcW w:w="927" w:type="dxa"/>
            <w:vAlign w:val="center"/>
          </w:tcPr>
          <w:p w14:paraId="198906A7">
            <w:pPr>
              <w:pStyle w:val="92"/>
              <w:spacing w:before="44"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14时</w:t>
            </w:r>
          </w:p>
        </w:tc>
        <w:tc>
          <w:tcPr>
            <w:tcW w:w="784" w:type="dxa"/>
            <w:gridSpan w:val="2"/>
            <w:vAlign w:val="center"/>
          </w:tcPr>
          <w:p w14:paraId="4F4EBA40">
            <w:pPr>
              <w:pStyle w:val="92"/>
              <w:spacing w:before="44" w:line="190" w:lineRule="exact"/>
              <w:ind w:left="204" w:right="184"/>
              <w:jc w:val="center"/>
              <w:rPr>
                <w:rFonts w:hint="eastAsia" w:ascii="宋体" w:hAnsi="宋体" w:eastAsia="宋体" w:cs="宋体"/>
                <w:sz w:val="16"/>
                <w:szCs w:val="28"/>
              </w:rPr>
            </w:pPr>
          </w:p>
        </w:tc>
        <w:tc>
          <w:tcPr>
            <w:tcW w:w="1116" w:type="dxa"/>
            <w:gridSpan w:val="2"/>
            <w:vAlign w:val="center"/>
          </w:tcPr>
          <w:p w14:paraId="5CD50E71">
            <w:pPr>
              <w:pStyle w:val="92"/>
              <w:spacing w:before="44"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15时</w:t>
            </w:r>
          </w:p>
        </w:tc>
        <w:tc>
          <w:tcPr>
            <w:tcW w:w="883" w:type="dxa"/>
            <w:gridSpan w:val="2"/>
            <w:vAlign w:val="center"/>
          </w:tcPr>
          <w:p w14:paraId="5D20023C">
            <w:pPr>
              <w:pStyle w:val="92"/>
              <w:spacing w:before="44" w:line="190" w:lineRule="exact"/>
              <w:ind w:left="204" w:right="184"/>
              <w:jc w:val="center"/>
              <w:rPr>
                <w:rFonts w:hint="eastAsia" w:ascii="宋体" w:hAnsi="宋体" w:eastAsia="宋体" w:cs="宋体"/>
                <w:sz w:val="16"/>
                <w:szCs w:val="28"/>
              </w:rPr>
            </w:pPr>
          </w:p>
        </w:tc>
        <w:tc>
          <w:tcPr>
            <w:tcW w:w="913" w:type="dxa"/>
            <w:gridSpan w:val="3"/>
            <w:vAlign w:val="center"/>
          </w:tcPr>
          <w:p w14:paraId="4E5E2BE9">
            <w:pPr>
              <w:pStyle w:val="92"/>
              <w:spacing w:before="44"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16时</w:t>
            </w:r>
          </w:p>
        </w:tc>
        <w:tc>
          <w:tcPr>
            <w:tcW w:w="1159" w:type="dxa"/>
            <w:gridSpan w:val="2"/>
          </w:tcPr>
          <w:p w14:paraId="5BCFA992">
            <w:pPr>
              <w:pStyle w:val="92"/>
              <w:rPr>
                <w:rFonts w:hint="eastAsia" w:ascii="宋体" w:hAnsi="宋体" w:eastAsia="宋体" w:cs="宋体"/>
                <w:sz w:val="15"/>
                <w:szCs w:val="28"/>
              </w:rPr>
            </w:pPr>
          </w:p>
        </w:tc>
      </w:tr>
      <w:tr w14:paraId="642B0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53" w:hRule="atLeast"/>
        </w:trPr>
        <w:tc>
          <w:tcPr>
            <w:tcW w:w="2114" w:type="dxa"/>
            <w:gridSpan w:val="4"/>
            <w:vMerge w:val="continue"/>
            <w:tcBorders>
              <w:top w:val="nil"/>
            </w:tcBorders>
          </w:tcPr>
          <w:p w14:paraId="6F095A5E">
            <w:pPr>
              <w:rPr>
                <w:rFonts w:hint="eastAsia" w:ascii="宋体" w:hAnsi="宋体" w:eastAsia="宋体" w:cs="宋体"/>
                <w:sz w:val="4"/>
                <w:szCs w:val="4"/>
              </w:rPr>
            </w:pPr>
          </w:p>
        </w:tc>
        <w:tc>
          <w:tcPr>
            <w:tcW w:w="731" w:type="dxa"/>
            <w:gridSpan w:val="2"/>
            <w:vAlign w:val="center"/>
          </w:tcPr>
          <w:p w14:paraId="0910A899">
            <w:pPr>
              <w:pStyle w:val="92"/>
              <w:spacing w:before="44" w:line="190" w:lineRule="exact"/>
              <w:ind w:right="184"/>
              <w:jc w:val="center"/>
              <w:rPr>
                <w:rFonts w:hint="eastAsia" w:ascii="宋体" w:hAnsi="宋体" w:eastAsia="宋体" w:cs="宋体"/>
                <w:sz w:val="16"/>
                <w:szCs w:val="28"/>
              </w:rPr>
            </w:pPr>
            <w:r>
              <w:rPr>
                <w:rFonts w:hint="eastAsia" w:ascii="宋体" w:hAnsi="宋体" w:eastAsia="宋体" w:cs="宋体"/>
                <w:sz w:val="16"/>
                <w:szCs w:val="28"/>
                <w:lang w:val="en-US" w:eastAsia="zh-CN"/>
              </w:rPr>
              <w:t xml:space="preserve">  17</w:t>
            </w:r>
            <w:r>
              <w:rPr>
                <w:rFonts w:hint="eastAsia" w:ascii="宋体" w:hAnsi="宋体" w:eastAsia="宋体" w:cs="宋体"/>
                <w:sz w:val="16"/>
                <w:szCs w:val="28"/>
              </w:rPr>
              <w:t>时</w:t>
            </w:r>
          </w:p>
        </w:tc>
        <w:tc>
          <w:tcPr>
            <w:tcW w:w="891" w:type="dxa"/>
            <w:gridSpan w:val="2"/>
            <w:vAlign w:val="center"/>
          </w:tcPr>
          <w:p w14:paraId="4A52E13B">
            <w:pPr>
              <w:pStyle w:val="92"/>
              <w:spacing w:before="44" w:line="190" w:lineRule="exact"/>
              <w:ind w:left="204" w:right="184"/>
              <w:jc w:val="center"/>
              <w:rPr>
                <w:rFonts w:hint="eastAsia" w:ascii="宋体" w:hAnsi="宋体" w:eastAsia="宋体" w:cs="宋体"/>
                <w:sz w:val="16"/>
                <w:szCs w:val="28"/>
              </w:rPr>
            </w:pPr>
          </w:p>
        </w:tc>
        <w:tc>
          <w:tcPr>
            <w:tcW w:w="927" w:type="dxa"/>
            <w:vAlign w:val="center"/>
          </w:tcPr>
          <w:p w14:paraId="69AC9094">
            <w:pPr>
              <w:pStyle w:val="92"/>
              <w:spacing w:before="44"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18时</w:t>
            </w:r>
          </w:p>
        </w:tc>
        <w:tc>
          <w:tcPr>
            <w:tcW w:w="784" w:type="dxa"/>
            <w:gridSpan w:val="2"/>
            <w:vAlign w:val="center"/>
          </w:tcPr>
          <w:p w14:paraId="44583518">
            <w:pPr>
              <w:pStyle w:val="92"/>
              <w:spacing w:before="44" w:line="190" w:lineRule="exact"/>
              <w:ind w:left="204" w:right="184"/>
              <w:jc w:val="center"/>
              <w:rPr>
                <w:rFonts w:hint="eastAsia" w:ascii="宋体" w:hAnsi="宋体" w:eastAsia="宋体" w:cs="宋体"/>
                <w:sz w:val="16"/>
                <w:szCs w:val="28"/>
              </w:rPr>
            </w:pPr>
          </w:p>
        </w:tc>
        <w:tc>
          <w:tcPr>
            <w:tcW w:w="1116" w:type="dxa"/>
            <w:gridSpan w:val="2"/>
            <w:vAlign w:val="center"/>
          </w:tcPr>
          <w:p w14:paraId="1525CCDF">
            <w:pPr>
              <w:pStyle w:val="92"/>
              <w:spacing w:before="44"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19时</w:t>
            </w:r>
          </w:p>
        </w:tc>
        <w:tc>
          <w:tcPr>
            <w:tcW w:w="883" w:type="dxa"/>
            <w:gridSpan w:val="2"/>
            <w:vAlign w:val="center"/>
          </w:tcPr>
          <w:p w14:paraId="217B12C8">
            <w:pPr>
              <w:pStyle w:val="92"/>
              <w:spacing w:before="44" w:line="190" w:lineRule="exact"/>
              <w:ind w:left="204" w:right="184"/>
              <w:jc w:val="center"/>
              <w:rPr>
                <w:rFonts w:hint="eastAsia" w:ascii="宋体" w:hAnsi="宋体" w:eastAsia="宋体" w:cs="宋体"/>
                <w:sz w:val="16"/>
                <w:szCs w:val="28"/>
              </w:rPr>
            </w:pPr>
          </w:p>
        </w:tc>
        <w:tc>
          <w:tcPr>
            <w:tcW w:w="913" w:type="dxa"/>
            <w:gridSpan w:val="3"/>
            <w:vAlign w:val="center"/>
          </w:tcPr>
          <w:p w14:paraId="6B2669DD">
            <w:pPr>
              <w:pStyle w:val="92"/>
              <w:spacing w:before="44"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20时</w:t>
            </w:r>
          </w:p>
        </w:tc>
        <w:tc>
          <w:tcPr>
            <w:tcW w:w="1159" w:type="dxa"/>
            <w:gridSpan w:val="2"/>
          </w:tcPr>
          <w:p w14:paraId="3A322E28">
            <w:pPr>
              <w:pStyle w:val="92"/>
              <w:rPr>
                <w:rFonts w:hint="eastAsia" w:ascii="宋体" w:hAnsi="宋体" w:eastAsia="宋体" w:cs="宋体"/>
                <w:sz w:val="15"/>
                <w:szCs w:val="28"/>
              </w:rPr>
            </w:pPr>
          </w:p>
        </w:tc>
      </w:tr>
      <w:tr w14:paraId="35B36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53" w:hRule="atLeast"/>
        </w:trPr>
        <w:tc>
          <w:tcPr>
            <w:tcW w:w="2114" w:type="dxa"/>
            <w:gridSpan w:val="4"/>
            <w:vMerge w:val="continue"/>
            <w:tcBorders>
              <w:top w:val="nil"/>
            </w:tcBorders>
          </w:tcPr>
          <w:p w14:paraId="23302A32">
            <w:pPr>
              <w:rPr>
                <w:rFonts w:hint="eastAsia" w:ascii="宋体" w:hAnsi="宋体" w:eastAsia="宋体" w:cs="宋体"/>
                <w:sz w:val="4"/>
                <w:szCs w:val="4"/>
              </w:rPr>
            </w:pPr>
          </w:p>
        </w:tc>
        <w:tc>
          <w:tcPr>
            <w:tcW w:w="731" w:type="dxa"/>
            <w:gridSpan w:val="2"/>
            <w:vAlign w:val="center"/>
          </w:tcPr>
          <w:p w14:paraId="7001AA3A">
            <w:pPr>
              <w:pStyle w:val="92"/>
              <w:spacing w:before="44" w:line="190" w:lineRule="exact"/>
              <w:ind w:right="184"/>
              <w:jc w:val="center"/>
              <w:rPr>
                <w:rFonts w:hint="eastAsia" w:ascii="宋体" w:hAnsi="宋体" w:eastAsia="宋体" w:cs="宋体"/>
                <w:sz w:val="16"/>
                <w:szCs w:val="28"/>
              </w:rPr>
            </w:pPr>
            <w:r>
              <w:rPr>
                <w:rFonts w:hint="eastAsia" w:ascii="宋体" w:hAnsi="宋体" w:eastAsia="宋体" w:cs="宋体"/>
                <w:sz w:val="16"/>
                <w:szCs w:val="28"/>
                <w:lang w:val="en-US" w:eastAsia="zh-CN"/>
              </w:rPr>
              <w:t xml:space="preserve">  </w:t>
            </w:r>
            <w:r>
              <w:rPr>
                <w:rFonts w:hint="eastAsia" w:ascii="宋体" w:hAnsi="宋体" w:eastAsia="宋体" w:cs="宋体"/>
                <w:sz w:val="16"/>
                <w:szCs w:val="28"/>
              </w:rPr>
              <w:t>21时</w:t>
            </w:r>
          </w:p>
        </w:tc>
        <w:tc>
          <w:tcPr>
            <w:tcW w:w="891" w:type="dxa"/>
            <w:gridSpan w:val="2"/>
            <w:vAlign w:val="center"/>
          </w:tcPr>
          <w:p w14:paraId="74EE0196">
            <w:pPr>
              <w:pStyle w:val="92"/>
              <w:spacing w:before="44" w:line="190" w:lineRule="exact"/>
              <w:ind w:left="204" w:right="184"/>
              <w:jc w:val="center"/>
              <w:rPr>
                <w:rFonts w:hint="eastAsia" w:ascii="宋体" w:hAnsi="宋体" w:eastAsia="宋体" w:cs="宋体"/>
                <w:sz w:val="16"/>
                <w:szCs w:val="28"/>
              </w:rPr>
            </w:pPr>
          </w:p>
        </w:tc>
        <w:tc>
          <w:tcPr>
            <w:tcW w:w="927" w:type="dxa"/>
            <w:vAlign w:val="center"/>
          </w:tcPr>
          <w:p w14:paraId="6B1B467C">
            <w:pPr>
              <w:pStyle w:val="92"/>
              <w:spacing w:before="44"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22时</w:t>
            </w:r>
          </w:p>
        </w:tc>
        <w:tc>
          <w:tcPr>
            <w:tcW w:w="784" w:type="dxa"/>
            <w:gridSpan w:val="2"/>
            <w:vAlign w:val="center"/>
          </w:tcPr>
          <w:p w14:paraId="27BD659F">
            <w:pPr>
              <w:pStyle w:val="92"/>
              <w:spacing w:before="44" w:line="190" w:lineRule="exact"/>
              <w:ind w:left="204" w:right="184"/>
              <w:jc w:val="center"/>
              <w:rPr>
                <w:rFonts w:hint="eastAsia" w:ascii="宋体" w:hAnsi="宋体" w:eastAsia="宋体" w:cs="宋体"/>
                <w:sz w:val="16"/>
                <w:szCs w:val="28"/>
              </w:rPr>
            </w:pPr>
          </w:p>
        </w:tc>
        <w:tc>
          <w:tcPr>
            <w:tcW w:w="1116" w:type="dxa"/>
            <w:gridSpan w:val="2"/>
            <w:vAlign w:val="center"/>
          </w:tcPr>
          <w:p w14:paraId="21355AD0">
            <w:pPr>
              <w:pStyle w:val="92"/>
              <w:spacing w:before="44"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23时</w:t>
            </w:r>
          </w:p>
        </w:tc>
        <w:tc>
          <w:tcPr>
            <w:tcW w:w="883" w:type="dxa"/>
            <w:gridSpan w:val="2"/>
            <w:vAlign w:val="center"/>
          </w:tcPr>
          <w:p w14:paraId="7F68ED1F">
            <w:pPr>
              <w:pStyle w:val="92"/>
              <w:spacing w:before="44" w:line="190" w:lineRule="exact"/>
              <w:ind w:left="204" w:right="184"/>
              <w:jc w:val="center"/>
              <w:rPr>
                <w:rFonts w:hint="eastAsia" w:ascii="宋体" w:hAnsi="宋体" w:eastAsia="宋体" w:cs="宋体"/>
                <w:sz w:val="16"/>
                <w:szCs w:val="28"/>
              </w:rPr>
            </w:pPr>
          </w:p>
        </w:tc>
        <w:tc>
          <w:tcPr>
            <w:tcW w:w="913" w:type="dxa"/>
            <w:gridSpan w:val="3"/>
            <w:vAlign w:val="center"/>
          </w:tcPr>
          <w:p w14:paraId="584166AE">
            <w:pPr>
              <w:pStyle w:val="92"/>
              <w:spacing w:before="44"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24时</w:t>
            </w:r>
          </w:p>
        </w:tc>
        <w:tc>
          <w:tcPr>
            <w:tcW w:w="1159" w:type="dxa"/>
            <w:gridSpan w:val="2"/>
          </w:tcPr>
          <w:p w14:paraId="3B8346F0">
            <w:pPr>
              <w:pStyle w:val="92"/>
              <w:rPr>
                <w:rFonts w:hint="eastAsia" w:ascii="宋体" w:hAnsi="宋体" w:eastAsia="宋体" w:cs="宋体"/>
                <w:sz w:val="15"/>
                <w:szCs w:val="28"/>
              </w:rPr>
            </w:pPr>
          </w:p>
        </w:tc>
      </w:tr>
      <w:tr w14:paraId="7A520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188" w:hRule="atLeast"/>
        </w:trPr>
        <w:tc>
          <w:tcPr>
            <w:tcW w:w="9518" w:type="dxa"/>
            <w:gridSpan w:val="20"/>
          </w:tcPr>
          <w:p w14:paraId="5BC6DEA9">
            <w:pPr>
              <w:pStyle w:val="92"/>
              <w:rPr>
                <w:rFonts w:hint="eastAsia" w:ascii="宋体" w:hAnsi="宋体" w:eastAsia="宋体" w:cs="宋体"/>
                <w:sz w:val="13"/>
                <w:szCs w:val="28"/>
              </w:rPr>
            </w:pPr>
          </w:p>
        </w:tc>
      </w:tr>
      <w:tr w14:paraId="40FE3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82" w:hRule="atLeast"/>
        </w:trPr>
        <w:tc>
          <w:tcPr>
            <w:tcW w:w="2845" w:type="dxa"/>
            <w:gridSpan w:val="6"/>
          </w:tcPr>
          <w:p w14:paraId="19551EF3">
            <w:pPr>
              <w:pStyle w:val="92"/>
              <w:spacing w:before="52"/>
              <w:ind w:left="62"/>
              <w:rPr>
                <w:rFonts w:hint="eastAsia" w:ascii="宋体" w:hAnsi="宋体" w:eastAsia="宋体" w:cs="宋体"/>
                <w:b/>
                <w:sz w:val="16"/>
                <w:szCs w:val="28"/>
              </w:rPr>
            </w:pPr>
            <w:r>
              <w:rPr>
                <w:rFonts w:hint="eastAsia" w:ascii="宋体" w:hAnsi="宋体" w:eastAsia="宋体" w:cs="宋体"/>
                <w:position w:val="-2"/>
                <w:sz w:val="28"/>
                <w:szCs w:val="28"/>
              </w:rPr>
              <w:drawing>
                <wp:inline distT="0" distB="0" distL="0" distR="0">
                  <wp:extent cx="108585" cy="118745"/>
                  <wp:effectExtent l="0" t="0" r="5715" b="8255"/>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a:picLocks noChangeAspect="1"/>
                          </pic:cNvPicPr>
                        </pic:nvPicPr>
                        <pic:blipFill>
                          <a:blip r:embed="rId11" cstate="print"/>
                          <a:stretch>
                            <a:fillRect/>
                          </a:stretch>
                        </pic:blipFill>
                        <pic:spPr>
                          <a:xfrm>
                            <a:off x="0" y="0"/>
                            <a:ext cx="108661" cy="119024"/>
                          </a:xfrm>
                          <a:prstGeom prst="rect">
                            <a:avLst/>
                          </a:prstGeom>
                        </pic:spPr>
                      </pic:pic>
                    </a:graphicData>
                  </a:graphic>
                </wp:inline>
              </w:drawing>
            </w:r>
            <w:r>
              <w:rPr>
                <w:rFonts w:hint="eastAsia" w:ascii="宋体" w:hAnsi="宋体" w:eastAsia="宋体" w:cs="宋体"/>
                <w:b/>
                <w:sz w:val="16"/>
                <w:szCs w:val="28"/>
              </w:rPr>
              <w:t>套餐二：市场均价+浮动价格套餐</w:t>
            </w:r>
          </w:p>
        </w:tc>
        <w:tc>
          <w:tcPr>
            <w:tcW w:w="6673" w:type="dxa"/>
            <w:gridSpan w:val="14"/>
          </w:tcPr>
          <w:p w14:paraId="052B9777">
            <w:pPr>
              <w:pStyle w:val="92"/>
              <w:spacing w:before="58"/>
              <w:ind w:left="25"/>
              <w:rPr>
                <w:rFonts w:hint="eastAsia" w:ascii="宋体" w:hAnsi="宋体" w:eastAsia="宋体" w:cs="宋体"/>
                <w:b/>
                <w:sz w:val="16"/>
                <w:szCs w:val="28"/>
              </w:rPr>
            </w:pPr>
            <w:r>
              <w:rPr>
                <w:rFonts w:hint="eastAsia" w:ascii="宋体" w:hAnsi="宋体" w:eastAsia="宋体" w:cs="宋体"/>
                <w:b/>
                <w:sz w:val="16"/>
                <w:szCs w:val="28"/>
              </w:rPr>
              <w:t>电能量比例系数为K</w:t>
            </w:r>
            <w:r>
              <w:rPr>
                <w:rFonts w:hint="eastAsia" w:ascii="宋体" w:hAnsi="宋体" w:eastAsia="宋体" w:cs="宋体"/>
                <w:b/>
                <w:sz w:val="16"/>
                <w:szCs w:val="28"/>
                <w:vertAlign w:val="subscript"/>
              </w:rPr>
              <w:t>2</w:t>
            </w:r>
            <w:r>
              <w:rPr>
                <w:rFonts w:hint="eastAsia" w:ascii="宋体" w:hAnsi="宋体" w:eastAsia="宋体" w:cs="宋体"/>
                <w:b/>
                <w:sz w:val="16"/>
                <w:szCs w:val="28"/>
                <w:vertAlign w:val="baseline"/>
              </w:rPr>
              <w:t>%</w:t>
            </w:r>
          </w:p>
        </w:tc>
      </w:tr>
      <w:tr w14:paraId="6D146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70" w:hRule="atLeast"/>
        </w:trPr>
        <w:tc>
          <w:tcPr>
            <w:tcW w:w="2845" w:type="dxa"/>
            <w:gridSpan w:val="6"/>
          </w:tcPr>
          <w:p w14:paraId="69E3E6CD">
            <w:pPr>
              <w:pStyle w:val="92"/>
              <w:spacing w:before="51"/>
              <w:rPr>
                <w:rFonts w:hint="eastAsia" w:ascii="宋体" w:hAnsi="宋体" w:eastAsia="宋体" w:cs="宋体"/>
                <w:sz w:val="10"/>
                <w:szCs w:val="28"/>
              </w:rPr>
            </w:pPr>
            <w:r>
              <w:rPr>
                <w:rFonts w:hint="eastAsia" w:ascii="宋体" w:hAnsi="宋体" w:eastAsia="宋体" w:cs="宋体"/>
                <w:b/>
                <w:sz w:val="16"/>
                <w:szCs w:val="28"/>
              </w:rPr>
              <w:t>甲方各时段电能量价格P</w:t>
            </w:r>
            <w:r>
              <w:rPr>
                <w:rFonts w:hint="eastAsia" w:ascii="宋体" w:hAnsi="宋体" w:eastAsia="宋体" w:cs="宋体"/>
                <w:b/>
                <w:sz w:val="16"/>
                <w:szCs w:val="28"/>
                <w:vertAlign w:val="subscript"/>
              </w:rPr>
              <w:t>2T</w:t>
            </w:r>
            <w:r>
              <w:rPr>
                <w:rFonts w:hint="eastAsia" w:ascii="宋体" w:hAnsi="宋体" w:eastAsia="宋体" w:cs="宋体"/>
                <w:b/>
                <w:sz w:val="16"/>
                <w:szCs w:val="28"/>
                <w:vertAlign w:val="baseline"/>
              </w:rPr>
              <w:t>=</w:t>
            </w:r>
            <w:r>
              <w:rPr>
                <w:rFonts w:hint="eastAsia" w:ascii="宋体" w:hAnsi="宋体" w:eastAsia="宋体" w:cs="宋体"/>
                <w:sz w:val="16"/>
                <w:szCs w:val="28"/>
                <w:vertAlign w:val="baseline"/>
              </w:rPr>
              <w:t>P</w:t>
            </w:r>
            <w:r>
              <w:rPr>
                <w:rFonts w:hint="eastAsia" w:ascii="宋体" w:hAnsi="宋体" w:eastAsia="宋体" w:cs="宋体"/>
                <w:sz w:val="10"/>
                <w:szCs w:val="28"/>
                <w:vertAlign w:val="baseline"/>
              </w:rPr>
              <w:t>售均T</w:t>
            </w:r>
            <w:r>
              <w:rPr>
                <w:rFonts w:hint="eastAsia" w:ascii="宋体" w:hAnsi="宋体" w:eastAsia="宋体" w:cs="宋体"/>
                <w:sz w:val="16"/>
                <w:szCs w:val="28"/>
                <w:vertAlign w:val="baseline"/>
              </w:rPr>
              <w:t>+P</w:t>
            </w:r>
            <w:r>
              <w:rPr>
                <w:rFonts w:hint="eastAsia" w:ascii="宋体" w:hAnsi="宋体" w:eastAsia="宋体" w:cs="宋体"/>
                <w:sz w:val="10"/>
                <w:szCs w:val="28"/>
                <w:vertAlign w:val="baseline"/>
              </w:rPr>
              <w:t>浮动T</w:t>
            </w:r>
          </w:p>
        </w:tc>
        <w:tc>
          <w:tcPr>
            <w:tcW w:w="6673" w:type="dxa"/>
            <w:gridSpan w:val="14"/>
          </w:tcPr>
          <w:p w14:paraId="5C34BC6A">
            <w:pPr>
              <w:pStyle w:val="92"/>
              <w:tabs>
                <w:tab w:val="left" w:pos="948"/>
              </w:tabs>
              <w:spacing w:before="51"/>
              <w:ind w:left="10"/>
              <w:jc w:val="center"/>
              <w:rPr>
                <w:rFonts w:hint="eastAsia" w:ascii="宋体" w:hAnsi="宋体" w:eastAsia="宋体" w:cs="宋体"/>
                <w:b/>
                <w:sz w:val="16"/>
                <w:szCs w:val="28"/>
              </w:rPr>
            </w:pPr>
            <w:r>
              <w:rPr>
                <w:rFonts w:hint="eastAsia" w:ascii="宋体" w:hAnsi="宋体" w:eastAsia="宋体" w:cs="宋体"/>
                <w:b/>
                <w:sz w:val="16"/>
                <w:szCs w:val="28"/>
              </w:rPr>
              <w:t>P</w:t>
            </w:r>
            <w:r>
              <w:rPr>
                <w:rFonts w:hint="eastAsia" w:ascii="宋体" w:hAnsi="宋体" w:eastAsia="宋体" w:cs="宋体"/>
                <w:b/>
                <w:sz w:val="10"/>
                <w:szCs w:val="28"/>
              </w:rPr>
              <w:t>浮</w:t>
            </w:r>
            <w:r>
              <w:rPr>
                <w:rFonts w:hint="eastAsia" w:ascii="宋体" w:hAnsi="宋体" w:eastAsia="宋体" w:cs="宋体"/>
                <w:b/>
                <w:spacing w:val="4"/>
                <w:sz w:val="10"/>
                <w:szCs w:val="28"/>
              </w:rPr>
              <w:t>动</w:t>
            </w:r>
            <w:r>
              <w:rPr>
                <w:rFonts w:hint="eastAsia" w:ascii="宋体" w:hAnsi="宋体" w:eastAsia="宋体" w:cs="宋体"/>
                <w:b/>
                <w:sz w:val="10"/>
                <w:szCs w:val="28"/>
              </w:rPr>
              <w:t>T</w:t>
            </w:r>
            <w:r>
              <w:rPr>
                <w:rFonts w:hint="eastAsia" w:ascii="宋体" w:hAnsi="宋体" w:eastAsia="宋体" w:cs="宋体"/>
                <w:b/>
                <w:sz w:val="16"/>
                <w:szCs w:val="28"/>
              </w:rPr>
              <w:t>=</w:t>
            </w:r>
            <w:r>
              <w:rPr>
                <w:rFonts w:hint="eastAsia" w:ascii="宋体" w:hAnsi="宋体" w:eastAsia="宋体" w:cs="宋体"/>
                <w:b/>
                <w:sz w:val="16"/>
                <w:szCs w:val="28"/>
                <w:u w:val="single"/>
              </w:rPr>
              <w:t xml:space="preserve"> </w:t>
            </w:r>
            <w:r>
              <w:rPr>
                <w:rFonts w:hint="eastAsia" w:ascii="宋体" w:hAnsi="宋体" w:eastAsia="宋体" w:cs="宋体"/>
                <w:b/>
                <w:sz w:val="16"/>
                <w:szCs w:val="28"/>
                <w:u w:val="single"/>
              </w:rPr>
              <w:tab/>
            </w:r>
            <w:r>
              <w:rPr>
                <w:rFonts w:hint="eastAsia" w:ascii="宋体" w:hAnsi="宋体" w:eastAsia="宋体" w:cs="宋体"/>
                <w:b/>
                <w:spacing w:val="5"/>
                <w:sz w:val="16"/>
                <w:szCs w:val="28"/>
              </w:rPr>
              <w:t>元</w:t>
            </w:r>
            <w:r>
              <w:rPr>
                <w:rFonts w:hint="eastAsia" w:ascii="宋体" w:hAnsi="宋体" w:eastAsia="宋体" w:cs="宋体"/>
                <w:b/>
                <w:sz w:val="16"/>
                <w:szCs w:val="28"/>
              </w:rPr>
              <w:t>/兆瓦时</w:t>
            </w:r>
          </w:p>
        </w:tc>
      </w:tr>
      <w:tr w14:paraId="78F5F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10" w:hRule="atLeast"/>
        </w:trPr>
        <w:tc>
          <w:tcPr>
            <w:tcW w:w="9518" w:type="dxa"/>
            <w:gridSpan w:val="20"/>
          </w:tcPr>
          <w:p w14:paraId="55CDF12A">
            <w:pPr>
              <w:pStyle w:val="92"/>
              <w:rPr>
                <w:rFonts w:hint="eastAsia" w:ascii="宋体" w:hAnsi="宋体" w:eastAsia="宋体" w:cs="宋体"/>
                <w:sz w:val="15"/>
                <w:szCs w:val="28"/>
              </w:rPr>
            </w:pPr>
          </w:p>
        </w:tc>
      </w:tr>
      <w:tr w14:paraId="42747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70" w:hRule="atLeast"/>
        </w:trPr>
        <w:tc>
          <w:tcPr>
            <w:tcW w:w="2845" w:type="dxa"/>
            <w:gridSpan w:val="6"/>
          </w:tcPr>
          <w:p w14:paraId="7C9B34B6">
            <w:pPr>
              <w:pStyle w:val="92"/>
              <w:spacing w:before="51"/>
              <w:ind w:left="63"/>
              <w:rPr>
                <w:rFonts w:hint="eastAsia" w:ascii="宋体" w:hAnsi="宋体" w:eastAsia="宋体" w:cs="宋体"/>
                <w:b/>
                <w:sz w:val="16"/>
                <w:szCs w:val="28"/>
              </w:rPr>
            </w:pPr>
            <w:r>
              <w:rPr>
                <w:rFonts w:hint="eastAsia" w:ascii="宋体" w:hAnsi="宋体" w:eastAsia="宋体" w:cs="宋体"/>
                <w:position w:val="-4"/>
                <w:sz w:val="28"/>
                <w:szCs w:val="28"/>
              </w:rPr>
              <w:drawing>
                <wp:inline distT="0" distB="0" distL="0" distR="0">
                  <wp:extent cx="107950" cy="118110"/>
                  <wp:effectExtent l="0" t="0" r="6350" b="8890"/>
                  <wp:docPr id="3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png"/>
                          <pic:cNvPicPr>
                            <a:picLocks noChangeAspect="1"/>
                          </pic:cNvPicPr>
                        </pic:nvPicPr>
                        <pic:blipFill>
                          <a:blip r:embed="rId12" cstate="print"/>
                          <a:stretch>
                            <a:fillRect/>
                          </a:stretch>
                        </pic:blipFill>
                        <pic:spPr>
                          <a:xfrm>
                            <a:off x="0" y="0"/>
                            <a:ext cx="108216" cy="118135"/>
                          </a:xfrm>
                          <a:prstGeom prst="rect">
                            <a:avLst/>
                          </a:prstGeom>
                        </pic:spPr>
                      </pic:pic>
                    </a:graphicData>
                  </a:graphic>
                </wp:inline>
              </w:drawing>
            </w:r>
            <w:r>
              <w:rPr>
                <w:rFonts w:hint="eastAsia" w:ascii="宋体" w:hAnsi="宋体" w:eastAsia="宋体" w:cs="宋体"/>
                <w:b/>
                <w:sz w:val="16"/>
                <w:szCs w:val="28"/>
              </w:rPr>
              <w:t>套餐三：价差分成套餐</w:t>
            </w:r>
          </w:p>
        </w:tc>
        <w:tc>
          <w:tcPr>
            <w:tcW w:w="6673" w:type="dxa"/>
            <w:gridSpan w:val="14"/>
          </w:tcPr>
          <w:p w14:paraId="45F121B7">
            <w:pPr>
              <w:pStyle w:val="92"/>
              <w:spacing w:before="51"/>
              <w:ind w:left="25"/>
              <w:rPr>
                <w:rFonts w:hint="eastAsia" w:ascii="宋体" w:hAnsi="宋体" w:eastAsia="宋体" w:cs="宋体"/>
                <w:b/>
                <w:sz w:val="16"/>
                <w:szCs w:val="28"/>
              </w:rPr>
            </w:pPr>
            <w:r>
              <w:rPr>
                <w:rFonts w:hint="eastAsia" w:ascii="宋体" w:hAnsi="宋体" w:eastAsia="宋体" w:cs="宋体"/>
                <w:b/>
                <w:sz w:val="16"/>
                <w:szCs w:val="28"/>
              </w:rPr>
              <w:t>电能量比例系数为K</w:t>
            </w:r>
            <w:r>
              <w:rPr>
                <w:rFonts w:hint="eastAsia" w:ascii="宋体" w:hAnsi="宋体" w:eastAsia="宋体" w:cs="宋体"/>
                <w:b/>
                <w:sz w:val="16"/>
                <w:szCs w:val="28"/>
                <w:vertAlign w:val="subscript"/>
              </w:rPr>
              <w:t>3</w:t>
            </w:r>
            <w:r>
              <w:rPr>
                <w:rFonts w:hint="eastAsia" w:ascii="宋体" w:hAnsi="宋体" w:eastAsia="宋体" w:cs="宋体"/>
                <w:b/>
                <w:sz w:val="16"/>
                <w:szCs w:val="28"/>
                <w:vertAlign w:val="baseline"/>
              </w:rPr>
              <w:t>%</w:t>
            </w:r>
          </w:p>
        </w:tc>
      </w:tr>
      <w:tr w14:paraId="36A1B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53" w:hRule="atLeast"/>
        </w:trPr>
        <w:tc>
          <w:tcPr>
            <w:tcW w:w="9518" w:type="dxa"/>
            <w:gridSpan w:val="20"/>
          </w:tcPr>
          <w:p w14:paraId="068C5F56">
            <w:pPr>
              <w:pStyle w:val="92"/>
              <w:spacing w:before="43" w:line="190" w:lineRule="exact"/>
              <w:ind w:left="25"/>
              <w:rPr>
                <w:rFonts w:hint="eastAsia" w:ascii="宋体" w:hAnsi="宋体" w:eastAsia="宋体" w:cs="宋体"/>
                <w:b/>
                <w:sz w:val="16"/>
                <w:szCs w:val="28"/>
              </w:rPr>
            </w:pPr>
            <w:r>
              <w:rPr>
                <w:rFonts w:hint="eastAsia" w:ascii="宋体" w:hAnsi="宋体" w:eastAsia="宋体" w:cs="宋体"/>
                <w:b/>
                <w:sz w:val="16"/>
                <w:szCs w:val="28"/>
              </w:rPr>
              <w:t>甲方各时段电能量价格P</w:t>
            </w:r>
            <w:r>
              <w:rPr>
                <w:rFonts w:hint="eastAsia" w:ascii="宋体" w:hAnsi="宋体" w:eastAsia="宋体" w:cs="宋体"/>
                <w:b/>
                <w:sz w:val="10"/>
                <w:szCs w:val="28"/>
              </w:rPr>
              <w:t>3T</w:t>
            </w:r>
            <w:r>
              <w:rPr>
                <w:rFonts w:hint="eastAsia" w:ascii="宋体" w:hAnsi="宋体" w:eastAsia="宋体" w:cs="宋体"/>
                <w:b/>
                <w:sz w:val="16"/>
                <w:szCs w:val="28"/>
              </w:rPr>
              <w:t>=P</w:t>
            </w:r>
            <w:r>
              <w:rPr>
                <w:rFonts w:hint="eastAsia" w:ascii="宋体" w:hAnsi="宋体" w:eastAsia="宋体" w:cs="宋体"/>
                <w:b/>
                <w:sz w:val="10"/>
                <w:szCs w:val="28"/>
              </w:rPr>
              <w:t>基T</w:t>
            </w:r>
            <w:r>
              <w:rPr>
                <w:rFonts w:hint="eastAsia" w:ascii="宋体" w:hAnsi="宋体" w:eastAsia="宋体" w:cs="宋体"/>
                <w:b/>
                <w:sz w:val="16"/>
                <w:szCs w:val="28"/>
              </w:rPr>
              <w:t>-（P</w:t>
            </w:r>
            <w:r>
              <w:rPr>
                <w:rFonts w:hint="eastAsia" w:ascii="宋体" w:hAnsi="宋体" w:eastAsia="宋体" w:cs="宋体"/>
                <w:b/>
                <w:sz w:val="10"/>
                <w:szCs w:val="28"/>
              </w:rPr>
              <w:t>基T</w:t>
            </w:r>
            <w:r>
              <w:rPr>
                <w:rFonts w:hint="eastAsia" w:ascii="宋体" w:hAnsi="宋体" w:eastAsia="宋体" w:cs="宋体"/>
                <w:b/>
                <w:sz w:val="16"/>
                <w:szCs w:val="28"/>
              </w:rPr>
              <w:t>-P</w:t>
            </w:r>
            <w:r>
              <w:rPr>
                <w:rFonts w:hint="eastAsia" w:ascii="宋体" w:hAnsi="宋体" w:eastAsia="宋体" w:cs="宋体"/>
                <w:b/>
                <w:sz w:val="10"/>
                <w:szCs w:val="28"/>
              </w:rPr>
              <w:t>售均T</w:t>
            </w:r>
            <w:r>
              <w:rPr>
                <w:rFonts w:hint="eastAsia" w:ascii="宋体" w:hAnsi="宋体" w:eastAsia="宋体" w:cs="宋体"/>
                <w:b/>
                <w:sz w:val="16"/>
                <w:szCs w:val="28"/>
              </w:rPr>
              <w:t>）×K</w:t>
            </w:r>
            <w:r>
              <w:rPr>
                <w:rFonts w:hint="eastAsia" w:ascii="宋体" w:hAnsi="宋体" w:eastAsia="宋体" w:cs="宋体"/>
                <w:b/>
                <w:sz w:val="10"/>
                <w:szCs w:val="28"/>
              </w:rPr>
              <w:t>分成</w:t>
            </w:r>
            <w:r>
              <w:rPr>
                <w:rFonts w:hint="eastAsia" w:ascii="宋体" w:hAnsi="宋体" w:eastAsia="宋体" w:cs="宋体"/>
                <w:b/>
                <w:sz w:val="16"/>
                <w:szCs w:val="28"/>
              </w:rPr>
              <w:t>%</w:t>
            </w:r>
          </w:p>
        </w:tc>
      </w:tr>
      <w:tr w14:paraId="42B83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70" w:hRule="atLeast"/>
        </w:trPr>
        <w:tc>
          <w:tcPr>
            <w:tcW w:w="706" w:type="dxa"/>
            <w:vMerge w:val="restart"/>
          </w:tcPr>
          <w:p w14:paraId="52BDCF90">
            <w:pPr>
              <w:pStyle w:val="92"/>
              <w:rPr>
                <w:rFonts w:hint="eastAsia" w:ascii="宋体" w:hAnsi="宋体" w:eastAsia="宋体" w:cs="宋体"/>
                <w:b/>
                <w:sz w:val="15"/>
                <w:szCs w:val="28"/>
              </w:rPr>
            </w:pPr>
          </w:p>
          <w:p w14:paraId="6A77B7F2">
            <w:pPr>
              <w:pStyle w:val="92"/>
              <w:rPr>
                <w:rFonts w:hint="eastAsia" w:ascii="宋体" w:hAnsi="宋体" w:eastAsia="宋体" w:cs="宋体"/>
                <w:b/>
                <w:sz w:val="15"/>
                <w:szCs w:val="28"/>
              </w:rPr>
            </w:pPr>
          </w:p>
          <w:p w14:paraId="33F017ED">
            <w:pPr>
              <w:pStyle w:val="92"/>
              <w:rPr>
                <w:rFonts w:hint="eastAsia" w:ascii="宋体" w:hAnsi="宋体" w:eastAsia="宋体" w:cs="宋体"/>
                <w:b/>
                <w:sz w:val="15"/>
                <w:szCs w:val="28"/>
              </w:rPr>
            </w:pPr>
          </w:p>
          <w:p w14:paraId="4073E3F6">
            <w:pPr>
              <w:pStyle w:val="92"/>
              <w:rPr>
                <w:rFonts w:hint="eastAsia" w:ascii="宋体" w:hAnsi="宋体" w:eastAsia="宋体" w:cs="宋体"/>
                <w:b/>
                <w:sz w:val="15"/>
                <w:szCs w:val="28"/>
              </w:rPr>
            </w:pPr>
          </w:p>
          <w:p w14:paraId="45613C33">
            <w:pPr>
              <w:pStyle w:val="92"/>
              <w:rPr>
                <w:rFonts w:hint="eastAsia" w:ascii="宋体" w:hAnsi="宋体" w:eastAsia="宋体" w:cs="宋体"/>
                <w:b/>
                <w:sz w:val="15"/>
                <w:szCs w:val="28"/>
              </w:rPr>
            </w:pPr>
          </w:p>
          <w:p w14:paraId="53F99DFA">
            <w:pPr>
              <w:pStyle w:val="92"/>
              <w:spacing w:before="104"/>
              <w:ind w:left="172"/>
              <w:rPr>
                <w:rFonts w:hint="eastAsia" w:ascii="宋体" w:hAnsi="宋体" w:eastAsia="宋体" w:cs="宋体"/>
                <w:sz w:val="16"/>
                <w:szCs w:val="28"/>
              </w:rPr>
            </w:pPr>
            <w:r>
              <w:rPr>
                <w:rFonts w:hint="eastAsia" w:ascii="宋体" w:hAnsi="宋体" w:eastAsia="宋体" w:cs="宋体"/>
                <w:b/>
                <w:sz w:val="16"/>
                <w:szCs w:val="28"/>
              </w:rPr>
              <w:t>P</w:t>
            </w:r>
            <w:r>
              <w:rPr>
                <w:rFonts w:hint="eastAsia" w:ascii="宋体" w:hAnsi="宋体" w:eastAsia="宋体" w:cs="宋体"/>
                <w:b/>
                <w:sz w:val="10"/>
                <w:szCs w:val="28"/>
              </w:rPr>
              <w:t>基T</w:t>
            </w:r>
            <w:r>
              <w:rPr>
                <w:rFonts w:hint="eastAsia" w:ascii="宋体" w:hAnsi="宋体" w:eastAsia="宋体" w:cs="宋体"/>
                <w:sz w:val="16"/>
                <w:szCs w:val="28"/>
              </w:rPr>
              <w:t>为</w:t>
            </w:r>
          </w:p>
        </w:tc>
        <w:tc>
          <w:tcPr>
            <w:tcW w:w="1408" w:type="dxa"/>
            <w:gridSpan w:val="3"/>
            <w:vMerge w:val="restart"/>
          </w:tcPr>
          <w:p w14:paraId="6F5A1366">
            <w:pPr>
              <w:pStyle w:val="92"/>
              <w:spacing w:before="11"/>
              <w:rPr>
                <w:rFonts w:hint="eastAsia" w:ascii="宋体" w:hAnsi="宋体" w:eastAsia="宋体" w:cs="宋体"/>
                <w:b/>
                <w:sz w:val="15"/>
                <w:szCs w:val="28"/>
              </w:rPr>
            </w:pPr>
          </w:p>
          <w:p w14:paraId="6216ECC0">
            <w:pPr>
              <w:pStyle w:val="92"/>
              <w:ind w:left="117"/>
              <w:rPr>
                <w:rFonts w:hint="eastAsia" w:ascii="宋体" w:hAnsi="宋体" w:eastAsia="宋体" w:cs="宋体"/>
                <w:sz w:val="16"/>
                <w:szCs w:val="28"/>
              </w:rPr>
            </w:pPr>
            <w:r>
              <w:rPr>
                <w:rFonts w:hint="eastAsia" w:ascii="宋体" w:hAnsi="宋体" w:eastAsia="宋体" w:cs="宋体"/>
                <w:position w:val="-2"/>
                <w:sz w:val="28"/>
                <w:szCs w:val="28"/>
              </w:rPr>
              <w:drawing>
                <wp:inline distT="0" distB="0" distL="0" distR="0">
                  <wp:extent cx="108585" cy="118745"/>
                  <wp:effectExtent l="0" t="0" r="5715" b="8255"/>
                  <wp:docPr id="3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png"/>
                          <pic:cNvPicPr>
                            <a:picLocks noChangeAspect="1"/>
                          </pic:cNvPicPr>
                        </pic:nvPicPr>
                        <pic:blipFill>
                          <a:blip r:embed="rId13" cstate="print"/>
                          <a:stretch>
                            <a:fillRect/>
                          </a:stretch>
                        </pic:blipFill>
                        <pic:spPr>
                          <a:xfrm>
                            <a:off x="0" y="0"/>
                            <a:ext cx="108648" cy="119037"/>
                          </a:xfrm>
                          <a:prstGeom prst="rect">
                            <a:avLst/>
                          </a:prstGeom>
                        </pic:spPr>
                      </pic:pic>
                    </a:graphicData>
                  </a:graphic>
                </wp:inline>
              </w:drawing>
            </w:r>
            <w:r>
              <w:rPr>
                <w:rFonts w:hint="eastAsia" w:ascii="宋体" w:hAnsi="宋体" w:eastAsia="宋体" w:cs="宋体"/>
                <w:w w:val="105"/>
                <w:sz w:val="16"/>
                <w:szCs w:val="28"/>
              </w:rPr>
              <w:t>P</w:t>
            </w:r>
            <w:r>
              <w:rPr>
                <w:rFonts w:hint="eastAsia" w:ascii="宋体" w:hAnsi="宋体" w:eastAsia="宋体" w:cs="宋体"/>
                <w:spacing w:val="1"/>
                <w:w w:val="105"/>
                <w:sz w:val="10"/>
                <w:szCs w:val="28"/>
              </w:rPr>
              <w:t>售均</w:t>
            </w:r>
            <w:r>
              <w:rPr>
                <w:rFonts w:hint="eastAsia" w:ascii="宋体" w:hAnsi="宋体" w:eastAsia="宋体" w:cs="宋体"/>
                <w:w w:val="105"/>
                <w:sz w:val="10"/>
                <w:szCs w:val="28"/>
              </w:rPr>
              <w:t>T</w:t>
            </w:r>
            <w:r>
              <w:rPr>
                <w:rFonts w:hint="eastAsia" w:ascii="宋体" w:hAnsi="宋体" w:eastAsia="宋体" w:cs="宋体"/>
                <w:w w:val="105"/>
                <w:sz w:val="16"/>
                <w:szCs w:val="28"/>
              </w:rPr>
              <w:t>*K</w:t>
            </w:r>
            <w:r>
              <w:rPr>
                <w:rFonts w:hint="eastAsia" w:ascii="宋体" w:hAnsi="宋体" w:eastAsia="宋体" w:cs="宋体"/>
                <w:spacing w:val="1"/>
                <w:w w:val="105"/>
                <w:sz w:val="10"/>
                <w:szCs w:val="28"/>
              </w:rPr>
              <w:t>浮动</w:t>
            </w:r>
            <w:r>
              <w:rPr>
                <w:rFonts w:hint="eastAsia" w:ascii="宋体" w:hAnsi="宋体" w:eastAsia="宋体" w:cs="宋体"/>
                <w:w w:val="105"/>
                <w:sz w:val="16"/>
                <w:szCs w:val="28"/>
              </w:rPr>
              <w:t>%</w:t>
            </w:r>
          </w:p>
        </w:tc>
        <w:tc>
          <w:tcPr>
            <w:tcW w:w="7404" w:type="dxa"/>
            <w:gridSpan w:val="16"/>
          </w:tcPr>
          <w:p w14:paraId="534BC20F">
            <w:pPr>
              <w:pStyle w:val="92"/>
              <w:tabs>
                <w:tab w:val="left" w:pos="1052"/>
              </w:tabs>
              <w:spacing w:before="51"/>
              <w:ind w:left="15"/>
              <w:jc w:val="center"/>
              <w:rPr>
                <w:rFonts w:hint="eastAsia" w:ascii="宋体" w:hAnsi="宋体" w:eastAsia="宋体" w:cs="宋体"/>
                <w:sz w:val="16"/>
                <w:szCs w:val="28"/>
              </w:rPr>
            </w:pPr>
            <w:r>
              <w:rPr>
                <w:rFonts w:hint="eastAsia" w:ascii="宋体" w:hAnsi="宋体" w:eastAsia="宋体" w:cs="宋体"/>
                <w:b/>
                <w:spacing w:val="5"/>
                <w:sz w:val="16"/>
                <w:szCs w:val="28"/>
              </w:rPr>
              <w:t>K</w:t>
            </w:r>
            <w:r>
              <w:rPr>
                <w:rFonts w:hint="eastAsia" w:ascii="宋体" w:hAnsi="宋体" w:eastAsia="宋体" w:cs="宋体"/>
                <w:b/>
                <w:sz w:val="10"/>
                <w:szCs w:val="28"/>
              </w:rPr>
              <w:t>浮</w:t>
            </w:r>
            <w:r>
              <w:rPr>
                <w:rFonts w:hint="eastAsia" w:ascii="宋体" w:hAnsi="宋体" w:eastAsia="宋体" w:cs="宋体"/>
                <w:b/>
                <w:spacing w:val="4"/>
                <w:sz w:val="10"/>
                <w:szCs w:val="28"/>
              </w:rPr>
              <w:t>动</w:t>
            </w:r>
            <w:r>
              <w:rPr>
                <w:rFonts w:hint="eastAsia" w:ascii="宋体" w:hAnsi="宋体" w:eastAsia="宋体" w:cs="宋体"/>
                <w:b/>
                <w:sz w:val="16"/>
                <w:szCs w:val="28"/>
              </w:rPr>
              <w:t>%</w:t>
            </w:r>
            <w:r>
              <w:rPr>
                <w:rFonts w:hint="eastAsia" w:ascii="宋体" w:hAnsi="宋体" w:eastAsia="宋体" w:cs="宋体"/>
                <w:sz w:val="16"/>
                <w:szCs w:val="28"/>
              </w:rPr>
              <w:t>=</w:t>
            </w:r>
            <w:r>
              <w:rPr>
                <w:rFonts w:hint="eastAsia" w:ascii="宋体" w:hAnsi="宋体" w:eastAsia="宋体" w:cs="宋体"/>
                <w:sz w:val="16"/>
                <w:szCs w:val="28"/>
                <w:u w:val="single"/>
              </w:rPr>
              <w:t xml:space="preserve"> </w:t>
            </w:r>
            <w:r>
              <w:rPr>
                <w:rFonts w:hint="eastAsia" w:ascii="宋体" w:hAnsi="宋体" w:eastAsia="宋体" w:cs="宋体"/>
                <w:sz w:val="16"/>
                <w:szCs w:val="28"/>
                <w:u w:val="single"/>
              </w:rPr>
              <w:tab/>
            </w:r>
            <w:r>
              <w:rPr>
                <w:rFonts w:hint="eastAsia" w:ascii="宋体" w:hAnsi="宋体" w:eastAsia="宋体" w:cs="宋体"/>
                <w:sz w:val="16"/>
                <w:szCs w:val="28"/>
              </w:rPr>
              <w:t>%</w:t>
            </w:r>
          </w:p>
        </w:tc>
      </w:tr>
      <w:tr w14:paraId="265BC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70" w:hRule="atLeast"/>
        </w:trPr>
        <w:tc>
          <w:tcPr>
            <w:tcW w:w="706" w:type="dxa"/>
            <w:vMerge w:val="continue"/>
            <w:tcBorders>
              <w:top w:val="nil"/>
            </w:tcBorders>
          </w:tcPr>
          <w:p w14:paraId="428BB242">
            <w:pPr>
              <w:rPr>
                <w:rFonts w:hint="eastAsia" w:ascii="宋体" w:hAnsi="宋体" w:eastAsia="宋体" w:cs="宋体"/>
                <w:sz w:val="4"/>
                <w:szCs w:val="4"/>
              </w:rPr>
            </w:pPr>
          </w:p>
        </w:tc>
        <w:tc>
          <w:tcPr>
            <w:tcW w:w="1408" w:type="dxa"/>
            <w:gridSpan w:val="3"/>
            <w:vMerge w:val="continue"/>
            <w:tcBorders>
              <w:top w:val="nil"/>
            </w:tcBorders>
          </w:tcPr>
          <w:p w14:paraId="2021FB89">
            <w:pPr>
              <w:rPr>
                <w:rFonts w:hint="eastAsia" w:ascii="宋体" w:hAnsi="宋体" w:eastAsia="宋体" w:cs="宋体"/>
                <w:sz w:val="4"/>
                <w:szCs w:val="4"/>
              </w:rPr>
            </w:pPr>
          </w:p>
        </w:tc>
        <w:tc>
          <w:tcPr>
            <w:tcW w:w="7404" w:type="dxa"/>
            <w:gridSpan w:val="16"/>
          </w:tcPr>
          <w:p w14:paraId="0C174E18">
            <w:pPr>
              <w:pStyle w:val="92"/>
              <w:tabs>
                <w:tab w:val="left" w:pos="1056"/>
              </w:tabs>
              <w:spacing w:before="51"/>
              <w:ind w:left="19"/>
              <w:jc w:val="center"/>
              <w:rPr>
                <w:rFonts w:hint="eastAsia" w:ascii="宋体" w:hAnsi="宋体" w:eastAsia="宋体" w:cs="宋体"/>
                <w:sz w:val="16"/>
                <w:szCs w:val="28"/>
              </w:rPr>
            </w:pPr>
            <w:r>
              <w:rPr>
                <w:rFonts w:hint="eastAsia" w:ascii="宋体" w:hAnsi="宋体" w:eastAsia="宋体" w:cs="宋体"/>
                <w:b/>
                <w:sz w:val="16"/>
                <w:szCs w:val="28"/>
              </w:rPr>
              <w:t>K</w:t>
            </w:r>
            <w:r>
              <w:rPr>
                <w:rFonts w:hint="eastAsia" w:ascii="宋体" w:hAnsi="宋体" w:eastAsia="宋体" w:cs="宋体"/>
                <w:b/>
                <w:sz w:val="10"/>
                <w:szCs w:val="28"/>
              </w:rPr>
              <w:t>分</w:t>
            </w:r>
            <w:r>
              <w:rPr>
                <w:rFonts w:hint="eastAsia" w:ascii="宋体" w:hAnsi="宋体" w:eastAsia="宋体" w:cs="宋体"/>
                <w:b/>
                <w:spacing w:val="4"/>
                <w:sz w:val="10"/>
                <w:szCs w:val="28"/>
              </w:rPr>
              <w:t>成</w:t>
            </w:r>
            <w:r>
              <w:rPr>
                <w:rFonts w:hint="eastAsia" w:ascii="宋体" w:hAnsi="宋体" w:eastAsia="宋体" w:cs="宋体"/>
                <w:b/>
                <w:spacing w:val="2"/>
                <w:sz w:val="16"/>
                <w:szCs w:val="28"/>
              </w:rPr>
              <w:t>%</w:t>
            </w:r>
            <w:r>
              <w:rPr>
                <w:rFonts w:hint="eastAsia" w:ascii="宋体" w:hAnsi="宋体" w:eastAsia="宋体" w:cs="宋体"/>
                <w:spacing w:val="2"/>
                <w:sz w:val="16"/>
                <w:szCs w:val="28"/>
              </w:rPr>
              <w:t>=</w:t>
            </w:r>
            <w:r>
              <w:rPr>
                <w:rFonts w:hint="eastAsia" w:ascii="宋体" w:hAnsi="宋体" w:eastAsia="宋体" w:cs="宋体"/>
                <w:spacing w:val="2"/>
                <w:sz w:val="16"/>
                <w:szCs w:val="28"/>
                <w:u w:val="single"/>
              </w:rPr>
              <w:t xml:space="preserve"> </w:t>
            </w:r>
            <w:r>
              <w:rPr>
                <w:rFonts w:hint="eastAsia" w:ascii="宋体" w:hAnsi="宋体" w:eastAsia="宋体" w:cs="宋体"/>
                <w:spacing w:val="2"/>
                <w:sz w:val="16"/>
                <w:szCs w:val="28"/>
                <w:u w:val="single"/>
              </w:rPr>
              <w:tab/>
            </w:r>
            <w:r>
              <w:rPr>
                <w:rFonts w:hint="eastAsia" w:ascii="宋体" w:hAnsi="宋体" w:eastAsia="宋体" w:cs="宋体"/>
                <w:sz w:val="16"/>
                <w:szCs w:val="28"/>
              </w:rPr>
              <w:t>%</w:t>
            </w:r>
          </w:p>
        </w:tc>
      </w:tr>
      <w:tr w14:paraId="323A6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53" w:hRule="atLeast"/>
        </w:trPr>
        <w:tc>
          <w:tcPr>
            <w:tcW w:w="706" w:type="dxa"/>
            <w:vMerge w:val="continue"/>
            <w:tcBorders>
              <w:top w:val="nil"/>
            </w:tcBorders>
          </w:tcPr>
          <w:p w14:paraId="75C069CC">
            <w:pPr>
              <w:rPr>
                <w:rFonts w:hint="eastAsia" w:ascii="宋体" w:hAnsi="宋体" w:eastAsia="宋体" w:cs="宋体"/>
                <w:sz w:val="4"/>
                <w:szCs w:val="4"/>
              </w:rPr>
            </w:pPr>
          </w:p>
        </w:tc>
        <w:tc>
          <w:tcPr>
            <w:tcW w:w="348" w:type="dxa"/>
            <w:vMerge w:val="restart"/>
            <w:tcBorders>
              <w:right w:val="nil"/>
            </w:tcBorders>
          </w:tcPr>
          <w:p w14:paraId="18529397">
            <w:pPr>
              <w:pStyle w:val="92"/>
              <w:rPr>
                <w:rFonts w:hint="eastAsia" w:ascii="宋体" w:hAnsi="宋体" w:eastAsia="宋体" w:cs="宋体"/>
                <w:b/>
                <w:sz w:val="15"/>
                <w:szCs w:val="28"/>
              </w:rPr>
            </w:pPr>
          </w:p>
          <w:p w14:paraId="57C561AF">
            <w:pPr>
              <w:pStyle w:val="92"/>
              <w:rPr>
                <w:rFonts w:hint="eastAsia" w:ascii="宋体" w:hAnsi="宋体" w:eastAsia="宋体" w:cs="宋体"/>
                <w:b/>
                <w:sz w:val="15"/>
                <w:szCs w:val="28"/>
              </w:rPr>
            </w:pPr>
          </w:p>
          <w:p w14:paraId="12AC9F98">
            <w:pPr>
              <w:pStyle w:val="92"/>
              <w:spacing w:before="4"/>
              <w:rPr>
                <w:rFonts w:hint="eastAsia" w:ascii="宋体" w:hAnsi="宋体" w:eastAsia="宋体" w:cs="宋体"/>
                <w:b/>
                <w:sz w:val="21"/>
                <w:szCs w:val="28"/>
              </w:rPr>
            </w:pPr>
          </w:p>
          <w:p w14:paraId="42229062">
            <w:pPr>
              <w:pStyle w:val="92"/>
              <w:ind w:left="90"/>
              <w:rPr>
                <w:rFonts w:hint="eastAsia" w:ascii="宋体" w:hAnsi="宋体" w:eastAsia="宋体" w:cs="宋体"/>
                <w:b/>
                <w:sz w:val="16"/>
                <w:szCs w:val="28"/>
              </w:rPr>
            </w:pPr>
            <w:r>
              <w:rPr>
                <w:rFonts w:hint="eastAsia" w:ascii="宋体" w:hAnsi="宋体" w:eastAsia="宋体" w:cs="宋体"/>
                <w:b/>
                <w:w w:val="101"/>
                <w:sz w:val="16"/>
                <w:szCs w:val="28"/>
              </w:rPr>
              <w:t>或</w:t>
            </w:r>
          </w:p>
        </w:tc>
        <w:tc>
          <w:tcPr>
            <w:tcW w:w="1060" w:type="dxa"/>
            <w:gridSpan w:val="2"/>
            <w:vMerge w:val="restart"/>
            <w:tcBorders>
              <w:left w:val="nil"/>
            </w:tcBorders>
          </w:tcPr>
          <w:p w14:paraId="15294CDD">
            <w:pPr>
              <w:pStyle w:val="92"/>
              <w:rPr>
                <w:rFonts w:hint="eastAsia" w:ascii="宋体" w:hAnsi="宋体" w:eastAsia="宋体" w:cs="宋体"/>
                <w:b/>
                <w:sz w:val="15"/>
                <w:szCs w:val="28"/>
              </w:rPr>
            </w:pPr>
          </w:p>
          <w:p w14:paraId="54E6BA78">
            <w:pPr>
              <w:pStyle w:val="92"/>
              <w:rPr>
                <w:rFonts w:hint="eastAsia" w:ascii="宋体" w:hAnsi="宋体" w:eastAsia="宋体" w:cs="宋体"/>
                <w:b/>
                <w:sz w:val="15"/>
                <w:szCs w:val="28"/>
              </w:rPr>
            </w:pPr>
          </w:p>
          <w:p w14:paraId="7F8716A5">
            <w:pPr>
              <w:pStyle w:val="92"/>
              <w:spacing w:before="4"/>
              <w:rPr>
                <w:rFonts w:hint="eastAsia" w:ascii="宋体" w:hAnsi="宋体" w:eastAsia="宋体" w:cs="宋体"/>
                <w:b/>
                <w:sz w:val="21"/>
                <w:szCs w:val="28"/>
              </w:rPr>
            </w:pPr>
          </w:p>
          <w:p w14:paraId="74EF1662">
            <w:pPr>
              <w:pStyle w:val="92"/>
              <w:ind w:right="77"/>
              <w:rPr>
                <w:rFonts w:hint="eastAsia" w:ascii="宋体" w:hAnsi="宋体" w:eastAsia="宋体" w:cs="宋体"/>
                <w:b/>
                <w:sz w:val="16"/>
                <w:szCs w:val="28"/>
              </w:rPr>
            </w:pPr>
            <w:r>
              <w:rPr>
                <w:rFonts w:hint="eastAsia" w:ascii="宋体" w:hAnsi="宋体" w:eastAsia="宋体" w:cs="宋体"/>
                <w:position w:val="-2"/>
                <w:sz w:val="28"/>
                <w:szCs w:val="28"/>
              </w:rPr>
              <w:drawing>
                <wp:inline distT="0" distB="0" distL="0" distR="0">
                  <wp:extent cx="108585" cy="118745"/>
                  <wp:effectExtent l="0" t="0" r="5715" b="8255"/>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pic:cNvPicPr>
                            <a:picLocks noChangeAspect="1"/>
                          </pic:cNvPicPr>
                        </pic:nvPicPr>
                        <pic:blipFill>
                          <a:blip r:embed="rId13" cstate="print"/>
                          <a:stretch>
                            <a:fillRect/>
                          </a:stretch>
                        </pic:blipFill>
                        <pic:spPr>
                          <a:xfrm>
                            <a:off x="0" y="0"/>
                            <a:ext cx="108648" cy="119037"/>
                          </a:xfrm>
                          <a:prstGeom prst="rect">
                            <a:avLst/>
                          </a:prstGeom>
                        </pic:spPr>
                      </pic:pic>
                    </a:graphicData>
                  </a:graphic>
                </wp:inline>
              </w:drawing>
            </w:r>
            <w:r>
              <w:rPr>
                <w:rFonts w:hint="eastAsia" w:ascii="宋体" w:hAnsi="宋体" w:eastAsia="宋体" w:cs="宋体"/>
                <w:b/>
                <w:sz w:val="16"/>
                <w:szCs w:val="28"/>
              </w:rPr>
              <w:t>各时段固定值</w:t>
            </w:r>
          </w:p>
        </w:tc>
        <w:tc>
          <w:tcPr>
            <w:tcW w:w="731" w:type="dxa"/>
            <w:gridSpan w:val="2"/>
            <w:vAlign w:val="center"/>
          </w:tcPr>
          <w:p w14:paraId="71DD86BE">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1时</w:t>
            </w:r>
          </w:p>
        </w:tc>
        <w:tc>
          <w:tcPr>
            <w:tcW w:w="891" w:type="dxa"/>
            <w:gridSpan w:val="2"/>
            <w:vAlign w:val="center"/>
          </w:tcPr>
          <w:p w14:paraId="5102CBE9">
            <w:pPr>
              <w:pStyle w:val="92"/>
              <w:jc w:val="center"/>
              <w:rPr>
                <w:rFonts w:hint="eastAsia" w:ascii="宋体" w:hAnsi="宋体" w:eastAsia="宋体" w:cs="宋体"/>
                <w:sz w:val="15"/>
                <w:szCs w:val="28"/>
              </w:rPr>
            </w:pPr>
          </w:p>
        </w:tc>
        <w:tc>
          <w:tcPr>
            <w:tcW w:w="927" w:type="dxa"/>
            <w:vAlign w:val="center"/>
          </w:tcPr>
          <w:p w14:paraId="4D0CC16A">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2时</w:t>
            </w:r>
          </w:p>
        </w:tc>
        <w:tc>
          <w:tcPr>
            <w:tcW w:w="784" w:type="dxa"/>
            <w:gridSpan w:val="2"/>
            <w:vAlign w:val="center"/>
          </w:tcPr>
          <w:p w14:paraId="22D478DA">
            <w:pPr>
              <w:pStyle w:val="92"/>
              <w:jc w:val="center"/>
              <w:rPr>
                <w:rFonts w:hint="eastAsia" w:ascii="宋体" w:hAnsi="宋体" w:eastAsia="宋体" w:cs="宋体"/>
                <w:sz w:val="15"/>
                <w:szCs w:val="28"/>
              </w:rPr>
            </w:pPr>
          </w:p>
        </w:tc>
        <w:tc>
          <w:tcPr>
            <w:tcW w:w="1116" w:type="dxa"/>
            <w:gridSpan w:val="2"/>
            <w:vAlign w:val="center"/>
          </w:tcPr>
          <w:p w14:paraId="0651AB28">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3时</w:t>
            </w:r>
          </w:p>
        </w:tc>
        <w:tc>
          <w:tcPr>
            <w:tcW w:w="883" w:type="dxa"/>
            <w:gridSpan w:val="2"/>
            <w:vAlign w:val="center"/>
          </w:tcPr>
          <w:p w14:paraId="5036A842">
            <w:pPr>
              <w:pStyle w:val="92"/>
              <w:jc w:val="center"/>
              <w:rPr>
                <w:rFonts w:hint="eastAsia" w:ascii="宋体" w:hAnsi="宋体" w:eastAsia="宋体" w:cs="宋体"/>
                <w:sz w:val="15"/>
                <w:szCs w:val="28"/>
              </w:rPr>
            </w:pPr>
          </w:p>
        </w:tc>
        <w:tc>
          <w:tcPr>
            <w:tcW w:w="913" w:type="dxa"/>
            <w:gridSpan w:val="3"/>
            <w:vAlign w:val="center"/>
          </w:tcPr>
          <w:p w14:paraId="31545E06">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4时</w:t>
            </w:r>
          </w:p>
        </w:tc>
        <w:tc>
          <w:tcPr>
            <w:tcW w:w="1159" w:type="dxa"/>
            <w:gridSpan w:val="2"/>
          </w:tcPr>
          <w:p w14:paraId="41C2824A">
            <w:pPr>
              <w:pStyle w:val="92"/>
              <w:rPr>
                <w:rFonts w:hint="eastAsia" w:ascii="宋体" w:hAnsi="宋体" w:eastAsia="宋体" w:cs="宋体"/>
                <w:sz w:val="15"/>
                <w:szCs w:val="28"/>
              </w:rPr>
            </w:pPr>
          </w:p>
        </w:tc>
      </w:tr>
      <w:tr w14:paraId="5D0E2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53" w:hRule="atLeast"/>
        </w:trPr>
        <w:tc>
          <w:tcPr>
            <w:tcW w:w="706" w:type="dxa"/>
            <w:vMerge w:val="continue"/>
            <w:tcBorders>
              <w:top w:val="nil"/>
            </w:tcBorders>
          </w:tcPr>
          <w:p w14:paraId="6F66F1D0">
            <w:pPr>
              <w:rPr>
                <w:rFonts w:hint="eastAsia" w:ascii="宋体" w:hAnsi="宋体" w:eastAsia="宋体" w:cs="宋体"/>
                <w:sz w:val="4"/>
                <w:szCs w:val="4"/>
              </w:rPr>
            </w:pPr>
          </w:p>
        </w:tc>
        <w:tc>
          <w:tcPr>
            <w:tcW w:w="348" w:type="dxa"/>
            <w:vMerge w:val="continue"/>
            <w:tcBorders>
              <w:top w:val="nil"/>
              <w:right w:val="nil"/>
            </w:tcBorders>
          </w:tcPr>
          <w:p w14:paraId="3BCCD6CE">
            <w:pPr>
              <w:rPr>
                <w:rFonts w:hint="eastAsia" w:ascii="宋体" w:hAnsi="宋体" w:eastAsia="宋体" w:cs="宋体"/>
                <w:sz w:val="4"/>
                <w:szCs w:val="4"/>
              </w:rPr>
            </w:pPr>
          </w:p>
        </w:tc>
        <w:tc>
          <w:tcPr>
            <w:tcW w:w="1060" w:type="dxa"/>
            <w:gridSpan w:val="2"/>
            <w:vMerge w:val="continue"/>
            <w:tcBorders>
              <w:top w:val="nil"/>
              <w:left w:val="nil"/>
            </w:tcBorders>
          </w:tcPr>
          <w:p w14:paraId="6C60E924">
            <w:pPr>
              <w:rPr>
                <w:rFonts w:hint="eastAsia" w:ascii="宋体" w:hAnsi="宋体" w:eastAsia="宋体" w:cs="宋体"/>
                <w:sz w:val="4"/>
                <w:szCs w:val="4"/>
              </w:rPr>
            </w:pPr>
          </w:p>
        </w:tc>
        <w:tc>
          <w:tcPr>
            <w:tcW w:w="731" w:type="dxa"/>
            <w:gridSpan w:val="2"/>
            <w:vAlign w:val="center"/>
          </w:tcPr>
          <w:p w14:paraId="1A234F38">
            <w:pPr>
              <w:pStyle w:val="92"/>
              <w:spacing w:before="44"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5时</w:t>
            </w:r>
          </w:p>
        </w:tc>
        <w:tc>
          <w:tcPr>
            <w:tcW w:w="891" w:type="dxa"/>
            <w:gridSpan w:val="2"/>
            <w:vAlign w:val="center"/>
          </w:tcPr>
          <w:p w14:paraId="0BB84CA1">
            <w:pPr>
              <w:pStyle w:val="92"/>
              <w:jc w:val="center"/>
              <w:rPr>
                <w:rFonts w:hint="eastAsia" w:ascii="宋体" w:hAnsi="宋体" w:eastAsia="宋体" w:cs="宋体"/>
                <w:sz w:val="15"/>
                <w:szCs w:val="28"/>
              </w:rPr>
            </w:pPr>
          </w:p>
        </w:tc>
        <w:tc>
          <w:tcPr>
            <w:tcW w:w="927" w:type="dxa"/>
            <w:vAlign w:val="center"/>
          </w:tcPr>
          <w:p w14:paraId="42A49D5A">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6时</w:t>
            </w:r>
          </w:p>
        </w:tc>
        <w:tc>
          <w:tcPr>
            <w:tcW w:w="784" w:type="dxa"/>
            <w:gridSpan w:val="2"/>
            <w:vAlign w:val="center"/>
          </w:tcPr>
          <w:p w14:paraId="736465A6">
            <w:pPr>
              <w:pStyle w:val="92"/>
              <w:jc w:val="center"/>
              <w:rPr>
                <w:rFonts w:hint="eastAsia" w:ascii="宋体" w:hAnsi="宋体" w:eastAsia="宋体" w:cs="宋体"/>
                <w:sz w:val="15"/>
                <w:szCs w:val="28"/>
              </w:rPr>
            </w:pPr>
          </w:p>
        </w:tc>
        <w:tc>
          <w:tcPr>
            <w:tcW w:w="1116" w:type="dxa"/>
            <w:gridSpan w:val="2"/>
            <w:vAlign w:val="center"/>
          </w:tcPr>
          <w:p w14:paraId="0225ADFD">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7时</w:t>
            </w:r>
          </w:p>
        </w:tc>
        <w:tc>
          <w:tcPr>
            <w:tcW w:w="883" w:type="dxa"/>
            <w:gridSpan w:val="2"/>
            <w:vAlign w:val="center"/>
          </w:tcPr>
          <w:p w14:paraId="77FF5357">
            <w:pPr>
              <w:pStyle w:val="92"/>
              <w:jc w:val="center"/>
              <w:rPr>
                <w:rFonts w:hint="eastAsia" w:ascii="宋体" w:hAnsi="宋体" w:eastAsia="宋体" w:cs="宋体"/>
                <w:sz w:val="15"/>
                <w:szCs w:val="28"/>
              </w:rPr>
            </w:pPr>
          </w:p>
        </w:tc>
        <w:tc>
          <w:tcPr>
            <w:tcW w:w="913" w:type="dxa"/>
            <w:gridSpan w:val="3"/>
            <w:vAlign w:val="center"/>
          </w:tcPr>
          <w:p w14:paraId="6017422F">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8时</w:t>
            </w:r>
          </w:p>
        </w:tc>
        <w:tc>
          <w:tcPr>
            <w:tcW w:w="1159" w:type="dxa"/>
            <w:gridSpan w:val="2"/>
          </w:tcPr>
          <w:p w14:paraId="5CEB1406">
            <w:pPr>
              <w:pStyle w:val="92"/>
              <w:rPr>
                <w:rFonts w:hint="eastAsia" w:ascii="宋体" w:hAnsi="宋体" w:eastAsia="宋体" w:cs="宋体"/>
                <w:sz w:val="15"/>
                <w:szCs w:val="28"/>
              </w:rPr>
            </w:pPr>
          </w:p>
        </w:tc>
      </w:tr>
      <w:tr w14:paraId="4A54D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53" w:hRule="atLeast"/>
        </w:trPr>
        <w:tc>
          <w:tcPr>
            <w:tcW w:w="706" w:type="dxa"/>
            <w:vMerge w:val="continue"/>
            <w:tcBorders>
              <w:top w:val="nil"/>
            </w:tcBorders>
          </w:tcPr>
          <w:p w14:paraId="522AE792">
            <w:pPr>
              <w:rPr>
                <w:rFonts w:hint="eastAsia" w:ascii="宋体" w:hAnsi="宋体" w:eastAsia="宋体" w:cs="宋体"/>
                <w:sz w:val="4"/>
                <w:szCs w:val="4"/>
              </w:rPr>
            </w:pPr>
          </w:p>
        </w:tc>
        <w:tc>
          <w:tcPr>
            <w:tcW w:w="348" w:type="dxa"/>
            <w:vMerge w:val="continue"/>
            <w:tcBorders>
              <w:top w:val="nil"/>
              <w:right w:val="nil"/>
            </w:tcBorders>
          </w:tcPr>
          <w:p w14:paraId="15B07B1D">
            <w:pPr>
              <w:rPr>
                <w:rFonts w:hint="eastAsia" w:ascii="宋体" w:hAnsi="宋体" w:eastAsia="宋体" w:cs="宋体"/>
                <w:sz w:val="4"/>
                <w:szCs w:val="4"/>
              </w:rPr>
            </w:pPr>
          </w:p>
        </w:tc>
        <w:tc>
          <w:tcPr>
            <w:tcW w:w="1060" w:type="dxa"/>
            <w:gridSpan w:val="2"/>
            <w:vMerge w:val="continue"/>
            <w:tcBorders>
              <w:top w:val="nil"/>
              <w:left w:val="nil"/>
            </w:tcBorders>
          </w:tcPr>
          <w:p w14:paraId="6355E310">
            <w:pPr>
              <w:rPr>
                <w:rFonts w:hint="eastAsia" w:ascii="宋体" w:hAnsi="宋体" w:eastAsia="宋体" w:cs="宋体"/>
                <w:sz w:val="4"/>
                <w:szCs w:val="4"/>
              </w:rPr>
            </w:pPr>
          </w:p>
        </w:tc>
        <w:tc>
          <w:tcPr>
            <w:tcW w:w="731" w:type="dxa"/>
            <w:gridSpan w:val="2"/>
            <w:vAlign w:val="center"/>
          </w:tcPr>
          <w:p w14:paraId="412E81D6">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9时</w:t>
            </w:r>
          </w:p>
        </w:tc>
        <w:tc>
          <w:tcPr>
            <w:tcW w:w="891" w:type="dxa"/>
            <w:gridSpan w:val="2"/>
            <w:vAlign w:val="center"/>
          </w:tcPr>
          <w:p w14:paraId="727C85A2">
            <w:pPr>
              <w:pStyle w:val="92"/>
              <w:jc w:val="center"/>
              <w:rPr>
                <w:rFonts w:hint="eastAsia" w:ascii="宋体" w:hAnsi="宋体" w:eastAsia="宋体" w:cs="宋体"/>
                <w:sz w:val="15"/>
                <w:szCs w:val="28"/>
              </w:rPr>
            </w:pPr>
          </w:p>
        </w:tc>
        <w:tc>
          <w:tcPr>
            <w:tcW w:w="927" w:type="dxa"/>
            <w:vAlign w:val="center"/>
          </w:tcPr>
          <w:p w14:paraId="52592864">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10时</w:t>
            </w:r>
          </w:p>
        </w:tc>
        <w:tc>
          <w:tcPr>
            <w:tcW w:w="784" w:type="dxa"/>
            <w:gridSpan w:val="2"/>
            <w:vAlign w:val="center"/>
          </w:tcPr>
          <w:p w14:paraId="3F133864">
            <w:pPr>
              <w:pStyle w:val="92"/>
              <w:jc w:val="center"/>
              <w:rPr>
                <w:rFonts w:hint="eastAsia" w:ascii="宋体" w:hAnsi="宋体" w:eastAsia="宋体" w:cs="宋体"/>
                <w:sz w:val="15"/>
                <w:szCs w:val="28"/>
              </w:rPr>
            </w:pPr>
          </w:p>
        </w:tc>
        <w:tc>
          <w:tcPr>
            <w:tcW w:w="1116" w:type="dxa"/>
            <w:gridSpan w:val="2"/>
            <w:vAlign w:val="center"/>
          </w:tcPr>
          <w:p w14:paraId="69CB156C">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11时</w:t>
            </w:r>
          </w:p>
        </w:tc>
        <w:tc>
          <w:tcPr>
            <w:tcW w:w="883" w:type="dxa"/>
            <w:gridSpan w:val="2"/>
            <w:vAlign w:val="center"/>
          </w:tcPr>
          <w:p w14:paraId="1B2549D5">
            <w:pPr>
              <w:pStyle w:val="92"/>
              <w:jc w:val="center"/>
              <w:rPr>
                <w:rFonts w:hint="eastAsia" w:ascii="宋体" w:hAnsi="宋体" w:eastAsia="宋体" w:cs="宋体"/>
                <w:sz w:val="15"/>
                <w:szCs w:val="28"/>
              </w:rPr>
            </w:pPr>
          </w:p>
        </w:tc>
        <w:tc>
          <w:tcPr>
            <w:tcW w:w="913" w:type="dxa"/>
            <w:gridSpan w:val="3"/>
            <w:vAlign w:val="center"/>
          </w:tcPr>
          <w:p w14:paraId="2E8A7B07">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12时</w:t>
            </w:r>
          </w:p>
        </w:tc>
        <w:tc>
          <w:tcPr>
            <w:tcW w:w="1159" w:type="dxa"/>
            <w:gridSpan w:val="2"/>
          </w:tcPr>
          <w:p w14:paraId="0EDC4A14">
            <w:pPr>
              <w:pStyle w:val="92"/>
              <w:rPr>
                <w:rFonts w:hint="eastAsia" w:ascii="宋体" w:hAnsi="宋体" w:eastAsia="宋体" w:cs="宋体"/>
                <w:sz w:val="15"/>
                <w:szCs w:val="28"/>
              </w:rPr>
            </w:pPr>
          </w:p>
        </w:tc>
      </w:tr>
      <w:tr w14:paraId="409A2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53" w:hRule="atLeast"/>
        </w:trPr>
        <w:tc>
          <w:tcPr>
            <w:tcW w:w="706" w:type="dxa"/>
            <w:vMerge w:val="continue"/>
            <w:tcBorders>
              <w:top w:val="nil"/>
            </w:tcBorders>
          </w:tcPr>
          <w:p w14:paraId="2FD1AF6C">
            <w:pPr>
              <w:rPr>
                <w:rFonts w:hint="eastAsia" w:ascii="宋体" w:hAnsi="宋体" w:eastAsia="宋体" w:cs="宋体"/>
                <w:sz w:val="4"/>
                <w:szCs w:val="4"/>
              </w:rPr>
            </w:pPr>
          </w:p>
        </w:tc>
        <w:tc>
          <w:tcPr>
            <w:tcW w:w="348" w:type="dxa"/>
            <w:vMerge w:val="continue"/>
            <w:tcBorders>
              <w:top w:val="nil"/>
              <w:right w:val="nil"/>
            </w:tcBorders>
          </w:tcPr>
          <w:p w14:paraId="440F87A9">
            <w:pPr>
              <w:rPr>
                <w:rFonts w:hint="eastAsia" w:ascii="宋体" w:hAnsi="宋体" w:eastAsia="宋体" w:cs="宋体"/>
                <w:sz w:val="4"/>
                <w:szCs w:val="4"/>
              </w:rPr>
            </w:pPr>
          </w:p>
        </w:tc>
        <w:tc>
          <w:tcPr>
            <w:tcW w:w="1060" w:type="dxa"/>
            <w:gridSpan w:val="2"/>
            <w:vMerge w:val="continue"/>
            <w:tcBorders>
              <w:top w:val="nil"/>
              <w:left w:val="nil"/>
            </w:tcBorders>
          </w:tcPr>
          <w:p w14:paraId="604091CF">
            <w:pPr>
              <w:rPr>
                <w:rFonts w:hint="eastAsia" w:ascii="宋体" w:hAnsi="宋体" w:eastAsia="宋体" w:cs="宋体"/>
                <w:sz w:val="4"/>
                <w:szCs w:val="4"/>
              </w:rPr>
            </w:pPr>
          </w:p>
        </w:tc>
        <w:tc>
          <w:tcPr>
            <w:tcW w:w="731" w:type="dxa"/>
            <w:gridSpan w:val="2"/>
            <w:vAlign w:val="center"/>
          </w:tcPr>
          <w:p w14:paraId="2327E870">
            <w:pPr>
              <w:pStyle w:val="92"/>
              <w:spacing w:before="43" w:line="190" w:lineRule="exact"/>
              <w:ind w:right="184"/>
              <w:jc w:val="center"/>
              <w:rPr>
                <w:rFonts w:hint="eastAsia" w:ascii="宋体" w:hAnsi="宋体" w:eastAsia="宋体" w:cs="宋体"/>
                <w:sz w:val="16"/>
                <w:szCs w:val="28"/>
              </w:rPr>
            </w:pPr>
            <w:r>
              <w:rPr>
                <w:rFonts w:hint="eastAsia" w:ascii="宋体" w:hAnsi="宋体" w:eastAsia="宋体" w:cs="宋体"/>
                <w:sz w:val="16"/>
                <w:szCs w:val="28"/>
                <w:lang w:val="en-US" w:eastAsia="zh-CN"/>
              </w:rPr>
              <w:t xml:space="preserve">  </w:t>
            </w:r>
            <w:r>
              <w:rPr>
                <w:rFonts w:hint="eastAsia" w:ascii="宋体" w:hAnsi="宋体" w:eastAsia="宋体" w:cs="宋体"/>
                <w:sz w:val="16"/>
                <w:szCs w:val="28"/>
              </w:rPr>
              <w:t>13时</w:t>
            </w:r>
          </w:p>
        </w:tc>
        <w:tc>
          <w:tcPr>
            <w:tcW w:w="891" w:type="dxa"/>
            <w:gridSpan w:val="2"/>
            <w:vAlign w:val="center"/>
          </w:tcPr>
          <w:p w14:paraId="2F44E88A">
            <w:pPr>
              <w:pStyle w:val="92"/>
              <w:jc w:val="center"/>
              <w:rPr>
                <w:rFonts w:hint="eastAsia" w:ascii="宋体" w:hAnsi="宋体" w:eastAsia="宋体" w:cs="宋体"/>
                <w:sz w:val="15"/>
                <w:szCs w:val="28"/>
              </w:rPr>
            </w:pPr>
          </w:p>
        </w:tc>
        <w:tc>
          <w:tcPr>
            <w:tcW w:w="927" w:type="dxa"/>
            <w:vAlign w:val="center"/>
          </w:tcPr>
          <w:p w14:paraId="04A04307">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14时</w:t>
            </w:r>
          </w:p>
        </w:tc>
        <w:tc>
          <w:tcPr>
            <w:tcW w:w="784" w:type="dxa"/>
            <w:gridSpan w:val="2"/>
            <w:vAlign w:val="center"/>
          </w:tcPr>
          <w:p w14:paraId="48B65140">
            <w:pPr>
              <w:pStyle w:val="92"/>
              <w:jc w:val="center"/>
              <w:rPr>
                <w:rFonts w:hint="eastAsia" w:ascii="宋体" w:hAnsi="宋体" w:eastAsia="宋体" w:cs="宋体"/>
                <w:sz w:val="15"/>
                <w:szCs w:val="28"/>
              </w:rPr>
            </w:pPr>
          </w:p>
        </w:tc>
        <w:tc>
          <w:tcPr>
            <w:tcW w:w="1116" w:type="dxa"/>
            <w:gridSpan w:val="2"/>
            <w:vAlign w:val="center"/>
          </w:tcPr>
          <w:p w14:paraId="2CA55839">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15时</w:t>
            </w:r>
          </w:p>
        </w:tc>
        <w:tc>
          <w:tcPr>
            <w:tcW w:w="883" w:type="dxa"/>
            <w:gridSpan w:val="2"/>
            <w:vAlign w:val="center"/>
          </w:tcPr>
          <w:p w14:paraId="421D4F47">
            <w:pPr>
              <w:pStyle w:val="92"/>
              <w:jc w:val="center"/>
              <w:rPr>
                <w:rFonts w:hint="eastAsia" w:ascii="宋体" w:hAnsi="宋体" w:eastAsia="宋体" w:cs="宋体"/>
                <w:sz w:val="15"/>
                <w:szCs w:val="28"/>
              </w:rPr>
            </w:pPr>
          </w:p>
        </w:tc>
        <w:tc>
          <w:tcPr>
            <w:tcW w:w="913" w:type="dxa"/>
            <w:gridSpan w:val="3"/>
            <w:vAlign w:val="center"/>
          </w:tcPr>
          <w:p w14:paraId="373191CE">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16时</w:t>
            </w:r>
          </w:p>
        </w:tc>
        <w:tc>
          <w:tcPr>
            <w:tcW w:w="1159" w:type="dxa"/>
            <w:gridSpan w:val="2"/>
          </w:tcPr>
          <w:p w14:paraId="354D7947">
            <w:pPr>
              <w:pStyle w:val="92"/>
              <w:rPr>
                <w:rFonts w:hint="eastAsia" w:ascii="宋体" w:hAnsi="宋体" w:eastAsia="宋体" w:cs="宋体"/>
                <w:sz w:val="15"/>
                <w:szCs w:val="28"/>
              </w:rPr>
            </w:pPr>
          </w:p>
        </w:tc>
      </w:tr>
      <w:tr w14:paraId="3D0BE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53" w:hRule="atLeast"/>
        </w:trPr>
        <w:tc>
          <w:tcPr>
            <w:tcW w:w="706" w:type="dxa"/>
            <w:vMerge w:val="continue"/>
            <w:tcBorders>
              <w:top w:val="nil"/>
            </w:tcBorders>
          </w:tcPr>
          <w:p w14:paraId="28F933C0">
            <w:pPr>
              <w:rPr>
                <w:rFonts w:hint="eastAsia" w:ascii="宋体" w:hAnsi="宋体" w:eastAsia="宋体" w:cs="宋体"/>
                <w:sz w:val="4"/>
                <w:szCs w:val="4"/>
              </w:rPr>
            </w:pPr>
          </w:p>
        </w:tc>
        <w:tc>
          <w:tcPr>
            <w:tcW w:w="348" w:type="dxa"/>
            <w:vMerge w:val="continue"/>
            <w:tcBorders>
              <w:top w:val="nil"/>
              <w:right w:val="nil"/>
            </w:tcBorders>
          </w:tcPr>
          <w:p w14:paraId="6735C81A">
            <w:pPr>
              <w:rPr>
                <w:rFonts w:hint="eastAsia" w:ascii="宋体" w:hAnsi="宋体" w:eastAsia="宋体" w:cs="宋体"/>
                <w:sz w:val="4"/>
                <w:szCs w:val="4"/>
              </w:rPr>
            </w:pPr>
          </w:p>
        </w:tc>
        <w:tc>
          <w:tcPr>
            <w:tcW w:w="1060" w:type="dxa"/>
            <w:gridSpan w:val="2"/>
            <w:vMerge w:val="continue"/>
            <w:tcBorders>
              <w:top w:val="nil"/>
              <w:left w:val="nil"/>
            </w:tcBorders>
          </w:tcPr>
          <w:p w14:paraId="115C6B3C">
            <w:pPr>
              <w:rPr>
                <w:rFonts w:hint="eastAsia" w:ascii="宋体" w:hAnsi="宋体" w:eastAsia="宋体" w:cs="宋体"/>
                <w:sz w:val="4"/>
                <w:szCs w:val="4"/>
              </w:rPr>
            </w:pPr>
          </w:p>
        </w:tc>
        <w:tc>
          <w:tcPr>
            <w:tcW w:w="731" w:type="dxa"/>
            <w:gridSpan w:val="2"/>
            <w:vAlign w:val="center"/>
          </w:tcPr>
          <w:p w14:paraId="353C85D9">
            <w:pPr>
              <w:pStyle w:val="92"/>
              <w:spacing w:before="43" w:line="190" w:lineRule="exact"/>
              <w:ind w:right="184"/>
              <w:jc w:val="center"/>
              <w:rPr>
                <w:rFonts w:hint="eastAsia" w:ascii="宋体" w:hAnsi="宋体" w:eastAsia="宋体" w:cs="宋体"/>
                <w:sz w:val="16"/>
                <w:szCs w:val="28"/>
              </w:rPr>
            </w:pPr>
            <w:r>
              <w:rPr>
                <w:rFonts w:hint="eastAsia" w:ascii="宋体" w:hAnsi="宋体" w:eastAsia="宋体" w:cs="宋体"/>
                <w:sz w:val="16"/>
                <w:szCs w:val="28"/>
                <w:lang w:val="en-US" w:eastAsia="zh-CN"/>
              </w:rPr>
              <w:t xml:space="preserve">  </w:t>
            </w:r>
            <w:r>
              <w:rPr>
                <w:rFonts w:hint="eastAsia" w:ascii="宋体" w:hAnsi="宋体" w:eastAsia="宋体" w:cs="宋体"/>
                <w:sz w:val="16"/>
                <w:szCs w:val="28"/>
              </w:rPr>
              <w:t>17时</w:t>
            </w:r>
          </w:p>
        </w:tc>
        <w:tc>
          <w:tcPr>
            <w:tcW w:w="891" w:type="dxa"/>
            <w:gridSpan w:val="2"/>
            <w:vAlign w:val="center"/>
          </w:tcPr>
          <w:p w14:paraId="5C3FA572">
            <w:pPr>
              <w:pStyle w:val="92"/>
              <w:jc w:val="center"/>
              <w:rPr>
                <w:rFonts w:hint="eastAsia" w:ascii="宋体" w:hAnsi="宋体" w:eastAsia="宋体" w:cs="宋体"/>
                <w:sz w:val="15"/>
                <w:szCs w:val="28"/>
              </w:rPr>
            </w:pPr>
          </w:p>
        </w:tc>
        <w:tc>
          <w:tcPr>
            <w:tcW w:w="927" w:type="dxa"/>
            <w:vAlign w:val="center"/>
          </w:tcPr>
          <w:p w14:paraId="4CCBA624">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18时</w:t>
            </w:r>
          </w:p>
        </w:tc>
        <w:tc>
          <w:tcPr>
            <w:tcW w:w="784" w:type="dxa"/>
            <w:gridSpan w:val="2"/>
            <w:vAlign w:val="center"/>
          </w:tcPr>
          <w:p w14:paraId="54C9CD1E">
            <w:pPr>
              <w:pStyle w:val="92"/>
              <w:jc w:val="center"/>
              <w:rPr>
                <w:rFonts w:hint="eastAsia" w:ascii="宋体" w:hAnsi="宋体" w:eastAsia="宋体" w:cs="宋体"/>
                <w:sz w:val="15"/>
                <w:szCs w:val="28"/>
              </w:rPr>
            </w:pPr>
          </w:p>
        </w:tc>
        <w:tc>
          <w:tcPr>
            <w:tcW w:w="1116" w:type="dxa"/>
            <w:gridSpan w:val="2"/>
            <w:vAlign w:val="center"/>
          </w:tcPr>
          <w:p w14:paraId="5A3665BA">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19时</w:t>
            </w:r>
          </w:p>
        </w:tc>
        <w:tc>
          <w:tcPr>
            <w:tcW w:w="883" w:type="dxa"/>
            <w:gridSpan w:val="2"/>
            <w:vAlign w:val="center"/>
          </w:tcPr>
          <w:p w14:paraId="14A3051C">
            <w:pPr>
              <w:pStyle w:val="92"/>
              <w:jc w:val="center"/>
              <w:rPr>
                <w:rFonts w:hint="eastAsia" w:ascii="宋体" w:hAnsi="宋体" w:eastAsia="宋体" w:cs="宋体"/>
                <w:sz w:val="15"/>
                <w:szCs w:val="28"/>
              </w:rPr>
            </w:pPr>
          </w:p>
        </w:tc>
        <w:tc>
          <w:tcPr>
            <w:tcW w:w="913" w:type="dxa"/>
            <w:gridSpan w:val="3"/>
            <w:vAlign w:val="center"/>
          </w:tcPr>
          <w:p w14:paraId="0C091E9F">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20时</w:t>
            </w:r>
          </w:p>
        </w:tc>
        <w:tc>
          <w:tcPr>
            <w:tcW w:w="1159" w:type="dxa"/>
            <w:gridSpan w:val="2"/>
          </w:tcPr>
          <w:p w14:paraId="2A4F8DF6">
            <w:pPr>
              <w:pStyle w:val="92"/>
              <w:rPr>
                <w:rFonts w:hint="eastAsia" w:ascii="宋体" w:hAnsi="宋体" w:eastAsia="宋体" w:cs="宋体"/>
                <w:sz w:val="15"/>
                <w:szCs w:val="28"/>
              </w:rPr>
            </w:pPr>
          </w:p>
        </w:tc>
      </w:tr>
      <w:tr w14:paraId="03561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53" w:hRule="atLeast"/>
        </w:trPr>
        <w:tc>
          <w:tcPr>
            <w:tcW w:w="706" w:type="dxa"/>
            <w:vMerge w:val="continue"/>
            <w:tcBorders>
              <w:top w:val="nil"/>
            </w:tcBorders>
          </w:tcPr>
          <w:p w14:paraId="461DE539">
            <w:pPr>
              <w:rPr>
                <w:rFonts w:hint="eastAsia" w:ascii="宋体" w:hAnsi="宋体" w:eastAsia="宋体" w:cs="宋体"/>
                <w:sz w:val="4"/>
                <w:szCs w:val="4"/>
              </w:rPr>
            </w:pPr>
          </w:p>
        </w:tc>
        <w:tc>
          <w:tcPr>
            <w:tcW w:w="348" w:type="dxa"/>
            <w:vMerge w:val="continue"/>
            <w:tcBorders>
              <w:top w:val="nil"/>
              <w:right w:val="nil"/>
            </w:tcBorders>
          </w:tcPr>
          <w:p w14:paraId="33969772">
            <w:pPr>
              <w:rPr>
                <w:rFonts w:hint="eastAsia" w:ascii="宋体" w:hAnsi="宋体" w:eastAsia="宋体" w:cs="宋体"/>
                <w:sz w:val="4"/>
                <w:szCs w:val="4"/>
              </w:rPr>
            </w:pPr>
          </w:p>
        </w:tc>
        <w:tc>
          <w:tcPr>
            <w:tcW w:w="1060" w:type="dxa"/>
            <w:gridSpan w:val="2"/>
            <w:vMerge w:val="continue"/>
            <w:tcBorders>
              <w:top w:val="nil"/>
              <w:left w:val="nil"/>
            </w:tcBorders>
          </w:tcPr>
          <w:p w14:paraId="482FDC32">
            <w:pPr>
              <w:rPr>
                <w:rFonts w:hint="eastAsia" w:ascii="宋体" w:hAnsi="宋体" w:eastAsia="宋体" w:cs="宋体"/>
                <w:sz w:val="4"/>
                <w:szCs w:val="4"/>
              </w:rPr>
            </w:pPr>
          </w:p>
        </w:tc>
        <w:tc>
          <w:tcPr>
            <w:tcW w:w="731" w:type="dxa"/>
            <w:gridSpan w:val="2"/>
            <w:vAlign w:val="center"/>
          </w:tcPr>
          <w:p w14:paraId="698DD2D0">
            <w:pPr>
              <w:pStyle w:val="92"/>
              <w:spacing w:before="43" w:line="190" w:lineRule="exact"/>
              <w:ind w:right="184"/>
              <w:jc w:val="center"/>
              <w:rPr>
                <w:rFonts w:hint="eastAsia" w:ascii="宋体" w:hAnsi="宋体" w:eastAsia="宋体" w:cs="宋体"/>
                <w:sz w:val="16"/>
                <w:szCs w:val="28"/>
              </w:rPr>
            </w:pPr>
            <w:r>
              <w:rPr>
                <w:rFonts w:hint="eastAsia" w:ascii="宋体" w:hAnsi="宋体" w:eastAsia="宋体" w:cs="宋体"/>
                <w:sz w:val="16"/>
                <w:szCs w:val="28"/>
                <w:lang w:val="en-US" w:eastAsia="zh-CN"/>
              </w:rPr>
              <w:t xml:space="preserve">  </w:t>
            </w:r>
            <w:r>
              <w:rPr>
                <w:rFonts w:hint="eastAsia" w:ascii="宋体" w:hAnsi="宋体" w:eastAsia="宋体" w:cs="宋体"/>
                <w:sz w:val="16"/>
                <w:szCs w:val="28"/>
              </w:rPr>
              <w:t>21时</w:t>
            </w:r>
          </w:p>
        </w:tc>
        <w:tc>
          <w:tcPr>
            <w:tcW w:w="891" w:type="dxa"/>
            <w:gridSpan w:val="2"/>
            <w:vAlign w:val="center"/>
          </w:tcPr>
          <w:p w14:paraId="0E4B3BB7">
            <w:pPr>
              <w:pStyle w:val="92"/>
              <w:jc w:val="center"/>
              <w:rPr>
                <w:rFonts w:hint="eastAsia" w:ascii="宋体" w:hAnsi="宋体" w:eastAsia="宋体" w:cs="宋体"/>
                <w:sz w:val="15"/>
                <w:szCs w:val="28"/>
              </w:rPr>
            </w:pPr>
          </w:p>
        </w:tc>
        <w:tc>
          <w:tcPr>
            <w:tcW w:w="927" w:type="dxa"/>
            <w:vAlign w:val="center"/>
          </w:tcPr>
          <w:p w14:paraId="796A1545">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22时</w:t>
            </w:r>
          </w:p>
        </w:tc>
        <w:tc>
          <w:tcPr>
            <w:tcW w:w="784" w:type="dxa"/>
            <w:gridSpan w:val="2"/>
            <w:vAlign w:val="center"/>
          </w:tcPr>
          <w:p w14:paraId="3C9100E5">
            <w:pPr>
              <w:pStyle w:val="92"/>
              <w:jc w:val="center"/>
              <w:rPr>
                <w:rFonts w:hint="eastAsia" w:ascii="宋体" w:hAnsi="宋体" w:eastAsia="宋体" w:cs="宋体"/>
                <w:sz w:val="15"/>
                <w:szCs w:val="28"/>
              </w:rPr>
            </w:pPr>
          </w:p>
        </w:tc>
        <w:tc>
          <w:tcPr>
            <w:tcW w:w="1116" w:type="dxa"/>
            <w:gridSpan w:val="2"/>
            <w:vAlign w:val="center"/>
          </w:tcPr>
          <w:p w14:paraId="5A0A5E29">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23时</w:t>
            </w:r>
          </w:p>
        </w:tc>
        <w:tc>
          <w:tcPr>
            <w:tcW w:w="883" w:type="dxa"/>
            <w:gridSpan w:val="2"/>
            <w:vAlign w:val="center"/>
          </w:tcPr>
          <w:p w14:paraId="19F62355">
            <w:pPr>
              <w:pStyle w:val="92"/>
              <w:jc w:val="center"/>
              <w:rPr>
                <w:rFonts w:hint="eastAsia" w:ascii="宋体" w:hAnsi="宋体" w:eastAsia="宋体" w:cs="宋体"/>
                <w:sz w:val="15"/>
                <w:szCs w:val="28"/>
              </w:rPr>
            </w:pPr>
          </w:p>
        </w:tc>
        <w:tc>
          <w:tcPr>
            <w:tcW w:w="913" w:type="dxa"/>
            <w:gridSpan w:val="3"/>
            <w:vAlign w:val="center"/>
          </w:tcPr>
          <w:p w14:paraId="3E292D4F">
            <w:pPr>
              <w:pStyle w:val="92"/>
              <w:spacing w:before="43" w:line="190" w:lineRule="exact"/>
              <w:ind w:left="204" w:right="184"/>
              <w:jc w:val="center"/>
              <w:rPr>
                <w:rFonts w:hint="eastAsia" w:ascii="宋体" w:hAnsi="宋体" w:eastAsia="宋体" w:cs="宋体"/>
                <w:sz w:val="16"/>
                <w:szCs w:val="28"/>
              </w:rPr>
            </w:pPr>
            <w:r>
              <w:rPr>
                <w:rFonts w:hint="eastAsia" w:ascii="宋体" w:hAnsi="宋体" w:eastAsia="宋体" w:cs="宋体"/>
                <w:sz w:val="16"/>
                <w:szCs w:val="28"/>
              </w:rPr>
              <w:t>24时</w:t>
            </w:r>
          </w:p>
        </w:tc>
        <w:tc>
          <w:tcPr>
            <w:tcW w:w="1159" w:type="dxa"/>
            <w:gridSpan w:val="2"/>
          </w:tcPr>
          <w:p w14:paraId="5F816AE0">
            <w:pPr>
              <w:pStyle w:val="92"/>
              <w:rPr>
                <w:rFonts w:hint="eastAsia" w:ascii="宋体" w:hAnsi="宋体" w:eastAsia="宋体" w:cs="宋体"/>
                <w:sz w:val="15"/>
                <w:szCs w:val="28"/>
              </w:rPr>
            </w:pPr>
          </w:p>
        </w:tc>
      </w:tr>
      <w:tr w14:paraId="63545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188" w:hRule="atLeast"/>
        </w:trPr>
        <w:tc>
          <w:tcPr>
            <w:tcW w:w="9518" w:type="dxa"/>
            <w:gridSpan w:val="20"/>
          </w:tcPr>
          <w:p w14:paraId="336E2181">
            <w:pPr>
              <w:pStyle w:val="92"/>
              <w:rPr>
                <w:rFonts w:hint="eastAsia" w:ascii="宋体" w:hAnsi="宋体" w:eastAsia="宋体" w:cs="宋体"/>
                <w:sz w:val="13"/>
                <w:szCs w:val="28"/>
              </w:rPr>
            </w:pPr>
          </w:p>
        </w:tc>
      </w:tr>
      <w:tr w14:paraId="518CD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70" w:hRule="atLeast"/>
        </w:trPr>
        <w:tc>
          <w:tcPr>
            <w:tcW w:w="9518" w:type="dxa"/>
            <w:gridSpan w:val="20"/>
          </w:tcPr>
          <w:p w14:paraId="51BE0A6D">
            <w:pPr>
              <w:pStyle w:val="92"/>
              <w:spacing w:before="48"/>
              <w:ind w:left="74"/>
              <w:rPr>
                <w:rFonts w:hint="eastAsia" w:ascii="宋体" w:hAnsi="宋体" w:eastAsia="宋体" w:cs="宋体"/>
                <w:b/>
                <w:sz w:val="16"/>
                <w:szCs w:val="28"/>
              </w:rPr>
            </w:pPr>
            <w:r>
              <w:rPr>
                <w:rFonts w:hint="eastAsia" w:ascii="宋体" w:hAnsi="宋体" w:eastAsia="宋体" w:cs="宋体"/>
                <w:position w:val="-2"/>
                <w:sz w:val="28"/>
                <w:szCs w:val="28"/>
              </w:rPr>
              <w:drawing>
                <wp:inline distT="0" distB="0" distL="0" distR="0">
                  <wp:extent cx="108585" cy="118110"/>
                  <wp:effectExtent l="0" t="0" r="5715" b="8890"/>
                  <wp:docPr id="3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5.png"/>
                          <pic:cNvPicPr>
                            <a:picLocks noChangeAspect="1"/>
                          </pic:cNvPicPr>
                        </pic:nvPicPr>
                        <pic:blipFill>
                          <a:blip r:embed="rId14" cstate="print"/>
                          <a:stretch>
                            <a:fillRect/>
                          </a:stretch>
                        </pic:blipFill>
                        <pic:spPr>
                          <a:xfrm>
                            <a:off x="0" y="0"/>
                            <a:ext cx="108661" cy="118122"/>
                          </a:xfrm>
                          <a:prstGeom prst="rect">
                            <a:avLst/>
                          </a:prstGeom>
                        </pic:spPr>
                      </pic:pic>
                    </a:graphicData>
                  </a:graphic>
                </wp:inline>
              </w:drawing>
            </w:r>
            <w:r>
              <w:rPr>
                <w:rFonts w:hint="eastAsia" w:ascii="宋体" w:hAnsi="宋体" w:eastAsia="宋体" w:cs="宋体"/>
                <w:b/>
                <w:sz w:val="16"/>
                <w:szCs w:val="28"/>
              </w:rPr>
              <w:t>套餐四：组合套餐</w:t>
            </w:r>
          </w:p>
        </w:tc>
      </w:tr>
      <w:tr w14:paraId="1D6FF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657" w:hRule="atLeast"/>
        </w:trPr>
        <w:tc>
          <w:tcPr>
            <w:tcW w:w="3736" w:type="dxa"/>
            <w:gridSpan w:val="8"/>
          </w:tcPr>
          <w:p w14:paraId="2F548CE1">
            <w:pPr>
              <w:pStyle w:val="92"/>
              <w:spacing w:before="144"/>
              <w:ind w:left="25"/>
              <w:rPr>
                <w:rFonts w:hint="eastAsia" w:ascii="宋体" w:hAnsi="宋体" w:eastAsia="宋体" w:cs="宋体"/>
                <w:sz w:val="18"/>
                <w:szCs w:val="28"/>
              </w:rPr>
            </w:pPr>
            <w:r>
              <w:rPr>
                <w:rFonts w:hint="eastAsia" w:ascii="宋体" w:hAnsi="宋体" w:eastAsia="宋体" w:cs="宋体"/>
                <w:b/>
                <w:spacing w:val="4"/>
                <w:w w:val="101"/>
                <w:sz w:val="16"/>
                <w:szCs w:val="28"/>
              </w:rPr>
              <w:t>甲方各时段电能量价格</w:t>
            </w:r>
            <w:r>
              <w:rPr>
                <w:rFonts w:hint="eastAsia" w:ascii="宋体" w:hAnsi="宋体" w:eastAsia="宋体" w:cs="宋体"/>
                <w:b/>
                <w:spacing w:val="2"/>
                <w:w w:val="101"/>
                <w:sz w:val="16"/>
                <w:szCs w:val="28"/>
              </w:rPr>
              <w:t>P</w:t>
            </w:r>
            <w:r>
              <w:rPr>
                <w:rFonts w:hint="eastAsia" w:ascii="宋体" w:hAnsi="宋体" w:eastAsia="宋体" w:cs="宋体"/>
                <w:b/>
                <w:spacing w:val="1"/>
                <w:w w:val="74"/>
                <w:sz w:val="16"/>
                <w:szCs w:val="28"/>
                <w:vertAlign w:val="subscript"/>
              </w:rPr>
              <w:t>4</w:t>
            </w:r>
            <w:r>
              <w:rPr>
                <w:rFonts w:hint="eastAsia" w:ascii="宋体" w:hAnsi="宋体" w:eastAsia="宋体" w:cs="宋体"/>
                <w:b/>
                <w:spacing w:val="3"/>
                <w:w w:val="74"/>
                <w:sz w:val="16"/>
                <w:szCs w:val="28"/>
                <w:vertAlign w:val="subscript"/>
              </w:rPr>
              <w:t>T</w:t>
            </w:r>
            <w:r>
              <w:rPr>
                <w:rFonts w:hint="eastAsia" w:ascii="宋体" w:hAnsi="宋体" w:eastAsia="宋体" w:cs="宋体"/>
                <w:b/>
                <w:w w:val="101"/>
                <w:sz w:val="16"/>
                <w:szCs w:val="28"/>
                <w:vertAlign w:val="baseline"/>
              </w:rPr>
              <w:t>=</w:t>
            </w:r>
            <w:r>
              <w:rPr>
                <w:rFonts w:hint="eastAsia" w:ascii="宋体" w:hAnsi="宋体" w:eastAsia="宋体" w:cs="宋体"/>
                <w:spacing w:val="-6"/>
                <w:w w:val="101"/>
                <w:sz w:val="25"/>
                <w:vertAlign w:val="baseline"/>
              </w:rPr>
              <w:t></w:t>
            </w:r>
            <w:r>
              <w:rPr>
                <w:rFonts w:hint="eastAsia" w:ascii="宋体" w:hAnsi="宋体" w:eastAsia="宋体" w:cs="宋体"/>
                <w:w w:val="99"/>
                <w:position w:val="4"/>
                <w:sz w:val="17"/>
                <w:vertAlign w:val="baseline"/>
              </w:rPr>
              <w:t>(</w:t>
            </w:r>
            <w:r>
              <w:rPr>
                <w:rFonts w:hint="eastAsia" w:ascii="宋体" w:hAnsi="宋体" w:eastAsia="宋体" w:cs="宋体"/>
                <w:spacing w:val="-20"/>
                <w:w w:val="99"/>
                <w:position w:val="4"/>
                <w:sz w:val="17"/>
                <w:vertAlign w:val="baseline"/>
              </w:rPr>
              <w:t>P</w:t>
            </w:r>
            <w:r>
              <w:rPr>
                <w:rFonts w:hint="eastAsia" w:ascii="宋体" w:hAnsi="宋体" w:eastAsia="宋体" w:cs="宋体"/>
                <w:w w:val="98"/>
                <w:position w:val="4"/>
                <w:sz w:val="10"/>
                <w:vertAlign w:val="baseline"/>
              </w:rPr>
              <w:t>iT</w:t>
            </w:r>
            <w:r>
              <w:rPr>
                <w:rFonts w:hint="eastAsia" w:ascii="宋体" w:hAnsi="宋体" w:eastAsia="宋体" w:cs="宋体"/>
                <w:spacing w:val="-13"/>
                <w:position w:val="4"/>
                <w:sz w:val="10"/>
                <w:vertAlign w:val="baseline"/>
              </w:rPr>
              <w:t xml:space="preserve"> </w:t>
            </w:r>
            <w:r>
              <w:rPr>
                <w:rFonts w:hint="eastAsia" w:ascii="宋体" w:hAnsi="宋体" w:eastAsia="宋体" w:cs="宋体"/>
                <w:spacing w:val="9"/>
                <w:w w:val="99"/>
                <w:position w:val="4"/>
                <w:sz w:val="17"/>
                <w:vertAlign w:val="baseline"/>
              </w:rPr>
              <w:t>*</w:t>
            </w:r>
            <w:r>
              <w:rPr>
                <w:rFonts w:hint="eastAsia" w:ascii="宋体" w:hAnsi="宋体" w:eastAsia="宋体" w:cs="宋体"/>
                <w:spacing w:val="-17"/>
                <w:w w:val="99"/>
                <w:position w:val="4"/>
                <w:sz w:val="17"/>
                <w:vertAlign w:val="baseline"/>
              </w:rPr>
              <w:t>K</w:t>
            </w:r>
            <w:r>
              <w:rPr>
                <w:rFonts w:hint="eastAsia" w:ascii="宋体" w:hAnsi="宋体" w:eastAsia="宋体" w:cs="宋体"/>
                <w:spacing w:val="-4"/>
                <w:w w:val="98"/>
                <w:position w:val="4"/>
                <w:sz w:val="10"/>
                <w:vertAlign w:val="baseline"/>
              </w:rPr>
              <w:t>i</w:t>
            </w:r>
            <w:r>
              <w:rPr>
                <w:rFonts w:hint="eastAsia" w:ascii="宋体" w:hAnsi="宋体" w:eastAsia="宋体" w:cs="宋体"/>
                <w:w w:val="99"/>
                <w:position w:val="4"/>
                <w:sz w:val="17"/>
                <w:vertAlign w:val="baseline"/>
              </w:rPr>
              <w:t>%)</w:t>
            </w:r>
          </w:p>
        </w:tc>
        <w:tc>
          <w:tcPr>
            <w:tcW w:w="5782" w:type="dxa"/>
            <w:gridSpan w:val="12"/>
          </w:tcPr>
          <w:p w14:paraId="546ABB6D">
            <w:pPr>
              <w:pStyle w:val="92"/>
              <w:spacing w:before="17"/>
              <w:ind w:left="25"/>
              <w:rPr>
                <w:rFonts w:hint="eastAsia" w:ascii="宋体" w:hAnsi="宋体" w:eastAsia="宋体" w:cs="宋体"/>
                <w:b/>
                <w:sz w:val="16"/>
                <w:szCs w:val="28"/>
              </w:rPr>
            </w:pPr>
            <w:r>
              <w:rPr>
                <w:rFonts w:hint="eastAsia" w:ascii="宋体" w:hAnsi="宋体" w:eastAsia="宋体" w:cs="宋体"/>
                <w:b/>
                <w:sz w:val="16"/>
                <w:szCs w:val="28"/>
              </w:rPr>
              <w:t>可在套餐一、二、三中选择两种套餐进行组合，电能量比例系数之和为100%。</w:t>
            </w:r>
          </w:p>
          <w:p w14:paraId="4B182382">
            <w:pPr>
              <w:pStyle w:val="92"/>
              <w:spacing w:before="4"/>
              <w:rPr>
                <w:rFonts w:hint="eastAsia" w:ascii="宋体" w:hAnsi="宋体" w:eastAsia="宋体" w:cs="宋体"/>
                <w:b/>
                <w:sz w:val="15"/>
                <w:szCs w:val="28"/>
              </w:rPr>
            </w:pPr>
          </w:p>
          <w:p w14:paraId="306EFBA1">
            <w:pPr>
              <w:pStyle w:val="92"/>
              <w:tabs>
                <w:tab w:val="left" w:pos="1112"/>
                <w:tab w:val="left" w:pos="1561"/>
                <w:tab w:val="left" w:pos="2439"/>
                <w:tab w:val="left" w:pos="2925"/>
                <w:tab w:val="left" w:pos="3847"/>
              </w:tabs>
              <w:ind w:left="207"/>
              <w:rPr>
                <w:rFonts w:hint="eastAsia" w:ascii="宋体" w:hAnsi="宋体" w:eastAsia="宋体" w:cs="宋体"/>
                <w:b/>
                <w:sz w:val="16"/>
                <w:szCs w:val="28"/>
              </w:rPr>
            </w:pPr>
            <w:r>
              <w:rPr>
                <w:rFonts w:hint="eastAsia" w:ascii="宋体" w:hAnsi="宋体" w:eastAsia="宋体" w:cs="宋体"/>
                <w:position w:val="1"/>
                <w:sz w:val="28"/>
                <w:szCs w:val="28"/>
              </w:rPr>
              <w:drawing>
                <wp:inline distT="0" distB="0" distL="0" distR="0">
                  <wp:extent cx="109220" cy="115570"/>
                  <wp:effectExtent l="0" t="0" r="5080" b="1143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png"/>
                          <pic:cNvPicPr>
                            <a:picLocks noChangeAspect="1"/>
                          </pic:cNvPicPr>
                        </pic:nvPicPr>
                        <pic:blipFill>
                          <a:blip r:embed="rId15" cstate="print"/>
                          <a:stretch>
                            <a:fillRect/>
                          </a:stretch>
                        </pic:blipFill>
                        <pic:spPr>
                          <a:xfrm>
                            <a:off x="0" y="0"/>
                            <a:ext cx="109550" cy="115862"/>
                          </a:xfrm>
                          <a:prstGeom prst="rect">
                            <a:avLst/>
                          </a:prstGeom>
                        </pic:spPr>
                      </pic:pic>
                    </a:graphicData>
                  </a:graphic>
                </wp:inline>
              </w:drawing>
            </w:r>
            <w:r>
              <w:rPr>
                <w:rFonts w:hint="eastAsia" w:ascii="宋体" w:hAnsi="宋体" w:eastAsia="宋体" w:cs="宋体"/>
                <w:b/>
                <w:spacing w:val="2"/>
                <w:position w:val="2"/>
                <w:sz w:val="16"/>
                <w:szCs w:val="28"/>
              </w:rPr>
              <w:t>K</w:t>
            </w:r>
            <w:r>
              <w:rPr>
                <w:rFonts w:hint="eastAsia" w:ascii="宋体" w:hAnsi="宋体" w:eastAsia="宋体" w:cs="宋体"/>
                <w:b/>
                <w:spacing w:val="2"/>
                <w:position w:val="2"/>
                <w:sz w:val="10"/>
                <w:szCs w:val="28"/>
              </w:rPr>
              <w:t>1</w:t>
            </w:r>
            <w:r>
              <w:rPr>
                <w:rFonts w:hint="eastAsia" w:ascii="宋体" w:hAnsi="宋体" w:eastAsia="宋体" w:cs="宋体"/>
                <w:b/>
                <w:spacing w:val="2"/>
                <w:position w:val="2"/>
                <w:sz w:val="16"/>
                <w:szCs w:val="28"/>
              </w:rPr>
              <w:t>%=</w:t>
            </w:r>
            <w:r>
              <w:rPr>
                <w:rFonts w:hint="eastAsia" w:ascii="宋体" w:hAnsi="宋体" w:eastAsia="宋体" w:cs="宋体"/>
                <w:b/>
                <w:spacing w:val="2"/>
                <w:position w:val="2"/>
                <w:sz w:val="16"/>
                <w:szCs w:val="28"/>
                <w:u w:val="single"/>
              </w:rPr>
              <w:t xml:space="preserve"> </w:t>
            </w:r>
            <w:r>
              <w:rPr>
                <w:rFonts w:hint="eastAsia" w:ascii="宋体" w:hAnsi="宋体" w:eastAsia="宋体" w:cs="宋体"/>
                <w:b/>
                <w:spacing w:val="2"/>
                <w:position w:val="2"/>
                <w:sz w:val="16"/>
                <w:szCs w:val="28"/>
                <w:u w:val="single"/>
              </w:rPr>
              <w:tab/>
            </w:r>
            <w:r>
              <w:rPr>
                <w:rFonts w:hint="eastAsia" w:ascii="宋体" w:hAnsi="宋体" w:eastAsia="宋体" w:cs="宋体"/>
                <w:b/>
                <w:position w:val="2"/>
                <w:sz w:val="16"/>
                <w:szCs w:val="28"/>
                <w:u w:val="single"/>
              </w:rPr>
              <w:t>%</w:t>
            </w:r>
            <w:r>
              <w:rPr>
                <w:rFonts w:hint="eastAsia" w:ascii="宋体" w:hAnsi="宋体" w:eastAsia="宋体" w:cs="宋体"/>
                <w:b/>
                <w:position w:val="2"/>
                <w:sz w:val="16"/>
                <w:szCs w:val="28"/>
              </w:rPr>
              <w:tab/>
            </w:r>
            <w:r>
              <w:rPr>
                <w:rFonts w:hint="eastAsia" w:ascii="宋体" w:hAnsi="宋体" w:eastAsia="宋体" w:cs="宋体"/>
                <w:b/>
                <w:sz w:val="16"/>
                <w:szCs w:val="28"/>
              </w:rPr>
              <w:drawing>
                <wp:inline distT="0" distB="0" distL="0" distR="0">
                  <wp:extent cx="108585" cy="114935"/>
                  <wp:effectExtent l="0" t="0" r="5715" b="12065"/>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png"/>
                          <pic:cNvPicPr>
                            <a:picLocks noChangeAspect="1"/>
                          </pic:cNvPicPr>
                        </pic:nvPicPr>
                        <pic:blipFill>
                          <a:blip r:embed="rId16" cstate="print"/>
                          <a:stretch>
                            <a:fillRect/>
                          </a:stretch>
                        </pic:blipFill>
                        <pic:spPr>
                          <a:xfrm>
                            <a:off x="0" y="0"/>
                            <a:ext cx="109105" cy="115417"/>
                          </a:xfrm>
                          <a:prstGeom prst="rect">
                            <a:avLst/>
                          </a:prstGeom>
                        </pic:spPr>
                      </pic:pic>
                    </a:graphicData>
                  </a:graphic>
                </wp:inline>
              </w:drawing>
            </w:r>
            <w:r>
              <w:rPr>
                <w:rFonts w:hint="eastAsia" w:ascii="宋体" w:hAnsi="宋体" w:eastAsia="宋体" w:cs="宋体"/>
                <w:b/>
                <w:spacing w:val="2"/>
                <w:position w:val="2"/>
                <w:sz w:val="16"/>
                <w:szCs w:val="28"/>
              </w:rPr>
              <w:t>K</w:t>
            </w:r>
            <w:r>
              <w:rPr>
                <w:rFonts w:hint="eastAsia" w:ascii="宋体" w:hAnsi="宋体" w:eastAsia="宋体" w:cs="宋体"/>
                <w:b/>
                <w:spacing w:val="2"/>
                <w:position w:val="2"/>
                <w:sz w:val="10"/>
                <w:szCs w:val="28"/>
              </w:rPr>
              <w:t>2</w:t>
            </w:r>
            <w:r>
              <w:rPr>
                <w:rFonts w:hint="eastAsia" w:ascii="宋体" w:hAnsi="宋体" w:eastAsia="宋体" w:cs="宋体"/>
                <w:b/>
                <w:spacing w:val="2"/>
                <w:position w:val="2"/>
                <w:sz w:val="16"/>
                <w:szCs w:val="28"/>
              </w:rPr>
              <w:t>%=</w:t>
            </w:r>
            <w:r>
              <w:rPr>
                <w:rFonts w:hint="eastAsia" w:ascii="宋体" w:hAnsi="宋体" w:eastAsia="宋体" w:cs="宋体"/>
                <w:b/>
                <w:spacing w:val="2"/>
                <w:position w:val="2"/>
                <w:sz w:val="16"/>
                <w:szCs w:val="28"/>
                <w:u w:val="single"/>
              </w:rPr>
              <w:t xml:space="preserve"> </w:t>
            </w:r>
            <w:r>
              <w:rPr>
                <w:rFonts w:hint="eastAsia" w:ascii="宋体" w:hAnsi="宋体" w:eastAsia="宋体" w:cs="宋体"/>
                <w:b/>
                <w:spacing w:val="2"/>
                <w:position w:val="2"/>
                <w:sz w:val="16"/>
                <w:szCs w:val="28"/>
                <w:u w:val="single"/>
              </w:rPr>
              <w:tab/>
            </w:r>
            <w:r>
              <w:rPr>
                <w:rFonts w:hint="eastAsia" w:ascii="宋体" w:hAnsi="宋体" w:eastAsia="宋体" w:cs="宋体"/>
                <w:b/>
                <w:position w:val="2"/>
                <w:sz w:val="16"/>
                <w:szCs w:val="28"/>
                <w:u w:val="single"/>
              </w:rPr>
              <w:t>%</w:t>
            </w:r>
            <w:r>
              <w:rPr>
                <w:rFonts w:hint="eastAsia" w:ascii="宋体" w:hAnsi="宋体" w:eastAsia="宋体" w:cs="宋体"/>
                <w:b/>
                <w:position w:val="2"/>
                <w:sz w:val="16"/>
                <w:szCs w:val="28"/>
              </w:rPr>
              <w:tab/>
            </w:r>
            <w:r>
              <w:rPr>
                <w:rFonts w:hint="eastAsia" w:ascii="宋体" w:hAnsi="宋体" w:eastAsia="宋体" w:cs="宋体"/>
                <w:b/>
                <w:position w:val="-1"/>
                <w:sz w:val="16"/>
                <w:szCs w:val="28"/>
              </w:rPr>
              <w:drawing>
                <wp:inline distT="0" distB="0" distL="0" distR="0">
                  <wp:extent cx="109220" cy="114935"/>
                  <wp:effectExtent l="0" t="0" r="5080" b="12065"/>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png"/>
                          <pic:cNvPicPr>
                            <a:picLocks noChangeAspect="1"/>
                          </pic:cNvPicPr>
                        </pic:nvPicPr>
                        <pic:blipFill>
                          <a:blip r:embed="rId17" cstate="print"/>
                          <a:stretch>
                            <a:fillRect/>
                          </a:stretch>
                        </pic:blipFill>
                        <pic:spPr>
                          <a:xfrm>
                            <a:off x="0" y="0"/>
                            <a:ext cx="109550" cy="115417"/>
                          </a:xfrm>
                          <a:prstGeom prst="rect">
                            <a:avLst/>
                          </a:prstGeom>
                        </pic:spPr>
                      </pic:pic>
                    </a:graphicData>
                  </a:graphic>
                </wp:inline>
              </w:drawing>
            </w:r>
            <w:r>
              <w:rPr>
                <w:rFonts w:hint="eastAsia" w:ascii="宋体" w:hAnsi="宋体" w:eastAsia="宋体" w:cs="宋体"/>
                <w:b/>
                <w:spacing w:val="2"/>
                <w:position w:val="2"/>
                <w:sz w:val="16"/>
                <w:szCs w:val="28"/>
              </w:rPr>
              <w:t>K</w:t>
            </w:r>
            <w:r>
              <w:rPr>
                <w:rFonts w:hint="eastAsia" w:ascii="宋体" w:hAnsi="宋体" w:eastAsia="宋体" w:cs="宋体"/>
                <w:b/>
                <w:spacing w:val="2"/>
                <w:position w:val="2"/>
                <w:sz w:val="10"/>
                <w:szCs w:val="28"/>
              </w:rPr>
              <w:t>3</w:t>
            </w:r>
            <w:r>
              <w:rPr>
                <w:rFonts w:hint="eastAsia" w:ascii="宋体" w:hAnsi="宋体" w:eastAsia="宋体" w:cs="宋体"/>
                <w:b/>
                <w:spacing w:val="2"/>
                <w:position w:val="2"/>
                <w:sz w:val="16"/>
                <w:szCs w:val="28"/>
              </w:rPr>
              <w:t>%=</w:t>
            </w:r>
            <w:r>
              <w:rPr>
                <w:rFonts w:hint="eastAsia" w:ascii="宋体" w:hAnsi="宋体" w:eastAsia="宋体" w:cs="宋体"/>
                <w:b/>
                <w:spacing w:val="2"/>
                <w:position w:val="2"/>
                <w:sz w:val="16"/>
                <w:szCs w:val="28"/>
                <w:u w:val="single"/>
              </w:rPr>
              <w:t xml:space="preserve"> </w:t>
            </w:r>
            <w:r>
              <w:rPr>
                <w:rFonts w:hint="eastAsia" w:ascii="宋体" w:hAnsi="宋体" w:eastAsia="宋体" w:cs="宋体"/>
                <w:b/>
                <w:spacing w:val="2"/>
                <w:position w:val="2"/>
                <w:sz w:val="16"/>
                <w:szCs w:val="28"/>
                <w:u w:val="single"/>
              </w:rPr>
              <w:tab/>
            </w:r>
            <w:r>
              <w:rPr>
                <w:rFonts w:hint="eastAsia" w:ascii="宋体" w:hAnsi="宋体" w:eastAsia="宋体" w:cs="宋体"/>
                <w:b/>
                <w:position w:val="2"/>
                <w:sz w:val="16"/>
                <w:szCs w:val="28"/>
                <w:u w:val="single"/>
              </w:rPr>
              <w:t>%</w:t>
            </w:r>
          </w:p>
        </w:tc>
      </w:tr>
      <w:tr w14:paraId="52462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380" w:hRule="atLeast"/>
        </w:trPr>
        <w:tc>
          <w:tcPr>
            <w:tcW w:w="2845" w:type="dxa"/>
            <w:gridSpan w:val="6"/>
          </w:tcPr>
          <w:p w14:paraId="7E780D80">
            <w:pPr>
              <w:pStyle w:val="92"/>
              <w:spacing w:before="105"/>
              <w:ind w:left="54"/>
              <w:rPr>
                <w:rFonts w:hint="eastAsia" w:ascii="宋体" w:hAnsi="宋体" w:eastAsia="宋体" w:cs="宋体"/>
                <w:b/>
                <w:sz w:val="16"/>
                <w:szCs w:val="28"/>
              </w:rPr>
            </w:pPr>
            <w:r>
              <w:rPr>
                <w:rFonts w:hint="eastAsia" w:ascii="宋体" w:hAnsi="宋体" w:eastAsia="宋体" w:cs="宋体"/>
                <w:position w:val="-2"/>
                <w:sz w:val="28"/>
                <w:szCs w:val="28"/>
              </w:rPr>
              <w:drawing>
                <wp:inline distT="0" distB="0" distL="0" distR="0">
                  <wp:extent cx="109220" cy="114300"/>
                  <wp:effectExtent l="0" t="0" r="5080" b="0"/>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9.png"/>
                          <pic:cNvPicPr>
                            <a:picLocks noChangeAspect="1"/>
                          </pic:cNvPicPr>
                        </pic:nvPicPr>
                        <pic:blipFill>
                          <a:blip r:embed="rId18" cstate="print"/>
                          <a:stretch>
                            <a:fillRect/>
                          </a:stretch>
                        </pic:blipFill>
                        <pic:spPr>
                          <a:xfrm>
                            <a:off x="0" y="0"/>
                            <a:ext cx="109336" cy="114300"/>
                          </a:xfrm>
                          <a:prstGeom prst="rect">
                            <a:avLst/>
                          </a:prstGeom>
                        </pic:spPr>
                      </pic:pic>
                    </a:graphicData>
                  </a:graphic>
                </wp:inline>
              </w:drawing>
            </w:r>
            <w:r>
              <w:rPr>
                <w:rFonts w:hint="eastAsia" w:ascii="宋体" w:hAnsi="宋体" w:eastAsia="宋体" w:cs="宋体"/>
                <w:b/>
                <w:sz w:val="16"/>
                <w:szCs w:val="28"/>
              </w:rPr>
              <w:t>套餐五：绿电套餐</w:t>
            </w:r>
          </w:p>
        </w:tc>
        <w:tc>
          <w:tcPr>
            <w:tcW w:w="6673" w:type="dxa"/>
            <w:gridSpan w:val="14"/>
          </w:tcPr>
          <w:p w14:paraId="730C1070">
            <w:pPr>
              <w:pStyle w:val="92"/>
              <w:spacing w:before="10" w:line="190" w:lineRule="atLeast"/>
              <w:ind w:left="25" w:right="89"/>
              <w:rPr>
                <w:rFonts w:hint="eastAsia" w:ascii="宋体" w:hAnsi="宋体" w:eastAsia="宋体" w:cs="宋体"/>
                <w:b/>
                <w:sz w:val="16"/>
                <w:szCs w:val="28"/>
              </w:rPr>
            </w:pPr>
            <w:r>
              <w:rPr>
                <w:rFonts w:hint="eastAsia" w:ascii="宋体" w:hAnsi="宋体" w:eastAsia="宋体" w:cs="宋体"/>
                <w:b/>
                <w:sz w:val="16"/>
                <w:szCs w:val="28"/>
              </w:rPr>
              <w:t>仅约定绿色电力环境价值，甲方绿电交易合同电量按每月乙方分配给甲方的绿电交易合同电量计算，绿电电能量各时段价格=甲方各时段电能量价格</w:t>
            </w:r>
          </w:p>
        </w:tc>
      </w:tr>
      <w:tr w14:paraId="54DAB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485" w:hRule="atLeast"/>
        </w:trPr>
        <w:tc>
          <w:tcPr>
            <w:tcW w:w="2114" w:type="dxa"/>
            <w:gridSpan w:val="4"/>
          </w:tcPr>
          <w:p w14:paraId="3C1FD7D7">
            <w:pPr>
              <w:pStyle w:val="92"/>
              <w:spacing w:before="8"/>
              <w:rPr>
                <w:rFonts w:hint="eastAsia" w:ascii="宋体" w:hAnsi="宋体" w:eastAsia="宋体" w:cs="宋体"/>
                <w:b/>
                <w:sz w:val="13"/>
                <w:szCs w:val="28"/>
              </w:rPr>
            </w:pPr>
          </w:p>
          <w:p w14:paraId="1CA016DB">
            <w:pPr>
              <w:pStyle w:val="92"/>
              <w:ind w:left="52"/>
              <w:rPr>
                <w:rFonts w:hint="eastAsia" w:ascii="宋体" w:hAnsi="宋体" w:eastAsia="宋体" w:cs="宋体"/>
                <w:b/>
                <w:sz w:val="8"/>
                <w:szCs w:val="28"/>
              </w:rPr>
            </w:pPr>
            <w:r>
              <w:rPr>
                <w:rFonts w:hint="eastAsia" w:ascii="宋体" w:hAnsi="宋体" w:eastAsia="宋体" w:cs="宋体"/>
                <w:b/>
                <w:position w:val="2"/>
                <w:sz w:val="16"/>
                <w:szCs w:val="28"/>
              </w:rPr>
              <w:t>甲方绿色电力环境价值P</w:t>
            </w:r>
            <w:r>
              <w:rPr>
                <w:rFonts w:hint="eastAsia" w:ascii="宋体" w:hAnsi="宋体" w:eastAsia="宋体" w:cs="宋体"/>
                <w:b/>
                <w:sz w:val="8"/>
                <w:szCs w:val="28"/>
              </w:rPr>
              <w:t>绿证</w:t>
            </w:r>
          </w:p>
        </w:tc>
        <w:tc>
          <w:tcPr>
            <w:tcW w:w="2549" w:type="dxa"/>
            <w:gridSpan w:val="5"/>
          </w:tcPr>
          <w:p w14:paraId="2DF38B34">
            <w:pPr>
              <w:pStyle w:val="92"/>
              <w:spacing w:before="37"/>
              <w:ind w:left="25" w:right="84" w:firstLine="108"/>
              <w:rPr>
                <w:rFonts w:hint="eastAsia" w:ascii="宋体" w:hAnsi="宋体" w:eastAsia="宋体" w:cs="宋体"/>
                <w:sz w:val="16"/>
                <w:szCs w:val="28"/>
              </w:rPr>
            </w:pPr>
            <w:r>
              <w:rPr>
                <w:rFonts w:hint="eastAsia" w:ascii="宋体" w:hAnsi="宋体" w:eastAsia="宋体" w:cs="宋体"/>
                <w:position w:val="-2"/>
                <w:sz w:val="28"/>
                <w:szCs w:val="28"/>
              </w:rPr>
              <w:drawing>
                <wp:inline distT="0" distB="0" distL="0" distR="0">
                  <wp:extent cx="113665" cy="123825"/>
                  <wp:effectExtent l="0" t="0" r="635" b="3175"/>
                  <wp:docPr id="6"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0.png"/>
                          <pic:cNvPicPr>
                            <a:picLocks noChangeAspect="1"/>
                          </pic:cNvPicPr>
                        </pic:nvPicPr>
                        <pic:blipFill>
                          <a:blip r:embed="rId19" cstate="print"/>
                          <a:stretch>
                            <a:fillRect/>
                          </a:stretch>
                        </pic:blipFill>
                        <pic:spPr>
                          <a:xfrm>
                            <a:off x="0" y="0"/>
                            <a:ext cx="113978" cy="123825"/>
                          </a:xfrm>
                          <a:prstGeom prst="rect">
                            <a:avLst/>
                          </a:prstGeom>
                        </pic:spPr>
                      </pic:pic>
                    </a:graphicData>
                  </a:graphic>
                </wp:inline>
              </w:drawing>
            </w:r>
            <w:r>
              <w:rPr>
                <w:rFonts w:hint="eastAsia" w:ascii="宋体" w:hAnsi="宋体" w:eastAsia="宋体" w:cs="宋体"/>
                <w:spacing w:val="-1"/>
                <w:sz w:val="16"/>
                <w:szCs w:val="28"/>
              </w:rPr>
              <w:t>乙方批发侧绿色电力交易绿色</w:t>
            </w:r>
            <w:r>
              <w:rPr>
                <w:rFonts w:hint="eastAsia" w:ascii="宋体" w:hAnsi="宋体" w:eastAsia="宋体" w:cs="宋体"/>
                <w:sz w:val="16"/>
                <w:szCs w:val="28"/>
              </w:rPr>
              <w:t>电力环境价值</w:t>
            </w:r>
          </w:p>
        </w:tc>
        <w:tc>
          <w:tcPr>
            <w:tcW w:w="1900" w:type="dxa"/>
            <w:gridSpan w:val="4"/>
          </w:tcPr>
          <w:p w14:paraId="526A2249">
            <w:pPr>
              <w:pStyle w:val="92"/>
              <w:tabs>
                <w:tab w:val="left" w:pos="1275"/>
              </w:tabs>
              <w:spacing w:before="139"/>
              <w:ind w:left="25" w:right="-15"/>
              <w:rPr>
                <w:rFonts w:hint="eastAsia" w:ascii="宋体" w:hAnsi="宋体" w:eastAsia="宋体" w:cs="宋体"/>
                <w:sz w:val="16"/>
                <w:szCs w:val="28"/>
              </w:rPr>
            </w:pPr>
            <w:r>
              <w:rPr>
                <w:rFonts w:hint="eastAsia" w:ascii="宋体" w:hAnsi="宋体" w:eastAsia="宋体" w:cs="宋体"/>
                <w:spacing w:val="24"/>
                <w:sz w:val="16"/>
                <w:szCs w:val="28"/>
              </w:rPr>
              <w:t>或</w:t>
            </w:r>
            <w:r>
              <w:rPr>
                <w:rFonts w:hint="eastAsia" w:ascii="宋体" w:hAnsi="宋体" w:eastAsia="宋体" w:cs="宋体"/>
                <w:spacing w:val="-72"/>
                <w:sz w:val="16"/>
                <w:szCs w:val="28"/>
              </w:rPr>
              <w:t xml:space="preserve"> </w:t>
            </w:r>
            <w:r>
              <w:rPr>
                <w:rFonts w:hint="eastAsia" w:ascii="宋体" w:hAnsi="宋体" w:eastAsia="宋体" w:cs="宋体"/>
                <w:spacing w:val="24"/>
                <w:w w:val="102"/>
                <w:position w:val="-2"/>
                <w:sz w:val="16"/>
                <w:szCs w:val="28"/>
              </w:rPr>
              <w:drawing>
                <wp:inline distT="0" distB="0" distL="0" distR="0">
                  <wp:extent cx="122555" cy="125730"/>
                  <wp:effectExtent l="0" t="0" r="4445" b="1270"/>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png"/>
                          <pic:cNvPicPr>
                            <a:picLocks noChangeAspect="1"/>
                          </pic:cNvPicPr>
                        </pic:nvPicPr>
                        <pic:blipFill>
                          <a:blip r:embed="rId20" cstate="print"/>
                          <a:stretch>
                            <a:fillRect/>
                          </a:stretch>
                        </pic:blipFill>
                        <pic:spPr>
                          <a:xfrm>
                            <a:off x="0" y="0"/>
                            <a:ext cx="122643" cy="125793"/>
                          </a:xfrm>
                          <a:prstGeom prst="rect">
                            <a:avLst/>
                          </a:prstGeom>
                        </pic:spPr>
                      </pic:pic>
                    </a:graphicData>
                  </a:graphic>
                </wp:inline>
              </w:drawing>
            </w:r>
            <w:r>
              <w:rPr>
                <w:rFonts w:hint="eastAsia" w:ascii="宋体" w:hAnsi="宋体" w:eastAsia="宋体" w:cs="宋体"/>
                <w:sz w:val="16"/>
                <w:szCs w:val="28"/>
                <w:u w:val="single"/>
              </w:rPr>
              <w:tab/>
            </w:r>
            <w:r>
              <w:rPr>
                <w:rFonts w:hint="eastAsia" w:ascii="宋体" w:hAnsi="宋体" w:eastAsia="宋体" w:cs="宋体"/>
                <w:sz w:val="16"/>
                <w:szCs w:val="28"/>
              </w:rPr>
              <w:t>元/兆瓦时</w:t>
            </w:r>
          </w:p>
        </w:tc>
        <w:tc>
          <w:tcPr>
            <w:tcW w:w="2955" w:type="dxa"/>
            <w:gridSpan w:val="7"/>
          </w:tcPr>
          <w:p w14:paraId="24BB867D">
            <w:pPr>
              <w:pStyle w:val="92"/>
              <w:tabs>
                <w:tab w:val="left" w:pos="1999"/>
              </w:tabs>
              <w:spacing w:before="57"/>
              <w:ind w:left="24" w:right="117"/>
              <w:rPr>
                <w:rFonts w:hint="eastAsia" w:ascii="宋体" w:hAnsi="宋体" w:eastAsia="宋体" w:cs="宋体"/>
                <w:sz w:val="16"/>
                <w:szCs w:val="28"/>
              </w:rPr>
            </w:pPr>
            <w:r>
              <w:rPr>
                <w:rFonts w:hint="eastAsia" w:ascii="宋体" w:hAnsi="宋体" w:eastAsia="宋体" w:cs="宋体"/>
                <w:sz w:val="16"/>
                <w:szCs w:val="28"/>
              </w:rPr>
              <w:t>绿色电力环境价值偏差补偿费用双方约</w:t>
            </w:r>
            <w:r>
              <w:rPr>
                <w:rFonts w:hint="eastAsia" w:ascii="宋体" w:hAnsi="宋体" w:eastAsia="宋体" w:cs="宋体"/>
                <w:spacing w:val="-11"/>
                <w:sz w:val="16"/>
                <w:szCs w:val="28"/>
              </w:rPr>
              <w:t>定</w:t>
            </w:r>
            <w:r>
              <w:rPr>
                <w:rFonts w:hint="eastAsia" w:ascii="宋体" w:hAnsi="宋体" w:eastAsia="宋体" w:cs="宋体"/>
                <w:sz w:val="16"/>
                <w:szCs w:val="28"/>
              </w:rPr>
              <w:t>甲方结算比</w:t>
            </w:r>
            <w:r>
              <w:rPr>
                <w:rFonts w:hint="eastAsia" w:ascii="宋体" w:hAnsi="宋体" w:eastAsia="宋体" w:cs="宋体"/>
                <w:spacing w:val="13"/>
                <w:sz w:val="16"/>
                <w:szCs w:val="28"/>
              </w:rPr>
              <w:t>例</w:t>
            </w:r>
            <w:r>
              <w:rPr>
                <w:rFonts w:hint="eastAsia" w:ascii="宋体" w:hAnsi="宋体" w:eastAsia="宋体" w:cs="宋体"/>
                <w:b/>
                <w:spacing w:val="4"/>
                <w:sz w:val="16"/>
                <w:szCs w:val="28"/>
              </w:rPr>
              <w:t>K</w:t>
            </w:r>
            <w:r>
              <w:rPr>
                <w:rFonts w:hint="eastAsia" w:ascii="宋体" w:hAnsi="宋体" w:eastAsia="宋体" w:cs="宋体"/>
                <w:b/>
                <w:sz w:val="10"/>
                <w:szCs w:val="28"/>
              </w:rPr>
              <w:t>绿</w:t>
            </w:r>
            <w:r>
              <w:rPr>
                <w:rFonts w:hint="eastAsia" w:ascii="宋体" w:hAnsi="宋体" w:eastAsia="宋体" w:cs="宋体"/>
                <w:b/>
                <w:spacing w:val="5"/>
                <w:sz w:val="10"/>
                <w:szCs w:val="28"/>
              </w:rPr>
              <w:t>补</w:t>
            </w:r>
            <w:r>
              <w:rPr>
                <w:rFonts w:hint="eastAsia" w:ascii="宋体" w:hAnsi="宋体" w:eastAsia="宋体" w:cs="宋体"/>
                <w:sz w:val="16"/>
                <w:szCs w:val="28"/>
              </w:rPr>
              <w:t>%=</w:t>
            </w:r>
            <w:r>
              <w:rPr>
                <w:rFonts w:hint="eastAsia" w:ascii="宋体" w:hAnsi="宋体" w:eastAsia="宋体" w:cs="宋体"/>
                <w:sz w:val="16"/>
                <w:szCs w:val="28"/>
                <w:u w:val="single"/>
              </w:rPr>
              <w:t xml:space="preserve"> </w:t>
            </w:r>
            <w:r>
              <w:rPr>
                <w:rFonts w:hint="eastAsia" w:ascii="宋体" w:hAnsi="宋体" w:eastAsia="宋体" w:cs="宋体"/>
                <w:sz w:val="16"/>
                <w:szCs w:val="28"/>
                <w:u w:val="single"/>
                <w:lang w:val="en-US" w:eastAsia="zh-CN"/>
              </w:rPr>
              <w:t xml:space="preserve">  </w:t>
            </w:r>
            <w:r>
              <w:rPr>
                <w:rFonts w:hint="eastAsia" w:ascii="宋体" w:hAnsi="宋体" w:eastAsia="宋体" w:cs="宋体"/>
                <w:sz w:val="16"/>
                <w:szCs w:val="28"/>
                <w:u w:val="single"/>
              </w:rPr>
              <w:tab/>
            </w:r>
            <w:r>
              <w:rPr>
                <w:rFonts w:hint="eastAsia" w:ascii="宋体" w:hAnsi="宋体" w:eastAsia="宋体" w:cs="宋体"/>
                <w:sz w:val="16"/>
                <w:szCs w:val="28"/>
              </w:rPr>
              <w:t>%</w:t>
            </w:r>
          </w:p>
        </w:tc>
      </w:tr>
      <w:tr w14:paraId="140B3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609" w:hRule="atLeast"/>
        </w:trPr>
        <w:tc>
          <w:tcPr>
            <w:tcW w:w="2114" w:type="dxa"/>
            <w:gridSpan w:val="4"/>
          </w:tcPr>
          <w:p w14:paraId="63AD4A5B">
            <w:pPr>
              <w:pStyle w:val="92"/>
              <w:spacing w:before="125" w:line="224" w:lineRule="exact"/>
              <w:ind w:left="53"/>
              <w:rPr>
                <w:rFonts w:hint="eastAsia" w:ascii="宋体" w:hAnsi="宋体" w:eastAsia="宋体" w:cs="宋体"/>
                <w:b/>
                <w:sz w:val="16"/>
                <w:szCs w:val="28"/>
              </w:rPr>
            </w:pPr>
            <w:r>
              <w:rPr>
                <w:rFonts w:hint="eastAsia" w:ascii="宋体" w:hAnsi="宋体" w:eastAsia="宋体" w:cs="宋体"/>
                <w:position w:val="-2"/>
                <w:sz w:val="28"/>
                <w:szCs w:val="28"/>
              </w:rPr>
              <w:drawing>
                <wp:inline distT="0" distB="0" distL="0" distR="0">
                  <wp:extent cx="109220" cy="114300"/>
                  <wp:effectExtent l="0" t="0" r="5080" b="0"/>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9.png"/>
                          <pic:cNvPicPr>
                            <a:picLocks noChangeAspect="1"/>
                          </pic:cNvPicPr>
                        </pic:nvPicPr>
                        <pic:blipFill>
                          <a:blip r:embed="rId18" cstate="print"/>
                          <a:stretch>
                            <a:fillRect/>
                          </a:stretch>
                        </pic:blipFill>
                        <pic:spPr>
                          <a:xfrm>
                            <a:off x="0" y="0"/>
                            <a:ext cx="109336" cy="114300"/>
                          </a:xfrm>
                          <a:prstGeom prst="rect">
                            <a:avLst/>
                          </a:prstGeom>
                        </pic:spPr>
                      </pic:pic>
                    </a:graphicData>
                  </a:graphic>
                </wp:inline>
              </w:drawing>
            </w:r>
            <w:r>
              <w:rPr>
                <w:rFonts w:hint="eastAsia" w:ascii="宋体" w:hAnsi="宋体" w:eastAsia="宋体" w:cs="宋体"/>
                <w:b/>
                <w:sz w:val="16"/>
                <w:szCs w:val="28"/>
              </w:rPr>
              <w:t>解约条款</w:t>
            </w:r>
          </w:p>
          <w:p w14:paraId="1B798234">
            <w:pPr>
              <w:pStyle w:val="92"/>
              <w:spacing w:line="160" w:lineRule="exact"/>
              <w:ind w:firstLine="160" w:firstLineChars="100"/>
              <w:rPr>
                <w:rFonts w:hint="eastAsia" w:ascii="宋体" w:hAnsi="宋体" w:eastAsia="宋体" w:cs="宋体"/>
                <w:sz w:val="16"/>
                <w:szCs w:val="28"/>
              </w:rPr>
            </w:pPr>
            <w:r>
              <w:rPr>
                <w:rFonts w:hint="eastAsia" w:ascii="宋体" w:hAnsi="宋体" w:eastAsia="宋体" w:cs="宋体"/>
                <w:sz w:val="16"/>
                <w:szCs w:val="28"/>
              </w:rPr>
              <w:t>（自愿勾选）</w:t>
            </w:r>
          </w:p>
        </w:tc>
        <w:tc>
          <w:tcPr>
            <w:tcW w:w="7404" w:type="dxa"/>
            <w:gridSpan w:val="16"/>
          </w:tcPr>
          <w:p w14:paraId="4FF4962A">
            <w:pPr>
              <w:pStyle w:val="92"/>
              <w:spacing w:before="29"/>
              <w:ind w:left="25" w:right="68"/>
              <w:rPr>
                <w:rFonts w:hint="eastAsia" w:ascii="宋体" w:hAnsi="宋体" w:eastAsia="宋体" w:cs="宋体"/>
                <w:b/>
                <w:sz w:val="16"/>
                <w:szCs w:val="28"/>
              </w:rPr>
            </w:pPr>
            <w:r>
              <w:rPr>
                <w:rFonts w:hint="eastAsia" w:ascii="宋体" w:hAnsi="宋体" w:eastAsia="宋体" w:cs="宋体"/>
                <w:b/>
                <w:sz w:val="16"/>
                <w:szCs w:val="28"/>
              </w:rPr>
              <w:t>甲乙双方约定：以当月全体售电公司批发侧结算均价的K</w:t>
            </w:r>
            <w:r>
              <w:rPr>
                <w:rFonts w:hint="eastAsia" w:ascii="宋体" w:hAnsi="宋体" w:eastAsia="宋体" w:cs="宋体"/>
                <w:b/>
                <w:sz w:val="10"/>
                <w:szCs w:val="28"/>
              </w:rPr>
              <w:t>解约</w:t>
            </w:r>
            <w:r>
              <w:rPr>
                <w:rFonts w:hint="eastAsia" w:ascii="宋体" w:hAnsi="宋体" w:eastAsia="宋体" w:cs="宋体"/>
                <w:b/>
                <w:sz w:val="16"/>
                <w:szCs w:val="28"/>
              </w:rPr>
              <w:t>%为解约触发费用值，当甲方按本合同计算的月度结算均价超过该值累计达3次时，甲方可选择单方面解除次月及后续月份的零售代理合同，甲方无违约责</w:t>
            </w:r>
            <w:r>
              <w:rPr>
                <w:rFonts w:hint="eastAsia" w:ascii="宋体" w:hAnsi="宋体" w:eastAsia="宋体" w:cs="宋体"/>
                <w:b/>
                <w:spacing w:val="5"/>
                <w:sz w:val="16"/>
                <w:szCs w:val="28"/>
              </w:rPr>
              <w:t>任。</w:t>
            </w:r>
            <w:r>
              <w:rPr>
                <w:rFonts w:hint="eastAsia" w:ascii="宋体" w:hAnsi="宋体" w:eastAsia="宋体" w:cs="宋体"/>
                <w:b/>
                <w:sz w:val="16"/>
                <w:szCs w:val="28"/>
              </w:rPr>
              <w:t>K</w:t>
            </w:r>
            <w:r>
              <w:rPr>
                <w:rFonts w:hint="eastAsia" w:ascii="宋体" w:hAnsi="宋体" w:eastAsia="宋体" w:cs="宋体"/>
                <w:b/>
                <w:sz w:val="10"/>
                <w:szCs w:val="28"/>
              </w:rPr>
              <w:t>解</w:t>
            </w:r>
            <w:r>
              <w:rPr>
                <w:rFonts w:hint="eastAsia" w:ascii="宋体" w:hAnsi="宋体" w:eastAsia="宋体" w:cs="宋体"/>
                <w:b/>
                <w:spacing w:val="7"/>
                <w:sz w:val="10"/>
                <w:szCs w:val="28"/>
              </w:rPr>
              <w:t>约</w:t>
            </w:r>
            <w:r>
              <w:rPr>
                <w:rFonts w:hint="eastAsia" w:ascii="宋体" w:hAnsi="宋体" w:eastAsia="宋体" w:cs="宋体"/>
                <w:b/>
                <w:sz w:val="16"/>
                <w:szCs w:val="28"/>
              </w:rPr>
              <w:t>%=</w:t>
            </w:r>
            <w:r>
              <w:rPr>
                <w:rFonts w:hint="eastAsia" w:ascii="宋体" w:hAnsi="宋体" w:eastAsia="宋体" w:cs="宋体"/>
                <w:b/>
                <w:sz w:val="16"/>
                <w:szCs w:val="28"/>
                <w:u w:val="single"/>
              </w:rPr>
              <w:t xml:space="preserve"> </w:t>
            </w:r>
            <w:r>
              <w:rPr>
                <w:rFonts w:hint="eastAsia" w:ascii="宋体" w:hAnsi="宋体" w:eastAsia="宋体" w:cs="宋体"/>
                <w:b/>
                <w:sz w:val="16"/>
                <w:szCs w:val="28"/>
                <w:u w:val="single"/>
              </w:rPr>
              <w:tab/>
            </w:r>
            <w:r>
              <w:rPr>
                <w:rFonts w:hint="eastAsia" w:ascii="宋体" w:hAnsi="宋体" w:eastAsia="宋体" w:cs="宋体"/>
                <w:b/>
                <w:sz w:val="16"/>
                <w:szCs w:val="28"/>
              </w:rPr>
              <w:t>%</w:t>
            </w:r>
          </w:p>
        </w:tc>
      </w:tr>
      <w:tr w14:paraId="56867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After w:val="1"/>
          <w:wAfter w:w="7" w:type="dxa"/>
          <w:trHeight w:val="2956" w:hRule="atLeast"/>
        </w:trPr>
        <w:tc>
          <w:tcPr>
            <w:tcW w:w="9518" w:type="dxa"/>
            <w:gridSpan w:val="20"/>
          </w:tcPr>
          <w:p w14:paraId="52557CA0">
            <w:pPr>
              <w:pStyle w:val="92"/>
              <w:numPr>
                <w:ilvl w:val="0"/>
                <w:numId w:val="0"/>
              </w:numPr>
              <w:tabs>
                <w:tab w:val="left" w:pos="262"/>
              </w:tabs>
              <w:spacing w:before="0" w:after="0" w:line="188" w:lineRule="exact"/>
              <w:ind w:left="24" w:leftChars="0" w:right="0" w:rightChars="0"/>
              <w:jc w:val="left"/>
              <w:rPr>
                <w:rFonts w:hint="eastAsia" w:ascii="宋体" w:hAnsi="宋体" w:eastAsia="宋体" w:cs="宋体"/>
                <w:sz w:val="16"/>
                <w:szCs w:val="28"/>
              </w:rPr>
            </w:pPr>
            <w:r>
              <w:rPr>
                <w:rFonts w:hint="eastAsia" w:ascii="宋体" w:hAnsi="宋体" w:eastAsia="宋体" w:cs="宋体"/>
                <w:sz w:val="16"/>
                <w:szCs w:val="28"/>
                <w:lang w:val="en-US" w:eastAsia="zh-CN"/>
              </w:rPr>
              <w:t>注：</w:t>
            </w:r>
          </w:p>
          <w:p w14:paraId="401468FB">
            <w:pPr>
              <w:pStyle w:val="92"/>
              <w:numPr>
                <w:ilvl w:val="0"/>
                <w:numId w:val="0"/>
              </w:numPr>
              <w:tabs>
                <w:tab w:val="left" w:pos="262"/>
              </w:tabs>
              <w:spacing w:before="0" w:after="0" w:line="188" w:lineRule="exact"/>
              <w:ind w:left="24" w:leftChars="0" w:right="0" w:rightChars="0"/>
              <w:jc w:val="left"/>
              <w:rPr>
                <w:rFonts w:hint="eastAsia" w:ascii="宋体" w:hAnsi="宋体" w:eastAsia="宋体" w:cs="宋体"/>
                <w:sz w:val="16"/>
                <w:szCs w:val="28"/>
              </w:rPr>
            </w:pPr>
            <w:r>
              <w:rPr>
                <w:rFonts w:hint="eastAsia" w:ascii="宋体" w:hAnsi="宋体" w:eastAsia="宋体" w:cs="宋体"/>
                <w:sz w:val="16"/>
                <w:szCs w:val="28"/>
                <w:lang w:val="en-US" w:eastAsia="zh-CN"/>
              </w:rPr>
              <w:t>1.甲方各时段电能量按照约定的零售套餐价格结算。常规电量单位为兆瓦时（保留三位小数），绿电电量单位为兆瓦时（整数）；电价（含税）单位为元/兆瓦时（保留三位小数）；比例为%。</w:t>
            </w:r>
          </w:p>
          <w:p w14:paraId="0B341828">
            <w:pPr>
              <w:pStyle w:val="92"/>
              <w:numPr>
                <w:ilvl w:val="0"/>
                <w:numId w:val="0"/>
              </w:numPr>
              <w:tabs>
                <w:tab w:val="left" w:pos="262"/>
              </w:tabs>
              <w:spacing w:before="0" w:after="0" w:line="188" w:lineRule="exact"/>
              <w:ind w:left="24" w:leftChars="0" w:right="0" w:rightChars="0"/>
              <w:jc w:val="left"/>
              <w:rPr>
                <w:rFonts w:hint="eastAsia" w:ascii="宋体" w:hAnsi="宋体" w:eastAsia="宋体" w:cs="宋体"/>
                <w:sz w:val="16"/>
                <w:szCs w:val="28"/>
              </w:rPr>
            </w:pPr>
            <w:r>
              <w:rPr>
                <w:rFonts w:hint="eastAsia" w:ascii="宋体" w:hAnsi="宋体" w:eastAsia="宋体" w:cs="宋体"/>
                <w:sz w:val="16"/>
                <w:szCs w:val="28"/>
                <w:lang w:val="en-US" w:eastAsia="zh-CN"/>
              </w:rPr>
              <w:t>2.套餐一电能量占比K</w:t>
            </w:r>
            <w:r>
              <w:rPr>
                <w:rFonts w:hint="eastAsia" w:ascii="宋体" w:hAnsi="宋体" w:eastAsia="宋体" w:cs="宋体"/>
                <w:sz w:val="16"/>
                <w:szCs w:val="28"/>
                <w:vertAlign w:val="subscript"/>
                <w:lang w:val="en-US" w:eastAsia="zh-CN"/>
              </w:rPr>
              <w:t>1</w:t>
            </w:r>
            <w:r>
              <w:rPr>
                <w:rFonts w:hint="eastAsia" w:ascii="宋体" w:hAnsi="宋体" w:eastAsia="宋体" w:cs="宋体"/>
                <w:sz w:val="16"/>
                <w:szCs w:val="28"/>
                <w:lang w:val="en-US" w:eastAsia="zh-CN"/>
              </w:rPr>
              <w:t>%不高于50%（以《安徽电力中长期交易实施方案（2026年版）》公布数值为准），不能单独选择，需与套餐二或套餐三形成组合套餐；套餐二或套餐三可以单独选择（单独选择时K</w:t>
            </w:r>
            <w:r>
              <w:rPr>
                <w:rFonts w:hint="eastAsia" w:ascii="宋体" w:hAnsi="宋体" w:eastAsia="宋体" w:cs="宋体"/>
                <w:sz w:val="16"/>
                <w:szCs w:val="28"/>
                <w:vertAlign w:val="subscript"/>
                <w:lang w:val="en-US" w:eastAsia="zh-CN"/>
              </w:rPr>
              <w:t>2</w:t>
            </w:r>
            <w:r>
              <w:rPr>
                <w:rFonts w:hint="eastAsia" w:ascii="宋体" w:hAnsi="宋体" w:eastAsia="宋体" w:cs="宋体"/>
                <w:sz w:val="16"/>
                <w:szCs w:val="28"/>
                <w:lang w:val="en-US" w:eastAsia="zh-CN"/>
              </w:rPr>
              <w:t>或K</w:t>
            </w:r>
            <w:r>
              <w:rPr>
                <w:rFonts w:hint="eastAsia" w:ascii="宋体" w:hAnsi="宋体" w:eastAsia="宋体" w:cs="宋体"/>
                <w:sz w:val="16"/>
                <w:szCs w:val="28"/>
                <w:vertAlign w:val="subscript"/>
                <w:lang w:val="en-US" w:eastAsia="zh-CN"/>
              </w:rPr>
              <w:t>3</w:t>
            </w:r>
            <w:r>
              <w:rPr>
                <w:rFonts w:hint="eastAsia" w:ascii="宋体" w:hAnsi="宋体" w:eastAsia="宋体" w:cs="宋体"/>
                <w:sz w:val="16"/>
                <w:szCs w:val="28"/>
                <w:lang w:val="en-US" w:eastAsia="zh-CN"/>
              </w:rPr>
              <w:t>为100）。</w:t>
            </w:r>
          </w:p>
          <w:p w14:paraId="06516792">
            <w:pPr>
              <w:pStyle w:val="92"/>
              <w:numPr>
                <w:ilvl w:val="0"/>
                <w:numId w:val="0"/>
              </w:numPr>
              <w:tabs>
                <w:tab w:val="left" w:pos="262"/>
              </w:tabs>
              <w:spacing w:before="0" w:after="0" w:line="188" w:lineRule="exact"/>
              <w:ind w:left="24" w:leftChars="0" w:right="0" w:rightChars="0"/>
              <w:jc w:val="left"/>
              <w:rPr>
                <w:rFonts w:hint="eastAsia" w:ascii="宋体" w:hAnsi="宋体" w:eastAsia="宋体" w:cs="宋体"/>
                <w:sz w:val="16"/>
                <w:szCs w:val="28"/>
              </w:rPr>
            </w:pPr>
            <w:r>
              <w:rPr>
                <w:rFonts w:hint="eastAsia" w:ascii="宋体" w:hAnsi="宋体" w:eastAsia="宋体" w:cs="宋体"/>
                <w:sz w:val="16"/>
                <w:szCs w:val="28"/>
                <w:lang w:val="en-US" w:eastAsia="zh-CN"/>
              </w:rPr>
              <w:t>3.K</w:t>
            </w:r>
            <w:r>
              <w:rPr>
                <w:rFonts w:hint="eastAsia" w:ascii="宋体" w:hAnsi="宋体" w:eastAsia="宋体" w:cs="宋体"/>
                <w:sz w:val="16"/>
                <w:szCs w:val="28"/>
                <w:vertAlign w:val="subscript"/>
                <w:lang w:val="en-US" w:eastAsia="zh-CN"/>
              </w:rPr>
              <w:t>1</w:t>
            </w:r>
            <w:r>
              <w:rPr>
                <w:rFonts w:hint="eastAsia" w:ascii="宋体" w:hAnsi="宋体" w:eastAsia="宋体" w:cs="宋体"/>
                <w:sz w:val="16"/>
                <w:szCs w:val="28"/>
                <w:lang w:val="en-US" w:eastAsia="zh-CN"/>
              </w:rPr>
              <w:t>、K</w:t>
            </w:r>
            <w:r>
              <w:rPr>
                <w:rFonts w:hint="eastAsia" w:ascii="宋体" w:hAnsi="宋体" w:eastAsia="宋体" w:cs="宋体"/>
                <w:sz w:val="16"/>
                <w:szCs w:val="28"/>
                <w:vertAlign w:val="subscript"/>
                <w:lang w:val="en-US" w:eastAsia="zh-CN"/>
              </w:rPr>
              <w:t>2</w:t>
            </w:r>
            <w:r>
              <w:rPr>
                <w:rFonts w:hint="eastAsia" w:ascii="宋体" w:hAnsi="宋体" w:eastAsia="宋体" w:cs="宋体"/>
                <w:sz w:val="16"/>
                <w:szCs w:val="28"/>
                <w:lang w:val="en-US" w:eastAsia="zh-CN"/>
              </w:rPr>
              <w:t>、K</w:t>
            </w:r>
            <w:r>
              <w:rPr>
                <w:rFonts w:hint="eastAsia" w:ascii="宋体" w:hAnsi="宋体" w:eastAsia="宋体" w:cs="宋体"/>
                <w:sz w:val="16"/>
                <w:szCs w:val="28"/>
                <w:vertAlign w:val="subscript"/>
                <w:lang w:val="en-US" w:eastAsia="zh-CN"/>
              </w:rPr>
              <w:t>3</w:t>
            </w:r>
            <w:r>
              <w:rPr>
                <w:rFonts w:hint="eastAsia" w:ascii="宋体" w:hAnsi="宋体" w:eastAsia="宋体" w:cs="宋体"/>
                <w:sz w:val="16"/>
                <w:szCs w:val="28"/>
                <w:lang w:val="en-US" w:eastAsia="zh-CN"/>
              </w:rPr>
              <w:t>均为整数，0≤K</w:t>
            </w:r>
            <w:r>
              <w:rPr>
                <w:rFonts w:hint="eastAsia" w:ascii="宋体" w:hAnsi="宋体" w:eastAsia="宋体" w:cs="宋体"/>
                <w:sz w:val="16"/>
                <w:szCs w:val="28"/>
                <w:vertAlign w:val="subscript"/>
                <w:lang w:val="en-US" w:eastAsia="zh-CN"/>
              </w:rPr>
              <w:t>1</w:t>
            </w:r>
            <w:r>
              <w:rPr>
                <w:rFonts w:hint="eastAsia" w:ascii="宋体" w:hAnsi="宋体" w:eastAsia="宋体" w:cs="宋体"/>
                <w:sz w:val="16"/>
                <w:szCs w:val="28"/>
                <w:lang w:val="en-US" w:eastAsia="zh-CN"/>
              </w:rPr>
              <w:t>≤50；0≤K</w:t>
            </w:r>
            <w:r>
              <w:rPr>
                <w:rFonts w:hint="eastAsia" w:ascii="宋体" w:hAnsi="宋体" w:eastAsia="宋体" w:cs="宋体"/>
                <w:sz w:val="16"/>
                <w:szCs w:val="28"/>
                <w:vertAlign w:val="subscript"/>
                <w:lang w:val="en-US" w:eastAsia="zh-CN"/>
              </w:rPr>
              <w:t>2</w:t>
            </w:r>
            <w:r>
              <w:rPr>
                <w:rFonts w:hint="eastAsia" w:ascii="宋体" w:hAnsi="宋体" w:eastAsia="宋体" w:cs="宋体"/>
                <w:sz w:val="16"/>
                <w:szCs w:val="28"/>
                <w:lang w:val="en-US" w:eastAsia="zh-CN"/>
              </w:rPr>
              <w:t>≤100；0≤K</w:t>
            </w:r>
            <w:r>
              <w:rPr>
                <w:rFonts w:hint="eastAsia" w:ascii="宋体" w:hAnsi="宋体" w:eastAsia="宋体" w:cs="宋体"/>
                <w:sz w:val="16"/>
                <w:szCs w:val="28"/>
                <w:vertAlign w:val="subscript"/>
                <w:lang w:val="en-US" w:eastAsia="zh-CN"/>
              </w:rPr>
              <w:t>3</w:t>
            </w:r>
            <w:r>
              <w:rPr>
                <w:rFonts w:hint="eastAsia" w:ascii="宋体" w:hAnsi="宋体" w:eastAsia="宋体" w:cs="宋体"/>
                <w:sz w:val="16"/>
                <w:szCs w:val="28"/>
                <w:lang w:val="en-US" w:eastAsia="zh-CN"/>
              </w:rPr>
              <w:t>≤100。组合套餐中，若选择套餐一，则K</w:t>
            </w:r>
            <w:r>
              <w:rPr>
                <w:rFonts w:hint="eastAsia" w:ascii="宋体" w:hAnsi="宋体" w:eastAsia="宋体" w:cs="宋体"/>
                <w:sz w:val="16"/>
                <w:szCs w:val="28"/>
                <w:vertAlign w:val="subscript"/>
                <w:lang w:val="en-US" w:eastAsia="zh-CN"/>
              </w:rPr>
              <w:t>1</w:t>
            </w:r>
            <w:r>
              <w:rPr>
                <w:rFonts w:hint="eastAsia" w:ascii="宋体" w:hAnsi="宋体" w:eastAsia="宋体" w:cs="宋体"/>
                <w:sz w:val="16"/>
                <w:szCs w:val="28"/>
                <w:lang w:val="en-US" w:eastAsia="zh-CN"/>
              </w:rPr>
              <w:t xml:space="preserve">低于20需用户法定代表人或授权代理人再次确认。 </w:t>
            </w:r>
          </w:p>
          <w:p w14:paraId="78830B50">
            <w:pPr>
              <w:pStyle w:val="92"/>
              <w:numPr>
                <w:ilvl w:val="0"/>
                <w:numId w:val="0"/>
              </w:numPr>
              <w:tabs>
                <w:tab w:val="left" w:pos="262"/>
              </w:tabs>
              <w:spacing w:before="0" w:after="0" w:line="188" w:lineRule="exact"/>
              <w:ind w:left="24" w:leftChars="0" w:right="0" w:rightChars="0"/>
              <w:jc w:val="left"/>
              <w:rPr>
                <w:rFonts w:hint="eastAsia" w:ascii="宋体" w:hAnsi="宋体" w:eastAsia="宋体" w:cs="宋体"/>
                <w:sz w:val="16"/>
                <w:szCs w:val="28"/>
              </w:rPr>
            </w:pPr>
            <w:r>
              <w:rPr>
                <w:rFonts w:hint="eastAsia" w:ascii="宋体" w:hAnsi="宋体" w:eastAsia="宋体" w:cs="宋体"/>
                <w:sz w:val="16"/>
                <w:szCs w:val="28"/>
                <w:lang w:val="en-US" w:eastAsia="zh-CN"/>
              </w:rPr>
              <w:t>4.套餐二P</w:t>
            </w:r>
            <w:r>
              <w:rPr>
                <w:rFonts w:hint="eastAsia" w:ascii="宋体" w:hAnsi="宋体" w:eastAsia="宋体" w:cs="宋体"/>
                <w:sz w:val="16"/>
                <w:szCs w:val="28"/>
                <w:vertAlign w:val="subscript"/>
                <w:lang w:val="en-US" w:eastAsia="zh-CN"/>
              </w:rPr>
              <w:t>浮动T</w:t>
            </w:r>
            <w:r>
              <w:rPr>
                <w:rFonts w:hint="eastAsia" w:ascii="宋体" w:hAnsi="宋体" w:eastAsia="宋体" w:cs="宋体"/>
                <w:sz w:val="16"/>
                <w:szCs w:val="28"/>
                <w:lang w:val="en-US" w:eastAsia="zh-CN"/>
              </w:rPr>
              <w:t xml:space="preserve">各时段数值一致，上浮超过上一年全体售电公司批发侧结算均价的 3%时需用户法定代表人或授权代理人再次确认 ；在2025年内签订2026年零售合同的，上一年全体售电公司批发侧结算均价数值计算范围为 2025年1月至10月（为 397.331元/兆瓦时）。 </w:t>
            </w:r>
          </w:p>
          <w:p w14:paraId="6771324E">
            <w:pPr>
              <w:pStyle w:val="92"/>
              <w:numPr>
                <w:ilvl w:val="0"/>
                <w:numId w:val="0"/>
              </w:numPr>
              <w:tabs>
                <w:tab w:val="left" w:pos="262"/>
              </w:tabs>
              <w:spacing w:before="0" w:after="0" w:line="188" w:lineRule="exact"/>
              <w:ind w:left="24" w:leftChars="0" w:right="0" w:rightChars="0"/>
              <w:jc w:val="left"/>
              <w:rPr>
                <w:rFonts w:hint="eastAsia" w:ascii="宋体" w:hAnsi="宋体" w:eastAsia="宋体" w:cs="宋体"/>
                <w:sz w:val="16"/>
                <w:szCs w:val="28"/>
              </w:rPr>
            </w:pPr>
            <w:r>
              <w:rPr>
                <w:rFonts w:hint="eastAsia" w:ascii="宋体" w:hAnsi="宋体" w:eastAsia="宋体" w:cs="宋体"/>
                <w:sz w:val="16"/>
                <w:szCs w:val="28"/>
                <w:lang w:val="en-US" w:eastAsia="zh-CN"/>
              </w:rPr>
              <w:t>5.套餐三K</w:t>
            </w:r>
            <w:r>
              <w:rPr>
                <w:rFonts w:hint="eastAsia" w:ascii="宋体" w:hAnsi="宋体" w:eastAsia="宋体" w:cs="宋体"/>
                <w:sz w:val="16"/>
                <w:szCs w:val="28"/>
                <w:vertAlign w:val="subscript"/>
                <w:lang w:val="en-US" w:eastAsia="zh-CN"/>
              </w:rPr>
              <w:t>浮动</w:t>
            </w:r>
            <w:r>
              <w:rPr>
                <w:rFonts w:hint="eastAsia" w:ascii="宋体" w:hAnsi="宋体" w:eastAsia="宋体" w:cs="宋体"/>
                <w:sz w:val="16"/>
                <w:szCs w:val="28"/>
                <w:lang w:val="en-US" w:eastAsia="zh-CN"/>
              </w:rPr>
              <w:t xml:space="preserve">保留一位小数，超过105需用户法定代表人或授权代理人再次确认。 </w:t>
            </w:r>
          </w:p>
          <w:p w14:paraId="1483B6AB">
            <w:pPr>
              <w:pStyle w:val="92"/>
              <w:numPr>
                <w:ilvl w:val="0"/>
                <w:numId w:val="0"/>
              </w:numPr>
              <w:tabs>
                <w:tab w:val="left" w:pos="262"/>
              </w:tabs>
              <w:spacing w:before="0" w:after="0" w:line="188" w:lineRule="exact"/>
              <w:ind w:left="24" w:leftChars="0" w:right="0" w:rightChars="0"/>
              <w:jc w:val="left"/>
              <w:rPr>
                <w:rFonts w:hint="eastAsia" w:ascii="宋体" w:hAnsi="宋体" w:eastAsia="宋体" w:cs="宋体"/>
                <w:sz w:val="16"/>
                <w:szCs w:val="28"/>
              </w:rPr>
            </w:pPr>
            <w:r>
              <w:rPr>
                <w:rFonts w:hint="eastAsia" w:ascii="宋体" w:hAnsi="宋体" w:eastAsia="宋体" w:cs="宋体"/>
                <w:sz w:val="16"/>
                <w:szCs w:val="28"/>
                <w:lang w:val="en-US" w:eastAsia="zh-CN"/>
              </w:rPr>
              <w:t>6.套餐三K</w:t>
            </w:r>
            <w:r>
              <w:rPr>
                <w:rFonts w:hint="eastAsia" w:ascii="宋体" w:hAnsi="宋体" w:eastAsia="宋体" w:cs="宋体"/>
                <w:sz w:val="16"/>
                <w:szCs w:val="28"/>
                <w:vertAlign w:val="subscript"/>
                <w:lang w:val="en-US" w:eastAsia="zh-CN"/>
              </w:rPr>
              <w:t>分成</w:t>
            </w:r>
            <w:r>
              <w:rPr>
                <w:rFonts w:hint="eastAsia" w:ascii="宋体" w:hAnsi="宋体" w:eastAsia="宋体" w:cs="宋体"/>
                <w:sz w:val="16"/>
                <w:szCs w:val="28"/>
                <w:lang w:val="en-US" w:eastAsia="zh-CN"/>
              </w:rPr>
              <w:t>为整数，50≤K</w:t>
            </w:r>
            <w:r>
              <w:rPr>
                <w:rFonts w:hint="eastAsia" w:ascii="宋体" w:hAnsi="宋体" w:eastAsia="宋体" w:cs="宋体"/>
                <w:sz w:val="16"/>
                <w:szCs w:val="28"/>
                <w:vertAlign w:val="subscript"/>
                <w:lang w:val="en-US" w:eastAsia="zh-CN"/>
              </w:rPr>
              <w:t>分成</w:t>
            </w:r>
            <w:r>
              <w:rPr>
                <w:rFonts w:hint="eastAsia" w:ascii="宋体" w:hAnsi="宋体" w:eastAsia="宋体" w:cs="宋体"/>
                <w:sz w:val="16"/>
                <w:szCs w:val="28"/>
                <w:lang w:val="en-US" w:eastAsia="zh-CN"/>
              </w:rPr>
              <w:t xml:space="preserve">≤100（以《安徽电力中长期交易实施方案（2026年版）》公布数值为准）。 </w:t>
            </w:r>
          </w:p>
          <w:p w14:paraId="6D64AF41">
            <w:pPr>
              <w:pStyle w:val="92"/>
              <w:numPr>
                <w:ilvl w:val="0"/>
                <w:numId w:val="0"/>
              </w:numPr>
              <w:tabs>
                <w:tab w:val="left" w:pos="262"/>
              </w:tabs>
              <w:spacing w:before="0" w:after="0" w:line="188" w:lineRule="exact"/>
              <w:ind w:left="24" w:leftChars="0" w:right="0" w:rightChars="0"/>
              <w:jc w:val="left"/>
              <w:rPr>
                <w:rFonts w:hint="eastAsia" w:ascii="宋体" w:hAnsi="宋体" w:eastAsia="宋体" w:cs="宋体"/>
                <w:sz w:val="16"/>
                <w:szCs w:val="28"/>
              </w:rPr>
            </w:pPr>
            <w:r>
              <w:rPr>
                <w:rFonts w:hint="eastAsia" w:ascii="宋体" w:hAnsi="宋体" w:eastAsia="宋体" w:cs="宋体"/>
                <w:sz w:val="16"/>
                <w:szCs w:val="28"/>
                <w:lang w:val="en-US" w:eastAsia="zh-CN"/>
              </w:rPr>
              <w:t>7.套餐五K</w:t>
            </w:r>
            <w:r>
              <w:rPr>
                <w:rFonts w:hint="eastAsia" w:ascii="宋体" w:hAnsi="宋体" w:eastAsia="宋体" w:cs="宋体"/>
                <w:sz w:val="16"/>
                <w:szCs w:val="28"/>
                <w:vertAlign w:val="subscript"/>
                <w:lang w:val="en-US" w:eastAsia="zh-CN"/>
              </w:rPr>
              <w:t>绿补</w:t>
            </w:r>
            <w:r>
              <w:rPr>
                <w:rFonts w:hint="eastAsia" w:ascii="宋体" w:hAnsi="宋体" w:eastAsia="宋体" w:cs="宋体"/>
                <w:sz w:val="16"/>
                <w:szCs w:val="28"/>
                <w:lang w:val="en-US" w:eastAsia="zh-CN"/>
              </w:rPr>
              <w:t>为整数，0≤K</w:t>
            </w:r>
            <w:r>
              <w:rPr>
                <w:rFonts w:hint="eastAsia" w:ascii="宋体" w:hAnsi="宋体" w:eastAsia="宋体" w:cs="宋体"/>
                <w:sz w:val="16"/>
                <w:szCs w:val="28"/>
                <w:vertAlign w:val="subscript"/>
                <w:lang w:val="en-US" w:eastAsia="zh-CN"/>
              </w:rPr>
              <w:t>绿补</w:t>
            </w:r>
            <w:r>
              <w:rPr>
                <w:rFonts w:hint="eastAsia" w:ascii="宋体" w:hAnsi="宋体" w:eastAsia="宋体" w:cs="宋体"/>
                <w:sz w:val="16"/>
                <w:szCs w:val="28"/>
                <w:lang w:val="en-US" w:eastAsia="zh-CN"/>
              </w:rPr>
              <w:t xml:space="preserve">≤100。 </w:t>
            </w:r>
          </w:p>
          <w:p w14:paraId="0703906A">
            <w:pPr>
              <w:pStyle w:val="92"/>
              <w:numPr>
                <w:ilvl w:val="0"/>
                <w:numId w:val="0"/>
              </w:numPr>
              <w:tabs>
                <w:tab w:val="left" w:pos="262"/>
              </w:tabs>
              <w:spacing w:before="0" w:after="0" w:line="188" w:lineRule="exact"/>
              <w:ind w:left="24" w:leftChars="0" w:right="0" w:rightChars="0"/>
              <w:jc w:val="left"/>
              <w:rPr>
                <w:rFonts w:hint="eastAsia" w:ascii="宋体" w:hAnsi="宋体" w:eastAsia="宋体" w:cs="宋体"/>
                <w:sz w:val="16"/>
                <w:szCs w:val="28"/>
              </w:rPr>
            </w:pPr>
            <w:r>
              <w:rPr>
                <w:rFonts w:hint="eastAsia" w:ascii="宋体" w:hAnsi="宋体" w:eastAsia="宋体" w:cs="宋体"/>
                <w:sz w:val="16"/>
                <w:szCs w:val="28"/>
                <w:lang w:val="en-US" w:eastAsia="zh-CN"/>
              </w:rPr>
              <w:t>8.解约条款未勾选或K</w:t>
            </w:r>
            <w:r>
              <w:rPr>
                <w:rFonts w:hint="eastAsia" w:ascii="宋体" w:hAnsi="宋体" w:eastAsia="宋体" w:cs="宋体"/>
                <w:sz w:val="16"/>
                <w:szCs w:val="28"/>
                <w:vertAlign w:val="subscript"/>
                <w:lang w:val="en-US" w:eastAsia="zh-CN"/>
              </w:rPr>
              <w:t>解约</w:t>
            </w:r>
            <w:r>
              <w:rPr>
                <w:rFonts w:hint="eastAsia" w:ascii="宋体" w:hAnsi="宋体" w:eastAsia="宋体" w:cs="宋体"/>
                <w:sz w:val="16"/>
                <w:szCs w:val="28"/>
                <w:lang w:val="en-US" w:eastAsia="zh-CN"/>
              </w:rPr>
              <w:t xml:space="preserve">（保留一位小数）超过105的，需用户法定代表人或授权代理人再次确认。 </w:t>
            </w:r>
          </w:p>
          <w:p w14:paraId="1BEE8958">
            <w:pPr>
              <w:pStyle w:val="92"/>
              <w:numPr>
                <w:ilvl w:val="0"/>
                <w:numId w:val="0"/>
              </w:numPr>
              <w:tabs>
                <w:tab w:val="left" w:pos="262"/>
              </w:tabs>
              <w:spacing w:before="0" w:after="0" w:line="188" w:lineRule="exact"/>
              <w:ind w:left="24" w:leftChars="0" w:right="0" w:rightChars="0"/>
              <w:jc w:val="left"/>
              <w:rPr>
                <w:rFonts w:hint="eastAsia" w:ascii="宋体" w:hAnsi="宋体" w:eastAsia="宋体" w:cs="宋体"/>
                <w:sz w:val="16"/>
                <w:szCs w:val="28"/>
              </w:rPr>
            </w:pPr>
            <w:r>
              <w:rPr>
                <w:rFonts w:hint="eastAsia" w:ascii="宋体" w:hAnsi="宋体" w:eastAsia="宋体" w:cs="宋体"/>
                <w:sz w:val="16"/>
                <w:szCs w:val="28"/>
                <w:lang w:val="en-US" w:eastAsia="zh-CN"/>
              </w:rPr>
              <w:t>9.P</w:t>
            </w:r>
            <w:r>
              <w:rPr>
                <w:rFonts w:hint="eastAsia" w:ascii="宋体" w:hAnsi="宋体" w:eastAsia="宋体" w:cs="宋体"/>
                <w:sz w:val="16"/>
                <w:szCs w:val="28"/>
                <w:vertAlign w:val="subscript"/>
                <w:lang w:val="en-US" w:eastAsia="zh-CN"/>
              </w:rPr>
              <w:t>售均T</w:t>
            </w:r>
            <w:r>
              <w:rPr>
                <w:rFonts w:hint="eastAsia" w:ascii="宋体" w:hAnsi="宋体" w:eastAsia="宋体" w:cs="宋体"/>
                <w:sz w:val="16"/>
                <w:szCs w:val="28"/>
                <w:lang w:val="en-US" w:eastAsia="zh-CN"/>
              </w:rPr>
              <w:t>为全体售电公司批发侧T时段电能量结算均价。本参数表中的P</w:t>
            </w:r>
            <w:r>
              <w:rPr>
                <w:rFonts w:hint="eastAsia" w:ascii="宋体" w:hAnsi="宋体" w:eastAsia="宋体" w:cs="宋体"/>
                <w:sz w:val="16"/>
                <w:szCs w:val="28"/>
                <w:vertAlign w:val="subscript"/>
                <w:lang w:val="en-US" w:eastAsia="zh-CN"/>
              </w:rPr>
              <w:t>售均T</w:t>
            </w:r>
            <w:r>
              <w:rPr>
                <w:rFonts w:hint="eastAsia" w:ascii="宋体" w:hAnsi="宋体" w:eastAsia="宋体" w:cs="宋体"/>
                <w:sz w:val="16"/>
                <w:szCs w:val="28"/>
                <w:lang w:val="en-US" w:eastAsia="zh-CN"/>
              </w:rPr>
              <w:t xml:space="preserve">、解约条款中的价格按照相关市场规则计算。 </w:t>
            </w:r>
          </w:p>
          <w:p w14:paraId="4F95AB77">
            <w:pPr>
              <w:pStyle w:val="92"/>
              <w:numPr>
                <w:ilvl w:val="0"/>
                <w:numId w:val="0"/>
              </w:numPr>
              <w:tabs>
                <w:tab w:val="left" w:pos="262"/>
              </w:tabs>
              <w:spacing w:before="0" w:after="0" w:line="188" w:lineRule="exact"/>
              <w:ind w:left="24" w:leftChars="0" w:right="0" w:rightChars="0"/>
              <w:jc w:val="left"/>
              <w:rPr>
                <w:rFonts w:hint="eastAsia" w:ascii="宋体" w:hAnsi="宋体" w:eastAsia="宋体" w:cs="宋体"/>
                <w:sz w:val="16"/>
                <w:szCs w:val="28"/>
              </w:rPr>
            </w:pPr>
            <w:r>
              <w:rPr>
                <w:rFonts w:hint="eastAsia" w:ascii="宋体" w:hAnsi="宋体" w:eastAsia="宋体" w:cs="宋体"/>
                <w:sz w:val="16"/>
                <w:szCs w:val="28"/>
                <w:lang w:val="en-US" w:eastAsia="zh-CN"/>
              </w:rPr>
              <w:t>10.当用户按本合同计算的月度结算均价高于当月全体售电公司批发侧结算均价103%或者绿色电力环境价值高于本年度全体售电公司已执行月份批发侧绿色电力环境价值均价110%时，省电力交易中心可对该用户进行市场风险提示。零售套餐价格参数提示阈值、零售套餐结算价格提示阈值可根据市场运行情况适时调整。</w:t>
            </w:r>
          </w:p>
          <w:p w14:paraId="65C81069">
            <w:pPr>
              <w:pStyle w:val="92"/>
              <w:numPr>
                <w:ilvl w:val="0"/>
                <w:numId w:val="0"/>
              </w:numPr>
              <w:tabs>
                <w:tab w:val="left" w:pos="262"/>
              </w:tabs>
              <w:spacing w:before="0" w:after="0" w:line="188" w:lineRule="exact"/>
              <w:ind w:left="24" w:leftChars="0" w:right="0" w:rightChars="0"/>
              <w:jc w:val="left"/>
              <w:rPr>
                <w:rFonts w:hint="eastAsia" w:ascii="宋体" w:hAnsi="宋体" w:eastAsia="宋体" w:cs="宋体"/>
                <w:sz w:val="16"/>
                <w:szCs w:val="28"/>
              </w:rPr>
            </w:pPr>
            <w:r>
              <w:rPr>
                <w:rFonts w:hint="eastAsia" w:ascii="宋体" w:hAnsi="宋体" w:eastAsia="宋体" w:cs="宋体"/>
                <w:sz w:val="16"/>
                <w:szCs w:val="28"/>
                <w:lang w:val="en-US" w:eastAsia="zh-CN"/>
              </w:rPr>
              <w:t>11.政府出台有关零售市场政策文件的，按照政府政策文件执行。</w:t>
            </w:r>
          </w:p>
          <w:p w14:paraId="4E756867">
            <w:pPr>
              <w:pStyle w:val="92"/>
              <w:numPr>
                <w:ilvl w:val="0"/>
                <w:numId w:val="0"/>
              </w:numPr>
              <w:tabs>
                <w:tab w:val="left" w:pos="262"/>
              </w:tabs>
              <w:spacing w:before="0" w:after="0" w:line="188" w:lineRule="exact"/>
              <w:ind w:left="24" w:leftChars="0" w:right="0" w:rightChars="0"/>
              <w:jc w:val="left"/>
              <w:rPr>
                <w:rFonts w:hint="eastAsia" w:ascii="宋体" w:hAnsi="宋体" w:eastAsia="宋体" w:cs="宋体"/>
                <w:sz w:val="16"/>
                <w:szCs w:val="28"/>
              </w:rPr>
            </w:pPr>
          </w:p>
        </w:tc>
      </w:tr>
    </w:tbl>
    <w:p w14:paraId="2FDD7DE7">
      <w:pPr>
        <w:pStyle w:val="5"/>
        <w:spacing w:before="7"/>
        <w:ind w:left="0"/>
        <w:rPr>
          <w:rFonts w:hint="eastAsia" w:ascii="宋体" w:hAnsi="宋体" w:eastAsia="宋体" w:cs="宋体"/>
          <w:b/>
          <w:sz w:val="11"/>
          <w:szCs w:val="28"/>
        </w:rPr>
      </w:pPr>
      <w:r>
        <w:rPr>
          <w:rFonts w:hint="eastAsia" w:ascii="宋体" w:hAnsi="宋体" w:eastAsia="宋体" w:cs="宋体"/>
          <w:sz w:val="28"/>
          <w:szCs w:val="28"/>
        </w:rPr>
        <mc:AlternateContent>
          <mc:Choice Requires="wpg">
            <w:drawing>
              <wp:anchor distT="0" distB="0" distL="114300" distR="114300" simplePos="0" relativeHeight="251666432" behindDoc="1" locked="0" layoutInCell="1" allowOverlap="1">
                <wp:simplePos x="0" y="0"/>
                <wp:positionH relativeFrom="page">
                  <wp:posOffset>768985</wp:posOffset>
                </wp:positionH>
                <wp:positionV relativeFrom="paragraph">
                  <wp:posOffset>114300</wp:posOffset>
                </wp:positionV>
                <wp:extent cx="5954395" cy="814070"/>
                <wp:effectExtent l="1270" t="635" r="635" b="10795"/>
                <wp:wrapTopAndBottom/>
                <wp:docPr id="48" name="组合 48"/>
                <wp:cNvGraphicFramePr/>
                <a:graphic xmlns:a="http://schemas.openxmlformats.org/drawingml/2006/main">
                  <a:graphicData uri="http://schemas.microsoft.com/office/word/2010/wordprocessingGroup">
                    <wpg:wgp>
                      <wpg:cNvGrpSpPr/>
                      <wpg:grpSpPr>
                        <a:xfrm>
                          <a:off x="0" y="0"/>
                          <a:ext cx="5954395" cy="814070"/>
                          <a:chOff x="1212" y="181"/>
                          <a:chExt cx="9377" cy="1282"/>
                        </a:xfrm>
                      </wpg:grpSpPr>
                      <wps:wsp>
                        <wps:cNvPr id="38" name="直接连接符 38"/>
                        <wps:cNvCnPr/>
                        <wps:spPr>
                          <a:xfrm>
                            <a:off x="1212" y="187"/>
                            <a:ext cx="9377" cy="0"/>
                          </a:xfrm>
                          <a:prstGeom prst="line">
                            <a:avLst/>
                          </a:prstGeom>
                          <a:ln w="7620" cap="flat" cmpd="sng">
                            <a:solidFill>
                              <a:srgbClr val="000000"/>
                            </a:solidFill>
                            <a:prstDash val="solid"/>
                            <a:headEnd type="none" w="med" len="med"/>
                            <a:tailEnd type="none" w="med" len="med"/>
                          </a:ln>
                        </wps:spPr>
                        <wps:bodyPr upright="1"/>
                      </wps:wsp>
                      <wps:wsp>
                        <wps:cNvPr id="39" name="直接连接符 39"/>
                        <wps:cNvCnPr/>
                        <wps:spPr>
                          <a:xfrm>
                            <a:off x="1212" y="1456"/>
                            <a:ext cx="9377" cy="0"/>
                          </a:xfrm>
                          <a:prstGeom prst="line">
                            <a:avLst/>
                          </a:prstGeom>
                          <a:ln w="7620" cap="flat" cmpd="sng">
                            <a:solidFill>
                              <a:srgbClr val="000000"/>
                            </a:solidFill>
                            <a:prstDash val="solid"/>
                            <a:headEnd type="none" w="med" len="med"/>
                            <a:tailEnd type="none" w="med" len="med"/>
                          </a:ln>
                        </wps:spPr>
                        <wps:bodyPr upright="1"/>
                      </wps:wsp>
                      <wps:wsp>
                        <wps:cNvPr id="40" name="直接连接符 40"/>
                        <wps:cNvCnPr/>
                        <wps:spPr>
                          <a:xfrm>
                            <a:off x="1218" y="181"/>
                            <a:ext cx="0" cy="1281"/>
                          </a:xfrm>
                          <a:prstGeom prst="line">
                            <a:avLst/>
                          </a:prstGeom>
                          <a:ln w="7620" cap="flat" cmpd="sng">
                            <a:solidFill>
                              <a:srgbClr val="000000"/>
                            </a:solidFill>
                            <a:prstDash val="solid"/>
                            <a:headEnd type="none" w="med" len="med"/>
                            <a:tailEnd type="none" w="med" len="med"/>
                          </a:ln>
                        </wps:spPr>
                        <wps:bodyPr upright="1"/>
                      </wps:wsp>
                      <wps:wsp>
                        <wps:cNvPr id="41" name="直接连接符 41"/>
                        <wps:cNvCnPr/>
                        <wps:spPr>
                          <a:xfrm>
                            <a:off x="10583" y="181"/>
                            <a:ext cx="0" cy="1281"/>
                          </a:xfrm>
                          <a:prstGeom prst="line">
                            <a:avLst/>
                          </a:prstGeom>
                          <a:ln w="7620" cap="flat" cmpd="sng">
                            <a:solidFill>
                              <a:srgbClr val="000000"/>
                            </a:solidFill>
                            <a:prstDash val="solid"/>
                            <a:headEnd type="none" w="med" len="med"/>
                            <a:tailEnd type="none" w="med" len="med"/>
                          </a:ln>
                        </wps:spPr>
                        <wps:bodyPr upright="1"/>
                      </wps:wsp>
                      <wps:wsp>
                        <wps:cNvPr id="42" name="文本框 42"/>
                        <wps:cNvSpPr txBox="1"/>
                        <wps:spPr>
                          <a:xfrm>
                            <a:off x="5683" y="1177"/>
                            <a:ext cx="800" cy="154"/>
                          </a:xfrm>
                          <a:prstGeom prst="rect">
                            <a:avLst/>
                          </a:prstGeom>
                          <a:noFill/>
                          <a:ln>
                            <a:noFill/>
                          </a:ln>
                        </wps:spPr>
                        <wps:txbx>
                          <w:txbxContent>
                            <w:p w14:paraId="12E7647F">
                              <w:pPr>
                                <w:spacing w:before="0" w:line="153" w:lineRule="exact"/>
                                <w:ind w:left="0" w:right="0" w:firstLine="0"/>
                                <w:jc w:val="left"/>
                                <w:rPr>
                                  <w:rFonts w:hint="eastAsia" w:ascii="宋体" w:eastAsia="宋体"/>
                                  <w:sz w:val="15"/>
                                </w:rPr>
                              </w:pPr>
                              <w:r>
                                <w:rPr>
                                  <w:rFonts w:hint="eastAsia" w:ascii="宋体" w:eastAsia="宋体"/>
                                  <w:sz w:val="15"/>
                                </w:rPr>
                                <w:t>签字时间：</w:t>
                              </w:r>
                            </w:p>
                          </w:txbxContent>
                        </wps:txbx>
                        <wps:bodyPr lIns="0" tIns="0" rIns="0" bIns="0" upright="1"/>
                      </wps:wsp>
                      <wps:wsp>
                        <wps:cNvPr id="43" name="文本框 43"/>
                        <wps:cNvSpPr txBox="1"/>
                        <wps:spPr>
                          <a:xfrm>
                            <a:off x="1245" y="1177"/>
                            <a:ext cx="801" cy="154"/>
                          </a:xfrm>
                          <a:prstGeom prst="rect">
                            <a:avLst/>
                          </a:prstGeom>
                          <a:noFill/>
                          <a:ln>
                            <a:noFill/>
                          </a:ln>
                        </wps:spPr>
                        <wps:txbx>
                          <w:txbxContent>
                            <w:p w14:paraId="7F0D3DBF">
                              <w:pPr>
                                <w:spacing w:before="0" w:line="153" w:lineRule="exact"/>
                                <w:ind w:left="0" w:right="0" w:firstLine="0"/>
                                <w:jc w:val="left"/>
                                <w:rPr>
                                  <w:rFonts w:hint="eastAsia" w:ascii="宋体" w:eastAsia="宋体"/>
                                  <w:sz w:val="15"/>
                                </w:rPr>
                              </w:pPr>
                              <w:r>
                                <w:rPr>
                                  <w:rFonts w:hint="eastAsia" w:ascii="宋体" w:eastAsia="宋体"/>
                                  <w:sz w:val="15"/>
                                </w:rPr>
                                <w:t>签字时间：</w:t>
                              </w:r>
                            </w:p>
                          </w:txbxContent>
                        </wps:txbx>
                        <wps:bodyPr lIns="0" tIns="0" rIns="0" bIns="0" upright="1"/>
                      </wps:wsp>
                      <wps:wsp>
                        <wps:cNvPr id="44" name="文本框 44"/>
                        <wps:cNvSpPr txBox="1"/>
                        <wps:spPr>
                          <a:xfrm>
                            <a:off x="5683" y="793"/>
                            <a:ext cx="2445" cy="154"/>
                          </a:xfrm>
                          <a:prstGeom prst="rect">
                            <a:avLst/>
                          </a:prstGeom>
                          <a:noFill/>
                          <a:ln>
                            <a:noFill/>
                          </a:ln>
                        </wps:spPr>
                        <wps:txbx>
                          <w:txbxContent>
                            <w:p w14:paraId="7218EE7D">
                              <w:pPr>
                                <w:spacing w:before="0" w:line="153" w:lineRule="exact"/>
                                <w:ind w:left="0" w:right="0" w:firstLine="0"/>
                                <w:jc w:val="left"/>
                                <w:rPr>
                                  <w:rFonts w:hint="eastAsia" w:ascii="宋体" w:eastAsia="宋体"/>
                                  <w:sz w:val="15"/>
                                </w:rPr>
                              </w:pPr>
                              <w:r>
                                <w:rPr>
                                  <w:rFonts w:hint="eastAsia" w:ascii="宋体" w:eastAsia="宋体"/>
                                  <w:sz w:val="15"/>
                                </w:rPr>
                                <w:t>法定代表人/授权代理人（签字）：</w:t>
                              </w:r>
                            </w:p>
                          </w:txbxContent>
                        </wps:txbx>
                        <wps:bodyPr lIns="0" tIns="0" rIns="0" bIns="0" upright="1"/>
                      </wps:wsp>
                      <wps:wsp>
                        <wps:cNvPr id="45" name="文本框 45"/>
                        <wps:cNvSpPr txBox="1"/>
                        <wps:spPr>
                          <a:xfrm>
                            <a:off x="1245" y="793"/>
                            <a:ext cx="2446" cy="154"/>
                          </a:xfrm>
                          <a:prstGeom prst="rect">
                            <a:avLst/>
                          </a:prstGeom>
                          <a:noFill/>
                          <a:ln>
                            <a:noFill/>
                          </a:ln>
                        </wps:spPr>
                        <wps:txbx>
                          <w:txbxContent>
                            <w:p w14:paraId="6A3EA5C2">
                              <w:pPr>
                                <w:spacing w:before="0" w:line="153" w:lineRule="exact"/>
                                <w:ind w:left="0" w:right="0" w:firstLine="0"/>
                                <w:jc w:val="left"/>
                                <w:rPr>
                                  <w:rFonts w:hint="eastAsia" w:ascii="宋体" w:eastAsia="宋体"/>
                                  <w:sz w:val="15"/>
                                </w:rPr>
                              </w:pPr>
                              <w:r>
                                <w:rPr>
                                  <w:rFonts w:hint="eastAsia" w:ascii="宋体" w:eastAsia="宋体"/>
                                  <w:sz w:val="15"/>
                                </w:rPr>
                                <w:t>法定代表人/授权代理人（签字）：</w:t>
                              </w:r>
                            </w:p>
                          </w:txbxContent>
                        </wps:txbx>
                        <wps:bodyPr lIns="0" tIns="0" rIns="0" bIns="0" upright="1"/>
                      </wps:wsp>
                      <wps:wsp>
                        <wps:cNvPr id="46" name="文本框 46"/>
                        <wps:cNvSpPr txBox="1"/>
                        <wps:spPr>
                          <a:xfrm>
                            <a:off x="5683" y="409"/>
                            <a:ext cx="1115" cy="154"/>
                          </a:xfrm>
                          <a:prstGeom prst="rect">
                            <a:avLst/>
                          </a:prstGeom>
                          <a:noFill/>
                          <a:ln>
                            <a:noFill/>
                          </a:ln>
                        </wps:spPr>
                        <wps:txbx>
                          <w:txbxContent>
                            <w:p w14:paraId="74F3C7EA">
                              <w:pPr>
                                <w:spacing w:before="0" w:line="153" w:lineRule="exact"/>
                                <w:ind w:left="0" w:right="0" w:firstLine="0"/>
                                <w:jc w:val="left"/>
                                <w:rPr>
                                  <w:rFonts w:hint="eastAsia" w:ascii="宋体" w:eastAsia="宋体"/>
                                  <w:sz w:val="15"/>
                                </w:rPr>
                              </w:pPr>
                              <w:r>
                                <w:rPr>
                                  <w:rFonts w:hint="eastAsia" w:ascii="宋体" w:eastAsia="宋体"/>
                                  <w:sz w:val="15"/>
                                </w:rPr>
                                <w:t>乙方：（盖章）</w:t>
                              </w:r>
                            </w:p>
                          </w:txbxContent>
                        </wps:txbx>
                        <wps:bodyPr lIns="0" tIns="0" rIns="0" bIns="0" upright="1"/>
                      </wps:wsp>
                      <wps:wsp>
                        <wps:cNvPr id="47" name="文本框 47"/>
                        <wps:cNvSpPr txBox="1"/>
                        <wps:spPr>
                          <a:xfrm>
                            <a:off x="1245" y="409"/>
                            <a:ext cx="1115" cy="154"/>
                          </a:xfrm>
                          <a:prstGeom prst="rect">
                            <a:avLst/>
                          </a:prstGeom>
                          <a:noFill/>
                          <a:ln>
                            <a:noFill/>
                          </a:ln>
                        </wps:spPr>
                        <wps:txbx>
                          <w:txbxContent>
                            <w:p w14:paraId="3D974085">
                              <w:pPr>
                                <w:spacing w:before="0" w:line="153" w:lineRule="exact"/>
                                <w:ind w:left="0" w:right="0" w:firstLine="0"/>
                                <w:jc w:val="left"/>
                                <w:rPr>
                                  <w:rFonts w:hint="eastAsia" w:ascii="宋体" w:eastAsia="宋体"/>
                                  <w:sz w:val="15"/>
                                </w:rPr>
                              </w:pPr>
                              <w:r>
                                <w:rPr>
                                  <w:rFonts w:hint="eastAsia" w:ascii="宋体" w:eastAsia="宋体"/>
                                  <w:sz w:val="15"/>
                                </w:rPr>
                                <w:t>甲方：（盖章）</w:t>
                              </w:r>
                            </w:p>
                          </w:txbxContent>
                        </wps:txbx>
                        <wps:bodyPr lIns="0" tIns="0" rIns="0" bIns="0" upright="1"/>
                      </wps:wsp>
                    </wpg:wgp>
                  </a:graphicData>
                </a:graphic>
              </wp:anchor>
            </w:drawing>
          </mc:Choice>
          <mc:Fallback>
            <w:pict>
              <v:group id="_x0000_s1026" o:spid="_x0000_s1026" o:spt="203" style="position:absolute;left:0pt;margin-left:60.55pt;margin-top:9pt;height:64.1pt;width:468.85pt;mso-position-horizontal-relative:page;mso-wrap-distance-bottom:0pt;mso-wrap-distance-top:0pt;z-index:-251650048;mso-width-relative:page;mso-height-relative:page;" coordorigin="1212,181" coordsize="9377,1282" o:gfxdata="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">
                <o:lock v:ext="edit" aspectratio="f"/>
                <v:line id="_x0000_s1026" o:spid="_x0000_s1026" o:spt="20" style="position:absolute;left:1212;top:187;height:0;width:9377;" filled="f" stroked="t" coordsize="21600,21600" o:gfxdata="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Hfu3bsAAADb&#10;AAAADwAAAAAAAAABACAAAAAiAAAAZHJzL2Rvd25yZXYueG1sUEsBAhQAFAAAAAgAh07iQDMvBZ47&#10;AAAAOQAAABAAAAAAAAAAAQAgAAAACgEAAGRycy9zaGFwZXhtbC54bWxQSwUGAAAAAAYABgBbAQAA&#10;tAMAAAAA&#10;">
                  <v:fill on="f" focussize="0,0"/>
                  <v:stroke weight="0.6pt" color="#000000" joinstyle="round"/>
                  <v:imagedata o:title=""/>
                  <o:lock v:ext="edit" aspectratio="f"/>
                </v:line>
                <v:line id="_x0000_s1026" o:spid="_x0000_s1026" o:spt="20" style="position:absolute;left:1212;top:1456;height:0;width:9377;" filled="f" stroked="t" coordsize="21600,21600" o:gfxdata="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ztLRr4A&#10;AADbAAAADwAAAAAAAAABACAAAAAiAAAAZHJzL2Rvd25yZXYueG1sUEsBAhQAFAAAAAgAh07iQDMv&#10;BZ47AAAAOQAAABAAAAAAAAAAAQAgAAAADQEAAGRycy9zaGFwZXhtbC54bWxQSwUGAAAAAAYABgBb&#10;AQAAtwMAAAAA&#10;">
                  <v:fill on="f" focussize="0,0"/>
                  <v:stroke weight="0.6pt" color="#000000" joinstyle="round"/>
                  <v:imagedata o:title=""/>
                  <o:lock v:ext="edit" aspectratio="f"/>
                </v:line>
                <v:line id="_x0000_s1026" o:spid="_x0000_s1026" o:spt="20" style="position:absolute;left:1218;top:181;height:1281;width:0;" filled="f" stroked="t" coordsize="21600,21600" o:gfxdata="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geRprsAAADb&#10;AAAADwAAAAAAAAABACAAAAAiAAAAZHJzL2Rvd25yZXYueG1sUEsBAhQAFAAAAAgAh07iQDMvBZ47&#10;AAAAOQAAABAAAAAAAAAAAQAgAAAACgEAAGRycy9zaGFwZXhtbC54bWxQSwUGAAAAAAYABgBbAQAA&#10;tAMAAAAA&#10;">
                  <v:fill on="f" focussize="0,0"/>
                  <v:stroke weight="0.6pt" color="#000000" joinstyle="round"/>
                  <v:imagedata o:title=""/>
                  <o:lock v:ext="edit" aspectratio="f"/>
                </v:line>
                <v:line id="_x0000_s1026" o:spid="_x0000_s1026" o:spt="20" style="position:absolute;left:10583;top:181;height:1281;width:0;" filled="f" stroked="t" coordsize="21600,21600" o:gfxdata="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Us0Pb4A&#10;AADbAAAADwAAAAAAAAABACAAAAAiAAAAZHJzL2Rvd25yZXYueG1sUEsBAhQAFAAAAAgAh07iQDMv&#10;BZ47AAAAOQAAABAAAAAAAAAAAQAgAAAADQEAAGRycy9zaGFwZXhtbC54bWxQSwUGAAAAAAYABgBb&#10;AQAAtwMAAAAA&#10;">
                  <v:fill on="f" focussize="0,0"/>
                  <v:stroke weight="0.6pt" color="#000000" joinstyle="round"/>
                  <v:imagedata o:title=""/>
                  <o:lock v:ext="edit" aspectratio="f"/>
                </v:line>
                <v:shape id="_x0000_s1026" o:spid="_x0000_s1026" o:spt="202" type="#_x0000_t202" style="position:absolute;left:5683;top:1177;height:154;width:800;" filled="f" stroked="f" coordsize="21600,21600" o:gfxdata="UEsDBAoAAAAAAIdO4kAAAAAAAAAAAAAAAAAEAAAAZHJzL1BLAwQUAAAACACHTuJAhiflSb4AAADb&#10;AAAADwAAAGRycy9kb3ducmV2LnhtbEWPzWrDMBCE74W+g9hCb42UU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iflS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2E7647F">
                        <w:pPr>
                          <w:spacing w:before="0" w:line="153" w:lineRule="exact"/>
                          <w:ind w:left="0" w:right="0" w:firstLine="0"/>
                          <w:jc w:val="left"/>
                          <w:rPr>
                            <w:rFonts w:hint="eastAsia" w:ascii="宋体" w:eastAsia="宋体"/>
                            <w:sz w:val="15"/>
                          </w:rPr>
                        </w:pPr>
                        <w:r>
                          <w:rPr>
                            <w:rFonts w:hint="eastAsia" w:ascii="宋体" w:eastAsia="宋体"/>
                            <w:sz w:val="15"/>
                          </w:rPr>
                          <w:t>签字时间：</w:t>
                        </w:r>
                      </w:p>
                    </w:txbxContent>
                  </v:textbox>
                </v:shape>
                <v:shape id="_x0000_s1026" o:spid="_x0000_s1026" o:spt="202" type="#_x0000_t202" style="position:absolute;left:1245;top:1177;height:154;width:801;" filled="f" stroked="f" coordsize="21600,21600" o:gfxdata="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WtA0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F0D3DBF">
                        <w:pPr>
                          <w:spacing w:before="0" w:line="153" w:lineRule="exact"/>
                          <w:ind w:left="0" w:right="0" w:firstLine="0"/>
                          <w:jc w:val="left"/>
                          <w:rPr>
                            <w:rFonts w:hint="eastAsia" w:ascii="宋体" w:eastAsia="宋体"/>
                            <w:sz w:val="15"/>
                          </w:rPr>
                        </w:pPr>
                        <w:r>
                          <w:rPr>
                            <w:rFonts w:hint="eastAsia" w:ascii="宋体" w:eastAsia="宋体"/>
                            <w:sz w:val="15"/>
                          </w:rPr>
                          <w:t>签字时间：</w:t>
                        </w:r>
                      </w:p>
                    </w:txbxContent>
                  </v:textbox>
                </v:shape>
                <v:shape id="_x0000_s1026" o:spid="_x0000_s1026" o:spt="202" type="#_x0000_t202" style="position:absolute;left:5683;top:793;height:154;width:2445;" filled="f" stroked="f" coordsize="21600,21600" o:gfxdata="UEsDBAoAAAAAAIdO4kAAAAAAAAAAAAAAAAAEAAAAZHJzL1BLAwQUAAAACACHTuJAZoLYpr4AAADb&#10;AAAADwAAAGRycy9kb3ducmV2LnhtbEWPzWrDMBCE74W+g9hCb42UE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LYp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218EE7D">
                        <w:pPr>
                          <w:spacing w:before="0" w:line="153" w:lineRule="exact"/>
                          <w:ind w:left="0" w:right="0" w:firstLine="0"/>
                          <w:jc w:val="left"/>
                          <w:rPr>
                            <w:rFonts w:hint="eastAsia" w:ascii="宋体" w:eastAsia="宋体"/>
                            <w:sz w:val="15"/>
                          </w:rPr>
                        </w:pPr>
                        <w:r>
                          <w:rPr>
                            <w:rFonts w:hint="eastAsia" w:ascii="宋体" w:eastAsia="宋体"/>
                            <w:sz w:val="15"/>
                          </w:rPr>
                          <w:t>法定代表人/授权代理人（签字）：</w:t>
                        </w:r>
                      </w:p>
                    </w:txbxContent>
                  </v:textbox>
                </v:shape>
                <v:shape id="_x0000_s1026" o:spid="_x0000_s1026" o:spt="202" type="#_x0000_t202" style="position:absolute;left:1245;top:793;height:154;width:2446;" filled="f" stroked="f" coordsize="21600,21600" o:gfxdata="UEsDBAoAAAAAAIdO4kAAAAAAAAAAAAAAAAAEAAAAZHJzL1BLAwQUAAAACACHTuJACc59Pb4AAADb&#10;AAAADwAAAGRycy9kb3ducmV2LnhtbEWPQWsCMRSE70L/Q3gFb5pYVO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c59P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A3EA5C2">
                        <w:pPr>
                          <w:spacing w:before="0" w:line="153" w:lineRule="exact"/>
                          <w:ind w:left="0" w:right="0" w:firstLine="0"/>
                          <w:jc w:val="left"/>
                          <w:rPr>
                            <w:rFonts w:hint="eastAsia" w:ascii="宋体" w:eastAsia="宋体"/>
                            <w:sz w:val="15"/>
                          </w:rPr>
                        </w:pPr>
                        <w:r>
                          <w:rPr>
                            <w:rFonts w:hint="eastAsia" w:ascii="宋体" w:eastAsia="宋体"/>
                            <w:sz w:val="15"/>
                          </w:rPr>
                          <w:t>法定代表人/授权代理人（签字）：</w:t>
                        </w:r>
                      </w:p>
                    </w:txbxContent>
                  </v:textbox>
                </v:shape>
                <v:shape id="_x0000_s1026" o:spid="_x0000_s1026" o:spt="202" type="#_x0000_t202" style="position:absolute;left:5683;top:409;height:154;width:1115;" filled="f" stroked="f" coordsize="21600,21600" o:gfxdata="UEsDBAoAAAAAAIdO4kAAAAAAAAAAAAAAAAAEAAAAZHJzL1BLAwQUAAAACACHTuJA+RzjSr0AAADb&#10;AAAADwAAAGRycy9kb3ducmV2LnhtbEWPQWsCMRSE7wX/Q3hCbzWxlK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HONK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74F3C7EA">
                        <w:pPr>
                          <w:spacing w:before="0" w:line="153" w:lineRule="exact"/>
                          <w:ind w:left="0" w:right="0" w:firstLine="0"/>
                          <w:jc w:val="left"/>
                          <w:rPr>
                            <w:rFonts w:hint="eastAsia" w:ascii="宋体" w:eastAsia="宋体"/>
                            <w:sz w:val="15"/>
                          </w:rPr>
                        </w:pPr>
                        <w:r>
                          <w:rPr>
                            <w:rFonts w:hint="eastAsia" w:ascii="宋体" w:eastAsia="宋体"/>
                            <w:sz w:val="15"/>
                          </w:rPr>
                          <w:t>乙方：（盖章）</w:t>
                        </w:r>
                      </w:p>
                    </w:txbxContent>
                  </v:textbox>
                </v:shape>
                <v:shape id="_x0000_s1026" o:spid="_x0000_s1026" o:spt="202" type="#_x0000_t202" style="position:absolute;left:1245;top:409;height:154;width:1115;" filled="f" stroked="f" coordsize="21600,21600" o:gfxdata="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lBG0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3D974085">
                        <w:pPr>
                          <w:spacing w:before="0" w:line="153" w:lineRule="exact"/>
                          <w:ind w:left="0" w:right="0" w:firstLine="0"/>
                          <w:jc w:val="left"/>
                          <w:rPr>
                            <w:rFonts w:hint="eastAsia" w:ascii="宋体" w:eastAsia="宋体"/>
                            <w:sz w:val="15"/>
                          </w:rPr>
                        </w:pPr>
                        <w:r>
                          <w:rPr>
                            <w:rFonts w:hint="eastAsia" w:ascii="宋体" w:eastAsia="宋体"/>
                            <w:sz w:val="15"/>
                          </w:rPr>
                          <w:t>甲方：（盖章）</w:t>
                        </w:r>
                      </w:p>
                    </w:txbxContent>
                  </v:textbox>
                </v:shape>
                <w10:wrap type="topAndBottom"/>
              </v:group>
            </w:pict>
          </mc:Fallback>
        </mc:AlternateContent>
      </w:r>
    </w:p>
    <w:p w14:paraId="7719F397">
      <w:pPr>
        <w:widowControl w:val="0"/>
        <w:wordWrap/>
        <w:adjustRightInd/>
        <w:snapToGrid w:val="0"/>
        <w:spacing w:line="360" w:lineRule="auto"/>
        <w:textAlignment w:val="auto"/>
        <w:rPr>
          <w:rFonts w:hint="eastAsia" w:ascii="宋体" w:hAnsi="宋体" w:eastAsia="宋体" w:cs="宋体"/>
          <w:color w:val="auto"/>
          <w:sz w:val="28"/>
          <w:szCs w:val="28"/>
          <w:highlight w:val="none"/>
        </w:rPr>
        <w:sectPr>
          <w:pgSz w:w="11910" w:h="16840"/>
          <w:pgMar w:top="1500" w:right="1201" w:bottom="1380" w:left="1100" w:header="0" w:footer="1189" w:gutter="0"/>
          <w:pgNumType w:fmt="decimal"/>
          <w:cols w:space="720" w:num="1"/>
        </w:sectPr>
      </w:pPr>
    </w:p>
    <w:p w14:paraId="45414F08">
      <w:pPr>
        <w:pStyle w:val="3"/>
        <w:spacing w:before="0" w:after="0" w:line="360" w:lineRule="auto"/>
        <w:jc w:val="center"/>
        <w:rPr>
          <w:rFonts w:ascii="宋体" w:hAnsi="宋体" w:eastAsia="宋体" w:cs="Times New Roman"/>
          <w:szCs w:val="28"/>
          <w:highlight w:val="none"/>
        </w:rPr>
      </w:pPr>
      <w:bookmarkStart w:id="31" w:name="_Toc20749"/>
      <w:r>
        <w:rPr>
          <w:rFonts w:hint="eastAsia" w:ascii="宋体" w:hAnsi="宋体" w:eastAsia="宋体" w:cs="Times New Roman"/>
          <w:szCs w:val="28"/>
          <w:highlight w:val="none"/>
        </w:rPr>
        <w:t>第六章  投标文件格式</w:t>
      </w:r>
      <w:bookmarkEnd w:id="31"/>
    </w:p>
    <w:p w14:paraId="066B6B7C">
      <w:pPr>
        <w:rPr>
          <w:rFonts w:ascii="宋体" w:hAnsi="宋体"/>
          <w:highlight w:val="none"/>
        </w:rPr>
      </w:pPr>
    </w:p>
    <w:p w14:paraId="5E23A4E1">
      <w:pPr>
        <w:adjustRightInd w:val="0"/>
        <w:spacing w:before="62" w:beforeLines="20" w:after="62" w:afterLines="20" w:line="360" w:lineRule="auto"/>
        <w:rPr>
          <w:rFonts w:hint="eastAsia" w:ascii="宋体" w:hAnsi="宋体" w:eastAsia="宋体"/>
          <w:b/>
          <w:sz w:val="24"/>
          <w:szCs w:val="24"/>
          <w:highlight w:val="none"/>
          <w:u w:val="single"/>
          <w:lang w:eastAsia="zh-CN"/>
        </w:rPr>
      </w:pPr>
      <w:r>
        <w:rPr>
          <w:rFonts w:hint="eastAsia" w:ascii="宋体" w:hAnsi="宋体"/>
          <w:b/>
          <w:highlight w:val="none"/>
        </w:rPr>
        <w:t xml:space="preserve">   </w:t>
      </w:r>
      <w:r>
        <w:rPr>
          <w:rFonts w:hint="eastAsia" w:ascii="宋体" w:hAnsi="宋体"/>
          <w:b/>
          <w:sz w:val="24"/>
          <w:szCs w:val="24"/>
          <w:highlight w:val="none"/>
        </w:rPr>
        <w:t xml:space="preserve">                    </w:t>
      </w:r>
      <w:r>
        <w:rPr>
          <w:rFonts w:hint="eastAsia" w:ascii="宋体" w:hAnsi="宋体"/>
          <w:b/>
          <w:sz w:val="24"/>
          <w:szCs w:val="24"/>
          <w:highlight w:val="none"/>
          <w:u w:val="single"/>
        </w:rPr>
        <w:t xml:space="preserve">                        </w:t>
      </w:r>
      <w:r>
        <w:rPr>
          <w:rFonts w:hint="eastAsia" w:ascii="宋体" w:hAnsi="宋体"/>
          <w:b/>
          <w:sz w:val="24"/>
          <w:szCs w:val="24"/>
          <w:highlight w:val="none"/>
          <w:lang w:val="en-US" w:eastAsia="zh-CN"/>
        </w:rPr>
        <w:t>项目</w:t>
      </w:r>
    </w:p>
    <w:p w14:paraId="7E03FEC9">
      <w:pPr>
        <w:pStyle w:val="13"/>
        <w:adjustRightInd w:val="0"/>
        <w:spacing w:before="62" w:beforeLines="20" w:after="62" w:afterLines="20" w:line="360" w:lineRule="auto"/>
        <w:ind w:left="0" w:leftChars="0" w:firstLine="482"/>
        <w:rPr>
          <w:rFonts w:ascii="宋体" w:hAnsi="宋体"/>
          <w:b/>
          <w:szCs w:val="24"/>
          <w:highlight w:val="none"/>
        </w:rPr>
      </w:pPr>
      <w:r>
        <w:rPr>
          <w:rFonts w:hint="eastAsia" w:ascii="宋体" w:hAnsi="宋体"/>
          <w:b/>
          <w:szCs w:val="24"/>
          <w:highlight w:val="none"/>
        </w:rPr>
        <w:t xml:space="preserve"> </w:t>
      </w:r>
    </w:p>
    <w:p w14:paraId="0B23E20C">
      <w:pPr>
        <w:pStyle w:val="5"/>
        <w:spacing w:before="62" w:beforeLines="20" w:after="62" w:afterLines="20" w:line="360" w:lineRule="auto"/>
        <w:jc w:val="center"/>
        <w:rPr>
          <w:rFonts w:ascii="宋体" w:hAnsi="宋体"/>
          <w:b/>
          <w:sz w:val="30"/>
          <w:szCs w:val="30"/>
          <w:highlight w:val="none"/>
        </w:rPr>
      </w:pPr>
      <w:r>
        <w:rPr>
          <w:rFonts w:hint="eastAsia" w:ascii="宋体" w:hAnsi="宋体"/>
          <w:b/>
          <w:sz w:val="30"/>
          <w:szCs w:val="30"/>
          <w:highlight w:val="none"/>
        </w:rPr>
        <w:t>投  标  文  件</w:t>
      </w:r>
    </w:p>
    <w:p w14:paraId="07612A16">
      <w:pPr>
        <w:pStyle w:val="5"/>
        <w:spacing w:before="62" w:beforeLines="20" w:after="62" w:afterLines="20" w:line="360" w:lineRule="auto"/>
        <w:jc w:val="center"/>
        <w:rPr>
          <w:rFonts w:ascii="宋体" w:hAnsi="宋体"/>
          <w:b/>
          <w:sz w:val="24"/>
          <w:szCs w:val="24"/>
          <w:highlight w:val="none"/>
        </w:rPr>
      </w:pPr>
      <w:r>
        <w:rPr>
          <w:rFonts w:hint="eastAsia" w:ascii="宋体" w:hAnsi="宋体"/>
          <w:b/>
          <w:sz w:val="24"/>
          <w:szCs w:val="24"/>
          <w:highlight w:val="none"/>
        </w:rPr>
        <w:t>招标编号：</w:t>
      </w:r>
    </w:p>
    <w:p w14:paraId="49483D82">
      <w:pPr>
        <w:pStyle w:val="5"/>
        <w:spacing w:before="62" w:beforeLines="20" w:after="62" w:afterLines="20" w:line="360" w:lineRule="auto"/>
        <w:jc w:val="center"/>
        <w:rPr>
          <w:rFonts w:ascii="宋体" w:hAnsi="宋体"/>
          <w:sz w:val="24"/>
          <w:szCs w:val="24"/>
          <w:highlight w:val="none"/>
        </w:rPr>
      </w:pPr>
      <w:r>
        <w:rPr>
          <w:rFonts w:hint="eastAsia" w:ascii="宋体" w:hAnsi="宋体"/>
          <w:sz w:val="24"/>
          <w:szCs w:val="24"/>
          <w:highlight w:val="none"/>
        </w:rPr>
        <w:t xml:space="preserve"> </w:t>
      </w:r>
    </w:p>
    <w:p w14:paraId="0042D93A">
      <w:pPr>
        <w:pStyle w:val="5"/>
        <w:spacing w:before="62" w:beforeLines="20" w:after="62" w:afterLines="20" w:line="360" w:lineRule="auto"/>
        <w:jc w:val="center"/>
        <w:rPr>
          <w:rFonts w:ascii="宋体" w:hAnsi="宋体"/>
          <w:sz w:val="24"/>
          <w:szCs w:val="24"/>
          <w:highlight w:val="none"/>
        </w:rPr>
      </w:pPr>
      <w:r>
        <w:rPr>
          <w:rFonts w:hint="eastAsia" w:ascii="宋体" w:hAnsi="宋体"/>
          <w:sz w:val="24"/>
          <w:szCs w:val="24"/>
          <w:highlight w:val="none"/>
        </w:rPr>
        <w:t xml:space="preserve"> </w:t>
      </w:r>
    </w:p>
    <w:p w14:paraId="5E0B1B22">
      <w:pPr>
        <w:pStyle w:val="5"/>
        <w:spacing w:before="62" w:beforeLines="20" w:after="62" w:afterLines="20" w:line="360" w:lineRule="auto"/>
        <w:jc w:val="center"/>
        <w:rPr>
          <w:rFonts w:ascii="宋体" w:hAnsi="宋体"/>
          <w:sz w:val="24"/>
          <w:szCs w:val="24"/>
          <w:highlight w:val="none"/>
        </w:rPr>
      </w:pPr>
      <w:r>
        <w:rPr>
          <w:rFonts w:hint="eastAsia" w:ascii="宋体" w:hAnsi="宋体"/>
          <w:sz w:val="24"/>
          <w:szCs w:val="24"/>
          <w:highlight w:val="none"/>
        </w:rPr>
        <w:t xml:space="preserve"> </w:t>
      </w:r>
    </w:p>
    <w:p w14:paraId="51C70592">
      <w:pPr>
        <w:pStyle w:val="5"/>
        <w:spacing w:before="62" w:beforeLines="20" w:after="62" w:afterLines="20" w:line="360" w:lineRule="auto"/>
        <w:jc w:val="center"/>
        <w:rPr>
          <w:rFonts w:ascii="宋体" w:hAnsi="宋体"/>
          <w:sz w:val="24"/>
          <w:szCs w:val="24"/>
          <w:highlight w:val="none"/>
        </w:rPr>
      </w:pPr>
      <w:r>
        <w:rPr>
          <w:rFonts w:hint="eastAsia" w:ascii="宋体" w:hAnsi="宋体"/>
          <w:sz w:val="24"/>
          <w:szCs w:val="24"/>
          <w:highlight w:val="none"/>
        </w:rPr>
        <w:t xml:space="preserve"> </w:t>
      </w:r>
    </w:p>
    <w:p w14:paraId="0CEF2809">
      <w:pPr>
        <w:pStyle w:val="5"/>
        <w:spacing w:before="62" w:beforeLines="20" w:after="62" w:afterLines="20" w:line="360" w:lineRule="auto"/>
        <w:jc w:val="center"/>
        <w:rPr>
          <w:rFonts w:ascii="宋体" w:hAnsi="宋体"/>
          <w:sz w:val="24"/>
          <w:szCs w:val="24"/>
          <w:highlight w:val="none"/>
        </w:rPr>
      </w:pPr>
      <w:r>
        <w:rPr>
          <w:rFonts w:hint="eastAsia" w:ascii="宋体" w:hAnsi="宋体"/>
          <w:sz w:val="24"/>
          <w:szCs w:val="24"/>
          <w:highlight w:val="none"/>
        </w:rPr>
        <w:t xml:space="preserve"> </w:t>
      </w:r>
    </w:p>
    <w:p w14:paraId="06D459EA">
      <w:pPr>
        <w:pStyle w:val="5"/>
        <w:spacing w:before="62" w:beforeLines="20" w:after="62" w:afterLines="20" w:line="360" w:lineRule="auto"/>
        <w:jc w:val="center"/>
        <w:rPr>
          <w:rFonts w:ascii="宋体" w:hAnsi="宋体"/>
          <w:sz w:val="24"/>
          <w:szCs w:val="24"/>
          <w:highlight w:val="none"/>
        </w:rPr>
      </w:pPr>
      <w:r>
        <w:rPr>
          <w:rFonts w:hint="eastAsia" w:ascii="宋体" w:hAnsi="宋体"/>
          <w:sz w:val="24"/>
          <w:szCs w:val="24"/>
          <w:highlight w:val="none"/>
        </w:rPr>
        <w:t xml:space="preserve"> </w:t>
      </w:r>
    </w:p>
    <w:p w14:paraId="4C0BAFF1">
      <w:pPr>
        <w:pStyle w:val="5"/>
        <w:spacing w:before="62" w:beforeLines="20" w:after="62" w:afterLines="20" w:line="360" w:lineRule="auto"/>
        <w:jc w:val="center"/>
        <w:rPr>
          <w:rFonts w:ascii="宋体" w:hAnsi="宋体"/>
          <w:sz w:val="24"/>
          <w:szCs w:val="24"/>
          <w:highlight w:val="none"/>
        </w:rPr>
      </w:pPr>
      <w:r>
        <w:rPr>
          <w:rFonts w:hint="eastAsia" w:ascii="宋体" w:hAnsi="宋体"/>
          <w:sz w:val="24"/>
          <w:szCs w:val="24"/>
          <w:highlight w:val="none"/>
        </w:rPr>
        <w:t xml:space="preserve"> </w:t>
      </w:r>
    </w:p>
    <w:p w14:paraId="133860F7">
      <w:pPr>
        <w:pStyle w:val="18"/>
        <w:adjustRightInd w:val="0"/>
        <w:spacing w:before="62" w:beforeLines="20" w:after="62" w:afterLines="20" w:line="360" w:lineRule="auto"/>
        <w:ind w:left="130" w:leftChars="62" w:firstLine="1205" w:firstLineChars="500"/>
        <w:rPr>
          <w:rFonts w:ascii="宋体" w:hAnsi="宋体"/>
          <w:b/>
          <w:bCs/>
          <w:szCs w:val="24"/>
          <w:highlight w:val="none"/>
          <w:u w:val="single"/>
        </w:rPr>
      </w:pPr>
      <w:r>
        <w:rPr>
          <w:rFonts w:hint="eastAsia" w:ascii="宋体" w:hAnsi="宋体"/>
          <w:b/>
          <w:bCs/>
          <w:szCs w:val="24"/>
          <w:highlight w:val="none"/>
        </w:rPr>
        <w:t>项目名称：</w:t>
      </w:r>
      <w:r>
        <w:rPr>
          <w:rFonts w:hint="eastAsia" w:ascii="宋体" w:hAnsi="宋体"/>
          <w:b/>
          <w:bCs/>
          <w:szCs w:val="24"/>
          <w:highlight w:val="none"/>
          <w:u w:val="single"/>
        </w:rPr>
        <w:t xml:space="preserve"> </w:t>
      </w:r>
      <w:r>
        <w:rPr>
          <w:rFonts w:hint="eastAsia" w:ascii="宋体" w:hAnsi="宋体"/>
          <w:b/>
          <w:bCs/>
          <w:highlight w:val="none"/>
          <w:u w:val="single"/>
        </w:rPr>
        <w:t xml:space="preserve">                                                        </w:t>
      </w:r>
      <w:r>
        <w:rPr>
          <w:rFonts w:hint="eastAsia" w:ascii="宋体" w:hAnsi="宋体"/>
          <w:b/>
          <w:bCs/>
          <w:szCs w:val="24"/>
          <w:highlight w:val="none"/>
        </w:rPr>
        <w:t xml:space="preserve"> </w:t>
      </w:r>
    </w:p>
    <w:p w14:paraId="17AE9FFD">
      <w:pPr>
        <w:pStyle w:val="18"/>
        <w:adjustRightInd w:val="0"/>
        <w:spacing w:before="62" w:beforeLines="20" w:after="62" w:afterLines="20" w:line="360" w:lineRule="auto"/>
        <w:ind w:left="130" w:leftChars="62" w:firstLine="1205" w:firstLineChars="500"/>
        <w:rPr>
          <w:rFonts w:ascii="宋体" w:hAnsi="宋体"/>
          <w:b/>
          <w:bCs/>
          <w:szCs w:val="24"/>
          <w:highlight w:val="none"/>
        </w:rPr>
      </w:pPr>
      <w:r>
        <w:rPr>
          <w:rFonts w:hint="eastAsia" w:ascii="宋体" w:hAnsi="宋体"/>
          <w:b/>
          <w:bCs/>
          <w:szCs w:val="24"/>
          <w:highlight w:val="none"/>
        </w:rPr>
        <w:t>投标文件内容：</w:t>
      </w:r>
      <w:r>
        <w:rPr>
          <w:rFonts w:hint="eastAsia" w:ascii="宋体" w:hAnsi="宋体"/>
          <w:b/>
          <w:bCs/>
          <w:szCs w:val="24"/>
          <w:highlight w:val="none"/>
          <w:u w:val="single"/>
        </w:rPr>
        <w:t xml:space="preserve">    </w:t>
      </w:r>
      <w:r>
        <w:rPr>
          <w:rFonts w:hint="eastAsia" w:ascii="宋体" w:hAnsi="宋体"/>
          <w:b/>
          <w:bCs/>
          <w:szCs w:val="24"/>
          <w:highlight w:val="none"/>
          <w:u w:val="single"/>
        </w:rPr>
        <w:tab/>
      </w:r>
      <w:r>
        <w:rPr>
          <w:rFonts w:hint="eastAsia" w:ascii="宋体" w:hAnsi="宋体"/>
          <w:b/>
          <w:bCs/>
          <w:szCs w:val="24"/>
          <w:highlight w:val="none"/>
          <w:u w:val="single"/>
        </w:rPr>
        <w:t xml:space="preserve">    投标</w:t>
      </w:r>
      <w:r>
        <w:rPr>
          <w:rFonts w:hint="eastAsia" w:ascii="宋体" w:hAnsi="宋体"/>
          <w:b/>
          <w:bCs/>
          <w:szCs w:val="24"/>
          <w:highlight w:val="none"/>
          <w:u w:val="single"/>
          <w:lang w:val="en-US" w:eastAsia="zh-CN"/>
        </w:rPr>
        <w:t>文件资信标</w:t>
      </w:r>
      <w:r>
        <w:rPr>
          <w:rFonts w:hint="eastAsia" w:ascii="宋体" w:hAnsi="宋体"/>
          <w:b/>
          <w:bCs/>
          <w:szCs w:val="24"/>
          <w:highlight w:val="none"/>
          <w:u w:val="single"/>
        </w:rPr>
        <w:tab/>
      </w:r>
      <w:r>
        <w:rPr>
          <w:rFonts w:hint="eastAsia" w:ascii="宋体" w:hAnsi="宋体"/>
          <w:b/>
          <w:bCs/>
          <w:szCs w:val="24"/>
          <w:highlight w:val="none"/>
          <w:u w:val="single"/>
        </w:rPr>
        <w:t xml:space="preserve">       </w:t>
      </w:r>
      <w:r>
        <w:rPr>
          <w:rFonts w:hint="eastAsia" w:ascii="宋体" w:hAnsi="宋体"/>
          <w:b/>
          <w:bCs/>
          <w:szCs w:val="24"/>
          <w:highlight w:val="none"/>
          <w:u w:val="single"/>
        </w:rPr>
        <w:tab/>
      </w:r>
      <w:r>
        <w:rPr>
          <w:rFonts w:hint="eastAsia" w:ascii="宋体" w:hAnsi="宋体"/>
          <w:b/>
          <w:bCs/>
          <w:szCs w:val="24"/>
          <w:highlight w:val="none"/>
          <w:u w:val="single"/>
        </w:rPr>
        <w:t xml:space="preserve">           </w:t>
      </w:r>
    </w:p>
    <w:p w14:paraId="2C490C7E">
      <w:pPr>
        <w:pStyle w:val="18"/>
        <w:adjustRightInd w:val="0"/>
        <w:spacing w:before="62" w:beforeLines="20" w:after="62" w:afterLines="20" w:line="360" w:lineRule="auto"/>
        <w:ind w:left="145" w:leftChars="69" w:firstLine="1205" w:firstLineChars="500"/>
        <w:rPr>
          <w:rFonts w:ascii="宋体" w:hAnsi="宋体"/>
          <w:b/>
          <w:bCs/>
          <w:szCs w:val="24"/>
          <w:highlight w:val="none"/>
          <w:u w:val="single"/>
        </w:rPr>
      </w:pPr>
      <w:r>
        <w:rPr>
          <w:rFonts w:hint="eastAsia" w:ascii="宋体" w:hAnsi="宋体"/>
          <w:b/>
          <w:bCs/>
          <w:szCs w:val="24"/>
          <w:highlight w:val="none"/>
        </w:rPr>
        <w:t>投 标 人：</w:t>
      </w:r>
      <w:r>
        <w:rPr>
          <w:rFonts w:hint="eastAsia" w:ascii="宋体" w:hAnsi="宋体"/>
          <w:b/>
          <w:bCs/>
          <w:szCs w:val="24"/>
          <w:highlight w:val="none"/>
          <w:u w:val="single"/>
        </w:rPr>
        <w:t xml:space="preserve">               （盖公章） </w:t>
      </w:r>
      <w:r>
        <w:rPr>
          <w:rFonts w:hint="eastAsia" w:ascii="宋体" w:hAnsi="宋体"/>
          <w:b/>
          <w:bCs/>
          <w:highlight w:val="none"/>
          <w:u w:val="single"/>
        </w:rPr>
        <w:t xml:space="preserve">                      </w:t>
      </w:r>
      <w:r>
        <w:rPr>
          <w:rFonts w:hint="eastAsia" w:ascii="宋体" w:hAnsi="宋体"/>
          <w:b/>
          <w:bCs/>
          <w:szCs w:val="24"/>
          <w:highlight w:val="none"/>
        </w:rPr>
        <w:t xml:space="preserve">    </w:t>
      </w:r>
    </w:p>
    <w:p w14:paraId="33809B2B">
      <w:pPr>
        <w:pStyle w:val="18"/>
        <w:adjustRightInd w:val="0"/>
        <w:spacing w:before="62" w:beforeLines="20" w:after="62" w:afterLines="20" w:line="360" w:lineRule="auto"/>
        <w:ind w:left="147" w:leftChars="70" w:firstLine="1205" w:firstLineChars="500"/>
        <w:rPr>
          <w:rFonts w:ascii="宋体" w:hAnsi="宋体"/>
          <w:b/>
          <w:bCs/>
          <w:szCs w:val="24"/>
          <w:highlight w:val="none"/>
        </w:rPr>
      </w:pPr>
      <w:r>
        <w:rPr>
          <w:rFonts w:hint="eastAsia" w:ascii="宋体" w:hAnsi="宋体"/>
          <w:b/>
          <w:bCs/>
          <w:szCs w:val="24"/>
          <w:highlight w:val="none"/>
        </w:rPr>
        <w:t>法定代表人或</w:t>
      </w:r>
    </w:p>
    <w:p w14:paraId="7ECEDFE5">
      <w:pPr>
        <w:pStyle w:val="18"/>
        <w:adjustRightInd w:val="0"/>
        <w:spacing w:before="62" w:beforeLines="20" w:after="62" w:afterLines="20" w:line="360" w:lineRule="auto"/>
        <w:ind w:left="147" w:leftChars="70" w:firstLine="1205" w:firstLineChars="500"/>
        <w:rPr>
          <w:rFonts w:ascii="宋体" w:hAnsi="宋体"/>
          <w:b/>
          <w:bCs/>
          <w:sz w:val="21"/>
          <w:szCs w:val="21"/>
          <w:highlight w:val="none"/>
          <w:u w:val="single"/>
        </w:rPr>
      </w:pPr>
      <w:r>
        <w:rPr>
          <w:rFonts w:hint="eastAsia" w:ascii="宋体" w:hAnsi="宋体"/>
          <w:b/>
          <w:bCs/>
          <w:szCs w:val="24"/>
          <w:highlight w:val="none"/>
        </w:rPr>
        <w:t>其委托代理人：</w:t>
      </w:r>
      <w:r>
        <w:rPr>
          <w:rFonts w:hint="eastAsia" w:ascii="宋体" w:hAnsi="宋体"/>
          <w:b/>
          <w:bCs/>
          <w:szCs w:val="24"/>
          <w:highlight w:val="none"/>
          <w:u w:val="single"/>
        </w:rPr>
        <w:t xml:space="preserve">         （签字或盖章）</w:t>
      </w:r>
      <w:r>
        <w:rPr>
          <w:rFonts w:hint="eastAsia" w:ascii="宋体" w:hAnsi="宋体"/>
          <w:b/>
          <w:bCs/>
          <w:highlight w:val="none"/>
          <w:u w:val="single"/>
        </w:rPr>
        <w:t xml:space="preserve">                        </w:t>
      </w:r>
    </w:p>
    <w:p w14:paraId="6E751D2B">
      <w:pPr>
        <w:adjustRightInd w:val="0"/>
        <w:spacing w:before="62" w:beforeLines="20" w:after="62" w:afterLines="20" w:line="360" w:lineRule="auto"/>
        <w:ind w:firstLine="1417" w:firstLineChars="588"/>
        <w:rPr>
          <w:rFonts w:ascii="宋体" w:hAnsi="宋体"/>
          <w:b/>
          <w:sz w:val="24"/>
          <w:szCs w:val="24"/>
          <w:highlight w:val="none"/>
        </w:rPr>
      </w:pPr>
      <w:r>
        <w:rPr>
          <w:rFonts w:hint="eastAsia" w:ascii="宋体" w:hAnsi="宋体"/>
          <w:b/>
          <w:sz w:val="24"/>
          <w:szCs w:val="24"/>
          <w:highlight w:val="none"/>
        </w:rPr>
        <w:t xml:space="preserve"> </w:t>
      </w:r>
    </w:p>
    <w:p w14:paraId="348F68D2">
      <w:pPr>
        <w:adjustRightInd w:val="0"/>
        <w:spacing w:before="62" w:beforeLines="20" w:after="62" w:afterLines="20" w:line="360" w:lineRule="auto"/>
        <w:ind w:firstLine="1417" w:firstLineChars="588"/>
        <w:rPr>
          <w:rFonts w:ascii="宋体" w:hAnsi="宋体"/>
          <w:b/>
          <w:sz w:val="24"/>
          <w:szCs w:val="24"/>
          <w:highlight w:val="none"/>
        </w:rPr>
      </w:pPr>
      <w:r>
        <w:rPr>
          <w:rFonts w:hint="eastAsia" w:ascii="宋体" w:hAnsi="宋体"/>
          <w:b/>
          <w:sz w:val="24"/>
          <w:szCs w:val="24"/>
          <w:highlight w:val="none"/>
        </w:rPr>
        <w:t>日  期：</w:t>
      </w:r>
      <w:r>
        <w:rPr>
          <w:rFonts w:hint="eastAsia" w:ascii="宋体" w:hAnsi="宋体"/>
          <w:b/>
          <w:sz w:val="24"/>
          <w:szCs w:val="24"/>
          <w:highlight w:val="none"/>
          <w:u w:val="single"/>
        </w:rPr>
        <w:t xml:space="preserve">      </w:t>
      </w:r>
      <w:r>
        <w:rPr>
          <w:rFonts w:hint="eastAsia" w:ascii="宋体" w:hAnsi="宋体"/>
          <w:b/>
          <w:sz w:val="24"/>
          <w:szCs w:val="24"/>
          <w:highlight w:val="none"/>
        </w:rPr>
        <w:t xml:space="preserve"> 年</w:t>
      </w:r>
      <w:r>
        <w:rPr>
          <w:rFonts w:hint="eastAsia" w:ascii="宋体" w:hAnsi="宋体"/>
          <w:b/>
          <w:sz w:val="24"/>
          <w:szCs w:val="24"/>
          <w:highlight w:val="none"/>
          <w:u w:val="single"/>
        </w:rPr>
        <w:t xml:space="preserve">     </w:t>
      </w:r>
      <w:r>
        <w:rPr>
          <w:rFonts w:hint="eastAsia" w:ascii="宋体" w:hAnsi="宋体"/>
          <w:b/>
          <w:sz w:val="24"/>
          <w:szCs w:val="24"/>
          <w:highlight w:val="none"/>
        </w:rPr>
        <w:t xml:space="preserve"> 月</w:t>
      </w:r>
      <w:r>
        <w:rPr>
          <w:rFonts w:hint="eastAsia" w:ascii="宋体" w:hAnsi="宋体"/>
          <w:b/>
          <w:sz w:val="24"/>
          <w:szCs w:val="24"/>
          <w:highlight w:val="none"/>
          <w:u w:val="single"/>
        </w:rPr>
        <w:t xml:space="preserve">     </w:t>
      </w:r>
      <w:r>
        <w:rPr>
          <w:rFonts w:hint="eastAsia" w:ascii="宋体" w:hAnsi="宋体"/>
          <w:b/>
          <w:sz w:val="24"/>
          <w:szCs w:val="24"/>
          <w:highlight w:val="none"/>
        </w:rPr>
        <w:t>日</w:t>
      </w:r>
    </w:p>
    <w:p w14:paraId="508DF45B">
      <w:pPr>
        <w:pStyle w:val="22"/>
        <w:spacing w:line="360" w:lineRule="auto"/>
        <w:ind w:left="982" w:hanging="562"/>
        <w:jc w:val="center"/>
        <w:rPr>
          <w:rFonts w:hAnsi="宋体" w:cs="宋体"/>
          <w:b/>
          <w:sz w:val="36"/>
          <w:szCs w:val="36"/>
          <w:highlight w:val="none"/>
        </w:rPr>
      </w:pPr>
      <w:r>
        <w:rPr>
          <w:rFonts w:hAnsi="宋体" w:cs="宋体"/>
          <w:b/>
          <w:sz w:val="36"/>
          <w:szCs w:val="36"/>
          <w:highlight w:val="none"/>
        </w:rPr>
        <w:br w:type="page"/>
      </w:r>
      <w:r>
        <w:rPr>
          <w:rFonts w:hint="eastAsia" w:hAnsi="宋体" w:cs="宋体"/>
          <w:b/>
          <w:sz w:val="36"/>
          <w:szCs w:val="36"/>
          <w:highlight w:val="none"/>
        </w:rPr>
        <w:t>目录</w:t>
      </w:r>
    </w:p>
    <w:p w14:paraId="00BA27D7">
      <w:pPr>
        <w:pStyle w:val="22"/>
        <w:adjustRightInd w:val="0"/>
        <w:snapToGrid w:val="0"/>
        <w:spacing w:line="360" w:lineRule="auto"/>
        <w:ind w:left="1140" w:hanging="720"/>
        <w:jc w:val="center"/>
        <w:rPr>
          <w:rFonts w:hAnsi="宋体" w:cs="宋体"/>
          <w:bCs/>
          <w:sz w:val="36"/>
          <w:szCs w:val="36"/>
          <w:highlight w:val="none"/>
        </w:rPr>
      </w:pPr>
    </w:p>
    <w:p w14:paraId="646A8513">
      <w:pPr>
        <w:pStyle w:val="22"/>
        <w:spacing w:line="560" w:lineRule="exact"/>
        <w:ind w:left="420" w:firstLine="480" w:firstLineChars="200"/>
        <w:rPr>
          <w:rFonts w:hAnsi="宋体" w:cs="仿宋_GB2312"/>
          <w:bCs/>
          <w:sz w:val="24"/>
          <w:szCs w:val="24"/>
          <w:highlight w:val="none"/>
        </w:rPr>
      </w:pPr>
      <w:r>
        <w:rPr>
          <w:rFonts w:hint="eastAsia" w:hAnsi="宋体" w:cs="仿宋_GB2312"/>
          <w:bCs/>
          <w:sz w:val="24"/>
          <w:szCs w:val="24"/>
          <w:highlight w:val="none"/>
        </w:rPr>
        <w:t>（一）法定代表人身份证明书</w:t>
      </w:r>
    </w:p>
    <w:p w14:paraId="74F60D9C">
      <w:pPr>
        <w:pStyle w:val="22"/>
        <w:spacing w:line="560" w:lineRule="exact"/>
        <w:ind w:left="420" w:firstLine="480" w:firstLineChars="200"/>
        <w:rPr>
          <w:rFonts w:hAnsi="宋体" w:cs="仿宋_GB2312"/>
          <w:bCs/>
          <w:sz w:val="24"/>
          <w:szCs w:val="24"/>
          <w:highlight w:val="none"/>
        </w:rPr>
      </w:pPr>
      <w:r>
        <w:rPr>
          <w:rFonts w:hint="eastAsia" w:hAnsi="宋体" w:cs="仿宋_GB2312"/>
          <w:bCs/>
          <w:sz w:val="24"/>
          <w:szCs w:val="24"/>
          <w:highlight w:val="none"/>
        </w:rPr>
        <w:t>（二）法定代表人身份证复印件或扫描件</w:t>
      </w:r>
    </w:p>
    <w:p w14:paraId="2E364B46">
      <w:pPr>
        <w:pStyle w:val="22"/>
        <w:spacing w:line="560" w:lineRule="exact"/>
        <w:ind w:left="420" w:firstLine="480" w:firstLineChars="200"/>
        <w:rPr>
          <w:rFonts w:hAnsi="宋体" w:cs="仿宋_GB2312"/>
          <w:bCs/>
          <w:sz w:val="24"/>
          <w:szCs w:val="24"/>
          <w:highlight w:val="none"/>
        </w:rPr>
      </w:pPr>
      <w:r>
        <w:rPr>
          <w:rFonts w:hint="eastAsia" w:hAnsi="宋体" w:cs="仿宋_GB2312"/>
          <w:bCs/>
          <w:sz w:val="24"/>
          <w:szCs w:val="24"/>
          <w:highlight w:val="none"/>
        </w:rPr>
        <w:t>（三）授权委托书</w:t>
      </w:r>
    </w:p>
    <w:p w14:paraId="3DA6FDE6">
      <w:pPr>
        <w:pStyle w:val="22"/>
        <w:spacing w:line="560" w:lineRule="exact"/>
        <w:ind w:left="420" w:firstLine="480" w:firstLineChars="200"/>
        <w:rPr>
          <w:rFonts w:hAnsi="宋体" w:cs="仿宋_GB2312"/>
          <w:bCs/>
          <w:sz w:val="24"/>
          <w:szCs w:val="24"/>
          <w:highlight w:val="none"/>
        </w:rPr>
      </w:pPr>
      <w:r>
        <w:rPr>
          <w:rFonts w:hint="eastAsia" w:hAnsi="宋体" w:cs="仿宋_GB2312"/>
          <w:bCs/>
          <w:sz w:val="24"/>
          <w:szCs w:val="24"/>
          <w:highlight w:val="none"/>
        </w:rPr>
        <w:t>（四）授权委托人身份证复印件或扫描件</w:t>
      </w:r>
    </w:p>
    <w:p w14:paraId="2E609369">
      <w:pPr>
        <w:pStyle w:val="22"/>
        <w:spacing w:line="560" w:lineRule="exact"/>
        <w:ind w:left="420" w:firstLine="480" w:firstLineChars="200"/>
        <w:rPr>
          <w:rFonts w:hAnsi="宋体" w:cs="仿宋_GB2312"/>
          <w:bCs/>
          <w:sz w:val="24"/>
          <w:szCs w:val="24"/>
          <w:highlight w:val="none"/>
        </w:rPr>
      </w:pPr>
      <w:r>
        <w:rPr>
          <w:rFonts w:hint="eastAsia" w:hAnsi="宋体" w:cs="仿宋_GB2312"/>
          <w:bCs/>
          <w:sz w:val="24"/>
          <w:szCs w:val="24"/>
          <w:highlight w:val="none"/>
        </w:rPr>
        <w:t>（五）投标人营业执照复印件或扫描件</w:t>
      </w:r>
    </w:p>
    <w:p w14:paraId="74899E7A">
      <w:pPr>
        <w:pStyle w:val="22"/>
        <w:spacing w:line="560" w:lineRule="exact"/>
        <w:ind w:left="420" w:firstLine="480" w:firstLineChars="200"/>
        <w:rPr>
          <w:rFonts w:hAnsi="宋体" w:cs="仿宋_GB2312"/>
          <w:bCs/>
          <w:sz w:val="24"/>
          <w:szCs w:val="24"/>
          <w:highlight w:val="none"/>
        </w:rPr>
      </w:pPr>
      <w:r>
        <w:rPr>
          <w:rFonts w:hint="eastAsia" w:hAnsi="宋体" w:cs="仿宋_GB2312"/>
          <w:bCs/>
          <w:sz w:val="24"/>
          <w:szCs w:val="24"/>
          <w:highlight w:val="none"/>
        </w:rPr>
        <w:t>（六）诚信承诺书</w:t>
      </w:r>
    </w:p>
    <w:p w14:paraId="17721817">
      <w:pPr>
        <w:pStyle w:val="22"/>
        <w:spacing w:line="560" w:lineRule="exact"/>
        <w:ind w:left="420" w:firstLine="480" w:firstLineChars="200"/>
        <w:rPr>
          <w:rFonts w:hAnsi="宋体" w:cs="仿宋_GB2312"/>
          <w:bCs/>
          <w:sz w:val="24"/>
          <w:szCs w:val="24"/>
          <w:highlight w:val="none"/>
        </w:rPr>
      </w:pPr>
      <w:r>
        <w:rPr>
          <w:rFonts w:hint="eastAsia" w:hAnsi="宋体" w:cs="仿宋_GB2312"/>
          <w:bCs/>
          <w:sz w:val="24"/>
          <w:szCs w:val="24"/>
          <w:highlight w:val="none"/>
        </w:rPr>
        <w:t>（七）招标文件要求的其他资料</w:t>
      </w:r>
    </w:p>
    <w:p w14:paraId="7C2A4591">
      <w:pPr>
        <w:pStyle w:val="22"/>
        <w:spacing w:line="360" w:lineRule="auto"/>
        <w:ind w:left="980" w:hanging="560"/>
        <w:jc w:val="center"/>
        <w:rPr>
          <w:rFonts w:hAnsi="宋体" w:cs="宋体"/>
          <w:bCs/>
          <w:sz w:val="28"/>
          <w:szCs w:val="28"/>
          <w:highlight w:val="none"/>
        </w:rPr>
      </w:pPr>
    </w:p>
    <w:p w14:paraId="3721ACFE">
      <w:pPr>
        <w:pStyle w:val="22"/>
        <w:spacing w:line="360" w:lineRule="auto"/>
        <w:ind w:left="980" w:hanging="560"/>
        <w:jc w:val="center"/>
        <w:rPr>
          <w:rFonts w:hAnsi="宋体" w:cs="宋体"/>
          <w:bCs/>
          <w:sz w:val="28"/>
          <w:szCs w:val="28"/>
          <w:highlight w:val="none"/>
        </w:rPr>
      </w:pPr>
    </w:p>
    <w:p w14:paraId="23E87C08">
      <w:pPr>
        <w:pStyle w:val="22"/>
        <w:spacing w:line="360" w:lineRule="auto"/>
        <w:ind w:left="980" w:hanging="560"/>
        <w:jc w:val="center"/>
        <w:rPr>
          <w:rFonts w:hAnsi="宋体" w:cs="宋体"/>
          <w:bCs/>
          <w:sz w:val="28"/>
          <w:szCs w:val="28"/>
          <w:highlight w:val="none"/>
        </w:rPr>
      </w:pPr>
    </w:p>
    <w:p w14:paraId="585A62E8">
      <w:pPr>
        <w:pStyle w:val="22"/>
        <w:spacing w:line="360" w:lineRule="auto"/>
        <w:ind w:left="980" w:hanging="560"/>
        <w:jc w:val="center"/>
        <w:rPr>
          <w:rFonts w:hAnsi="宋体" w:cs="宋体"/>
          <w:bCs/>
          <w:sz w:val="28"/>
          <w:szCs w:val="28"/>
          <w:highlight w:val="none"/>
        </w:rPr>
      </w:pPr>
    </w:p>
    <w:p w14:paraId="49C34715">
      <w:pPr>
        <w:pStyle w:val="22"/>
        <w:spacing w:line="360" w:lineRule="auto"/>
        <w:ind w:left="980" w:hanging="560"/>
        <w:jc w:val="center"/>
        <w:rPr>
          <w:rFonts w:hAnsi="宋体" w:cs="宋体"/>
          <w:bCs/>
          <w:sz w:val="28"/>
          <w:szCs w:val="28"/>
          <w:highlight w:val="none"/>
        </w:rPr>
      </w:pPr>
    </w:p>
    <w:p w14:paraId="3EF6A33F">
      <w:pPr>
        <w:pStyle w:val="22"/>
        <w:spacing w:line="360" w:lineRule="auto"/>
        <w:ind w:left="982" w:hanging="562"/>
        <w:jc w:val="center"/>
        <w:rPr>
          <w:rFonts w:hAnsi="宋体" w:cs="宋体"/>
          <w:b/>
          <w:sz w:val="28"/>
          <w:szCs w:val="28"/>
          <w:highlight w:val="none"/>
        </w:rPr>
      </w:pPr>
      <w:r>
        <w:rPr>
          <w:rFonts w:hAnsi="宋体"/>
          <w:b/>
          <w:sz w:val="28"/>
          <w:szCs w:val="28"/>
          <w:highlight w:val="none"/>
        </w:rPr>
        <w:br w:type="page"/>
      </w:r>
      <w:r>
        <w:rPr>
          <w:rFonts w:hint="eastAsia" w:hAnsi="宋体" w:cs="宋体"/>
          <w:b/>
          <w:sz w:val="28"/>
          <w:szCs w:val="28"/>
          <w:highlight w:val="none"/>
        </w:rPr>
        <w:t>（一）法定代表人身份证明书</w:t>
      </w:r>
    </w:p>
    <w:p w14:paraId="72282B45">
      <w:pPr>
        <w:spacing w:before="62" w:beforeLines="20" w:after="62" w:afterLines="20" w:line="360" w:lineRule="auto"/>
        <w:ind w:firstLine="610"/>
        <w:rPr>
          <w:rFonts w:hAnsi="宋体"/>
          <w:highlight w:val="none"/>
        </w:rPr>
      </w:pPr>
    </w:p>
    <w:p w14:paraId="25C39583">
      <w:pPr>
        <w:spacing w:before="62" w:beforeLines="20" w:after="62" w:afterLines="20" w:line="360" w:lineRule="auto"/>
        <w:ind w:firstLine="610"/>
        <w:rPr>
          <w:rFonts w:hAnsi="宋体"/>
          <w:highlight w:val="none"/>
        </w:rPr>
      </w:pPr>
    </w:p>
    <w:p w14:paraId="6F92A1C1">
      <w:pPr>
        <w:spacing w:before="62" w:beforeLines="20" w:after="62" w:afterLines="20" w:line="360" w:lineRule="auto"/>
        <w:ind w:firstLine="610"/>
        <w:rPr>
          <w:rFonts w:hAnsi="宋体"/>
          <w:highlight w:val="none"/>
        </w:rPr>
      </w:pPr>
      <w:r>
        <w:rPr>
          <w:rFonts w:hint="eastAsia" w:hAnsi="宋体"/>
          <w:highlight w:val="none"/>
        </w:rPr>
        <w:t>单位名称：</w:t>
      </w:r>
    </w:p>
    <w:p w14:paraId="0AD51B84">
      <w:pPr>
        <w:spacing w:before="62" w:beforeLines="20" w:after="62" w:afterLines="20" w:line="360" w:lineRule="auto"/>
        <w:ind w:firstLine="610"/>
        <w:rPr>
          <w:rFonts w:hAnsi="宋体"/>
          <w:highlight w:val="none"/>
          <w:u w:val="single"/>
        </w:rPr>
      </w:pPr>
      <w:r>
        <w:rPr>
          <w:rFonts w:hint="eastAsia" w:hAnsi="宋体"/>
          <w:highlight w:val="none"/>
        </w:rPr>
        <w:t>单位性质：</w:t>
      </w:r>
    </w:p>
    <w:p w14:paraId="288B4EC2">
      <w:pPr>
        <w:spacing w:before="62" w:beforeLines="20" w:after="62" w:afterLines="20" w:line="360" w:lineRule="auto"/>
        <w:ind w:firstLine="610"/>
        <w:rPr>
          <w:rFonts w:hAnsi="宋体"/>
          <w:highlight w:val="none"/>
        </w:rPr>
      </w:pPr>
      <w:r>
        <w:rPr>
          <w:rFonts w:hint="eastAsia" w:hAnsi="宋体"/>
          <w:highlight w:val="none"/>
        </w:rPr>
        <w:t>地址：</w:t>
      </w:r>
      <w:r>
        <w:rPr>
          <w:rFonts w:hint="eastAsia" w:hAnsi="宋体"/>
          <w:highlight w:val="none"/>
          <w:u w:val="single"/>
        </w:rPr>
        <w:tab/>
      </w:r>
      <w:r>
        <w:rPr>
          <w:rFonts w:hint="eastAsia" w:hAnsi="宋体"/>
          <w:highlight w:val="none"/>
          <w:u w:val="single"/>
        </w:rPr>
        <w:tab/>
      </w:r>
      <w:r>
        <w:rPr>
          <w:rFonts w:hint="eastAsia" w:hAnsi="宋体"/>
          <w:highlight w:val="none"/>
          <w:u w:val="single"/>
        </w:rPr>
        <w:tab/>
      </w:r>
      <w:r>
        <w:rPr>
          <w:rFonts w:hint="eastAsia" w:hAnsi="宋体"/>
          <w:highlight w:val="none"/>
          <w:u w:val="single"/>
        </w:rPr>
        <w:tab/>
      </w:r>
      <w:r>
        <w:rPr>
          <w:rFonts w:hint="eastAsia" w:hAnsi="宋体"/>
          <w:highlight w:val="none"/>
          <w:u w:val="single"/>
        </w:rPr>
        <w:tab/>
      </w:r>
      <w:r>
        <w:rPr>
          <w:rFonts w:hint="eastAsia" w:hAnsi="宋体"/>
          <w:highlight w:val="none"/>
          <w:u w:val="single"/>
        </w:rPr>
        <w:tab/>
      </w:r>
      <w:r>
        <w:rPr>
          <w:rFonts w:hint="eastAsia" w:hAnsi="宋体"/>
          <w:highlight w:val="none"/>
          <w:u w:val="single"/>
        </w:rPr>
        <w:tab/>
      </w:r>
      <w:r>
        <w:rPr>
          <w:rFonts w:hint="eastAsia" w:hAnsi="宋体"/>
          <w:highlight w:val="none"/>
          <w:u w:val="single"/>
        </w:rPr>
        <w:tab/>
      </w:r>
      <w:r>
        <w:rPr>
          <w:rFonts w:hint="eastAsia" w:hAnsi="宋体"/>
          <w:highlight w:val="none"/>
          <w:u w:val="single"/>
        </w:rPr>
        <w:tab/>
      </w:r>
    </w:p>
    <w:p w14:paraId="62738B3B">
      <w:pPr>
        <w:spacing w:before="62" w:beforeLines="20" w:after="62" w:afterLines="20" w:line="360" w:lineRule="auto"/>
        <w:ind w:firstLine="610"/>
        <w:rPr>
          <w:rFonts w:hAnsi="宋体"/>
          <w:highlight w:val="none"/>
        </w:rPr>
      </w:pPr>
      <w:r>
        <w:rPr>
          <w:rFonts w:hint="eastAsia" w:hAnsi="宋体"/>
          <w:highlight w:val="none"/>
        </w:rPr>
        <w:t>成立时间：年月日</w:t>
      </w:r>
    </w:p>
    <w:p w14:paraId="3EDA5392">
      <w:pPr>
        <w:spacing w:before="62" w:beforeLines="20" w:after="62" w:afterLines="20" w:line="360" w:lineRule="auto"/>
        <w:ind w:firstLine="610"/>
        <w:rPr>
          <w:rFonts w:hAnsi="宋体"/>
          <w:highlight w:val="none"/>
        </w:rPr>
      </w:pPr>
      <w:r>
        <w:rPr>
          <w:rFonts w:hint="eastAsia" w:hAnsi="宋体"/>
          <w:highlight w:val="none"/>
        </w:rPr>
        <w:t>经营期限：</w:t>
      </w:r>
      <w:r>
        <w:rPr>
          <w:rFonts w:hint="eastAsia" w:hAnsi="宋体"/>
          <w:highlight w:val="none"/>
        </w:rPr>
        <w:tab/>
      </w:r>
    </w:p>
    <w:p w14:paraId="01FCE970">
      <w:pPr>
        <w:spacing w:before="62" w:beforeLines="20" w:after="62" w:afterLines="20" w:line="360" w:lineRule="auto"/>
        <w:ind w:firstLine="610"/>
        <w:rPr>
          <w:rFonts w:hAnsi="宋体"/>
          <w:highlight w:val="none"/>
          <w:u w:val="single"/>
        </w:rPr>
      </w:pPr>
      <w:r>
        <w:rPr>
          <w:rFonts w:hint="eastAsia" w:hAnsi="宋体"/>
          <w:highlight w:val="none"/>
        </w:rPr>
        <w:t>姓名：性别：</w:t>
      </w:r>
    </w:p>
    <w:p w14:paraId="4872E428">
      <w:pPr>
        <w:spacing w:before="62" w:beforeLines="20" w:after="62" w:afterLines="20" w:line="360" w:lineRule="auto"/>
        <w:ind w:firstLine="610"/>
        <w:rPr>
          <w:rFonts w:hAnsi="宋体"/>
          <w:highlight w:val="none"/>
          <w:u w:val="single"/>
        </w:rPr>
      </w:pPr>
      <w:r>
        <w:rPr>
          <w:rFonts w:hint="eastAsia" w:hAnsi="宋体"/>
          <w:highlight w:val="none"/>
        </w:rPr>
        <w:t>年龄：职务：</w:t>
      </w:r>
      <w:r>
        <w:rPr>
          <w:rFonts w:hint="eastAsia" w:hAnsi="宋体"/>
          <w:highlight w:val="none"/>
        </w:rPr>
        <w:tab/>
      </w:r>
    </w:p>
    <w:p w14:paraId="3621DF97">
      <w:pPr>
        <w:spacing w:before="62" w:beforeLines="20" w:after="62" w:afterLines="20" w:line="360" w:lineRule="auto"/>
        <w:ind w:firstLine="610"/>
        <w:rPr>
          <w:rFonts w:hAnsi="宋体"/>
          <w:highlight w:val="none"/>
        </w:rPr>
      </w:pPr>
      <w:r>
        <w:rPr>
          <w:rFonts w:hint="eastAsia" w:hAnsi="宋体"/>
          <w:highlight w:val="none"/>
        </w:rPr>
        <w:t>系</w:t>
      </w:r>
      <w:r>
        <w:rPr>
          <w:rFonts w:hint="eastAsia" w:hAnsi="宋体"/>
          <w:highlight w:val="none"/>
          <w:u w:val="single"/>
        </w:rPr>
        <w:t>（投标人单位名称）</w:t>
      </w:r>
      <w:r>
        <w:rPr>
          <w:rFonts w:hint="eastAsia" w:hAnsi="宋体"/>
          <w:highlight w:val="none"/>
        </w:rPr>
        <w:t>的法定代表人。</w:t>
      </w:r>
    </w:p>
    <w:p w14:paraId="554C784F">
      <w:pPr>
        <w:spacing w:before="62" w:beforeLines="20" w:after="62" w:afterLines="20" w:line="360" w:lineRule="auto"/>
        <w:ind w:firstLine="610"/>
        <w:rPr>
          <w:rFonts w:hAnsi="宋体"/>
          <w:highlight w:val="none"/>
        </w:rPr>
      </w:pPr>
    </w:p>
    <w:p w14:paraId="5E471415">
      <w:pPr>
        <w:pStyle w:val="13"/>
        <w:spacing w:before="62" w:beforeLines="20" w:after="62" w:afterLines="20" w:line="360" w:lineRule="auto"/>
        <w:ind w:firstLine="240" w:firstLineChars="100"/>
        <w:rPr>
          <w:rFonts w:ascii="宋体" w:hAnsi="宋体" w:cs="宋体"/>
          <w:szCs w:val="21"/>
          <w:highlight w:val="none"/>
        </w:rPr>
      </w:pPr>
      <w:r>
        <w:rPr>
          <w:rFonts w:hint="eastAsia" w:ascii="宋体" w:hAnsi="宋体" w:cs="宋体"/>
          <w:szCs w:val="21"/>
          <w:highlight w:val="none"/>
        </w:rPr>
        <w:t>特此证明。</w:t>
      </w:r>
    </w:p>
    <w:p w14:paraId="0775F31F">
      <w:pPr>
        <w:pStyle w:val="13"/>
        <w:spacing w:before="62" w:beforeLines="20" w:after="62" w:afterLines="20" w:line="360" w:lineRule="auto"/>
        <w:ind w:firstLine="240" w:firstLineChars="100"/>
        <w:rPr>
          <w:rFonts w:ascii="宋体" w:hAnsi="宋体" w:cs="宋体"/>
          <w:szCs w:val="21"/>
          <w:highlight w:val="none"/>
        </w:rPr>
      </w:pPr>
    </w:p>
    <w:p w14:paraId="7026275F">
      <w:pPr>
        <w:pStyle w:val="13"/>
        <w:spacing w:before="62" w:beforeLines="20" w:after="62" w:afterLines="20" w:line="360" w:lineRule="auto"/>
        <w:ind w:firstLine="240" w:firstLineChars="100"/>
        <w:rPr>
          <w:rFonts w:ascii="宋体" w:hAnsi="宋体" w:cs="宋体"/>
          <w:szCs w:val="21"/>
          <w:highlight w:val="none"/>
        </w:rPr>
      </w:pPr>
    </w:p>
    <w:p w14:paraId="40D3B94F">
      <w:pPr>
        <w:pStyle w:val="13"/>
        <w:spacing w:before="62" w:beforeLines="20" w:after="62" w:afterLines="20" w:line="360" w:lineRule="auto"/>
        <w:ind w:firstLine="240" w:firstLineChars="100"/>
        <w:rPr>
          <w:rFonts w:ascii="宋体" w:hAnsi="宋体" w:cs="宋体"/>
          <w:szCs w:val="21"/>
          <w:highlight w:val="none"/>
        </w:rPr>
      </w:pPr>
    </w:p>
    <w:p w14:paraId="4FB5C145">
      <w:pPr>
        <w:tabs>
          <w:tab w:val="left" w:pos="720"/>
          <w:tab w:val="left" w:pos="900"/>
        </w:tabs>
        <w:spacing w:before="62" w:beforeLines="20" w:after="62" w:afterLines="20" w:line="360" w:lineRule="auto"/>
        <w:ind w:firstLine="3360" w:firstLineChars="1600"/>
        <w:rPr>
          <w:rFonts w:hAnsi="宋体"/>
          <w:highlight w:val="none"/>
          <w:u w:val="single"/>
        </w:rPr>
      </w:pPr>
      <w:r>
        <w:rPr>
          <w:rFonts w:hint="eastAsia" w:hAnsi="宋体"/>
          <w:highlight w:val="none"/>
        </w:rPr>
        <w:t>投标人：</w:t>
      </w:r>
      <w:r>
        <w:rPr>
          <w:rFonts w:hint="eastAsia" w:hAnsi="宋体"/>
          <w:highlight w:val="none"/>
          <w:u w:val="single"/>
        </w:rPr>
        <w:t>（盖公章）</w:t>
      </w:r>
    </w:p>
    <w:p w14:paraId="044E2EE4">
      <w:pPr>
        <w:spacing w:before="62" w:beforeLines="20" w:after="62" w:afterLines="20" w:line="360" w:lineRule="auto"/>
        <w:ind w:firstLine="3360" w:firstLineChars="1600"/>
        <w:rPr>
          <w:rFonts w:hAnsi="宋体"/>
          <w:b/>
          <w:highlight w:val="none"/>
        </w:rPr>
      </w:pPr>
      <w:r>
        <w:rPr>
          <w:rFonts w:hint="eastAsia" w:hAnsi="宋体"/>
          <w:highlight w:val="none"/>
        </w:rPr>
        <w:t>日期：年月日</w:t>
      </w:r>
    </w:p>
    <w:p w14:paraId="4445AFDF">
      <w:pPr>
        <w:widowControl/>
        <w:jc w:val="left"/>
        <w:rPr>
          <w:rFonts w:ascii="宋体" w:hAnsi="宋体"/>
          <w:b/>
          <w:sz w:val="28"/>
          <w:szCs w:val="28"/>
          <w:highlight w:val="none"/>
        </w:rPr>
      </w:pPr>
      <w:bookmarkStart w:id="32" w:name="_Toc171581548"/>
      <w:bookmarkStart w:id="33" w:name="_Toc171581368"/>
      <w:bookmarkStart w:id="34" w:name="_Toc171741991"/>
      <w:r>
        <w:rPr>
          <w:rFonts w:hAnsi="宋体"/>
          <w:b/>
          <w:sz w:val="28"/>
          <w:szCs w:val="28"/>
          <w:highlight w:val="none"/>
        </w:rPr>
        <w:br w:type="page"/>
      </w:r>
    </w:p>
    <w:p w14:paraId="31990E6B">
      <w:pPr>
        <w:pStyle w:val="22"/>
        <w:spacing w:line="360" w:lineRule="auto"/>
        <w:ind w:left="982" w:hanging="562"/>
        <w:jc w:val="center"/>
        <w:rPr>
          <w:rFonts w:hAnsi="宋体" w:cs="宋体"/>
          <w:b/>
          <w:sz w:val="28"/>
          <w:szCs w:val="28"/>
          <w:highlight w:val="none"/>
        </w:rPr>
      </w:pPr>
    </w:p>
    <w:p w14:paraId="7CE12411">
      <w:pPr>
        <w:pStyle w:val="22"/>
        <w:spacing w:line="360" w:lineRule="auto"/>
        <w:ind w:left="982" w:hanging="562"/>
        <w:jc w:val="center"/>
        <w:rPr>
          <w:rFonts w:hAnsi="宋体" w:cs="宋体"/>
          <w:b/>
          <w:sz w:val="28"/>
          <w:szCs w:val="28"/>
          <w:highlight w:val="none"/>
        </w:rPr>
      </w:pPr>
      <w:r>
        <w:rPr>
          <w:rFonts w:hint="eastAsia" w:hAnsi="宋体" w:cs="宋体"/>
          <w:b/>
          <w:sz w:val="28"/>
          <w:szCs w:val="28"/>
          <w:highlight w:val="none"/>
        </w:rPr>
        <w:t>（三）授权委托书</w:t>
      </w:r>
      <w:bookmarkEnd w:id="32"/>
      <w:bookmarkEnd w:id="33"/>
      <w:bookmarkEnd w:id="34"/>
    </w:p>
    <w:p w14:paraId="7F54BBE6">
      <w:pPr>
        <w:pStyle w:val="19"/>
        <w:adjustRightInd w:val="0"/>
        <w:spacing w:before="62" w:beforeLines="20" w:after="62" w:afterLines="20" w:line="360" w:lineRule="auto"/>
        <w:ind w:firstLine="480" w:firstLineChars="200"/>
        <w:rPr>
          <w:rFonts w:ascii="宋体" w:hAnsi="宋体" w:cs="宋体"/>
          <w:szCs w:val="21"/>
          <w:highlight w:val="none"/>
        </w:rPr>
      </w:pPr>
    </w:p>
    <w:p w14:paraId="2AC3B91A">
      <w:pPr>
        <w:pStyle w:val="19"/>
        <w:adjustRightInd w:val="0"/>
        <w:spacing w:before="62" w:beforeLines="20" w:after="62" w:afterLines="20" w:line="360" w:lineRule="auto"/>
        <w:ind w:firstLine="480" w:firstLineChars="200"/>
        <w:rPr>
          <w:rFonts w:ascii="宋体" w:hAnsi="宋体" w:cs="宋体"/>
          <w:szCs w:val="21"/>
          <w:highlight w:val="none"/>
        </w:rPr>
      </w:pPr>
      <w:r>
        <w:rPr>
          <w:rFonts w:hint="eastAsia" w:ascii="宋体" w:hAnsi="宋体" w:cs="宋体"/>
          <w:szCs w:val="21"/>
          <w:highlight w:val="none"/>
        </w:rPr>
        <w:t>本授权委托书声明：我（姓名）系</w:t>
      </w:r>
      <w:r>
        <w:rPr>
          <w:rFonts w:hint="eastAsia" w:ascii="宋体" w:hAnsi="宋体" w:cs="宋体"/>
          <w:szCs w:val="21"/>
          <w:highlight w:val="none"/>
          <w:u w:val="single"/>
        </w:rPr>
        <w:t xml:space="preserve">   （投 标 人 名 称）</w:t>
      </w:r>
      <w:r>
        <w:rPr>
          <w:rFonts w:hint="eastAsia" w:ascii="宋体" w:hAnsi="宋体" w:cs="宋体"/>
          <w:szCs w:val="21"/>
          <w:highlight w:val="none"/>
        </w:rPr>
        <w:t xml:space="preserve">的法定代表人，现授权委托 </w:t>
      </w:r>
      <w:r>
        <w:rPr>
          <w:rFonts w:hint="eastAsia" w:ascii="宋体" w:hAnsi="宋体" w:cs="宋体"/>
          <w:szCs w:val="21"/>
          <w:highlight w:val="none"/>
          <w:u w:val="single"/>
        </w:rPr>
        <w:t xml:space="preserve">    （单位名称）     </w:t>
      </w:r>
      <w:r>
        <w:rPr>
          <w:rFonts w:hint="eastAsia" w:ascii="宋体" w:hAnsi="宋体" w:cs="宋体"/>
          <w:szCs w:val="21"/>
          <w:highlight w:val="none"/>
        </w:rPr>
        <w:t xml:space="preserve"> 的 </w:t>
      </w:r>
      <w:r>
        <w:rPr>
          <w:rFonts w:hint="eastAsia" w:ascii="宋体" w:hAnsi="宋体" w:cs="宋体"/>
          <w:szCs w:val="21"/>
          <w:highlight w:val="none"/>
          <w:u w:val="single"/>
        </w:rPr>
        <w:t xml:space="preserve">   （姓名） </w:t>
      </w:r>
      <w:r>
        <w:rPr>
          <w:rFonts w:hint="eastAsia" w:ascii="宋体" w:hAnsi="宋体" w:cs="宋体"/>
          <w:szCs w:val="21"/>
          <w:highlight w:val="none"/>
        </w:rPr>
        <w:t>为我公司的合法代理人，就（合同名称）的投标、施工、竣工和保修，以本公司的名义签署投标书，解释投标文件，进行谈判、签署合同和处理与之有关的一切事宜。</w:t>
      </w:r>
    </w:p>
    <w:p w14:paraId="1D5361BD">
      <w:pPr>
        <w:pStyle w:val="13"/>
        <w:adjustRightInd w:val="0"/>
        <w:spacing w:before="62" w:beforeLines="20" w:after="62" w:afterLines="20" w:line="360" w:lineRule="auto"/>
        <w:rPr>
          <w:rFonts w:ascii="宋体" w:hAnsi="宋体" w:cs="宋体"/>
          <w:szCs w:val="21"/>
          <w:highlight w:val="none"/>
        </w:rPr>
      </w:pPr>
      <w:r>
        <w:rPr>
          <w:rFonts w:hint="eastAsia" w:ascii="宋体" w:hAnsi="宋体" w:cs="宋体"/>
          <w:highlight w:val="none"/>
        </w:rPr>
        <w:t>代理人无转委托权，特此委托。</w:t>
      </w:r>
    </w:p>
    <w:p w14:paraId="3FBBF21D">
      <w:pPr>
        <w:adjustRightInd w:val="0"/>
        <w:spacing w:before="62" w:beforeLines="20" w:after="62" w:afterLines="20" w:line="500" w:lineRule="exact"/>
        <w:ind w:firstLine="1155" w:firstLineChars="550"/>
        <w:rPr>
          <w:rFonts w:hAnsi="宋体"/>
          <w:highlight w:val="none"/>
        </w:rPr>
      </w:pPr>
    </w:p>
    <w:p w14:paraId="3A142DA4">
      <w:pPr>
        <w:adjustRightInd w:val="0"/>
        <w:spacing w:before="62" w:beforeLines="20" w:after="62" w:afterLines="20" w:line="500" w:lineRule="exact"/>
        <w:ind w:firstLine="1155" w:firstLineChars="550"/>
        <w:rPr>
          <w:rFonts w:hAnsi="宋体"/>
          <w:highlight w:val="none"/>
        </w:rPr>
      </w:pPr>
    </w:p>
    <w:p w14:paraId="7AAB38CE">
      <w:pPr>
        <w:adjustRightInd w:val="0"/>
        <w:spacing w:before="62" w:beforeLines="20" w:after="62" w:afterLines="20" w:line="500" w:lineRule="exact"/>
        <w:ind w:firstLine="1155" w:firstLineChars="550"/>
        <w:rPr>
          <w:rFonts w:hAnsi="宋体"/>
          <w:highlight w:val="none"/>
          <w:u w:val="single"/>
        </w:rPr>
      </w:pPr>
      <w:r>
        <w:rPr>
          <w:rFonts w:hint="eastAsia" w:hAnsi="宋体"/>
          <w:highlight w:val="none"/>
        </w:rPr>
        <w:t>代理人：性别：年龄：</w:t>
      </w:r>
    </w:p>
    <w:p w14:paraId="777F1050">
      <w:pPr>
        <w:adjustRightInd w:val="0"/>
        <w:spacing w:before="62" w:beforeLines="20" w:after="62" w:afterLines="20"/>
        <w:ind w:left="2699"/>
        <w:rPr>
          <w:rFonts w:hAnsi="宋体"/>
          <w:sz w:val="10"/>
          <w:szCs w:val="10"/>
          <w:highlight w:val="none"/>
        </w:rPr>
      </w:pPr>
    </w:p>
    <w:p w14:paraId="36C294AB">
      <w:pPr>
        <w:adjustRightInd w:val="0"/>
        <w:spacing w:before="62" w:beforeLines="20" w:after="62" w:afterLines="20" w:line="500" w:lineRule="exact"/>
        <w:ind w:left="1200"/>
        <w:rPr>
          <w:rFonts w:hAnsi="宋体"/>
          <w:highlight w:val="none"/>
          <w:u w:val="single"/>
        </w:rPr>
      </w:pPr>
      <w:r>
        <w:rPr>
          <w:rFonts w:hint="eastAsia" w:hAnsi="宋体"/>
          <w:highlight w:val="none"/>
        </w:rPr>
        <w:t>身份证号码：职务：</w:t>
      </w:r>
    </w:p>
    <w:p w14:paraId="00809CFD">
      <w:pPr>
        <w:adjustRightInd w:val="0"/>
        <w:spacing w:before="62" w:beforeLines="20" w:after="62" w:afterLines="20"/>
        <w:ind w:left="2699"/>
        <w:rPr>
          <w:rFonts w:hAnsi="宋体"/>
          <w:sz w:val="10"/>
          <w:szCs w:val="10"/>
          <w:highlight w:val="none"/>
        </w:rPr>
      </w:pPr>
    </w:p>
    <w:p w14:paraId="53106729">
      <w:pPr>
        <w:adjustRightInd w:val="0"/>
        <w:spacing w:before="62" w:beforeLines="20" w:after="62" w:afterLines="20" w:line="500" w:lineRule="exact"/>
        <w:ind w:left="1200"/>
        <w:rPr>
          <w:rFonts w:hAnsi="宋体"/>
          <w:highlight w:val="none"/>
          <w:u w:val="single"/>
        </w:rPr>
      </w:pPr>
      <w:r>
        <w:rPr>
          <w:rFonts w:hint="eastAsia" w:hAnsi="宋体"/>
          <w:highlight w:val="none"/>
        </w:rPr>
        <w:t>投标人：</w:t>
      </w:r>
      <w:r>
        <w:rPr>
          <w:rFonts w:hint="eastAsia" w:hAnsi="宋体"/>
          <w:highlight w:val="none"/>
          <w:u w:val="single"/>
        </w:rPr>
        <w:t>（盖公章）</w:t>
      </w:r>
    </w:p>
    <w:p w14:paraId="716FB818">
      <w:pPr>
        <w:adjustRightInd w:val="0"/>
        <w:spacing w:before="62" w:beforeLines="20" w:after="62" w:afterLines="20"/>
        <w:ind w:left="2699"/>
        <w:rPr>
          <w:rFonts w:hAnsi="宋体"/>
          <w:sz w:val="10"/>
          <w:szCs w:val="10"/>
          <w:highlight w:val="none"/>
        </w:rPr>
      </w:pPr>
    </w:p>
    <w:p w14:paraId="47117D9E">
      <w:pPr>
        <w:adjustRightInd w:val="0"/>
        <w:spacing w:before="62" w:beforeLines="20" w:after="62" w:afterLines="20" w:line="500" w:lineRule="exact"/>
        <w:ind w:left="1200"/>
        <w:rPr>
          <w:rFonts w:hAnsi="宋体"/>
          <w:highlight w:val="none"/>
        </w:rPr>
      </w:pPr>
      <w:r>
        <w:rPr>
          <w:rFonts w:hint="eastAsia" w:hAnsi="宋体"/>
          <w:highlight w:val="none"/>
        </w:rPr>
        <w:t>法定代表人：</w:t>
      </w:r>
      <w:r>
        <w:rPr>
          <w:rFonts w:hint="eastAsia" w:hAnsi="宋体"/>
          <w:highlight w:val="none"/>
          <w:u w:val="single"/>
        </w:rPr>
        <w:t>（签字或盖章）</w:t>
      </w:r>
      <w:bookmarkStart w:id="35" w:name="_Toc171741992"/>
      <w:bookmarkStart w:id="36" w:name="_Toc171581549"/>
      <w:bookmarkStart w:id="37" w:name="_Toc171581369"/>
    </w:p>
    <w:p w14:paraId="63F2A8BA">
      <w:pPr>
        <w:adjustRightInd w:val="0"/>
        <w:spacing w:before="62" w:beforeLines="20" w:after="62" w:afterLines="20" w:line="500" w:lineRule="exact"/>
        <w:ind w:left="1200"/>
        <w:rPr>
          <w:rFonts w:hAnsi="宋体"/>
          <w:highlight w:val="none"/>
          <w:u w:val="single"/>
        </w:rPr>
      </w:pPr>
      <w:r>
        <w:rPr>
          <w:rFonts w:hint="eastAsia" w:hAnsi="宋体"/>
          <w:highlight w:val="none"/>
        </w:rPr>
        <w:t>授权委托日期：年月日</w:t>
      </w:r>
      <w:bookmarkEnd w:id="35"/>
      <w:bookmarkEnd w:id="36"/>
      <w:bookmarkEnd w:id="37"/>
    </w:p>
    <w:p w14:paraId="76F3C4F5">
      <w:pPr>
        <w:tabs>
          <w:tab w:val="left" w:pos="7560"/>
        </w:tabs>
        <w:adjustRightInd w:val="0"/>
        <w:spacing w:before="62" w:beforeLines="20" w:after="62" w:afterLines="20" w:line="360" w:lineRule="auto"/>
        <w:ind w:firstLine="562" w:firstLineChars="200"/>
        <w:jc w:val="center"/>
        <w:rPr>
          <w:rFonts w:hAnsi="宋体"/>
          <w:b/>
          <w:bCs/>
          <w:sz w:val="28"/>
          <w:szCs w:val="28"/>
          <w:highlight w:val="none"/>
        </w:rPr>
      </w:pPr>
    </w:p>
    <w:p w14:paraId="178F28D9">
      <w:pPr>
        <w:tabs>
          <w:tab w:val="left" w:pos="7560"/>
        </w:tabs>
        <w:adjustRightInd w:val="0"/>
        <w:spacing w:before="62" w:beforeLines="20" w:after="62" w:afterLines="20" w:line="360" w:lineRule="auto"/>
        <w:ind w:firstLine="562" w:firstLineChars="200"/>
        <w:jc w:val="left"/>
        <w:rPr>
          <w:rFonts w:ascii="仿宋" w:hAnsi="仿宋" w:eastAsia="仿宋"/>
          <w:b/>
          <w:bCs/>
          <w:sz w:val="28"/>
          <w:szCs w:val="28"/>
          <w:highlight w:val="none"/>
        </w:rPr>
      </w:pPr>
      <w:r>
        <w:rPr>
          <w:rFonts w:hint="eastAsia" w:ascii="仿宋" w:hAnsi="仿宋" w:eastAsia="仿宋"/>
          <w:b/>
          <w:bCs/>
          <w:sz w:val="28"/>
          <w:szCs w:val="28"/>
          <w:highlight w:val="none"/>
        </w:rPr>
        <w:t>注：法人签署投标文件并到开标现场则投标文件中无需提供授权委托书，提供法定代表人身份证明书即可。</w:t>
      </w:r>
    </w:p>
    <w:p w14:paraId="69CFA270">
      <w:pPr>
        <w:pStyle w:val="22"/>
        <w:spacing w:line="360" w:lineRule="auto"/>
        <w:ind w:left="982" w:hanging="562"/>
        <w:rPr>
          <w:rFonts w:hAnsi="宋体"/>
          <w:b/>
          <w:sz w:val="28"/>
          <w:szCs w:val="28"/>
          <w:highlight w:val="none"/>
        </w:rPr>
      </w:pPr>
      <w:r>
        <w:rPr>
          <w:rFonts w:hAnsi="宋体"/>
          <w:b/>
          <w:sz w:val="28"/>
          <w:szCs w:val="28"/>
          <w:highlight w:val="none"/>
        </w:rPr>
        <w:br w:type="page"/>
      </w:r>
    </w:p>
    <w:p w14:paraId="3DE17A1E">
      <w:pPr>
        <w:pStyle w:val="22"/>
        <w:spacing w:line="360" w:lineRule="auto"/>
        <w:ind w:left="982" w:hanging="562"/>
        <w:jc w:val="center"/>
        <w:rPr>
          <w:rFonts w:hAnsi="宋体"/>
          <w:b/>
          <w:bCs/>
          <w:sz w:val="28"/>
          <w:szCs w:val="28"/>
          <w:highlight w:val="none"/>
        </w:rPr>
      </w:pPr>
      <w:r>
        <w:rPr>
          <w:rFonts w:hint="eastAsia" w:hAnsi="宋体"/>
          <w:b/>
          <w:sz w:val="28"/>
          <w:szCs w:val="28"/>
          <w:highlight w:val="none"/>
        </w:rPr>
        <w:t>（六）</w:t>
      </w:r>
      <w:r>
        <w:rPr>
          <w:rFonts w:hint="eastAsia" w:hAnsi="宋体"/>
          <w:b/>
          <w:bCs/>
          <w:sz w:val="28"/>
          <w:szCs w:val="28"/>
          <w:highlight w:val="none"/>
        </w:rPr>
        <w:t>诚信承诺书</w:t>
      </w:r>
    </w:p>
    <w:p w14:paraId="2CF34770">
      <w:pPr>
        <w:spacing w:line="460" w:lineRule="exact"/>
        <w:rPr>
          <w:rFonts w:hAnsi="宋体"/>
          <w:highlight w:val="none"/>
        </w:rPr>
      </w:pPr>
      <w:r>
        <w:rPr>
          <w:rFonts w:hint="eastAsia" w:hAnsi="宋体"/>
          <w:highlight w:val="none"/>
        </w:rPr>
        <w:t>致招标人：</w:t>
      </w:r>
    </w:p>
    <w:p w14:paraId="1365E7D0">
      <w:pPr>
        <w:spacing w:line="460" w:lineRule="exact"/>
        <w:ind w:firstLine="420" w:firstLineChars="200"/>
        <w:rPr>
          <w:rFonts w:hAnsi="宋体"/>
          <w:highlight w:val="none"/>
        </w:rPr>
      </w:pPr>
      <w:r>
        <w:rPr>
          <w:rFonts w:hint="eastAsia" w:hAnsi="宋体"/>
          <w:highlight w:val="none"/>
        </w:rPr>
        <w:t>我单位在参加项目的交易活动过程中，郑重承诺如下：</w:t>
      </w:r>
    </w:p>
    <w:p w14:paraId="5944F0FF">
      <w:pPr>
        <w:spacing w:line="460" w:lineRule="exact"/>
        <w:ind w:firstLine="420" w:firstLineChars="200"/>
        <w:rPr>
          <w:rFonts w:hAnsi="宋体"/>
          <w:highlight w:val="none"/>
        </w:rPr>
      </w:pPr>
      <w:r>
        <w:rPr>
          <w:rFonts w:hint="eastAsia" w:hAnsi="宋体"/>
          <w:highlight w:val="none"/>
        </w:rPr>
        <w:t>一、确保提供的一切材料均为真实、合法和有效。</w:t>
      </w:r>
    </w:p>
    <w:p w14:paraId="7240A039">
      <w:pPr>
        <w:spacing w:line="460" w:lineRule="exact"/>
        <w:ind w:firstLine="420" w:firstLineChars="200"/>
        <w:rPr>
          <w:rFonts w:hAnsi="宋体"/>
          <w:highlight w:val="none"/>
        </w:rPr>
      </w:pPr>
      <w:r>
        <w:rPr>
          <w:rFonts w:hint="eastAsia" w:hAnsi="宋体"/>
          <w:highlight w:val="none"/>
        </w:rPr>
        <w:t>二、不受让、租借他人资格、资质证书，不以他人名义投标；不以伪造、变造等其他方式弄虚作假，骗取中标。</w:t>
      </w:r>
    </w:p>
    <w:p w14:paraId="5FEC5A60">
      <w:pPr>
        <w:spacing w:line="460" w:lineRule="exact"/>
        <w:ind w:firstLine="420" w:firstLineChars="200"/>
        <w:rPr>
          <w:rFonts w:hAnsi="宋体"/>
          <w:highlight w:val="none"/>
        </w:rPr>
      </w:pPr>
      <w:r>
        <w:rPr>
          <w:rFonts w:hint="eastAsia" w:hAnsi="宋体"/>
          <w:highlight w:val="none"/>
        </w:rPr>
        <w:t>三、不与招标人、招标代理机构或其他投标人串通投标。</w:t>
      </w:r>
    </w:p>
    <w:p w14:paraId="1FEE9536">
      <w:pPr>
        <w:spacing w:line="460" w:lineRule="exact"/>
        <w:ind w:firstLine="420" w:firstLineChars="200"/>
        <w:rPr>
          <w:rFonts w:hAnsi="宋体"/>
          <w:highlight w:val="none"/>
        </w:rPr>
      </w:pPr>
      <w:r>
        <w:rPr>
          <w:rFonts w:hint="eastAsia" w:hAnsi="宋体"/>
          <w:highlight w:val="none"/>
        </w:rPr>
        <w:t>四、不以向招标人、评标委员会成员或其他相关人员行贿方式牟取中标。</w:t>
      </w:r>
    </w:p>
    <w:p w14:paraId="3424BEE1">
      <w:pPr>
        <w:spacing w:line="460" w:lineRule="exact"/>
        <w:ind w:firstLine="420" w:firstLineChars="200"/>
        <w:rPr>
          <w:rFonts w:hAnsi="宋体"/>
          <w:highlight w:val="none"/>
        </w:rPr>
      </w:pPr>
      <w:r>
        <w:rPr>
          <w:rFonts w:hint="eastAsia" w:hAnsi="宋体"/>
          <w:highlight w:val="none"/>
        </w:rPr>
        <w:t>五、在行使异议、质疑、投诉权利时，提供真实、合法、充分的材料，不捏造事实、伪造材料或以其他非法手段取得证明材料。</w:t>
      </w:r>
    </w:p>
    <w:p w14:paraId="39C6DDB3">
      <w:pPr>
        <w:spacing w:line="460" w:lineRule="exact"/>
        <w:ind w:firstLine="420" w:firstLineChars="200"/>
        <w:rPr>
          <w:rFonts w:hAnsi="宋体"/>
          <w:highlight w:val="none"/>
        </w:rPr>
      </w:pPr>
      <w:r>
        <w:rPr>
          <w:rFonts w:hint="eastAsia" w:hAnsi="宋体"/>
          <w:highlight w:val="none"/>
        </w:rPr>
        <w:t>六、中标后，及时办理中标相关手续，并按照交易文件的约定，与招标人依法签订合同。</w:t>
      </w:r>
    </w:p>
    <w:p w14:paraId="1D8DA3AC">
      <w:pPr>
        <w:spacing w:line="460" w:lineRule="exact"/>
        <w:ind w:firstLine="420" w:firstLineChars="200"/>
        <w:rPr>
          <w:rFonts w:hAnsi="宋体"/>
          <w:highlight w:val="none"/>
        </w:rPr>
      </w:pPr>
      <w:r>
        <w:rPr>
          <w:rFonts w:hint="eastAsia" w:hAnsi="宋体"/>
          <w:highlight w:val="none"/>
        </w:rPr>
        <w:t>七、在履约过程中，严格按照交易文件及合同约定履行义务；除法律法规允许外，在价格、质量、工期（供货期）、人员组成等方面不做任何有悖于交易文件实质性内容行为。</w:t>
      </w:r>
    </w:p>
    <w:p w14:paraId="592BE07E">
      <w:pPr>
        <w:spacing w:line="460" w:lineRule="exact"/>
        <w:ind w:firstLine="420" w:firstLineChars="200"/>
        <w:rPr>
          <w:rFonts w:hAnsi="宋体"/>
          <w:highlight w:val="none"/>
        </w:rPr>
      </w:pPr>
      <w:r>
        <w:rPr>
          <w:rFonts w:hint="eastAsia" w:hAnsi="宋体"/>
          <w:highlight w:val="none"/>
        </w:rPr>
        <w:t>八、至投标截止之日，我公司及本项目拟派项目经理不在受到招投标行政监管部门（或政府行业监管部门）限制投标的行政处罚期内，不在政府行业监管部门限制在本市承揽业务的行政处理期内。</w:t>
      </w:r>
    </w:p>
    <w:p w14:paraId="04AF4480">
      <w:pPr>
        <w:spacing w:line="460" w:lineRule="exact"/>
        <w:ind w:firstLine="420" w:firstLineChars="200"/>
        <w:rPr>
          <w:rFonts w:hAnsi="宋体"/>
          <w:highlight w:val="none"/>
        </w:rPr>
      </w:pPr>
      <w:r>
        <w:rPr>
          <w:rFonts w:hint="eastAsia" w:hAnsi="宋体"/>
          <w:highlight w:val="none"/>
        </w:rPr>
        <w:t>九、至投标截止日，我公司及拟派项目经理（项目负责人）未被人民法院列入失信被执行人、未被人力资源社会保障行政部门列入拖欠农民工工资“黑名单”、我公司近3年内无行贿犯罪记录。</w:t>
      </w:r>
    </w:p>
    <w:p w14:paraId="610D014B">
      <w:pPr>
        <w:spacing w:line="460" w:lineRule="exact"/>
        <w:ind w:firstLine="420" w:firstLineChars="200"/>
        <w:rPr>
          <w:rFonts w:hAnsi="宋体"/>
          <w:highlight w:val="none"/>
        </w:rPr>
      </w:pPr>
      <w:r>
        <w:rPr>
          <w:rFonts w:hint="eastAsia" w:hAnsi="宋体"/>
          <w:highlight w:val="none"/>
        </w:rPr>
        <w:t>以上内容我单位已仔细阅读，若有违反承诺内容的行为，自愿接受限制投标资格、记入不良行为记录、取消中标资格、不予退还投标保证金等处罚或处理；给招标人或其他投标人造成损失的，自愿依法承担赔偿责任。</w:t>
      </w:r>
    </w:p>
    <w:p w14:paraId="4793C065">
      <w:pPr>
        <w:spacing w:line="760" w:lineRule="exact"/>
        <w:ind w:right="60" w:firstLine="420" w:firstLineChars="200"/>
        <w:jc w:val="right"/>
        <w:rPr>
          <w:rFonts w:hAnsi="宋体"/>
          <w:highlight w:val="none"/>
        </w:rPr>
      </w:pPr>
      <w:r>
        <w:rPr>
          <w:rFonts w:hint="eastAsia" w:hAnsi="宋体"/>
          <w:highlight w:val="none"/>
        </w:rPr>
        <w:t>投标单位：</w:t>
      </w:r>
      <w:r>
        <w:rPr>
          <w:rFonts w:hint="eastAsia" w:hAnsi="宋体"/>
          <w:highlight w:val="none"/>
          <w:u w:val="single"/>
        </w:rPr>
        <w:t>（盖章）</w:t>
      </w:r>
    </w:p>
    <w:p w14:paraId="4066676F">
      <w:pPr>
        <w:wordWrap w:val="0"/>
        <w:spacing w:line="760" w:lineRule="exact"/>
        <w:ind w:firstLine="420" w:firstLineChars="200"/>
        <w:jc w:val="right"/>
        <w:rPr>
          <w:rFonts w:hAnsi="宋体"/>
          <w:highlight w:val="none"/>
        </w:rPr>
      </w:pPr>
      <w:r>
        <w:rPr>
          <w:rFonts w:hint="eastAsia" w:hAnsi="宋体"/>
          <w:highlight w:val="none"/>
        </w:rPr>
        <w:t>法定代表人：</w:t>
      </w:r>
      <w:r>
        <w:rPr>
          <w:rFonts w:hint="eastAsia" w:hAnsi="宋体"/>
          <w:highlight w:val="none"/>
          <w:u w:val="single"/>
        </w:rPr>
        <w:t>（签字或盖章）</w:t>
      </w:r>
    </w:p>
    <w:p w14:paraId="1D6386A2">
      <w:pPr>
        <w:pStyle w:val="5"/>
        <w:spacing w:line="520" w:lineRule="exact"/>
        <w:jc w:val="right"/>
        <w:rPr>
          <w:rFonts w:ascii="宋体" w:hAnsi="宋体"/>
          <w:highlight w:val="none"/>
        </w:rPr>
      </w:pPr>
      <w:r>
        <w:rPr>
          <w:rFonts w:hint="eastAsia" w:ascii="宋体" w:hAnsi="宋体"/>
          <w:highlight w:val="none"/>
        </w:rPr>
        <w:t xml:space="preserve">    年     月     日</w:t>
      </w:r>
    </w:p>
    <w:p w14:paraId="1B2EB42D">
      <w:pPr>
        <w:jc w:val="center"/>
        <w:rPr>
          <w:rFonts w:ascii="宋体" w:hAnsi="宋体" w:cs="仿宋_GB2312"/>
          <w:b/>
          <w:sz w:val="28"/>
          <w:szCs w:val="28"/>
          <w:highlight w:val="none"/>
        </w:rPr>
      </w:pPr>
      <w:r>
        <w:rPr>
          <w:rFonts w:hAnsi="宋体" w:cs="仿宋_GB2312"/>
          <w:b/>
          <w:bCs/>
          <w:sz w:val="28"/>
          <w:szCs w:val="28"/>
          <w:highlight w:val="none"/>
        </w:rPr>
        <w:br w:type="page"/>
      </w:r>
      <w:r>
        <w:rPr>
          <w:rFonts w:hint="eastAsia" w:ascii="宋体" w:hAnsi="宋体" w:cs="仿宋_GB2312"/>
          <w:b/>
          <w:sz w:val="28"/>
          <w:szCs w:val="28"/>
          <w:highlight w:val="none"/>
        </w:rPr>
        <w:t>（七）招标文件要求的其他资料</w:t>
      </w:r>
    </w:p>
    <w:p w14:paraId="62DB8DDC">
      <w:pPr>
        <w:pStyle w:val="3"/>
        <w:spacing w:line="360" w:lineRule="auto"/>
        <w:jc w:val="center"/>
        <w:rPr>
          <w:rFonts w:ascii="宋体" w:hAnsi="宋体" w:eastAsia="宋体"/>
          <w:bCs w:val="0"/>
          <w:sz w:val="28"/>
          <w:szCs w:val="28"/>
          <w:highlight w:val="none"/>
        </w:rPr>
      </w:pPr>
      <w:r>
        <w:rPr>
          <w:sz w:val="27"/>
          <w:highlight w:val="none"/>
        </w:rPr>
        <w:br w:type="page"/>
      </w:r>
      <w:bookmarkStart w:id="38" w:name="_Toc25666"/>
      <w:r>
        <w:rPr>
          <w:rFonts w:hint="eastAsia" w:ascii="宋体" w:hAnsi="宋体" w:eastAsia="宋体"/>
          <w:sz w:val="28"/>
          <w:szCs w:val="28"/>
          <w:highlight w:val="none"/>
        </w:rPr>
        <w:t>二、技术标</w:t>
      </w:r>
      <w:bookmarkEnd w:id="38"/>
    </w:p>
    <w:p w14:paraId="705034EB">
      <w:pPr>
        <w:adjustRightInd w:val="0"/>
        <w:spacing w:before="62" w:beforeLines="20" w:after="62" w:afterLines="20" w:line="360" w:lineRule="auto"/>
        <w:rPr>
          <w:rFonts w:hAnsi="宋体"/>
          <w:highlight w:val="none"/>
        </w:rPr>
      </w:pPr>
    </w:p>
    <w:p w14:paraId="3C8776BB">
      <w:pPr>
        <w:adjustRightInd w:val="0"/>
        <w:snapToGrid w:val="0"/>
        <w:spacing w:before="62" w:beforeLines="20" w:after="62" w:afterLines="20" w:line="360" w:lineRule="auto"/>
        <w:jc w:val="center"/>
        <w:rPr>
          <w:rFonts w:ascii="宋体" w:hAnsi="宋体" w:cs="仿宋_GB2312"/>
          <w:b/>
          <w:sz w:val="24"/>
          <w:highlight w:val="none"/>
          <w:u w:val="single"/>
        </w:rPr>
      </w:pPr>
      <w:r>
        <w:rPr>
          <w:rFonts w:hint="eastAsia" w:ascii="宋体" w:hAnsi="宋体" w:cs="仿宋_GB2312"/>
          <w:b/>
          <w:sz w:val="24"/>
          <w:highlight w:val="none"/>
        </w:rPr>
        <w:t xml:space="preserve"> </w:t>
      </w:r>
      <w:r>
        <w:rPr>
          <w:rFonts w:hint="eastAsia" w:ascii="宋体" w:hAnsi="宋体" w:cs="仿宋_GB2312"/>
          <w:b/>
          <w:sz w:val="24"/>
          <w:highlight w:val="none"/>
          <w:u w:val="single"/>
        </w:rPr>
        <w:t xml:space="preserve">                        </w:t>
      </w:r>
      <w:r>
        <w:rPr>
          <w:rFonts w:hint="eastAsia" w:ascii="宋体" w:hAnsi="宋体" w:cs="仿宋_GB2312"/>
          <w:b/>
          <w:sz w:val="24"/>
          <w:highlight w:val="none"/>
        </w:rPr>
        <w:t>工程施工招标</w:t>
      </w:r>
    </w:p>
    <w:p w14:paraId="743A3937">
      <w:pPr>
        <w:pStyle w:val="13"/>
        <w:adjustRightInd w:val="0"/>
        <w:spacing w:before="62" w:beforeLines="20" w:after="62" w:afterLines="20" w:line="360" w:lineRule="auto"/>
        <w:ind w:left="0" w:leftChars="0"/>
        <w:rPr>
          <w:rFonts w:ascii="宋体" w:hAnsi="宋体"/>
          <w:b/>
          <w:highlight w:val="none"/>
        </w:rPr>
      </w:pPr>
    </w:p>
    <w:p w14:paraId="7A7FF9D0">
      <w:pPr>
        <w:pStyle w:val="5"/>
        <w:spacing w:before="62" w:beforeLines="20" w:after="62" w:afterLines="20" w:line="360" w:lineRule="auto"/>
        <w:ind w:left="2100"/>
        <w:jc w:val="center"/>
        <w:rPr>
          <w:rFonts w:ascii="宋体" w:hAnsi="宋体"/>
          <w:b/>
          <w:sz w:val="30"/>
          <w:szCs w:val="30"/>
          <w:highlight w:val="none"/>
        </w:rPr>
      </w:pPr>
    </w:p>
    <w:p w14:paraId="34C969B2">
      <w:pPr>
        <w:pStyle w:val="5"/>
        <w:spacing w:before="62" w:beforeLines="20" w:after="62" w:afterLines="20" w:line="360" w:lineRule="auto"/>
        <w:ind w:left="2100"/>
        <w:jc w:val="center"/>
        <w:rPr>
          <w:rFonts w:ascii="宋体" w:hAnsi="宋体"/>
          <w:b/>
          <w:sz w:val="30"/>
          <w:szCs w:val="30"/>
          <w:highlight w:val="none"/>
        </w:rPr>
      </w:pPr>
      <w:r>
        <w:rPr>
          <w:rFonts w:hint="eastAsia" w:ascii="宋体" w:hAnsi="宋体"/>
          <w:b/>
          <w:sz w:val="30"/>
          <w:szCs w:val="30"/>
          <w:highlight w:val="none"/>
        </w:rPr>
        <w:t>投  标  文  件</w:t>
      </w:r>
    </w:p>
    <w:p w14:paraId="5A9A0087">
      <w:pPr>
        <w:pStyle w:val="5"/>
        <w:spacing w:before="62" w:beforeLines="20" w:after="62" w:afterLines="20" w:line="360" w:lineRule="auto"/>
        <w:ind w:left="2100"/>
        <w:jc w:val="center"/>
        <w:rPr>
          <w:rFonts w:ascii="宋体" w:hAnsi="宋体"/>
          <w:b/>
          <w:sz w:val="24"/>
          <w:highlight w:val="none"/>
        </w:rPr>
      </w:pPr>
      <w:r>
        <w:rPr>
          <w:rFonts w:hint="eastAsia" w:ascii="宋体" w:hAnsi="宋体"/>
          <w:b/>
          <w:sz w:val="24"/>
          <w:highlight w:val="none"/>
        </w:rPr>
        <w:t>项目编号：</w:t>
      </w:r>
    </w:p>
    <w:p w14:paraId="6D8B14DA">
      <w:pPr>
        <w:pStyle w:val="5"/>
        <w:spacing w:before="62" w:beforeLines="20" w:after="62" w:afterLines="20" w:line="360" w:lineRule="auto"/>
        <w:ind w:left="2100"/>
        <w:jc w:val="center"/>
        <w:rPr>
          <w:rFonts w:ascii="宋体" w:hAnsi="宋体"/>
          <w:highlight w:val="none"/>
        </w:rPr>
      </w:pPr>
    </w:p>
    <w:p w14:paraId="715351B8">
      <w:pPr>
        <w:pStyle w:val="5"/>
        <w:spacing w:before="62" w:beforeLines="20" w:after="62" w:afterLines="20" w:line="360" w:lineRule="auto"/>
        <w:ind w:left="2100"/>
        <w:jc w:val="center"/>
        <w:rPr>
          <w:rFonts w:ascii="宋体" w:hAnsi="宋体"/>
          <w:highlight w:val="none"/>
        </w:rPr>
      </w:pPr>
    </w:p>
    <w:p w14:paraId="28534ED6">
      <w:pPr>
        <w:pStyle w:val="5"/>
        <w:spacing w:before="62" w:beforeLines="20" w:after="62" w:afterLines="20" w:line="360" w:lineRule="auto"/>
        <w:ind w:left="2100"/>
        <w:jc w:val="center"/>
        <w:rPr>
          <w:rFonts w:ascii="宋体" w:hAnsi="宋体"/>
          <w:highlight w:val="none"/>
        </w:rPr>
      </w:pPr>
    </w:p>
    <w:p w14:paraId="6E8B95F5">
      <w:pPr>
        <w:pStyle w:val="5"/>
        <w:spacing w:before="62" w:beforeLines="20" w:after="62" w:afterLines="20" w:line="360" w:lineRule="auto"/>
        <w:ind w:left="2100"/>
        <w:jc w:val="center"/>
        <w:rPr>
          <w:rFonts w:ascii="宋体" w:hAnsi="宋体"/>
          <w:highlight w:val="none"/>
        </w:rPr>
      </w:pPr>
    </w:p>
    <w:p w14:paraId="0408B19A">
      <w:pPr>
        <w:pStyle w:val="5"/>
        <w:spacing w:before="62" w:beforeLines="20" w:after="62" w:afterLines="20" w:line="360" w:lineRule="auto"/>
        <w:ind w:left="2100"/>
        <w:jc w:val="center"/>
        <w:rPr>
          <w:rFonts w:ascii="宋体" w:hAnsi="宋体"/>
          <w:highlight w:val="none"/>
        </w:rPr>
      </w:pPr>
    </w:p>
    <w:p w14:paraId="18E5FC0A">
      <w:pPr>
        <w:pStyle w:val="5"/>
        <w:spacing w:before="62" w:beforeLines="20" w:after="62" w:afterLines="20" w:line="360" w:lineRule="auto"/>
        <w:ind w:left="2100"/>
        <w:jc w:val="center"/>
        <w:rPr>
          <w:rFonts w:ascii="宋体" w:hAnsi="宋体"/>
          <w:highlight w:val="none"/>
        </w:rPr>
      </w:pPr>
    </w:p>
    <w:p w14:paraId="0790E5B4">
      <w:pPr>
        <w:pStyle w:val="18"/>
        <w:adjustRightInd w:val="0"/>
        <w:snapToGrid w:val="0"/>
        <w:spacing w:before="62" w:beforeLines="20" w:after="62" w:afterLines="20" w:line="480" w:lineRule="auto"/>
        <w:ind w:left="130" w:leftChars="62" w:firstLine="1205" w:firstLineChars="500"/>
        <w:rPr>
          <w:rFonts w:ascii="宋体" w:hAnsi="宋体" w:cs="宋体"/>
          <w:b/>
          <w:bCs/>
          <w:highlight w:val="none"/>
          <w:u w:val="single"/>
        </w:rPr>
      </w:pPr>
      <w:r>
        <w:rPr>
          <w:rFonts w:hint="eastAsia" w:ascii="宋体" w:hAnsi="宋体" w:cs="宋体"/>
          <w:b/>
          <w:bCs/>
          <w:highlight w:val="none"/>
        </w:rPr>
        <w:t>项目名称：</w:t>
      </w:r>
      <w:r>
        <w:rPr>
          <w:rFonts w:hint="eastAsia" w:ascii="宋体" w:hAnsi="宋体" w:cs="宋体"/>
          <w:b/>
          <w:bCs/>
          <w:highlight w:val="none"/>
          <w:u w:val="single"/>
        </w:rPr>
        <w:t xml:space="preserve">                                             </w:t>
      </w:r>
    </w:p>
    <w:p w14:paraId="58403030">
      <w:pPr>
        <w:pStyle w:val="18"/>
        <w:adjustRightInd w:val="0"/>
        <w:snapToGrid w:val="0"/>
        <w:spacing w:before="62" w:beforeLines="20" w:after="62" w:afterLines="20" w:line="480" w:lineRule="auto"/>
        <w:ind w:left="130" w:leftChars="62" w:firstLine="1205" w:firstLineChars="500"/>
        <w:rPr>
          <w:rFonts w:ascii="宋体" w:hAnsi="宋体" w:cs="宋体"/>
          <w:b/>
          <w:bCs/>
          <w:highlight w:val="none"/>
        </w:rPr>
      </w:pPr>
      <w:r>
        <w:rPr>
          <w:rFonts w:hint="eastAsia" w:ascii="宋体" w:hAnsi="宋体" w:cs="宋体"/>
          <w:b/>
          <w:bCs/>
          <w:highlight w:val="none"/>
        </w:rPr>
        <w:t>投标文件内容：</w:t>
      </w:r>
      <w:r>
        <w:rPr>
          <w:rFonts w:hint="eastAsia" w:ascii="宋体" w:hAnsi="宋体" w:cs="宋体"/>
          <w:b/>
          <w:bCs/>
          <w:highlight w:val="none"/>
          <w:u w:val="single"/>
        </w:rPr>
        <w:t xml:space="preserve">    </w:t>
      </w:r>
      <w:r>
        <w:rPr>
          <w:rFonts w:hint="eastAsia" w:ascii="宋体" w:hAnsi="宋体" w:cs="宋体"/>
          <w:b/>
          <w:bCs/>
          <w:highlight w:val="none"/>
          <w:u w:val="single"/>
        </w:rPr>
        <w:tab/>
      </w:r>
      <w:r>
        <w:rPr>
          <w:rFonts w:hint="eastAsia" w:ascii="宋体" w:hAnsi="宋体" w:cs="宋体"/>
          <w:b/>
          <w:bCs/>
          <w:highlight w:val="none"/>
          <w:u w:val="single"/>
        </w:rPr>
        <w:t xml:space="preserve">      投标文件技术标</w:t>
      </w:r>
      <w:r>
        <w:rPr>
          <w:rFonts w:hint="eastAsia" w:ascii="宋体" w:hAnsi="宋体" w:cs="宋体"/>
          <w:b/>
          <w:bCs/>
          <w:highlight w:val="none"/>
          <w:u w:val="single"/>
        </w:rPr>
        <w:tab/>
      </w:r>
      <w:r>
        <w:rPr>
          <w:rFonts w:hint="eastAsia" w:ascii="宋体" w:hAnsi="宋体" w:cs="宋体"/>
          <w:b/>
          <w:bCs/>
          <w:highlight w:val="none"/>
          <w:u w:val="single"/>
        </w:rPr>
        <w:tab/>
      </w:r>
      <w:r>
        <w:rPr>
          <w:rFonts w:hint="eastAsia" w:ascii="宋体" w:hAnsi="宋体" w:cs="宋体"/>
          <w:b/>
          <w:bCs/>
          <w:highlight w:val="none"/>
          <w:u w:val="single"/>
        </w:rPr>
        <w:t xml:space="preserve">           </w:t>
      </w:r>
    </w:p>
    <w:p w14:paraId="2F62B98D">
      <w:pPr>
        <w:pStyle w:val="18"/>
        <w:adjustRightInd w:val="0"/>
        <w:snapToGrid w:val="0"/>
        <w:spacing w:before="62" w:beforeLines="20" w:after="62" w:afterLines="20" w:line="480" w:lineRule="auto"/>
        <w:ind w:left="145" w:leftChars="69" w:firstLine="1205" w:firstLineChars="500"/>
        <w:rPr>
          <w:rFonts w:ascii="宋体" w:hAnsi="宋体" w:cs="宋体"/>
          <w:b/>
          <w:bCs/>
          <w:highlight w:val="none"/>
          <w:u w:val="single"/>
        </w:rPr>
      </w:pPr>
      <w:r>
        <w:rPr>
          <w:rFonts w:hint="eastAsia" w:ascii="宋体" w:hAnsi="宋体" w:cs="宋体"/>
          <w:b/>
          <w:bCs/>
          <w:highlight w:val="none"/>
        </w:rPr>
        <w:t>投 标 人：</w:t>
      </w:r>
      <w:r>
        <w:rPr>
          <w:rFonts w:hint="eastAsia" w:ascii="宋体" w:hAnsi="宋体" w:cs="宋体"/>
          <w:b/>
          <w:bCs/>
          <w:highlight w:val="none"/>
          <w:u w:val="single"/>
        </w:rPr>
        <w:t xml:space="preserve">                   （盖公章）                      </w:t>
      </w:r>
    </w:p>
    <w:p w14:paraId="1F7ABE55">
      <w:pPr>
        <w:pStyle w:val="18"/>
        <w:adjustRightInd w:val="0"/>
        <w:snapToGrid w:val="0"/>
        <w:spacing w:before="62" w:beforeLines="20" w:after="62" w:afterLines="20" w:line="480" w:lineRule="auto"/>
        <w:ind w:left="147" w:leftChars="70" w:firstLine="1205" w:firstLineChars="500"/>
        <w:rPr>
          <w:rFonts w:ascii="宋体" w:hAnsi="宋体" w:cs="宋体"/>
          <w:b/>
          <w:highlight w:val="none"/>
        </w:rPr>
      </w:pPr>
      <w:r>
        <w:rPr>
          <w:rFonts w:hint="eastAsia" w:ascii="宋体" w:hAnsi="宋体" w:cs="宋体"/>
          <w:b/>
          <w:bCs/>
          <w:highlight w:val="none"/>
        </w:rPr>
        <w:t>法定代表人或其委托代理人：</w:t>
      </w:r>
      <w:r>
        <w:rPr>
          <w:rFonts w:hint="eastAsia" w:ascii="宋体" w:hAnsi="宋体" w:cs="宋体"/>
          <w:b/>
          <w:bCs/>
          <w:highlight w:val="none"/>
          <w:u w:val="single"/>
        </w:rPr>
        <w:t xml:space="preserve">         （签字或盖章）          </w:t>
      </w:r>
    </w:p>
    <w:p w14:paraId="068A02C1">
      <w:pPr>
        <w:pStyle w:val="22"/>
        <w:snapToGrid w:val="0"/>
        <w:spacing w:line="480" w:lineRule="auto"/>
        <w:ind w:left="1470" w:right="1470"/>
        <w:jc w:val="center"/>
        <w:rPr>
          <w:rFonts w:hAnsi="宋体" w:cs="宋体"/>
          <w:b/>
          <w:sz w:val="24"/>
          <w:szCs w:val="24"/>
          <w:highlight w:val="none"/>
        </w:rPr>
      </w:pPr>
      <w:r>
        <w:rPr>
          <w:rFonts w:hint="eastAsia" w:hAnsi="宋体" w:cs="宋体"/>
          <w:b/>
          <w:sz w:val="24"/>
          <w:highlight w:val="none"/>
        </w:rPr>
        <w:t>日  期：</w:t>
      </w:r>
      <w:r>
        <w:rPr>
          <w:rFonts w:hint="eastAsia" w:hAnsi="宋体" w:cs="宋体"/>
          <w:b/>
          <w:sz w:val="24"/>
          <w:highlight w:val="none"/>
          <w:u w:val="single"/>
        </w:rPr>
        <w:t xml:space="preserve">      </w:t>
      </w:r>
      <w:r>
        <w:rPr>
          <w:rFonts w:hint="eastAsia" w:hAnsi="宋体" w:cs="宋体"/>
          <w:b/>
          <w:sz w:val="24"/>
          <w:highlight w:val="none"/>
        </w:rPr>
        <w:t xml:space="preserve"> 年</w:t>
      </w:r>
      <w:r>
        <w:rPr>
          <w:rFonts w:hint="eastAsia" w:hAnsi="宋体" w:cs="宋体"/>
          <w:b/>
          <w:sz w:val="24"/>
          <w:highlight w:val="none"/>
          <w:u w:val="single"/>
        </w:rPr>
        <w:t xml:space="preserve">     </w:t>
      </w:r>
      <w:r>
        <w:rPr>
          <w:rFonts w:hint="eastAsia" w:hAnsi="宋体" w:cs="宋体"/>
          <w:b/>
          <w:sz w:val="24"/>
          <w:highlight w:val="none"/>
        </w:rPr>
        <w:t xml:space="preserve"> 月</w:t>
      </w:r>
      <w:r>
        <w:rPr>
          <w:rFonts w:hint="eastAsia" w:hAnsi="宋体" w:cs="宋体"/>
          <w:b/>
          <w:sz w:val="24"/>
          <w:highlight w:val="none"/>
          <w:u w:val="single"/>
        </w:rPr>
        <w:t xml:space="preserve">     </w:t>
      </w:r>
      <w:r>
        <w:rPr>
          <w:rFonts w:hint="eastAsia" w:hAnsi="宋体" w:cs="宋体"/>
          <w:b/>
          <w:sz w:val="24"/>
          <w:highlight w:val="none"/>
        </w:rPr>
        <w:t>日</w:t>
      </w:r>
    </w:p>
    <w:p w14:paraId="1290EDF8">
      <w:pPr>
        <w:pStyle w:val="22"/>
        <w:spacing w:line="360" w:lineRule="auto"/>
        <w:ind w:left="1470" w:right="1470"/>
        <w:jc w:val="center"/>
        <w:rPr>
          <w:rFonts w:hAnsi="宋体"/>
          <w:b/>
          <w:sz w:val="24"/>
          <w:szCs w:val="24"/>
          <w:highlight w:val="none"/>
        </w:rPr>
      </w:pPr>
    </w:p>
    <w:p w14:paraId="732E7A7D">
      <w:pPr>
        <w:pStyle w:val="22"/>
        <w:spacing w:line="360" w:lineRule="auto"/>
        <w:ind w:left="1470" w:right="1470"/>
        <w:jc w:val="center"/>
        <w:rPr>
          <w:rFonts w:hAnsi="宋体"/>
          <w:b/>
          <w:sz w:val="24"/>
          <w:szCs w:val="24"/>
          <w:highlight w:val="none"/>
        </w:rPr>
      </w:pPr>
    </w:p>
    <w:p w14:paraId="2C09AAEC">
      <w:pPr>
        <w:pStyle w:val="22"/>
        <w:spacing w:line="360" w:lineRule="auto"/>
        <w:ind w:left="1470" w:right="1470"/>
        <w:rPr>
          <w:rFonts w:hAnsi="宋体"/>
          <w:b/>
          <w:sz w:val="24"/>
          <w:szCs w:val="24"/>
          <w:highlight w:val="none"/>
        </w:rPr>
      </w:pPr>
    </w:p>
    <w:p w14:paraId="7E5ABF5C">
      <w:pPr>
        <w:pStyle w:val="22"/>
        <w:spacing w:line="360" w:lineRule="auto"/>
        <w:ind w:left="1470" w:right="1470"/>
        <w:jc w:val="center"/>
        <w:rPr>
          <w:rFonts w:hAnsi="宋体"/>
          <w:b/>
          <w:sz w:val="24"/>
          <w:szCs w:val="24"/>
          <w:highlight w:val="none"/>
        </w:rPr>
      </w:pPr>
    </w:p>
    <w:p w14:paraId="59E61C88">
      <w:pPr>
        <w:widowControl/>
        <w:jc w:val="left"/>
        <w:rPr>
          <w:rFonts w:ascii="宋体" w:hAnsi="宋体"/>
          <w:b/>
          <w:kern w:val="0"/>
          <w:sz w:val="24"/>
          <w:highlight w:val="none"/>
        </w:rPr>
      </w:pPr>
      <w:r>
        <w:rPr>
          <w:rFonts w:hAnsi="宋体"/>
          <w:b/>
          <w:sz w:val="24"/>
          <w:highlight w:val="none"/>
        </w:rPr>
        <w:br w:type="page"/>
      </w:r>
    </w:p>
    <w:p w14:paraId="349A18A9">
      <w:pPr>
        <w:pStyle w:val="22"/>
        <w:spacing w:line="360" w:lineRule="auto"/>
        <w:ind w:left="1470" w:right="1470"/>
        <w:jc w:val="center"/>
        <w:rPr>
          <w:rFonts w:hAnsi="宋体"/>
          <w:b/>
          <w:sz w:val="24"/>
          <w:szCs w:val="24"/>
          <w:highlight w:val="none"/>
        </w:rPr>
      </w:pPr>
    </w:p>
    <w:p w14:paraId="293D4E46">
      <w:pPr>
        <w:pStyle w:val="22"/>
        <w:spacing w:line="360" w:lineRule="auto"/>
        <w:ind w:left="1470" w:right="1470"/>
        <w:jc w:val="center"/>
        <w:rPr>
          <w:rFonts w:hAnsi="宋体"/>
          <w:b/>
          <w:sz w:val="32"/>
          <w:szCs w:val="32"/>
          <w:highlight w:val="none"/>
        </w:rPr>
      </w:pPr>
      <w:r>
        <w:rPr>
          <w:rFonts w:hint="eastAsia" w:hAnsi="宋体"/>
          <w:b/>
          <w:sz w:val="32"/>
          <w:szCs w:val="32"/>
          <w:highlight w:val="none"/>
        </w:rPr>
        <w:t>目  录</w:t>
      </w:r>
    </w:p>
    <w:p w14:paraId="2936BB3C">
      <w:pPr>
        <w:pStyle w:val="22"/>
        <w:snapToGrid w:val="0"/>
        <w:spacing w:line="480" w:lineRule="auto"/>
        <w:ind w:right="1470" w:firstLine="964" w:firstLineChars="400"/>
        <w:jc w:val="left"/>
        <w:rPr>
          <w:rFonts w:hint="default" w:hAnsi="宋体" w:eastAsia="宋体"/>
          <w:b/>
          <w:sz w:val="24"/>
          <w:szCs w:val="24"/>
          <w:highlight w:val="none"/>
          <w:lang w:val="en-US" w:eastAsia="zh-CN"/>
        </w:rPr>
      </w:pPr>
      <w:r>
        <w:rPr>
          <w:rFonts w:hint="eastAsia" w:hAnsi="宋体"/>
          <w:b/>
          <w:sz w:val="24"/>
          <w:szCs w:val="24"/>
          <w:highlight w:val="none"/>
        </w:rPr>
        <w:t>（一）</w:t>
      </w:r>
      <w:r>
        <w:rPr>
          <w:rFonts w:hint="eastAsia" w:hAnsi="宋体"/>
          <w:b/>
          <w:sz w:val="24"/>
          <w:szCs w:val="24"/>
          <w:highlight w:val="none"/>
          <w:lang w:val="en-US" w:eastAsia="zh-CN"/>
        </w:rPr>
        <w:t>实施方案</w:t>
      </w:r>
    </w:p>
    <w:p w14:paraId="2F729F6F">
      <w:pPr>
        <w:pStyle w:val="22"/>
        <w:snapToGrid w:val="0"/>
        <w:spacing w:line="480" w:lineRule="auto"/>
        <w:ind w:right="1470" w:firstLine="964" w:firstLineChars="400"/>
        <w:jc w:val="left"/>
        <w:rPr>
          <w:rFonts w:hAnsi="宋体"/>
          <w:b/>
          <w:sz w:val="24"/>
          <w:szCs w:val="24"/>
          <w:highlight w:val="none"/>
        </w:rPr>
      </w:pPr>
    </w:p>
    <w:p w14:paraId="34E8C877">
      <w:pPr>
        <w:pStyle w:val="22"/>
        <w:snapToGrid w:val="0"/>
        <w:spacing w:line="480" w:lineRule="auto"/>
        <w:ind w:right="1470" w:firstLine="964" w:firstLineChars="400"/>
        <w:jc w:val="left"/>
        <w:rPr>
          <w:rFonts w:hint="eastAsia" w:hAnsi="宋体"/>
          <w:b/>
          <w:sz w:val="24"/>
          <w:szCs w:val="24"/>
          <w:highlight w:val="none"/>
        </w:rPr>
      </w:pPr>
    </w:p>
    <w:p w14:paraId="081BC716">
      <w:pPr>
        <w:pStyle w:val="22"/>
        <w:snapToGrid w:val="0"/>
        <w:spacing w:line="480" w:lineRule="auto"/>
        <w:ind w:right="1470" w:firstLine="964" w:firstLineChars="400"/>
        <w:jc w:val="left"/>
        <w:rPr>
          <w:rFonts w:hint="eastAsia" w:hAnsi="宋体"/>
          <w:b/>
          <w:sz w:val="24"/>
          <w:szCs w:val="24"/>
          <w:highlight w:val="none"/>
        </w:rPr>
      </w:pPr>
    </w:p>
    <w:p w14:paraId="4368A3AC">
      <w:pPr>
        <w:pStyle w:val="22"/>
        <w:snapToGrid w:val="0"/>
        <w:spacing w:line="480" w:lineRule="auto"/>
        <w:ind w:right="1470" w:firstLine="964" w:firstLineChars="400"/>
        <w:jc w:val="left"/>
        <w:rPr>
          <w:rFonts w:hint="eastAsia" w:hAnsi="宋体"/>
          <w:b/>
          <w:sz w:val="24"/>
          <w:szCs w:val="24"/>
          <w:highlight w:val="none"/>
        </w:rPr>
      </w:pPr>
    </w:p>
    <w:p w14:paraId="7D3FCDD7">
      <w:pPr>
        <w:pStyle w:val="22"/>
        <w:snapToGrid w:val="0"/>
        <w:spacing w:line="480" w:lineRule="auto"/>
        <w:ind w:right="1470" w:firstLine="964" w:firstLineChars="400"/>
        <w:jc w:val="left"/>
        <w:rPr>
          <w:rFonts w:hint="eastAsia" w:hAnsi="宋体"/>
          <w:b/>
          <w:sz w:val="24"/>
          <w:szCs w:val="24"/>
          <w:highlight w:val="none"/>
        </w:rPr>
      </w:pPr>
    </w:p>
    <w:p w14:paraId="28536918">
      <w:pPr>
        <w:pStyle w:val="22"/>
        <w:snapToGrid w:val="0"/>
        <w:spacing w:line="480" w:lineRule="auto"/>
        <w:ind w:right="1470" w:firstLine="964" w:firstLineChars="400"/>
        <w:jc w:val="left"/>
        <w:rPr>
          <w:rFonts w:hint="eastAsia" w:hAnsi="宋体"/>
          <w:b/>
          <w:sz w:val="24"/>
          <w:szCs w:val="24"/>
          <w:highlight w:val="none"/>
        </w:rPr>
      </w:pPr>
    </w:p>
    <w:p w14:paraId="19CF0F5A">
      <w:pPr>
        <w:pStyle w:val="22"/>
        <w:snapToGrid w:val="0"/>
        <w:spacing w:line="480" w:lineRule="auto"/>
        <w:ind w:right="1470" w:firstLine="964" w:firstLineChars="400"/>
        <w:jc w:val="left"/>
        <w:rPr>
          <w:rFonts w:hint="eastAsia" w:hAnsi="宋体"/>
          <w:b/>
          <w:sz w:val="24"/>
          <w:szCs w:val="24"/>
          <w:highlight w:val="none"/>
        </w:rPr>
      </w:pPr>
    </w:p>
    <w:p w14:paraId="7438E6D0">
      <w:pPr>
        <w:pStyle w:val="22"/>
        <w:snapToGrid w:val="0"/>
        <w:spacing w:line="480" w:lineRule="auto"/>
        <w:ind w:right="1470" w:firstLine="964" w:firstLineChars="400"/>
        <w:jc w:val="left"/>
        <w:rPr>
          <w:rFonts w:hint="eastAsia" w:hAnsi="宋体"/>
          <w:b/>
          <w:sz w:val="24"/>
          <w:szCs w:val="24"/>
          <w:highlight w:val="none"/>
        </w:rPr>
      </w:pPr>
    </w:p>
    <w:p w14:paraId="2960609B">
      <w:pPr>
        <w:pStyle w:val="22"/>
        <w:snapToGrid w:val="0"/>
        <w:spacing w:line="480" w:lineRule="auto"/>
        <w:ind w:right="1470" w:firstLine="964" w:firstLineChars="400"/>
        <w:jc w:val="left"/>
        <w:rPr>
          <w:rFonts w:hint="eastAsia" w:hAnsi="宋体"/>
          <w:b/>
          <w:sz w:val="24"/>
          <w:szCs w:val="24"/>
          <w:highlight w:val="none"/>
        </w:rPr>
      </w:pPr>
    </w:p>
    <w:p w14:paraId="13909310">
      <w:pPr>
        <w:pStyle w:val="22"/>
        <w:snapToGrid w:val="0"/>
        <w:spacing w:line="480" w:lineRule="auto"/>
        <w:ind w:right="1470" w:firstLine="964" w:firstLineChars="400"/>
        <w:jc w:val="left"/>
        <w:rPr>
          <w:rFonts w:hint="eastAsia" w:hAnsi="宋体"/>
          <w:b/>
          <w:sz w:val="24"/>
          <w:szCs w:val="24"/>
          <w:highlight w:val="none"/>
        </w:rPr>
      </w:pPr>
    </w:p>
    <w:p w14:paraId="0060B935">
      <w:pPr>
        <w:pStyle w:val="22"/>
        <w:snapToGrid w:val="0"/>
        <w:spacing w:line="480" w:lineRule="auto"/>
        <w:ind w:right="1470" w:firstLine="964" w:firstLineChars="400"/>
        <w:jc w:val="left"/>
        <w:rPr>
          <w:rFonts w:hint="eastAsia" w:hAnsi="宋体"/>
          <w:b/>
          <w:sz w:val="24"/>
          <w:szCs w:val="24"/>
          <w:highlight w:val="none"/>
        </w:rPr>
      </w:pPr>
    </w:p>
    <w:p w14:paraId="7C446569">
      <w:pPr>
        <w:pStyle w:val="22"/>
        <w:snapToGrid w:val="0"/>
        <w:spacing w:line="480" w:lineRule="auto"/>
        <w:ind w:right="1470" w:firstLine="964" w:firstLineChars="400"/>
        <w:jc w:val="left"/>
        <w:rPr>
          <w:rFonts w:hint="eastAsia" w:hAnsi="宋体"/>
          <w:b/>
          <w:sz w:val="24"/>
          <w:szCs w:val="24"/>
          <w:highlight w:val="none"/>
        </w:rPr>
      </w:pPr>
    </w:p>
    <w:p w14:paraId="765A59B3">
      <w:pPr>
        <w:pStyle w:val="22"/>
        <w:snapToGrid w:val="0"/>
        <w:spacing w:line="480" w:lineRule="auto"/>
        <w:ind w:right="1470" w:firstLine="964" w:firstLineChars="400"/>
        <w:jc w:val="left"/>
        <w:rPr>
          <w:rFonts w:hint="eastAsia" w:hAnsi="宋体"/>
          <w:b/>
          <w:sz w:val="24"/>
          <w:szCs w:val="24"/>
          <w:highlight w:val="none"/>
        </w:rPr>
      </w:pPr>
    </w:p>
    <w:p w14:paraId="7D55A07B">
      <w:pPr>
        <w:pStyle w:val="22"/>
        <w:snapToGrid w:val="0"/>
        <w:spacing w:line="480" w:lineRule="auto"/>
        <w:ind w:right="1470" w:firstLine="964" w:firstLineChars="400"/>
        <w:jc w:val="left"/>
        <w:rPr>
          <w:rFonts w:hint="eastAsia" w:hAnsi="宋体"/>
          <w:b/>
          <w:sz w:val="24"/>
          <w:szCs w:val="24"/>
          <w:highlight w:val="none"/>
        </w:rPr>
      </w:pPr>
    </w:p>
    <w:p w14:paraId="3EEE9F6C">
      <w:pPr>
        <w:pStyle w:val="22"/>
        <w:snapToGrid w:val="0"/>
        <w:spacing w:line="480" w:lineRule="auto"/>
        <w:ind w:right="1470" w:firstLine="964" w:firstLineChars="400"/>
        <w:jc w:val="left"/>
        <w:rPr>
          <w:rFonts w:hint="eastAsia" w:hAnsi="宋体"/>
          <w:b/>
          <w:sz w:val="24"/>
          <w:szCs w:val="24"/>
          <w:highlight w:val="none"/>
        </w:rPr>
      </w:pPr>
    </w:p>
    <w:p w14:paraId="1378B67C">
      <w:pPr>
        <w:pStyle w:val="22"/>
        <w:snapToGrid w:val="0"/>
        <w:spacing w:line="480" w:lineRule="auto"/>
        <w:ind w:right="1470" w:firstLine="964" w:firstLineChars="400"/>
        <w:jc w:val="left"/>
        <w:rPr>
          <w:rFonts w:hint="eastAsia" w:hAnsi="宋体"/>
          <w:b/>
          <w:sz w:val="24"/>
          <w:szCs w:val="24"/>
          <w:highlight w:val="none"/>
        </w:rPr>
      </w:pPr>
    </w:p>
    <w:p w14:paraId="29B51A3B">
      <w:pPr>
        <w:pStyle w:val="22"/>
        <w:snapToGrid w:val="0"/>
        <w:spacing w:line="480" w:lineRule="auto"/>
        <w:ind w:right="1470" w:firstLine="964" w:firstLineChars="400"/>
        <w:jc w:val="left"/>
        <w:rPr>
          <w:rFonts w:hint="eastAsia" w:hAnsi="宋体"/>
          <w:b/>
          <w:sz w:val="24"/>
          <w:szCs w:val="24"/>
          <w:highlight w:val="none"/>
        </w:rPr>
      </w:pPr>
    </w:p>
    <w:p w14:paraId="7126D6ED">
      <w:pPr>
        <w:pStyle w:val="22"/>
        <w:snapToGrid w:val="0"/>
        <w:spacing w:line="480" w:lineRule="auto"/>
        <w:ind w:right="1470" w:firstLine="964" w:firstLineChars="400"/>
        <w:jc w:val="left"/>
        <w:rPr>
          <w:rFonts w:hint="eastAsia" w:hAnsi="宋体"/>
          <w:b/>
          <w:sz w:val="24"/>
          <w:szCs w:val="24"/>
          <w:highlight w:val="none"/>
        </w:rPr>
      </w:pPr>
    </w:p>
    <w:p w14:paraId="3A7495C7">
      <w:pPr>
        <w:pStyle w:val="22"/>
        <w:snapToGrid w:val="0"/>
        <w:spacing w:line="480" w:lineRule="auto"/>
        <w:ind w:right="1470" w:firstLine="964" w:firstLineChars="400"/>
        <w:jc w:val="left"/>
        <w:rPr>
          <w:rFonts w:hint="eastAsia" w:hAnsi="宋体"/>
          <w:b/>
          <w:sz w:val="24"/>
          <w:szCs w:val="24"/>
          <w:highlight w:val="none"/>
        </w:rPr>
      </w:pPr>
    </w:p>
    <w:p w14:paraId="6023222A">
      <w:pPr>
        <w:pStyle w:val="22"/>
        <w:snapToGrid w:val="0"/>
        <w:spacing w:line="480" w:lineRule="auto"/>
        <w:ind w:right="1470" w:firstLine="964" w:firstLineChars="400"/>
        <w:jc w:val="left"/>
        <w:rPr>
          <w:rFonts w:hint="eastAsia" w:hAnsi="宋体"/>
          <w:b/>
          <w:sz w:val="24"/>
          <w:szCs w:val="24"/>
          <w:highlight w:val="none"/>
        </w:rPr>
      </w:pPr>
    </w:p>
    <w:p w14:paraId="3D09E323">
      <w:pPr>
        <w:pStyle w:val="22"/>
        <w:snapToGrid w:val="0"/>
        <w:spacing w:line="480" w:lineRule="auto"/>
        <w:ind w:right="1470" w:firstLine="964" w:firstLineChars="400"/>
        <w:jc w:val="left"/>
        <w:rPr>
          <w:rFonts w:hAnsi="宋体"/>
          <w:b/>
          <w:sz w:val="24"/>
          <w:szCs w:val="24"/>
          <w:highlight w:val="none"/>
        </w:rPr>
      </w:pPr>
      <w:r>
        <w:rPr>
          <w:rFonts w:hint="eastAsia" w:hAnsi="宋体"/>
          <w:b/>
          <w:sz w:val="24"/>
          <w:szCs w:val="24"/>
          <w:highlight w:val="none"/>
        </w:rPr>
        <w:t>（二）项目管理机构配备情况</w:t>
      </w:r>
    </w:p>
    <w:p w14:paraId="66568C3C">
      <w:pPr>
        <w:pageBreakBefore w:val="0"/>
        <w:kinsoku/>
        <w:overflowPunct/>
        <w:bidi w:val="0"/>
        <w:snapToGrid w:val="0"/>
        <w:spacing w:line="360" w:lineRule="auto"/>
        <w:jc w:val="center"/>
        <w:rPr>
          <w:rFonts w:hint="eastAsia" w:ascii="宋体" w:hAnsi="宋体" w:eastAsia="宋体" w:cs="宋体"/>
          <w:b/>
          <w:bCs/>
          <w:sz w:val="24"/>
          <w:szCs w:val="24"/>
          <w:highlight w:val="none"/>
        </w:rPr>
      </w:pPr>
      <w:bookmarkStart w:id="39" w:name="_Toc171741993"/>
      <w:bookmarkStart w:id="40" w:name="_Toc17197761"/>
      <w:bookmarkStart w:id="41" w:name="_Toc171581550"/>
      <w:bookmarkStart w:id="42" w:name="_Toc171581370"/>
      <w:r>
        <w:rPr>
          <w:rFonts w:hint="eastAsia" w:ascii="宋体" w:hAnsi="宋体" w:eastAsia="宋体" w:cs="宋体"/>
          <w:b/>
          <w:bCs/>
          <w:sz w:val="24"/>
          <w:szCs w:val="24"/>
          <w:highlight w:val="none"/>
        </w:rPr>
        <w:t>项目配备人员汇总表</w:t>
      </w:r>
    </w:p>
    <w:p w14:paraId="37A7FE4B">
      <w:pPr>
        <w:pageBreakBefore w:val="0"/>
        <w:kinsoku/>
        <w:overflowPunct/>
        <w:bidi w:val="0"/>
        <w:snapToGrid w:val="0"/>
        <w:spacing w:line="360" w:lineRule="auto"/>
        <w:jc w:val="left"/>
        <w:rPr>
          <w:rFonts w:hint="eastAsia" w:ascii="宋体" w:hAnsi="宋体" w:eastAsia="宋体" w:cs="宋体"/>
          <w:sz w:val="24"/>
          <w:szCs w:val="24"/>
          <w:highlight w:val="none"/>
        </w:rPr>
      </w:pPr>
    </w:p>
    <w:tbl>
      <w:tblPr>
        <w:tblStyle w:val="32"/>
        <w:tblW w:w="86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1473"/>
        <w:gridCol w:w="798"/>
        <w:gridCol w:w="844"/>
        <w:gridCol w:w="794"/>
        <w:gridCol w:w="1253"/>
        <w:gridCol w:w="873"/>
        <w:gridCol w:w="1092"/>
        <w:gridCol w:w="748"/>
      </w:tblGrid>
      <w:tr w14:paraId="2D364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1" w:type="dxa"/>
            <w:vMerge w:val="restart"/>
            <w:noWrap w:val="0"/>
            <w:vAlign w:val="center"/>
          </w:tcPr>
          <w:p w14:paraId="470FDA1B">
            <w:pPr>
              <w:pageBreakBefore w:val="0"/>
              <w:kinsoku/>
              <w:overflowPunct/>
              <w:bidi w:val="0"/>
              <w:snapToGrid w:val="0"/>
              <w:spacing w:line="36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序号</w:t>
            </w:r>
          </w:p>
        </w:tc>
        <w:tc>
          <w:tcPr>
            <w:tcW w:w="1473" w:type="dxa"/>
            <w:vMerge w:val="restart"/>
            <w:noWrap w:val="0"/>
            <w:vAlign w:val="center"/>
          </w:tcPr>
          <w:p w14:paraId="1F4D6E28">
            <w:pPr>
              <w:pageBreakBefore w:val="0"/>
              <w:kinsoku/>
              <w:overflowPunct/>
              <w:bidi w:val="0"/>
              <w:snapToGrid w:val="0"/>
              <w:spacing w:line="36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本项目任职</w:t>
            </w:r>
          </w:p>
        </w:tc>
        <w:tc>
          <w:tcPr>
            <w:tcW w:w="798" w:type="dxa"/>
            <w:vMerge w:val="restart"/>
            <w:noWrap w:val="0"/>
            <w:vAlign w:val="center"/>
          </w:tcPr>
          <w:p w14:paraId="00530773">
            <w:pPr>
              <w:pageBreakBefore w:val="0"/>
              <w:kinsoku/>
              <w:overflowPunct/>
              <w:bidi w:val="0"/>
              <w:snapToGrid w:val="0"/>
              <w:spacing w:line="36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姓名</w:t>
            </w:r>
          </w:p>
        </w:tc>
        <w:tc>
          <w:tcPr>
            <w:tcW w:w="844" w:type="dxa"/>
            <w:vMerge w:val="restart"/>
            <w:noWrap w:val="0"/>
            <w:vAlign w:val="center"/>
          </w:tcPr>
          <w:p w14:paraId="606FBC43">
            <w:pPr>
              <w:pageBreakBefore w:val="0"/>
              <w:kinsoku/>
              <w:overflowPunct/>
              <w:bidi w:val="0"/>
              <w:snapToGrid w:val="0"/>
              <w:spacing w:line="36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职称</w:t>
            </w:r>
          </w:p>
        </w:tc>
        <w:tc>
          <w:tcPr>
            <w:tcW w:w="794" w:type="dxa"/>
            <w:vMerge w:val="restart"/>
            <w:noWrap w:val="0"/>
            <w:vAlign w:val="center"/>
          </w:tcPr>
          <w:p w14:paraId="43FFD006">
            <w:pPr>
              <w:pageBreakBefore w:val="0"/>
              <w:kinsoku/>
              <w:overflowPunct/>
              <w:bidi w:val="0"/>
              <w:snapToGrid w:val="0"/>
              <w:spacing w:line="36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专业</w:t>
            </w:r>
          </w:p>
        </w:tc>
        <w:tc>
          <w:tcPr>
            <w:tcW w:w="3218" w:type="dxa"/>
            <w:gridSpan w:val="3"/>
            <w:noWrap w:val="0"/>
            <w:vAlign w:val="center"/>
          </w:tcPr>
          <w:p w14:paraId="1095A6FE">
            <w:pPr>
              <w:pageBreakBefore w:val="0"/>
              <w:kinsoku/>
              <w:overflowPunct/>
              <w:bidi w:val="0"/>
              <w:snapToGrid w:val="0"/>
              <w:spacing w:line="36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执业或职业资格证书</w:t>
            </w:r>
          </w:p>
        </w:tc>
        <w:tc>
          <w:tcPr>
            <w:tcW w:w="748" w:type="dxa"/>
            <w:vMerge w:val="restart"/>
            <w:noWrap w:val="0"/>
            <w:vAlign w:val="center"/>
          </w:tcPr>
          <w:p w14:paraId="1605E6A3">
            <w:pPr>
              <w:pageBreakBefore w:val="0"/>
              <w:kinsoku/>
              <w:overflowPunct/>
              <w:bidi w:val="0"/>
              <w:snapToGrid w:val="0"/>
              <w:spacing w:line="36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备注</w:t>
            </w:r>
          </w:p>
        </w:tc>
      </w:tr>
      <w:tr w14:paraId="66004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81" w:type="dxa"/>
            <w:vMerge w:val="continue"/>
            <w:noWrap w:val="0"/>
            <w:vAlign w:val="center"/>
          </w:tcPr>
          <w:p w14:paraId="0FD21EAF">
            <w:pPr>
              <w:pageBreakBefore w:val="0"/>
              <w:kinsoku/>
              <w:overflowPunct/>
              <w:bidi w:val="0"/>
              <w:snapToGrid w:val="0"/>
              <w:spacing w:line="360" w:lineRule="auto"/>
              <w:jc w:val="center"/>
              <w:rPr>
                <w:rFonts w:hint="eastAsia" w:ascii="宋体" w:hAnsi="宋体" w:eastAsia="宋体" w:cs="宋体"/>
                <w:b/>
                <w:bCs/>
                <w:szCs w:val="21"/>
                <w:highlight w:val="none"/>
              </w:rPr>
            </w:pPr>
          </w:p>
        </w:tc>
        <w:tc>
          <w:tcPr>
            <w:tcW w:w="1473" w:type="dxa"/>
            <w:vMerge w:val="continue"/>
            <w:noWrap w:val="0"/>
            <w:vAlign w:val="top"/>
          </w:tcPr>
          <w:p w14:paraId="1EEE94D7">
            <w:pPr>
              <w:pageBreakBefore w:val="0"/>
              <w:kinsoku/>
              <w:overflowPunct/>
              <w:bidi w:val="0"/>
              <w:snapToGrid w:val="0"/>
              <w:spacing w:line="360" w:lineRule="auto"/>
              <w:jc w:val="center"/>
              <w:rPr>
                <w:rFonts w:hint="eastAsia" w:ascii="宋体" w:hAnsi="宋体" w:eastAsia="宋体" w:cs="宋体"/>
                <w:b/>
                <w:bCs/>
                <w:szCs w:val="21"/>
                <w:highlight w:val="none"/>
              </w:rPr>
            </w:pPr>
          </w:p>
        </w:tc>
        <w:tc>
          <w:tcPr>
            <w:tcW w:w="798" w:type="dxa"/>
            <w:vMerge w:val="continue"/>
            <w:noWrap w:val="0"/>
            <w:vAlign w:val="center"/>
          </w:tcPr>
          <w:p w14:paraId="0E538350">
            <w:pPr>
              <w:pageBreakBefore w:val="0"/>
              <w:kinsoku/>
              <w:overflowPunct/>
              <w:bidi w:val="0"/>
              <w:snapToGrid w:val="0"/>
              <w:spacing w:line="360" w:lineRule="auto"/>
              <w:jc w:val="center"/>
              <w:rPr>
                <w:rFonts w:hint="eastAsia" w:ascii="宋体" w:hAnsi="宋体" w:eastAsia="宋体" w:cs="宋体"/>
                <w:b/>
                <w:bCs/>
                <w:szCs w:val="21"/>
                <w:highlight w:val="none"/>
              </w:rPr>
            </w:pPr>
          </w:p>
        </w:tc>
        <w:tc>
          <w:tcPr>
            <w:tcW w:w="844" w:type="dxa"/>
            <w:vMerge w:val="continue"/>
            <w:noWrap w:val="0"/>
            <w:vAlign w:val="center"/>
          </w:tcPr>
          <w:p w14:paraId="14555A86">
            <w:pPr>
              <w:pageBreakBefore w:val="0"/>
              <w:kinsoku/>
              <w:overflowPunct/>
              <w:bidi w:val="0"/>
              <w:snapToGrid w:val="0"/>
              <w:spacing w:line="360" w:lineRule="auto"/>
              <w:jc w:val="center"/>
              <w:rPr>
                <w:rFonts w:hint="eastAsia" w:ascii="宋体" w:hAnsi="宋体" w:eastAsia="宋体" w:cs="宋体"/>
                <w:b/>
                <w:bCs/>
                <w:szCs w:val="21"/>
                <w:highlight w:val="none"/>
              </w:rPr>
            </w:pPr>
          </w:p>
        </w:tc>
        <w:tc>
          <w:tcPr>
            <w:tcW w:w="794" w:type="dxa"/>
            <w:vMerge w:val="continue"/>
            <w:noWrap w:val="0"/>
            <w:vAlign w:val="center"/>
          </w:tcPr>
          <w:p w14:paraId="77A80C2F">
            <w:pPr>
              <w:pageBreakBefore w:val="0"/>
              <w:kinsoku/>
              <w:overflowPunct/>
              <w:bidi w:val="0"/>
              <w:snapToGrid w:val="0"/>
              <w:spacing w:line="360" w:lineRule="auto"/>
              <w:jc w:val="center"/>
              <w:rPr>
                <w:rFonts w:hint="eastAsia" w:ascii="宋体" w:hAnsi="宋体" w:eastAsia="宋体" w:cs="宋体"/>
                <w:b/>
                <w:bCs/>
                <w:szCs w:val="21"/>
                <w:highlight w:val="none"/>
              </w:rPr>
            </w:pPr>
          </w:p>
        </w:tc>
        <w:tc>
          <w:tcPr>
            <w:tcW w:w="1253" w:type="dxa"/>
            <w:noWrap w:val="0"/>
            <w:vAlign w:val="center"/>
          </w:tcPr>
          <w:p w14:paraId="61BAACF8">
            <w:pPr>
              <w:pageBreakBefore w:val="0"/>
              <w:kinsoku/>
              <w:overflowPunct/>
              <w:bidi w:val="0"/>
              <w:snapToGrid w:val="0"/>
              <w:spacing w:before="100" w:beforeAutospacing="1" w:after="100" w:afterAutospacing="1" w:line="36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证书名称</w:t>
            </w:r>
          </w:p>
        </w:tc>
        <w:tc>
          <w:tcPr>
            <w:tcW w:w="873" w:type="dxa"/>
            <w:noWrap w:val="0"/>
            <w:vAlign w:val="center"/>
          </w:tcPr>
          <w:p w14:paraId="1C6B280D">
            <w:pPr>
              <w:pageBreakBefore w:val="0"/>
              <w:kinsoku/>
              <w:overflowPunct/>
              <w:bidi w:val="0"/>
              <w:snapToGrid w:val="0"/>
              <w:spacing w:before="100" w:beforeAutospacing="1" w:after="100" w:afterAutospacing="1" w:line="36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级别</w:t>
            </w:r>
          </w:p>
        </w:tc>
        <w:tc>
          <w:tcPr>
            <w:tcW w:w="1092" w:type="dxa"/>
            <w:noWrap w:val="0"/>
            <w:vAlign w:val="center"/>
          </w:tcPr>
          <w:p w14:paraId="7DD053B4">
            <w:pPr>
              <w:pageBreakBefore w:val="0"/>
              <w:kinsoku/>
              <w:overflowPunct/>
              <w:bidi w:val="0"/>
              <w:snapToGrid w:val="0"/>
              <w:spacing w:before="100" w:beforeAutospacing="1" w:after="100" w:afterAutospacing="1" w:line="36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证号</w:t>
            </w:r>
          </w:p>
        </w:tc>
        <w:tc>
          <w:tcPr>
            <w:tcW w:w="748" w:type="dxa"/>
            <w:vMerge w:val="continue"/>
            <w:noWrap w:val="0"/>
            <w:vAlign w:val="center"/>
          </w:tcPr>
          <w:p w14:paraId="253BDC21">
            <w:pPr>
              <w:pageBreakBefore w:val="0"/>
              <w:kinsoku/>
              <w:overflowPunct/>
              <w:bidi w:val="0"/>
              <w:snapToGrid w:val="0"/>
              <w:spacing w:line="360" w:lineRule="auto"/>
              <w:jc w:val="center"/>
              <w:rPr>
                <w:rFonts w:hint="eastAsia" w:ascii="宋体" w:hAnsi="宋体" w:eastAsia="宋体" w:cs="宋体"/>
                <w:b/>
                <w:bCs/>
                <w:szCs w:val="21"/>
                <w:highlight w:val="none"/>
              </w:rPr>
            </w:pPr>
          </w:p>
        </w:tc>
      </w:tr>
      <w:tr w14:paraId="76F5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81" w:type="dxa"/>
            <w:noWrap w:val="0"/>
            <w:vAlign w:val="center"/>
          </w:tcPr>
          <w:p w14:paraId="2954500F">
            <w:pPr>
              <w:pageBreakBefore w:val="0"/>
              <w:kinsoku/>
              <w:overflowPunct/>
              <w:bidi w:val="0"/>
              <w:snapToGrid w:val="0"/>
              <w:spacing w:line="360" w:lineRule="auto"/>
              <w:rPr>
                <w:rFonts w:hint="eastAsia" w:ascii="宋体" w:hAnsi="宋体" w:eastAsia="宋体" w:cs="宋体"/>
                <w:szCs w:val="21"/>
                <w:highlight w:val="none"/>
              </w:rPr>
            </w:pPr>
          </w:p>
        </w:tc>
        <w:tc>
          <w:tcPr>
            <w:tcW w:w="1473" w:type="dxa"/>
            <w:noWrap w:val="0"/>
            <w:vAlign w:val="center"/>
          </w:tcPr>
          <w:p w14:paraId="4C398592">
            <w:pPr>
              <w:pageBreakBefore w:val="0"/>
              <w:kinsoku/>
              <w:overflowPunct/>
              <w:bidi w:val="0"/>
              <w:snapToGrid w:val="0"/>
              <w:spacing w:line="360" w:lineRule="auto"/>
              <w:rPr>
                <w:rFonts w:hint="eastAsia" w:ascii="宋体" w:hAnsi="宋体" w:eastAsia="宋体" w:cs="宋体"/>
                <w:szCs w:val="21"/>
                <w:highlight w:val="none"/>
              </w:rPr>
            </w:pPr>
          </w:p>
        </w:tc>
        <w:tc>
          <w:tcPr>
            <w:tcW w:w="798" w:type="dxa"/>
            <w:noWrap w:val="0"/>
            <w:vAlign w:val="center"/>
          </w:tcPr>
          <w:p w14:paraId="132290F1">
            <w:pPr>
              <w:pageBreakBefore w:val="0"/>
              <w:kinsoku/>
              <w:overflowPunct/>
              <w:bidi w:val="0"/>
              <w:snapToGrid w:val="0"/>
              <w:spacing w:line="360" w:lineRule="auto"/>
              <w:rPr>
                <w:rFonts w:hint="eastAsia" w:ascii="宋体" w:hAnsi="宋体" w:eastAsia="宋体" w:cs="宋体"/>
                <w:szCs w:val="21"/>
                <w:highlight w:val="none"/>
              </w:rPr>
            </w:pPr>
          </w:p>
        </w:tc>
        <w:tc>
          <w:tcPr>
            <w:tcW w:w="844" w:type="dxa"/>
            <w:noWrap w:val="0"/>
            <w:vAlign w:val="center"/>
          </w:tcPr>
          <w:p w14:paraId="2078E095">
            <w:pPr>
              <w:pageBreakBefore w:val="0"/>
              <w:kinsoku/>
              <w:overflowPunct/>
              <w:bidi w:val="0"/>
              <w:snapToGrid w:val="0"/>
              <w:spacing w:line="360" w:lineRule="auto"/>
              <w:rPr>
                <w:rFonts w:hint="eastAsia" w:ascii="宋体" w:hAnsi="宋体" w:eastAsia="宋体" w:cs="宋体"/>
                <w:szCs w:val="21"/>
                <w:highlight w:val="none"/>
              </w:rPr>
            </w:pPr>
          </w:p>
        </w:tc>
        <w:tc>
          <w:tcPr>
            <w:tcW w:w="794" w:type="dxa"/>
            <w:noWrap w:val="0"/>
            <w:vAlign w:val="center"/>
          </w:tcPr>
          <w:p w14:paraId="3AA9EBAC">
            <w:pPr>
              <w:pageBreakBefore w:val="0"/>
              <w:kinsoku/>
              <w:overflowPunct/>
              <w:bidi w:val="0"/>
              <w:snapToGrid w:val="0"/>
              <w:spacing w:line="360" w:lineRule="auto"/>
              <w:rPr>
                <w:rFonts w:hint="eastAsia" w:ascii="宋体" w:hAnsi="宋体" w:eastAsia="宋体" w:cs="宋体"/>
                <w:szCs w:val="21"/>
                <w:highlight w:val="none"/>
              </w:rPr>
            </w:pPr>
          </w:p>
        </w:tc>
        <w:tc>
          <w:tcPr>
            <w:tcW w:w="1253" w:type="dxa"/>
            <w:noWrap w:val="0"/>
            <w:vAlign w:val="center"/>
          </w:tcPr>
          <w:p w14:paraId="03EA2B7B">
            <w:pPr>
              <w:pageBreakBefore w:val="0"/>
              <w:kinsoku/>
              <w:overflowPunct/>
              <w:bidi w:val="0"/>
              <w:snapToGrid w:val="0"/>
              <w:spacing w:line="360" w:lineRule="auto"/>
              <w:rPr>
                <w:rFonts w:hint="eastAsia" w:ascii="宋体" w:hAnsi="宋体" w:eastAsia="宋体" w:cs="宋体"/>
                <w:szCs w:val="21"/>
                <w:highlight w:val="none"/>
              </w:rPr>
            </w:pPr>
          </w:p>
        </w:tc>
        <w:tc>
          <w:tcPr>
            <w:tcW w:w="873" w:type="dxa"/>
            <w:noWrap w:val="0"/>
            <w:vAlign w:val="center"/>
          </w:tcPr>
          <w:p w14:paraId="79F6B1D2">
            <w:pPr>
              <w:pageBreakBefore w:val="0"/>
              <w:kinsoku/>
              <w:overflowPunct/>
              <w:bidi w:val="0"/>
              <w:snapToGrid w:val="0"/>
              <w:spacing w:line="360" w:lineRule="auto"/>
              <w:rPr>
                <w:rFonts w:hint="eastAsia" w:ascii="宋体" w:hAnsi="宋体" w:eastAsia="宋体" w:cs="宋体"/>
                <w:szCs w:val="21"/>
                <w:highlight w:val="none"/>
              </w:rPr>
            </w:pPr>
          </w:p>
        </w:tc>
        <w:tc>
          <w:tcPr>
            <w:tcW w:w="1092" w:type="dxa"/>
            <w:noWrap w:val="0"/>
            <w:vAlign w:val="center"/>
          </w:tcPr>
          <w:p w14:paraId="45D20962">
            <w:pPr>
              <w:pageBreakBefore w:val="0"/>
              <w:kinsoku/>
              <w:overflowPunct/>
              <w:bidi w:val="0"/>
              <w:snapToGrid w:val="0"/>
              <w:spacing w:line="360" w:lineRule="auto"/>
              <w:rPr>
                <w:rFonts w:hint="eastAsia" w:ascii="宋体" w:hAnsi="宋体" w:eastAsia="宋体" w:cs="宋体"/>
                <w:szCs w:val="21"/>
                <w:highlight w:val="none"/>
              </w:rPr>
            </w:pPr>
          </w:p>
        </w:tc>
        <w:tc>
          <w:tcPr>
            <w:tcW w:w="748" w:type="dxa"/>
            <w:noWrap w:val="0"/>
            <w:vAlign w:val="center"/>
          </w:tcPr>
          <w:p w14:paraId="77723EC6">
            <w:pPr>
              <w:pageBreakBefore w:val="0"/>
              <w:kinsoku/>
              <w:overflowPunct/>
              <w:bidi w:val="0"/>
              <w:snapToGrid w:val="0"/>
              <w:spacing w:line="360" w:lineRule="auto"/>
              <w:rPr>
                <w:rFonts w:hint="eastAsia" w:ascii="宋体" w:hAnsi="宋体" w:eastAsia="宋体" w:cs="宋体"/>
                <w:szCs w:val="21"/>
                <w:highlight w:val="none"/>
              </w:rPr>
            </w:pPr>
          </w:p>
        </w:tc>
      </w:tr>
      <w:tr w14:paraId="17B0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81" w:type="dxa"/>
            <w:noWrap w:val="0"/>
            <w:vAlign w:val="center"/>
          </w:tcPr>
          <w:p w14:paraId="70E012A7">
            <w:pPr>
              <w:pageBreakBefore w:val="0"/>
              <w:kinsoku/>
              <w:overflowPunct/>
              <w:bidi w:val="0"/>
              <w:snapToGrid w:val="0"/>
              <w:spacing w:line="360" w:lineRule="auto"/>
              <w:rPr>
                <w:rFonts w:hint="eastAsia" w:ascii="宋体" w:hAnsi="宋体" w:eastAsia="宋体" w:cs="宋体"/>
                <w:szCs w:val="21"/>
                <w:highlight w:val="none"/>
              </w:rPr>
            </w:pPr>
          </w:p>
        </w:tc>
        <w:tc>
          <w:tcPr>
            <w:tcW w:w="1473" w:type="dxa"/>
            <w:noWrap w:val="0"/>
            <w:vAlign w:val="center"/>
          </w:tcPr>
          <w:p w14:paraId="755C849B">
            <w:pPr>
              <w:pageBreakBefore w:val="0"/>
              <w:kinsoku/>
              <w:overflowPunct/>
              <w:bidi w:val="0"/>
              <w:snapToGrid w:val="0"/>
              <w:spacing w:line="360" w:lineRule="auto"/>
              <w:rPr>
                <w:rFonts w:hint="eastAsia" w:ascii="宋体" w:hAnsi="宋体" w:eastAsia="宋体" w:cs="宋体"/>
                <w:szCs w:val="21"/>
                <w:highlight w:val="none"/>
              </w:rPr>
            </w:pPr>
          </w:p>
        </w:tc>
        <w:tc>
          <w:tcPr>
            <w:tcW w:w="798" w:type="dxa"/>
            <w:noWrap w:val="0"/>
            <w:vAlign w:val="center"/>
          </w:tcPr>
          <w:p w14:paraId="2BF6CBB3">
            <w:pPr>
              <w:pageBreakBefore w:val="0"/>
              <w:kinsoku/>
              <w:overflowPunct/>
              <w:bidi w:val="0"/>
              <w:snapToGrid w:val="0"/>
              <w:spacing w:line="360" w:lineRule="auto"/>
              <w:rPr>
                <w:rFonts w:hint="eastAsia" w:ascii="宋体" w:hAnsi="宋体" w:eastAsia="宋体" w:cs="宋体"/>
                <w:szCs w:val="21"/>
                <w:highlight w:val="none"/>
              </w:rPr>
            </w:pPr>
          </w:p>
        </w:tc>
        <w:tc>
          <w:tcPr>
            <w:tcW w:w="844" w:type="dxa"/>
            <w:noWrap w:val="0"/>
            <w:vAlign w:val="center"/>
          </w:tcPr>
          <w:p w14:paraId="76EE738D">
            <w:pPr>
              <w:pageBreakBefore w:val="0"/>
              <w:kinsoku/>
              <w:overflowPunct/>
              <w:bidi w:val="0"/>
              <w:snapToGrid w:val="0"/>
              <w:spacing w:line="360" w:lineRule="auto"/>
              <w:rPr>
                <w:rFonts w:hint="eastAsia" w:ascii="宋体" w:hAnsi="宋体" w:eastAsia="宋体" w:cs="宋体"/>
                <w:szCs w:val="21"/>
                <w:highlight w:val="none"/>
              </w:rPr>
            </w:pPr>
          </w:p>
        </w:tc>
        <w:tc>
          <w:tcPr>
            <w:tcW w:w="794" w:type="dxa"/>
            <w:noWrap w:val="0"/>
            <w:vAlign w:val="center"/>
          </w:tcPr>
          <w:p w14:paraId="017EE605">
            <w:pPr>
              <w:pageBreakBefore w:val="0"/>
              <w:kinsoku/>
              <w:overflowPunct/>
              <w:bidi w:val="0"/>
              <w:snapToGrid w:val="0"/>
              <w:spacing w:line="360" w:lineRule="auto"/>
              <w:rPr>
                <w:rFonts w:hint="eastAsia" w:ascii="宋体" w:hAnsi="宋体" w:eastAsia="宋体" w:cs="宋体"/>
                <w:szCs w:val="21"/>
                <w:highlight w:val="none"/>
              </w:rPr>
            </w:pPr>
          </w:p>
        </w:tc>
        <w:tc>
          <w:tcPr>
            <w:tcW w:w="1253" w:type="dxa"/>
            <w:noWrap w:val="0"/>
            <w:vAlign w:val="center"/>
          </w:tcPr>
          <w:p w14:paraId="636ED975">
            <w:pPr>
              <w:pageBreakBefore w:val="0"/>
              <w:kinsoku/>
              <w:overflowPunct/>
              <w:bidi w:val="0"/>
              <w:snapToGrid w:val="0"/>
              <w:spacing w:line="360" w:lineRule="auto"/>
              <w:rPr>
                <w:rFonts w:hint="eastAsia" w:ascii="宋体" w:hAnsi="宋体" w:eastAsia="宋体" w:cs="宋体"/>
                <w:szCs w:val="21"/>
                <w:highlight w:val="none"/>
              </w:rPr>
            </w:pPr>
          </w:p>
        </w:tc>
        <w:tc>
          <w:tcPr>
            <w:tcW w:w="873" w:type="dxa"/>
            <w:noWrap w:val="0"/>
            <w:vAlign w:val="center"/>
          </w:tcPr>
          <w:p w14:paraId="784495B8">
            <w:pPr>
              <w:pageBreakBefore w:val="0"/>
              <w:kinsoku/>
              <w:overflowPunct/>
              <w:bidi w:val="0"/>
              <w:snapToGrid w:val="0"/>
              <w:spacing w:line="360" w:lineRule="auto"/>
              <w:rPr>
                <w:rFonts w:hint="eastAsia" w:ascii="宋体" w:hAnsi="宋体" w:eastAsia="宋体" w:cs="宋体"/>
                <w:szCs w:val="21"/>
                <w:highlight w:val="none"/>
              </w:rPr>
            </w:pPr>
          </w:p>
        </w:tc>
        <w:tc>
          <w:tcPr>
            <w:tcW w:w="1092" w:type="dxa"/>
            <w:noWrap w:val="0"/>
            <w:vAlign w:val="center"/>
          </w:tcPr>
          <w:p w14:paraId="410981F5">
            <w:pPr>
              <w:pageBreakBefore w:val="0"/>
              <w:kinsoku/>
              <w:overflowPunct/>
              <w:bidi w:val="0"/>
              <w:snapToGrid w:val="0"/>
              <w:spacing w:line="360" w:lineRule="auto"/>
              <w:rPr>
                <w:rFonts w:hint="eastAsia" w:ascii="宋体" w:hAnsi="宋体" w:eastAsia="宋体" w:cs="宋体"/>
                <w:szCs w:val="21"/>
                <w:highlight w:val="none"/>
              </w:rPr>
            </w:pPr>
          </w:p>
        </w:tc>
        <w:tc>
          <w:tcPr>
            <w:tcW w:w="748" w:type="dxa"/>
            <w:noWrap w:val="0"/>
            <w:vAlign w:val="center"/>
          </w:tcPr>
          <w:p w14:paraId="6080EA95">
            <w:pPr>
              <w:pageBreakBefore w:val="0"/>
              <w:kinsoku/>
              <w:overflowPunct/>
              <w:bidi w:val="0"/>
              <w:snapToGrid w:val="0"/>
              <w:spacing w:line="360" w:lineRule="auto"/>
              <w:rPr>
                <w:rFonts w:hint="eastAsia" w:ascii="宋体" w:hAnsi="宋体" w:eastAsia="宋体" w:cs="宋体"/>
                <w:szCs w:val="21"/>
                <w:highlight w:val="none"/>
              </w:rPr>
            </w:pPr>
          </w:p>
        </w:tc>
      </w:tr>
      <w:tr w14:paraId="2D223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81" w:type="dxa"/>
            <w:noWrap w:val="0"/>
            <w:vAlign w:val="center"/>
          </w:tcPr>
          <w:p w14:paraId="603BBF6C">
            <w:pPr>
              <w:pageBreakBefore w:val="0"/>
              <w:kinsoku/>
              <w:overflowPunct/>
              <w:bidi w:val="0"/>
              <w:snapToGrid w:val="0"/>
              <w:spacing w:line="360" w:lineRule="auto"/>
              <w:rPr>
                <w:rFonts w:hint="eastAsia" w:ascii="宋体" w:hAnsi="宋体" w:eastAsia="宋体" w:cs="宋体"/>
                <w:szCs w:val="21"/>
                <w:highlight w:val="none"/>
              </w:rPr>
            </w:pPr>
          </w:p>
        </w:tc>
        <w:tc>
          <w:tcPr>
            <w:tcW w:w="1473" w:type="dxa"/>
            <w:noWrap w:val="0"/>
            <w:vAlign w:val="center"/>
          </w:tcPr>
          <w:p w14:paraId="0E01F58B">
            <w:pPr>
              <w:pageBreakBefore w:val="0"/>
              <w:kinsoku/>
              <w:overflowPunct/>
              <w:bidi w:val="0"/>
              <w:snapToGrid w:val="0"/>
              <w:spacing w:line="360" w:lineRule="auto"/>
              <w:rPr>
                <w:rFonts w:hint="eastAsia" w:ascii="宋体" w:hAnsi="宋体" w:eastAsia="宋体" w:cs="宋体"/>
                <w:szCs w:val="21"/>
                <w:highlight w:val="none"/>
              </w:rPr>
            </w:pPr>
          </w:p>
        </w:tc>
        <w:tc>
          <w:tcPr>
            <w:tcW w:w="798" w:type="dxa"/>
            <w:noWrap w:val="0"/>
            <w:vAlign w:val="center"/>
          </w:tcPr>
          <w:p w14:paraId="5DFC3138">
            <w:pPr>
              <w:pageBreakBefore w:val="0"/>
              <w:kinsoku/>
              <w:overflowPunct/>
              <w:bidi w:val="0"/>
              <w:snapToGrid w:val="0"/>
              <w:spacing w:line="360" w:lineRule="auto"/>
              <w:rPr>
                <w:rFonts w:hint="eastAsia" w:ascii="宋体" w:hAnsi="宋体" w:eastAsia="宋体" w:cs="宋体"/>
                <w:szCs w:val="21"/>
                <w:highlight w:val="none"/>
              </w:rPr>
            </w:pPr>
          </w:p>
        </w:tc>
        <w:tc>
          <w:tcPr>
            <w:tcW w:w="844" w:type="dxa"/>
            <w:noWrap w:val="0"/>
            <w:vAlign w:val="center"/>
          </w:tcPr>
          <w:p w14:paraId="0E8649E2">
            <w:pPr>
              <w:pageBreakBefore w:val="0"/>
              <w:kinsoku/>
              <w:overflowPunct/>
              <w:bidi w:val="0"/>
              <w:snapToGrid w:val="0"/>
              <w:spacing w:line="360" w:lineRule="auto"/>
              <w:rPr>
                <w:rFonts w:hint="eastAsia" w:ascii="宋体" w:hAnsi="宋体" w:eastAsia="宋体" w:cs="宋体"/>
                <w:szCs w:val="21"/>
                <w:highlight w:val="none"/>
              </w:rPr>
            </w:pPr>
          </w:p>
        </w:tc>
        <w:tc>
          <w:tcPr>
            <w:tcW w:w="794" w:type="dxa"/>
            <w:noWrap w:val="0"/>
            <w:vAlign w:val="center"/>
          </w:tcPr>
          <w:p w14:paraId="2FF5BE01">
            <w:pPr>
              <w:pageBreakBefore w:val="0"/>
              <w:kinsoku/>
              <w:overflowPunct/>
              <w:bidi w:val="0"/>
              <w:snapToGrid w:val="0"/>
              <w:spacing w:line="360" w:lineRule="auto"/>
              <w:rPr>
                <w:rFonts w:hint="eastAsia" w:ascii="宋体" w:hAnsi="宋体" w:eastAsia="宋体" w:cs="宋体"/>
                <w:szCs w:val="21"/>
                <w:highlight w:val="none"/>
              </w:rPr>
            </w:pPr>
          </w:p>
        </w:tc>
        <w:tc>
          <w:tcPr>
            <w:tcW w:w="1253" w:type="dxa"/>
            <w:noWrap w:val="0"/>
            <w:vAlign w:val="center"/>
          </w:tcPr>
          <w:p w14:paraId="193DE979">
            <w:pPr>
              <w:pageBreakBefore w:val="0"/>
              <w:kinsoku/>
              <w:overflowPunct/>
              <w:bidi w:val="0"/>
              <w:snapToGrid w:val="0"/>
              <w:spacing w:line="360" w:lineRule="auto"/>
              <w:rPr>
                <w:rFonts w:hint="eastAsia" w:ascii="宋体" w:hAnsi="宋体" w:eastAsia="宋体" w:cs="宋体"/>
                <w:szCs w:val="21"/>
                <w:highlight w:val="none"/>
              </w:rPr>
            </w:pPr>
          </w:p>
        </w:tc>
        <w:tc>
          <w:tcPr>
            <w:tcW w:w="873" w:type="dxa"/>
            <w:noWrap w:val="0"/>
            <w:vAlign w:val="center"/>
          </w:tcPr>
          <w:p w14:paraId="3DD3E6BF">
            <w:pPr>
              <w:pageBreakBefore w:val="0"/>
              <w:kinsoku/>
              <w:overflowPunct/>
              <w:bidi w:val="0"/>
              <w:snapToGrid w:val="0"/>
              <w:spacing w:line="360" w:lineRule="auto"/>
              <w:rPr>
                <w:rFonts w:hint="eastAsia" w:ascii="宋体" w:hAnsi="宋体" w:eastAsia="宋体" w:cs="宋体"/>
                <w:szCs w:val="21"/>
                <w:highlight w:val="none"/>
              </w:rPr>
            </w:pPr>
          </w:p>
        </w:tc>
        <w:tc>
          <w:tcPr>
            <w:tcW w:w="1092" w:type="dxa"/>
            <w:noWrap w:val="0"/>
            <w:vAlign w:val="center"/>
          </w:tcPr>
          <w:p w14:paraId="3AB7CCA3">
            <w:pPr>
              <w:pageBreakBefore w:val="0"/>
              <w:kinsoku/>
              <w:overflowPunct/>
              <w:bidi w:val="0"/>
              <w:snapToGrid w:val="0"/>
              <w:spacing w:line="360" w:lineRule="auto"/>
              <w:rPr>
                <w:rFonts w:hint="eastAsia" w:ascii="宋体" w:hAnsi="宋体" w:eastAsia="宋体" w:cs="宋体"/>
                <w:szCs w:val="21"/>
                <w:highlight w:val="none"/>
              </w:rPr>
            </w:pPr>
          </w:p>
        </w:tc>
        <w:tc>
          <w:tcPr>
            <w:tcW w:w="748" w:type="dxa"/>
            <w:noWrap w:val="0"/>
            <w:vAlign w:val="center"/>
          </w:tcPr>
          <w:p w14:paraId="4F968C10">
            <w:pPr>
              <w:pageBreakBefore w:val="0"/>
              <w:kinsoku/>
              <w:overflowPunct/>
              <w:bidi w:val="0"/>
              <w:snapToGrid w:val="0"/>
              <w:spacing w:line="360" w:lineRule="auto"/>
              <w:rPr>
                <w:rFonts w:hint="eastAsia" w:ascii="宋体" w:hAnsi="宋体" w:eastAsia="宋体" w:cs="宋体"/>
                <w:szCs w:val="21"/>
                <w:highlight w:val="none"/>
              </w:rPr>
            </w:pPr>
          </w:p>
        </w:tc>
      </w:tr>
      <w:tr w14:paraId="7D5B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81" w:type="dxa"/>
            <w:noWrap w:val="0"/>
            <w:vAlign w:val="center"/>
          </w:tcPr>
          <w:p w14:paraId="40B9D2AF">
            <w:pPr>
              <w:pageBreakBefore w:val="0"/>
              <w:kinsoku/>
              <w:overflowPunct/>
              <w:bidi w:val="0"/>
              <w:snapToGrid w:val="0"/>
              <w:spacing w:line="360" w:lineRule="auto"/>
              <w:rPr>
                <w:rFonts w:hint="eastAsia" w:ascii="宋体" w:hAnsi="宋体" w:eastAsia="宋体" w:cs="宋体"/>
                <w:szCs w:val="21"/>
                <w:highlight w:val="none"/>
              </w:rPr>
            </w:pPr>
          </w:p>
        </w:tc>
        <w:tc>
          <w:tcPr>
            <w:tcW w:w="1473" w:type="dxa"/>
            <w:noWrap w:val="0"/>
            <w:vAlign w:val="center"/>
          </w:tcPr>
          <w:p w14:paraId="07FD6FF1">
            <w:pPr>
              <w:pageBreakBefore w:val="0"/>
              <w:kinsoku/>
              <w:overflowPunct/>
              <w:bidi w:val="0"/>
              <w:snapToGrid w:val="0"/>
              <w:spacing w:line="360" w:lineRule="auto"/>
              <w:rPr>
                <w:rFonts w:hint="eastAsia" w:ascii="宋体" w:hAnsi="宋体" w:eastAsia="宋体" w:cs="宋体"/>
                <w:szCs w:val="21"/>
                <w:highlight w:val="none"/>
              </w:rPr>
            </w:pPr>
          </w:p>
        </w:tc>
        <w:tc>
          <w:tcPr>
            <w:tcW w:w="798" w:type="dxa"/>
            <w:noWrap w:val="0"/>
            <w:vAlign w:val="center"/>
          </w:tcPr>
          <w:p w14:paraId="361E3D6F">
            <w:pPr>
              <w:pageBreakBefore w:val="0"/>
              <w:kinsoku/>
              <w:overflowPunct/>
              <w:bidi w:val="0"/>
              <w:snapToGrid w:val="0"/>
              <w:spacing w:line="360" w:lineRule="auto"/>
              <w:rPr>
                <w:rFonts w:hint="eastAsia" w:ascii="宋体" w:hAnsi="宋体" w:eastAsia="宋体" w:cs="宋体"/>
                <w:szCs w:val="21"/>
                <w:highlight w:val="none"/>
              </w:rPr>
            </w:pPr>
          </w:p>
        </w:tc>
        <w:tc>
          <w:tcPr>
            <w:tcW w:w="844" w:type="dxa"/>
            <w:noWrap w:val="0"/>
            <w:vAlign w:val="center"/>
          </w:tcPr>
          <w:p w14:paraId="4A88AF61">
            <w:pPr>
              <w:pageBreakBefore w:val="0"/>
              <w:kinsoku/>
              <w:overflowPunct/>
              <w:bidi w:val="0"/>
              <w:snapToGrid w:val="0"/>
              <w:spacing w:line="360" w:lineRule="auto"/>
              <w:rPr>
                <w:rFonts w:hint="eastAsia" w:ascii="宋体" w:hAnsi="宋体" w:eastAsia="宋体" w:cs="宋体"/>
                <w:szCs w:val="21"/>
                <w:highlight w:val="none"/>
              </w:rPr>
            </w:pPr>
          </w:p>
        </w:tc>
        <w:tc>
          <w:tcPr>
            <w:tcW w:w="794" w:type="dxa"/>
            <w:noWrap w:val="0"/>
            <w:vAlign w:val="center"/>
          </w:tcPr>
          <w:p w14:paraId="6B804604">
            <w:pPr>
              <w:pageBreakBefore w:val="0"/>
              <w:kinsoku/>
              <w:overflowPunct/>
              <w:bidi w:val="0"/>
              <w:snapToGrid w:val="0"/>
              <w:spacing w:line="360" w:lineRule="auto"/>
              <w:rPr>
                <w:rFonts w:hint="eastAsia" w:ascii="宋体" w:hAnsi="宋体" w:eastAsia="宋体" w:cs="宋体"/>
                <w:szCs w:val="21"/>
                <w:highlight w:val="none"/>
              </w:rPr>
            </w:pPr>
          </w:p>
        </w:tc>
        <w:tc>
          <w:tcPr>
            <w:tcW w:w="1253" w:type="dxa"/>
            <w:noWrap w:val="0"/>
            <w:vAlign w:val="center"/>
          </w:tcPr>
          <w:p w14:paraId="3689D7CB">
            <w:pPr>
              <w:pageBreakBefore w:val="0"/>
              <w:kinsoku/>
              <w:overflowPunct/>
              <w:bidi w:val="0"/>
              <w:snapToGrid w:val="0"/>
              <w:spacing w:line="360" w:lineRule="auto"/>
              <w:rPr>
                <w:rFonts w:hint="eastAsia" w:ascii="宋体" w:hAnsi="宋体" w:eastAsia="宋体" w:cs="宋体"/>
                <w:szCs w:val="21"/>
                <w:highlight w:val="none"/>
              </w:rPr>
            </w:pPr>
          </w:p>
        </w:tc>
        <w:tc>
          <w:tcPr>
            <w:tcW w:w="873" w:type="dxa"/>
            <w:noWrap w:val="0"/>
            <w:vAlign w:val="center"/>
          </w:tcPr>
          <w:p w14:paraId="1D87FF35">
            <w:pPr>
              <w:pageBreakBefore w:val="0"/>
              <w:kinsoku/>
              <w:overflowPunct/>
              <w:bidi w:val="0"/>
              <w:snapToGrid w:val="0"/>
              <w:spacing w:line="360" w:lineRule="auto"/>
              <w:rPr>
                <w:rFonts w:hint="eastAsia" w:ascii="宋体" w:hAnsi="宋体" w:eastAsia="宋体" w:cs="宋体"/>
                <w:szCs w:val="21"/>
                <w:highlight w:val="none"/>
              </w:rPr>
            </w:pPr>
          </w:p>
        </w:tc>
        <w:tc>
          <w:tcPr>
            <w:tcW w:w="1092" w:type="dxa"/>
            <w:noWrap w:val="0"/>
            <w:vAlign w:val="center"/>
          </w:tcPr>
          <w:p w14:paraId="7030BEA8">
            <w:pPr>
              <w:pageBreakBefore w:val="0"/>
              <w:kinsoku/>
              <w:overflowPunct/>
              <w:bidi w:val="0"/>
              <w:snapToGrid w:val="0"/>
              <w:spacing w:line="360" w:lineRule="auto"/>
              <w:rPr>
                <w:rFonts w:hint="eastAsia" w:ascii="宋体" w:hAnsi="宋体" w:eastAsia="宋体" w:cs="宋体"/>
                <w:szCs w:val="21"/>
                <w:highlight w:val="none"/>
              </w:rPr>
            </w:pPr>
          </w:p>
        </w:tc>
        <w:tc>
          <w:tcPr>
            <w:tcW w:w="748" w:type="dxa"/>
            <w:noWrap w:val="0"/>
            <w:vAlign w:val="center"/>
          </w:tcPr>
          <w:p w14:paraId="6013F8CC">
            <w:pPr>
              <w:pageBreakBefore w:val="0"/>
              <w:kinsoku/>
              <w:overflowPunct/>
              <w:bidi w:val="0"/>
              <w:snapToGrid w:val="0"/>
              <w:spacing w:line="360" w:lineRule="auto"/>
              <w:rPr>
                <w:rFonts w:hint="eastAsia" w:ascii="宋体" w:hAnsi="宋体" w:eastAsia="宋体" w:cs="宋体"/>
                <w:szCs w:val="21"/>
                <w:highlight w:val="none"/>
              </w:rPr>
            </w:pPr>
          </w:p>
        </w:tc>
      </w:tr>
      <w:tr w14:paraId="22EE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81" w:type="dxa"/>
            <w:noWrap w:val="0"/>
            <w:vAlign w:val="center"/>
          </w:tcPr>
          <w:p w14:paraId="141CA5AD">
            <w:pPr>
              <w:pageBreakBefore w:val="0"/>
              <w:kinsoku/>
              <w:overflowPunct/>
              <w:bidi w:val="0"/>
              <w:snapToGrid w:val="0"/>
              <w:spacing w:line="360" w:lineRule="auto"/>
              <w:rPr>
                <w:rFonts w:hint="eastAsia" w:ascii="宋体" w:hAnsi="宋体" w:eastAsia="宋体" w:cs="宋体"/>
                <w:szCs w:val="21"/>
                <w:highlight w:val="none"/>
              </w:rPr>
            </w:pPr>
          </w:p>
        </w:tc>
        <w:tc>
          <w:tcPr>
            <w:tcW w:w="1473" w:type="dxa"/>
            <w:noWrap w:val="0"/>
            <w:vAlign w:val="center"/>
          </w:tcPr>
          <w:p w14:paraId="55B0396F">
            <w:pPr>
              <w:pageBreakBefore w:val="0"/>
              <w:kinsoku/>
              <w:overflowPunct/>
              <w:bidi w:val="0"/>
              <w:snapToGrid w:val="0"/>
              <w:spacing w:line="360" w:lineRule="auto"/>
              <w:rPr>
                <w:rFonts w:hint="eastAsia" w:ascii="宋体" w:hAnsi="宋体" w:eastAsia="宋体" w:cs="宋体"/>
                <w:szCs w:val="21"/>
                <w:highlight w:val="none"/>
              </w:rPr>
            </w:pPr>
          </w:p>
        </w:tc>
        <w:tc>
          <w:tcPr>
            <w:tcW w:w="798" w:type="dxa"/>
            <w:noWrap w:val="0"/>
            <w:vAlign w:val="center"/>
          </w:tcPr>
          <w:p w14:paraId="486E9738">
            <w:pPr>
              <w:pageBreakBefore w:val="0"/>
              <w:kinsoku/>
              <w:overflowPunct/>
              <w:bidi w:val="0"/>
              <w:snapToGrid w:val="0"/>
              <w:spacing w:line="360" w:lineRule="auto"/>
              <w:rPr>
                <w:rFonts w:hint="eastAsia" w:ascii="宋体" w:hAnsi="宋体" w:eastAsia="宋体" w:cs="宋体"/>
                <w:szCs w:val="21"/>
                <w:highlight w:val="none"/>
              </w:rPr>
            </w:pPr>
          </w:p>
        </w:tc>
        <w:tc>
          <w:tcPr>
            <w:tcW w:w="844" w:type="dxa"/>
            <w:noWrap w:val="0"/>
            <w:vAlign w:val="center"/>
          </w:tcPr>
          <w:p w14:paraId="60F999F1">
            <w:pPr>
              <w:pageBreakBefore w:val="0"/>
              <w:kinsoku/>
              <w:overflowPunct/>
              <w:bidi w:val="0"/>
              <w:snapToGrid w:val="0"/>
              <w:spacing w:line="360" w:lineRule="auto"/>
              <w:rPr>
                <w:rFonts w:hint="eastAsia" w:ascii="宋体" w:hAnsi="宋体" w:eastAsia="宋体" w:cs="宋体"/>
                <w:szCs w:val="21"/>
                <w:highlight w:val="none"/>
              </w:rPr>
            </w:pPr>
          </w:p>
        </w:tc>
        <w:tc>
          <w:tcPr>
            <w:tcW w:w="794" w:type="dxa"/>
            <w:noWrap w:val="0"/>
            <w:vAlign w:val="center"/>
          </w:tcPr>
          <w:p w14:paraId="79652D99">
            <w:pPr>
              <w:pageBreakBefore w:val="0"/>
              <w:kinsoku/>
              <w:overflowPunct/>
              <w:bidi w:val="0"/>
              <w:snapToGrid w:val="0"/>
              <w:spacing w:line="360" w:lineRule="auto"/>
              <w:rPr>
                <w:rFonts w:hint="eastAsia" w:ascii="宋体" w:hAnsi="宋体" w:eastAsia="宋体" w:cs="宋体"/>
                <w:szCs w:val="21"/>
                <w:highlight w:val="none"/>
              </w:rPr>
            </w:pPr>
          </w:p>
        </w:tc>
        <w:tc>
          <w:tcPr>
            <w:tcW w:w="1253" w:type="dxa"/>
            <w:noWrap w:val="0"/>
            <w:vAlign w:val="center"/>
          </w:tcPr>
          <w:p w14:paraId="34CD4C46">
            <w:pPr>
              <w:pageBreakBefore w:val="0"/>
              <w:kinsoku/>
              <w:overflowPunct/>
              <w:bidi w:val="0"/>
              <w:snapToGrid w:val="0"/>
              <w:spacing w:line="360" w:lineRule="auto"/>
              <w:rPr>
                <w:rFonts w:hint="eastAsia" w:ascii="宋体" w:hAnsi="宋体" w:eastAsia="宋体" w:cs="宋体"/>
                <w:szCs w:val="21"/>
                <w:highlight w:val="none"/>
              </w:rPr>
            </w:pPr>
          </w:p>
        </w:tc>
        <w:tc>
          <w:tcPr>
            <w:tcW w:w="873" w:type="dxa"/>
            <w:noWrap w:val="0"/>
            <w:vAlign w:val="center"/>
          </w:tcPr>
          <w:p w14:paraId="6700ED35">
            <w:pPr>
              <w:pageBreakBefore w:val="0"/>
              <w:kinsoku/>
              <w:overflowPunct/>
              <w:bidi w:val="0"/>
              <w:snapToGrid w:val="0"/>
              <w:spacing w:line="360" w:lineRule="auto"/>
              <w:rPr>
                <w:rFonts w:hint="eastAsia" w:ascii="宋体" w:hAnsi="宋体" w:eastAsia="宋体" w:cs="宋体"/>
                <w:szCs w:val="21"/>
                <w:highlight w:val="none"/>
              </w:rPr>
            </w:pPr>
          </w:p>
        </w:tc>
        <w:tc>
          <w:tcPr>
            <w:tcW w:w="1092" w:type="dxa"/>
            <w:noWrap w:val="0"/>
            <w:vAlign w:val="center"/>
          </w:tcPr>
          <w:p w14:paraId="1D40D461">
            <w:pPr>
              <w:pageBreakBefore w:val="0"/>
              <w:kinsoku/>
              <w:overflowPunct/>
              <w:bidi w:val="0"/>
              <w:snapToGrid w:val="0"/>
              <w:spacing w:line="360" w:lineRule="auto"/>
              <w:rPr>
                <w:rFonts w:hint="eastAsia" w:ascii="宋体" w:hAnsi="宋体" w:eastAsia="宋体" w:cs="宋体"/>
                <w:szCs w:val="21"/>
                <w:highlight w:val="none"/>
              </w:rPr>
            </w:pPr>
          </w:p>
        </w:tc>
        <w:tc>
          <w:tcPr>
            <w:tcW w:w="748" w:type="dxa"/>
            <w:noWrap w:val="0"/>
            <w:vAlign w:val="center"/>
          </w:tcPr>
          <w:p w14:paraId="2CA87353">
            <w:pPr>
              <w:pageBreakBefore w:val="0"/>
              <w:kinsoku/>
              <w:overflowPunct/>
              <w:bidi w:val="0"/>
              <w:snapToGrid w:val="0"/>
              <w:spacing w:line="360" w:lineRule="auto"/>
              <w:rPr>
                <w:rFonts w:hint="eastAsia" w:ascii="宋体" w:hAnsi="宋体" w:eastAsia="宋体" w:cs="宋体"/>
                <w:szCs w:val="21"/>
                <w:highlight w:val="none"/>
              </w:rPr>
            </w:pPr>
          </w:p>
        </w:tc>
      </w:tr>
      <w:tr w14:paraId="1621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81" w:type="dxa"/>
            <w:noWrap w:val="0"/>
            <w:vAlign w:val="center"/>
          </w:tcPr>
          <w:p w14:paraId="02F97B77">
            <w:pPr>
              <w:pageBreakBefore w:val="0"/>
              <w:kinsoku/>
              <w:overflowPunct/>
              <w:bidi w:val="0"/>
              <w:snapToGrid w:val="0"/>
              <w:spacing w:line="360" w:lineRule="auto"/>
              <w:rPr>
                <w:rFonts w:hint="eastAsia" w:ascii="宋体" w:hAnsi="宋体" w:eastAsia="宋体" w:cs="宋体"/>
                <w:szCs w:val="21"/>
                <w:highlight w:val="none"/>
              </w:rPr>
            </w:pPr>
          </w:p>
        </w:tc>
        <w:tc>
          <w:tcPr>
            <w:tcW w:w="1473" w:type="dxa"/>
            <w:noWrap w:val="0"/>
            <w:vAlign w:val="center"/>
          </w:tcPr>
          <w:p w14:paraId="0607F172">
            <w:pPr>
              <w:pageBreakBefore w:val="0"/>
              <w:kinsoku/>
              <w:overflowPunct/>
              <w:bidi w:val="0"/>
              <w:snapToGrid w:val="0"/>
              <w:spacing w:line="360" w:lineRule="auto"/>
              <w:rPr>
                <w:rFonts w:hint="eastAsia" w:ascii="宋体" w:hAnsi="宋体" w:eastAsia="宋体" w:cs="宋体"/>
                <w:szCs w:val="21"/>
                <w:highlight w:val="none"/>
              </w:rPr>
            </w:pPr>
          </w:p>
        </w:tc>
        <w:tc>
          <w:tcPr>
            <w:tcW w:w="798" w:type="dxa"/>
            <w:noWrap w:val="0"/>
            <w:vAlign w:val="center"/>
          </w:tcPr>
          <w:p w14:paraId="5DD6513A">
            <w:pPr>
              <w:pageBreakBefore w:val="0"/>
              <w:kinsoku/>
              <w:overflowPunct/>
              <w:bidi w:val="0"/>
              <w:snapToGrid w:val="0"/>
              <w:spacing w:line="360" w:lineRule="auto"/>
              <w:rPr>
                <w:rFonts w:hint="eastAsia" w:ascii="宋体" w:hAnsi="宋体" w:eastAsia="宋体" w:cs="宋体"/>
                <w:szCs w:val="21"/>
                <w:highlight w:val="none"/>
              </w:rPr>
            </w:pPr>
          </w:p>
        </w:tc>
        <w:tc>
          <w:tcPr>
            <w:tcW w:w="844" w:type="dxa"/>
            <w:noWrap w:val="0"/>
            <w:vAlign w:val="center"/>
          </w:tcPr>
          <w:p w14:paraId="303563D5">
            <w:pPr>
              <w:pageBreakBefore w:val="0"/>
              <w:kinsoku/>
              <w:overflowPunct/>
              <w:bidi w:val="0"/>
              <w:snapToGrid w:val="0"/>
              <w:spacing w:line="360" w:lineRule="auto"/>
              <w:rPr>
                <w:rFonts w:hint="eastAsia" w:ascii="宋体" w:hAnsi="宋体" w:eastAsia="宋体" w:cs="宋体"/>
                <w:szCs w:val="21"/>
                <w:highlight w:val="none"/>
              </w:rPr>
            </w:pPr>
          </w:p>
        </w:tc>
        <w:tc>
          <w:tcPr>
            <w:tcW w:w="794" w:type="dxa"/>
            <w:noWrap w:val="0"/>
            <w:vAlign w:val="center"/>
          </w:tcPr>
          <w:p w14:paraId="7747CB21">
            <w:pPr>
              <w:pageBreakBefore w:val="0"/>
              <w:kinsoku/>
              <w:overflowPunct/>
              <w:bidi w:val="0"/>
              <w:snapToGrid w:val="0"/>
              <w:spacing w:line="360" w:lineRule="auto"/>
              <w:rPr>
                <w:rFonts w:hint="eastAsia" w:ascii="宋体" w:hAnsi="宋体" w:eastAsia="宋体" w:cs="宋体"/>
                <w:szCs w:val="21"/>
                <w:highlight w:val="none"/>
              </w:rPr>
            </w:pPr>
          </w:p>
        </w:tc>
        <w:tc>
          <w:tcPr>
            <w:tcW w:w="1253" w:type="dxa"/>
            <w:noWrap w:val="0"/>
            <w:vAlign w:val="center"/>
          </w:tcPr>
          <w:p w14:paraId="0F5058B2">
            <w:pPr>
              <w:pageBreakBefore w:val="0"/>
              <w:kinsoku/>
              <w:overflowPunct/>
              <w:bidi w:val="0"/>
              <w:snapToGrid w:val="0"/>
              <w:spacing w:line="360" w:lineRule="auto"/>
              <w:rPr>
                <w:rFonts w:hint="eastAsia" w:ascii="宋体" w:hAnsi="宋体" w:eastAsia="宋体" w:cs="宋体"/>
                <w:szCs w:val="21"/>
                <w:highlight w:val="none"/>
              </w:rPr>
            </w:pPr>
          </w:p>
        </w:tc>
        <w:tc>
          <w:tcPr>
            <w:tcW w:w="873" w:type="dxa"/>
            <w:noWrap w:val="0"/>
            <w:vAlign w:val="center"/>
          </w:tcPr>
          <w:p w14:paraId="6C9CA855">
            <w:pPr>
              <w:pageBreakBefore w:val="0"/>
              <w:kinsoku/>
              <w:overflowPunct/>
              <w:bidi w:val="0"/>
              <w:snapToGrid w:val="0"/>
              <w:spacing w:line="360" w:lineRule="auto"/>
              <w:rPr>
                <w:rFonts w:hint="eastAsia" w:ascii="宋体" w:hAnsi="宋体" w:eastAsia="宋体" w:cs="宋体"/>
                <w:szCs w:val="21"/>
                <w:highlight w:val="none"/>
              </w:rPr>
            </w:pPr>
          </w:p>
        </w:tc>
        <w:tc>
          <w:tcPr>
            <w:tcW w:w="1092" w:type="dxa"/>
            <w:noWrap w:val="0"/>
            <w:vAlign w:val="center"/>
          </w:tcPr>
          <w:p w14:paraId="0DF4DDEA">
            <w:pPr>
              <w:pageBreakBefore w:val="0"/>
              <w:kinsoku/>
              <w:overflowPunct/>
              <w:bidi w:val="0"/>
              <w:snapToGrid w:val="0"/>
              <w:spacing w:line="360" w:lineRule="auto"/>
              <w:rPr>
                <w:rFonts w:hint="eastAsia" w:ascii="宋体" w:hAnsi="宋体" w:eastAsia="宋体" w:cs="宋体"/>
                <w:szCs w:val="21"/>
                <w:highlight w:val="none"/>
              </w:rPr>
            </w:pPr>
          </w:p>
        </w:tc>
        <w:tc>
          <w:tcPr>
            <w:tcW w:w="748" w:type="dxa"/>
            <w:noWrap w:val="0"/>
            <w:vAlign w:val="center"/>
          </w:tcPr>
          <w:p w14:paraId="5CCA2BB2">
            <w:pPr>
              <w:pageBreakBefore w:val="0"/>
              <w:kinsoku/>
              <w:overflowPunct/>
              <w:bidi w:val="0"/>
              <w:snapToGrid w:val="0"/>
              <w:spacing w:line="360" w:lineRule="auto"/>
              <w:rPr>
                <w:rFonts w:hint="eastAsia" w:ascii="宋体" w:hAnsi="宋体" w:eastAsia="宋体" w:cs="宋体"/>
                <w:szCs w:val="21"/>
                <w:highlight w:val="none"/>
              </w:rPr>
            </w:pPr>
          </w:p>
        </w:tc>
      </w:tr>
      <w:tr w14:paraId="0B8B6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781" w:type="dxa"/>
            <w:noWrap w:val="0"/>
            <w:vAlign w:val="center"/>
          </w:tcPr>
          <w:p w14:paraId="0ABF07F7">
            <w:pPr>
              <w:pageBreakBefore w:val="0"/>
              <w:kinsoku/>
              <w:overflowPunct/>
              <w:bidi w:val="0"/>
              <w:snapToGrid w:val="0"/>
              <w:spacing w:line="360" w:lineRule="auto"/>
              <w:rPr>
                <w:rFonts w:hint="eastAsia" w:ascii="宋体" w:hAnsi="宋体" w:eastAsia="宋体" w:cs="宋体"/>
                <w:szCs w:val="21"/>
                <w:highlight w:val="none"/>
              </w:rPr>
            </w:pPr>
          </w:p>
        </w:tc>
        <w:tc>
          <w:tcPr>
            <w:tcW w:w="1473" w:type="dxa"/>
            <w:noWrap w:val="0"/>
            <w:vAlign w:val="center"/>
          </w:tcPr>
          <w:p w14:paraId="44E7A7DA">
            <w:pPr>
              <w:pageBreakBefore w:val="0"/>
              <w:kinsoku/>
              <w:overflowPunct/>
              <w:bidi w:val="0"/>
              <w:snapToGrid w:val="0"/>
              <w:spacing w:line="360" w:lineRule="auto"/>
              <w:rPr>
                <w:rFonts w:hint="eastAsia" w:ascii="宋体" w:hAnsi="宋体" w:eastAsia="宋体" w:cs="宋体"/>
                <w:szCs w:val="21"/>
                <w:highlight w:val="none"/>
              </w:rPr>
            </w:pPr>
          </w:p>
        </w:tc>
        <w:tc>
          <w:tcPr>
            <w:tcW w:w="798" w:type="dxa"/>
            <w:noWrap w:val="0"/>
            <w:vAlign w:val="center"/>
          </w:tcPr>
          <w:p w14:paraId="1684B721">
            <w:pPr>
              <w:pageBreakBefore w:val="0"/>
              <w:kinsoku/>
              <w:overflowPunct/>
              <w:bidi w:val="0"/>
              <w:snapToGrid w:val="0"/>
              <w:spacing w:line="360" w:lineRule="auto"/>
              <w:rPr>
                <w:rFonts w:hint="eastAsia" w:ascii="宋体" w:hAnsi="宋体" w:eastAsia="宋体" w:cs="宋体"/>
                <w:szCs w:val="21"/>
                <w:highlight w:val="none"/>
              </w:rPr>
            </w:pPr>
          </w:p>
        </w:tc>
        <w:tc>
          <w:tcPr>
            <w:tcW w:w="844" w:type="dxa"/>
            <w:noWrap w:val="0"/>
            <w:vAlign w:val="center"/>
          </w:tcPr>
          <w:p w14:paraId="45A95B46">
            <w:pPr>
              <w:pageBreakBefore w:val="0"/>
              <w:kinsoku/>
              <w:overflowPunct/>
              <w:bidi w:val="0"/>
              <w:snapToGrid w:val="0"/>
              <w:spacing w:line="360" w:lineRule="auto"/>
              <w:rPr>
                <w:rFonts w:hint="eastAsia" w:ascii="宋体" w:hAnsi="宋体" w:eastAsia="宋体" w:cs="宋体"/>
                <w:szCs w:val="21"/>
                <w:highlight w:val="none"/>
              </w:rPr>
            </w:pPr>
          </w:p>
        </w:tc>
        <w:tc>
          <w:tcPr>
            <w:tcW w:w="794" w:type="dxa"/>
            <w:noWrap w:val="0"/>
            <w:vAlign w:val="center"/>
          </w:tcPr>
          <w:p w14:paraId="0DCD1F59">
            <w:pPr>
              <w:pageBreakBefore w:val="0"/>
              <w:kinsoku/>
              <w:overflowPunct/>
              <w:bidi w:val="0"/>
              <w:snapToGrid w:val="0"/>
              <w:spacing w:line="360" w:lineRule="auto"/>
              <w:rPr>
                <w:rFonts w:hint="eastAsia" w:ascii="宋体" w:hAnsi="宋体" w:eastAsia="宋体" w:cs="宋体"/>
                <w:szCs w:val="21"/>
                <w:highlight w:val="none"/>
              </w:rPr>
            </w:pPr>
          </w:p>
        </w:tc>
        <w:tc>
          <w:tcPr>
            <w:tcW w:w="1253" w:type="dxa"/>
            <w:noWrap w:val="0"/>
            <w:vAlign w:val="center"/>
          </w:tcPr>
          <w:p w14:paraId="7DC7E84F">
            <w:pPr>
              <w:pageBreakBefore w:val="0"/>
              <w:kinsoku/>
              <w:overflowPunct/>
              <w:bidi w:val="0"/>
              <w:snapToGrid w:val="0"/>
              <w:spacing w:line="360" w:lineRule="auto"/>
              <w:rPr>
                <w:rFonts w:hint="eastAsia" w:ascii="宋体" w:hAnsi="宋体" w:eastAsia="宋体" w:cs="宋体"/>
                <w:szCs w:val="21"/>
                <w:highlight w:val="none"/>
              </w:rPr>
            </w:pPr>
          </w:p>
        </w:tc>
        <w:tc>
          <w:tcPr>
            <w:tcW w:w="873" w:type="dxa"/>
            <w:noWrap w:val="0"/>
            <w:vAlign w:val="center"/>
          </w:tcPr>
          <w:p w14:paraId="1D3FB09C">
            <w:pPr>
              <w:pageBreakBefore w:val="0"/>
              <w:kinsoku/>
              <w:overflowPunct/>
              <w:bidi w:val="0"/>
              <w:snapToGrid w:val="0"/>
              <w:spacing w:line="360" w:lineRule="auto"/>
              <w:rPr>
                <w:rFonts w:hint="eastAsia" w:ascii="宋体" w:hAnsi="宋体" w:eastAsia="宋体" w:cs="宋体"/>
                <w:szCs w:val="21"/>
                <w:highlight w:val="none"/>
              </w:rPr>
            </w:pPr>
          </w:p>
        </w:tc>
        <w:tc>
          <w:tcPr>
            <w:tcW w:w="1092" w:type="dxa"/>
            <w:noWrap w:val="0"/>
            <w:vAlign w:val="center"/>
          </w:tcPr>
          <w:p w14:paraId="4C6356C5">
            <w:pPr>
              <w:pageBreakBefore w:val="0"/>
              <w:kinsoku/>
              <w:overflowPunct/>
              <w:bidi w:val="0"/>
              <w:snapToGrid w:val="0"/>
              <w:spacing w:line="360" w:lineRule="auto"/>
              <w:rPr>
                <w:rFonts w:hint="eastAsia" w:ascii="宋体" w:hAnsi="宋体" w:eastAsia="宋体" w:cs="宋体"/>
                <w:szCs w:val="21"/>
                <w:highlight w:val="none"/>
              </w:rPr>
            </w:pPr>
          </w:p>
        </w:tc>
        <w:tc>
          <w:tcPr>
            <w:tcW w:w="748" w:type="dxa"/>
            <w:noWrap w:val="0"/>
            <w:vAlign w:val="center"/>
          </w:tcPr>
          <w:p w14:paraId="08B432DC">
            <w:pPr>
              <w:pageBreakBefore w:val="0"/>
              <w:kinsoku/>
              <w:overflowPunct/>
              <w:bidi w:val="0"/>
              <w:snapToGrid w:val="0"/>
              <w:spacing w:line="360" w:lineRule="auto"/>
              <w:rPr>
                <w:rFonts w:hint="eastAsia" w:ascii="宋体" w:hAnsi="宋体" w:eastAsia="宋体" w:cs="宋体"/>
                <w:szCs w:val="21"/>
                <w:highlight w:val="none"/>
              </w:rPr>
            </w:pPr>
          </w:p>
        </w:tc>
      </w:tr>
    </w:tbl>
    <w:p w14:paraId="4FC3EC7F">
      <w:pPr>
        <w:pStyle w:val="22"/>
        <w:snapToGrid w:val="0"/>
        <w:spacing w:line="480" w:lineRule="auto"/>
        <w:ind w:right="1470" w:firstLine="964" w:firstLineChars="400"/>
        <w:jc w:val="left"/>
        <w:rPr>
          <w:rFonts w:hint="default" w:hAnsi="宋体" w:eastAsia="宋体"/>
          <w:b/>
          <w:sz w:val="24"/>
          <w:szCs w:val="24"/>
          <w:highlight w:val="none"/>
          <w:lang w:val="en-US" w:eastAsia="zh-CN"/>
        </w:rPr>
      </w:pPr>
      <w:r>
        <w:rPr>
          <w:rFonts w:hint="eastAsia" w:hAnsi="宋体"/>
          <w:b/>
          <w:sz w:val="24"/>
          <w:szCs w:val="24"/>
          <w:highlight w:val="none"/>
          <w:lang w:val="en-US" w:eastAsia="zh-CN"/>
        </w:rPr>
        <w:t>附：证明材料</w:t>
      </w:r>
    </w:p>
    <w:p w14:paraId="43F2B6B1">
      <w:pPr>
        <w:pStyle w:val="22"/>
        <w:snapToGrid w:val="0"/>
        <w:spacing w:line="480" w:lineRule="auto"/>
        <w:ind w:right="1470" w:firstLine="964" w:firstLineChars="400"/>
        <w:jc w:val="left"/>
        <w:rPr>
          <w:rFonts w:hint="eastAsia" w:hAnsi="宋体"/>
          <w:b/>
          <w:sz w:val="24"/>
          <w:szCs w:val="24"/>
          <w:highlight w:val="none"/>
        </w:rPr>
      </w:pPr>
    </w:p>
    <w:p w14:paraId="79062EFE">
      <w:pPr>
        <w:pStyle w:val="22"/>
        <w:snapToGrid w:val="0"/>
        <w:spacing w:line="480" w:lineRule="auto"/>
        <w:ind w:right="1470" w:firstLine="964" w:firstLineChars="400"/>
        <w:jc w:val="left"/>
        <w:rPr>
          <w:rFonts w:hint="eastAsia" w:hAnsi="宋体"/>
          <w:b/>
          <w:sz w:val="24"/>
          <w:szCs w:val="24"/>
          <w:highlight w:val="none"/>
        </w:rPr>
      </w:pPr>
    </w:p>
    <w:p w14:paraId="6E57068C">
      <w:pPr>
        <w:pStyle w:val="22"/>
        <w:snapToGrid w:val="0"/>
        <w:spacing w:line="480" w:lineRule="auto"/>
        <w:ind w:right="1470" w:firstLine="964" w:firstLineChars="400"/>
        <w:jc w:val="left"/>
        <w:rPr>
          <w:rFonts w:hint="eastAsia" w:hAnsi="宋体"/>
          <w:b/>
          <w:sz w:val="24"/>
          <w:szCs w:val="24"/>
          <w:highlight w:val="none"/>
        </w:rPr>
      </w:pPr>
    </w:p>
    <w:p w14:paraId="0A4161F5">
      <w:pPr>
        <w:pStyle w:val="22"/>
        <w:snapToGrid w:val="0"/>
        <w:spacing w:line="480" w:lineRule="auto"/>
        <w:ind w:right="1470" w:firstLine="964" w:firstLineChars="400"/>
        <w:jc w:val="left"/>
        <w:rPr>
          <w:rFonts w:hint="eastAsia" w:hAnsi="宋体"/>
          <w:b/>
          <w:sz w:val="24"/>
          <w:szCs w:val="24"/>
          <w:highlight w:val="none"/>
        </w:rPr>
      </w:pPr>
    </w:p>
    <w:p w14:paraId="53B02BBF">
      <w:pPr>
        <w:pStyle w:val="22"/>
        <w:snapToGrid w:val="0"/>
        <w:spacing w:line="480" w:lineRule="auto"/>
        <w:ind w:right="1470" w:firstLine="964" w:firstLineChars="400"/>
        <w:jc w:val="left"/>
        <w:rPr>
          <w:rFonts w:hint="eastAsia" w:hAnsi="宋体"/>
          <w:b/>
          <w:sz w:val="24"/>
          <w:szCs w:val="24"/>
          <w:highlight w:val="none"/>
        </w:rPr>
      </w:pPr>
    </w:p>
    <w:p w14:paraId="6D23E052">
      <w:pPr>
        <w:pStyle w:val="22"/>
        <w:snapToGrid w:val="0"/>
        <w:spacing w:line="480" w:lineRule="auto"/>
        <w:ind w:right="1470" w:firstLine="964" w:firstLineChars="400"/>
        <w:jc w:val="left"/>
        <w:rPr>
          <w:rFonts w:hint="eastAsia" w:hAnsi="宋体"/>
          <w:b/>
          <w:sz w:val="24"/>
          <w:szCs w:val="24"/>
          <w:highlight w:val="none"/>
        </w:rPr>
      </w:pPr>
    </w:p>
    <w:p w14:paraId="224CC320">
      <w:pPr>
        <w:pStyle w:val="7"/>
        <w:numPr>
          <w:ilvl w:val="0"/>
          <w:numId w:val="0"/>
        </w:numPr>
        <w:spacing w:before="0" w:after="0" w:line="400" w:lineRule="exact"/>
        <w:jc w:val="center"/>
        <w:rPr>
          <w:rFonts w:ascii="宋体" w:hAnsi="宋体" w:eastAsia="宋体" w:cs="宋体"/>
          <w:bCs/>
          <w:color w:val="auto"/>
          <w:kern w:val="2"/>
          <w:sz w:val="28"/>
          <w:szCs w:val="28"/>
          <w:highlight w:val="none"/>
        </w:rPr>
      </w:pPr>
      <w:r>
        <w:rPr>
          <w:rFonts w:hint="eastAsia" w:hAnsi="宋体"/>
          <w:b/>
          <w:sz w:val="24"/>
          <w:szCs w:val="24"/>
          <w:highlight w:val="none"/>
        </w:rPr>
        <w:t>（三）</w:t>
      </w:r>
      <w:r>
        <w:rPr>
          <w:rFonts w:hint="eastAsia" w:ascii="宋体" w:hAnsi="宋体" w:eastAsia="宋体" w:cs="宋体"/>
          <w:bCs/>
          <w:color w:val="auto"/>
          <w:kern w:val="2"/>
          <w:sz w:val="28"/>
          <w:szCs w:val="28"/>
          <w:highlight w:val="none"/>
        </w:rPr>
        <w:t>企业业绩情况一览表（如有）</w:t>
      </w:r>
    </w:p>
    <w:p w14:paraId="1BB3AB28">
      <w:pPr>
        <w:ind w:left="420" w:leftChars="200"/>
        <w:jc w:val="center"/>
        <w:rPr>
          <w:rFonts w:ascii="宋体" w:hAnsi="宋体" w:eastAsia="宋体" w:cs="宋体"/>
          <w:b/>
          <w:bCs/>
          <w:color w:val="auto"/>
          <w:sz w:val="28"/>
          <w:szCs w:val="28"/>
          <w:highlight w:val="none"/>
        </w:rPr>
      </w:pPr>
    </w:p>
    <w:tbl>
      <w:tblPr>
        <w:tblStyle w:val="32"/>
        <w:tblW w:w="84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07"/>
        <w:gridCol w:w="1535"/>
        <w:gridCol w:w="1869"/>
        <w:gridCol w:w="1587"/>
        <w:gridCol w:w="1100"/>
      </w:tblGrid>
      <w:tr w14:paraId="6F84B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0F8B4C71">
            <w:pPr>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1707" w:type="dxa"/>
            <w:tcBorders>
              <w:top w:val="single" w:color="auto" w:sz="4" w:space="0"/>
              <w:left w:val="single" w:color="auto" w:sz="4" w:space="0"/>
              <w:bottom w:val="single" w:color="auto" w:sz="4" w:space="0"/>
              <w:right w:val="single" w:color="auto" w:sz="4" w:space="0"/>
            </w:tcBorders>
            <w:noWrap/>
            <w:vAlign w:val="center"/>
          </w:tcPr>
          <w:p w14:paraId="4DA84E9B">
            <w:pPr>
              <w:jc w:val="center"/>
              <w:rPr>
                <w:rFonts w:ascii="宋体" w:hAnsi="宋体" w:eastAsia="宋体" w:cs="宋体"/>
                <w:color w:val="auto"/>
                <w:highlight w:val="none"/>
              </w:rPr>
            </w:pPr>
            <w:r>
              <w:rPr>
                <w:rFonts w:hint="eastAsia" w:ascii="宋体" w:hAnsi="宋体" w:eastAsia="宋体" w:cs="宋体"/>
                <w:color w:val="auto"/>
                <w:highlight w:val="none"/>
              </w:rPr>
              <w:t>业绩名称</w:t>
            </w:r>
          </w:p>
        </w:tc>
        <w:tc>
          <w:tcPr>
            <w:tcW w:w="1535" w:type="dxa"/>
            <w:tcBorders>
              <w:top w:val="single" w:color="auto" w:sz="4" w:space="0"/>
              <w:left w:val="single" w:color="auto" w:sz="4" w:space="0"/>
              <w:bottom w:val="single" w:color="auto" w:sz="4" w:space="0"/>
              <w:right w:val="single" w:color="auto" w:sz="4" w:space="0"/>
            </w:tcBorders>
            <w:noWrap/>
            <w:vAlign w:val="center"/>
          </w:tcPr>
          <w:p w14:paraId="3E776D20">
            <w:pPr>
              <w:jc w:val="center"/>
              <w:rPr>
                <w:rFonts w:ascii="宋体" w:hAnsi="宋体" w:eastAsia="宋体" w:cs="宋体"/>
                <w:color w:val="auto"/>
                <w:highlight w:val="none"/>
              </w:rPr>
            </w:pPr>
            <w:r>
              <w:rPr>
                <w:rFonts w:hint="eastAsia" w:ascii="宋体" w:hAnsi="宋体" w:eastAsia="宋体" w:cs="宋体"/>
                <w:color w:val="auto"/>
                <w:highlight w:val="none"/>
              </w:rPr>
              <w:t>合同签订时间</w:t>
            </w:r>
          </w:p>
        </w:tc>
        <w:tc>
          <w:tcPr>
            <w:tcW w:w="1869" w:type="dxa"/>
            <w:tcBorders>
              <w:top w:val="single" w:color="auto" w:sz="4" w:space="0"/>
              <w:left w:val="single" w:color="auto" w:sz="4" w:space="0"/>
              <w:bottom w:val="single" w:color="auto" w:sz="4" w:space="0"/>
              <w:right w:val="single" w:color="auto" w:sz="4" w:space="0"/>
            </w:tcBorders>
            <w:noWrap/>
            <w:vAlign w:val="center"/>
          </w:tcPr>
          <w:p w14:paraId="7EC982F4">
            <w:pPr>
              <w:jc w:val="center"/>
              <w:rPr>
                <w:rFonts w:hint="eastAsia" w:ascii="宋体" w:hAnsi="宋体" w:eastAsia="宋体" w:cs="宋体"/>
                <w:color w:val="auto"/>
                <w:highlight w:val="none"/>
                <w:lang w:val="en-US" w:eastAsia="zh-CN"/>
              </w:rPr>
            </w:pPr>
          </w:p>
          <w:p w14:paraId="6D56D716">
            <w:pPr>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到期时间</w:t>
            </w:r>
          </w:p>
          <w:p w14:paraId="64509453">
            <w:pPr>
              <w:jc w:val="center"/>
              <w:rPr>
                <w:rFonts w:hint="eastAsia" w:ascii="宋体" w:hAnsi="宋体" w:eastAsia="宋体" w:cs="宋体"/>
                <w:color w:val="auto"/>
                <w:highlight w:val="none"/>
              </w:rPr>
            </w:pPr>
          </w:p>
          <w:p w14:paraId="51A87EB3">
            <w:pPr>
              <w:jc w:val="center"/>
              <w:rPr>
                <w:rFonts w:hint="eastAsia" w:ascii="宋体" w:hAnsi="宋体" w:eastAsia="宋体" w:cs="宋体"/>
                <w:color w:val="auto"/>
                <w:highlight w:val="none"/>
              </w:rPr>
            </w:pPr>
          </w:p>
          <w:p w14:paraId="0B7B069D">
            <w:pPr>
              <w:jc w:val="center"/>
              <w:rPr>
                <w:rFonts w:hint="eastAsia" w:ascii="宋体" w:hAnsi="宋体" w:eastAsia="宋体" w:cs="宋体"/>
                <w:color w:val="auto"/>
                <w:highlight w:val="none"/>
              </w:rPr>
            </w:pPr>
            <w:r>
              <w:rPr>
                <w:rFonts w:hint="eastAsia" w:ascii="宋体" w:hAnsi="宋体" w:eastAsia="宋体" w:cs="宋体"/>
                <w:color w:val="auto"/>
                <w:highlight w:val="none"/>
              </w:rPr>
              <w:t>目  录</w:t>
            </w:r>
          </w:p>
          <w:p w14:paraId="2B82132D">
            <w:pPr>
              <w:jc w:val="center"/>
              <w:rPr>
                <w:rFonts w:hint="eastAsia" w:ascii="宋体" w:hAnsi="宋体" w:eastAsia="宋体" w:cs="宋体"/>
                <w:color w:val="auto"/>
                <w:highlight w:val="none"/>
              </w:rPr>
            </w:pPr>
            <w:r>
              <w:rPr>
                <w:rFonts w:hint="eastAsia" w:ascii="宋体" w:hAnsi="宋体" w:eastAsia="宋体" w:cs="宋体"/>
                <w:color w:val="auto"/>
                <w:highlight w:val="none"/>
              </w:rPr>
              <w:t>　　</w:t>
            </w:r>
          </w:p>
          <w:p w14:paraId="10265520">
            <w:pPr>
              <w:jc w:val="center"/>
              <w:rPr>
                <w:rFonts w:hint="eastAsia" w:ascii="宋体" w:hAnsi="宋体" w:eastAsia="宋体" w:cs="宋体"/>
                <w:color w:val="auto"/>
                <w:highlight w:val="none"/>
              </w:rPr>
            </w:pPr>
            <w:r>
              <w:rPr>
                <w:rFonts w:hint="eastAsia" w:ascii="宋体" w:hAnsi="宋体" w:eastAsia="宋体" w:cs="宋体"/>
                <w:color w:val="auto"/>
                <w:highlight w:val="none"/>
              </w:rPr>
              <w:t>施工组织设计</w:t>
            </w:r>
          </w:p>
          <w:p w14:paraId="1AA5685F">
            <w:pPr>
              <w:jc w:val="center"/>
              <w:rPr>
                <w:rFonts w:hint="eastAsia" w:ascii="宋体" w:hAnsi="宋体" w:eastAsia="宋体" w:cs="宋体"/>
                <w:color w:val="auto"/>
                <w:highlight w:val="none"/>
              </w:rPr>
            </w:pPr>
            <w:r>
              <w:rPr>
                <w:rFonts w:hint="eastAsia" w:ascii="宋体" w:hAnsi="宋体" w:eastAsia="宋体" w:cs="宋体"/>
                <w:color w:val="auto"/>
                <w:highlight w:val="none"/>
              </w:rPr>
              <w:t>企业业绩证明材料</w:t>
            </w:r>
          </w:p>
          <w:p w14:paraId="72DF7FD4">
            <w:pPr>
              <w:jc w:val="center"/>
              <w:rPr>
                <w:rFonts w:hint="eastAsia" w:ascii="宋体" w:hAnsi="宋体" w:eastAsia="宋体" w:cs="宋体"/>
                <w:color w:val="auto"/>
                <w:highlight w:val="none"/>
              </w:rPr>
            </w:pPr>
            <w:r>
              <w:rPr>
                <w:rFonts w:hint="eastAsia" w:ascii="宋体" w:hAnsi="宋体" w:eastAsia="宋体" w:cs="宋体"/>
                <w:color w:val="auto"/>
                <w:highlight w:val="none"/>
              </w:rPr>
              <w:t>招标文件要求的其他资料</w:t>
            </w:r>
          </w:p>
          <w:p w14:paraId="4A5DA6F9">
            <w:pPr>
              <w:jc w:val="center"/>
              <w:rPr>
                <w:rFonts w:hint="eastAsia" w:ascii="宋体" w:hAnsi="宋体" w:eastAsia="宋体" w:cs="宋体"/>
                <w:color w:val="auto"/>
                <w:highlight w:val="none"/>
              </w:rPr>
            </w:pPr>
            <w:r>
              <w:rPr>
                <w:rFonts w:hint="eastAsia" w:ascii="宋体" w:hAnsi="宋体" w:eastAsia="宋体" w:cs="宋体"/>
                <w:color w:val="auto"/>
                <w:highlight w:val="none"/>
              </w:rPr>
              <w:t>投标人认为需要提交的其他资料</w:t>
            </w:r>
          </w:p>
          <w:p w14:paraId="49CD05D0">
            <w:pPr>
              <w:jc w:val="center"/>
              <w:rPr>
                <w:rFonts w:hint="eastAsia" w:ascii="宋体" w:hAnsi="宋体" w:eastAsia="宋体" w:cs="宋体"/>
                <w:color w:val="auto"/>
                <w:highlight w:val="none"/>
              </w:rPr>
            </w:pPr>
          </w:p>
          <w:p w14:paraId="44309843">
            <w:pPr>
              <w:jc w:val="center"/>
              <w:rPr>
                <w:rFonts w:hint="eastAsia" w:ascii="宋体" w:hAnsi="宋体" w:eastAsia="宋体" w:cs="宋体"/>
                <w:color w:val="auto"/>
                <w:highlight w:val="none"/>
              </w:rPr>
            </w:pPr>
          </w:p>
          <w:p w14:paraId="208808D9">
            <w:pPr>
              <w:jc w:val="center"/>
              <w:rPr>
                <w:rFonts w:hint="eastAsia" w:ascii="宋体" w:hAnsi="宋体" w:eastAsia="宋体" w:cs="宋体"/>
                <w:color w:val="auto"/>
                <w:highlight w:val="none"/>
              </w:rPr>
            </w:pPr>
          </w:p>
          <w:p w14:paraId="5AD2241C">
            <w:pPr>
              <w:jc w:val="center"/>
              <w:rPr>
                <w:rFonts w:hint="eastAsia" w:ascii="宋体" w:hAnsi="宋体" w:eastAsia="宋体" w:cs="宋体"/>
                <w:color w:val="auto"/>
                <w:highlight w:val="none"/>
              </w:rPr>
            </w:pPr>
          </w:p>
          <w:p w14:paraId="3AE634D1">
            <w:pPr>
              <w:jc w:val="center"/>
              <w:rPr>
                <w:rFonts w:hint="eastAsia" w:ascii="宋体" w:hAnsi="宋体" w:eastAsia="宋体" w:cs="宋体"/>
                <w:color w:val="auto"/>
                <w:highlight w:val="none"/>
              </w:rPr>
            </w:pPr>
          </w:p>
          <w:p w14:paraId="63F8933A">
            <w:pPr>
              <w:jc w:val="center"/>
              <w:rPr>
                <w:rFonts w:hint="eastAsia" w:ascii="宋体" w:hAnsi="宋体" w:eastAsia="宋体" w:cs="宋体"/>
                <w:color w:val="auto"/>
                <w:highlight w:val="none"/>
              </w:rPr>
            </w:pPr>
          </w:p>
          <w:p w14:paraId="059BDF8F">
            <w:pPr>
              <w:jc w:val="center"/>
              <w:rPr>
                <w:rFonts w:hint="eastAsia" w:ascii="宋体" w:hAnsi="宋体" w:eastAsia="宋体" w:cs="宋体"/>
                <w:color w:val="auto"/>
                <w:highlight w:val="none"/>
              </w:rPr>
            </w:pPr>
          </w:p>
          <w:p w14:paraId="194BFD42">
            <w:pPr>
              <w:jc w:val="center"/>
              <w:rPr>
                <w:rFonts w:hint="eastAsia" w:ascii="宋体" w:hAnsi="宋体" w:eastAsia="宋体" w:cs="宋体"/>
                <w:color w:val="auto"/>
                <w:highlight w:val="none"/>
              </w:rPr>
            </w:pPr>
          </w:p>
          <w:p w14:paraId="3F4987C8">
            <w:pPr>
              <w:jc w:val="center"/>
              <w:rPr>
                <w:rFonts w:hint="eastAsia" w:ascii="宋体" w:hAnsi="宋体" w:eastAsia="宋体" w:cs="宋体"/>
                <w:color w:val="auto"/>
                <w:highlight w:val="none"/>
              </w:rPr>
            </w:pPr>
          </w:p>
          <w:p w14:paraId="3C6328CB">
            <w:pPr>
              <w:jc w:val="center"/>
              <w:rPr>
                <w:rFonts w:hint="eastAsia" w:ascii="宋体" w:hAnsi="宋体" w:eastAsia="宋体" w:cs="宋体"/>
                <w:color w:val="auto"/>
                <w:highlight w:val="none"/>
              </w:rPr>
            </w:pPr>
          </w:p>
          <w:p w14:paraId="69E8D728">
            <w:pPr>
              <w:jc w:val="center"/>
              <w:rPr>
                <w:rFonts w:hint="eastAsia" w:ascii="宋体" w:hAnsi="宋体" w:eastAsia="宋体" w:cs="宋体"/>
                <w:color w:val="auto"/>
                <w:highlight w:val="none"/>
              </w:rPr>
            </w:pPr>
          </w:p>
          <w:p w14:paraId="60CDF810">
            <w:pPr>
              <w:jc w:val="center"/>
              <w:rPr>
                <w:rFonts w:hint="eastAsia" w:ascii="宋体" w:hAnsi="宋体" w:eastAsia="宋体" w:cs="宋体"/>
                <w:color w:val="auto"/>
                <w:highlight w:val="none"/>
              </w:rPr>
            </w:pPr>
          </w:p>
          <w:p w14:paraId="6046E3BA">
            <w:pPr>
              <w:jc w:val="center"/>
              <w:rPr>
                <w:rFonts w:hint="eastAsia" w:ascii="宋体" w:hAnsi="宋体" w:eastAsia="宋体" w:cs="宋体"/>
                <w:color w:val="auto"/>
                <w:highlight w:val="none"/>
              </w:rPr>
            </w:pPr>
          </w:p>
          <w:p w14:paraId="2A866212">
            <w:pPr>
              <w:jc w:val="center"/>
              <w:rPr>
                <w:rFonts w:hint="eastAsia" w:ascii="宋体" w:hAnsi="宋体" w:eastAsia="宋体" w:cs="宋体"/>
                <w:color w:val="auto"/>
                <w:highlight w:val="none"/>
              </w:rPr>
            </w:pPr>
          </w:p>
          <w:p w14:paraId="0B5E038E">
            <w:pPr>
              <w:jc w:val="center"/>
              <w:rPr>
                <w:rFonts w:hint="eastAsia" w:ascii="宋体" w:hAnsi="宋体" w:eastAsia="宋体" w:cs="宋体"/>
                <w:color w:val="auto"/>
                <w:highlight w:val="none"/>
              </w:rPr>
            </w:pPr>
          </w:p>
          <w:p w14:paraId="79F9AC66">
            <w:pPr>
              <w:jc w:val="center"/>
              <w:rPr>
                <w:rFonts w:hint="eastAsia" w:ascii="宋体" w:hAnsi="宋体" w:eastAsia="宋体" w:cs="宋体"/>
                <w:color w:val="auto"/>
                <w:highlight w:val="none"/>
              </w:rPr>
            </w:pPr>
          </w:p>
          <w:p w14:paraId="5364C83E">
            <w:pPr>
              <w:jc w:val="center"/>
              <w:rPr>
                <w:rFonts w:hint="eastAsia" w:ascii="宋体" w:hAnsi="宋体" w:eastAsia="宋体" w:cs="宋体"/>
                <w:color w:val="auto"/>
                <w:highlight w:val="none"/>
              </w:rPr>
            </w:pPr>
          </w:p>
          <w:p w14:paraId="6D92F8DF">
            <w:pPr>
              <w:jc w:val="center"/>
              <w:rPr>
                <w:rFonts w:hint="eastAsia" w:ascii="宋体" w:hAnsi="宋体" w:eastAsia="宋体" w:cs="宋体"/>
                <w:color w:val="auto"/>
                <w:highlight w:val="none"/>
              </w:rPr>
            </w:pPr>
          </w:p>
          <w:p w14:paraId="745B8CB2">
            <w:pPr>
              <w:jc w:val="center"/>
              <w:rPr>
                <w:rFonts w:hint="eastAsia" w:ascii="宋体" w:hAnsi="宋体" w:eastAsia="宋体" w:cs="宋体"/>
                <w:color w:val="auto"/>
                <w:highlight w:val="none"/>
              </w:rPr>
            </w:pPr>
            <w:r>
              <w:rPr>
                <w:rFonts w:hint="eastAsia" w:ascii="宋体" w:hAnsi="宋体" w:eastAsia="宋体" w:cs="宋体"/>
                <w:color w:val="auto"/>
                <w:highlight w:val="none"/>
              </w:rPr>
              <w:t>（一）施工组织设计</w:t>
            </w:r>
          </w:p>
          <w:p w14:paraId="6131932D">
            <w:pPr>
              <w:jc w:val="center"/>
              <w:rPr>
                <w:rFonts w:hint="eastAsia" w:ascii="宋体" w:hAnsi="宋体" w:eastAsia="宋体" w:cs="宋体"/>
                <w:color w:val="auto"/>
                <w:highlight w:val="none"/>
              </w:rPr>
            </w:pPr>
          </w:p>
          <w:p w14:paraId="42C5B2D5">
            <w:pPr>
              <w:jc w:val="center"/>
              <w:rPr>
                <w:rFonts w:hint="eastAsia" w:ascii="宋体" w:hAnsi="宋体" w:eastAsia="宋体" w:cs="宋体"/>
                <w:color w:val="auto"/>
                <w:highlight w:val="none"/>
              </w:rPr>
            </w:pPr>
            <w:r>
              <w:rPr>
                <w:rFonts w:hint="eastAsia" w:ascii="宋体" w:hAnsi="宋体" w:eastAsia="宋体" w:cs="宋体"/>
                <w:color w:val="auto"/>
                <w:highlight w:val="none"/>
              </w:rPr>
              <w:t>（二）企业业绩情况一览表（技术标加分项业绩）</w:t>
            </w:r>
          </w:p>
          <w:p w14:paraId="111062FE">
            <w:pPr>
              <w:jc w:val="center"/>
              <w:rPr>
                <w:rFonts w:hint="eastAsia" w:ascii="宋体" w:hAnsi="宋体" w:eastAsia="宋体" w:cs="宋体"/>
                <w:color w:val="auto"/>
                <w:highlight w:val="none"/>
              </w:rPr>
            </w:pPr>
          </w:p>
          <w:tbl>
            <w:tblPr>
              <w:tblStyle w:val="32"/>
              <w:tblW w:w="9729" w:type="dxa"/>
              <w:tblInd w:w="1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75"/>
              <w:gridCol w:w="1134"/>
              <w:gridCol w:w="1543"/>
              <w:gridCol w:w="1110"/>
              <w:gridCol w:w="1316"/>
              <w:gridCol w:w="1276"/>
            </w:tblGrid>
            <w:tr w14:paraId="499DB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exact"/>
              </w:trPr>
              <w:tc>
                <w:tcPr>
                  <w:tcW w:w="675" w:type="dxa"/>
                  <w:tcBorders>
                    <w:top w:val="single" w:color="auto" w:sz="4" w:space="0"/>
                    <w:left w:val="single" w:color="auto" w:sz="4" w:space="0"/>
                    <w:bottom w:val="single" w:color="auto" w:sz="4" w:space="0"/>
                    <w:right w:val="single" w:color="auto" w:sz="4" w:space="0"/>
                  </w:tcBorders>
                  <w:noWrap/>
                  <w:vAlign w:val="center"/>
                </w:tcPr>
                <w:p w14:paraId="1F6931DF">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675" w:type="dxa"/>
                  <w:tcBorders>
                    <w:top w:val="single" w:color="auto" w:sz="4" w:space="0"/>
                    <w:left w:val="single" w:color="auto" w:sz="4" w:space="0"/>
                    <w:bottom w:val="single" w:color="auto" w:sz="4" w:space="0"/>
                    <w:right w:val="single" w:color="auto" w:sz="4" w:space="0"/>
                  </w:tcBorders>
                  <w:noWrap/>
                  <w:vAlign w:val="center"/>
                </w:tcPr>
                <w:p w14:paraId="6C4C5478">
                  <w:pPr>
                    <w:jc w:val="center"/>
                    <w:rPr>
                      <w:rFonts w:hint="eastAsia" w:ascii="宋体" w:hAnsi="宋体" w:eastAsia="宋体" w:cs="宋体"/>
                      <w:color w:val="auto"/>
                      <w:highlight w:val="none"/>
                    </w:rPr>
                  </w:pPr>
                  <w:r>
                    <w:rPr>
                      <w:rFonts w:hint="eastAsia" w:ascii="宋体" w:hAnsi="宋体" w:eastAsia="宋体" w:cs="宋体"/>
                      <w:color w:val="auto"/>
                      <w:highlight w:val="none"/>
                    </w:rPr>
                    <w:t>业绩名称</w:t>
                  </w:r>
                </w:p>
              </w:tc>
              <w:tc>
                <w:tcPr>
                  <w:tcW w:w="1134" w:type="dxa"/>
                  <w:tcBorders>
                    <w:top w:val="single" w:color="auto" w:sz="4" w:space="0"/>
                    <w:left w:val="single" w:color="auto" w:sz="4" w:space="0"/>
                    <w:bottom w:val="single" w:color="auto" w:sz="4" w:space="0"/>
                    <w:right w:val="single" w:color="auto" w:sz="4" w:space="0"/>
                  </w:tcBorders>
                  <w:noWrap/>
                  <w:vAlign w:val="center"/>
                </w:tcPr>
                <w:p w14:paraId="742688BA">
                  <w:pPr>
                    <w:jc w:val="center"/>
                    <w:rPr>
                      <w:rFonts w:hint="eastAsia" w:ascii="宋体" w:hAnsi="宋体" w:eastAsia="宋体" w:cs="宋体"/>
                      <w:color w:val="auto"/>
                      <w:highlight w:val="none"/>
                    </w:rPr>
                  </w:pPr>
                  <w:r>
                    <w:rPr>
                      <w:rFonts w:hint="eastAsia" w:ascii="宋体" w:hAnsi="宋体" w:eastAsia="宋体" w:cs="宋体"/>
                      <w:color w:val="auto"/>
                      <w:highlight w:val="none"/>
                    </w:rPr>
                    <w:t>合同签订时间</w:t>
                  </w:r>
                </w:p>
              </w:tc>
              <w:tc>
                <w:tcPr>
                  <w:tcW w:w="1543" w:type="dxa"/>
                  <w:tcBorders>
                    <w:top w:val="single" w:color="auto" w:sz="4" w:space="0"/>
                    <w:left w:val="single" w:color="auto" w:sz="4" w:space="0"/>
                    <w:bottom w:val="single" w:color="auto" w:sz="4" w:space="0"/>
                    <w:right w:val="single" w:color="auto" w:sz="4" w:space="0"/>
                  </w:tcBorders>
                  <w:noWrap/>
                  <w:vAlign w:val="center"/>
                </w:tcPr>
                <w:p w14:paraId="0DD3680E">
                  <w:pPr>
                    <w:jc w:val="center"/>
                    <w:rPr>
                      <w:rFonts w:hint="eastAsia" w:ascii="宋体" w:hAnsi="宋体" w:eastAsia="宋体" w:cs="宋体"/>
                      <w:color w:val="auto"/>
                      <w:highlight w:val="none"/>
                    </w:rPr>
                  </w:pPr>
                  <w:r>
                    <w:rPr>
                      <w:rFonts w:hint="eastAsia" w:ascii="宋体" w:hAnsi="宋体" w:eastAsia="宋体" w:cs="宋体"/>
                      <w:color w:val="auto"/>
                      <w:highlight w:val="none"/>
                    </w:rPr>
                    <w:t>竣工验收资料中建设单位签署日期</w:t>
                  </w:r>
                </w:p>
              </w:tc>
              <w:tc>
                <w:tcPr>
                  <w:tcW w:w="1110" w:type="dxa"/>
                  <w:tcBorders>
                    <w:top w:val="single" w:color="auto" w:sz="4" w:space="0"/>
                    <w:left w:val="single" w:color="auto" w:sz="4" w:space="0"/>
                    <w:bottom w:val="single" w:color="auto" w:sz="4" w:space="0"/>
                    <w:right w:val="single" w:color="auto" w:sz="4" w:space="0"/>
                  </w:tcBorders>
                  <w:noWrap/>
                  <w:vAlign w:val="center"/>
                </w:tcPr>
                <w:p w14:paraId="406E14F1">
                  <w:pPr>
                    <w:jc w:val="center"/>
                    <w:rPr>
                      <w:rFonts w:hint="eastAsia" w:ascii="宋体" w:hAnsi="宋体" w:eastAsia="宋体" w:cs="宋体"/>
                      <w:color w:val="auto"/>
                      <w:highlight w:val="none"/>
                    </w:rPr>
                  </w:pPr>
                  <w:r>
                    <w:rPr>
                      <w:rFonts w:hint="eastAsia" w:ascii="宋体" w:hAnsi="宋体" w:eastAsia="宋体" w:cs="宋体"/>
                      <w:color w:val="auto"/>
                      <w:highlight w:val="none"/>
                    </w:rPr>
                    <w:t>合同价（万元）</w:t>
                  </w:r>
                </w:p>
              </w:tc>
              <w:tc>
                <w:tcPr>
                  <w:tcW w:w="1316" w:type="dxa"/>
                  <w:tcBorders>
                    <w:top w:val="single" w:color="auto" w:sz="4" w:space="0"/>
                    <w:left w:val="single" w:color="auto" w:sz="4" w:space="0"/>
                    <w:bottom w:val="single" w:color="auto" w:sz="4" w:space="0"/>
                    <w:right w:val="single" w:color="auto" w:sz="4" w:space="0"/>
                  </w:tcBorders>
                  <w:noWrap/>
                  <w:vAlign w:val="center"/>
                </w:tcPr>
                <w:p w14:paraId="62F4080A">
                  <w:pPr>
                    <w:jc w:val="center"/>
                    <w:rPr>
                      <w:rFonts w:hint="eastAsia" w:ascii="宋体" w:hAnsi="宋体" w:eastAsia="宋体" w:cs="宋体"/>
                      <w:color w:val="auto"/>
                      <w:highlight w:val="none"/>
                    </w:rPr>
                  </w:pPr>
                  <w:r>
                    <w:rPr>
                      <w:rFonts w:hint="eastAsia" w:ascii="宋体" w:hAnsi="宋体" w:eastAsia="宋体" w:cs="宋体"/>
                      <w:color w:val="auto"/>
                      <w:highlight w:val="none"/>
                    </w:rPr>
                    <w:t>建筑面积（平方米）</w:t>
                  </w:r>
                </w:p>
              </w:tc>
              <w:tc>
                <w:tcPr>
                  <w:tcW w:w="1276" w:type="dxa"/>
                  <w:tcBorders>
                    <w:top w:val="single" w:color="auto" w:sz="4" w:space="0"/>
                    <w:left w:val="single" w:color="auto" w:sz="4" w:space="0"/>
                    <w:bottom w:val="single" w:color="auto" w:sz="4" w:space="0"/>
                    <w:right w:val="single" w:color="auto" w:sz="4" w:space="0"/>
                  </w:tcBorders>
                  <w:noWrap/>
                  <w:vAlign w:val="center"/>
                </w:tcPr>
                <w:p w14:paraId="104719ED">
                  <w:pPr>
                    <w:jc w:val="center"/>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53085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trPr>
              <w:tc>
                <w:tcPr>
                  <w:tcW w:w="675" w:type="dxa"/>
                  <w:tcBorders>
                    <w:top w:val="single" w:color="auto" w:sz="4" w:space="0"/>
                    <w:left w:val="single" w:color="auto" w:sz="4" w:space="0"/>
                    <w:bottom w:val="single" w:color="auto" w:sz="4" w:space="0"/>
                    <w:right w:val="single" w:color="auto" w:sz="4" w:space="0"/>
                  </w:tcBorders>
                  <w:noWrap/>
                  <w:vAlign w:val="center"/>
                </w:tcPr>
                <w:p w14:paraId="4BB2EEA7">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675" w:type="dxa"/>
                  <w:tcBorders>
                    <w:top w:val="single" w:color="auto" w:sz="4" w:space="0"/>
                    <w:left w:val="single" w:color="auto" w:sz="4" w:space="0"/>
                    <w:bottom w:val="single" w:color="auto" w:sz="4" w:space="0"/>
                    <w:right w:val="single" w:color="auto" w:sz="4" w:space="0"/>
                  </w:tcBorders>
                  <w:noWrap/>
                  <w:vAlign w:val="center"/>
                </w:tcPr>
                <w:p w14:paraId="1ED08A26">
                  <w:pPr>
                    <w:jc w:val="center"/>
                    <w:rPr>
                      <w:rFonts w:hint="eastAsia" w:ascii="宋体" w:hAnsi="宋体" w:eastAsia="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0B1B6B54">
                  <w:pPr>
                    <w:jc w:val="center"/>
                    <w:rPr>
                      <w:rFonts w:hint="eastAsia" w:ascii="宋体" w:hAnsi="宋体" w:eastAsia="宋体" w:cs="宋体"/>
                      <w:color w:val="auto"/>
                      <w:highlight w:val="none"/>
                    </w:rPr>
                  </w:pPr>
                </w:p>
              </w:tc>
              <w:tc>
                <w:tcPr>
                  <w:tcW w:w="1543" w:type="dxa"/>
                  <w:tcBorders>
                    <w:top w:val="single" w:color="auto" w:sz="4" w:space="0"/>
                    <w:left w:val="single" w:color="auto" w:sz="4" w:space="0"/>
                    <w:bottom w:val="single" w:color="auto" w:sz="4" w:space="0"/>
                    <w:right w:val="single" w:color="auto" w:sz="4" w:space="0"/>
                  </w:tcBorders>
                  <w:noWrap/>
                  <w:vAlign w:val="center"/>
                </w:tcPr>
                <w:p w14:paraId="7E8A6E6A">
                  <w:pPr>
                    <w:jc w:val="center"/>
                    <w:rPr>
                      <w:rFonts w:hint="eastAsia" w:ascii="宋体" w:hAnsi="宋体" w:eastAsia="宋体" w:cs="宋体"/>
                      <w:color w:val="auto"/>
                      <w:highlight w:val="none"/>
                    </w:rPr>
                  </w:pPr>
                </w:p>
              </w:tc>
              <w:tc>
                <w:tcPr>
                  <w:tcW w:w="1110" w:type="dxa"/>
                  <w:tcBorders>
                    <w:top w:val="single" w:color="auto" w:sz="4" w:space="0"/>
                    <w:left w:val="single" w:color="auto" w:sz="4" w:space="0"/>
                    <w:bottom w:val="single" w:color="auto" w:sz="4" w:space="0"/>
                    <w:right w:val="single" w:color="auto" w:sz="4" w:space="0"/>
                  </w:tcBorders>
                  <w:noWrap/>
                  <w:vAlign w:val="center"/>
                </w:tcPr>
                <w:p w14:paraId="13343566">
                  <w:pPr>
                    <w:jc w:val="center"/>
                    <w:rPr>
                      <w:rFonts w:hint="eastAsia" w:ascii="宋体" w:hAnsi="宋体" w:eastAsia="宋体" w:cs="宋体"/>
                      <w:color w:val="auto"/>
                      <w:highlight w:val="none"/>
                    </w:rPr>
                  </w:pPr>
                </w:p>
              </w:tc>
              <w:tc>
                <w:tcPr>
                  <w:tcW w:w="1316" w:type="dxa"/>
                  <w:tcBorders>
                    <w:top w:val="single" w:color="auto" w:sz="4" w:space="0"/>
                    <w:left w:val="single" w:color="auto" w:sz="4" w:space="0"/>
                    <w:bottom w:val="single" w:color="auto" w:sz="4" w:space="0"/>
                    <w:right w:val="single" w:color="auto" w:sz="4" w:space="0"/>
                  </w:tcBorders>
                  <w:noWrap/>
                  <w:vAlign w:val="center"/>
                </w:tcPr>
                <w:p w14:paraId="44CFC825">
                  <w:pPr>
                    <w:jc w:val="center"/>
                    <w:rPr>
                      <w:rFonts w:hint="eastAsia" w:ascii="宋体" w:hAnsi="宋体" w:eastAsia="宋体" w:cs="宋体"/>
                      <w:color w:val="auto"/>
                      <w:highlight w:val="none"/>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5E9E874C">
                  <w:pPr>
                    <w:jc w:val="center"/>
                    <w:rPr>
                      <w:rFonts w:hint="eastAsia" w:ascii="宋体" w:hAnsi="宋体" w:eastAsia="宋体" w:cs="宋体"/>
                      <w:color w:val="auto"/>
                      <w:highlight w:val="none"/>
                    </w:rPr>
                  </w:pPr>
                </w:p>
              </w:tc>
            </w:tr>
            <w:tr w14:paraId="1D1DA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trPr>
              <w:tc>
                <w:tcPr>
                  <w:tcW w:w="675" w:type="dxa"/>
                  <w:tcBorders>
                    <w:top w:val="single" w:color="auto" w:sz="4" w:space="0"/>
                    <w:left w:val="single" w:color="auto" w:sz="4" w:space="0"/>
                    <w:bottom w:val="single" w:color="auto" w:sz="4" w:space="0"/>
                    <w:right w:val="single" w:color="auto" w:sz="4" w:space="0"/>
                  </w:tcBorders>
                  <w:noWrap/>
                  <w:vAlign w:val="center"/>
                </w:tcPr>
                <w:p w14:paraId="742D0E2F">
                  <w:pPr>
                    <w:jc w:val="center"/>
                    <w:rPr>
                      <w:rFonts w:hint="eastAsia" w:ascii="宋体" w:hAnsi="宋体" w:eastAsia="宋体" w:cs="宋体"/>
                      <w:color w:val="auto"/>
                      <w:highlight w:val="none"/>
                    </w:rPr>
                  </w:pPr>
                  <w:r>
                    <w:rPr>
                      <w:rFonts w:hint="eastAsia" w:ascii="宋体" w:hAnsi="宋体" w:eastAsia="宋体" w:cs="宋体"/>
                      <w:color w:val="auto"/>
                      <w:highlight w:val="none"/>
                    </w:rPr>
                    <w:t>略</w:t>
                  </w:r>
                </w:p>
              </w:tc>
              <w:tc>
                <w:tcPr>
                  <w:tcW w:w="2675" w:type="dxa"/>
                  <w:tcBorders>
                    <w:top w:val="single" w:color="auto" w:sz="4" w:space="0"/>
                    <w:left w:val="single" w:color="auto" w:sz="4" w:space="0"/>
                    <w:bottom w:val="single" w:color="auto" w:sz="4" w:space="0"/>
                    <w:right w:val="single" w:color="auto" w:sz="4" w:space="0"/>
                  </w:tcBorders>
                  <w:noWrap/>
                  <w:vAlign w:val="center"/>
                </w:tcPr>
                <w:p w14:paraId="1DE21911">
                  <w:pPr>
                    <w:jc w:val="center"/>
                    <w:rPr>
                      <w:rFonts w:hint="eastAsia" w:ascii="宋体" w:hAnsi="宋体" w:eastAsia="宋体" w:cs="宋体"/>
                      <w:color w:val="auto"/>
                      <w:highlight w:val="none"/>
                    </w:rPr>
                  </w:pPr>
                </w:p>
              </w:tc>
              <w:tc>
                <w:tcPr>
                  <w:tcW w:w="1134" w:type="dxa"/>
                  <w:tcBorders>
                    <w:top w:val="single" w:color="auto" w:sz="4" w:space="0"/>
                    <w:left w:val="single" w:color="auto" w:sz="4" w:space="0"/>
                    <w:bottom w:val="single" w:color="auto" w:sz="4" w:space="0"/>
                    <w:right w:val="single" w:color="auto" w:sz="4" w:space="0"/>
                  </w:tcBorders>
                  <w:noWrap/>
                  <w:vAlign w:val="center"/>
                </w:tcPr>
                <w:p w14:paraId="5F0E842B">
                  <w:pPr>
                    <w:jc w:val="center"/>
                    <w:rPr>
                      <w:rFonts w:hint="eastAsia" w:ascii="宋体" w:hAnsi="宋体" w:eastAsia="宋体" w:cs="宋体"/>
                      <w:color w:val="auto"/>
                      <w:highlight w:val="none"/>
                    </w:rPr>
                  </w:pPr>
                </w:p>
              </w:tc>
              <w:tc>
                <w:tcPr>
                  <w:tcW w:w="1543" w:type="dxa"/>
                  <w:tcBorders>
                    <w:top w:val="single" w:color="auto" w:sz="4" w:space="0"/>
                    <w:left w:val="single" w:color="auto" w:sz="4" w:space="0"/>
                    <w:bottom w:val="single" w:color="auto" w:sz="4" w:space="0"/>
                    <w:right w:val="single" w:color="auto" w:sz="4" w:space="0"/>
                  </w:tcBorders>
                  <w:noWrap/>
                  <w:vAlign w:val="center"/>
                </w:tcPr>
                <w:p w14:paraId="53D9B1E0">
                  <w:pPr>
                    <w:jc w:val="center"/>
                    <w:rPr>
                      <w:rFonts w:hint="eastAsia" w:ascii="宋体" w:hAnsi="宋体" w:eastAsia="宋体" w:cs="宋体"/>
                      <w:color w:val="auto"/>
                      <w:highlight w:val="none"/>
                    </w:rPr>
                  </w:pPr>
                </w:p>
              </w:tc>
              <w:tc>
                <w:tcPr>
                  <w:tcW w:w="1110" w:type="dxa"/>
                  <w:tcBorders>
                    <w:top w:val="single" w:color="auto" w:sz="4" w:space="0"/>
                    <w:left w:val="single" w:color="auto" w:sz="4" w:space="0"/>
                    <w:bottom w:val="single" w:color="auto" w:sz="4" w:space="0"/>
                    <w:right w:val="single" w:color="auto" w:sz="4" w:space="0"/>
                  </w:tcBorders>
                  <w:noWrap/>
                  <w:vAlign w:val="center"/>
                </w:tcPr>
                <w:p w14:paraId="647D7FE7">
                  <w:pPr>
                    <w:jc w:val="center"/>
                    <w:rPr>
                      <w:rFonts w:hint="eastAsia" w:ascii="宋体" w:hAnsi="宋体" w:eastAsia="宋体" w:cs="宋体"/>
                      <w:color w:val="auto"/>
                      <w:highlight w:val="none"/>
                    </w:rPr>
                  </w:pPr>
                </w:p>
              </w:tc>
              <w:tc>
                <w:tcPr>
                  <w:tcW w:w="1316" w:type="dxa"/>
                  <w:tcBorders>
                    <w:top w:val="single" w:color="auto" w:sz="4" w:space="0"/>
                    <w:left w:val="single" w:color="auto" w:sz="4" w:space="0"/>
                    <w:bottom w:val="single" w:color="auto" w:sz="4" w:space="0"/>
                    <w:right w:val="single" w:color="auto" w:sz="4" w:space="0"/>
                  </w:tcBorders>
                  <w:noWrap/>
                  <w:vAlign w:val="center"/>
                </w:tcPr>
                <w:p w14:paraId="615F7A43">
                  <w:pPr>
                    <w:jc w:val="center"/>
                    <w:rPr>
                      <w:rFonts w:hint="eastAsia" w:ascii="宋体" w:hAnsi="宋体" w:eastAsia="宋体" w:cs="宋体"/>
                      <w:color w:val="auto"/>
                      <w:highlight w:val="none"/>
                    </w:rPr>
                  </w:pPr>
                </w:p>
              </w:tc>
              <w:tc>
                <w:tcPr>
                  <w:tcW w:w="1276" w:type="dxa"/>
                  <w:tcBorders>
                    <w:top w:val="single" w:color="auto" w:sz="4" w:space="0"/>
                    <w:left w:val="single" w:color="auto" w:sz="4" w:space="0"/>
                    <w:bottom w:val="single" w:color="auto" w:sz="4" w:space="0"/>
                    <w:right w:val="single" w:color="auto" w:sz="4" w:space="0"/>
                  </w:tcBorders>
                  <w:noWrap/>
                  <w:vAlign w:val="center"/>
                </w:tcPr>
                <w:p w14:paraId="2639C123">
                  <w:pPr>
                    <w:jc w:val="center"/>
                    <w:rPr>
                      <w:rFonts w:hint="eastAsia" w:ascii="宋体" w:hAnsi="宋体" w:eastAsia="宋体" w:cs="宋体"/>
                      <w:color w:val="auto"/>
                      <w:highlight w:val="none"/>
                    </w:rPr>
                  </w:pPr>
                </w:p>
              </w:tc>
            </w:tr>
          </w:tbl>
          <w:p w14:paraId="73469AA5">
            <w:pPr>
              <w:jc w:val="center"/>
              <w:rPr>
                <w:rFonts w:hint="eastAsia" w:ascii="宋体" w:hAnsi="宋体" w:eastAsia="宋体" w:cs="宋体"/>
                <w:color w:val="auto"/>
                <w:highlight w:val="none"/>
              </w:rPr>
            </w:pPr>
          </w:p>
          <w:p w14:paraId="6466645C">
            <w:pPr>
              <w:jc w:val="center"/>
              <w:rPr>
                <w:rFonts w:hint="eastAsia" w:ascii="宋体" w:hAnsi="宋体" w:eastAsia="宋体" w:cs="宋体"/>
                <w:color w:val="auto"/>
                <w:highlight w:val="none"/>
              </w:rPr>
            </w:pPr>
            <w:r>
              <w:rPr>
                <w:rFonts w:hint="eastAsia" w:ascii="宋体" w:hAnsi="宋体" w:eastAsia="宋体" w:cs="宋体"/>
                <w:color w:val="auto"/>
                <w:highlight w:val="none"/>
              </w:rPr>
              <w:t>（三）企业业绩证明材料</w:t>
            </w:r>
          </w:p>
          <w:p w14:paraId="2814AF1E">
            <w:pPr>
              <w:jc w:val="center"/>
              <w:rPr>
                <w:rFonts w:hint="eastAsia" w:ascii="宋体" w:hAnsi="宋体" w:eastAsia="宋体" w:cs="宋体"/>
                <w:color w:val="auto"/>
                <w:highlight w:val="none"/>
              </w:rPr>
            </w:pPr>
            <w:r>
              <w:rPr>
                <w:rFonts w:hint="eastAsia" w:ascii="宋体" w:hAnsi="宋体" w:eastAsia="宋体" w:cs="宋体"/>
                <w:color w:val="auto"/>
                <w:highlight w:val="none"/>
              </w:rPr>
              <w:t>（投标人根据招标文件要求放入与业绩情况一览表对应的业绩证明材料）</w:t>
            </w:r>
          </w:p>
          <w:p w14:paraId="37EC7B42">
            <w:pPr>
              <w:jc w:val="center"/>
              <w:rPr>
                <w:rFonts w:hint="default" w:ascii="宋体" w:hAnsi="宋体" w:eastAsia="宋体" w:cs="宋体"/>
                <w:color w:val="auto"/>
                <w:highlight w:val="none"/>
              </w:rPr>
            </w:pPr>
          </w:p>
          <w:p w14:paraId="7FE38B8E">
            <w:pPr>
              <w:jc w:val="center"/>
              <w:rPr>
                <w:rFonts w:hint="default" w:ascii="宋体" w:hAnsi="宋体" w:eastAsia="宋体" w:cs="宋体"/>
                <w:color w:val="auto"/>
                <w:highlight w:val="none"/>
              </w:rPr>
            </w:pPr>
          </w:p>
          <w:p w14:paraId="5C050DA9">
            <w:pPr>
              <w:jc w:val="center"/>
              <w:rPr>
                <w:rFonts w:hint="default" w:ascii="宋体" w:hAnsi="宋体" w:eastAsia="宋体" w:cs="宋体"/>
                <w:color w:val="auto"/>
                <w:highlight w:val="none"/>
              </w:rPr>
            </w:pPr>
          </w:p>
          <w:p w14:paraId="30DE2EDE">
            <w:pPr>
              <w:jc w:val="center"/>
              <w:rPr>
                <w:rFonts w:hint="eastAsia" w:ascii="宋体" w:hAnsi="宋体" w:eastAsia="宋体" w:cs="宋体"/>
                <w:color w:val="auto"/>
                <w:highlight w:val="none"/>
              </w:rPr>
            </w:pPr>
          </w:p>
          <w:p w14:paraId="488CD41E">
            <w:pPr>
              <w:jc w:val="center"/>
              <w:rPr>
                <w:rFonts w:hint="eastAsia" w:ascii="宋体" w:hAnsi="宋体" w:eastAsia="宋体" w:cs="宋体"/>
                <w:color w:val="auto"/>
                <w:highlight w:val="none"/>
              </w:rPr>
            </w:pPr>
            <w:r>
              <w:rPr>
                <w:rFonts w:hint="eastAsia" w:ascii="宋体" w:hAnsi="宋体" w:eastAsia="宋体" w:cs="宋体"/>
                <w:color w:val="auto"/>
                <w:highlight w:val="none"/>
              </w:rPr>
              <w:t>（四）招标文件要求的其他资料</w:t>
            </w:r>
          </w:p>
          <w:p w14:paraId="2B2D70A8">
            <w:pPr>
              <w:jc w:val="center"/>
              <w:rPr>
                <w:rFonts w:hint="eastAsia" w:ascii="宋体" w:hAnsi="宋体" w:eastAsia="宋体" w:cs="宋体"/>
                <w:color w:val="auto"/>
                <w:highlight w:val="none"/>
              </w:rPr>
            </w:pPr>
          </w:p>
          <w:p w14:paraId="17A6074F">
            <w:pPr>
              <w:jc w:val="center"/>
              <w:rPr>
                <w:rFonts w:hint="eastAsia" w:ascii="宋体" w:hAnsi="宋体" w:eastAsia="宋体" w:cs="宋体"/>
                <w:color w:val="auto"/>
                <w:highlight w:val="none"/>
              </w:rPr>
            </w:pPr>
            <w:r>
              <w:rPr>
                <w:rFonts w:hint="eastAsia" w:ascii="宋体" w:hAnsi="宋体" w:eastAsia="宋体" w:cs="宋体"/>
                <w:color w:val="auto"/>
                <w:highlight w:val="none"/>
              </w:rPr>
              <w:t>（五）投标人认为需要提交的其它资料</w:t>
            </w:r>
          </w:p>
          <w:p w14:paraId="785B2854">
            <w:pPr>
              <w:jc w:val="center"/>
              <w:rPr>
                <w:rFonts w:hint="eastAsia" w:ascii="宋体" w:hAnsi="宋体" w:eastAsia="宋体" w:cs="宋体"/>
                <w:color w:val="auto"/>
                <w:highlight w:val="none"/>
              </w:rPr>
            </w:pPr>
          </w:p>
          <w:p w14:paraId="5C07B36C">
            <w:pPr>
              <w:jc w:val="center"/>
              <w:rPr>
                <w:rFonts w:hint="eastAsia" w:ascii="宋体" w:hAnsi="宋体" w:eastAsia="宋体" w:cs="宋体"/>
                <w:color w:val="auto"/>
                <w:highlight w:val="none"/>
              </w:rPr>
            </w:pPr>
          </w:p>
        </w:tc>
        <w:tc>
          <w:tcPr>
            <w:tcW w:w="1587" w:type="dxa"/>
            <w:tcBorders>
              <w:top w:val="single" w:color="auto" w:sz="4" w:space="0"/>
              <w:left w:val="single" w:color="auto" w:sz="4" w:space="0"/>
              <w:bottom w:val="single" w:color="auto" w:sz="4" w:space="0"/>
              <w:right w:val="single" w:color="auto" w:sz="4" w:space="0"/>
            </w:tcBorders>
            <w:noWrap/>
            <w:vAlign w:val="center"/>
          </w:tcPr>
          <w:p w14:paraId="327D43AF">
            <w:pPr>
              <w:jc w:val="center"/>
              <w:rPr>
                <w:rFonts w:hint="eastAsia" w:ascii="宋体" w:hAnsi="宋体" w:eastAsia="宋体" w:cs="宋体"/>
                <w:color w:val="auto"/>
                <w:highlight w:val="none"/>
              </w:rPr>
            </w:pPr>
            <w:r>
              <w:rPr>
                <w:rFonts w:hint="eastAsia" w:ascii="宋体" w:hAnsi="宋体" w:eastAsia="宋体" w:cs="宋体"/>
                <w:color w:val="auto"/>
                <w:highlight w:val="none"/>
              </w:rPr>
              <w:t>合同价（万元）</w:t>
            </w:r>
          </w:p>
        </w:tc>
        <w:tc>
          <w:tcPr>
            <w:tcW w:w="1100" w:type="dxa"/>
            <w:tcBorders>
              <w:top w:val="single" w:color="auto" w:sz="4" w:space="0"/>
              <w:left w:val="single" w:color="auto" w:sz="4" w:space="0"/>
              <w:bottom w:val="single" w:color="auto" w:sz="4" w:space="0"/>
              <w:right w:val="single" w:color="auto" w:sz="4" w:space="0"/>
            </w:tcBorders>
            <w:noWrap/>
            <w:vAlign w:val="center"/>
          </w:tcPr>
          <w:p w14:paraId="37025C25">
            <w:pPr>
              <w:jc w:val="center"/>
              <w:rPr>
                <w:rFonts w:ascii="宋体" w:hAnsi="宋体" w:eastAsia="宋体" w:cs="宋体"/>
                <w:color w:val="auto"/>
                <w:highlight w:val="none"/>
              </w:rPr>
            </w:pPr>
            <w:r>
              <w:rPr>
                <w:rFonts w:hint="eastAsia" w:ascii="宋体" w:hAnsi="宋体" w:eastAsia="宋体" w:cs="宋体"/>
                <w:color w:val="auto"/>
                <w:highlight w:val="none"/>
              </w:rPr>
              <w:t>备注</w:t>
            </w:r>
          </w:p>
        </w:tc>
      </w:tr>
      <w:tr w14:paraId="0DDE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7CADB867">
            <w:pPr>
              <w:jc w:val="center"/>
              <w:rPr>
                <w:rFonts w:ascii="宋体" w:hAnsi="宋体" w:eastAsia="宋体" w:cs="宋体"/>
                <w:color w:val="auto"/>
                <w:highlight w:val="none"/>
              </w:rPr>
            </w:pPr>
            <w:r>
              <w:rPr>
                <w:rFonts w:hint="eastAsia" w:ascii="宋体" w:hAnsi="宋体" w:eastAsia="宋体" w:cs="宋体"/>
                <w:color w:val="auto"/>
                <w:highlight w:val="none"/>
              </w:rPr>
              <w:t>1</w:t>
            </w:r>
          </w:p>
        </w:tc>
        <w:tc>
          <w:tcPr>
            <w:tcW w:w="1707" w:type="dxa"/>
            <w:tcBorders>
              <w:top w:val="single" w:color="auto" w:sz="4" w:space="0"/>
              <w:left w:val="single" w:color="auto" w:sz="4" w:space="0"/>
              <w:bottom w:val="single" w:color="auto" w:sz="4" w:space="0"/>
              <w:right w:val="single" w:color="auto" w:sz="4" w:space="0"/>
            </w:tcBorders>
            <w:noWrap/>
            <w:vAlign w:val="center"/>
          </w:tcPr>
          <w:p w14:paraId="1BD97393">
            <w:pPr>
              <w:jc w:val="center"/>
              <w:rPr>
                <w:rFonts w:ascii="宋体" w:hAnsi="宋体" w:eastAsia="宋体" w:cs="宋体"/>
                <w:color w:val="auto"/>
                <w:highlight w:val="none"/>
              </w:rPr>
            </w:pPr>
          </w:p>
        </w:tc>
        <w:tc>
          <w:tcPr>
            <w:tcW w:w="1535" w:type="dxa"/>
            <w:tcBorders>
              <w:top w:val="single" w:color="auto" w:sz="4" w:space="0"/>
              <w:left w:val="single" w:color="auto" w:sz="4" w:space="0"/>
              <w:bottom w:val="single" w:color="auto" w:sz="4" w:space="0"/>
              <w:right w:val="single" w:color="auto" w:sz="4" w:space="0"/>
            </w:tcBorders>
            <w:noWrap/>
            <w:vAlign w:val="center"/>
          </w:tcPr>
          <w:p w14:paraId="596B92F8">
            <w:pPr>
              <w:jc w:val="center"/>
              <w:rPr>
                <w:rFonts w:ascii="宋体" w:hAnsi="宋体" w:eastAsia="宋体" w:cs="宋体"/>
                <w:color w:val="auto"/>
                <w:highlight w:val="none"/>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29BA4E6">
            <w:pPr>
              <w:jc w:val="center"/>
              <w:rPr>
                <w:rFonts w:ascii="宋体" w:hAnsi="宋体" w:eastAsia="宋体" w:cs="宋体"/>
                <w:color w:val="auto"/>
                <w:highlight w:val="none"/>
              </w:rPr>
            </w:pPr>
          </w:p>
        </w:tc>
        <w:tc>
          <w:tcPr>
            <w:tcW w:w="1587" w:type="dxa"/>
            <w:tcBorders>
              <w:top w:val="single" w:color="auto" w:sz="4" w:space="0"/>
              <w:left w:val="single" w:color="auto" w:sz="4" w:space="0"/>
              <w:bottom w:val="single" w:color="auto" w:sz="4" w:space="0"/>
              <w:right w:val="single" w:color="auto" w:sz="4" w:space="0"/>
            </w:tcBorders>
            <w:noWrap/>
            <w:vAlign w:val="center"/>
          </w:tcPr>
          <w:p w14:paraId="62DF7222">
            <w:pPr>
              <w:jc w:val="center"/>
              <w:rPr>
                <w:rFonts w:ascii="宋体" w:hAnsi="宋体" w:eastAsia="宋体" w:cs="宋体"/>
                <w:color w:val="auto"/>
                <w:highlight w:val="none"/>
              </w:rPr>
            </w:pPr>
          </w:p>
        </w:tc>
        <w:tc>
          <w:tcPr>
            <w:tcW w:w="1100" w:type="dxa"/>
            <w:tcBorders>
              <w:top w:val="single" w:color="auto" w:sz="4" w:space="0"/>
              <w:left w:val="single" w:color="auto" w:sz="4" w:space="0"/>
              <w:bottom w:val="single" w:color="auto" w:sz="4" w:space="0"/>
              <w:right w:val="single" w:color="auto" w:sz="4" w:space="0"/>
            </w:tcBorders>
            <w:noWrap/>
            <w:vAlign w:val="center"/>
          </w:tcPr>
          <w:p w14:paraId="35BF5DA8">
            <w:pPr>
              <w:jc w:val="center"/>
              <w:rPr>
                <w:rFonts w:ascii="宋体" w:hAnsi="宋体" w:eastAsia="宋体" w:cs="宋体"/>
                <w:color w:val="auto"/>
                <w:highlight w:val="none"/>
              </w:rPr>
            </w:pPr>
          </w:p>
        </w:tc>
      </w:tr>
      <w:tr w14:paraId="2B8B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jc w:val="center"/>
        </w:trPr>
        <w:tc>
          <w:tcPr>
            <w:tcW w:w="675" w:type="dxa"/>
            <w:tcBorders>
              <w:top w:val="single" w:color="auto" w:sz="4" w:space="0"/>
              <w:left w:val="single" w:color="auto" w:sz="4" w:space="0"/>
              <w:bottom w:val="single" w:color="auto" w:sz="4" w:space="0"/>
              <w:right w:val="single" w:color="auto" w:sz="4" w:space="0"/>
            </w:tcBorders>
            <w:noWrap/>
            <w:vAlign w:val="center"/>
          </w:tcPr>
          <w:p w14:paraId="405C2B10">
            <w:pPr>
              <w:jc w:val="center"/>
              <w:rPr>
                <w:rFonts w:ascii="宋体" w:hAnsi="宋体" w:eastAsia="宋体" w:cs="宋体"/>
                <w:color w:val="auto"/>
                <w:highlight w:val="none"/>
              </w:rPr>
            </w:pPr>
            <w:r>
              <w:rPr>
                <w:rFonts w:hint="eastAsia" w:ascii="宋体" w:hAnsi="宋体" w:eastAsia="宋体" w:cs="宋体"/>
                <w:color w:val="auto"/>
                <w:highlight w:val="none"/>
              </w:rPr>
              <w:t>略</w:t>
            </w:r>
          </w:p>
        </w:tc>
        <w:tc>
          <w:tcPr>
            <w:tcW w:w="1707" w:type="dxa"/>
            <w:tcBorders>
              <w:top w:val="single" w:color="auto" w:sz="4" w:space="0"/>
              <w:left w:val="single" w:color="auto" w:sz="4" w:space="0"/>
              <w:bottom w:val="single" w:color="auto" w:sz="4" w:space="0"/>
              <w:right w:val="single" w:color="auto" w:sz="4" w:space="0"/>
            </w:tcBorders>
            <w:noWrap/>
            <w:vAlign w:val="center"/>
          </w:tcPr>
          <w:p w14:paraId="280C9FB6">
            <w:pPr>
              <w:jc w:val="center"/>
              <w:rPr>
                <w:rFonts w:ascii="宋体" w:hAnsi="宋体" w:eastAsia="宋体" w:cs="宋体"/>
                <w:color w:val="auto"/>
                <w:highlight w:val="none"/>
              </w:rPr>
            </w:pPr>
          </w:p>
        </w:tc>
        <w:tc>
          <w:tcPr>
            <w:tcW w:w="1535" w:type="dxa"/>
            <w:tcBorders>
              <w:top w:val="single" w:color="auto" w:sz="4" w:space="0"/>
              <w:left w:val="single" w:color="auto" w:sz="4" w:space="0"/>
              <w:bottom w:val="single" w:color="auto" w:sz="4" w:space="0"/>
              <w:right w:val="single" w:color="auto" w:sz="4" w:space="0"/>
            </w:tcBorders>
            <w:noWrap/>
            <w:vAlign w:val="center"/>
          </w:tcPr>
          <w:p w14:paraId="7864C7A2">
            <w:pPr>
              <w:jc w:val="center"/>
              <w:rPr>
                <w:rFonts w:ascii="宋体" w:hAnsi="宋体" w:eastAsia="宋体" w:cs="宋体"/>
                <w:color w:val="auto"/>
                <w:highlight w:val="none"/>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0A12E6F">
            <w:pPr>
              <w:jc w:val="center"/>
              <w:rPr>
                <w:rFonts w:ascii="宋体" w:hAnsi="宋体" w:eastAsia="宋体" w:cs="宋体"/>
                <w:color w:val="auto"/>
                <w:highlight w:val="none"/>
              </w:rPr>
            </w:pPr>
          </w:p>
        </w:tc>
        <w:tc>
          <w:tcPr>
            <w:tcW w:w="1587" w:type="dxa"/>
            <w:tcBorders>
              <w:top w:val="single" w:color="auto" w:sz="4" w:space="0"/>
              <w:left w:val="single" w:color="auto" w:sz="4" w:space="0"/>
              <w:bottom w:val="single" w:color="auto" w:sz="4" w:space="0"/>
              <w:right w:val="single" w:color="auto" w:sz="4" w:space="0"/>
            </w:tcBorders>
            <w:noWrap/>
            <w:vAlign w:val="center"/>
          </w:tcPr>
          <w:p w14:paraId="65A09FCF">
            <w:pPr>
              <w:jc w:val="center"/>
              <w:rPr>
                <w:rFonts w:ascii="宋体" w:hAnsi="宋体" w:eastAsia="宋体" w:cs="宋体"/>
                <w:color w:val="auto"/>
                <w:highlight w:val="none"/>
              </w:rPr>
            </w:pPr>
          </w:p>
        </w:tc>
        <w:tc>
          <w:tcPr>
            <w:tcW w:w="1100" w:type="dxa"/>
            <w:tcBorders>
              <w:top w:val="single" w:color="auto" w:sz="4" w:space="0"/>
              <w:left w:val="single" w:color="auto" w:sz="4" w:space="0"/>
              <w:bottom w:val="single" w:color="auto" w:sz="4" w:space="0"/>
              <w:right w:val="single" w:color="auto" w:sz="4" w:space="0"/>
            </w:tcBorders>
            <w:noWrap/>
            <w:vAlign w:val="center"/>
          </w:tcPr>
          <w:p w14:paraId="534BCC9D">
            <w:pPr>
              <w:jc w:val="center"/>
              <w:rPr>
                <w:rFonts w:ascii="宋体" w:hAnsi="宋体" w:eastAsia="宋体" w:cs="宋体"/>
                <w:color w:val="auto"/>
                <w:highlight w:val="none"/>
              </w:rPr>
            </w:pPr>
          </w:p>
        </w:tc>
      </w:tr>
    </w:tbl>
    <w:p w14:paraId="4C4CD0BD">
      <w:pPr>
        <w:tabs>
          <w:tab w:val="left" w:pos="7560"/>
        </w:tabs>
        <w:adjustRightInd w:val="0"/>
        <w:spacing w:beforeLines="20" w:afterLines="20" w:line="360" w:lineRule="auto"/>
        <w:jc w:val="center"/>
        <w:rPr>
          <w:rFonts w:ascii="宋体" w:hAnsi="宋体" w:eastAsia="宋体" w:cs="宋体"/>
          <w:b/>
          <w:bCs/>
          <w:color w:val="auto"/>
          <w:sz w:val="28"/>
          <w:szCs w:val="28"/>
          <w:highlight w:val="none"/>
        </w:rPr>
      </w:pPr>
    </w:p>
    <w:p w14:paraId="769F5326">
      <w:pPr>
        <w:pStyle w:val="22"/>
        <w:numPr>
          <w:ilvl w:val="0"/>
          <w:numId w:val="0"/>
        </w:numPr>
        <w:spacing w:line="360" w:lineRule="auto"/>
        <w:ind w:left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企业业绩证明材料（如有）</w:t>
      </w:r>
    </w:p>
    <w:p w14:paraId="7342BB2D">
      <w:pPr>
        <w:pStyle w:val="22"/>
        <w:snapToGrid w:val="0"/>
        <w:spacing w:line="480" w:lineRule="auto"/>
        <w:ind w:right="1470" w:firstLine="964" w:firstLineChars="400"/>
        <w:jc w:val="left"/>
        <w:rPr>
          <w:rFonts w:hAnsi="宋体"/>
          <w:b/>
          <w:sz w:val="24"/>
          <w:szCs w:val="24"/>
          <w:highlight w:val="none"/>
        </w:rPr>
      </w:pPr>
    </w:p>
    <w:p w14:paraId="628204C7">
      <w:pPr>
        <w:pStyle w:val="22"/>
        <w:snapToGrid w:val="0"/>
        <w:spacing w:line="480" w:lineRule="auto"/>
        <w:ind w:right="1470" w:firstLine="964" w:firstLineChars="400"/>
        <w:jc w:val="left"/>
        <w:rPr>
          <w:rFonts w:hint="eastAsia" w:hAnsi="宋体"/>
          <w:b/>
          <w:sz w:val="24"/>
          <w:szCs w:val="24"/>
          <w:highlight w:val="none"/>
        </w:rPr>
      </w:pPr>
    </w:p>
    <w:p w14:paraId="3F1D674B">
      <w:pPr>
        <w:pStyle w:val="22"/>
        <w:snapToGrid w:val="0"/>
        <w:spacing w:line="480" w:lineRule="auto"/>
        <w:ind w:right="1470" w:firstLine="964" w:firstLineChars="400"/>
        <w:jc w:val="left"/>
        <w:rPr>
          <w:rFonts w:hint="eastAsia" w:hAnsi="宋体"/>
          <w:b/>
          <w:sz w:val="24"/>
          <w:szCs w:val="24"/>
          <w:highlight w:val="none"/>
        </w:rPr>
      </w:pPr>
    </w:p>
    <w:p w14:paraId="57079347">
      <w:pPr>
        <w:pStyle w:val="22"/>
        <w:snapToGrid w:val="0"/>
        <w:spacing w:line="480" w:lineRule="auto"/>
        <w:ind w:right="1470" w:firstLine="964" w:firstLineChars="400"/>
        <w:jc w:val="left"/>
        <w:rPr>
          <w:rFonts w:hint="eastAsia" w:hAnsi="宋体"/>
          <w:b/>
          <w:sz w:val="24"/>
          <w:szCs w:val="24"/>
          <w:highlight w:val="none"/>
        </w:rPr>
      </w:pPr>
    </w:p>
    <w:p w14:paraId="3A3E894E">
      <w:pPr>
        <w:pStyle w:val="22"/>
        <w:snapToGrid w:val="0"/>
        <w:spacing w:line="480" w:lineRule="auto"/>
        <w:ind w:right="1470" w:firstLine="964" w:firstLineChars="400"/>
        <w:jc w:val="left"/>
        <w:rPr>
          <w:rFonts w:hint="eastAsia" w:hAnsi="宋体"/>
          <w:b/>
          <w:sz w:val="24"/>
          <w:szCs w:val="24"/>
          <w:highlight w:val="none"/>
        </w:rPr>
      </w:pPr>
    </w:p>
    <w:p w14:paraId="2FF558D5">
      <w:pPr>
        <w:pStyle w:val="22"/>
        <w:snapToGrid w:val="0"/>
        <w:spacing w:line="480" w:lineRule="auto"/>
        <w:ind w:right="1470" w:firstLine="964" w:firstLineChars="400"/>
        <w:jc w:val="left"/>
        <w:rPr>
          <w:rFonts w:hint="eastAsia" w:hAnsi="宋体"/>
          <w:b/>
          <w:sz w:val="24"/>
          <w:szCs w:val="24"/>
          <w:highlight w:val="none"/>
        </w:rPr>
      </w:pPr>
    </w:p>
    <w:p w14:paraId="1267DC19">
      <w:pPr>
        <w:pStyle w:val="22"/>
        <w:snapToGrid w:val="0"/>
        <w:spacing w:line="480" w:lineRule="auto"/>
        <w:ind w:right="1470" w:firstLine="964" w:firstLineChars="400"/>
        <w:jc w:val="left"/>
        <w:rPr>
          <w:rFonts w:hint="eastAsia" w:hAnsi="宋体"/>
          <w:b/>
          <w:sz w:val="24"/>
          <w:szCs w:val="24"/>
          <w:highlight w:val="none"/>
        </w:rPr>
      </w:pPr>
    </w:p>
    <w:p w14:paraId="1CC3356C">
      <w:pPr>
        <w:pStyle w:val="22"/>
        <w:snapToGrid w:val="0"/>
        <w:spacing w:line="480" w:lineRule="auto"/>
        <w:ind w:right="1470" w:firstLine="964" w:firstLineChars="400"/>
        <w:jc w:val="left"/>
        <w:rPr>
          <w:rFonts w:hint="eastAsia" w:hAnsi="宋体"/>
          <w:b/>
          <w:sz w:val="24"/>
          <w:szCs w:val="24"/>
          <w:highlight w:val="none"/>
        </w:rPr>
      </w:pPr>
    </w:p>
    <w:p w14:paraId="58309205">
      <w:pPr>
        <w:pStyle w:val="22"/>
        <w:snapToGrid w:val="0"/>
        <w:spacing w:line="480" w:lineRule="auto"/>
        <w:ind w:right="1470" w:firstLine="964" w:firstLineChars="400"/>
        <w:jc w:val="left"/>
        <w:rPr>
          <w:rFonts w:hint="eastAsia" w:hAnsi="宋体"/>
          <w:b/>
          <w:sz w:val="24"/>
          <w:szCs w:val="24"/>
          <w:highlight w:val="none"/>
        </w:rPr>
      </w:pPr>
    </w:p>
    <w:p w14:paraId="105F7376">
      <w:pPr>
        <w:pStyle w:val="22"/>
        <w:snapToGrid w:val="0"/>
        <w:spacing w:line="480" w:lineRule="auto"/>
        <w:ind w:right="1470" w:firstLine="964" w:firstLineChars="400"/>
        <w:jc w:val="left"/>
        <w:rPr>
          <w:rFonts w:hint="eastAsia" w:hAnsi="宋体"/>
          <w:b/>
          <w:sz w:val="24"/>
          <w:szCs w:val="24"/>
          <w:highlight w:val="none"/>
        </w:rPr>
      </w:pPr>
    </w:p>
    <w:p w14:paraId="7B7CDBBD">
      <w:pPr>
        <w:pStyle w:val="22"/>
        <w:snapToGrid w:val="0"/>
        <w:spacing w:line="480" w:lineRule="auto"/>
        <w:ind w:right="1470" w:firstLine="964" w:firstLineChars="400"/>
        <w:jc w:val="left"/>
        <w:rPr>
          <w:rFonts w:hint="eastAsia" w:hAnsi="宋体"/>
          <w:b/>
          <w:sz w:val="24"/>
          <w:szCs w:val="24"/>
          <w:highlight w:val="none"/>
        </w:rPr>
      </w:pPr>
    </w:p>
    <w:p w14:paraId="5229D837">
      <w:pPr>
        <w:pStyle w:val="22"/>
        <w:snapToGrid w:val="0"/>
        <w:spacing w:line="480" w:lineRule="auto"/>
        <w:ind w:right="1470" w:firstLine="964" w:firstLineChars="400"/>
        <w:jc w:val="left"/>
        <w:rPr>
          <w:rFonts w:hint="eastAsia" w:hAnsi="宋体"/>
          <w:b/>
          <w:sz w:val="24"/>
          <w:szCs w:val="24"/>
          <w:highlight w:val="none"/>
        </w:rPr>
      </w:pPr>
    </w:p>
    <w:p w14:paraId="7BC27E56">
      <w:pPr>
        <w:pStyle w:val="22"/>
        <w:snapToGrid w:val="0"/>
        <w:spacing w:line="480" w:lineRule="auto"/>
        <w:ind w:right="1470" w:firstLine="964" w:firstLineChars="400"/>
        <w:jc w:val="left"/>
        <w:rPr>
          <w:rFonts w:hAnsi="宋体"/>
          <w:b/>
          <w:sz w:val="24"/>
          <w:szCs w:val="24"/>
          <w:highlight w:val="none"/>
        </w:rPr>
      </w:pPr>
      <w:r>
        <w:rPr>
          <w:rFonts w:hint="eastAsia" w:hAnsi="宋体"/>
          <w:b/>
          <w:sz w:val="24"/>
          <w:szCs w:val="24"/>
          <w:highlight w:val="none"/>
        </w:rPr>
        <w:t>（四）投标人认为需要提交的其他资料</w:t>
      </w:r>
    </w:p>
    <w:p w14:paraId="4E2C8558">
      <w:pPr>
        <w:pStyle w:val="22"/>
        <w:spacing w:line="360" w:lineRule="auto"/>
        <w:ind w:left="1470" w:right="1470"/>
        <w:jc w:val="left"/>
        <w:rPr>
          <w:rFonts w:hAnsi="宋体"/>
          <w:bCs/>
          <w:sz w:val="24"/>
          <w:szCs w:val="24"/>
          <w:highlight w:val="none"/>
        </w:rPr>
        <w:sectPr>
          <w:footerReference r:id="rId6" w:type="first"/>
          <w:footerReference r:id="rId5" w:type="default"/>
          <w:pgSz w:w="11906" w:h="16838"/>
          <w:pgMar w:top="1418" w:right="1077" w:bottom="1418" w:left="1077" w:header="851" w:footer="992" w:gutter="0"/>
          <w:pgNumType w:start="34"/>
          <w:cols w:space="720" w:num="1"/>
          <w:titlePg/>
          <w:docGrid w:type="lines" w:linePitch="312" w:charSpace="0"/>
        </w:sectPr>
      </w:pPr>
    </w:p>
    <w:p w14:paraId="5DA3BCBE">
      <w:pPr>
        <w:pStyle w:val="3"/>
        <w:spacing w:line="360" w:lineRule="auto"/>
        <w:jc w:val="center"/>
        <w:rPr>
          <w:rFonts w:ascii="宋体" w:hAnsi="宋体" w:eastAsia="宋体"/>
          <w:bCs w:val="0"/>
          <w:sz w:val="28"/>
          <w:szCs w:val="28"/>
          <w:highlight w:val="none"/>
        </w:rPr>
      </w:pPr>
      <w:r>
        <w:rPr>
          <w:rFonts w:hint="eastAsia" w:ascii="宋体" w:hAnsi="宋体" w:eastAsia="宋体"/>
          <w:sz w:val="28"/>
          <w:szCs w:val="28"/>
          <w:highlight w:val="none"/>
          <w:lang w:val="en-US" w:eastAsia="zh-CN"/>
        </w:rPr>
        <w:t>三</w:t>
      </w:r>
      <w:r>
        <w:rPr>
          <w:rFonts w:hint="eastAsia" w:ascii="宋体" w:hAnsi="宋体" w:eastAsia="宋体"/>
          <w:sz w:val="28"/>
          <w:szCs w:val="28"/>
          <w:highlight w:val="none"/>
        </w:rPr>
        <w:t>、</w:t>
      </w:r>
      <w:r>
        <w:rPr>
          <w:rFonts w:hint="eastAsia" w:ascii="宋体" w:hAnsi="宋体" w:eastAsia="宋体"/>
          <w:sz w:val="28"/>
          <w:szCs w:val="28"/>
          <w:highlight w:val="none"/>
          <w:lang w:val="en-US" w:eastAsia="zh-CN"/>
        </w:rPr>
        <w:t>商务</w:t>
      </w:r>
      <w:r>
        <w:rPr>
          <w:rFonts w:hint="eastAsia" w:ascii="宋体" w:hAnsi="宋体" w:eastAsia="宋体"/>
          <w:sz w:val="28"/>
          <w:szCs w:val="28"/>
          <w:highlight w:val="none"/>
        </w:rPr>
        <w:t>标</w:t>
      </w:r>
    </w:p>
    <w:p w14:paraId="23B8452F">
      <w:pPr>
        <w:adjustRightInd w:val="0"/>
        <w:spacing w:before="62" w:beforeLines="20" w:after="62" w:afterLines="20" w:line="360" w:lineRule="auto"/>
        <w:rPr>
          <w:rFonts w:hAnsi="宋体"/>
          <w:highlight w:val="none"/>
        </w:rPr>
      </w:pPr>
    </w:p>
    <w:p w14:paraId="7E1CE8DE">
      <w:pPr>
        <w:adjustRightInd w:val="0"/>
        <w:snapToGrid w:val="0"/>
        <w:spacing w:before="62" w:beforeLines="20" w:after="62" w:afterLines="20" w:line="360" w:lineRule="auto"/>
        <w:jc w:val="center"/>
        <w:rPr>
          <w:rFonts w:ascii="宋体" w:hAnsi="宋体" w:cs="仿宋_GB2312"/>
          <w:b/>
          <w:sz w:val="24"/>
          <w:highlight w:val="none"/>
          <w:u w:val="single"/>
        </w:rPr>
      </w:pPr>
      <w:r>
        <w:rPr>
          <w:rFonts w:hint="eastAsia" w:ascii="宋体" w:hAnsi="宋体" w:cs="仿宋_GB2312"/>
          <w:b/>
          <w:sz w:val="24"/>
          <w:highlight w:val="none"/>
        </w:rPr>
        <w:t xml:space="preserve"> </w:t>
      </w:r>
      <w:r>
        <w:rPr>
          <w:rFonts w:hint="eastAsia" w:ascii="宋体" w:hAnsi="宋体" w:cs="仿宋_GB2312"/>
          <w:b/>
          <w:sz w:val="24"/>
          <w:highlight w:val="none"/>
          <w:u w:val="single"/>
        </w:rPr>
        <w:t xml:space="preserve">                        </w:t>
      </w:r>
      <w:r>
        <w:rPr>
          <w:rFonts w:hint="eastAsia" w:ascii="宋体" w:hAnsi="宋体" w:cs="仿宋_GB2312"/>
          <w:b/>
          <w:sz w:val="24"/>
          <w:highlight w:val="none"/>
        </w:rPr>
        <w:t>工程施工招标</w:t>
      </w:r>
    </w:p>
    <w:p w14:paraId="68ED6091">
      <w:pPr>
        <w:pStyle w:val="13"/>
        <w:adjustRightInd w:val="0"/>
        <w:spacing w:before="62" w:beforeLines="20" w:after="62" w:afterLines="20" w:line="360" w:lineRule="auto"/>
        <w:ind w:left="0" w:leftChars="0"/>
        <w:rPr>
          <w:rFonts w:ascii="宋体" w:hAnsi="宋体"/>
          <w:b/>
          <w:highlight w:val="none"/>
        </w:rPr>
      </w:pPr>
    </w:p>
    <w:p w14:paraId="3ADD71C5">
      <w:pPr>
        <w:pStyle w:val="5"/>
        <w:spacing w:before="62" w:beforeLines="20" w:after="62" w:afterLines="20" w:line="360" w:lineRule="auto"/>
        <w:ind w:left="2100"/>
        <w:jc w:val="center"/>
        <w:rPr>
          <w:rFonts w:ascii="宋体" w:hAnsi="宋体"/>
          <w:b/>
          <w:sz w:val="30"/>
          <w:szCs w:val="30"/>
          <w:highlight w:val="none"/>
        </w:rPr>
      </w:pPr>
    </w:p>
    <w:p w14:paraId="71570394">
      <w:pPr>
        <w:pStyle w:val="5"/>
        <w:spacing w:before="62" w:beforeLines="20" w:after="62" w:afterLines="20" w:line="360" w:lineRule="auto"/>
        <w:ind w:left="2100"/>
        <w:jc w:val="center"/>
        <w:rPr>
          <w:rFonts w:ascii="宋体" w:hAnsi="宋体"/>
          <w:b/>
          <w:sz w:val="30"/>
          <w:szCs w:val="30"/>
          <w:highlight w:val="none"/>
        </w:rPr>
      </w:pPr>
      <w:r>
        <w:rPr>
          <w:rFonts w:hint="eastAsia" w:ascii="宋体" w:hAnsi="宋体"/>
          <w:b/>
          <w:sz w:val="30"/>
          <w:szCs w:val="30"/>
          <w:highlight w:val="none"/>
        </w:rPr>
        <w:t>投  标  文  件</w:t>
      </w:r>
    </w:p>
    <w:p w14:paraId="4FD997EB">
      <w:pPr>
        <w:pStyle w:val="5"/>
        <w:spacing w:before="62" w:beforeLines="20" w:after="62" w:afterLines="20" w:line="360" w:lineRule="auto"/>
        <w:ind w:left="2100"/>
        <w:jc w:val="center"/>
        <w:rPr>
          <w:rFonts w:ascii="宋体" w:hAnsi="宋体"/>
          <w:b/>
          <w:sz w:val="24"/>
          <w:highlight w:val="none"/>
        </w:rPr>
      </w:pPr>
      <w:r>
        <w:rPr>
          <w:rFonts w:hint="eastAsia" w:ascii="宋体" w:hAnsi="宋体"/>
          <w:b/>
          <w:sz w:val="24"/>
          <w:highlight w:val="none"/>
        </w:rPr>
        <w:t>项目编号：</w:t>
      </w:r>
    </w:p>
    <w:p w14:paraId="7D880166">
      <w:pPr>
        <w:pStyle w:val="5"/>
        <w:spacing w:before="62" w:beforeLines="20" w:after="62" w:afterLines="20" w:line="360" w:lineRule="auto"/>
        <w:ind w:left="2100"/>
        <w:jc w:val="center"/>
        <w:rPr>
          <w:rFonts w:ascii="宋体" w:hAnsi="宋体"/>
          <w:highlight w:val="none"/>
        </w:rPr>
      </w:pPr>
    </w:p>
    <w:p w14:paraId="6C315F5D">
      <w:pPr>
        <w:pStyle w:val="5"/>
        <w:spacing w:before="62" w:beforeLines="20" w:after="62" w:afterLines="20" w:line="360" w:lineRule="auto"/>
        <w:ind w:left="2100"/>
        <w:jc w:val="center"/>
        <w:rPr>
          <w:rFonts w:ascii="宋体" w:hAnsi="宋体"/>
          <w:highlight w:val="none"/>
        </w:rPr>
      </w:pPr>
    </w:p>
    <w:p w14:paraId="3B1B8A9F">
      <w:pPr>
        <w:pStyle w:val="5"/>
        <w:spacing w:before="62" w:beforeLines="20" w:after="62" w:afterLines="20" w:line="360" w:lineRule="auto"/>
        <w:ind w:left="2100"/>
        <w:jc w:val="center"/>
        <w:rPr>
          <w:rFonts w:ascii="宋体" w:hAnsi="宋体"/>
          <w:highlight w:val="none"/>
        </w:rPr>
      </w:pPr>
    </w:p>
    <w:p w14:paraId="5AEEBD87">
      <w:pPr>
        <w:pStyle w:val="5"/>
        <w:spacing w:before="62" w:beforeLines="20" w:after="62" w:afterLines="20" w:line="360" w:lineRule="auto"/>
        <w:ind w:left="2100"/>
        <w:jc w:val="center"/>
        <w:rPr>
          <w:rFonts w:ascii="宋体" w:hAnsi="宋体"/>
          <w:highlight w:val="none"/>
        </w:rPr>
      </w:pPr>
    </w:p>
    <w:p w14:paraId="674A08C5">
      <w:pPr>
        <w:pStyle w:val="5"/>
        <w:spacing w:before="62" w:beforeLines="20" w:after="62" w:afterLines="20" w:line="360" w:lineRule="auto"/>
        <w:ind w:left="2100"/>
        <w:jc w:val="center"/>
        <w:rPr>
          <w:rFonts w:ascii="宋体" w:hAnsi="宋体"/>
          <w:highlight w:val="none"/>
        </w:rPr>
      </w:pPr>
    </w:p>
    <w:p w14:paraId="5DD29FED">
      <w:pPr>
        <w:pStyle w:val="5"/>
        <w:spacing w:before="62" w:beforeLines="20" w:after="62" w:afterLines="20" w:line="360" w:lineRule="auto"/>
        <w:ind w:left="2100"/>
        <w:jc w:val="center"/>
        <w:rPr>
          <w:rFonts w:ascii="宋体" w:hAnsi="宋体"/>
          <w:highlight w:val="none"/>
        </w:rPr>
      </w:pPr>
    </w:p>
    <w:p w14:paraId="2915209E">
      <w:pPr>
        <w:pStyle w:val="18"/>
        <w:adjustRightInd w:val="0"/>
        <w:snapToGrid w:val="0"/>
        <w:spacing w:before="62" w:beforeLines="20" w:after="62" w:afterLines="20" w:line="480" w:lineRule="auto"/>
        <w:ind w:left="130" w:leftChars="62" w:firstLine="1205" w:firstLineChars="500"/>
        <w:rPr>
          <w:rFonts w:ascii="宋体" w:hAnsi="宋体" w:cs="宋体"/>
          <w:b/>
          <w:bCs/>
          <w:highlight w:val="none"/>
          <w:u w:val="single"/>
        </w:rPr>
      </w:pPr>
      <w:r>
        <w:rPr>
          <w:rFonts w:hint="eastAsia" w:ascii="宋体" w:hAnsi="宋体" w:cs="宋体"/>
          <w:b/>
          <w:bCs/>
          <w:highlight w:val="none"/>
        </w:rPr>
        <w:t>项目名称：</w:t>
      </w:r>
      <w:r>
        <w:rPr>
          <w:rFonts w:hint="eastAsia" w:ascii="宋体" w:hAnsi="宋体" w:cs="宋体"/>
          <w:b/>
          <w:bCs/>
          <w:highlight w:val="none"/>
          <w:u w:val="single"/>
        </w:rPr>
        <w:t xml:space="preserve">                                             </w:t>
      </w:r>
    </w:p>
    <w:p w14:paraId="5B0B74A9">
      <w:pPr>
        <w:pStyle w:val="18"/>
        <w:adjustRightInd w:val="0"/>
        <w:snapToGrid w:val="0"/>
        <w:spacing w:before="62" w:beforeLines="20" w:after="62" w:afterLines="20" w:line="480" w:lineRule="auto"/>
        <w:ind w:left="130" w:leftChars="62" w:firstLine="1205" w:firstLineChars="500"/>
        <w:rPr>
          <w:rFonts w:ascii="宋体" w:hAnsi="宋体" w:cs="宋体"/>
          <w:b/>
          <w:bCs/>
          <w:highlight w:val="none"/>
        </w:rPr>
      </w:pPr>
      <w:r>
        <w:rPr>
          <w:rFonts w:hint="eastAsia" w:ascii="宋体" w:hAnsi="宋体" w:cs="宋体"/>
          <w:b/>
          <w:bCs/>
          <w:highlight w:val="none"/>
        </w:rPr>
        <w:t>投标文件内容：</w:t>
      </w:r>
      <w:r>
        <w:rPr>
          <w:rFonts w:hint="eastAsia" w:ascii="宋体" w:hAnsi="宋体" w:cs="宋体"/>
          <w:b/>
          <w:bCs/>
          <w:highlight w:val="none"/>
          <w:u w:val="single"/>
        </w:rPr>
        <w:t xml:space="preserve">    </w:t>
      </w:r>
      <w:r>
        <w:rPr>
          <w:rFonts w:hint="eastAsia" w:ascii="宋体" w:hAnsi="宋体" w:cs="宋体"/>
          <w:b/>
          <w:bCs/>
          <w:highlight w:val="none"/>
          <w:u w:val="single"/>
        </w:rPr>
        <w:tab/>
      </w:r>
      <w:r>
        <w:rPr>
          <w:rFonts w:hint="eastAsia" w:ascii="宋体" w:hAnsi="宋体" w:cs="宋体"/>
          <w:b/>
          <w:bCs/>
          <w:highlight w:val="none"/>
          <w:u w:val="single"/>
        </w:rPr>
        <w:t xml:space="preserve">      投标文件</w:t>
      </w:r>
      <w:r>
        <w:rPr>
          <w:rFonts w:hint="eastAsia" w:ascii="宋体" w:hAnsi="宋体" w:cs="宋体"/>
          <w:b/>
          <w:bCs/>
          <w:highlight w:val="none"/>
          <w:u w:val="single"/>
          <w:lang w:val="en-US" w:eastAsia="zh-CN"/>
        </w:rPr>
        <w:t>商务</w:t>
      </w:r>
      <w:r>
        <w:rPr>
          <w:rFonts w:hint="eastAsia" w:ascii="宋体" w:hAnsi="宋体" w:cs="宋体"/>
          <w:b/>
          <w:bCs/>
          <w:highlight w:val="none"/>
          <w:u w:val="single"/>
        </w:rPr>
        <w:t>标</w:t>
      </w:r>
      <w:r>
        <w:rPr>
          <w:rFonts w:hint="eastAsia" w:ascii="宋体" w:hAnsi="宋体" w:cs="宋体"/>
          <w:b/>
          <w:bCs/>
          <w:highlight w:val="none"/>
          <w:u w:val="single"/>
        </w:rPr>
        <w:tab/>
      </w:r>
      <w:r>
        <w:rPr>
          <w:rFonts w:hint="eastAsia" w:ascii="宋体" w:hAnsi="宋体" w:cs="宋体"/>
          <w:b/>
          <w:bCs/>
          <w:highlight w:val="none"/>
          <w:u w:val="single"/>
        </w:rPr>
        <w:tab/>
      </w:r>
      <w:r>
        <w:rPr>
          <w:rFonts w:hint="eastAsia" w:ascii="宋体" w:hAnsi="宋体" w:cs="宋体"/>
          <w:b/>
          <w:bCs/>
          <w:highlight w:val="none"/>
          <w:u w:val="single"/>
        </w:rPr>
        <w:t xml:space="preserve">           </w:t>
      </w:r>
    </w:p>
    <w:p w14:paraId="7727244B">
      <w:pPr>
        <w:pStyle w:val="18"/>
        <w:adjustRightInd w:val="0"/>
        <w:snapToGrid w:val="0"/>
        <w:spacing w:before="62" w:beforeLines="20" w:after="62" w:afterLines="20" w:line="480" w:lineRule="auto"/>
        <w:ind w:left="145" w:leftChars="69" w:firstLine="1205" w:firstLineChars="500"/>
        <w:rPr>
          <w:rFonts w:ascii="宋体" w:hAnsi="宋体" w:cs="宋体"/>
          <w:b/>
          <w:bCs/>
          <w:highlight w:val="none"/>
          <w:u w:val="single"/>
        </w:rPr>
      </w:pPr>
      <w:r>
        <w:rPr>
          <w:rFonts w:hint="eastAsia" w:ascii="宋体" w:hAnsi="宋体" w:cs="宋体"/>
          <w:b/>
          <w:bCs/>
          <w:highlight w:val="none"/>
        </w:rPr>
        <w:t>投 标 人：</w:t>
      </w:r>
      <w:r>
        <w:rPr>
          <w:rFonts w:hint="eastAsia" w:ascii="宋体" w:hAnsi="宋体" w:cs="宋体"/>
          <w:b/>
          <w:bCs/>
          <w:highlight w:val="none"/>
          <w:u w:val="single"/>
        </w:rPr>
        <w:t xml:space="preserve">                   （盖公章）                      </w:t>
      </w:r>
    </w:p>
    <w:p w14:paraId="443696AE">
      <w:pPr>
        <w:pStyle w:val="18"/>
        <w:adjustRightInd w:val="0"/>
        <w:snapToGrid w:val="0"/>
        <w:spacing w:before="62" w:beforeLines="20" w:after="62" w:afterLines="20" w:line="480" w:lineRule="auto"/>
        <w:ind w:left="147" w:leftChars="70" w:firstLine="1205" w:firstLineChars="500"/>
        <w:rPr>
          <w:rFonts w:ascii="宋体" w:hAnsi="宋体" w:cs="宋体"/>
          <w:b/>
          <w:highlight w:val="none"/>
        </w:rPr>
      </w:pPr>
      <w:r>
        <w:rPr>
          <w:rFonts w:hint="eastAsia" w:ascii="宋体" w:hAnsi="宋体" w:cs="宋体"/>
          <w:b/>
          <w:bCs/>
          <w:highlight w:val="none"/>
        </w:rPr>
        <w:t>法定代表人或其委托代理人：</w:t>
      </w:r>
      <w:r>
        <w:rPr>
          <w:rFonts w:hint="eastAsia" w:ascii="宋体" w:hAnsi="宋体" w:cs="宋体"/>
          <w:b/>
          <w:bCs/>
          <w:highlight w:val="none"/>
          <w:u w:val="single"/>
        </w:rPr>
        <w:t xml:space="preserve">         （签字或盖章）          </w:t>
      </w:r>
    </w:p>
    <w:p w14:paraId="6FF9C2FD">
      <w:pPr>
        <w:pStyle w:val="22"/>
        <w:snapToGrid w:val="0"/>
        <w:spacing w:line="480" w:lineRule="auto"/>
        <w:ind w:left="1470" w:right="1470"/>
        <w:jc w:val="center"/>
        <w:rPr>
          <w:rFonts w:hAnsi="宋体" w:cs="宋体"/>
          <w:b/>
          <w:sz w:val="24"/>
          <w:szCs w:val="24"/>
          <w:highlight w:val="none"/>
        </w:rPr>
      </w:pPr>
      <w:r>
        <w:rPr>
          <w:rFonts w:hint="eastAsia" w:hAnsi="宋体" w:cs="宋体"/>
          <w:b/>
          <w:sz w:val="24"/>
          <w:highlight w:val="none"/>
        </w:rPr>
        <w:t>日  期：</w:t>
      </w:r>
      <w:r>
        <w:rPr>
          <w:rFonts w:hint="eastAsia" w:hAnsi="宋体" w:cs="宋体"/>
          <w:b/>
          <w:sz w:val="24"/>
          <w:highlight w:val="none"/>
          <w:u w:val="single"/>
        </w:rPr>
        <w:t xml:space="preserve">      </w:t>
      </w:r>
      <w:r>
        <w:rPr>
          <w:rFonts w:hint="eastAsia" w:hAnsi="宋体" w:cs="宋体"/>
          <w:b/>
          <w:sz w:val="24"/>
          <w:highlight w:val="none"/>
        </w:rPr>
        <w:t xml:space="preserve"> 年</w:t>
      </w:r>
      <w:r>
        <w:rPr>
          <w:rFonts w:hint="eastAsia" w:hAnsi="宋体" w:cs="宋体"/>
          <w:b/>
          <w:sz w:val="24"/>
          <w:highlight w:val="none"/>
          <w:u w:val="single"/>
        </w:rPr>
        <w:t xml:space="preserve">     </w:t>
      </w:r>
      <w:r>
        <w:rPr>
          <w:rFonts w:hint="eastAsia" w:hAnsi="宋体" w:cs="宋体"/>
          <w:b/>
          <w:sz w:val="24"/>
          <w:highlight w:val="none"/>
        </w:rPr>
        <w:t xml:space="preserve"> 月</w:t>
      </w:r>
      <w:r>
        <w:rPr>
          <w:rFonts w:hint="eastAsia" w:hAnsi="宋体" w:cs="宋体"/>
          <w:b/>
          <w:sz w:val="24"/>
          <w:highlight w:val="none"/>
          <w:u w:val="single"/>
        </w:rPr>
        <w:t xml:space="preserve">     </w:t>
      </w:r>
      <w:r>
        <w:rPr>
          <w:rFonts w:hint="eastAsia" w:hAnsi="宋体" w:cs="宋体"/>
          <w:b/>
          <w:sz w:val="24"/>
          <w:highlight w:val="none"/>
        </w:rPr>
        <w:t>日</w:t>
      </w:r>
    </w:p>
    <w:p w14:paraId="7CE988A0">
      <w:pPr>
        <w:pStyle w:val="89"/>
        <w:wordWrap/>
        <w:snapToGrid w:val="0"/>
        <w:spacing w:line="360" w:lineRule="auto"/>
        <w:ind w:firstLine="0" w:firstLineChars="0"/>
        <w:jc w:val="center"/>
        <w:textAlignment w:val="auto"/>
        <w:rPr>
          <w:rFonts w:hint="eastAsia" w:ascii="宋体" w:hAnsi="宋体" w:cs="宋体"/>
          <w:color w:val="auto"/>
          <w:highlight w:val="none"/>
        </w:rPr>
      </w:pPr>
    </w:p>
    <w:p w14:paraId="0606F215">
      <w:pPr>
        <w:pStyle w:val="89"/>
        <w:wordWrap/>
        <w:snapToGrid w:val="0"/>
        <w:spacing w:line="360" w:lineRule="auto"/>
        <w:ind w:firstLine="0" w:firstLineChars="0"/>
        <w:jc w:val="center"/>
        <w:textAlignment w:val="auto"/>
        <w:rPr>
          <w:rFonts w:hint="eastAsia" w:ascii="宋体" w:hAnsi="宋体" w:cs="宋体"/>
          <w:color w:val="auto"/>
          <w:highlight w:val="none"/>
        </w:rPr>
      </w:pPr>
    </w:p>
    <w:p w14:paraId="54C6C59A">
      <w:pPr>
        <w:pStyle w:val="89"/>
        <w:wordWrap/>
        <w:snapToGrid w:val="0"/>
        <w:spacing w:line="360" w:lineRule="auto"/>
        <w:ind w:firstLine="0" w:firstLineChars="0"/>
        <w:jc w:val="center"/>
        <w:textAlignment w:val="auto"/>
        <w:rPr>
          <w:rFonts w:hint="eastAsia" w:ascii="宋体" w:hAnsi="宋体" w:cs="宋体"/>
          <w:color w:val="auto"/>
          <w:highlight w:val="none"/>
        </w:rPr>
      </w:pPr>
    </w:p>
    <w:p w14:paraId="4002B960">
      <w:pPr>
        <w:pStyle w:val="89"/>
        <w:wordWrap/>
        <w:snapToGrid w:val="0"/>
        <w:spacing w:line="360" w:lineRule="auto"/>
        <w:ind w:firstLine="0" w:firstLineChars="0"/>
        <w:jc w:val="center"/>
        <w:textAlignment w:val="auto"/>
        <w:rPr>
          <w:rFonts w:hint="eastAsia" w:ascii="宋体" w:hAnsi="宋体" w:cs="宋体"/>
          <w:color w:val="auto"/>
          <w:highlight w:val="none"/>
        </w:rPr>
      </w:pPr>
    </w:p>
    <w:p w14:paraId="6392F39F">
      <w:pPr>
        <w:pStyle w:val="89"/>
        <w:wordWrap/>
        <w:snapToGrid w:val="0"/>
        <w:spacing w:line="360" w:lineRule="auto"/>
        <w:ind w:firstLine="0" w:firstLineChars="0"/>
        <w:jc w:val="center"/>
        <w:textAlignment w:val="auto"/>
        <w:rPr>
          <w:rFonts w:hint="eastAsia" w:ascii="宋体" w:hAnsi="宋体" w:cs="宋体"/>
          <w:color w:val="auto"/>
          <w:highlight w:val="none"/>
        </w:rPr>
      </w:pPr>
    </w:p>
    <w:p w14:paraId="0E52EB79">
      <w:pPr>
        <w:pStyle w:val="89"/>
        <w:wordWrap/>
        <w:snapToGrid w:val="0"/>
        <w:spacing w:line="360" w:lineRule="auto"/>
        <w:ind w:firstLine="0" w:firstLineChars="0"/>
        <w:jc w:val="center"/>
        <w:textAlignment w:val="auto"/>
        <w:rPr>
          <w:rFonts w:hint="eastAsia" w:ascii="宋体" w:hAnsi="宋体" w:cs="宋体"/>
          <w:color w:val="auto"/>
          <w:highlight w:val="none"/>
        </w:rPr>
      </w:pPr>
    </w:p>
    <w:p w14:paraId="61781B5C">
      <w:pPr>
        <w:pStyle w:val="89"/>
        <w:wordWrap/>
        <w:snapToGrid w:val="0"/>
        <w:spacing w:line="360" w:lineRule="auto"/>
        <w:ind w:firstLine="0" w:firstLineChars="0"/>
        <w:jc w:val="center"/>
        <w:textAlignment w:val="auto"/>
        <w:rPr>
          <w:rFonts w:hint="eastAsia" w:ascii="宋体" w:hAnsi="宋体" w:cs="宋体"/>
          <w:color w:val="auto"/>
          <w:highlight w:val="none"/>
        </w:rPr>
      </w:pPr>
      <w:r>
        <w:rPr>
          <w:rFonts w:hint="eastAsia" w:ascii="宋体" w:hAnsi="宋体" w:cs="宋体"/>
          <w:color w:val="auto"/>
          <w:highlight w:val="none"/>
          <w:lang w:eastAsia="zh-CN"/>
        </w:rPr>
        <w:t>（</w:t>
      </w:r>
      <w:r>
        <w:rPr>
          <w:rFonts w:hint="eastAsia" w:ascii="宋体" w:hAnsi="宋体" w:cs="宋体"/>
          <w:color w:val="auto"/>
          <w:highlight w:val="none"/>
          <w:lang w:val="en-US" w:eastAsia="zh-CN"/>
        </w:rPr>
        <w:t>一</w:t>
      </w:r>
      <w:r>
        <w:rPr>
          <w:rFonts w:hint="eastAsia" w:ascii="宋体" w:hAnsi="宋体" w:cs="宋体"/>
          <w:color w:val="auto"/>
          <w:highlight w:val="none"/>
          <w:lang w:eastAsia="zh-CN"/>
        </w:rPr>
        <w:t>）</w:t>
      </w:r>
      <w:r>
        <w:rPr>
          <w:rFonts w:hint="eastAsia" w:ascii="宋体" w:hAnsi="宋体" w:cs="宋体"/>
          <w:color w:val="auto"/>
          <w:highlight w:val="none"/>
          <w:lang w:val="en-US" w:eastAsia="zh-CN"/>
        </w:rPr>
        <w:t>.</w:t>
      </w:r>
      <w:r>
        <w:rPr>
          <w:rFonts w:hint="eastAsia" w:ascii="宋体" w:hAnsi="宋体" w:cs="宋体"/>
          <w:color w:val="auto"/>
          <w:highlight w:val="none"/>
        </w:rPr>
        <w:t>投标报价表</w:t>
      </w:r>
    </w:p>
    <w:p w14:paraId="3B975DAF">
      <w:pPr>
        <w:wordWrap/>
        <w:snapToGrid w:val="0"/>
        <w:spacing w:line="360" w:lineRule="auto"/>
        <w:ind w:firstLine="480" w:firstLineChars="200"/>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根据招标文件要求可以自行调整，包括但不限于以下内容</w:t>
      </w:r>
      <w:r>
        <w:rPr>
          <w:rFonts w:hint="eastAsia" w:ascii="宋体" w:hAnsi="宋体" w:eastAsia="宋体" w:cs="宋体"/>
          <w:color w:val="auto"/>
          <w:sz w:val="24"/>
          <w:highlight w:val="none"/>
          <w:lang w:eastAsia="zh-CN"/>
        </w:rPr>
        <w:t>：</w:t>
      </w:r>
    </w:p>
    <w:p w14:paraId="4B5407D2">
      <w:pPr>
        <w:pStyle w:val="12"/>
        <w:ind w:left="0" w:leftChars="0" w:firstLine="482" w:firstLineChars="200"/>
        <w:rPr>
          <w:rFonts w:hint="eastAsia" w:ascii="宋体" w:hAnsi="宋体" w:eastAsia="宋体" w:cs="宋体"/>
          <w:color w:val="auto"/>
          <w:sz w:val="24"/>
          <w:highlight w:val="none"/>
          <w:lang w:eastAsia="zh-CN"/>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1</w:t>
      </w:r>
      <w:r>
        <w:rPr>
          <w:rFonts w:hint="eastAsia" w:ascii="宋体" w:hAnsi="宋体" w:eastAsia="宋体" w:cs="宋体"/>
          <w:b/>
          <w:bCs/>
          <w:color w:val="auto"/>
          <w:sz w:val="24"/>
          <w:highlight w:val="none"/>
          <w:lang w:eastAsia="zh-CN"/>
        </w:rPr>
        <w:t>）套餐一</w:t>
      </w:r>
      <w:r>
        <w:rPr>
          <w:rFonts w:hint="eastAsia" w:ascii="宋体" w:hAnsi="宋体" w:eastAsia="宋体" w:cs="宋体"/>
          <w:b/>
          <w:bCs/>
          <w:color w:val="auto"/>
          <w:sz w:val="24"/>
          <w:highlight w:val="none"/>
          <w:lang w:val="en-US" w:eastAsia="zh-CN"/>
        </w:rPr>
        <w:t>（固定价格套餐）</w:t>
      </w:r>
      <w:r>
        <w:rPr>
          <w:rFonts w:hint="eastAsia" w:ascii="宋体" w:hAnsi="宋体" w:eastAsia="宋体" w:cs="宋体"/>
          <w:b/>
          <w:bCs/>
          <w:color w:val="auto"/>
          <w:sz w:val="24"/>
          <w:highlight w:val="none"/>
          <w:lang w:eastAsia="zh-CN"/>
        </w:rPr>
        <w:t>“固定价格报价</w:t>
      </w:r>
      <w:r>
        <w:rPr>
          <w:rFonts w:hint="eastAsia" w:ascii="宋体" w:hAnsi="宋体" w:cs="宋体"/>
          <w:b/>
          <w:bCs/>
          <w:color w:val="auto"/>
          <w:sz w:val="24"/>
          <w:highlight w:val="none"/>
          <w:lang w:val="en-US" w:eastAsia="zh-CN"/>
        </w:rPr>
        <w:t>表</w:t>
      </w:r>
      <w:r>
        <w:rPr>
          <w:rFonts w:hint="eastAsia" w:ascii="宋体" w:hAnsi="宋体" w:eastAsia="宋体" w:cs="宋体"/>
          <w:b/>
          <w:bCs/>
          <w:color w:val="auto"/>
          <w:sz w:val="24"/>
          <w:highlight w:val="none"/>
          <w:lang w:eastAsia="zh-CN"/>
        </w:rPr>
        <w:t>”：</w:t>
      </w:r>
    </w:p>
    <w:p w14:paraId="4A260073">
      <w:pPr>
        <w:pStyle w:val="12"/>
        <w:rPr>
          <w:rFonts w:hint="eastAsia" w:ascii="宋体" w:hAnsi="宋体" w:eastAsia="宋体" w:cs="宋体"/>
          <w:color w:val="auto"/>
          <w:sz w:val="24"/>
          <w:highlight w:val="none"/>
          <w:lang w:eastAsia="zh-CN"/>
        </w:rPr>
      </w:pPr>
    </w:p>
    <w:tbl>
      <w:tblPr>
        <w:tblStyle w:val="33"/>
        <w:tblW w:w="9891"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25"/>
        <w:gridCol w:w="6966"/>
      </w:tblGrid>
      <w:tr w14:paraId="55BF3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5" w:type="dxa"/>
          </w:tcPr>
          <w:p w14:paraId="4FE7946C">
            <w:pPr>
              <w:pStyle w:val="28"/>
              <w:jc w:val="both"/>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时段</w:t>
            </w:r>
          </w:p>
        </w:tc>
        <w:tc>
          <w:tcPr>
            <w:tcW w:w="6966" w:type="dxa"/>
          </w:tcPr>
          <w:p w14:paraId="62497C1B">
            <w:pPr>
              <w:pStyle w:val="28"/>
              <w:jc w:val="center"/>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1-24时</w:t>
            </w:r>
          </w:p>
        </w:tc>
      </w:tr>
      <w:tr w14:paraId="1504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5" w:type="dxa"/>
          </w:tcPr>
          <w:p w14:paraId="6AE417C3">
            <w:pPr>
              <w:pStyle w:val="28"/>
              <w:jc w:val="both"/>
              <w:rPr>
                <w:rFonts w:hint="default" w:ascii="宋体" w:hAnsi="宋体" w:eastAsia="宋体" w:cs="宋体"/>
                <w:color w:val="auto"/>
                <w:sz w:val="24"/>
                <w:highlight w:val="none"/>
                <w:vertAlign w:val="baseline"/>
                <w:lang w:val="en-US" w:eastAsia="zh-CN"/>
              </w:rPr>
            </w:pPr>
            <w:r>
              <w:rPr>
                <w:rFonts w:hint="eastAsia" w:ascii="宋体" w:hAnsi="宋体" w:eastAsia="宋体" w:cs="宋体"/>
                <w:color w:val="auto"/>
                <w:sz w:val="24"/>
                <w:highlight w:val="none"/>
                <w:vertAlign w:val="baseline"/>
                <w:lang w:val="en-US" w:eastAsia="zh-CN"/>
              </w:rPr>
              <w:t>固定价格（元/兆瓦时）</w:t>
            </w:r>
          </w:p>
        </w:tc>
        <w:tc>
          <w:tcPr>
            <w:tcW w:w="6966" w:type="dxa"/>
            <w:vAlign w:val="center"/>
          </w:tcPr>
          <w:p w14:paraId="1C48F4EA">
            <w:pPr>
              <w:pStyle w:val="28"/>
              <w:jc w:val="center"/>
              <w:rPr>
                <w:rFonts w:hint="eastAsia" w:ascii="宋体" w:hAnsi="宋体" w:eastAsia="宋体" w:cs="宋体"/>
                <w:color w:val="auto"/>
                <w:sz w:val="24"/>
                <w:highlight w:val="none"/>
                <w:vertAlign w:val="baseline"/>
                <w:lang w:eastAsia="zh-CN"/>
              </w:rPr>
            </w:pPr>
            <w:r>
              <w:rPr>
                <w:rFonts w:hint="eastAsia" w:ascii="宋体" w:hAnsi="宋体" w:eastAsia="宋体" w:cs="宋体"/>
                <w:color w:val="auto"/>
                <w:sz w:val="24"/>
                <w:highlight w:val="none"/>
                <w:u w:val="single"/>
                <w:vertAlign w:val="baseline"/>
                <w:lang w:val="en-US" w:eastAsia="zh-CN"/>
              </w:rPr>
              <w:t xml:space="preserve">         </w:t>
            </w:r>
            <w:r>
              <w:rPr>
                <w:rFonts w:hint="eastAsia" w:ascii="宋体" w:hAnsi="宋体" w:eastAsia="宋体" w:cs="宋体"/>
                <w:color w:val="auto"/>
                <w:sz w:val="24"/>
                <w:highlight w:val="none"/>
                <w:vertAlign w:val="baseline"/>
                <w:lang w:val="en-US" w:eastAsia="zh-CN"/>
              </w:rPr>
              <w:t>（元/兆瓦时）</w:t>
            </w:r>
          </w:p>
        </w:tc>
      </w:tr>
    </w:tbl>
    <w:p w14:paraId="15A2B608">
      <w:pPr>
        <w:pStyle w:val="28"/>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注：1.本报价为套餐一（固定价格套餐） 1-24 时固定价格；</w:t>
      </w:r>
    </w:p>
    <w:p w14:paraId="6243B33D">
      <w:pPr>
        <w:pStyle w:val="28"/>
        <w:rPr>
          <w:rFonts w:hint="eastAsia" w:ascii="宋体" w:hAnsi="宋体" w:eastAsia="宋体" w:cs="宋体"/>
          <w:b/>
          <w:bCs/>
          <w:color w:val="auto"/>
          <w:sz w:val="24"/>
          <w:highlight w:val="none"/>
          <w:lang w:val="en-US" w:eastAsia="zh-CN"/>
        </w:rPr>
      </w:pPr>
      <w:r>
        <w:rPr>
          <w:rFonts w:hint="default" w:ascii="宋体" w:hAnsi="宋体" w:eastAsia="宋体" w:cs="宋体"/>
          <w:b/>
          <w:bCs/>
          <w:color w:val="auto"/>
          <w:sz w:val="24"/>
          <w:highlight w:val="none"/>
          <w:lang w:val="en-US" w:eastAsia="zh-CN"/>
        </w:rPr>
        <w:t>2. 固定价格投标限价</w:t>
      </w:r>
      <w:r>
        <w:rPr>
          <w:rFonts w:hint="default" w:ascii="宋体" w:hAnsi="宋体" w:eastAsia="宋体" w:cs="宋体"/>
          <w:b/>
          <w:bCs/>
          <w:color w:val="auto"/>
          <w:sz w:val="24"/>
          <w:highlight w:val="none"/>
          <w:u w:val="single"/>
          <w:lang w:val="en-US" w:eastAsia="zh-CN"/>
        </w:rPr>
        <w:t>0.389元/千瓦时</w:t>
      </w:r>
      <w:r>
        <w:rPr>
          <w:rFonts w:hint="eastAsia" w:ascii="宋体" w:hAnsi="宋体" w:eastAsia="宋体" w:cs="宋体"/>
          <w:b/>
          <w:bCs/>
          <w:color w:val="auto"/>
          <w:sz w:val="24"/>
          <w:highlight w:val="none"/>
          <w:lang w:val="en-US" w:eastAsia="zh-CN"/>
        </w:rPr>
        <w:t>，保留至小数点后三位</w:t>
      </w:r>
      <w:r>
        <w:rPr>
          <w:rFonts w:hint="default" w:ascii="宋体" w:hAnsi="宋体" w:eastAsia="宋体" w:cs="宋体"/>
          <w:b/>
          <w:bCs/>
          <w:color w:val="auto"/>
          <w:sz w:val="24"/>
          <w:highlight w:val="none"/>
          <w:lang w:val="en-US" w:eastAsia="zh-CN"/>
        </w:rPr>
        <w:t>；</w:t>
      </w:r>
    </w:p>
    <w:p w14:paraId="1B44FDAC">
      <w:pPr>
        <w:pStyle w:val="28"/>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3.套餐一报价高于最高投标限价的95%或低于最高投标限价的85%不推荐为本项目中标候选人。</w:t>
      </w:r>
    </w:p>
    <w:p w14:paraId="079CC699">
      <w:pPr>
        <w:pStyle w:val="28"/>
        <w:rPr>
          <w:rFonts w:hint="eastAsia" w:ascii="宋体" w:hAnsi="宋体" w:eastAsia="宋体" w:cs="宋体"/>
          <w:color w:val="auto"/>
          <w:sz w:val="24"/>
          <w:highlight w:val="none"/>
          <w:lang w:eastAsia="zh-CN"/>
        </w:rPr>
      </w:pPr>
    </w:p>
    <w:p w14:paraId="148FCCF6">
      <w:pPr>
        <w:pStyle w:val="28"/>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lang w:eastAsia="zh-CN"/>
        </w:rPr>
        <w:t>）套餐</w:t>
      </w:r>
      <w:r>
        <w:rPr>
          <w:rFonts w:hint="eastAsia" w:ascii="宋体" w:hAnsi="宋体" w:eastAsia="宋体" w:cs="宋体"/>
          <w:b/>
          <w:bCs/>
          <w:color w:val="auto"/>
          <w:sz w:val="24"/>
          <w:highlight w:val="none"/>
          <w:lang w:val="en-US" w:eastAsia="zh-CN"/>
        </w:rPr>
        <w:t>二（(市场均价+浮动价格套餐）</w:t>
      </w:r>
      <w:r>
        <w:rPr>
          <w:rFonts w:hint="eastAsia" w:ascii="宋体" w:hAnsi="宋体" w:eastAsia="宋体" w:cs="宋体"/>
          <w:b/>
          <w:bCs/>
          <w:color w:val="auto"/>
          <w:sz w:val="24"/>
          <w:highlight w:val="none"/>
          <w:lang w:eastAsia="zh-CN"/>
        </w:rPr>
        <w:t>“</w:t>
      </w:r>
      <w:r>
        <w:rPr>
          <w:rFonts w:hint="eastAsia" w:ascii="宋体" w:hAnsi="宋体" w:eastAsia="宋体" w:cs="宋体"/>
          <w:b/>
          <w:bCs/>
          <w:color w:val="auto"/>
          <w:sz w:val="24"/>
          <w:highlight w:val="none"/>
          <w:lang w:val="en-US" w:eastAsia="zh-CN"/>
        </w:rPr>
        <w:t>浮动价格报价表</w:t>
      </w:r>
      <w:r>
        <w:rPr>
          <w:rFonts w:hint="eastAsia" w:ascii="宋体" w:hAnsi="宋体" w:eastAsia="宋体" w:cs="宋体"/>
          <w:b/>
          <w:bCs/>
          <w:color w:val="auto"/>
          <w:sz w:val="24"/>
          <w:highlight w:val="none"/>
          <w:lang w:eastAsia="zh-CN"/>
        </w:rPr>
        <w:t>”：</w:t>
      </w:r>
    </w:p>
    <w:tbl>
      <w:tblPr>
        <w:tblStyle w:val="32"/>
        <w:tblW w:w="9866" w:type="dxa"/>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3480"/>
        <w:gridCol w:w="1041"/>
        <w:gridCol w:w="2853"/>
        <w:gridCol w:w="1681"/>
      </w:tblGrid>
      <w:tr w14:paraId="1E07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811" w:type="dxa"/>
            <w:vAlign w:val="center"/>
          </w:tcPr>
          <w:p w14:paraId="16EA6554">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3480" w:type="dxa"/>
            <w:vAlign w:val="center"/>
          </w:tcPr>
          <w:p w14:paraId="3ECD38F1">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浮动价格投标限价</w:t>
            </w:r>
          </w:p>
        </w:tc>
        <w:tc>
          <w:tcPr>
            <w:tcW w:w="1041" w:type="dxa"/>
            <w:vAlign w:val="center"/>
          </w:tcPr>
          <w:p w14:paraId="14F9D572">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数量</w:t>
            </w:r>
          </w:p>
        </w:tc>
        <w:tc>
          <w:tcPr>
            <w:tcW w:w="2853" w:type="dxa"/>
            <w:vAlign w:val="center"/>
          </w:tcPr>
          <w:p w14:paraId="5EB7CC6B">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浮动价格投标报价</w:t>
            </w:r>
          </w:p>
          <w:p w14:paraId="0663F9B4">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vertAlign w:val="baseline"/>
                <w:lang w:val="en-US" w:eastAsia="zh-CN"/>
              </w:rPr>
              <w:t>（元/兆瓦时）</w:t>
            </w:r>
          </w:p>
        </w:tc>
        <w:tc>
          <w:tcPr>
            <w:tcW w:w="1681" w:type="dxa"/>
            <w:vAlign w:val="center"/>
          </w:tcPr>
          <w:p w14:paraId="770BCE02">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备注/说明</w:t>
            </w:r>
          </w:p>
        </w:tc>
      </w:tr>
      <w:tr w14:paraId="1410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trPr>
        <w:tc>
          <w:tcPr>
            <w:tcW w:w="811" w:type="dxa"/>
            <w:vAlign w:val="center"/>
          </w:tcPr>
          <w:p w14:paraId="74FC4621">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3480" w:type="dxa"/>
            <w:vAlign w:val="center"/>
          </w:tcPr>
          <w:p w14:paraId="0CF53EC1">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0元/兆瓦时</w:t>
            </w:r>
          </w:p>
        </w:tc>
        <w:tc>
          <w:tcPr>
            <w:tcW w:w="1041" w:type="dxa"/>
            <w:vAlign w:val="center"/>
          </w:tcPr>
          <w:p w14:paraId="6BD354BE">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1项</w:t>
            </w:r>
          </w:p>
        </w:tc>
        <w:tc>
          <w:tcPr>
            <w:tcW w:w="2853" w:type="dxa"/>
            <w:vAlign w:val="center"/>
          </w:tcPr>
          <w:p w14:paraId="6CB3757D">
            <w:pPr>
              <w:snapToGrid w:val="0"/>
              <w:spacing w:line="360" w:lineRule="auto"/>
              <w:jc w:val="both"/>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none"/>
                <w:lang w:val="en-US" w:eastAsia="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vertAlign w:val="baseline"/>
                <w:lang w:val="en-US" w:eastAsia="zh-CN"/>
              </w:rPr>
              <w:t>（元/兆瓦时）</w:t>
            </w:r>
          </w:p>
        </w:tc>
        <w:tc>
          <w:tcPr>
            <w:tcW w:w="1681" w:type="dxa"/>
            <w:vAlign w:val="center"/>
          </w:tcPr>
          <w:p w14:paraId="46FA5488">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b/>
                <w:bCs/>
                <w:color w:val="auto"/>
                <w:sz w:val="24"/>
                <w:highlight w:val="none"/>
                <w:lang w:val="en-US" w:eastAsia="zh-CN"/>
              </w:rPr>
              <w:t>浮动价格不可高于</w:t>
            </w:r>
            <w:r>
              <w:rPr>
                <w:rFonts w:hint="eastAsia" w:ascii="宋体" w:hAnsi="宋体" w:eastAsia="宋体" w:cs="宋体"/>
                <w:b/>
                <w:bCs/>
                <w:color w:val="auto"/>
                <w:sz w:val="24"/>
                <w:highlight w:val="none"/>
                <w:u w:val="single"/>
                <w:lang w:val="en-US" w:eastAsia="zh-CN"/>
              </w:rPr>
              <w:t>0</w:t>
            </w:r>
            <w:r>
              <w:rPr>
                <w:rFonts w:hint="eastAsia" w:ascii="宋体" w:hAnsi="宋体" w:eastAsia="宋体" w:cs="宋体"/>
                <w:b/>
                <w:bCs/>
                <w:color w:val="auto"/>
                <w:sz w:val="24"/>
                <w:highlight w:val="none"/>
                <w:u w:val="single"/>
                <w:vertAlign w:val="baseline"/>
                <w:lang w:val="en-US" w:eastAsia="zh-CN"/>
              </w:rPr>
              <w:t>元/兆瓦时</w:t>
            </w:r>
          </w:p>
        </w:tc>
      </w:tr>
    </w:tbl>
    <w:p w14:paraId="24DE64EF">
      <w:pPr>
        <w:pStyle w:val="28"/>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注：1.本报价为套餐二浮动价格固定价格；</w:t>
      </w:r>
    </w:p>
    <w:p w14:paraId="7B67B6AC">
      <w:pPr>
        <w:pStyle w:val="28"/>
        <w:rPr>
          <w:rFonts w:hint="eastAsia" w:ascii="宋体" w:hAnsi="宋体" w:eastAsia="宋体" w:cs="宋体"/>
          <w:b/>
          <w:bCs/>
          <w:color w:val="auto"/>
          <w:sz w:val="24"/>
          <w:highlight w:val="none"/>
          <w:lang w:val="en-US" w:eastAsia="zh-CN"/>
        </w:rPr>
      </w:pPr>
      <w:r>
        <w:rPr>
          <w:rFonts w:hint="default" w:ascii="宋体" w:hAnsi="宋体" w:eastAsia="宋体" w:cs="宋体"/>
          <w:b/>
          <w:bCs/>
          <w:color w:val="auto"/>
          <w:sz w:val="24"/>
          <w:highlight w:val="none"/>
          <w:lang w:val="en-US" w:eastAsia="zh-CN"/>
        </w:rPr>
        <w:t>2. 浮动价格</w:t>
      </w:r>
      <w:r>
        <w:rPr>
          <w:rFonts w:hint="eastAsia" w:ascii="宋体" w:hAnsi="宋体" w:eastAsia="宋体" w:cs="宋体"/>
          <w:b/>
          <w:bCs/>
          <w:color w:val="auto"/>
          <w:sz w:val="24"/>
          <w:highlight w:val="none"/>
          <w:lang w:val="en-US" w:eastAsia="zh-CN"/>
        </w:rPr>
        <w:t>投标限价</w:t>
      </w:r>
      <w:r>
        <w:rPr>
          <w:rFonts w:hint="default" w:ascii="宋体" w:hAnsi="宋体" w:eastAsia="宋体" w:cs="宋体"/>
          <w:b/>
          <w:bCs/>
          <w:color w:val="auto"/>
          <w:sz w:val="24"/>
          <w:highlight w:val="none"/>
          <w:u w:val="single"/>
          <w:lang w:val="en-US" w:eastAsia="zh-CN"/>
        </w:rPr>
        <w:t>0元/兆瓦时</w:t>
      </w:r>
      <w:r>
        <w:rPr>
          <w:rFonts w:hint="eastAsia" w:ascii="宋体" w:hAnsi="宋体" w:eastAsia="宋体" w:cs="宋体"/>
          <w:b/>
          <w:bCs/>
          <w:color w:val="auto"/>
          <w:sz w:val="24"/>
          <w:highlight w:val="none"/>
          <w:lang w:val="en-US" w:eastAsia="zh-CN"/>
        </w:rPr>
        <w:t>，</w:t>
      </w:r>
      <w:r>
        <w:rPr>
          <w:rFonts w:hint="default" w:ascii="宋体" w:hAnsi="宋体" w:eastAsia="宋体" w:cs="宋体"/>
          <w:b/>
          <w:bCs/>
          <w:color w:val="auto"/>
          <w:sz w:val="24"/>
          <w:highlight w:val="none"/>
          <w:lang w:val="en-US" w:eastAsia="zh-CN"/>
        </w:rPr>
        <w:t>保留至小数点后</w:t>
      </w:r>
      <w:r>
        <w:rPr>
          <w:rFonts w:hint="eastAsia" w:ascii="宋体" w:hAnsi="宋体" w:eastAsia="宋体" w:cs="宋体"/>
          <w:b/>
          <w:bCs/>
          <w:color w:val="auto"/>
          <w:sz w:val="24"/>
          <w:highlight w:val="none"/>
          <w:lang w:val="en-US" w:eastAsia="zh-CN"/>
        </w:rPr>
        <w:t>三</w:t>
      </w:r>
      <w:r>
        <w:rPr>
          <w:rFonts w:hint="default" w:ascii="宋体" w:hAnsi="宋体" w:eastAsia="宋体" w:cs="宋体"/>
          <w:b/>
          <w:bCs/>
          <w:color w:val="auto"/>
          <w:sz w:val="24"/>
          <w:highlight w:val="none"/>
          <w:lang w:val="en-US" w:eastAsia="zh-CN"/>
        </w:rPr>
        <w:t>位；</w:t>
      </w:r>
    </w:p>
    <w:p w14:paraId="5A77219A">
      <w:pPr>
        <w:pStyle w:val="28"/>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3.套餐一和套餐二在本次服务招标中占比各为50%。</w:t>
      </w:r>
    </w:p>
    <w:p w14:paraId="6D8D4C71">
      <w:pPr>
        <w:snapToGrid w:val="0"/>
        <w:spacing w:line="360" w:lineRule="auto"/>
        <w:ind w:right="560"/>
        <w:rPr>
          <w:rFonts w:hint="eastAsia" w:ascii="宋体" w:hAnsi="宋体" w:eastAsia="宋体" w:cs="宋体"/>
          <w:b/>
          <w:bCs/>
          <w:color w:val="auto"/>
          <w:kern w:val="0"/>
          <w:sz w:val="24"/>
          <w:szCs w:val="24"/>
          <w:highlight w:val="none"/>
          <w:lang w:val="en-US" w:eastAsia="zh-CN" w:bidi="ar"/>
        </w:rPr>
      </w:pPr>
    </w:p>
    <w:p w14:paraId="31DD6E70">
      <w:pPr>
        <w:snapToGrid w:val="0"/>
        <w:spacing w:line="360" w:lineRule="auto"/>
        <w:ind w:right="560"/>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特别说明：投标人报价应考虑</w:t>
      </w:r>
    </w:p>
    <w:p w14:paraId="4BB8A937">
      <w:pPr>
        <w:snapToGrid w:val="0"/>
        <w:spacing w:line="360" w:lineRule="auto"/>
        <w:ind w:right="560" w:firstLine="482" w:firstLineChars="200"/>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1.本项目“成交电价”仅指售电公司代理用户参与市场化交易的电价，不含上网环节线损费、输配电费、系统运行费、政府性基金及附加等；</w:t>
      </w:r>
    </w:p>
    <w:p w14:paraId="4E55BD90">
      <w:pPr>
        <w:snapToGrid w:val="0"/>
        <w:spacing w:line="360" w:lineRule="auto"/>
        <w:ind w:right="560" w:firstLine="482" w:firstLineChars="200"/>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2.招标人实际结算购电费用，需在上述成交电价基础上，叠加上述各项未包含的费用。</w:t>
      </w:r>
    </w:p>
    <w:p w14:paraId="65DB3446">
      <w:pPr>
        <w:snapToGrid w:val="0"/>
        <w:spacing w:line="360" w:lineRule="auto"/>
        <w:ind w:right="560" w:firstLine="482" w:firstLineChars="200"/>
        <w:rPr>
          <w:rFonts w:hint="default"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3.中标人应考虑合同期内市场波动及政策性费用调整的风险；招标人</w:t>
      </w:r>
      <w:r>
        <w:rPr>
          <w:rFonts w:hint="default" w:ascii="宋体" w:hAnsi="宋体" w:eastAsia="宋体" w:cs="宋体"/>
          <w:b/>
          <w:bCs/>
          <w:color w:val="auto"/>
          <w:kern w:val="0"/>
          <w:sz w:val="24"/>
          <w:szCs w:val="24"/>
          <w:highlight w:val="none"/>
          <w:lang w:val="en-US" w:eastAsia="zh-CN" w:bidi="ar"/>
        </w:rPr>
        <w:t>不向中标</w:t>
      </w:r>
      <w:r>
        <w:rPr>
          <w:rFonts w:hint="eastAsia" w:ascii="宋体" w:hAnsi="宋体" w:eastAsia="宋体" w:cs="宋体"/>
          <w:b/>
          <w:bCs/>
          <w:color w:val="auto"/>
          <w:kern w:val="0"/>
          <w:sz w:val="24"/>
          <w:szCs w:val="24"/>
          <w:highlight w:val="none"/>
          <w:lang w:val="en-US" w:eastAsia="zh-CN" w:bidi="ar"/>
        </w:rPr>
        <w:t>人</w:t>
      </w:r>
      <w:r>
        <w:rPr>
          <w:rFonts w:hint="default" w:ascii="宋体" w:hAnsi="宋体" w:eastAsia="宋体" w:cs="宋体"/>
          <w:b/>
          <w:bCs/>
          <w:color w:val="auto"/>
          <w:kern w:val="0"/>
          <w:sz w:val="24"/>
          <w:szCs w:val="24"/>
          <w:highlight w:val="none"/>
          <w:lang w:val="en-US" w:eastAsia="zh-CN" w:bidi="ar"/>
        </w:rPr>
        <w:t>支付任何约定外费用，双方另有约定的除外。</w:t>
      </w:r>
    </w:p>
    <w:p w14:paraId="642A7F6B">
      <w:pPr>
        <w:wordWrap/>
        <w:snapToGrid w:val="0"/>
        <w:spacing w:line="360" w:lineRule="auto"/>
        <w:ind w:right="560"/>
        <w:textAlignment w:val="auto"/>
        <w:rPr>
          <w:rFonts w:hint="eastAsia" w:ascii="宋体" w:hAnsi="宋体" w:cs="宋体"/>
          <w:b/>
          <w:bCs/>
          <w:color w:val="auto"/>
          <w:sz w:val="28"/>
          <w:szCs w:val="28"/>
          <w:highlight w:val="none"/>
        </w:rPr>
      </w:pPr>
    </w:p>
    <w:p w14:paraId="03BC243C">
      <w:pPr>
        <w:wordWrap/>
        <w:snapToGrid w:val="0"/>
        <w:spacing w:line="360" w:lineRule="auto"/>
        <w:ind w:right="560"/>
        <w:textAlignment w:val="auto"/>
        <w:rPr>
          <w:rFonts w:hint="eastAsia" w:ascii="宋体" w:hAnsi="宋体" w:cs="宋体"/>
          <w:b/>
          <w:bCs/>
          <w:color w:val="auto"/>
          <w:sz w:val="28"/>
          <w:szCs w:val="28"/>
          <w:highlight w:val="none"/>
        </w:rPr>
      </w:pPr>
      <w:r>
        <w:rPr>
          <w:rFonts w:hint="eastAsia" w:ascii="宋体" w:hAnsi="宋体" w:eastAsia="宋体" w:cs="宋体"/>
          <w:b/>
          <w:bCs/>
          <w:color w:val="auto"/>
          <w:sz w:val="28"/>
          <w:szCs w:val="28"/>
          <w:highlight w:val="none"/>
          <w:lang w:eastAsia="zh-CN"/>
        </w:rPr>
        <w:t>投标人盖章</w:t>
      </w:r>
      <w:r>
        <w:rPr>
          <w:rFonts w:hint="eastAsia" w:ascii="宋体" w:hAnsi="宋体" w:cs="宋体"/>
          <w:b/>
          <w:bCs/>
          <w:color w:val="auto"/>
          <w:sz w:val="28"/>
          <w:szCs w:val="28"/>
          <w:highlight w:val="none"/>
        </w:rPr>
        <w:t>：</w:t>
      </w:r>
    </w:p>
    <w:p w14:paraId="47638EFE">
      <w:pPr>
        <w:pStyle w:val="89"/>
        <w:wordWrap/>
        <w:snapToGrid w:val="0"/>
        <w:spacing w:line="360" w:lineRule="auto"/>
        <w:ind w:firstLine="0" w:firstLineChars="0"/>
        <w:textAlignment w:val="auto"/>
        <w:rPr>
          <w:rFonts w:hint="eastAsia" w:ascii="宋体" w:hAnsi="宋体" w:cs="宋体"/>
          <w:color w:val="auto"/>
          <w:highlight w:val="none"/>
        </w:rPr>
      </w:pPr>
      <w:r>
        <w:rPr>
          <w:rFonts w:hint="eastAsia" w:ascii="宋体" w:hAnsi="宋体" w:cs="宋体"/>
          <w:color w:val="auto"/>
          <w:highlight w:val="none"/>
        </w:rPr>
        <w:t>日    期：________________</w:t>
      </w:r>
    </w:p>
    <w:p w14:paraId="3A222AB3">
      <w:pPr>
        <w:pStyle w:val="22"/>
        <w:snapToGrid w:val="0"/>
        <w:spacing w:line="480" w:lineRule="auto"/>
        <w:ind w:right="1470" w:firstLine="964" w:firstLineChars="400"/>
        <w:jc w:val="left"/>
        <w:rPr>
          <w:rFonts w:hint="eastAsia" w:hAnsi="宋体"/>
          <w:b/>
          <w:sz w:val="24"/>
          <w:szCs w:val="24"/>
          <w:highlight w:val="none"/>
        </w:rPr>
      </w:pPr>
    </w:p>
    <w:p w14:paraId="18C1A6B7">
      <w:pPr>
        <w:pStyle w:val="22"/>
        <w:snapToGrid w:val="0"/>
        <w:spacing w:line="480" w:lineRule="auto"/>
        <w:ind w:right="1470" w:firstLine="964" w:firstLineChars="400"/>
        <w:jc w:val="left"/>
        <w:rPr>
          <w:rFonts w:hint="eastAsia" w:hAnsi="宋体"/>
          <w:b/>
          <w:sz w:val="24"/>
          <w:szCs w:val="24"/>
          <w:highlight w:val="none"/>
        </w:rPr>
      </w:pPr>
    </w:p>
    <w:p w14:paraId="0046467E">
      <w:pPr>
        <w:pStyle w:val="22"/>
        <w:snapToGrid w:val="0"/>
        <w:spacing w:line="480" w:lineRule="auto"/>
        <w:ind w:right="1470" w:firstLine="964" w:firstLineChars="400"/>
        <w:jc w:val="left"/>
        <w:rPr>
          <w:rFonts w:hint="eastAsia" w:hAnsi="宋体"/>
          <w:b/>
          <w:sz w:val="24"/>
          <w:szCs w:val="24"/>
          <w:highlight w:val="none"/>
        </w:rPr>
      </w:pPr>
    </w:p>
    <w:p w14:paraId="12C40A89">
      <w:pPr>
        <w:pStyle w:val="22"/>
        <w:snapToGrid w:val="0"/>
        <w:spacing w:line="480" w:lineRule="auto"/>
        <w:ind w:right="1470" w:firstLine="964" w:firstLineChars="400"/>
        <w:jc w:val="left"/>
        <w:rPr>
          <w:rFonts w:hint="eastAsia" w:hAnsi="宋体"/>
          <w:b/>
          <w:sz w:val="24"/>
          <w:szCs w:val="24"/>
          <w:highlight w:val="none"/>
        </w:rPr>
      </w:pPr>
    </w:p>
    <w:p w14:paraId="644D00C4">
      <w:pPr>
        <w:pStyle w:val="22"/>
        <w:snapToGrid w:val="0"/>
        <w:spacing w:line="480" w:lineRule="auto"/>
        <w:ind w:right="1470" w:firstLine="964" w:firstLineChars="400"/>
        <w:jc w:val="left"/>
        <w:rPr>
          <w:rFonts w:hint="eastAsia" w:hAnsi="宋体"/>
          <w:b/>
          <w:sz w:val="24"/>
          <w:szCs w:val="24"/>
          <w:highlight w:val="none"/>
        </w:rPr>
      </w:pPr>
    </w:p>
    <w:p w14:paraId="2594D142">
      <w:pPr>
        <w:pStyle w:val="22"/>
        <w:snapToGrid w:val="0"/>
        <w:spacing w:line="480" w:lineRule="auto"/>
        <w:ind w:right="1470" w:firstLine="964" w:firstLineChars="400"/>
        <w:jc w:val="left"/>
        <w:rPr>
          <w:rFonts w:hint="eastAsia" w:hAnsi="宋体"/>
          <w:b/>
          <w:sz w:val="24"/>
          <w:szCs w:val="24"/>
          <w:highlight w:val="none"/>
        </w:rPr>
      </w:pPr>
    </w:p>
    <w:p w14:paraId="76DA97B2">
      <w:pPr>
        <w:pStyle w:val="22"/>
        <w:snapToGrid w:val="0"/>
        <w:spacing w:line="480" w:lineRule="auto"/>
        <w:ind w:right="1470" w:firstLine="964" w:firstLineChars="400"/>
        <w:jc w:val="left"/>
        <w:rPr>
          <w:rFonts w:hint="eastAsia" w:hAnsi="宋体"/>
          <w:b/>
          <w:sz w:val="24"/>
          <w:szCs w:val="24"/>
          <w:highlight w:val="none"/>
        </w:rPr>
      </w:pPr>
    </w:p>
    <w:p w14:paraId="5A557C9C">
      <w:pPr>
        <w:pStyle w:val="22"/>
        <w:snapToGrid w:val="0"/>
        <w:spacing w:line="480" w:lineRule="auto"/>
        <w:ind w:right="1470" w:firstLine="964" w:firstLineChars="400"/>
        <w:jc w:val="left"/>
        <w:rPr>
          <w:rFonts w:hint="eastAsia" w:hAnsi="宋体"/>
          <w:b/>
          <w:sz w:val="24"/>
          <w:szCs w:val="24"/>
          <w:highlight w:val="none"/>
        </w:rPr>
      </w:pPr>
    </w:p>
    <w:p w14:paraId="6454EBD1">
      <w:pPr>
        <w:pStyle w:val="22"/>
        <w:snapToGrid w:val="0"/>
        <w:spacing w:line="480" w:lineRule="auto"/>
        <w:ind w:right="1470" w:firstLine="964" w:firstLineChars="400"/>
        <w:jc w:val="left"/>
        <w:rPr>
          <w:rFonts w:hint="eastAsia" w:hAnsi="宋体"/>
          <w:b/>
          <w:sz w:val="24"/>
          <w:szCs w:val="24"/>
          <w:highlight w:val="none"/>
        </w:rPr>
      </w:pPr>
    </w:p>
    <w:p w14:paraId="3FD2BEEE">
      <w:pPr>
        <w:pStyle w:val="22"/>
        <w:snapToGrid w:val="0"/>
        <w:spacing w:line="480" w:lineRule="auto"/>
        <w:ind w:right="1470" w:firstLine="964" w:firstLineChars="400"/>
        <w:jc w:val="left"/>
        <w:rPr>
          <w:rFonts w:hint="eastAsia" w:hAnsi="宋体"/>
          <w:b/>
          <w:sz w:val="24"/>
          <w:szCs w:val="24"/>
          <w:highlight w:val="none"/>
        </w:rPr>
      </w:pPr>
    </w:p>
    <w:p w14:paraId="16B875F6">
      <w:pPr>
        <w:pStyle w:val="22"/>
        <w:snapToGrid w:val="0"/>
        <w:spacing w:line="480" w:lineRule="auto"/>
        <w:ind w:right="1470" w:firstLine="964" w:firstLineChars="400"/>
        <w:jc w:val="left"/>
        <w:rPr>
          <w:rFonts w:hint="eastAsia" w:hAnsi="宋体"/>
          <w:b/>
          <w:sz w:val="24"/>
          <w:szCs w:val="24"/>
          <w:highlight w:val="none"/>
        </w:rPr>
      </w:pPr>
    </w:p>
    <w:p w14:paraId="400953AD">
      <w:pPr>
        <w:pStyle w:val="22"/>
        <w:snapToGrid w:val="0"/>
        <w:spacing w:line="480" w:lineRule="auto"/>
        <w:ind w:right="1470" w:firstLine="964" w:firstLineChars="400"/>
        <w:jc w:val="left"/>
        <w:rPr>
          <w:rFonts w:hint="eastAsia" w:hAnsi="宋体"/>
          <w:b/>
          <w:sz w:val="24"/>
          <w:szCs w:val="24"/>
          <w:highlight w:val="none"/>
        </w:rPr>
      </w:pPr>
    </w:p>
    <w:p w14:paraId="32E5F956">
      <w:pPr>
        <w:pStyle w:val="22"/>
        <w:snapToGrid w:val="0"/>
        <w:spacing w:line="480" w:lineRule="auto"/>
        <w:ind w:right="1470" w:firstLine="964" w:firstLineChars="400"/>
        <w:jc w:val="left"/>
        <w:rPr>
          <w:rFonts w:hint="eastAsia" w:hAnsi="宋体"/>
          <w:b/>
          <w:sz w:val="24"/>
          <w:szCs w:val="24"/>
          <w:highlight w:val="none"/>
        </w:rPr>
      </w:pPr>
    </w:p>
    <w:p w14:paraId="52254C8A">
      <w:pPr>
        <w:pStyle w:val="22"/>
        <w:snapToGrid w:val="0"/>
        <w:spacing w:line="480" w:lineRule="auto"/>
        <w:ind w:right="1470" w:firstLine="964" w:firstLineChars="400"/>
        <w:jc w:val="left"/>
        <w:rPr>
          <w:rFonts w:hint="eastAsia" w:hAnsi="宋体"/>
          <w:b/>
          <w:sz w:val="24"/>
          <w:szCs w:val="24"/>
          <w:highlight w:val="none"/>
        </w:rPr>
      </w:pPr>
    </w:p>
    <w:p w14:paraId="294F781F">
      <w:pPr>
        <w:pStyle w:val="22"/>
        <w:snapToGrid w:val="0"/>
        <w:spacing w:line="480" w:lineRule="auto"/>
        <w:ind w:right="1470" w:firstLine="964" w:firstLineChars="400"/>
        <w:jc w:val="left"/>
        <w:rPr>
          <w:rFonts w:hint="eastAsia" w:hAnsi="宋体"/>
          <w:b/>
          <w:sz w:val="24"/>
          <w:szCs w:val="24"/>
          <w:highlight w:val="none"/>
        </w:rPr>
      </w:pPr>
    </w:p>
    <w:p w14:paraId="0E452F7C">
      <w:pPr>
        <w:pStyle w:val="22"/>
        <w:snapToGrid w:val="0"/>
        <w:spacing w:line="480" w:lineRule="auto"/>
        <w:ind w:right="1470" w:firstLine="964" w:firstLineChars="400"/>
        <w:jc w:val="left"/>
        <w:rPr>
          <w:rFonts w:hint="eastAsia" w:hAnsi="宋体"/>
          <w:b/>
          <w:sz w:val="24"/>
          <w:szCs w:val="24"/>
          <w:highlight w:val="none"/>
        </w:rPr>
      </w:pPr>
    </w:p>
    <w:p w14:paraId="49DB3D2A">
      <w:pPr>
        <w:pStyle w:val="22"/>
        <w:snapToGrid w:val="0"/>
        <w:spacing w:line="480" w:lineRule="auto"/>
        <w:ind w:right="1470" w:firstLine="964" w:firstLineChars="400"/>
        <w:jc w:val="left"/>
        <w:rPr>
          <w:rFonts w:hAnsi="宋体"/>
          <w:b/>
          <w:sz w:val="24"/>
          <w:szCs w:val="24"/>
          <w:highlight w:val="none"/>
        </w:rPr>
      </w:pPr>
      <w:r>
        <w:rPr>
          <w:rFonts w:hint="eastAsia" w:hAnsi="宋体"/>
          <w:b/>
          <w:sz w:val="24"/>
          <w:szCs w:val="24"/>
          <w:highlight w:val="none"/>
        </w:rPr>
        <w:t>（</w:t>
      </w:r>
      <w:r>
        <w:rPr>
          <w:rFonts w:hint="eastAsia" w:hAnsi="宋体"/>
          <w:b/>
          <w:sz w:val="24"/>
          <w:szCs w:val="24"/>
          <w:highlight w:val="none"/>
          <w:lang w:val="en-US" w:eastAsia="zh-CN"/>
        </w:rPr>
        <w:t>二</w:t>
      </w:r>
      <w:r>
        <w:rPr>
          <w:rFonts w:hint="eastAsia" w:hAnsi="宋体"/>
          <w:b/>
          <w:sz w:val="24"/>
          <w:szCs w:val="24"/>
          <w:highlight w:val="none"/>
        </w:rPr>
        <w:t>）投标人认为需要提交的其他资料</w:t>
      </w:r>
    </w:p>
    <w:p w14:paraId="26C36928">
      <w:pPr>
        <w:rPr>
          <w:rFonts w:hint="eastAsia" w:ascii="宋体" w:hAnsi="宋体" w:eastAsia="宋体" w:cs="宋体"/>
          <w:b/>
          <w:bCs/>
          <w:color w:val="auto"/>
          <w:kern w:val="2"/>
          <w:sz w:val="28"/>
          <w:szCs w:val="28"/>
          <w:highlight w:val="none"/>
          <w:lang w:val="en-US" w:eastAsia="zh-CN" w:bidi="ar"/>
        </w:rPr>
      </w:pPr>
    </w:p>
    <w:p w14:paraId="225C1418">
      <w:pPr>
        <w:pStyle w:val="3"/>
        <w:numPr>
          <w:ilvl w:val="0"/>
          <w:numId w:val="0"/>
        </w:numPr>
        <w:spacing w:before="0" w:after="0" w:line="360" w:lineRule="auto"/>
        <w:jc w:val="center"/>
        <w:rPr>
          <w:rFonts w:hint="eastAsia" w:ascii="宋体" w:hAnsi="宋体" w:eastAsia="宋体" w:cs="Times New Roman"/>
          <w:b/>
          <w:bCs/>
          <w:kern w:val="2"/>
          <w:sz w:val="32"/>
          <w:szCs w:val="28"/>
          <w:lang w:val="en-US" w:eastAsia="zh-CN" w:bidi="ar-SA"/>
        </w:rPr>
      </w:pPr>
    </w:p>
    <w:p w14:paraId="4B72D5D4">
      <w:pPr>
        <w:pStyle w:val="11"/>
        <w:rPr>
          <w:rFonts w:hint="eastAsia" w:ascii="宋体" w:hAnsi="宋体" w:eastAsia="宋体" w:cs="Times New Roman"/>
          <w:b/>
          <w:bCs/>
          <w:kern w:val="2"/>
          <w:sz w:val="32"/>
          <w:szCs w:val="28"/>
          <w:lang w:val="en-US" w:eastAsia="zh-CN" w:bidi="ar-SA"/>
        </w:rPr>
      </w:pPr>
    </w:p>
    <w:p w14:paraId="32ADCACF">
      <w:pPr>
        <w:pStyle w:val="3"/>
        <w:numPr>
          <w:ilvl w:val="0"/>
          <w:numId w:val="0"/>
        </w:numPr>
        <w:spacing w:before="0" w:after="0" w:line="360" w:lineRule="auto"/>
        <w:jc w:val="center"/>
        <w:rPr>
          <w:rFonts w:hint="eastAsia" w:ascii="宋体" w:hAnsi="宋体" w:eastAsia="宋体" w:cs="Times New Roman"/>
          <w:szCs w:val="28"/>
          <w:highlight w:val="none"/>
          <w:lang w:val="en-US" w:eastAsia="zh-CN"/>
        </w:rPr>
      </w:pPr>
      <w:r>
        <w:rPr>
          <w:rFonts w:hint="eastAsia" w:ascii="宋体" w:hAnsi="宋体" w:eastAsia="宋体" w:cs="Times New Roman"/>
          <w:b/>
          <w:bCs/>
          <w:kern w:val="2"/>
          <w:sz w:val="32"/>
          <w:szCs w:val="28"/>
          <w:lang w:val="en-US" w:eastAsia="zh-CN" w:bidi="ar-SA"/>
        </w:rPr>
        <w:t>第七章</w:t>
      </w:r>
      <w:r>
        <w:rPr>
          <w:rFonts w:hint="eastAsia" w:ascii="宋体" w:hAnsi="宋体" w:eastAsia="宋体" w:cs="Times New Roman"/>
          <w:szCs w:val="28"/>
          <w:highlight w:val="none"/>
          <w:lang w:val="en-US" w:eastAsia="zh-CN"/>
        </w:rPr>
        <w:t xml:space="preserve">   项目需求</w:t>
      </w:r>
    </w:p>
    <w:p w14:paraId="691FA8F0">
      <w:pPr>
        <w:pStyle w:val="11"/>
        <w:numPr>
          <w:ilvl w:val="0"/>
          <w:numId w:val="0"/>
        </w:numPr>
        <w:rPr>
          <w:rFonts w:hint="default"/>
          <w:lang w:val="en-US" w:eastAsia="zh-CN"/>
        </w:rPr>
      </w:pPr>
    </w:p>
    <w:p w14:paraId="77130EBE">
      <w:pPr>
        <w:pStyle w:val="11"/>
        <w:rPr>
          <w:rFonts w:hint="eastAsia" w:ascii="宋体" w:hAnsi="宋体" w:eastAsia="宋体" w:cs="Times New Roman"/>
          <w:szCs w:val="28"/>
          <w:highlight w:val="none"/>
        </w:rPr>
      </w:pPr>
    </w:p>
    <w:bookmarkEnd w:id="39"/>
    <w:bookmarkEnd w:id="40"/>
    <w:bookmarkEnd w:id="41"/>
    <w:bookmarkEnd w:id="42"/>
    <w:p w14:paraId="5CEDD29F">
      <w:pPr>
        <w:pStyle w:val="58"/>
        <w:numPr>
          <w:ilvl w:val="0"/>
          <w:numId w:val="2"/>
        </w:numPr>
        <w:tabs>
          <w:tab w:val="left" w:pos="1140"/>
        </w:tabs>
        <w:snapToGrid w:val="0"/>
        <w:spacing w:line="360" w:lineRule="auto"/>
        <w:ind w:leftChars="0"/>
        <w:jc w:val="both"/>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项目概况</w:t>
      </w:r>
    </w:p>
    <w:p w14:paraId="1D55FFF8">
      <w:pPr>
        <w:pStyle w:val="58"/>
        <w:numPr>
          <w:ilvl w:val="0"/>
          <w:numId w:val="0"/>
        </w:numPr>
        <w:tabs>
          <w:tab w:val="left" w:pos="1140"/>
        </w:tabs>
        <w:snapToGrid w:val="0"/>
        <w:spacing w:line="360" w:lineRule="auto"/>
        <w:ind w:firstLine="480" w:firstLineChars="200"/>
        <w:jc w:val="both"/>
        <w:rPr>
          <w:rFonts w:hint="default" w:ascii="宋体" w:hAnsi="宋体" w:eastAsia="宋体" w:cs="宋体"/>
          <w:bCs/>
          <w:color w:val="auto"/>
          <w:highlight w:val="none"/>
          <w:lang w:val="en-US" w:eastAsia="zh-CN"/>
        </w:rPr>
      </w:pPr>
      <w:r>
        <w:rPr>
          <w:rFonts w:hint="default" w:ascii="宋体" w:hAnsi="宋体" w:eastAsia="宋体" w:cs="宋体"/>
          <w:bCs/>
          <w:color w:val="auto"/>
          <w:highlight w:val="none"/>
          <w:lang w:val="en-US" w:eastAsia="zh-CN"/>
        </w:rPr>
        <w:t>为规范高新集团及其子公司电力市场化交易行为，降低企业用电成本，保障电力供应安全稳定，</w:t>
      </w:r>
      <w:r>
        <w:rPr>
          <w:rFonts w:hint="eastAsia" w:cs="宋体"/>
          <w:bCs/>
          <w:color w:val="auto"/>
          <w:highlight w:val="none"/>
          <w:lang w:val="en-US" w:eastAsia="zh-CN"/>
        </w:rPr>
        <w:t>借鉴</w:t>
      </w:r>
      <w:r>
        <w:rPr>
          <w:rFonts w:hint="default" w:ascii="宋体" w:hAnsi="宋体" w:eastAsia="宋体" w:cs="宋体"/>
          <w:bCs/>
          <w:color w:val="auto"/>
          <w:highlight w:val="none"/>
          <w:lang w:val="en-US" w:eastAsia="zh-CN"/>
        </w:rPr>
        <w:t>《中华人民共和国政府采购法》</w:t>
      </w:r>
      <w:r>
        <w:rPr>
          <w:rFonts w:hint="eastAsia" w:cs="宋体"/>
          <w:bCs/>
          <w:color w:val="auto"/>
          <w:highlight w:val="none"/>
          <w:lang w:val="en-US" w:eastAsia="zh-CN"/>
        </w:rPr>
        <w:t>并根据</w:t>
      </w:r>
      <w:r>
        <w:rPr>
          <w:rFonts w:hint="default" w:ascii="宋体" w:hAnsi="宋体" w:eastAsia="宋体" w:cs="宋体"/>
          <w:bCs/>
          <w:color w:val="auto"/>
          <w:highlight w:val="none"/>
          <w:lang w:val="en-US" w:eastAsia="zh-CN"/>
        </w:rPr>
        <w:t>《中华人民共和国招标投标法》《安徽电力中长期交易实施方案（202</w:t>
      </w:r>
      <w:r>
        <w:rPr>
          <w:rFonts w:hint="eastAsia" w:cs="宋体"/>
          <w:bCs/>
          <w:color w:val="auto"/>
          <w:highlight w:val="none"/>
          <w:lang w:val="en-US" w:eastAsia="zh-CN"/>
        </w:rPr>
        <w:t>6</w:t>
      </w:r>
      <w:r>
        <w:rPr>
          <w:rFonts w:hint="default" w:ascii="宋体" w:hAnsi="宋体" w:eastAsia="宋体" w:cs="宋体"/>
          <w:bCs/>
          <w:color w:val="auto"/>
          <w:highlight w:val="none"/>
          <w:lang w:val="en-US" w:eastAsia="zh-CN"/>
        </w:rPr>
        <w:t>年版）（征求意见稿）》、《高新集团招标采购管理办法（试行）》等法律法规及内部规章制度</w:t>
      </w:r>
      <w:r>
        <w:rPr>
          <w:rFonts w:hint="eastAsia" w:cs="宋体"/>
          <w:bCs/>
          <w:color w:val="auto"/>
          <w:highlight w:val="none"/>
          <w:lang w:val="en-US" w:eastAsia="zh-CN"/>
        </w:rPr>
        <w:t>采购</w:t>
      </w:r>
      <w:r>
        <w:rPr>
          <w:rFonts w:hint="eastAsia" w:ascii="宋体" w:hAnsi="宋体" w:eastAsia="宋体" w:cs="宋体"/>
          <w:bCs/>
          <w:color w:val="auto"/>
          <w:highlight w:val="none"/>
          <w:lang w:val="en-US" w:eastAsia="zh-CN"/>
        </w:rPr>
        <w:t>实施本项目。</w:t>
      </w:r>
    </w:p>
    <w:p w14:paraId="7F1664D1">
      <w:pPr>
        <w:pStyle w:val="58"/>
        <w:numPr>
          <w:ilvl w:val="0"/>
          <w:numId w:val="2"/>
        </w:numPr>
        <w:tabs>
          <w:tab w:val="left" w:pos="1140"/>
        </w:tabs>
        <w:snapToGrid w:val="0"/>
        <w:spacing w:line="360" w:lineRule="auto"/>
        <w:ind w:leftChars="0"/>
        <w:jc w:val="both"/>
        <w:rPr>
          <w:rFonts w:hint="eastAsia"/>
          <w:b/>
          <w:bCs w:val="0"/>
          <w:color w:val="auto"/>
          <w:highlight w:val="none"/>
          <w:lang w:val="en-US" w:eastAsia="zh-CN"/>
        </w:rPr>
      </w:pPr>
      <w:r>
        <w:rPr>
          <w:rFonts w:hint="eastAsia"/>
          <w:b/>
          <w:bCs w:val="0"/>
          <w:color w:val="auto"/>
          <w:highlight w:val="none"/>
          <w:lang w:val="en-US" w:eastAsia="zh-CN"/>
        </w:rPr>
        <w:t>服务内容</w:t>
      </w:r>
    </w:p>
    <w:p w14:paraId="39F5C892">
      <w:pPr>
        <w:pStyle w:val="58"/>
        <w:numPr>
          <w:ilvl w:val="0"/>
          <w:numId w:val="0"/>
        </w:numPr>
        <w:tabs>
          <w:tab w:val="left" w:pos="1140"/>
        </w:tabs>
        <w:snapToGrid w:val="0"/>
        <w:spacing w:line="360" w:lineRule="auto"/>
        <w:ind w:firstLine="480" w:firstLineChars="200"/>
        <w:jc w:val="both"/>
        <w:rPr>
          <w:rFonts w:hint="eastAsia"/>
          <w:bCs/>
          <w:color w:val="auto"/>
          <w:highlight w:val="none"/>
          <w:lang w:val="en-US" w:eastAsia="zh-CN"/>
        </w:rPr>
      </w:pPr>
      <w:r>
        <w:rPr>
          <w:rFonts w:hint="eastAsia"/>
          <w:bCs/>
          <w:color w:val="auto"/>
          <w:highlight w:val="none"/>
          <w:lang w:val="en-US" w:eastAsia="zh-CN"/>
        </w:rPr>
        <w:t>1.中标人按招标人实际用电量，参与安徽省电力市场交易。</w:t>
      </w:r>
    </w:p>
    <w:p w14:paraId="7B78CC76">
      <w:pPr>
        <w:pStyle w:val="58"/>
        <w:numPr>
          <w:ilvl w:val="0"/>
          <w:numId w:val="0"/>
        </w:numPr>
        <w:tabs>
          <w:tab w:val="left" w:pos="1140"/>
        </w:tabs>
        <w:snapToGrid w:val="0"/>
        <w:spacing w:line="360" w:lineRule="auto"/>
        <w:ind w:firstLine="480" w:firstLineChars="200"/>
        <w:jc w:val="both"/>
        <w:rPr>
          <w:rFonts w:hint="eastAsia"/>
          <w:bCs/>
          <w:color w:val="auto"/>
          <w:highlight w:val="none"/>
          <w:lang w:val="en-US" w:eastAsia="zh-CN"/>
        </w:rPr>
      </w:pPr>
      <w:r>
        <w:rPr>
          <w:rFonts w:hint="eastAsia"/>
          <w:bCs/>
          <w:color w:val="auto"/>
          <w:highlight w:val="none"/>
          <w:lang w:val="en-US" w:eastAsia="zh-CN"/>
        </w:rPr>
        <w:t>2.中标人参与电力市场化交易，负责每月交易电量申报、交易、结算工作。</w:t>
      </w:r>
    </w:p>
    <w:p w14:paraId="215A8BE9">
      <w:pPr>
        <w:pStyle w:val="58"/>
        <w:numPr>
          <w:ilvl w:val="0"/>
          <w:numId w:val="0"/>
        </w:numPr>
        <w:tabs>
          <w:tab w:val="left" w:pos="1140"/>
        </w:tabs>
        <w:snapToGrid w:val="0"/>
        <w:spacing w:line="360" w:lineRule="auto"/>
        <w:ind w:firstLine="480" w:firstLineChars="200"/>
        <w:jc w:val="both"/>
        <w:rPr>
          <w:rFonts w:hint="eastAsia"/>
          <w:bCs/>
          <w:color w:val="auto"/>
          <w:highlight w:val="none"/>
          <w:lang w:val="en-US" w:eastAsia="zh-CN"/>
        </w:rPr>
      </w:pPr>
      <w:r>
        <w:rPr>
          <w:rFonts w:hint="eastAsia"/>
          <w:bCs/>
          <w:color w:val="auto"/>
          <w:highlight w:val="none"/>
          <w:lang w:val="en-US" w:eastAsia="zh-CN"/>
        </w:rPr>
        <w:t>3.中标人负责电力交易平台市场注册及后期电力交易相关的全周期电力交易服务。</w:t>
      </w:r>
    </w:p>
    <w:p w14:paraId="19C96699">
      <w:pPr>
        <w:pStyle w:val="58"/>
        <w:numPr>
          <w:ilvl w:val="0"/>
          <w:numId w:val="0"/>
        </w:numPr>
        <w:tabs>
          <w:tab w:val="left" w:pos="1140"/>
        </w:tabs>
        <w:snapToGrid w:val="0"/>
        <w:spacing w:line="360" w:lineRule="auto"/>
        <w:ind w:firstLine="480" w:firstLineChars="200"/>
        <w:jc w:val="both"/>
        <w:rPr>
          <w:rFonts w:hint="eastAsia"/>
          <w:bCs/>
          <w:color w:val="auto"/>
          <w:highlight w:val="none"/>
          <w:lang w:val="en-US" w:eastAsia="zh-CN"/>
        </w:rPr>
      </w:pPr>
      <w:r>
        <w:rPr>
          <w:rFonts w:hint="eastAsia"/>
          <w:bCs/>
          <w:color w:val="auto"/>
          <w:highlight w:val="none"/>
          <w:lang w:val="en-US" w:eastAsia="zh-CN"/>
        </w:rPr>
        <w:t>4.中标人负责电量电费分析、电力技术咨询、电力技术服务，重点包括与电网企业的沟通，发行电费准确性、合理性分析，相应发票获取及用电手续办理等业务，每月提供交易电量结算清单，明确交易电量和电价，并如实向招标人提供真实准确的交易相关信息和资料。</w:t>
      </w:r>
    </w:p>
    <w:p w14:paraId="2E3597C8">
      <w:pPr>
        <w:pStyle w:val="58"/>
        <w:numPr>
          <w:ilvl w:val="0"/>
          <w:numId w:val="0"/>
        </w:numPr>
        <w:tabs>
          <w:tab w:val="left" w:pos="1140"/>
        </w:tabs>
        <w:snapToGrid w:val="0"/>
        <w:spacing w:line="360" w:lineRule="auto"/>
        <w:ind w:firstLine="480" w:firstLineChars="200"/>
        <w:jc w:val="both"/>
        <w:rPr>
          <w:rFonts w:hint="default"/>
          <w:bCs/>
          <w:color w:val="auto"/>
          <w:highlight w:val="none"/>
          <w:lang w:val="en-US" w:eastAsia="zh-CN"/>
        </w:rPr>
      </w:pPr>
      <w:r>
        <w:rPr>
          <w:rFonts w:hint="eastAsia"/>
          <w:bCs/>
          <w:color w:val="auto"/>
          <w:highlight w:val="none"/>
          <w:lang w:val="en-US" w:eastAsia="zh-CN"/>
        </w:rPr>
        <w:t>5.中标人提供的购电服务应不改变招标人原有的用电习惯，供电模式和供电质量保障不变，所有交易流程全权委托中标人进行，具体工作内容及范围以招标人委托为准，但应当由招标人进行确认的，提醒并协助招标人进行确认否则不免除中标人的违约责任。</w:t>
      </w:r>
    </w:p>
    <w:p w14:paraId="01B5BB1F">
      <w:pPr>
        <w:pStyle w:val="58"/>
        <w:numPr>
          <w:ilvl w:val="0"/>
          <w:numId w:val="0"/>
        </w:numPr>
        <w:tabs>
          <w:tab w:val="left" w:pos="1140"/>
        </w:tabs>
        <w:snapToGrid w:val="0"/>
        <w:spacing w:line="360" w:lineRule="auto"/>
        <w:ind w:firstLine="480" w:firstLineChars="200"/>
        <w:jc w:val="both"/>
        <w:rPr>
          <w:rFonts w:hint="eastAsia"/>
          <w:bCs/>
          <w:color w:val="auto"/>
          <w:highlight w:val="none"/>
          <w:lang w:val="en-US" w:eastAsia="zh-CN"/>
        </w:rPr>
      </w:pPr>
      <w:r>
        <w:rPr>
          <w:rFonts w:hint="eastAsia"/>
          <w:bCs/>
          <w:color w:val="auto"/>
          <w:highlight w:val="none"/>
          <w:lang w:val="en-US" w:eastAsia="zh-CN"/>
        </w:rPr>
        <w:t>6.中标人应清楚知悉招标人用电需求为估算量，最终用电需求以实际为准，中标人应有充足的配额能确保招标人的用电需求，中标人不得因招标人用电需求与实际不符追索招标人违约责任。</w:t>
      </w:r>
    </w:p>
    <w:p w14:paraId="58A34C08">
      <w:pPr>
        <w:pStyle w:val="58"/>
        <w:numPr>
          <w:ilvl w:val="0"/>
          <w:numId w:val="0"/>
        </w:numPr>
        <w:tabs>
          <w:tab w:val="left" w:pos="1140"/>
        </w:tabs>
        <w:snapToGrid w:val="0"/>
        <w:spacing w:line="360" w:lineRule="auto"/>
        <w:ind w:firstLine="480" w:firstLineChars="200"/>
        <w:jc w:val="both"/>
        <w:rPr>
          <w:rFonts w:hint="default"/>
          <w:bCs/>
          <w:color w:val="auto"/>
          <w:highlight w:val="none"/>
          <w:lang w:val="en-US" w:eastAsia="zh-CN"/>
        </w:rPr>
      </w:pPr>
      <w:r>
        <w:rPr>
          <w:rFonts w:hint="eastAsia"/>
          <w:bCs/>
          <w:color w:val="auto"/>
          <w:highlight w:val="none"/>
          <w:lang w:val="en-US" w:eastAsia="zh-CN"/>
        </w:rPr>
        <w:t>7.以及招标人委托的其他事宜。</w:t>
      </w:r>
    </w:p>
    <w:p w14:paraId="173724D2">
      <w:pPr>
        <w:pStyle w:val="58"/>
        <w:numPr>
          <w:ilvl w:val="0"/>
          <w:numId w:val="0"/>
        </w:numPr>
        <w:tabs>
          <w:tab w:val="left" w:pos="1140"/>
        </w:tabs>
        <w:snapToGrid w:val="0"/>
        <w:spacing w:line="360" w:lineRule="auto"/>
        <w:jc w:val="both"/>
        <w:rPr>
          <w:rFonts w:hint="eastAsia" w:ascii="宋体" w:hAnsi="宋体" w:eastAsia="宋体" w:cs="宋体"/>
          <w:b/>
          <w:bCs w:val="0"/>
          <w:color w:val="auto"/>
          <w:highlight w:val="none"/>
          <w:lang w:val="en-US" w:eastAsia="zh-CN"/>
        </w:rPr>
      </w:pPr>
      <w:r>
        <w:rPr>
          <w:rFonts w:hint="eastAsia" w:ascii="宋体" w:hAnsi="宋体" w:eastAsia="宋体" w:cs="宋体"/>
          <w:b/>
          <w:bCs w:val="0"/>
          <w:color w:val="auto"/>
          <w:highlight w:val="none"/>
          <w:lang w:val="en-US" w:eastAsia="zh-CN"/>
        </w:rPr>
        <w:t>三、服务要求</w:t>
      </w:r>
    </w:p>
    <w:p w14:paraId="72E7CCE2">
      <w:pPr>
        <w:pStyle w:val="58"/>
        <w:numPr>
          <w:ilvl w:val="0"/>
          <w:numId w:val="0"/>
        </w:numPr>
        <w:tabs>
          <w:tab w:val="left" w:pos="1140"/>
        </w:tabs>
        <w:snapToGrid w:val="0"/>
        <w:spacing w:line="360" w:lineRule="auto"/>
        <w:ind w:firstLine="480" w:firstLineChars="200"/>
        <w:jc w:val="both"/>
        <w:rPr>
          <w:rFonts w:hint="eastAsia"/>
          <w:bCs/>
          <w:color w:val="auto"/>
          <w:highlight w:val="none"/>
          <w:lang w:val="en-US" w:eastAsia="zh-CN"/>
        </w:rPr>
      </w:pPr>
      <w:r>
        <w:rPr>
          <w:rFonts w:hint="eastAsia"/>
          <w:bCs/>
          <w:color w:val="auto"/>
          <w:highlight w:val="none"/>
          <w:lang w:val="en-US" w:eastAsia="zh-CN"/>
        </w:rPr>
        <w:t>1.中标人按国家有关法规、规定和技术规范，提供全周期电力交易服务和用电配套服务。</w:t>
      </w:r>
    </w:p>
    <w:p w14:paraId="20A5D930">
      <w:pPr>
        <w:pStyle w:val="58"/>
        <w:numPr>
          <w:ilvl w:val="0"/>
          <w:numId w:val="0"/>
        </w:numPr>
        <w:tabs>
          <w:tab w:val="left" w:pos="1140"/>
        </w:tabs>
        <w:snapToGrid w:val="0"/>
        <w:spacing w:line="360" w:lineRule="auto"/>
        <w:ind w:firstLine="480" w:firstLineChars="200"/>
        <w:jc w:val="both"/>
        <w:rPr>
          <w:rFonts w:hint="eastAsia"/>
          <w:bCs/>
          <w:color w:val="auto"/>
          <w:highlight w:val="none"/>
          <w:lang w:val="en-US" w:eastAsia="zh-CN"/>
        </w:rPr>
      </w:pPr>
      <w:r>
        <w:rPr>
          <w:rFonts w:hint="eastAsia"/>
          <w:bCs/>
          <w:color w:val="auto"/>
          <w:highlight w:val="none"/>
          <w:lang w:val="en-US" w:eastAsia="zh-CN"/>
        </w:rPr>
        <w:t>2.按照国家有关法规、规定和技术规范，为招标人提供电力交易服务，参与电力市场交易并按规定结算。</w:t>
      </w:r>
    </w:p>
    <w:p w14:paraId="1BAEDEA0">
      <w:pPr>
        <w:pStyle w:val="58"/>
        <w:numPr>
          <w:ilvl w:val="0"/>
          <w:numId w:val="0"/>
        </w:numPr>
        <w:tabs>
          <w:tab w:val="left" w:pos="1140"/>
        </w:tabs>
        <w:snapToGrid w:val="0"/>
        <w:spacing w:line="360" w:lineRule="auto"/>
        <w:ind w:firstLine="480" w:firstLineChars="200"/>
        <w:jc w:val="both"/>
        <w:rPr>
          <w:rFonts w:hint="eastAsia"/>
          <w:bCs/>
          <w:color w:val="auto"/>
          <w:highlight w:val="none"/>
          <w:lang w:val="en-US" w:eastAsia="zh-CN"/>
        </w:rPr>
      </w:pPr>
      <w:r>
        <w:rPr>
          <w:rFonts w:hint="eastAsia"/>
          <w:bCs/>
          <w:color w:val="auto"/>
          <w:highlight w:val="none"/>
          <w:lang w:val="en-US" w:eastAsia="zh-CN"/>
        </w:rPr>
        <w:t>3.向招标人提供真实准确的有关电力直接交易的相关信息及资料，不得提供虚假的或误导性的信息。</w:t>
      </w:r>
    </w:p>
    <w:p w14:paraId="05820FBF">
      <w:pPr>
        <w:pStyle w:val="58"/>
        <w:numPr>
          <w:ilvl w:val="0"/>
          <w:numId w:val="0"/>
        </w:numPr>
        <w:tabs>
          <w:tab w:val="left" w:pos="1140"/>
        </w:tabs>
        <w:snapToGrid w:val="0"/>
        <w:spacing w:line="360" w:lineRule="auto"/>
        <w:ind w:firstLine="480" w:firstLineChars="200"/>
        <w:jc w:val="both"/>
        <w:rPr>
          <w:rFonts w:hint="eastAsia"/>
          <w:bCs/>
          <w:color w:val="auto"/>
          <w:highlight w:val="none"/>
          <w:lang w:val="en-US" w:eastAsia="zh-CN"/>
        </w:rPr>
      </w:pPr>
      <w:r>
        <w:rPr>
          <w:rFonts w:hint="eastAsia"/>
          <w:bCs/>
          <w:color w:val="auto"/>
          <w:highlight w:val="none"/>
          <w:lang w:val="en-US" w:eastAsia="zh-CN"/>
        </w:rPr>
        <w:t>4.根据国家有关法规支付电力交易相关费用。</w:t>
      </w:r>
    </w:p>
    <w:p w14:paraId="12FBC266">
      <w:pPr>
        <w:pStyle w:val="58"/>
        <w:numPr>
          <w:ilvl w:val="0"/>
          <w:numId w:val="0"/>
        </w:numPr>
        <w:tabs>
          <w:tab w:val="left" w:pos="1140"/>
        </w:tabs>
        <w:snapToGrid w:val="0"/>
        <w:spacing w:line="360" w:lineRule="auto"/>
        <w:ind w:firstLine="480" w:firstLineChars="200"/>
        <w:jc w:val="both"/>
        <w:rPr>
          <w:rFonts w:hint="eastAsia"/>
          <w:bCs/>
          <w:color w:val="auto"/>
          <w:highlight w:val="none"/>
          <w:lang w:val="en-US" w:eastAsia="zh-CN"/>
        </w:rPr>
      </w:pPr>
      <w:r>
        <w:rPr>
          <w:rFonts w:hint="eastAsia"/>
          <w:bCs/>
          <w:color w:val="auto"/>
          <w:highlight w:val="none"/>
          <w:lang w:val="en-US" w:eastAsia="zh-CN"/>
        </w:rPr>
        <w:t>5.协助招标人申请办理电力交易有关手续。</w:t>
      </w:r>
    </w:p>
    <w:p w14:paraId="4D48D87E">
      <w:pPr>
        <w:pStyle w:val="58"/>
        <w:numPr>
          <w:ilvl w:val="0"/>
          <w:numId w:val="0"/>
        </w:numPr>
        <w:tabs>
          <w:tab w:val="left" w:pos="1140"/>
        </w:tabs>
        <w:snapToGrid w:val="0"/>
        <w:spacing w:line="360" w:lineRule="auto"/>
        <w:ind w:firstLine="480" w:firstLineChars="200"/>
        <w:jc w:val="both"/>
        <w:rPr>
          <w:rFonts w:hint="eastAsia"/>
          <w:bCs/>
          <w:color w:val="auto"/>
          <w:highlight w:val="none"/>
          <w:lang w:val="en-US" w:eastAsia="zh-CN"/>
        </w:rPr>
      </w:pPr>
      <w:r>
        <w:rPr>
          <w:rFonts w:hint="eastAsia"/>
          <w:bCs/>
          <w:color w:val="auto"/>
          <w:highlight w:val="none"/>
          <w:lang w:val="en-US" w:eastAsia="zh-CN"/>
        </w:rPr>
        <w:t>6.中标人应当安排专职人员与招标人对接，负责电量申报、交易、结算等工作，负责协助招标人办理相关手续。</w:t>
      </w:r>
    </w:p>
    <w:p w14:paraId="230E57CF">
      <w:pPr>
        <w:pStyle w:val="58"/>
        <w:numPr>
          <w:ilvl w:val="0"/>
          <w:numId w:val="0"/>
        </w:numPr>
        <w:tabs>
          <w:tab w:val="left" w:pos="1140"/>
        </w:tabs>
        <w:snapToGrid w:val="0"/>
        <w:spacing w:line="360" w:lineRule="auto"/>
        <w:ind w:firstLine="480" w:firstLineChars="200"/>
        <w:jc w:val="both"/>
        <w:rPr>
          <w:rFonts w:hint="eastAsia"/>
          <w:bCs/>
          <w:color w:val="auto"/>
          <w:highlight w:val="none"/>
          <w:lang w:val="en-US" w:eastAsia="zh-CN"/>
        </w:rPr>
      </w:pPr>
      <w:r>
        <w:rPr>
          <w:rFonts w:hint="eastAsia"/>
          <w:bCs/>
          <w:color w:val="auto"/>
          <w:highlight w:val="none"/>
          <w:lang w:val="en-US" w:eastAsia="zh-CN"/>
        </w:rPr>
        <w:t>7.中标人提供7天24小时服务热线，24小时技术支持。针对招标人提出的问题应当在2小时内解决，在线无法解决的应当在6小时内到达现场协助招标人解决。</w:t>
      </w:r>
    </w:p>
    <w:p w14:paraId="5197AEF1">
      <w:pPr>
        <w:pStyle w:val="58"/>
        <w:numPr>
          <w:ilvl w:val="0"/>
          <w:numId w:val="0"/>
        </w:numPr>
        <w:tabs>
          <w:tab w:val="left" w:pos="1140"/>
        </w:tabs>
        <w:snapToGrid w:val="0"/>
        <w:spacing w:line="360" w:lineRule="auto"/>
        <w:ind w:firstLine="480" w:firstLineChars="200"/>
        <w:jc w:val="both"/>
        <w:rPr>
          <w:rFonts w:hint="eastAsia"/>
          <w:bCs/>
          <w:color w:val="auto"/>
          <w:highlight w:val="none"/>
          <w:lang w:val="en-US" w:eastAsia="zh-CN"/>
        </w:rPr>
      </w:pPr>
      <w:r>
        <w:rPr>
          <w:rFonts w:hint="eastAsia"/>
          <w:bCs/>
          <w:color w:val="auto"/>
          <w:highlight w:val="none"/>
          <w:lang w:val="en-US" w:eastAsia="zh-CN"/>
        </w:rPr>
        <w:t>8.投标人结合招标文件要求编制服务方案，并在服务方案中明确服务计划安排、人员安排、服务响应等内容。</w:t>
      </w:r>
    </w:p>
    <w:p w14:paraId="5CBC7FBC">
      <w:pPr>
        <w:pStyle w:val="58"/>
        <w:numPr>
          <w:ilvl w:val="0"/>
          <w:numId w:val="0"/>
        </w:numPr>
        <w:tabs>
          <w:tab w:val="left" w:pos="1140"/>
        </w:tabs>
        <w:snapToGrid w:val="0"/>
        <w:spacing w:line="360" w:lineRule="auto"/>
        <w:ind w:firstLine="482" w:firstLineChars="200"/>
        <w:jc w:val="both"/>
        <w:rPr>
          <w:rFonts w:hint="eastAsia"/>
          <w:b/>
          <w:bCs w:val="0"/>
          <w:color w:val="auto"/>
          <w:highlight w:val="none"/>
          <w:lang w:val="en-US" w:eastAsia="zh-CN"/>
        </w:rPr>
      </w:pPr>
      <w:r>
        <w:rPr>
          <w:rFonts w:hint="eastAsia"/>
          <w:b/>
          <w:bCs w:val="0"/>
          <w:color w:val="auto"/>
          <w:highlight w:val="none"/>
          <w:lang w:val="en-US" w:eastAsia="zh-CN"/>
        </w:rPr>
        <w:t>9.中标人应在合同到期前 3 个月启动与招标人的对接工作，明确后续合同续签事宜或完成工作交接；合同到期后，若未完成续签或交接，因此带来的高额标准缴纳电费的情况，由招标人向中标人追偿。</w:t>
      </w:r>
    </w:p>
    <w:p w14:paraId="3D4219F7">
      <w:pPr>
        <w:pStyle w:val="58"/>
        <w:numPr>
          <w:ilvl w:val="0"/>
          <w:numId w:val="0"/>
        </w:numPr>
        <w:tabs>
          <w:tab w:val="left" w:pos="1140"/>
        </w:tabs>
        <w:snapToGrid w:val="0"/>
        <w:spacing w:line="360" w:lineRule="auto"/>
        <w:ind w:firstLine="482" w:firstLineChars="200"/>
        <w:jc w:val="both"/>
        <w:rPr>
          <w:rFonts w:hint="default"/>
          <w:b/>
          <w:bCs w:val="0"/>
          <w:color w:val="auto"/>
          <w:highlight w:val="none"/>
          <w:lang w:val="en-US" w:eastAsia="zh-CN"/>
        </w:rPr>
      </w:pPr>
      <w:r>
        <w:rPr>
          <w:rFonts w:hint="eastAsia"/>
          <w:b/>
          <w:bCs w:val="0"/>
          <w:color w:val="auto"/>
          <w:highlight w:val="none"/>
          <w:lang w:val="en-US" w:eastAsia="zh-CN"/>
        </w:rPr>
        <w:t>10.因合同条件和政策变化不利于招标人履行合同时或招标人利益受损，中标人在知道或应当知道的15日历天内，向招标人说明利害关系，否则招标人有权向中标人追索带来的损失。</w:t>
      </w:r>
    </w:p>
    <w:p w14:paraId="210F2001">
      <w:pPr>
        <w:pStyle w:val="58"/>
        <w:numPr>
          <w:ilvl w:val="0"/>
          <w:numId w:val="0"/>
        </w:numPr>
        <w:tabs>
          <w:tab w:val="left" w:pos="1140"/>
        </w:tabs>
        <w:snapToGrid w:val="0"/>
        <w:spacing w:line="360" w:lineRule="auto"/>
        <w:jc w:val="both"/>
        <w:rPr>
          <w:rFonts w:hint="eastAsia"/>
          <w:b/>
          <w:bCs w:val="0"/>
          <w:color w:val="auto"/>
          <w:highlight w:val="none"/>
          <w:lang w:val="en-US" w:eastAsia="zh-CN"/>
        </w:rPr>
      </w:pPr>
      <w:r>
        <w:rPr>
          <w:rFonts w:hint="eastAsia"/>
          <w:b/>
          <w:bCs w:val="0"/>
          <w:color w:val="auto"/>
          <w:highlight w:val="none"/>
          <w:lang w:val="en-US" w:eastAsia="zh-CN"/>
        </w:rPr>
        <w:t>四、电费核对服务</w:t>
      </w:r>
    </w:p>
    <w:p w14:paraId="0E4D6A40">
      <w:pPr>
        <w:pStyle w:val="58"/>
        <w:numPr>
          <w:ilvl w:val="0"/>
          <w:numId w:val="0"/>
        </w:numPr>
        <w:tabs>
          <w:tab w:val="left" w:pos="1140"/>
        </w:tabs>
        <w:snapToGrid w:val="0"/>
        <w:spacing w:line="360" w:lineRule="auto"/>
        <w:ind w:firstLine="480" w:firstLineChars="200"/>
        <w:jc w:val="both"/>
        <w:rPr>
          <w:rFonts w:hint="eastAsia" w:cs="宋体"/>
          <w:b w:val="0"/>
          <w:bCs/>
          <w:color w:val="auto"/>
          <w:highlight w:val="none"/>
          <w:lang w:val="en-US" w:eastAsia="zh-CN"/>
        </w:rPr>
      </w:pPr>
      <w:r>
        <w:rPr>
          <w:rFonts w:hint="eastAsia" w:cs="宋体"/>
          <w:b w:val="0"/>
          <w:bCs/>
          <w:color w:val="auto"/>
          <w:highlight w:val="none"/>
          <w:lang w:val="en-US" w:eastAsia="zh-CN"/>
        </w:rPr>
        <w:t>1.每月在电费单出具后5个工作日内，须向</w:t>
      </w:r>
      <w:r>
        <w:rPr>
          <w:rFonts w:hint="eastAsia"/>
          <w:bCs/>
          <w:color w:val="auto"/>
          <w:highlight w:val="none"/>
          <w:lang w:val="en-US" w:eastAsia="zh-CN"/>
        </w:rPr>
        <w:t>招标</w:t>
      </w:r>
      <w:r>
        <w:rPr>
          <w:rFonts w:hint="eastAsia" w:cs="宋体"/>
          <w:b w:val="0"/>
          <w:bCs/>
          <w:color w:val="auto"/>
          <w:highlight w:val="none"/>
          <w:lang w:val="en-US" w:eastAsia="zh-CN"/>
        </w:rPr>
        <w:t>人出具《电费单分析表》，内容包括：当月各时段用电量、套餐一/套餐二结算金额、综合费用、与售电合同套餐比对结果、差异说明（如有），若《电费单分析表》与供电公司电费单存在差异，中标人需在5个工作日内协调供电公司核查处理，并向</w:t>
      </w:r>
      <w:r>
        <w:rPr>
          <w:rFonts w:hint="eastAsia"/>
          <w:bCs/>
          <w:color w:val="auto"/>
          <w:highlight w:val="none"/>
          <w:lang w:val="en-US" w:eastAsia="zh-CN"/>
        </w:rPr>
        <w:t>招标</w:t>
      </w:r>
      <w:r>
        <w:rPr>
          <w:rFonts w:hint="eastAsia" w:cs="宋体"/>
          <w:b w:val="0"/>
          <w:bCs/>
          <w:color w:val="auto"/>
          <w:highlight w:val="none"/>
          <w:lang w:val="en-US" w:eastAsia="zh-CN"/>
        </w:rPr>
        <w:t>人提交处理报告；若有缴纳电费超过合同约定的金额情况发生，且未能协调供电公司退费的情况下，</w:t>
      </w:r>
      <w:r>
        <w:rPr>
          <w:rFonts w:hint="eastAsia"/>
          <w:bCs/>
          <w:color w:val="auto"/>
          <w:highlight w:val="none"/>
          <w:lang w:val="en-US" w:eastAsia="zh-CN"/>
        </w:rPr>
        <w:t>招标</w:t>
      </w:r>
      <w:r>
        <w:rPr>
          <w:rFonts w:hint="eastAsia" w:cs="宋体"/>
          <w:b w:val="0"/>
          <w:bCs/>
          <w:color w:val="auto"/>
          <w:highlight w:val="none"/>
          <w:lang w:val="en-US" w:eastAsia="zh-CN"/>
        </w:rPr>
        <w:t>人有权向中标人追偿差异金额。</w:t>
      </w:r>
    </w:p>
    <w:p w14:paraId="69E29AAD">
      <w:pPr>
        <w:pStyle w:val="58"/>
        <w:numPr>
          <w:ilvl w:val="0"/>
          <w:numId w:val="0"/>
        </w:numPr>
        <w:tabs>
          <w:tab w:val="left" w:pos="1140"/>
        </w:tabs>
        <w:snapToGrid w:val="0"/>
        <w:spacing w:line="360" w:lineRule="auto"/>
        <w:ind w:firstLine="480" w:firstLineChars="200"/>
        <w:jc w:val="both"/>
        <w:rPr>
          <w:rFonts w:hint="eastAsia" w:cs="宋体"/>
          <w:b w:val="0"/>
          <w:bCs/>
          <w:color w:val="auto"/>
          <w:highlight w:val="none"/>
          <w:lang w:val="en-US" w:eastAsia="zh-CN"/>
        </w:rPr>
      </w:pPr>
      <w:r>
        <w:rPr>
          <w:rFonts w:hint="eastAsia" w:cs="宋体"/>
          <w:b w:val="0"/>
          <w:bCs/>
          <w:color w:val="auto"/>
          <w:highlight w:val="none"/>
          <w:lang w:val="en-US" w:eastAsia="zh-CN"/>
        </w:rPr>
        <w:t>2.中标人负责监控</w:t>
      </w:r>
      <w:r>
        <w:rPr>
          <w:rFonts w:hint="eastAsia"/>
          <w:bCs/>
          <w:color w:val="auto"/>
          <w:highlight w:val="none"/>
          <w:lang w:val="en-US" w:eastAsia="zh-CN"/>
        </w:rPr>
        <w:t>招标</w:t>
      </w:r>
      <w:r>
        <w:rPr>
          <w:rFonts w:hint="eastAsia" w:cs="宋体"/>
          <w:b w:val="0"/>
          <w:bCs/>
          <w:color w:val="auto"/>
          <w:highlight w:val="none"/>
          <w:lang w:val="en-US" w:eastAsia="zh-CN"/>
        </w:rPr>
        <w:t>人实际用电量与申报电量的偏差，因电量偏差产生的考核费用（含安徽电力交易中心收取的罚款、违约金等），由中标人全额承担，不得向</w:t>
      </w:r>
      <w:r>
        <w:rPr>
          <w:rFonts w:hint="eastAsia"/>
          <w:bCs/>
          <w:color w:val="auto"/>
          <w:highlight w:val="none"/>
          <w:lang w:val="en-US" w:eastAsia="zh-CN"/>
        </w:rPr>
        <w:t>招标</w:t>
      </w:r>
      <w:r>
        <w:rPr>
          <w:rFonts w:hint="eastAsia" w:cs="宋体"/>
          <w:b w:val="0"/>
          <w:bCs/>
          <w:color w:val="auto"/>
          <w:highlight w:val="none"/>
          <w:lang w:val="en-US" w:eastAsia="zh-CN"/>
        </w:rPr>
        <w:t>人转嫁。</w:t>
      </w:r>
    </w:p>
    <w:p w14:paraId="5FAD32DD">
      <w:pPr>
        <w:pStyle w:val="58"/>
        <w:numPr>
          <w:ilvl w:val="0"/>
          <w:numId w:val="0"/>
        </w:numPr>
        <w:tabs>
          <w:tab w:val="left" w:pos="1140"/>
        </w:tabs>
        <w:snapToGrid w:val="0"/>
        <w:spacing w:line="360" w:lineRule="auto"/>
        <w:jc w:val="both"/>
        <w:rPr>
          <w:rFonts w:hint="eastAsia" w:ascii="宋体" w:hAnsi="宋体" w:eastAsia="宋体" w:cs="宋体"/>
          <w:b/>
          <w:bCs w:val="0"/>
          <w:color w:val="auto"/>
          <w:highlight w:val="none"/>
          <w:lang w:val="en-US" w:eastAsia="zh-CN"/>
        </w:rPr>
      </w:pPr>
      <w:r>
        <w:rPr>
          <w:rFonts w:hint="eastAsia" w:cs="宋体"/>
          <w:b/>
          <w:bCs w:val="0"/>
          <w:color w:val="auto"/>
          <w:highlight w:val="none"/>
          <w:lang w:val="en-US" w:eastAsia="zh-CN"/>
        </w:rPr>
        <w:t>五</w:t>
      </w:r>
      <w:r>
        <w:rPr>
          <w:rFonts w:hint="eastAsia" w:ascii="宋体" w:hAnsi="宋体" w:eastAsia="宋体" w:cs="宋体"/>
          <w:b/>
          <w:bCs w:val="0"/>
          <w:color w:val="auto"/>
          <w:highlight w:val="none"/>
          <w:lang w:val="en-US" w:eastAsia="zh-CN"/>
        </w:rPr>
        <w:t>、配套服务</w:t>
      </w:r>
    </w:p>
    <w:p w14:paraId="0813B47E">
      <w:pPr>
        <w:pStyle w:val="58"/>
        <w:numPr>
          <w:ilvl w:val="0"/>
          <w:numId w:val="0"/>
        </w:numPr>
        <w:tabs>
          <w:tab w:val="left" w:pos="1140"/>
        </w:tabs>
        <w:snapToGrid w:val="0"/>
        <w:spacing w:line="360" w:lineRule="auto"/>
        <w:ind w:firstLine="480" w:firstLineChars="200"/>
        <w:jc w:val="both"/>
        <w:rPr>
          <w:rFonts w:hint="eastAsia"/>
          <w:bCs/>
          <w:color w:val="auto"/>
          <w:highlight w:val="none"/>
          <w:lang w:val="en-US" w:eastAsia="zh-CN"/>
        </w:rPr>
      </w:pPr>
      <w:r>
        <w:rPr>
          <w:rFonts w:hint="eastAsia"/>
          <w:bCs/>
          <w:color w:val="auto"/>
          <w:highlight w:val="none"/>
          <w:lang w:val="en-US" w:eastAsia="zh-CN"/>
        </w:rPr>
        <w:t>1.配套服务包括但不限于电能效分析、配电系统运维巡检及预防性试验、节能培训服务等方面。</w:t>
      </w:r>
    </w:p>
    <w:p w14:paraId="53A807EE">
      <w:pPr>
        <w:pStyle w:val="58"/>
        <w:numPr>
          <w:ilvl w:val="0"/>
          <w:numId w:val="0"/>
        </w:numPr>
        <w:tabs>
          <w:tab w:val="left" w:pos="1140"/>
        </w:tabs>
        <w:snapToGrid w:val="0"/>
        <w:spacing w:line="360" w:lineRule="auto"/>
        <w:ind w:firstLine="480" w:firstLineChars="200"/>
        <w:jc w:val="both"/>
        <w:rPr>
          <w:rFonts w:hint="eastAsia"/>
          <w:bCs/>
          <w:color w:val="auto"/>
          <w:highlight w:val="none"/>
          <w:lang w:val="en-US" w:eastAsia="zh-CN"/>
        </w:rPr>
      </w:pPr>
      <w:r>
        <w:rPr>
          <w:rFonts w:hint="eastAsia"/>
          <w:bCs/>
          <w:color w:val="auto"/>
          <w:highlight w:val="none"/>
          <w:lang w:val="en-US" w:eastAsia="zh-CN"/>
        </w:rPr>
        <w:t>2.投标人根据自身的优势结合招标人现状向招标人提供配套服务，相应的费用由投标人承担，</w:t>
      </w:r>
      <w:r>
        <w:rPr>
          <w:rFonts w:hint="eastAsia"/>
          <w:b/>
          <w:bCs w:val="0"/>
          <w:color w:val="auto"/>
          <w:highlight w:val="none"/>
          <w:lang w:val="en-US" w:eastAsia="zh-CN"/>
        </w:rPr>
        <w:t>投标文件中提供相应的承诺函（提供承诺函，格式自拟）。</w:t>
      </w:r>
    </w:p>
    <w:p w14:paraId="4CC4FD25">
      <w:pPr>
        <w:pStyle w:val="58"/>
        <w:numPr>
          <w:ilvl w:val="0"/>
          <w:numId w:val="0"/>
        </w:numPr>
        <w:tabs>
          <w:tab w:val="left" w:pos="1140"/>
        </w:tabs>
        <w:snapToGrid w:val="0"/>
        <w:spacing w:line="360" w:lineRule="auto"/>
        <w:ind w:firstLine="480" w:firstLineChars="200"/>
        <w:jc w:val="both"/>
        <w:rPr>
          <w:rFonts w:hint="eastAsia"/>
          <w:bCs/>
          <w:color w:val="auto"/>
          <w:highlight w:val="none"/>
          <w:lang w:val="en-US" w:eastAsia="zh-CN"/>
        </w:rPr>
      </w:pPr>
      <w:r>
        <w:rPr>
          <w:rFonts w:hint="eastAsia"/>
          <w:bCs/>
          <w:color w:val="auto"/>
          <w:highlight w:val="none"/>
          <w:lang w:val="en-US" w:eastAsia="zh-CN"/>
        </w:rPr>
        <w:t>3.投标文件中应提供详细的配套服务实施方案。</w:t>
      </w:r>
    </w:p>
    <w:p w14:paraId="525BF9D5">
      <w:pPr>
        <w:pStyle w:val="58"/>
        <w:numPr>
          <w:ilvl w:val="0"/>
          <w:numId w:val="0"/>
        </w:numPr>
        <w:tabs>
          <w:tab w:val="left" w:pos="1140"/>
        </w:tabs>
        <w:snapToGrid w:val="0"/>
        <w:spacing w:line="360" w:lineRule="auto"/>
        <w:jc w:val="both"/>
        <w:rPr>
          <w:rFonts w:hint="default" w:ascii="宋体" w:hAnsi="宋体" w:eastAsia="宋体" w:cs="宋体"/>
          <w:b/>
          <w:bCs w:val="0"/>
          <w:color w:val="auto"/>
          <w:highlight w:val="none"/>
          <w:lang w:val="en-US" w:eastAsia="zh-CN"/>
        </w:rPr>
      </w:pPr>
      <w:r>
        <w:rPr>
          <w:rFonts w:hint="eastAsia" w:cs="宋体"/>
          <w:b/>
          <w:bCs w:val="0"/>
          <w:color w:val="auto"/>
          <w:highlight w:val="none"/>
          <w:lang w:val="en-US" w:eastAsia="zh-CN"/>
        </w:rPr>
        <w:t>六</w:t>
      </w:r>
      <w:r>
        <w:rPr>
          <w:rFonts w:hint="eastAsia" w:ascii="宋体" w:hAnsi="宋体" w:eastAsia="宋体" w:cs="宋体"/>
          <w:b/>
          <w:bCs w:val="0"/>
          <w:color w:val="auto"/>
          <w:highlight w:val="none"/>
          <w:lang w:val="en-US" w:eastAsia="zh-CN"/>
        </w:rPr>
        <w:t>、应急方案</w:t>
      </w:r>
    </w:p>
    <w:p w14:paraId="1F7B46AF">
      <w:pPr>
        <w:pStyle w:val="58"/>
        <w:numPr>
          <w:ilvl w:val="0"/>
          <w:numId w:val="0"/>
        </w:numPr>
        <w:tabs>
          <w:tab w:val="left" w:pos="1140"/>
        </w:tabs>
        <w:snapToGrid w:val="0"/>
        <w:spacing w:line="360" w:lineRule="auto"/>
        <w:ind w:firstLine="480" w:firstLineChars="200"/>
        <w:jc w:val="both"/>
        <w:rPr>
          <w:rFonts w:hint="eastAsia"/>
          <w:bCs/>
          <w:color w:val="auto"/>
          <w:highlight w:val="none"/>
          <w:lang w:val="en-US" w:eastAsia="zh-CN"/>
        </w:rPr>
      </w:pPr>
      <w:r>
        <w:rPr>
          <w:rFonts w:hint="eastAsia"/>
          <w:bCs/>
          <w:color w:val="auto"/>
          <w:highlight w:val="none"/>
          <w:lang w:val="en-US" w:eastAsia="zh-CN"/>
        </w:rPr>
        <w:t>1.投标人应具备完善的应急处理方案，以保障项目顺利实施，包括但不限于以下内容：用电高峰的电力保障、特殊情况下的电力调度等。</w:t>
      </w:r>
    </w:p>
    <w:p w14:paraId="682CC542">
      <w:pPr>
        <w:pStyle w:val="58"/>
        <w:numPr>
          <w:ilvl w:val="0"/>
          <w:numId w:val="0"/>
        </w:numPr>
        <w:tabs>
          <w:tab w:val="left" w:pos="1140"/>
        </w:tabs>
        <w:snapToGrid w:val="0"/>
        <w:spacing w:line="360" w:lineRule="auto"/>
        <w:ind w:firstLine="480" w:firstLineChars="200"/>
        <w:jc w:val="both"/>
        <w:rPr>
          <w:rFonts w:hint="eastAsia"/>
          <w:bCs/>
          <w:color w:val="auto"/>
          <w:highlight w:val="none"/>
          <w:lang w:val="en-US" w:eastAsia="zh-CN"/>
        </w:rPr>
      </w:pPr>
      <w:r>
        <w:rPr>
          <w:rFonts w:hint="eastAsia"/>
          <w:bCs/>
          <w:color w:val="auto"/>
          <w:highlight w:val="none"/>
          <w:lang w:val="en-US" w:eastAsia="zh-CN"/>
        </w:rPr>
        <w:t>2.投标人根据以往项目经验，结合招标人单位的实际情况编制应急方案，对各种应急事件有针对性的应急预案和相应应急措施。</w:t>
      </w:r>
    </w:p>
    <w:p w14:paraId="09354E96">
      <w:pPr>
        <w:pStyle w:val="58"/>
        <w:numPr>
          <w:ilvl w:val="0"/>
          <w:numId w:val="0"/>
        </w:numPr>
        <w:tabs>
          <w:tab w:val="left" w:pos="1140"/>
        </w:tabs>
        <w:snapToGrid w:val="0"/>
        <w:spacing w:line="360" w:lineRule="auto"/>
        <w:jc w:val="both"/>
        <w:rPr>
          <w:rFonts w:hint="eastAsia" w:ascii="宋体" w:hAnsi="宋体" w:eastAsia="宋体" w:cs="宋体"/>
          <w:b/>
          <w:bCs w:val="0"/>
          <w:color w:val="auto"/>
          <w:highlight w:val="none"/>
          <w:lang w:val="en-US" w:eastAsia="zh-CN"/>
        </w:rPr>
      </w:pPr>
      <w:r>
        <w:rPr>
          <w:rFonts w:hint="eastAsia" w:cs="宋体"/>
          <w:b/>
          <w:bCs w:val="0"/>
          <w:color w:val="auto"/>
          <w:highlight w:val="none"/>
          <w:lang w:val="en-US" w:eastAsia="zh-CN"/>
        </w:rPr>
        <w:t>七</w:t>
      </w:r>
      <w:r>
        <w:rPr>
          <w:rFonts w:hint="eastAsia" w:ascii="宋体" w:hAnsi="宋体" w:eastAsia="宋体" w:cs="宋体"/>
          <w:b/>
          <w:bCs w:val="0"/>
          <w:color w:val="auto"/>
          <w:highlight w:val="none"/>
          <w:lang w:val="en-US" w:eastAsia="zh-CN"/>
        </w:rPr>
        <w:t>、特别提示</w:t>
      </w:r>
    </w:p>
    <w:p w14:paraId="001B0BF0">
      <w:pPr>
        <w:pStyle w:val="58"/>
        <w:numPr>
          <w:ilvl w:val="0"/>
          <w:numId w:val="0"/>
        </w:numPr>
        <w:tabs>
          <w:tab w:val="left" w:pos="1140"/>
        </w:tabs>
        <w:snapToGrid w:val="0"/>
        <w:spacing w:line="360" w:lineRule="auto"/>
        <w:ind w:firstLine="482" w:firstLineChars="200"/>
        <w:jc w:val="both"/>
        <w:rPr>
          <w:rFonts w:hint="default"/>
          <w:b/>
          <w:bCs w:val="0"/>
          <w:color w:val="auto"/>
          <w:highlight w:val="none"/>
          <w:lang w:val="en-US" w:eastAsia="zh-CN"/>
        </w:rPr>
      </w:pPr>
      <w:r>
        <w:rPr>
          <w:rFonts w:hint="eastAsia"/>
          <w:b/>
          <w:bCs w:val="0"/>
          <w:color w:val="auto"/>
          <w:highlight w:val="none"/>
          <w:lang w:val="en-US" w:eastAsia="zh-CN"/>
        </w:rPr>
        <w:t>1.</w:t>
      </w:r>
      <w:r>
        <w:rPr>
          <w:rFonts w:hint="default"/>
          <w:b/>
          <w:bCs w:val="0"/>
          <w:color w:val="auto"/>
          <w:highlight w:val="none"/>
          <w:lang w:val="en-US" w:eastAsia="zh-CN"/>
        </w:rPr>
        <w:t>本</w:t>
      </w:r>
      <w:r>
        <w:rPr>
          <w:rFonts w:hint="eastAsia"/>
          <w:b/>
          <w:bCs w:val="0"/>
          <w:color w:val="auto"/>
          <w:highlight w:val="none"/>
          <w:lang w:val="en-US" w:eastAsia="zh-CN"/>
        </w:rPr>
        <w:t>项目（合同）</w:t>
      </w:r>
      <w:r>
        <w:rPr>
          <w:rFonts w:hint="default"/>
          <w:b/>
          <w:bCs w:val="0"/>
          <w:color w:val="auto"/>
          <w:highlight w:val="none"/>
          <w:lang w:val="en-US" w:eastAsia="zh-CN"/>
        </w:rPr>
        <w:t>“成交电价”仅指售电公司代理用户参与市场化交易的电价，不含上网环节线损费、输配电费、系统运行费、政府性基金及附加</w:t>
      </w:r>
      <w:r>
        <w:rPr>
          <w:rFonts w:hint="eastAsia"/>
          <w:b/>
          <w:bCs w:val="0"/>
          <w:color w:val="auto"/>
          <w:highlight w:val="none"/>
          <w:lang w:val="en-US" w:eastAsia="zh-CN"/>
        </w:rPr>
        <w:t>等</w:t>
      </w:r>
      <w:r>
        <w:rPr>
          <w:rFonts w:hint="default"/>
          <w:b/>
          <w:bCs w:val="0"/>
          <w:color w:val="auto"/>
          <w:highlight w:val="none"/>
          <w:lang w:val="en-US" w:eastAsia="zh-CN"/>
        </w:rPr>
        <w:t>；</w:t>
      </w:r>
    </w:p>
    <w:p w14:paraId="11BA50EE">
      <w:pPr>
        <w:pStyle w:val="58"/>
        <w:numPr>
          <w:ilvl w:val="0"/>
          <w:numId w:val="0"/>
        </w:numPr>
        <w:tabs>
          <w:tab w:val="left" w:pos="1140"/>
        </w:tabs>
        <w:snapToGrid w:val="0"/>
        <w:spacing w:line="360" w:lineRule="auto"/>
        <w:ind w:firstLine="482" w:firstLineChars="200"/>
        <w:jc w:val="both"/>
        <w:rPr>
          <w:rFonts w:hint="default" w:ascii="宋体" w:hAnsi="宋体" w:eastAsia="宋体" w:cs="宋体"/>
          <w:b/>
          <w:bCs w:val="0"/>
          <w:color w:val="auto"/>
          <w:highlight w:val="none"/>
          <w:lang w:val="en-US" w:eastAsia="zh-CN"/>
        </w:rPr>
      </w:pPr>
      <w:r>
        <w:rPr>
          <w:rFonts w:hint="eastAsia"/>
          <w:b/>
          <w:bCs w:val="0"/>
          <w:color w:val="auto"/>
          <w:highlight w:val="none"/>
          <w:lang w:val="en-US" w:eastAsia="zh-CN"/>
        </w:rPr>
        <w:t>2.招标</w:t>
      </w:r>
      <w:r>
        <w:rPr>
          <w:rFonts w:hint="default"/>
          <w:b/>
          <w:bCs w:val="0"/>
          <w:color w:val="auto"/>
          <w:highlight w:val="none"/>
          <w:lang w:val="en-US" w:eastAsia="zh-CN"/>
        </w:rPr>
        <w:t>人实际结算购电费</w:t>
      </w:r>
      <w:r>
        <w:rPr>
          <w:rFonts w:hint="eastAsia"/>
          <w:b/>
          <w:bCs w:val="0"/>
          <w:color w:val="auto"/>
          <w:highlight w:val="none"/>
          <w:lang w:val="en-US" w:eastAsia="zh-CN"/>
        </w:rPr>
        <w:t>用</w:t>
      </w:r>
      <w:r>
        <w:rPr>
          <w:rFonts w:hint="default"/>
          <w:b/>
          <w:bCs w:val="0"/>
          <w:color w:val="auto"/>
          <w:highlight w:val="none"/>
          <w:lang w:val="en-US" w:eastAsia="zh-CN"/>
        </w:rPr>
        <w:t>，需在上述成交电价基础上，叠加上述各项未包含的费用。</w:t>
      </w:r>
    </w:p>
    <w:p w14:paraId="2E0C2604">
      <w:pPr>
        <w:pStyle w:val="58"/>
        <w:numPr>
          <w:ilvl w:val="0"/>
          <w:numId w:val="0"/>
        </w:numPr>
        <w:tabs>
          <w:tab w:val="left" w:pos="1140"/>
        </w:tabs>
        <w:snapToGrid w:val="0"/>
        <w:spacing w:line="360" w:lineRule="auto"/>
        <w:jc w:val="both"/>
        <w:rPr>
          <w:rFonts w:hint="eastAsia" w:cs="宋体"/>
          <w:b/>
          <w:bCs w:val="0"/>
          <w:color w:val="auto"/>
          <w:highlight w:val="none"/>
          <w:lang w:val="en-US" w:eastAsia="zh-CN"/>
        </w:rPr>
      </w:pPr>
      <w:r>
        <w:rPr>
          <w:rFonts w:hint="eastAsia" w:cs="宋体"/>
          <w:b/>
          <w:bCs w:val="0"/>
          <w:color w:val="auto"/>
          <w:highlight w:val="none"/>
          <w:lang w:val="en-US" w:eastAsia="zh-CN"/>
        </w:rPr>
        <w:t>八、重要提示----“安徽电力零售市场零售套餐参数2026年版”说明条款</w:t>
      </w:r>
    </w:p>
    <w:p w14:paraId="4CA85C4B">
      <w:pPr>
        <w:pStyle w:val="92"/>
        <w:keepNext w:val="0"/>
        <w:keepLines w:val="0"/>
        <w:pageBreakBefore w:val="0"/>
        <w:widowControl w:val="0"/>
        <w:numPr>
          <w:ilvl w:val="0"/>
          <w:numId w:val="0"/>
        </w:numPr>
        <w:tabs>
          <w:tab w:val="left" w:pos="262"/>
        </w:tabs>
        <w:kinsoku/>
        <w:wordWrap/>
        <w:overflowPunct/>
        <w:topLinePunct w:val="0"/>
        <w:autoSpaceDE w:val="0"/>
        <w:autoSpaceDN w:val="0"/>
        <w:bidi w:val="0"/>
        <w:adjustRightInd/>
        <w:snapToGrid/>
        <w:spacing w:before="0" w:after="0" w:line="360" w:lineRule="auto"/>
        <w:ind w:left="23" w:leftChars="0" w:right="0" w:rightChars="0" w:firstLine="480" w:firstLineChars="200"/>
        <w:jc w:val="left"/>
        <w:textAlignment w:val="auto"/>
        <w:rPr>
          <w:rFonts w:hint="eastAsia" w:ascii="宋体" w:hAnsi="宋体" w:eastAsia="宋体" w:cs="宋体"/>
          <w:b w:val="0"/>
          <w:bCs w:val="0"/>
          <w:sz w:val="24"/>
          <w:szCs w:val="48"/>
        </w:rPr>
      </w:pPr>
      <w:r>
        <w:rPr>
          <w:rFonts w:hint="eastAsia" w:ascii="宋体" w:hAnsi="宋体" w:eastAsia="宋体" w:cs="宋体"/>
          <w:b w:val="0"/>
          <w:bCs w:val="0"/>
          <w:sz w:val="24"/>
          <w:szCs w:val="48"/>
          <w:lang w:val="en-US" w:eastAsia="zh-CN"/>
        </w:rPr>
        <w:t>1.甲方各时段电能量按照约定的零售套餐价格结算。常规电量单位为兆瓦时（保留三位小数），绿电电量单位为兆瓦时（整数）；电价（含税）单位为元/兆瓦时（保留三位小数）；比例为%。</w:t>
      </w:r>
    </w:p>
    <w:p w14:paraId="637B5806">
      <w:pPr>
        <w:pStyle w:val="92"/>
        <w:keepNext w:val="0"/>
        <w:keepLines w:val="0"/>
        <w:pageBreakBefore w:val="0"/>
        <w:widowControl w:val="0"/>
        <w:numPr>
          <w:ilvl w:val="0"/>
          <w:numId w:val="0"/>
        </w:numPr>
        <w:tabs>
          <w:tab w:val="left" w:pos="262"/>
        </w:tabs>
        <w:kinsoku/>
        <w:wordWrap/>
        <w:overflowPunct/>
        <w:topLinePunct w:val="0"/>
        <w:autoSpaceDE w:val="0"/>
        <w:autoSpaceDN w:val="0"/>
        <w:bidi w:val="0"/>
        <w:adjustRightInd/>
        <w:snapToGrid/>
        <w:spacing w:before="0" w:after="0" w:line="360" w:lineRule="auto"/>
        <w:ind w:left="23" w:leftChars="0" w:right="0" w:rightChars="0" w:firstLine="480" w:firstLineChars="200"/>
        <w:jc w:val="left"/>
        <w:textAlignment w:val="auto"/>
        <w:rPr>
          <w:rFonts w:hint="eastAsia" w:ascii="宋体" w:hAnsi="宋体" w:eastAsia="宋体" w:cs="宋体"/>
          <w:b w:val="0"/>
          <w:bCs w:val="0"/>
          <w:sz w:val="24"/>
          <w:szCs w:val="48"/>
        </w:rPr>
      </w:pPr>
      <w:r>
        <w:rPr>
          <w:rFonts w:hint="eastAsia" w:ascii="宋体" w:hAnsi="宋体" w:eastAsia="宋体" w:cs="宋体"/>
          <w:b w:val="0"/>
          <w:bCs w:val="0"/>
          <w:sz w:val="24"/>
          <w:szCs w:val="48"/>
          <w:lang w:val="en-US" w:eastAsia="zh-CN"/>
        </w:rPr>
        <w:t>2.套餐一电能量占比K</w:t>
      </w:r>
      <w:r>
        <w:rPr>
          <w:rFonts w:hint="eastAsia" w:ascii="宋体" w:hAnsi="宋体" w:eastAsia="宋体" w:cs="宋体"/>
          <w:b w:val="0"/>
          <w:bCs w:val="0"/>
          <w:sz w:val="24"/>
          <w:szCs w:val="48"/>
          <w:vertAlign w:val="subscript"/>
          <w:lang w:val="en-US" w:eastAsia="zh-CN"/>
        </w:rPr>
        <w:t>1</w:t>
      </w:r>
      <w:r>
        <w:rPr>
          <w:rFonts w:hint="eastAsia" w:ascii="宋体" w:hAnsi="宋体" w:eastAsia="宋体" w:cs="宋体"/>
          <w:b w:val="0"/>
          <w:bCs w:val="0"/>
          <w:sz w:val="24"/>
          <w:szCs w:val="48"/>
          <w:lang w:val="en-US" w:eastAsia="zh-CN"/>
        </w:rPr>
        <w:t>%不高于50%（以《安徽电力中长期交易实施方案（2026年版）》公布数值为准），不能单独选择，需与套餐二或套餐三形成组合套餐；套餐二或套餐三可以单独选择（单独选择时K</w:t>
      </w:r>
      <w:r>
        <w:rPr>
          <w:rFonts w:hint="eastAsia" w:ascii="宋体" w:hAnsi="宋体" w:eastAsia="宋体" w:cs="宋体"/>
          <w:b w:val="0"/>
          <w:bCs w:val="0"/>
          <w:sz w:val="24"/>
          <w:szCs w:val="48"/>
          <w:vertAlign w:val="subscript"/>
          <w:lang w:val="en-US" w:eastAsia="zh-CN"/>
        </w:rPr>
        <w:t>2</w:t>
      </w:r>
      <w:r>
        <w:rPr>
          <w:rFonts w:hint="eastAsia" w:ascii="宋体" w:hAnsi="宋体" w:eastAsia="宋体" w:cs="宋体"/>
          <w:b w:val="0"/>
          <w:bCs w:val="0"/>
          <w:sz w:val="24"/>
          <w:szCs w:val="48"/>
          <w:lang w:val="en-US" w:eastAsia="zh-CN"/>
        </w:rPr>
        <w:t>或K</w:t>
      </w:r>
      <w:r>
        <w:rPr>
          <w:rFonts w:hint="eastAsia" w:ascii="宋体" w:hAnsi="宋体" w:eastAsia="宋体" w:cs="宋体"/>
          <w:b w:val="0"/>
          <w:bCs w:val="0"/>
          <w:sz w:val="24"/>
          <w:szCs w:val="48"/>
          <w:vertAlign w:val="subscript"/>
          <w:lang w:val="en-US" w:eastAsia="zh-CN"/>
        </w:rPr>
        <w:t>3</w:t>
      </w:r>
      <w:r>
        <w:rPr>
          <w:rFonts w:hint="eastAsia" w:ascii="宋体" w:hAnsi="宋体" w:eastAsia="宋体" w:cs="宋体"/>
          <w:b w:val="0"/>
          <w:bCs w:val="0"/>
          <w:sz w:val="24"/>
          <w:szCs w:val="48"/>
          <w:lang w:val="en-US" w:eastAsia="zh-CN"/>
        </w:rPr>
        <w:t>为100）。</w:t>
      </w:r>
    </w:p>
    <w:p w14:paraId="3F56D225">
      <w:pPr>
        <w:pStyle w:val="92"/>
        <w:keepNext w:val="0"/>
        <w:keepLines w:val="0"/>
        <w:pageBreakBefore w:val="0"/>
        <w:widowControl w:val="0"/>
        <w:numPr>
          <w:ilvl w:val="0"/>
          <w:numId w:val="0"/>
        </w:numPr>
        <w:tabs>
          <w:tab w:val="left" w:pos="262"/>
        </w:tabs>
        <w:kinsoku/>
        <w:wordWrap/>
        <w:overflowPunct/>
        <w:topLinePunct w:val="0"/>
        <w:autoSpaceDE w:val="0"/>
        <w:autoSpaceDN w:val="0"/>
        <w:bidi w:val="0"/>
        <w:adjustRightInd/>
        <w:snapToGrid/>
        <w:spacing w:before="0" w:after="0" w:line="360" w:lineRule="auto"/>
        <w:ind w:left="23" w:leftChars="0" w:right="0" w:rightChars="0" w:firstLine="480" w:firstLineChars="200"/>
        <w:jc w:val="left"/>
        <w:textAlignment w:val="auto"/>
        <w:rPr>
          <w:rFonts w:hint="eastAsia" w:ascii="宋体" w:hAnsi="宋体" w:eastAsia="宋体" w:cs="宋体"/>
          <w:b w:val="0"/>
          <w:bCs w:val="0"/>
          <w:sz w:val="24"/>
          <w:szCs w:val="48"/>
        </w:rPr>
      </w:pPr>
      <w:r>
        <w:rPr>
          <w:rFonts w:hint="eastAsia" w:ascii="宋体" w:hAnsi="宋体" w:eastAsia="宋体" w:cs="宋体"/>
          <w:b w:val="0"/>
          <w:bCs w:val="0"/>
          <w:sz w:val="24"/>
          <w:szCs w:val="48"/>
          <w:lang w:val="en-US" w:eastAsia="zh-CN"/>
        </w:rPr>
        <w:t>3.K</w:t>
      </w:r>
      <w:r>
        <w:rPr>
          <w:rFonts w:hint="eastAsia" w:ascii="宋体" w:hAnsi="宋体" w:eastAsia="宋体" w:cs="宋体"/>
          <w:b w:val="0"/>
          <w:bCs w:val="0"/>
          <w:sz w:val="24"/>
          <w:szCs w:val="48"/>
          <w:vertAlign w:val="subscript"/>
          <w:lang w:val="en-US" w:eastAsia="zh-CN"/>
        </w:rPr>
        <w:t>1</w:t>
      </w:r>
      <w:r>
        <w:rPr>
          <w:rFonts w:hint="eastAsia" w:ascii="宋体" w:hAnsi="宋体" w:eastAsia="宋体" w:cs="宋体"/>
          <w:b w:val="0"/>
          <w:bCs w:val="0"/>
          <w:sz w:val="24"/>
          <w:szCs w:val="48"/>
          <w:lang w:val="en-US" w:eastAsia="zh-CN"/>
        </w:rPr>
        <w:t>、K</w:t>
      </w:r>
      <w:r>
        <w:rPr>
          <w:rFonts w:hint="eastAsia" w:ascii="宋体" w:hAnsi="宋体" w:eastAsia="宋体" w:cs="宋体"/>
          <w:b w:val="0"/>
          <w:bCs w:val="0"/>
          <w:sz w:val="24"/>
          <w:szCs w:val="48"/>
          <w:vertAlign w:val="subscript"/>
          <w:lang w:val="en-US" w:eastAsia="zh-CN"/>
        </w:rPr>
        <w:t>2</w:t>
      </w:r>
      <w:r>
        <w:rPr>
          <w:rFonts w:hint="eastAsia" w:ascii="宋体" w:hAnsi="宋体" w:eastAsia="宋体" w:cs="宋体"/>
          <w:b w:val="0"/>
          <w:bCs w:val="0"/>
          <w:sz w:val="24"/>
          <w:szCs w:val="48"/>
          <w:lang w:val="en-US" w:eastAsia="zh-CN"/>
        </w:rPr>
        <w:t>、K</w:t>
      </w:r>
      <w:r>
        <w:rPr>
          <w:rFonts w:hint="eastAsia" w:ascii="宋体" w:hAnsi="宋体" w:eastAsia="宋体" w:cs="宋体"/>
          <w:b w:val="0"/>
          <w:bCs w:val="0"/>
          <w:sz w:val="24"/>
          <w:szCs w:val="48"/>
          <w:vertAlign w:val="subscript"/>
          <w:lang w:val="en-US" w:eastAsia="zh-CN"/>
        </w:rPr>
        <w:t>3</w:t>
      </w:r>
      <w:r>
        <w:rPr>
          <w:rFonts w:hint="eastAsia" w:ascii="宋体" w:hAnsi="宋体" w:eastAsia="宋体" w:cs="宋体"/>
          <w:b w:val="0"/>
          <w:bCs w:val="0"/>
          <w:sz w:val="24"/>
          <w:szCs w:val="48"/>
          <w:lang w:val="en-US" w:eastAsia="zh-CN"/>
        </w:rPr>
        <w:t>均为整数，0≤K</w:t>
      </w:r>
      <w:r>
        <w:rPr>
          <w:rFonts w:hint="eastAsia" w:ascii="宋体" w:hAnsi="宋体" w:eastAsia="宋体" w:cs="宋体"/>
          <w:b w:val="0"/>
          <w:bCs w:val="0"/>
          <w:sz w:val="24"/>
          <w:szCs w:val="48"/>
          <w:vertAlign w:val="subscript"/>
          <w:lang w:val="en-US" w:eastAsia="zh-CN"/>
        </w:rPr>
        <w:t>1</w:t>
      </w:r>
      <w:r>
        <w:rPr>
          <w:rFonts w:hint="eastAsia" w:ascii="宋体" w:hAnsi="宋体" w:eastAsia="宋体" w:cs="宋体"/>
          <w:b w:val="0"/>
          <w:bCs w:val="0"/>
          <w:sz w:val="24"/>
          <w:szCs w:val="48"/>
          <w:lang w:val="en-US" w:eastAsia="zh-CN"/>
        </w:rPr>
        <w:t>≤50；0≤K</w:t>
      </w:r>
      <w:r>
        <w:rPr>
          <w:rFonts w:hint="eastAsia" w:ascii="宋体" w:hAnsi="宋体" w:eastAsia="宋体" w:cs="宋体"/>
          <w:b w:val="0"/>
          <w:bCs w:val="0"/>
          <w:sz w:val="24"/>
          <w:szCs w:val="48"/>
          <w:vertAlign w:val="subscript"/>
          <w:lang w:val="en-US" w:eastAsia="zh-CN"/>
        </w:rPr>
        <w:t>2</w:t>
      </w:r>
      <w:r>
        <w:rPr>
          <w:rFonts w:hint="eastAsia" w:ascii="宋体" w:hAnsi="宋体" w:eastAsia="宋体" w:cs="宋体"/>
          <w:b w:val="0"/>
          <w:bCs w:val="0"/>
          <w:sz w:val="24"/>
          <w:szCs w:val="48"/>
          <w:lang w:val="en-US" w:eastAsia="zh-CN"/>
        </w:rPr>
        <w:t>≤100；0≤K</w:t>
      </w:r>
      <w:r>
        <w:rPr>
          <w:rFonts w:hint="eastAsia" w:ascii="宋体" w:hAnsi="宋体" w:eastAsia="宋体" w:cs="宋体"/>
          <w:b w:val="0"/>
          <w:bCs w:val="0"/>
          <w:sz w:val="24"/>
          <w:szCs w:val="48"/>
          <w:vertAlign w:val="subscript"/>
          <w:lang w:val="en-US" w:eastAsia="zh-CN"/>
        </w:rPr>
        <w:t>3</w:t>
      </w:r>
      <w:r>
        <w:rPr>
          <w:rFonts w:hint="eastAsia" w:ascii="宋体" w:hAnsi="宋体" w:eastAsia="宋体" w:cs="宋体"/>
          <w:b w:val="0"/>
          <w:bCs w:val="0"/>
          <w:sz w:val="24"/>
          <w:szCs w:val="48"/>
          <w:lang w:val="en-US" w:eastAsia="zh-CN"/>
        </w:rPr>
        <w:t>≤100。组合套餐中，若选择套餐一，则K</w:t>
      </w:r>
      <w:r>
        <w:rPr>
          <w:rFonts w:hint="eastAsia" w:ascii="宋体" w:hAnsi="宋体" w:eastAsia="宋体" w:cs="宋体"/>
          <w:b w:val="0"/>
          <w:bCs w:val="0"/>
          <w:sz w:val="24"/>
          <w:szCs w:val="48"/>
          <w:vertAlign w:val="subscript"/>
          <w:lang w:val="en-US" w:eastAsia="zh-CN"/>
        </w:rPr>
        <w:t>1</w:t>
      </w:r>
      <w:r>
        <w:rPr>
          <w:rFonts w:hint="eastAsia" w:ascii="宋体" w:hAnsi="宋体" w:eastAsia="宋体" w:cs="宋体"/>
          <w:b w:val="0"/>
          <w:bCs w:val="0"/>
          <w:sz w:val="24"/>
          <w:szCs w:val="48"/>
          <w:lang w:val="en-US" w:eastAsia="zh-CN"/>
        </w:rPr>
        <w:t xml:space="preserve">低于20需用户法定代表人或授权代理人再次确认。 </w:t>
      </w:r>
    </w:p>
    <w:p w14:paraId="763913B0">
      <w:pPr>
        <w:pStyle w:val="92"/>
        <w:keepNext w:val="0"/>
        <w:keepLines w:val="0"/>
        <w:pageBreakBefore w:val="0"/>
        <w:widowControl w:val="0"/>
        <w:numPr>
          <w:ilvl w:val="0"/>
          <w:numId w:val="0"/>
        </w:numPr>
        <w:tabs>
          <w:tab w:val="left" w:pos="262"/>
        </w:tabs>
        <w:kinsoku/>
        <w:wordWrap/>
        <w:overflowPunct/>
        <w:topLinePunct w:val="0"/>
        <w:autoSpaceDE w:val="0"/>
        <w:autoSpaceDN w:val="0"/>
        <w:bidi w:val="0"/>
        <w:adjustRightInd/>
        <w:snapToGrid/>
        <w:spacing w:before="0" w:after="0" w:line="360" w:lineRule="auto"/>
        <w:ind w:left="23" w:leftChars="0" w:right="0" w:rightChars="0" w:firstLine="480" w:firstLineChars="200"/>
        <w:jc w:val="left"/>
        <w:textAlignment w:val="auto"/>
        <w:rPr>
          <w:rFonts w:hint="eastAsia" w:ascii="宋体" w:hAnsi="宋体" w:eastAsia="宋体" w:cs="宋体"/>
          <w:b w:val="0"/>
          <w:bCs w:val="0"/>
          <w:sz w:val="24"/>
          <w:szCs w:val="48"/>
        </w:rPr>
      </w:pPr>
      <w:r>
        <w:rPr>
          <w:rFonts w:hint="eastAsia" w:ascii="宋体" w:hAnsi="宋体" w:eastAsia="宋体" w:cs="宋体"/>
          <w:b w:val="0"/>
          <w:bCs w:val="0"/>
          <w:sz w:val="24"/>
          <w:szCs w:val="48"/>
          <w:lang w:val="en-US" w:eastAsia="zh-CN"/>
        </w:rPr>
        <w:t>4.套餐二P</w:t>
      </w:r>
      <w:r>
        <w:rPr>
          <w:rFonts w:hint="eastAsia" w:ascii="宋体" w:hAnsi="宋体" w:eastAsia="宋体" w:cs="宋体"/>
          <w:b w:val="0"/>
          <w:bCs w:val="0"/>
          <w:sz w:val="24"/>
          <w:szCs w:val="48"/>
          <w:vertAlign w:val="subscript"/>
          <w:lang w:val="en-US" w:eastAsia="zh-CN"/>
        </w:rPr>
        <w:t>浮动T</w:t>
      </w:r>
      <w:r>
        <w:rPr>
          <w:rFonts w:hint="eastAsia" w:ascii="宋体" w:hAnsi="宋体" w:eastAsia="宋体" w:cs="宋体"/>
          <w:b w:val="0"/>
          <w:bCs w:val="0"/>
          <w:sz w:val="24"/>
          <w:szCs w:val="48"/>
          <w:lang w:val="en-US" w:eastAsia="zh-CN"/>
        </w:rPr>
        <w:t xml:space="preserve">各时段数值一致，上浮超过上一年全体售电公司批发侧结算均价的 3%时需用户法定代表人或授权代理人再次确认 ；在2025年内签订2026年零售合同的，上一年全体售电公司批发侧结算均价数值计算范围为 2025年1月至10月（为 397.331元/兆瓦时）。 </w:t>
      </w:r>
    </w:p>
    <w:p w14:paraId="2EDFAE7B">
      <w:pPr>
        <w:pStyle w:val="92"/>
        <w:keepNext w:val="0"/>
        <w:keepLines w:val="0"/>
        <w:pageBreakBefore w:val="0"/>
        <w:widowControl w:val="0"/>
        <w:numPr>
          <w:ilvl w:val="0"/>
          <w:numId w:val="0"/>
        </w:numPr>
        <w:tabs>
          <w:tab w:val="left" w:pos="262"/>
        </w:tabs>
        <w:kinsoku/>
        <w:wordWrap/>
        <w:overflowPunct/>
        <w:topLinePunct w:val="0"/>
        <w:autoSpaceDE w:val="0"/>
        <w:autoSpaceDN w:val="0"/>
        <w:bidi w:val="0"/>
        <w:adjustRightInd/>
        <w:snapToGrid/>
        <w:spacing w:before="0" w:after="0" w:line="360" w:lineRule="auto"/>
        <w:ind w:left="23" w:leftChars="0" w:right="0" w:rightChars="0" w:firstLine="480" w:firstLineChars="200"/>
        <w:jc w:val="left"/>
        <w:textAlignment w:val="auto"/>
        <w:rPr>
          <w:rFonts w:hint="eastAsia" w:ascii="宋体" w:hAnsi="宋体" w:eastAsia="宋体" w:cs="宋体"/>
          <w:b w:val="0"/>
          <w:bCs w:val="0"/>
          <w:sz w:val="24"/>
          <w:szCs w:val="48"/>
        </w:rPr>
      </w:pPr>
      <w:r>
        <w:rPr>
          <w:rFonts w:hint="eastAsia" w:cs="宋体"/>
          <w:b w:val="0"/>
          <w:bCs w:val="0"/>
          <w:sz w:val="24"/>
          <w:szCs w:val="48"/>
          <w:lang w:val="en-US" w:eastAsia="zh-CN"/>
        </w:rPr>
        <w:t>5</w:t>
      </w:r>
      <w:r>
        <w:rPr>
          <w:rFonts w:hint="eastAsia" w:ascii="宋体" w:hAnsi="宋体" w:eastAsia="宋体" w:cs="宋体"/>
          <w:b w:val="0"/>
          <w:bCs w:val="0"/>
          <w:sz w:val="24"/>
          <w:szCs w:val="48"/>
          <w:lang w:val="en-US" w:eastAsia="zh-CN"/>
        </w:rPr>
        <w:t>.解约条款未勾选或K</w:t>
      </w:r>
      <w:r>
        <w:rPr>
          <w:rFonts w:hint="eastAsia" w:ascii="宋体" w:hAnsi="宋体" w:eastAsia="宋体" w:cs="宋体"/>
          <w:b w:val="0"/>
          <w:bCs w:val="0"/>
          <w:sz w:val="24"/>
          <w:szCs w:val="48"/>
          <w:vertAlign w:val="subscript"/>
          <w:lang w:val="en-US" w:eastAsia="zh-CN"/>
        </w:rPr>
        <w:t>解约</w:t>
      </w:r>
      <w:r>
        <w:rPr>
          <w:rFonts w:hint="eastAsia" w:ascii="宋体" w:hAnsi="宋体" w:eastAsia="宋体" w:cs="宋体"/>
          <w:b w:val="0"/>
          <w:bCs w:val="0"/>
          <w:sz w:val="24"/>
          <w:szCs w:val="48"/>
          <w:lang w:val="en-US" w:eastAsia="zh-CN"/>
        </w:rPr>
        <w:t xml:space="preserve">（保留一位小数）超过105的，需用户法定代表人或授权代理人再次确认。 </w:t>
      </w:r>
    </w:p>
    <w:p w14:paraId="568DFC2A">
      <w:pPr>
        <w:pStyle w:val="92"/>
        <w:keepNext w:val="0"/>
        <w:keepLines w:val="0"/>
        <w:pageBreakBefore w:val="0"/>
        <w:widowControl w:val="0"/>
        <w:numPr>
          <w:ilvl w:val="0"/>
          <w:numId w:val="0"/>
        </w:numPr>
        <w:tabs>
          <w:tab w:val="left" w:pos="262"/>
        </w:tabs>
        <w:kinsoku/>
        <w:wordWrap/>
        <w:overflowPunct/>
        <w:topLinePunct w:val="0"/>
        <w:autoSpaceDE w:val="0"/>
        <w:autoSpaceDN w:val="0"/>
        <w:bidi w:val="0"/>
        <w:adjustRightInd/>
        <w:snapToGrid/>
        <w:spacing w:before="0" w:after="0" w:line="360" w:lineRule="auto"/>
        <w:ind w:left="23" w:leftChars="0" w:right="0" w:rightChars="0" w:firstLine="480" w:firstLineChars="200"/>
        <w:jc w:val="left"/>
        <w:textAlignment w:val="auto"/>
        <w:rPr>
          <w:rFonts w:hint="eastAsia" w:ascii="宋体" w:hAnsi="宋体" w:eastAsia="宋体" w:cs="宋体"/>
          <w:b w:val="0"/>
          <w:bCs w:val="0"/>
          <w:sz w:val="24"/>
          <w:szCs w:val="48"/>
        </w:rPr>
      </w:pPr>
      <w:r>
        <w:rPr>
          <w:rFonts w:hint="eastAsia" w:cs="宋体"/>
          <w:b w:val="0"/>
          <w:bCs w:val="0"/>
          <w:sz w:val="24"/>
          <w:szCs w:val="48"/>
          <w:lang w:val="en-US" w:eastAsia="zh-CN"/>
        </w:rPr>
        <w:t>6</w:t>
      </w:r>
      <w:r>
        <w:rPr>
          <w:rFonts w:hint="eastAsia" w:ascii="宋体" w:hAnsi="宋体" w:eastAsia="宋体" w:cs="宋体"/>
          <w:b w:val="0"/>
          <w:bCs w:val="0"/>
          <w:sz w:val="24"/>
          <w:szCs w:val="48"/>
          <w:lang w:val="en-US" w:eastAsia="zh-CN"/>
        </w:rPr>
        <w:t>.P</w:t>
      </w:r>
      <w:r>
        <w:rPr>
          <w:rFonts w:hint="eastAsia" w:ascii="宋体" w:hAnsi="宋体" w:eastAsia="宋体" w:cs="宋体"/>
          <w:b w:val="0"/>
          <w:bCs w:val="0"/>
          <w:sz w:val="24"/>
          <w:szCs w:val="48"/>
          <w:vertAlign w:val="subscript"/>
          <w:lang w:val="en-US" w:eastAsia="zh-CN"/>
        </w:rPr>
        <w:t>售均T</w:t>
      </w:r>
      <w:r>
        <w:rPr>
          <w:rFonts w:hint="eastAsia" w:ascii="宋体" w:hAnsi="宋体" w:eastAsia="宋体" w:cs="宋体"/>
          <w:b w:val="0"/>
          <w:bCs w:val="0"/>
          <w:sz w:val="24"/>
          <w:szCs w:val="48"/>
          <w:lang w:val="en-US" w:eastAsia="zh-CN"/>
        </w:rPr>
        <w:t>为全体售电公司批发侧T时段电能量结算均价。本参数表中的P</w:t>
      </w:r>
      <w:r>
        <w:rPr>
          <w:rFonts w:hint="eastAsia" w:ascii="宋体" w:hAnsi="宋体" w:eastAsia="宋体" w:cs="宋体"/>
          <w:b w:val="0"/>
          <w:bCs w:val="0"/>
          <w:sz w:val="24"/>
          <w:szCs w:val="48"/>
          <w:vertAlign w:val="subscript"/>
          <w:lang w:val="en-US" w:eastAsia="zh-CN"/>
        </w:rPr>
        <w:t>售均T</w:t>
      </w:r>
      <w:r>
        <w:rPr>
          <w:rFonts w:hint="eastAsia" w:ascii="宋体" w:hAnsi="宋体" w:eastAsia="宋体" w:cs="宋体"/>
          <w:b w:val="0"/>
          <w:bCs w:val="0"/>
          <w:sz w:val="24"/>
          <w:szCs w:val="48"/>
          <w:lang w:val="en-US" w:eastAsia="zh-CN"/>
        </w:rPr>
        <w:t xml:space="preserve">、解约条款中的价格按照相关市场规则计算。 </w:t>
      </w:r>
    </w:p>
    <w:p w14:paraId="5D8119F5">
      <w:pPr>
        <w:pStyle w:val="92"/>
        <w:keepNext w:val="0"/>
        <w:keepLines w:val="0"/>
        <w:pageBreakBefore w:val="0"/>
        <w:widowControl w:val="0"/>
        <w:numPr>
          <w:ilvl w:val="0"/>
          <w:numId w:val="0"/>
        </w:numPr>
        <w:tabs>
          <w:tab w:val="left" w:pos="262"/>
        </w:tabs>
        <w:kinsoku/>
        <w:wordWrap/>
        <w:overflowPunct/>
        <w:topLinePunct w:val="0"/>
        <w:autoSpaceDE w:val="0"/>
        <w:autoSpaceDN w:val="0"/>
        <w:bidi w:val="0"/>
        <w:adjustRightInd/>
        <w:snapToGrid/>
        <w:spacing w:before="0" w:after="0" w:line="360" w:lineRule="auto"/>
        <w:ind w:left="23" w:leftChars="0" w:right="0" w:rightChars="0" w:firstLine="480" w:firstLineChars="200"/>
        <w:jc w:val="left"/>
        <w:textAlignment w:val="auto"/>
        <w:rPr>
          <w:rFonts w:hint="eastAsia" w:ascii="宋体" w:hAnsi="宋体" w:eastAsia="宋体" w:cs="宋体"/>
          <w:b w:val="0"/>
          <w:bCs w:val="0"/>
          <w:sz w:val="24"/>
          <w:szCs w:val="48"/>
          <w:lang w:val="en-US" w:eastAsia="zh-CN"/>
        </w:rPr>
      </w:pPr>
      <w:r>
        <w:rPr>
          <w:rFonts w:hint="eastAsia" w:cs="宋体"/>
          <w:b w:val="0"/>
          <w:bCs w:val="0"/>
          <w:sz w:val="24"/>
          <w:szCs w:val="48"/>
          <w:lang w:val="en-US" w:eastAsia="zh-CN"/>
        </w:rPr>
        <w:t>7</w:t>
      </w:r>
      <w:r>
        <w:rPr>
          <w:rFonts w:hint="eastAsia" w:ascii="宋体" w:hAnsi="宋体" w:eastAsia="宋体" w:cs="宋体"/>
          <w:b w:val="0"/>
          <w:bCs w:val="0"/>
          <w:sz w:val="24"/>
          <w:szCs w:val="48"/>
          <w:lang w:val="en-US" w:eastAsia="zh-CN"/>
        </w:rPr>
        <w:t>.当用户按本合同计算的月度结算均价高于当月全体售电公司批发侧结算均价103%或者绿色电力环境价值高于本年度全体售电公司已执行月份批发侧绿色电力环境价值均价110%时，省电力交易中心可对该用户进行市场风险提示。零售套餐价格参数提示阈值、零售套餐结算价格提示阈值可根据市场运行情况适时调整。</w:t>
      </w:r>
    </w:p>
    <w:p w14:paraId="4B0BFE18">
      <w:pPr>
        <w:pStyle w:val="92"/>
        <w:keepNext w:val="0"/>
        <w:keepLines w:val="0"/>
        <w:pageBreakBefore w:val="0"/>
        <w:widowControl w:val="0"/>
        <w:numPr>
          <w:ilvl w:val="0"/>
          <w:numId w:val="0"/>
        </w:numPr>
        <w:tabs>
          <w:tab w:val="left" w:pos="262"/>
        </w:tabs>
        <w:kinsoku/>
        <w:wordWrap/>
        <w:overflowPunct/>
        <w:topLinePunct w:val="0"/>
        <w:autoSpaceDE w:val="0"/>
        <w:autoSpaceDN w:val="0"/>
        <w:bidi w:val="0"/>
        <w:adjustRightInd/>
        <w:snapToGrid/>
        <w:spacing w:before="0" w:after="0" w:line="360" w:lineRule="auto"/>
        <w:ind w:left="23" w:leftChars="0" w:right="0" w:rightChars="0" w:firstLine="480" w:firstLineChars="200"/>
        <w:jc w:val="left"/>
        <w:textAlignment w:val="auto"/>
        <w:rPr>
          <w:rFonts w:hint="eastAsia" w:ascii="宋体" w:hAnsi="宋体" w:eastAsia="宋体" w:cs="宋体"/>
          <w:b w:val="0"/>
          <w:bCs w:val="0"/>
          <w:sz w:val="24"/>
          <w:szCs w:val="48"/>
          <w:lang w:val="en-US" w:eastAsia="zh-CN"/>
        </w:rPr>
      </w:pPr>
      <w:r>
        <w:rPr>
          <w:rFonts w:hint="eastAsia" w:ascii="宋体" w:hAnsi="宋体" w:eastAsia="宋体" w:cs="宋体"/>
          <w:b w:val="0"/>
          <w:bCs w:val="0"/>
          <w:sz w:val="24"/>
          <w:szCs w:val="48"/>
          <w:lang w:val="en-US" w:eastAsia="zh-CN"/>
        </w:rPr>
        <w:t>8.政府出台有关零售市场政策文件的，按照政府政策文件执行。</w:t>
      </w:r>
    </w:p>
    <w:p w14:paraId="7A12FF93">
      <w:pPr>
        <w:pStyle w:val="58"/>
        <w:numPr>
          <w:ilvl w:val="0"/>
          <w:numId w:val="0"/>
        </w:numPr>
        <w:tabs>
          <w:tab w:val="left" w:pos="1140"/>
        </w:tabs>
        <w:snapToGrid w:val="0"/>
        <w:spacing w:line="360" w:lineRule="auto"/>
        <w:ind w:firstLine="482" w:firstLineChars="200"/>
        <w:jc w:val="both"/>
        <w:rPr>
          <w:rFonts w:hint="default" w:cs="宋体"/>
          <w:b/>
          <w:bCs w:val="0"/>
          <w:color w:val="auto"/>
          <w:highlight w:val="none"/>
          <w:lang w:val="en-US" w:eastAsia="zh-CN"/>
        </w:rPr>
      </w:pPr>
    </w:p>
    <w:sectPr>
      <w:footerReference r:id="rId8" w:type="first"/>
      <w:footerReference r:id="rId7" w:type="default"/>
      <w:pgSz w:w="11906" w:h="16838"/>
      <w:pgMar w:top="1418" w:right="1077" w:bottom="1418" w:left="107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Sans Serif">
    <w:altName w:val="Arial"/>
    <w:panose1 w:val="020B05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CC0B1">
    <w:pPr>
      <w:pStyle w:val="2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CC503">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E1CC503">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8C6E8">
    <w:pPr>
      <w:pStyle w:val="5"/>
      <w:spacing w:line="14" w:lineRule="auto"/>
      <w:ind w:left="0"/>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1A869C">
                          <w:pPr>
                            <w:pStyle w:val="25"/>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51A869C">
                    <w:pPr>
                      <w:pStyle w:val="25"/>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215DB">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E4CA75">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07E4CA75">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CB401">
    <w:pPr>
      <w:pStyle w:val="25"/>
      <w:tabs>
        <w:tab w:val="left" w:pos="5504"/>
        <w:tab w:val="clear" w:pos="4153"/>
      </w:tabs>
      <w:rPr>
        <w:rFonts w:hint="default"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0A9DA0">
                          <w:pPr>
                            <w:pStyle w:val="25"/>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180A9DA0">
                    <w:pPr>
                      <w:pStyle w:val="25"/>
                    </w:pPr>
                    <w:r>
                      <w:fldChar w:fldCharType="begin"/>
                    </w:r>
                    <w:r>
                      <w:instrText xml:space="preserve"> PAGE  \* MERGEFORMAT </w:instrText>
                    </w:r>
                    <w:r>
                      <w:fldChar w:fldCharType="separate"/>
                    </w:r>
                    <w:r>
                      <w:t>0</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C9143">
    <w:pPr>
      <w:pStyle w:val="25"/>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5A3E3C">
                          <w:pPr>
                            <w:pStyle w:val="25"/>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95A3E3C">
                    <w:pPr>
                      <w:pStyle w:val="25"/>
                    </w:pPr>
                    <w:r>
                      <w:fldChar w:fldCharType="begin"/>
                    </w:r>
                    <w:r>
                      <w:instrText xml:space="preserve"> PAGE  \* MERGEFORMAT </w:instrText>
                    </w:r>
                    <w:r>
                      <w:fldChar w:fldCharType="separate"/>
                    </w:r>
                    <w:r>
                      <w:t>9</w:t>
                    </w:r>
                    <w:r>
                      <w:fldChar w:fldCharType="end"/>
                    </w:r>
                  </w:p>
                </w:txbxContent>
              </v:textbox>
            </v:shape>
          </w:pict>
        </mc:Fallback>
      </mc:AlternateContent>
    </w:r>
  </w:p>
  <w:p w14:paraId="4123E06A"/>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F17BC">
    <w:pPr>
      <w:pStyle w:val="25"/>
      <w:tabs>
        <w:tab w:val="left" w:pos="5504"/>
        <w:tab w:val="clear" w:pos="4153"/>
      </w:tabs>
      <w:rPr>
        <w:rFonts w:hint="default" w:eastAsia="宋体"/>
        <w:lang w:val="en-US" w:eastAsia="zh-CN"/>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5CB8AE">
                          <w:pPr>
                            <w:pStyle w:val="25"/>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385CB8AE">
                    <w:pPr>
                      <w:pStyle w:val="25"/>
                    </w:pPr>
                    <w:r>
                      <w:fldChar w:fldCharType="begin"/>
                    </w:r>
                    <w:r>
                      <w:instrText xml:space="preserve"> PAGE  \* MERGEFORMAT </w:instrText>
                    </w:r>
                    <w:r>
                      <w:fldChar w:fldCharType="separate"/>
                    </w:r>
                    <w:r>
                      <w:t>8</w:t>
                    </w:r>
                    <w:r>
                      <w:fldChar w:fldCharType="end"/>
                    </w:r>
                  </w:p>
                </w:txbxContent>
              </v:textbox>
            </v:shape>
          </w:pict>
        </mc:Fallback>
      </mc:AlternateContent>
    </w: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C9FC32A"/>
    <w:multiLevelType w:val="singleLevel"/>
    <w:tmpl w:val="2C9FC32A"/>
    <w:lvl w:ilvl="0" w:tentative="0">
      <w:start w:val="1"/>
      <w:numFmt w:val="chineseCounting"/>
      <w:suff w:val="nothing"/>
      <w:lvlText w:val="%1、"/>
      <w:lvlJc w:val="left"/>
      <w:rPr>
        <w:rFonts w:hint="eastAsia"/>
      </w:rPr>
    </w:lvl>
  </w:abstractNum>
  <w:abstractNum w:abstractNumId="1">
    <w:nsid w:val="41CC5708"/>
    <w:multiLevelType w:val="singleLevel"/>
    <w:tmpl w:val="41CC5708"/>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3M2RhNWY3OWQxNzk1NzIyNmZiM2JjNGQ4NjdjMmUifQ=="/>
  </w:docVars>
  <w:rsids>
    <w:rsidRoot w:val="00933A7E"/>
    <w:rsid w:val="00002F7A"/>
    <w:rsid w:val="00006DD0"/>
    <w:rsid w:val="00023AC3"/>
    <w:rsid w:val="000259D2"/>
    <w:rsid w:val="00027904"/>
    <w:rsid w:val="00035B8C"/>
    <w:rsid w:val="00040E4E"/>
    <w:rsid w:val="00043C38"/>
    <w:rsid w:val="000442AD"/>
    <w:rsid w:val="0005349D"/>
    <w:rsid w:val="000853BB"/>
    <w:rsid w:val="00086C9A"/>
    <w:rsid w:val="00093529"/>
    <w:rsid w:val="000A1B79"/>
    <w:rsid w:val="000B4D62"/>
    <w:rsid w:val="000C4040"/>
    <w:rsid w:val="000C69A3"/>
    <w:rsid w:val="000D5F3E"/>
    <w:rsid w:val="000E2B61"/>
    <w:rsid w:val="000E2F45"/>
    <w:rsid w:val="001078D0"/>
    <w:rsid w:val="00113A1B"/>
    <w:rsid w:val="00113AC1"/>
    <w:rsid w:val="00132E60"/>
    <w:rsid w:val="001335A4"/>
    <w:rsid w:val="001420DE"/>
    <w:rsid w:val="00143598"/>
    <w:rsid w:val="001670FE"/>
    <w:rsid w:val="00182FBD"/>
    <w:rsid w:val="00191EA2"/>
    <w:rsid w:val="00197FBC"/>
    <w:rsid w:val="001A21A7"/>
    <w:rsid w:val="001B2AC5"/>
    <w:rsid w:val="001B493E"/>
    <w:rsid w:val="001C0DFD"/>
    <w:rsid w:val="001C2EB3"/>
    <w:rsid w:val="001E1EF5"/>
    <w:rsid w:val="001E5FE2"/>
    <w:rsid w:val="00200462"/>
    <w:rsid w:val="00203384"/>
    <w:rsid w:val="0022612E"/>
    <w:rsid w:val="0022707B"/>
    <w:rsid w:val="00235931"/>
    <w:rsid w:val="002452FD"/>
    <w:rsid w:val="00246F11"/>
    <w:rsid w:val="00263161"/>
    <w:rsid w:val="00283DFE"/>
    <w:rsid w:val="00287371"/>
    <w:rsid w:val="002917F7"/>
    <w:rsid w:val="002C4BB5"/>
    <w:rsid w:val="002E070C"/>
    <w:rsid w:val="002F0A65"/>
    <w:rsid w:val="002F49ED"/>
    <w:rsid w:val="00305625"/>
    <w:rsid w:val="003205FF"/>
    <w:rsid w:val="003225FB"/>
    <w:rsid w:val="00323D80"/>
    <w:rsid w:val="003476F4"/>
    <w:rsid w:val="003578F2"/>
    <w:rsid w:val="00372ECD"/>
    <w:rsid w:val="0038096B"/>
    <w:rsid w:val="00382721"/>
    <w:rsid w:val="00391D44"/>
    <w:rsid w:val="003D2F0E"/>
    <w:rsid w:val="003E114E"/>
    <w:rsid w:val="003E263D"/>
    <w:rsid w:val="003E7970"/>
    <w:rsid w:val="00404C1F"/>
    <w:rsid w:val="00416243"/>
    <w:rsid w:val="00433AD2"/>
    <w:rsid w:val="004565D7"/>
    <w:rsid w:val="00462DD1"/>
    <w:rsid w:val="004878B6"/>
    <w:rsid w:val="004A07F1"/>
    <w:rsid w:val="004B25FF"/>
    <w:rsid w:val="004B6045"/>
    <w:rsid w:val="004C5EEB"/>
    <w:rsid w:val="004D223A"/>
    <w:rsid w:val="004D4C45"/>
    <w:rsid w:val="004E4AE0"/>
    <w:rsid w:val="004F2C99"/>
    <w:rsid w:val="00515EEC"/>
    <w:rsid w:val="0053123F"/>
    <w:rsid w:val="005501D3"/>
    <w:rsid w:val="00553C80"/>
    <w:rsid w:val="00565039"/>
    <w:rsid w:val="00565B2F"/>
    <w:rsid w:val="005778E4"/>
    <w:rsid w:val="00587DA1"/>
    <w:rsid w:val="005A62ED"/>
    <w:rsid w:val="005B3D70"/>
    <w:rsid w:val="005B519D"/>
    <w:rsid w:val="005B6686"/>
    <w:rsid w:val="005C093D"/>
    <w:rsid w:val="005D0B5C"/>
    <w:rsid w:val="005E459F"/>
    <w:rsid w:val="005E6A1B"/>
    <w:rsid w:val="005E791F"/>
    <w:rsid w:val="0060161B"/>
    <w:rsid w:val="00615633"/>
    <w:rsid w:val="006175BD"/>
    <w:rsid w:val="00625161"/>
    <w:rsid w:val="006467F0"/>
    <w:rsid w:val="00657FCC"/>
    <w:rsid w:val="006963FF"/>
    <w:rsid w:val="006A0EF8"/>
    <w:rsid w:val="006A3DDD"/>
    <w:rsid w:val="006B24CD"/>
    <w:rsid w:val="006D0E8D"/>
    <w:rsid w:val="006D676F"/>
    <w:rsid w:val="006F6CD6"/>
    <w:rsid w:val="00710D4E"/>
    <w:rsid w:val="00733E5A"/>
    <w:rsid w:val="00753DB4"/>
    <w:rsid w:val="007658F7"/>
    <w:rsid w:val="0076598C"/>
    <w:rsid w:val="007804CC"/>
    <w:rsid w:val="007846DB"/>
    <w:rsid w:val="007855F8"/>
    <w:rsid w:val="007B0A67"/>
    <w:rsid w:val="007B0EFE"/>
    <w:rsid w:val="007B1F31"/>
    <w:rsid w:val="007C1A4F"/>
    <w:rsid w:val="007D0840"/>
    <w:rsid w:val="007E248F"/>
    <w:rsid w:val="007E46A7"/>
    <w:rsid w:val="008041E7"/>
    <w:rsid w:val="00810970"/>
    <w:rsid w:val="00833E22"/>
    <w:rsid w:val="00836F1F"/>
    <w:rsid w:val="00864158"/>
    <w:rsid w:val="0086788B"/>
    <w:rsid w:val="0087154D"/>
    <w:rsid w:val="008A3065"/>
    <w:rsid w:val="008C36C2"/>
    <w:rsid w:val="008F5B91"/>
    <w:rsid w:val="00912E5C"/>
    <w:rsid w:val="009172DC"/>
    <w:rsid w:val="00933A7E"/>
    <w:rsid w:val="00936F94"/>
    <w:rsid w:val="00971C1D"/>
    <w:rsid w:val="00981AE6"/>
    <w:rsid w:val="00981F8C"/>
    <w:rsid w:val="00984A79"/>
    <w:rsid w:val="00984FC6"/>
    <w:rsid w:val="009A1F66"/>
    <w:rsid w:val="009A5476"/>
    <w:rsid w:val="009A757F"/>
    <w:rsid w:val="009C1CEA"/>
    <w:rsid w:val="009E22F4"/>
    <w:rsid w:val="00A0301C"/>
    <w:rsid w:val="00A073D9"/>
    <w:rsid w:val="00A2650A"/>
    <w:rsid w:val="00A30DA0"/>
    <w:rsid w:val="00A32CA9"/>
    <w:rsid w:val="00A50EF7"/>
    <w:rsid w:val="00A52483"/>
    <w:rsid w:val="00A54853"/>
    <w:rsid w:val="00A576A7"/>
    <w:rsid w:val="00A633C6"/>
    <w:rsid w:val="00AA21E2"/>
    <w:rsid w:val="00AA4E08"/>
    <w:rsid w:val="00AA64DC"/>
    <w:rsid w:val="00AC4285"/>
    <w:rsid w:val="00AC5261"/>
    <w:rsid w:val="00AD7754"/>
    <w:rsid w:val="00AF4462"/>
    <w:rsid w:val="00AF4F09"/>
    <w:rsid w:val="00B00A33"/>
    <w:rsid w:val="00B028AB"/>
    <w:rsid w:val="00B0522F"/>
    <w:rsid w:val="00B128F8"/>
    <w:rsid w:val="00B14530"/>
    <w:rsid w:val="00B20B9A"/>
    <w:rsid w:val="00B34CB0"/>
    <w:rsid w:val="00B3722E"/>
    <w:rsid w:val="00B4418C"/>
    <w:rsid w:val="00B552BA"/>
    <w:rsid w:val="00B57105"/>
    <w:rsid w:val="00B619D6"/>
    <w:rsid w:val="00B65551"/>
    <w:rsid w:val="00B74F31"/>
    <w:rsid w:val="00B9074F"/>
    <w:rsid w:val="00BB7062"/>
    <w:rsid w:val="00BC2443"/>
    <w:rsid w:val="00C0493B"/>
    <w:rsid w:val="00C26CE9"/>
    <w:rsid w:val="00C274EA"/>
    <w:rsid w:val="00C275CC"/>
    <w:rsid w:val="00C33D85"/>
    <w:rsid w:val="00C42892"/>
    <w:rsid w:val="00C4412E"/>
    <w:rsid w:val="00C65F7C"/>
    <w:rsid w:val="00C67F3C"/>
    <w:rsid w:val="00C84843"/>
    <w:rsid w:val="00CB1D7B"/>
    <w:rsid w:val="00CB2F70"/>
    <w:rsid w:val="00CB5E10"/>
    <w:rsid w:val="00CC6CEA"/>
    <w:rsid w:val="00CF352E"/>
    <w:rsid w:val="00CF6578"/>
    <w:rsid w:val="00D05AB3"/>
    <w:rsid w:val="00D259FB"/>
    <w:rsid w:val="00D269E2"/>
    <w:rsid w:val="00D3288F"/>
    <w:rsid w:val="00D35411"/>
    <w:rsid w:val="00D35663"/>
    <w:rsid w:val="00D52538"/>
    <w:rsid w:val="00D5292E"/>
    <w:rsid w:val="00D53E3D"/>
    <w:rsid w:val="00D677AD"/>
    <w:rsid w:val="00D74989"/>
    <w:rsid w:val="00D80106"/>
    <w:rsid w:val="00D9739C"/>
    <w:rsid w:val="00DA6127"/>
    <w:rsid w:val="00DE07B3"/>
    <w:rsid w:val="00DE1E95"/>
    <w:rsid w:val="00DE27E3"/>
    <w:rsid w:val="00DF36C4"/>
    <w:rsid w:val="00E12E68"/>
    <w:rsid w:val="00E149CB"/>
    <w:rsid w:val="00E23832"/>
    <w:rsid w:val="00E26B35"/>
    <w:rsid w:val="00E40B5E"/>
    <w:rsid w:val="00E47D32"/>
    <w:rsid w:val="00E62D28"/>
    <w:rsid w:val="00E6366B"/>
    <w:rsid w:val="00E80DDC"/>
    <w:rsid w:val="00EA7CA6"/>
    <w:rsid w:val="00ED2C72"/>
    <w:rsid w:val="00ED599B"/>
    <w:rsid w:val="00F21CFD"/>
    <w:rsid w:val="00F25C07"/>
    <w:rsid w:val="00F31C39"/>
    <w:rsid w:val="00F3300D"/>
    <w:rsid w:val="00F4169D"/>
    <w:rsid w:val="00F461EF"/>
    <w:rsid w:val="00F56722"/>
    <w:rsid w:val="00F57F4E"/>
    <w:rsid w:val="00F70070"/>
    <w:rsid w:val="00F74700"/>
    <w:rsid w:val="00F7791E"/>
    <w:rsid w:val="00F850E4"/>
    <w:rsid w:val="00FC182C"/>
    <w:rsid w:val="00FE6D8A"/>
    <w:rsid w:val="00FF5D79"/>
    <w:rsid w:val="00FF670E"/>
    <w:rsid w:val="02896EF5"/>
    <w:rsid w:val="044A2EA9"/>
    <w:rsid w:val="04CB2483"/>
    <w:rsid w:val="06516875"/>
    <w:rsid w:val="06727683"/>
    <w:rsid w:val="07750086"/>
    <w:rsid w:val="090508AE"/>
    <w:rsid w:val="09C31D30"/>
    <w:rsid w:val="0A2C5771"/>
    <w:rsid w:val="0A2D6270"/>
    <w:rsid w:val="0A48676E"/>
    <w:rsid w:val="0A663A79"/>
    <w:rsid w:val="0E5920CD"/>
    <w:rsid w:val="0EDD34DE"/>
    <w:rsid w:val="0F3F0504"/>
    <w:rsid w:val="158A38CB"/>
    <w:rsid w:val="16F464A6"/>
    <w:rsid w:val="17D6061C"/>
    <w:rsid w:val="19E57948"/>
    <w:rsid w:val="19F34C20"/>
    <w:rsid w:val="1A420241"/>
    <w:rsid w:val="1B1C2918"/>
    <w:rsid w:val="1E7B2C5C"/>
    <w:rsid w:val="202C6073"/>
    <w:rsid w:val="21BA1424"/>
    <w:rsid w:val="24331179"/>
    <w:rsid w:val="24F353B2"/>
    <w:rsid w:val="256F1ACC"/>
    <w:rsid w:val="2B0148D7"/>
    <w:rsid w:val="2CAF2D96"/>
    <w:rsid w:val="2E8E7488"/>
    <w:rsid w:val="305C68F5"/>
    <w:rsid w:val="30B96907"/>
    <w:rsid w:val="325450A9"/>
    <w:rsid w:val="32F56F98"/>
    <w:rsid w:val="331A6597"/>
    <w:rsid w:val="33C446CB"/>
    <w:rsid w:val="361110AC"/>
    <w:rsid w:val="391974A6"/>
    <w:rsid w:val="394C231D"/>
    <w:rsid w:val="396B793C"/>
    <w:rsid w:val="3998390E"/>
    <w:rsid w:val="39B90BA2"/>
    <w:rsid w:val="3D546BAD"/>
    <w:rsid w:val="3EAD1994"/>
    <w:rsid w:val="3FAD678A"/>
    <w:rsid w:val="401C35B7"/>
    <w:rsid w:val="40307062"/>
    <w:rsid w:val="403A16F7"/>
    <w:rsid w:val="40422B91"/>
    <w:rsid w:val="40762EF8"/>
    <w:rsid w:val="41AA13AE"/>
    <w:rsid w:val="43737595"/>
    <w:rsid w:val="438614B3"/>
    <w:rsid w:val="44A32507"/>
    <w:rsid w:val="47A53B76"/>
    <w:rsid w:val="493F2A7F"/>
    <w:rsid w:val="4A434660"/>
    <w:rsid w:val="4A733C2A"/>
    <w:rsid w:val="4B0435C5"/>
    <w:rsid w:val="4B14198A"/>
    <w:rsid w:val="4D601F42"/>
    <w:rsid w:val="4E487C6D"/>
    <w:rsid w:val="50BB0282"/>
    <w:rsid w:val="50CE5948"/>
    <w:rsid w:val="51336B51"/>
    <w:rsid w:val="51E52FA6"/>
    <w:rsid w:val="545C508C"/>
    <w:rsid w:val="55B75FFD"/>
    <w:rsid w:val="57011204"/>
    <w:rsid w:val="58063EBD"/>
    <w:rsid w:val="580A5789"/>
    <w:rsid w:val="59156835"/>
    <w:rsid w:val="59F20D92"/>
    <w:rsid w:val="5A860653"/>
    <w:rsid w:val="5BEE3975"/>
    <w:rsid w:val="61121BC2"/>
    <w:rsid w:val="61857143"/>
    <w:rsid w:val="62DF07BB"/>
    <w:rsid w:val="65496046"/>
    <w:rsid w:val="65A30D9A"/>
    <w:rsid w:val="663B10F1"/>
    <w:rsid w:val="6734317E"/>
    <w:rsid w:val="674547B3"/>
    <w:rsid w:val="685075EC"/>
    <w:rsid w:val="6A3C20D1"/>
    <w:rsid w:val="6A4E1FBA"/>
    <w:rsid w:val="6CED6637"/>
    <w:rsid w:val="6D0447EF"/>
    <w:rsid w:val="6D66265F"/>
    <w:rsid w:val="70BC5EC6"/>
    <w:rsid w:val="718B58C0"/>
    <w:rsid w:val="71D26150"/>
    <w:rsid w:val="734111DA"/>
    <w:rsid w:val="734168B5"/>
    <w:rsid w:val="734D56CD"/>
    <w:rsid w:val="73827B98"/>
    <w:rsid w:val="74223FC5"/>
    <w:rsid w:val="755261A2"/>
    <w:rsid w:val="78397440"/>
    <w:rsid w:val="78574315"/>
    <w:rsid w:val="791064DC"/>
    <w:rsid w:val="79257FB4"/>
    <w:rsid w:val="79763BD7"/>
    <w:rsid w:val="7A712881"/>
    <w:rsid w:val="7C9E1896"/>
    <w:rsid w:val="7E955D07"/>
    <w:rsid w:val="7FFF68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paragraph" w:styleId="2">
    <w:name w:val="heading 1"/>
    <w:basedOn w:val="1"/>
    <w:link w:val="81"/>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67"/>
    <w:qFormat/>
    <w:uiPriority w:val="0"/>
    <w:pPr>
      <w:keepNext/>
      <w:keepLines/>
      <w:spacing w:before="260" w:after="260" w:line="413" w:lineRule="auto"/>
      <w:outlineLvl w:val="1"/>
    </w:pPr>
    <w:rPr>
      <w:rFonts w:ascii="Arial" w:hAnsi="Arial" w:eastAsia="黑体"/>
      <w:b/>
      <w:bCs/>
      <w:sz w:val="32"/>
      <w:szCs w:val="32"/>
    </w:rPr>
  </w:style>
  <w:style w:type="paragraph" w:styleId="7">
    <w:name w:val="heading 3"/>
    <w:basedOn w:val="1"/>
    <w:next w:val="1"/>
    <w:link w:val="78"/>
    <w:qFormat/>
    <w:uiPriority w:val="0"/>
    <w:pPr>
      <w:keepNext/>
      <w:keepLines/>
      <w:adjustRightInd w:val="0"/>
      <w:spacing w:before="260" w:after="260" w:line="416" w:lineRule="atLeast"/>
      <w:textAlignment w:val="baseline"/>
      <w:outlineLvl w:val="2"/>
    </w:pPr>
    <w:rPr>
      <w:b/>
      <w:bCs/>
      <w:sz w:val="32"/>
      <w:szCs w:val="32"/>
    </w:rPr>
  </w:style>
  <w:style w:type="paragraph" w:styleId="8">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9">
    <w:name w:val="heading 5"/>
    <w:basedOn w:val="1"/>
    <w:next w:val="1"/>
    <w:link w:val="83"/>
    <w:qFormat/>
    <w:uiPriority w:val="0"/>
    <w:pPr>
      <w:keepNext/>
      <w:keepLines/>
      <w:adjustRightInd w:val="0"/>
      <w:spacing w:before="280" w:after="290" w:line="376" w:lineRule="atLeast"/>
      <w:textAlignment w:val="baseline"/>
      <w:outlineLvl w:val="4"/>
    </w:pPr>
    <w:rPr>
      <w:rFonts w:ascii="Times New Roman" w:hAnsi="Times New Roman" w:cs="Times New Roman"/>
      <w:b/>
      <w:bCs/>
      <w:kern w:val="0"/>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4">
    <w:name w:val="Body Text First Indent"/>
    <w:basedOn w:val="5"/>
    <w:qFormat/>
    <w:uiPriority w:val="99"/>
    <w:pPr>
      <w:spacing w:after="120"/>
      <w:ind w:firstLine="420" w:firstLineChars="100"/>
      <w:jc w:val="both"/>
    </w:pPr>
    <w:rPr>
      <w:rFonts w:ascii="Calibri" w:hAnsi="Calibri" w:eastAsia="宋体"/>
      <w:sz w:val="21"/>
      <w:szCs w:val="21"/>
    </w:rPr>
  </w:style>
  <w:style w:type="paragraph" w:styleId="5">
    <w:name w:val="Body Text"/>
    <w:basedOn w:val="1"/>
    <w:next w:val="6"/>
    <w:link w:val="76"/>
    <w:qFormat/>
    <w:uiPriority w:val="0"/>
    <w:pPr>
      <w:adjustRightInd w:val="0"/>
      <w:spacing w:after="120" w:line="360" w:lineRule="atLeast"/>
      <w:textAlignment w:val="baseline"/>
    </w:pPr>
  </w:style>
  <w:style w:type="paragraph" w:customStyle="1" w:styleId="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10">
    <w:name w:val="table of authorities"/>
    <w:basedOn w:val="1"/>
    <w:next w:val="1"/>
    <w:qFormat/>
    <w:uiPriority w:val="0"/>
    <w:pPr>
      <w:ind w:left="420" w:leftChars="200"/>
    </w:pPr>
  </w:style>
  <w:style w:type="paragraph" w:styleId="11">
    <w:name w:val="Normal Indent"/>
    <w:basedOn w:val="1"/>
    <w:next w:val="12"/>
    <w:link w:val="88"/>
    <w:qFormat/>
    <w:uiPriority w:val="0"/>
    <w:pPr>
      <w:ind w:firstLine="420" w:firstLineChars="200"/>
    </w:pPr>
    <w:rPr>
      <w:rFonts w:ascii="Times New Roman" w:hAnsi="Times New Roman" w:cs="Times New Roman"/>
      <w:kern w:val="0"/>
      <w:sz w:val="24"/>
      <w:szCs w:val="20"/>
    </w:rPr>
  </w:style>
  <w:style w:type="paragraph" w:styleId="12">
    <w:name w:val="Body Text First Indent 2"/>
    <w:basedOn w:val="13"/>
    <w:next w:val="1"/>
    <w:link w:val="94"/>
    <w:qFormat/>
    <w:uiPriority w:val="0"/>
    <w:pPr>
      <w:ind w:firstLine="420" w:firstLineChars="200"/>
    </w:pPr>
    <w:rPr>
      <w:rFonts w:ascii="Calibri" w:hAnsi="Calibri" w:cs="宋体"/>
      <w:kern w:val="2"/>
      <w:sz w:val="21"/>
      <w:szCs w:val="21"/>
    </w:rPr>
  </w:style>
  <w:style w:type="paragraph" w:styleId="13">
    <w:name w:val="Body Text Indent"/>
    <w:basedOn w:val="1"/>
    <w:next w:val="14"/>
    <w:link w:val="85"/>
    <w:qFormat/>
    <w:uiPriority w:val="0"/>
    <w:pPr>
      <w:spacing w:after="120"/>
      <w:ind w:left="420" w:leftChars="200"/>
    </w:pPr>
    <w:rPr>
      <w:rFonts w:ascii="Times New Roman" w:hAnsi="Times New Roman" w:cs="Times New Roman"/>
      <w:kern w:val="0"/>
      <w:sz w:val="24"/>
      <w:szCs w:val="20"/>
    </w:rPr>
  </w:style>
  <w:style w:type="paragraph" w:styleId="14">
    <w:name w:val="envelope return"/>
    <w:basedOn w:val="1"/>
    <w:next w:val="15"/>
    <w:qFormat/>
    <w:uiPriority w:val="99"/>
    <w:pPr>
      <w:snapToGrid w:val="0"/>
    </w:pPr>
    <w:rPr>
      <w:rFonts w:ascii="Arial" w:hAnsi="Arial"/>
    </w:rPr>
  </w:style>
  <w:style w:type="paragraph" w:styleId="15">
    <w:name w:val="Body Text Indent 3"/>
    <w:basedOn w:val="1"/>
    <w:next w:val="1"/>
    <w:qFormat/>
    <w:uiPriority w:val="0"/>
    <w:pPr>
      <w:overflowPunct w:val="0"/>
      <w:autoSpaceDE w:val="0"/>
      <w:autoSpaceDN w:val="0"/>
      <w:adjustRightInd w:val="0"/>
      <w:spacing w:line="360" w:lineRule="auto"/>
      <w:ind w:firstLine="540"/>
    </w:pPr>
    <w:rPr>
      <w:rFonts w:ascii="宋体" w:hAnsi="MS Sans Serif" w:cs="Times New Roman"/>
      <w:color w:val="000000"/>
      <w:kern w:val="0"/>
      <w:sz w:val="24"/>
      <w:szCs w:val="20"/>
    </w:rPr>
  </w:style>
  <w:style w:type="paragraph" w:styleId="16">
    <w:name w:val="annotation text"/>
    <w:basedOn w:val="1"/>
    <w:link w:val="71"/>
    <w:qFormat/>
    <w:uiPriority w:val="0"/>
    <w:pPr>
      <w:jc w:val="left"/>
    </w:pPr>
  </w:style>
  <w:style w:type="paragraph" w:styleId="17">
    <w:name w:val="Salutation"/>
    <w:basedOn w:val="1"/>
    <w:next w:val="1"/>
    <w:link w:val="84"/>
    <w:qFormat/>
    <w:uiPriority w:val="0"/>
    <w:rPr>
      <w:rFonts w:ascii="仿宋_GB2312" w:hAnsi="Times New Roman" w:eastAsia="仿宋_GB2312" w:cs="Times New Roman"/>
      <w:kern w:val="0"/>
      <w:sz w:val="28"/>
      <w:szCs w:val="20"/>
    </w:rPr>
  </w:style>
  <w:style w:type="paragraph" w:styleId="18">
    <w:name w:val="List 2"/>
    <w:basedOn w:val="1"/>
    <w:qFormat/>
    <w:uiPriority w:val="0"/>
    <w:pPr>
      <w:ind w:left="100" w:leftChars="200" w:hanging="200" w:hangingChars="200"/>
    </w:pPr>
    <w:rPr>
      <w:rFonts w:ascii="Times New Roman" w:hAnsi="Times New Roman" w:cs="Times New Roman"/>
      <w:kern w:val="0"/>
      <w:sz w:val="24"/>
      <w:szCs w:val="20"/>
    </w:rPr>
  </w:style>
  <w:style w:type="paragraph" w:styleId="19">
    <w:name w:val="List Continue"/>
    <w:basedOn w:val="1"/>
    <w:qFormat/>
    <w:uiPriority w:val="0"/>
    <w:pPr>
      <w:spacing w:after="120"/>
      <w:ind w:left="420" w:leftChars="200"/>
    </w:pPr>
    <w:rPr>
      <w:rFonts w:ascii="Times New Roman" w:hAnsi="Times New Roman" w:cs="Times New Roman"/>
      <w:kern w:val="0"/>
      <w:sz w:val="24"/>
      <w:szCs w:val="20"/>
    </w:rPr>
  </w:style>
  <w:style w:type="paragraph" w:styleId="20">
    <w:name w:val="Block Text"/>
    <w:basedOn w:val="1"/>
    <w:qFormat/>
    <w:uiPriority w:val="99"/>
    <w:pPr>
      <w:ind w:left="540" w:right="-756"/>
    </w:pPr>
    <w:rPr>
      <w:rFonts w:ascii="仿宋_GB2312" w:eastAsia="仿宋_GB2312"/>
      <w:bCs/>
      <w:sz w:val="32"/>
    </w:rPr>
  </w:style>
  <w:style w:type="paragraph" w:styleId="21">
    <w:name w:val="toc 3"/>
    <w:basedOn w:val="1"/>
    <w:next w:val="1"/>
    <w:qFormat/>
    <w:uiPriority w:val="39"/>
    <w:pPr>
      <w:ind w:left="840" w:leftChars="400"/>
    </w:pPr>
  </w:style>
  <w:style w:type="paragraph" w:styleId="22">
    <w:name w:val="Plain Text"/>
    <w:basedOn w:val="1"/>
    <w:link w:val="86"/>
    <w:qFormat/>
    <w:uiPriority w:val="0"/>
    <w:rPr>
      <w:rFonts w:ascii="宋体" w:hAnsi="Courier New" w:cs="Courier New"/>
    </w:rPr>
  </w:style>
  <w:style w:type="paragraph" w:styleId="23">
    <w:name w:val="Date"/>
    <w:basedOn w:val="1"/>
    <w:next w:val="1"/>
    <w:link w:val="90"/>
    <w:qFormat/>
    <w:uiPriority w:val="0"/>
    <w:rPr>
      <w:rFonts w:ascii="Times New Roman" w:hAnsi="Times New Roman" w:cs="Times New Roman"/>
      <w:kern w:val="0"/>
      <w:sz w:val="24"/>
      <w:szCs w:val="20"/>
    </w:rPr>
  </w:style>
  <w:style w:type="paragraph" w:styleId="24">
    <w:name w:val="Balloon Text"/>
    <w:basedOn w:val="1"/>
    <w:link w:val="95"/>
    <w:qFormat/>
    <w:uiPriority w:val="0"/>
    <w:rPr>
      <w:sz w:val="18"/>
      <w:szCs w:val="18"/>
    </w:rPr>
  </w:style>
  <w:style w:type="paragraph" w:styleId="25">
    <w:name w:val="footer"/>
    <w:basedOn w:val="1"/>
    <w:link w:val="69"/>
    <w:qFormat/>
    <w:uiPriority w:val="99"/>
    <w:pPr>
      <w:tabs>
        <w:tab w:val="center" w:pos="4153"/>
        <w:tab w:val="right" w:pos="8306"/>
      </w:tabs>
      <w:snapToGrid w:val="0"/>
      <w:jc w:val="left"/>
    </w:pPr>
    <w:rPr>
      <w:sz w:val="18"/>
      <w:szCs w:val="18"/>
    </w:rPr>
  </w:style>
  <w:style w:type="paragraph" w:styleId="26">
    <w:name w:val="header"/>
    <w:basedOn w:val="1"/>
    <w:link w:val="68"/>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0"/>
  </w:style>
  <w:style w:type="paragraph" w:styleId="28">
    <w:name w:val="List"/>
    <w:basedOn w:val="1"/>
    <w:qFormat/>
    <w:uiPriority w:val="0"/>
    <w:pPr>
      <w:spacing w:line="360" w:lineRule="auto"/>
    </w:pPr>
    <w:rPr>
      <w:rFonts w:eastAsia="仿宋_GB2312"/>
      <w:sz w:val="24"/>
    </w:rPr>
  </w:style>
  <w:style w:type="paragraph" w:styleId="29">
    <w:name w:val="toc 2"/>
    <w:basedOn w:val="1"/>
    <w:next w:val="1"/>
    <w:qFormat/>
    <w:uiPriority w:val="39"/>
    <w:pPr>
      <w:ind w:left="420" w:leftChars="200"/>
    </w:pPr>
  </w:style>
  <w:style w:type="paragraph" w:styleId="30">
    <w:name w:val="Normal (Web)"/>
    <w:basedOn w:val="1"/>
    <w:qFormat/>
    <w:uiPriority w:val="99"/>
    <w:pPr>
      <w:jc w:val="left"/>
    </w:pPr>
    <w:rPr>
      <w:rFonts w:ascii="Times New Roman" w:hAnsi="Times New Roman" w:cs="Times New Roman"/>
      <w:kern w:val="0"/>
      <w:sz w:val="24"/>
      <w:szCs w:val="20"/>
    </w:rPr>
  </w:style>
  <w:style w:type="paragraph" w:styleId="31">
    <w:name w:val="index 1"/>
    <w:basedOn w:val="1"/>
    <w:next w:val="1"/>
    <w:qFormat/>
    <w:uiPriority w:val="0"/>
    <w:rPr>
      <w:rFonts w:ascii="宋体" w:hAnsi="宋体" w:cs="Times New Roman"/>
      <w:b/>
      <w:bCs/>
      <w:kern w:val="0"/>
      <w:sz w:val="24"/>
      <w:szCs w:val="20"/>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rFonts w:ascii="Times New Roman" w:hAnsi="Times New Roman" w:eastAsia="宋体" w:cs="Times New Roman"/>
      <w:b/>
      <w:bCs/>
    </w:rPr>
  </w:style>
  <w:style w:type="character" w:styleId="36">
    <w:name w:val="Hyperlink"/>
    <w:basedOn w:val="34"/>
    <w:qFormat/>
    <w:uiPriority w:val="99"/>
    <w:rPr>
      <w:color w:val="0000FF"/>
      <w:u w:val="single"/>
    </w:rPr>
  </w:style>
  <w:style w:type="character" w:styleId="37">
    <w:name w:val="HTML Sample"/>
    <w:qFormat/>
    <w:uiPriority w:val="0"/>
    <w:rPr>
      <w:rFonts w:hint="default" w:ascii="monospace" w:hAnsi="monospace" w:eastAsia="monospace" w:cs="monospace"/>
      <w:sz w:val="21"/>
      <w:szCs w:val="21"/>
    </w:rPr>
  </w:style>
  <w:style w:type="paragraph" w:customStyle="1" w:styleId="38">
    <w:name w:val="BodyText1I2"/>
    <w:basedOn w:val="39"/>
    <w:qFormat/>
    <w:uiPriority w:val="0"/>
    <w:pPr>
      <w:ind w:firstLine="420" w:firstLineChars="200"/>
    </w:pPr>
  </w:style>
  <w:style w:type="paragraph" w:customStyle="1" w:styleId="39">
    <w:name w:val="BodyTextIndent"/>
    <w:basedOn w:val="1"/>
    <w:next w:val="40"/>
    <w:qFormat/>
    <w:uiPriority w:val="0"/>
    <w:pPr>
      <w:spacing w:after="120"/>
      <w:ind w:left="420" w:leftChars="200"/>
      <w:textAlignment w:val="baseline"/>
    </w:pPr>
  </w:style>
  <w:style w:type="paragraph" w:customStyle="1" w:styleId="40">
    <w:name w:val="EnvelopeReturn"/>
    <w:basedOn w:val="1"/>
    <w:qFormat/>
    <w:uiPriority w:val="0"/>
    <w:pPr>
      <w:snapToGrid w:val="0"/>
      <w:textAlignment w:val="baseline"/>
    </w:pPr>
    <w:rPr>
      <w:rFonts w:ascii="Arial" w:hAnsi="Arial" w:cs="Arial"/>
    </w:rPr>
  </w:style>
  <w:style w:type="character" w:customStyle="1" w:styleId="41">
    <w:name w:val="正文文本 Char"/>
    <w:basedOn w:val="34"/>
    <w:qFormat/>
    <w:uiPriority w:val="0"/>
    <w:rPr>
      <w:rFonts w:ascii="Calibri" w:hAnsi="Calibri" w:cs="宋体"/>
      <w:kern w:val="2"/>
      <w:sz w:val="21"/>
      <w:szCs w:val="21"/>
    </w:rPr>
  </w:style>
  <w:style w:type="paragraph" w:customStyle="1" w:styleId="42">
    <w:name w:val="批注框文本1"/>
    <w:basedOn w:val="1"/>
    <w:link w:val="70"/>
    <w:qFormat/>
    <w:uiPriority w:val="0"/>
    <w:rPr>
      <w:sz w:val="18"/>
      <w:szCs w:val="18"/>
    </w:rPr>
  </w:style>
  <w:style w:type="paragraph" w:customStyle="1" w:styleId="43">
    <w:name w:val="Normal Indent_86667165-0bcb-4352-8811-f0e5fbf5c3e0"/>
    <w:basedOn w:val="1"/>
    <w:qFormat/>
    <w:uiPriority w:val="0"/>
    <w:pPr>
      <w:adjustRightInd w:val="0"/>
      <w:spacing w:line="360" w:lineRule="atLeast"/>
      <w:ind w:firstLine="420"/>
      <w:textAlignment w:val="baseline"/>
    </w:pPr>
    <w:rPr>
      <w:rFonts w:ascii="Times New Roman" w:hAnsi="Times New Roman" w:cs="Times New Roman"/>
      <w:szCs w:val="20"/>
    </w:rPr>
  </w:style>
  <w:style w:type="paragraph" w:customStyle="1" w:styleId="44">
    <w:name w:val="Body Text Indent_cb4ce739-4306-45ea-b98d-7ba1b1d9862e"/>
    <w:basedOn w:val="1"/>
    <w:next w:val="45"/>
    <w:qFormat/>
    <w:uiPriority w:val="0"/>
    <w:pPr>
      <w:ind w:left="420" w:leftChars="200"/>
    </w:pPr>
  </w:style>
  <w:style w:type="paragraph" w:customStyle="1" w:styleId="45">
    <w:name w:val="envelope return_2b9c79ef-068e-4957-8429-38e93759e98b"/>
    <w:basedOn w:val="1"/>
    <w:qFormat/>
    <w:uiPriority w:val="0"/>
    <w:pPr>
      <w:snapToGrid w:val="0"/>
    </w:pPr>
    <w:rPr>
      <w:rFonts w:ascii="Arial" w:hAnsi="Arial"/>
    </w:rPr>
  </w:style>
  <w:style w:type="paragraph" w:customStyle="1" w:styleId="46">
    <w:name w:val="List 2_5ce7a9d2-0353-4122-b409-33748162e1eb"/>
    <w:basedOn w:val="1"/>
    <w:qFormat/>
    <w:uiPriority w:val="0"/>
    <w:pPr>
      <w:ind w:left="100" w:leftChars="200" w:hanging="200" w:hangingChars="200"/>
    </w:pPr>
  </w:style>
  <w:style w:type="paragraph" w:customStyle="1" w:styleId="47">
    <w:name w:val="List Continue_0dee6b6b-f3d4-4442-bbce-7925094736e0"/>
    <w:basedOn w:val="1"/>
    <w:qFormat/>
    <w:uiPriority w:val="0"/>
    <w:pPr>
      <w:spacing w:after="120"/>
      <w:ind w:left="420" w:leftChars="200"/>
    </w:pPr>
    <w:rPr>
      <w:rFonts w:ascii="Times New Roman" w:hAnsi="Times New Roman" w:cs="Times New Roman"/>
      <w:szCs w:val="24"/>
    </w:rPr>
  </w:style>
  <w:style w:type="paragraph" w:customStyle="1" w:styleId="48">
    <w:name w:val="Plain Text_d065aabb-5c19-4dbf-8d17-84efc31285ba"/>
    <w:basedOn w:val="1"/>
    <w:link w:val="74"/>
    <w:qFormat/>
    <w:uiPriority w:val="0"/>
    <w:pPr>
      <w:adjustRightInd w:val="0"/>
      <w:spacing w:line="360" w:lineRule="atLeast"/>
      <w:textAlignment w:val="baseline"/>
    </w:pPr>
    <w:rPr>
      <w:rFonts w:ascii="宋体" w:hAnsi="Courier New" w:cs="Courier New"/>
    </w:rPr>
  </w:style>
  <w:style w:type="paragraph" w:customStyle="1" w:styleId="49">
    <w:name w:val="Normal (Web)_6c0cef42-5e3f-42e2-999b-1c30f66118e8"/>
    <w:basedOn w:val="1"/>
    <w:qFormat/>
    <w:uiPriority w:val="0"/>
    <w:pPr>
      <w:widowControl/>
      <w:spacing w:before="100" w:beforeAutospacing="1" w:after="100" w:afterAutospacing="1"/>
      <w:jc w:val="left"/>
    </w:pPr>
    <w:rPr>
      <w:rFonts w:ascii="宋体" w:hAnsi="宋体" w:cs="Times New Roman"/>
      <w:kern w:val="0"/>
      <w:sz w:val="24"/>
      <w:szCs w:val="24"/>
    </w:rPr>
  </w:style>
  <w:style w:type="paragraph" w:customStyle="1" w:styleId="50">
    <w:name w:val="annotation subject_1418f98d-224f-4113-8491-46ac9443898e"/>
    <w:basedOn w:val="16"/>
    <w:next w:val="16"/>
    <w:link w:val="72"/>
    <w:qFormat/>
    <w:uiPriority w:val="0"/>
    <w:rPr>
      <w:b/>
      <w:bCs/>
    </w:rPr>
  </w:style>
  <w:style w:type="paragraph" w:customStyle="1" w:styleId="51">
    <w:name w:val="Body Text First Indent 2_45278ffd-deb6-493d-915e-2968545ac435"/>
    <w:basedOn w:val="44"/>
    <w:qFormat/>
    <w:uiPriority w:val="0"/>
    <w:pPr>
      <w:tabs>
        <w:tab w:val="left" w:pos="0"/>
        <w:tab w:val="left" w:pos="993"/>
        <w:tab w:val="left" w:pos="1134"/>
      </w:tabs>
      <w:ind w:firstLine="420" w:firstLineChars="200"/>
    </w:pPr>
  </w:style>
  <w:style w:type="paragraph" w:customStyle="1" w:styleId="52">
    <w:name w:val="List Paragraph_436346be-4fbf-4c94-ba8a-266c9f5de8fa"/>
    <w:basedOn w:val="1"/>
    <w:link w:val="66"/>
    <w:qFormat/>
    <w:uiPriority w:val="0"/>
    <w:pPr>
      <w:ind w:firstLine="420" w:firstLineChars="200"/>
    </w:pPr>
  </w:style>
  <w:style w:type="paragraph" w:customStyle="1" w:styleId="53">
    <w:name w:val="Char1"/>
    <w:basedOn w:val="1"/>
    <w:qFormat/>
    <w:uiPriority w:val="0"/>
    <w:rPr>
      <w:rFonts w:ascii="Times New Roman" w:hAnsi="Times New Roman" w:cs="Times New Roman"/>
      <w:szCs w:val="20"/>
    </w:rPr>
  </w:style>
  <w:style w:type="paragraph" w:customStyle="1" w:styleId="54">
    <w:name w:val="D&amp;L"/>
    <w:basedOn w:val="26"/>
    <w:qFormat/>
    <w:uiPriority w:val="0"/>
    <w:pPr>
      <w:pBdr>
        <w:bottom w:val="thinThickSmallGap" w:color="auto" w:sz="18" w:space="1"/>
      </w:pBdr>
      <w:adjustRightInd w:val="0"/>
      <w:snapToGrid/>
      <w:spacing w:line="240" w:lineRule="atLeast"/>
      <w:textAlignment w:val="baseline"/>
    </w:pPr>
    <w:rPr>
      <w:rFonts w:ascii="Times New Roman" w:hAnsi="Times New Roman" w:cs="Times New Roman"/>
      <w:kern w:val="0"/>
      <w:sz w:val="24"/>
      <w:szCs w:val="20"/>
    </w:rPr>
  </w:style>
  <w:style w:type="paragraph" w:customStyle="1" w:styleId="55">
    <w:name w:val="p0"/>
    <w:basedOn w:val="1"/>
    <w:qFormat/>
    <w:uiPriority w:val="0"/>
    <w:pPr>
      <w:widowControl/>
    </w:pPr>
    <w:rPr>
      <w:rFonts w:cs="Times New Roman"/>
      <w:kern w:val="0"/>
    </w:rPr>
  </w:style>
  <w:style w:type="paragraph" w:customStyle="1" w:styleId="56">
    <w:name w:val="Char1 Char Char Char"/>
    <w:basedOn w:val="1"/>
    <w:qFormat/>
    <w:uiPriority w:val="0"/>
    <w:rPr>
      <w:rFonts w:ascii="Tahoma" w:hAnsi="Tahoma" w:cs="Times New Roman"/>
      <w:sz w:val="30"/>
      <w:szCs w:val="30"/>
    </w:rPr>
  </w:style>
  <w:style w:type="paragraph" w:customStyle="1" w:styleId="57">
    <w:name w:val="修订1"/>
    <w:qFormat/>
    <w:uiPriority w:val="0"/>
    <w:rPr>
      <w:rFonts w:ascii="Calibri" w:hAnsi="Calibri" w:eastAsia="宋体" w:cs="宋体"/>
      <w:kern w:val="2"/>
      <w:sz w:val="21"/>
      <w:szCs w:val="21"/>
      <w:lang w:val="en-US" w:eastAsia="zh-CN" w:bidi="ar-SA"/>
    </w:rPr>
  </w:style>
  <w:style w:type="paragraph" w:customStyle="1" w:styleId="58">
    <w:name w:val="样式"/>
    <w:link w:val="75"/>
    <w:qFormat/>
    <w:uiPriority w:val="99"/>
    <w:pPr>
      <w:widowControl w:val="0"/>
      <w:autoSpaceDE w:val="0"/>
      <w:autoSpaceDN w:val="0"/>
      <w:adjustRightInd w:val="0"/>
    </w:pPr>
    <w:rPr>
      <w:rFonts w:ascii="宋体" w:hAnsi="宋体" w:eastAsia="宋体" w:cs="Times New Roman"/>
      <w:sz w:val="24"/>
      <w:szCs w:val="24"/>
      <w:lang w:val="en-US" w:eastAsia="zh-CN" w:bidi="ar-SA"/>
    </w:rPr>
  </w:style>
  <w:style w:type="paragraph" w:customStyle="1" w:styleId="59">
    <w:name w:val="01标题一"/>
    <w:basedOn w:val="1"/>
    <w:qFormat/>
    <w:uiPriority w:val="0"/>
    <w:rPr>
      <w:rFonts w:ascii="宋体" w:hAnsi="宋体" w:cs="Times New Roman"/>
      <w:b/>
      <w:sz w:val="28"/>
      <w:szCs w:val="28"/>
    </w:rPr>
  </w:style>
  <w:style w:type="paragraph" w:customStyle="1" w:styleId="60">
    <w:name w:val="No Spacing_e5e8f917-6ecb-468e-afdf-97265614ec3e"/>
    <w:link w:val="77"/>
    <w:qFormat/>
    <w:uiPriority w:val="0"/>
    <w:rPr>
      <w:rFonts w:ascii="等线" w:hAnsi="等线" w:eastAsia="等线" w:cs="黑体"/>
      <w:sz w:val="22"/>
      <w:szCs w:val="22"/>
      <w:lang w:val="en-US" w:eastAsia="zh-CN" w:bidi="ar-SA"/>
    </w:rPr>
  </w:style>
  <w:style w:type="paragraph" w:customStyle="1" w:styleId="61">
    <w:name w:val="纯文本1"/>
    <w:basedOn w:val="1"/>
    <w:link w:val="79"/>
    <w:qFormat/>
    <w:uiPriority w:val="0"/>
    <w:rPr>
      <w:rFonts w:ascii="宋体" w:hAnsi="Courier New"/>
    </w:rPr>
  </w:style>
  <w:style w:type="paragraph" w:customStyle="1" w:styleId="62">
    <w:name w:val="正文文本缩进1"/>
    <w:basedOn w:val="1"/>
    <w:link w:val="80"/>
    <w:qFormat/>
    <w:uiPriority w:val="0"/>
    <w:pPr>
      <w:spacing w:after="120"/>
      <w:ind w:left="420" w:leftChars="200"/>
    </w:pPr>
    <w:rPr>
      <w:szCs w:val="24"/>
    </w:rPr>
  </w:style>
  <w:style w:type="paragraph" w:customStyle="1" w:styleId="63">
    <w:name w:val="列表 21"/>
    <w:basedOn w:val="1"/>
    <w:qFormat/>
    <w:uiPriority w:val="0"/>
    <w:pPr>
      <w:ind w:left="100" w:leftChars="200" w:hanging="200" w:hangingChars="200"/>
    </w:pPr>
    <w:rPr>
      <w:rFonts w:ascii="Times New Roman" w:hAnsi="Times New Roman" w:cs="Times New Roman"/>
      <w:szCs w:val="24"/>
    </w:rPr>
  </w:style>
  <w:style w:type="paragraph" w:customStyle="1" w:styleId="64">
    <w:name w:val="样式 标题 1 + 宋体 居中 段前: 48 磅 段后: 12 磅 行距: 1.5 倍行距"/>
    <w:basedOn w:val="2"/>
    <w:qFormat/>
    <w:uiPriority w:val="0"/>
    <w:pPr>
      <w:adjustRightInd w:val="0"/>
      <w:spacing w:before="0" w:after="0" w:line="360" w:lineRule="auto"/>
      <w:jc w:val="center"/>
      <w:textAlignment w:val="baseline"/>
    </w:pPr>
    <w:rPr>
      <w:rFonts w:ascii="宋体" w:hAnsi="宋体"/>
      <w:snapToGrid w:val="0"/>
      <w:kern w:val="2"/>
    </w:rPr>
  </w:style>
  <w:style w:type="character" w:customStyle="1" w:styleId="65">
    <w:name w:val="annotation reference_637c7e9c-c54c-4dca-8597-5803ac410179"/>
    <w:basedOn w:val="34"/>
    <w:qFormat/>
    <w:uiPriority w:val="0"/>
    <w:rPr>
      <w:sz w:val="21"/>
      <w:szCs w:val="21"/>
    </w:rPr>
  </w:style>
  <w:style w:type="character" w:customStyle="1" w:styleId="66">
    <w:name w:val="列表段落 字符"/>
    <w:link w:val="52"/>
    <w:qFormat/>
    <w:uiPriority w:val="0"/>
    <w:rPr>
      <w:rFonts w:ascii="Calibri" w:hAnsi="Calibri"/>
    </w:rPr>
  </w:style>
  <w:style w:type="character" w:customStyle="1" w:styleId="67">
    <w:name w:val="标题 2 Char"/>
    <w:basedOn w:val="34"/>
    <w:link w:val="3"/>
    <w:qFormat/>
    <w:uiPriority w:val="0"/>
    <w:rPr>
      <w:rFonts w:ascii="Arial" w:hAnsi="Arial" w:eastAsia="黑体"/>
      <w:b/>
      <w:bCs/>
      <w:kern w:val="2"/>
      <w:sz w:val="32"/>
      <w:szCs w:val="32"/>
    </w:rPr>
  </w:style>
  <w:style w:type="character" w:customStyle="1" w:styleId="68">
    <w:name w:val="页眉 Char"/>
    <w:basedOn w:val="34"/>
    <w:link w:val="26"/>
    <w:qFormat/>
    <w:uiPriority w:val="0"/>
    <w:rPr>
      <w:rFonts w:ascii="Calibri" w:hAnsi="Calibri" w:cs="宋体"/>
      <w:kern w:val="2"/>
      <w:sz w:val="18"/>
      <w:szCs w:val="18"/>
    </w:rPr>
  </w:style>
  <w:style w:type="character" w:customStyle="1" w:styleId="69">
    <w:name w:val="页脚 Char"/>
    <w:basedOn w:val="34"/>
    <w:link w:val="25"/>
    <w:qFormat/>
    <w:uiPriority w:val="99"/>
    <w:rPr>
      <w:rFonts w:ascii="Calibri" w:hAnsi="Calibri" w:cs="宋体"/>
      <w:kern w:val="2"/>
      <w:sz w:val="18"/>
      <w:szCs w:val="18"/>
    </w:rPr>
  </w:style>
  <w:style w:type="character" w:customStyle="1" w:styleId="70">
    <w:name w:val="批注框文本 字符"/>
    <w:basedOn w:val="34"/>
    <w:link w:val="42"/>
    <w:qFormat/>
    <w:uiPriority w:val="0"/>
    <w:rPr>
      <w:rFonts w:ascii="Calibri" w:hAnsi="Calibri" w:cs="宋体"/>
      <w:kern w:val="2"/>
      <w:sz w:val="18"/>
      <w:szCs w:val="18"/>
    </w:rPr>
  </w:style>
  <w:style w:type="character" w:customStyle="1" w:styleId="71">
    <w:name w:val="批注文字 Char"/>
    <w:basedOn w:val="34"/>
    <w:link w:val="16"/>
    <w:qFormat/>
    <w:uiPriority w:val="0"/>
    <w:rPr>
      <w:rFonts w:ascii="Calibri" w:hAnsi="Calibri" w:cs="宋体"/>
      <w:kern w:val="2"/>
      <w:sz w:val="21"/>
      <w:szCs w:val="21"/>
    </w:rPr>
  </w:style>
  <w:style w:type="character" w:customStyle="1" w:styleId="72">
    <w:name w:val="批注主题 字符"/>
    <w:basedOn w:val="71"/>
    <w:link w:val="50"/>
    <w:qFormat/>
    <w:uiPriority w:val="0"/>
    <w:rPr>
      <w:rFonts w:ascii="Calibri" w:hAnsi="Calibri" w:cs="宋体"/>
      <w:b/>
      <w:bCs/>
      <w:kern w:val="2"/>
      <w:sz w:val="21"/>
      <w:szCs w:val="21"/>
    </w:rPr>
  </w:style>
  <w:style w:type="character" w:customStyle="1" w:styleId="73">
    <w:name w:val="纯文本 Char1"/>
    <w:basedOn w:val="34"/>
    <w:qFormat/>
    <w:uiPriority w:val="0"/>
    <w:rPr>
      <w:rFonts w:ascii="宋体" w:hAnsi="Courier New"/>
      <w:kern w:val="2"/>
      <w:sz w:val="21"/>
    </w:rPr>
  </w:style>
  <w:style w:type="character" w:customStyle="1" w:styleId="74">
    <w:name w:val="纯文本 字符"/>
    <w:basedOn w:val="34"/>
    <w:link w:val="48"/>
    <w:qFormat/>
    <w:uiPriority w:val="0"/>
    <w:rPr>
      <w:rFonts w:ascii="宋体" w:hAnsi="Courier New" w:cs="Courier New"/>
      <w:kern w:val="2"/>
      <w:sz w:val="21"/>
      <w:szCs w:val="21"/>
    </w:rPr>
  </w:style>
  <w:style w:type="character" w:customStyle="1" w:styleId="75">
    <w:name w:val="样式 Char Char"/>
    <w:link w:val="58"/>
    <w:qFormat/>
    <w:uiPriority w:val="0"/>
    <w:rPr>
      <w:rFonts w:ascii="宋体" w:hAnsi="宋体"/>
      <w:sz w:val="24"/>
      <w:szCs w:val="24"/>
    </w:rPr>
  </w:style>
  <w:style w:type="character" w:customStyle="1" w:styleId="76">
    <w:name w:val="正文文本 Char1"/>
    <w:basedOn w:val="34"/>
    <w:link w:val="5"/>
    <w:qFormat/>
    <w:uiPriority w:val="0"/>
  </w:style>
  <w:style w:type="character" w:customStyle="1" w:styleId="77">
    <w:name w:val="无间隔 字符"/>
    <w:basedOn w:val="34"/>
    <w:link w:val="60"/>
    <w:qFormat/>
    <w:uiPriority w:val="0"/>
    <w:rPr>
      <w:rFonts w:ascii="等线" w:hAnsi="等线" w:eastAsia="等线" w:cs="黑体"/>
      <w:sz w:val="22"/>
      <w:szCs w:val="22"/>
    </w:rPr>
  </w:style>
  <w:style w:type="character" w:customStyle="1" w:styleId="78">
    <w:name w:val="标题 3 Char"/>
    <w:basedOn w:val="34"/>
    <w:link w:val="7"/>
    <w:qFormat/>
    <w:uiPriority w:val="0"/>
    <w:rPr>
      <w:b/>
      <w:bCs/>
      <w:sz w:val="32"/>
      <w:szCs w:val="32"/>
    </w:rPr>
  </w:style>
  <w:style w:type="character" w:customStyle="1" w:styleId="79">
    <w:name w:val="Plain Text Char1"/>
    <w:basedOn w:val="34"/>
    <w:link w:val="61"/>
    <w:qFormat/>
    <w:uiPriority w:val="0"/>
    <w:rPr>
      <w:rFonts w:ascii="宋体" w:hAnsi="Courier New"/>
      <w:kern w:val="2"/>
      <w:sz w:val="21"/>
      <w:szCs w:val="21"/>
    </w:rPr>
  </w:style>
  <w:style w:type="character" w:customStyle="1" w:styleId="80">
    <w:name w:val="Body Text Indent Char Char"/>
    <w:basedOn w:val="34"/>
    <w:link w:val="62"/>
    <w:qFormat/>
    <w:uiPriority w:val="0"/>
    <w:rPr>
      <w:kern w:val="2"/>
      <w:sz w:val="21"/>
      <w:szCs w:val="24"/>
    </w:rPr>
  </w:style>
  <w:style w:type="character" w:customStyle="1" w:styleId="81">
    <w:name w:val="标题 1 Char"/>
    <w:basedOn w:val="34"/>
    <w:link w:val="2"/>
    <w:qFormat/>
    <w:uiPriority w:val="0"/>
    <w:rPr>
      <w:rFonts w:ascii="Calibri" w:hAnsi="Calibri" w:cs="宋体"/>
      <w:b/>
      <w:bCs/>
      <w:kern w:val="44"/>
      <w:sz w:val="44"/>
      <w:szCs w:val="44"/>
    </w:rPr>
  </w:style>
  <w:style w:type="paragraph" w:customStyle="1" w:styleId="82">
    <w:name w:val="样式 ！正文 + 首行缩进:  2 字符"/>
    <w:basedOn w:val="1"/>
    <w:qFormat/>
    <w:uiPriority w:val="0"/>
    <w:pPr>
      <w:adjustRightInd w:val="0"/>
      <w:spacing w:line="360" w:lineRule="atLeast"/>
      <w:ind w:firstLine="480" w:firstLineChars="200"/>
      <w:textAlignment w:val="baseline"/>
    </w:pPr>
    <w:rPr>
      <w:rFonts w:hint="eastAsia" w:ascii="Arial" w:hAnsi="Arial"/>
      <w:kern w:val="0"/>
      <w:sz w:val="20"/>
      <w:szCs w:val="20"/>
    </w:rPr>
  </w:style>
  <w:style w:type="character" w:customStyle="1" w:styleId="83">
    <w:name w:val="标题 5 Char"/>
    <w:basedOn w:val="34"/>
    <w:link w:val="9"/>
    <w:qFormat/>
    <w:uiPriority w:val="0"/>
    <w:rPr>
      <w:b/>
      <w:bCs/>
      <w:sz w:val="28"/>
      <w:szCs w:val="28"/>
    </w:rPr>
  </w:style>
  <w:style w:type="character" w:customStyle="1" w:styleId="84">
    <w:name w:val="称呼 Char"/>
    <w:basedOn w:val="34"/>
    <w:link w:val="17"/>
    <w:qFormat/>
    <w:uiPriority w:val="0"/>
    <w:rPr>
      <w:rFonts w:ascii="仿宋_GB2312" w:eastAsia="仿宋_GB2312"/>
      <w:sz w:val="28"/>
    </w:rPr>
  </w:style>
  <w:style w:type="character" w:customStyle="1" w:styleId="85">
    <w:name w:val="正文文本缩进 Char"/>
    <w:basedOn w:val="34"/>
    <w:link w:val="13"/>
    <w:qFormat/>
    <w:uiPriority w:val="0"/>
    <w:rPr>
      <w:sz w:val="24"/>
    </w:rPr>
  </w:style>
  <w:style w:type="character" w:customStyle="1" w:styleId="86">
    <w:name w:val="纯文本 Char"/>
    <w:basedOn w:val="34"/>
    <w:link w:val="22"/>
    <w:qFormat/>
    <w:uiPriority w:val="99"/>
    <w:rPr>
      <w:rFonts w:ascii="宋体" w:hAnsi="Courier New" w:cs="Courier New"/>
      <w:kern w:val="2"/>
      <w:sz w:val="21"/>
      <w:szCs w:val="21"/>
    </w:rPr>
  </w:style>
  <w:style w:type="paragraph" w:customStyle="1" w:styleId="87">
    <w:name w:val="列出段落1"/>
    <w:basedOn w:val="1"/>
    <w:qFormat/>
    <w:uiPriority w:val="0"/>
    <w:pPr>
      <w:ind w:firstLine="200" w:firstLineChars="200"/>
    </w:pPr>
    <w:rPr>
      <w:rFonts w:cs="Calibri"/>
    </w:rPr>
  </w:style>
  <w:style w:type="character" w:customStyle="1" w:styleId="88">
    <w:name w:val="正文缩进 Char"/>
    <w:link w:val="11"/>
    <w:qFormat/>
    <w:locked/>
    <w:uiPriority w:val="0"/>
    <w:rPr>
      <w:sz w:val="24"/>
    </w:rPr>
  </w:style>
  <w:style w:type="paragraph" w:customStyle="1" w:styleId="89">
    <w:name w:val="02标题二"/>
    <w:basedOn w:val="58"/>
    <w:qFormat/>
    <w:uiPriority w:val="0"/>
    <w:pPr>
      <w:ind w:firstLine="562" w:firstLineChars="200"/>
    </w:pPr>
    <w:rPr>
      <w:rFonts w:ascii="Times New Roman" w:hAnsi="Times New Roman" w:cs="华文仿宋"/>
      <w:b/>
      <w:bCs/>
      <w:sz w:val="28"/>
      <w:szCs w:val="28"/>
    </w:rPr>
  </w:style>
  <w:style w:type="character" w:customStyle="1" w:styleId="90">
    <w:name w:val="日期 Char"/>
    <w:basedOn w:val="34"/>
    <w:link w:val="23"/>
    <w:qFormat/>
    <w:uiPriority w:val="0"/>
    <w:rPr>
      <w:sz w:val="24"/>
    </w:rPr>
  </w:style>
  <w:style w:type="paragraph" w:customStyle="1" w:styleId="91">
    <w:name w:val="普通 (Web)"/>
    <w:basedOn w:val="1"/>
    <w:qFormat/>
    <w:uiPriority w:val="0"/>
    <w:pPr>
      <w:widowControl/>
      <w:spacing w:before="100" w:beforeAutospacing="1" w:after="100" w:afterAutospacing="1"/>
      <w:jc w:val="left"/>
    </w:pPr>
    <w:rPr>
      <w:rFonts w:ascii="宋体" w:hAnsi="宋体" w:cs="Times New Roman"/>
      <w:kern w:val="0"/>
      <w:sz w:val="24"/>
      <w:szCs w:val="20"/>
    </w:rPr>
  </w:style>
  <w:style w:type="paragraph" w:customStyle="1" w:styleId="92">
    <w:name w:val="Table Paragraph"/>
    <w:basedOn w:val="1"/>
    <w:qFormat/>
    <w:uiPriority w:val="0"/>
    <w:pPr>
      <w:autoSpaceDE w:val="0"/>
      <w:autoSpaceDN w:val="0"/>
      <w:jc w:val="left"/>
    </w:pPr>
    <w:rPr>
      <w:rFonts w:ascii="宋体" w:hAnsi="宋体"/>
      <w:kern w:val="0"/>
      <w:sz w:val="22"/>
      <w:szCs w:val="22"/>
      <w:lang w:eastAsia="en-US"/>
    </w:rPr>
  </w:style>
  <w:style w:type="character" w:customStyle="1" w:styleId="93">
    <w:name w:val="hover"/>
    <w:qFormat/>
    <w:uiPriority w:val="0"/>
    <w:rPr>
      <w:color w:val="2590EB"/>
    </w:rPr>
  </w:style>
  <w:style w:type="character" w:customStyle="1" w:styleId="94">
    <w:name w:val="正文首行缩进 2 Char"/>
    <w:basedOn w:val="85"/>
    <w:link w:val="12"/>
    <w:qFormat/>
    <w:uiPriority w:val="0"/>
    <w:rPr>
      <w:rFonts w:ascii="Calibri" w:hAnsi="Calibri" w:cs="宋体"/>
      <w:kern w:val="2"/>
      <w:sz w:val="21"/>
      <w:szCs w:val="21"/>
    </w:rPr>
  </w:style>
  <w:style w:type="character" w:customStyle="1" w:styleId="95">
    <w:name w:val="批注框文本 Char"/>
    <w:basedOn w:val="34"/>
    <w:link w:val="24"/>
    <w:qFormat/>
    <w:uiPriority w:val="0"/>
    <w:rPr>
      <w:rFonts w:ascii="Calibri" w:hAnsi="Calibri" w:cs="宋体"/>
      <w:kern w:val="2"/>
      <w:sz w:val="18"/>
      <w:szCs w:val="18"/>
    </w:rPr>
  </w:style>
  <w:style w:type="character" w:customStyle="1" w:styleId="96">
    <w:name w:val="NormalCharacter"/>
    <w:qFormat/>
    <w:uiPriority w:val="0"/>
    <w:rPr>
      <w:rFonts w:ascii="Times New Roman" w:hAnsi="Times New Roman" w:eastAsia="仿宋_GB2312" w:cs="Times New Roman"/>
      <w:kern w:val="2"/>
      <w:sz w:val="32"/>
      <w:szCs w:val="24"/>
      <w:lang w:val="en-US" w:eastAsia="zh-CN" w:bidi="ar-SA"/>
    </w:rPr>
  </w:style>
  <w:style w:type="paragraph" w:customStyle="1" w:styleId="97">
    <w:name w:val="001大标题"/>
    <w:basedOn w:val="1"/>
    <w:qFormat/>
    <w:uiPriority w:val="0"/>
    <w:pPr>
      <w:spacing w:before="100" w:beforeAutospacing="1" w:after="100" w:afterAutospacing="1"/>
      <w:jc w:val="center"/>
    </w:pPr>
    <w:rPr>
      <w:rFonts w:ascii="宋体" w:hAnsi="宋体" w:cs="Times New Roman"/>
      <w:b/>
      <w:sz w:val="30"/>
      <w:szCs w:val="30"/>
    </w:rPr>
  </w:style>
  <w:style w:type="character" w:customStyle="1" w:styleId="98">
    <w:name w:val="纯文本 Char3"/>
    <w:basedOn w:val="34"/>
    <w:qFormat/>
    <w:uiPriority w:val="0"/>
    <w:rPr>
      <w:rFonts w:ascii="宋体" w:hAnsi="Courier New" w:eastAsia="宋体" w:cs="Times New Roman"/>
      <w:kern w:val="0"/>
      <w:sz w:val="20"/>
      <w:szCs w:val="20"/>
    </w:rPr>
  </w:style>
  <w:style w:type="character" w:customStyle="1" w:styleId="99">
    <w:name w:val="16"/>
    <w:basedOn w:val="34"/>
    <w:qFormat/>
    <w:uiPriority w:val="0"/>
    <w:rPr>
      <w:rFonts w:hint="default" w:ascii="Times New Roman" w:hAnsi="Times New Roman" w:cs="Times New Roman"/>
      <w:color w:val="333333"/>
    </w:rPr>
  </w:style>
  <w:style w:type="paragraph" w:customStyle="1" w:styleId="100">
    <w:name w:val="Char Char Char Char Char Char Char1 Char_1"/>
    <w:basedOn w:val="101"/>
    <w:qFormat/>
    <w:uiPriority w:val="0"/>
    <w:pPr>
      <w:keepNext w:val="0"/>
      <w:keepLines w:val="0"/>
      <w:widowControl w:val="0"/>
      <w:suppressLineNumbers w:val="0"/>
      <w:spacing w:before="0" w:beforeAutospacing="0" w:after="0" w:afterAutospacing="0"/>
      <w:ind w:left="0" w:right="0"/>
      <w:jc w:val="both"/>
    </w:pPr>
    <w:rPr>
      <w:rFonts w:hint="default" w:ascii="Tahoma" w:hAnsi="Tahoma" w:eastAsia="宋体" w:cs="Times New Roman"/>
      <w:kern w:val="2"/>
      <w:sz w:val="24"/>
      <w:szCs w:val="24"/>
      <w:lang w:val="en-US" w:eastAsia="zh-CN" w:bidi="ar"/>
    </w:rPr>
  </w:style>
  <w:style w:type="paragraph" w:customStyle="1" w:styleId="101">
    <w:name w:val="正文_1"/>
    <w:qFormat/>
    <w:uiPriority w:val="0"/>
    <w:pPr>
      <w:widowControl w:val="0"/>
      <w:jc w:val="both"/>
    </w:pPr>
    <w:rPr>
      <w:rFonts w:ascii="Times New Roman" w:hAnsi="Times New Roman" w:eastAsia="宋体" w:cs="Times New Roman"/>
      <w:kern w:val="2"/>
      <w:sz w:val="21"/>
      <w:lang w:val="en-US" w:eastAsia="zh-CN" w:bidi="ar-SA"/>
    </w:rPr>
  </w:style>
  <w:style w:type="table" w:customStyle="1" w:styleId="102">
    <w:name w:val="Table Normal"/>
    <w:unhideWhenUsed/>
    <w:qFormat/>
    <w:uiPriority w:val="0"/>
    <w:tblPr>
      <w:tblCellMar>
        <w:top w:w="0" w:type="dxa"/>
        <w:left w:w="0" w:type="dxa"/>
        <w:bottom w:w="0" w:type="dxa"/>
        <w:right w:w="0" w:type="dxa"/>
      </w:tblCellMar>
    </w:tblPr>
  </w:style>
  <w:style w:type="paragraph" w:customStyle="1" w:styleId="103">
    <w:name w:val="_Style 13"/>
    <w:qFormat/>
    <w:uiPriority w:val="0"/>
    <w:pPr>
      <w:spacing w:before="120" w:after="120" w:line="288" w:lineRule="auto"/>
      <w:ind w:left="0"/>
      <w:jc w:val="left"/>
    </w:pPr>
    <w:rPr>
      <w:rFonts w:ascii="Arial" w:hAnsi="Arial" w:eastAsia="等线" w:cs="Arial"/>
      <w:sz w:val="22"/>
      <w:szCs w:val="22"/>
    </w:rPr>
  </w:style>
  <w:style w:type="character" w:customStyle="1" w:styleId="104">
    <w:name w:val="font61"/>
    <w:basedOn w:val="34"/>
    <w:qFormat/>
    <w:uiPriority w:val="0"/>
    <w:rPr>
      <w:rFonts w:ascii="Arial" w:hAnsi="Arial" w:cs="Arial"/>
      <w:b/>
      <w:bCs/>
      <w:color w:val="000000"/>
      <w:sz w:val="20"/>
      <w:szCs w:val="20"/>
      <w:u w:val="none"/>
    </w:rPr>
  </w:style>
  <w:style w:type="paragraph" w:customStyle="1" w:styleId="105">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A1BC3C-3074-4A36-A8A5-9025A551822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56</Pages>
  <Words>24434</Words>
  <Characters>25748</Characters>
  <Lines>137</Lines>
  <Paragraphs>38</Paragraphs>
  <TotalTime>45</TotalTime>
  <ScaleCrop>false</ScaleCrop>
  <LinksUpToDate>false</LinksUpToDate>
  <CharactersWithSpaces>26566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2021-07-26T22:26:00Z</dcterms:created>
  <dc:creator>gyb1</dc:creator>
  <cp:lastModifiedBy>NTKO</cp:lastModifiedBy>
  <cp:lastPrinted>2025-07-04T08:39:00Z</cp:lastPrinted>
  <dcterms:modified xsi:type="dcterms:W3CDTF">2025-12-01T06:26:09Z</dcterms:modified>
  <dc:title>愛Dё锁链</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AD0B08217B4D4695A39F5484A0FF55EA_13</vt:lpwstr>
  </property>
  <property fmtid="{D5CDD505-2E9C-101B-9397-08002B2CF9AE}" pid="4" name="KSOTemplateDocerSaveRecord">
    <vt:lpwstr>eyJoZGlkIjoiZDQ2NGVjZmNlZjBhMDhmNWM5MDgxZTQxYzE3MDZiOWMiLCJ1c2VySWQiOiIyNzg4MDEzNzUifQ==</vt:lpwstr>
  </property>
</Properties>
</file>