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94CF4">
      <w:pPr>
        <w:pStyle w:val="9"/>
        <w:keepNext w:val="0"/>
        <w:keepLines w:val="0"/>
        <w:pageBreakBefore w:val="0"/>
        <w:widowControl w:val="0"/>
        <w:kinsoku/>
        <w:topLinePunct w:val="0"/>
        <w:bidi w:val="0"/>
        <w:rPr>
          <w:rFonts w:hint="eastAsia" w:ascii="宋体" w:hAnsi="宋体" w:cs="宋体"/>
          <w:b/>
          <w:color w:val="auto"/>
          <w:kern w:val="0"/>
          <w:sz w:val="44"/>
          <w:szCs w:val="36"/>
          <w:highlight w:val="none"/>
          <w:lang w:eastAsia="zh-CN"/>
        </w:rPr>
      </w:pPr>
    </w:p>
    <w:p w14:paraId="18D62F12">
      <w:pPr>
        <w:pStyle w:val="9"/>
        <w:keepNext w:val="0"/>
        <w:keepLines w:val="0"/>
        <w:pageBreakBefore w:val="0"/>
        <w:widowControl w:val="0"/>
        <w:kinsoku/>
        <w:topLinePunct w:val="0"/>
        <w:bidi w:val="0"/>
        <w:jc w:val="center"/>
        <w:rPr>
          <w:rFonts w:hint="eastAsia" w:ascii="宋体" w:hAnsi="宋体" w:cs="宋体"/>
          <w:b/>
          <w:color w:val="auto"/>
          <w:kern w:val="0"/>
          <w:sz w:val="36"/>
          <w:szCs w:val="28"/>
          <w:highlight w:val="none"/>
          <w:lang w:eastAsia="zh-CN"/>
        </w:rPr>
      </w:pPr>
      <w:r>
        <w:rPr>
          <w:rFonts w:hint="eastAsia" w:ascii="宋体" w:hAnsi="宋体" w:cs="宋体"/>
          <w:b/>
          <w:color w:val="auto"/>
          <w:kern w:val="0"/>
          <w:sz w:val="40"/>
          <w:szCs w:val="32"/>
          <w:highlight w:val="none"/>
          <w:lang w:eastAsia="zh-CN"/>
        </w:rPr>
        <w:t>铜陵国家农业科技园区流转土地清表翻耕项目</w:t>
      </w:r>
    </w:p>
    <w:p w14:paraId="390F90EE">
      <w:pPr>
        <w:pStyle w:val="9"/>
        <w:keepNext w:val="0"/>
        <w:keepLines w:val="0"/>
        <w:pageBreakBefore w:val="0"/>
        <w:widowControl w:val="0"/>
        <w:kinsoku/>
        <w:topLinePunct w:val="0"/>
        <w:bidi w:val="0"/>
        <w:rPr>
          <w:rFonts w:hint="eastAsia" w:ascii="宋体" w:hAnsi="宋体" w:cs="宋体"/>
          <w:b/>
          <w:color w:val="auto"/>
          <w:kern w:val="0"/>
          <w:sz w:val="44"/>
          <w:szCs w:val="36"/>
          <w:highlight w:val="none"/>
          <w:lang w:eastAsia="zh-CN"/>
        </w:rPr>
      </w:pPr>
    </w:p>
    <w:p w14:paraId="46498135">
      <w:pPr>
        <w:pStyle w:val="9"/>
        <w:keepNext w:val="0"/>
        <w:keepLines w:val="0"/>
        <w:pageBreakBefore w:val="0"/>
        <w:widowControl w:val="0"/>
        <w:kinsoku/>
        <w:topLinePunct w:val="0"/>
        <w:bidi w:val="0"/>
        <w:rPr>
          <w:rFonts w:hint="eastAsia" w:ascii="宋体" w:hAnsi="宋体" w:cs="宋体"/>
          <w:b/>
          <w:color w:val="auto"/>
          <w:kern w:val="0"/>
          <w:sz w:val="44"/>
          <w:szCs w:val="36"/>
          <w:highlight w:val="none"/>
          <w:lang w:eastAsia="zh-CN"/>
        </w:rPr>
      </w:pPr>
    </w:p>
    <w:p w14:paraId="65355E87">
      <w:pPr>
        <w:pStyle w:val="9"/>
        <w:keepNext w:val="0"/>
        <w:keepLines w:val="0"/>
        <w:pageBreakBefore w:val="0"/>
        <w:widowControl w:val="0"/>
        <w:kinsoku/>
        <w:topLinePunct w:val="0"/>
        <w:bidi w:val="0"/>
        <w:rPr>
          <w:rFonts w:hint="eastAsia" w:ascii="宋体" w:hAnsi="宋体" w:cs="宋体"/>
          <w:b/>
          <w:color w:val="auto"/>
          <w:kern w:val="0"/>
          <w:sz w:val="44"/>
          <w:szCs w:val="36"/>
          <w:highlight w:val="none"/>
          <w:lang w:eastAsia="zh-CN"/>
        </w:rPr>
      </w:pPr>
    </w:p>
    <w:p w14:paraId="1CBC7051">
      <w:pPr>
        <w:pStyle w:val="14"/>
        <w:keepNext w:val="0"/>
        <w:keepLines w:val="0"/>
        <w:pageBreakBefore w:val="0"/>
        <w:widowControl w:val="0"/>
        <w:kinsoku/>
        <w:topLinePunct w:val="0"/>
        <w:bidi w:val="0"/>
        <w:rPr>
          <w:rFonts w:hint="eastAsia"/>
          <w:color w:val="auto"/>
          <w:highlight w:val="none"/>
          <w:lang w:eastAsia="zh-CN"/>
        </w:rPr>
      </w:pPr>
    </w:p>
    <w:p w14:paraId="6387FABA">
      <w:pPr>
        <w:keepNext w:val="0"/>
        <w:keepLines w:val="0"/>
        <w:pageBreakBefore w:val="0"/>
        <w:widowControl w:val="0"/>
        <w:kinsoku/>
        <w:topLinePunct w:val="0"/>
        <w:bidi w:val="0"/>
        <w:adjustRightInd w:val="0"/>
        <w:spacing w:before="480" w:beforeLines="200" w:after="48" w:afterLines="20" w:line="360" w:lineRule="auto"/>
        <w:jc w:val="center"/>
        <w:rPr>
          <w:rFonts w:hint="eastAsia" w:ascii="宋体" w:hAnsi="宋体"/>
          <w:b/>
          <w:bCs/>
          <w:color w:val="auto"/>
          <w:sz w:val="112"/>
          <w:szCs w:val="112"/>
          <w:highlight w:val="none"/>
        </w:rPr>
      </w:pPr>
      <w:r>
        <w:rPr>
          <w:rFonts w:hint="eastAsia" w:ascii="宋体" w:hAnsi="宋体"/>
          <w:b/>
          <w:bCs/>
          <w:color w:val="auto"/>
          <w:sz w:val="112"/>
          <w:szCs w:val="112"/>
          <w:highlight w:val="none"/>
        </w:rPr>
        <w:t>招标文件</w:t>
      </w:r>
    </w:p>
    <w:p w14:paraId="0481AE7B">
      <w:pPr>
        <w:keepNext w:val="0"/>
        <w:keepLines w:val="0"/>
        <w:pageBreakBefore w:val="0"/>
        <w:widowControl w:val="0"/>
        <w:kinsoku/>
        <w:topLinePunct w:val="0"/>
        <w:bidi w:val="0"/>
        <w:adjustRightInd w:val="0"/>
        <w:spacing w:before="48" w:beforeLines="20" w:after="48" w:afterLines="20" w:line="360" w:lineRule="auto"/>
        <w:jc w:val="center"/>
        <w:rPr>
          <w:rFonts w:hint="default" w:ascii="宋体" w:hAnsi="宋体" w:eastAsia="宋体"/>
          <w:bCs/>
          <w:color w:val="auto"/>
          <w:sz w:val="28"/>
          <w:highlight w:val="none"/>
          <w:lang w:val="en-US" w:eastAsia="zh-CN"/>
        </w:rPr>
      </w:pPr>
      <w:r>
        <w:rPr>
          <w:rFonts w:hint="eastAsia" w:ascii="宋体" w:hAnsi="宋体"/>
          <w:b/>
          <w:bCs w:val="0"/>
          <w:color w:val="auto"/>
          <w:sz w:val="28"/>
          <w:highlight w:val="none"/>
        </w:rPr>
        <w:t>招标编号：</w:t>
      </w:r>
      <w:r>
        <w:rPr>
          <w:rFonts w:hint="eastAsia" w:ascii="宋体" w:hAnsi="宋体"/>
          <w:b/>
          <w:bCs w:val="0"/>
          <w:color w:val="auto"/>
          <w:sz w:val="28"/>
          <w:highlight w:val="none"/>
          <w:lang w:val="en-US" w:eastAsia="zh-CN"/>
        </w:rPr>
        <w:t>JQZB2026014</w:t>
      </w:r>
    </w:p>
    <w:p w14:paraId="7466916B">
      <w:pPr>
        <w:keepNext w:val="0"/>
        <w:keepLines w:val="0"/>
        <w:pageBreakBefore w:val="0"/>
        <w:widowControl w:val="0"/>
        <w:kinsoku/>
        <w:topLinePunct w:val="0"/>
        <w:bidi w:val="0"/>
        <w:adjustRightInd w:val="0"/>
        <w:spacing w:before="48" w:beforeLines="20" w:after="48" w:afterLines="20" w:line="360" w:lineRule="auto"/>
        <w:jc w:val="center"/>
        <w:rPr>
          <w:rFonts w:hint="eastAsia" w:ascii="宋体" w:hAnsi="宋体"/>
          <w:b/>
          <w:bCs/>
          <w:color w:val="auto"/>
          <w:sz w:val="30"/>
          <w:szCs w:val="30"/>
          <w:highlight w:val="none"/>
        </w:rPr>
      </w:pPr>
    </w:p>
    <w:p w14:paraId="4C3070C3">
      <w:pPr>
        <w:keepNext w:val="0"/>
        <w:keepLines w:val="0"/>
        <w:pageBreakBefore w:val="0"/>
        <w:widowControl w:val="0"/>
        <w:kinsoku/>
        <w:topLinePunct w:val="0"/>
        <w:bidi w:val="0"/>
        <w:adjustRightInd w:val="0"/>
        <w:spacing w:before="48" w:beforeLines="20" w:after="48" w:afterLines="20" w:line="360" w:lineRule="auto"/>
        <w:jc w:val="center"/>
        <w:rPr>
          <w:rFonts w:ascii="宋体" w:hAnsi="宋体"/>
          <w:b/>
          <w:bCs/>
          <w:color w:val="auto"/>
          <w:sz w:val="30"/>
          <w:szCs w:val="30"/>
          <w:highlight w:val="none"/>
        </w:rPr>
      </w:pPr>
    </w:p>
    <w:p w14:paraId="689BF6D9">
      <w:pPr>
        <w:pStyle w:val="37"/>
        <w:keepNext w:val="0"/>
        <w:keepLines w:val="0"/>
        <w:pageBreakBefore w:val="0"/>
        <w:widowControl w:val="0"/>
        <w:kinsoku/>
        <w:topLinePunct w:val="0"/>
        <w:bidi w:val="0"/>
        <w:ind w:firstLine="602"/>
        <w:rPr>
          <w:rFonts w:ascii="宋体" w:hAnsi="宋体"/>
          <w:b/>
          <w:bCs/>
          <w:color w:val="auto"/>
          <w:sz w:val="30"/>
          <w:szCs w:val="30"/>
          <w:highlight w:val="none"/>
        </w:rPr>
      </w:pPr>
    </w:p>
    <w:p w14:paraId="6A16EFC6">
      <w:pPr>
        <w:keepNext w:val="0"/>
        <w:keepLines w:val="0"/>
        <w:pageBreakBefore w:val="0"/>
        <w:widowControl w:val="0"/>
        <w:kinsoku/>
        <w:topLinePunct w:val="0"/>
        <w:bidi w:val="0"/>
        <w:adjustRightInd w:val="0"/>
        <w:spacing w:before="48" w:beforeLines="20" w:after="48" w:afterLines="20"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25F509E">
      <w:pPr>
        <w:keepNext w:val="0"/>
        <w:keepLines w:val="0"/>
        <w:pageBreakBefore w:val="0"/>
        <w:widowControl w:val="0"/>
        <w:kinsoku/>
        <w:topLinePunct w:val="0"/>
        <w:bidi w:val="0"/>
        <w:adjustRightInd w:val="0"/>
        <w:spacing w:before="48" w:beforeLines="20" w:after="48" w:afterLines="20" w:line="360" w:lineRule="auto"/>
        <w:rPr>
          <w:rFonts w:hint="eastAsia" w:ascii="宋体" w:hAnsi="宋体"/>
          <w:b/>
          <w:bCs/>
          <w:color w:val="auto"/>
          <w:sz w:val="30"/>
          <w:szCs w:val="30"/>
          <w:highlight w:val="none"/>
        </w:rPr>
      </w:pPr>
    </w:p>
    <w:p w14:paraId="0195BB86">
      <w:pPr>
        <w:pStyle w:val="9"/>
        <w:keepNext w:val="0"/>
        <w:keepLines w:val="0"/>
        <w:pageBreakBefore w:val="0"/>
        <w:widowControl w:val="0"/>
        <w:kinsoku/>
        <w:topLinePunct w:val="0"/>
        <w:bidi w:val="0"/>
        <w:rPr>
          <w:rFonts w:hint="eastAsia" w:ascii="宋体" w:hAnsi="宋体"/>
          <w:b/>
          <w:bCs/>
          <w:color w:val="auto"/>
          <w:sz w:val="30"/>
          <w:szCs w:val="30"/>
          <w:highlight w:val="none"/>
        </w:rPr>
      </w:pPr>
    </w:p>
    <w:p w14:paraId="7EF07DA6">
      <w:pPr>
        <w:pStyle w:val="9"/>
        <w:keepNext w:val="0"/>
        <w:keepLines w:val="0"/>
        <w:pageBreakBefore w:val="0"/>
        <w:widowControl w:val="0"/>
        <w:kinsoku/>
        <w:topLinePunct w:val="0"/>
        <w:bidi w:val="0"/>
        <w:ind w:firstLine="1807" w:firstLineChars="600"/>
        <w:rPr>
          <w:rFonts w:hint="eastAsia" w:ascii="宋体" w:hAnsi="宋体"/>
          <w:b/>
          <w:bCs/>
          <w:color w:val="auto"/>
          <w:sz w:val="30"/>
          <w:szCs w:val="30"/>
          <w:highlight w:val="none"/>
        </w:rPr>
      </w:pPr>
    </w:p>
    <w:p w14:paraId="212E30CC">
      <w:pPr>
        <w:keepNext w:val="0"/>
        <w:keepLines w:val="0"/>
        <w:pageBreakBefore w:val="0"/>
        <w:widowControl w:val="0"/>
        <w:kinsoku/>
        <w:topLinePunct w:val="0"/>
        <w:bidi w:val="0"/>
        <w:spacing w:before="48" w:beforeLines="20" w:after="48" w:afterLines="20" w:line="360" w:lineRule="auto"/>
        <w:jc w:val="center"/>
        <w:textAlignment w:val="center"/>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 xml:space="preserve">   招  标  人：安徽铜陵国家农业科技园区投资开发有限责任公司</w:t>
      </w:r>
    </w:p>
    <w:p w14:paraId="08C66E56">
      <w:pPr>
        <w:keepNext w:val="0"/>
        <w:keepLines w:val="0"/>
        <w:pageBreakBefore w:val="0"/>
        <w:widowControl w:val="0"/>
        <w:kinsoku/>
        <w:topLinePunct w:val="0"/>
        <w:bidi w:val="0"/>
        <w:spacing w:before="48" w:beforeLines="20" w:after="48" w:afterLines="20" w:line="360" w:lineRule="auto"/>
        <w:jc w:val="center"/>
        <w:textAlignment w:val="center"/>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招标代理机构：安徽建清工程咨询有限公司</w:t>
      </w:r>
    </w:p>
    <w:p w14:paraId="26C3FBF3">
      <w:pPr>
        <w:pStyle w:val="38"/>
        <w:numPr>
          <w:ilvl w:val="0"/>
          <w:numId w:val="1"/>
        </w:numPr>
        <w:snapToGrid w:val="0"/>
        <w:spacing w:before="0" w:after="0" w:line="240" w:lineRule="auto"/>
        <w:jc w:val="center"/>
        <w:rPr>
          <w:rStyle w:val="47"/>
          <w:rFonts w:hint="eastAsia" w:ascii="宋体" w:hAnsi="宋体" w:eastAsia="宋体" w:cs="宋体"/>
          <w:color w:val="auto"/>
          <w:highlight w:val="none"/>
        </w:rPr>
      </w:pPr>
      <w:r>
        <w:rPr>
          <w:rFonts w:hint="eastAsia" w:ascii="宋体" w:hAnsi="宋体"/>
          <w:b/>
          <w:bCs/>
          <w:color w:val="auto"/>
          <w:sz w:val="36"/>
          <w:szCs w:val="36"/>
          <w:highlight w:val="none"/>
          <w:lang w:val="en-US" w:eastAsia="zh-CN"/>
        </w:rPr>
        <w:t xml:space="preserve"> 2026年7月</w:t>
      </w:r>
    </w:p>
    <w:p w14:paraId="26C77C61">
      <w:pPr>
        <w:pStyle w:val="38"/>
        <w:tabs>
          <w:tab w:val="left" w:pos="432"/>
        </w:tabs>
        <w:snapToGrid w:val="0"/>
        <w:spacing w:before="0" w:after="0" w:line="240" w:lineRule="auto"/>
        <w:ind w:left="432" w:hanging="432"/>
        <w:jc w:val="center"/>
        <w:rPr>
          <w:rStyle w:val="47"/>
          <w:rFonts w:hint="eastAsia" w:ascii="宋体" w:hAnsi="宋体" w:eastAsia="宋体" w:cs="宋体"/>
          <w:color w:val="auto"/>
          <w:highlight w:val="none"/>
        </w:rPr>
        <w:sectPr>
          <w:headerReference r:id="rId3" w:type="default"/>
          <w:footerReference r:id="rId4" w:type="default"/>
          <w:pgSz w:w="11910" w:h="16850"/>
          <w:pgMar w:top="1440" w:right="1800" w:bottom="1440" w:left="1800" w:header="0" w:footer="912" w:gutter="0"/>
          <w:pgNumType w:start="0"/>
          <w:cols w:space="425" w:num="1"/>
          <w:docGrid w:linePitch="286" w:charSpace="0"/>
        </w:sectPr>
      </w:pPr>
    </w:p>
    <w:p w14:paraId="42B6A49D">
      <w:pPr>
        <w:pStyle w:val="39"/>
        <w:snapToGrid w:val="0"/>
        <w:jc w:val="center"/>
        <w:rPr>
          <w:rStyle w:val="47"/>
          <w:rFonts w:hint="eastAsia" w:ascii="宋体" w:hAnsi="宋体" w:eastAsia="宋体" w:cs="宋体"/>
          <w:color w:val="auto"/>
          <w:sz w:val="30"/>
          <w:szCs w:val="30"/>
          <w:highlight w:val="none"/>
        </w:rPr>
      </w:pPr>
      <w:r>
        <w:rPr>
          <w:rStyle w:val="47"/>
          <w:rFonts w:hint="eastAsia" w:ascii="宋体" w:hAnsi="宋体" w:eastAsia="宋体" w:cs="宋体"/>
          <w:color w:val="auto"/>
          <w:sz w:val="30"/>
          <w:szCs w:val="30"/>
          <w:highlight w:val="none"/>
        </w:rPr>
        <w:t xml:space="preserve">目 </w:t>
      </w:r>
      <w:r>
        <w:rPr>
          <w:rStyle w:val="47"/>
          <w:rFonts w:hint="eastAsia" w:ascii="宋体" w:hAnsi="宋体" w:eastAsia="宋体" w:cs="宋体"/>
          <w:color w:val="auto"/>
          <w:sz w:val="30"/>
          <w:szCs w:val="30"/>
          <w:highlight w:val="none"/>
          <w:lang w:val="en-US"/>
        </w:rPr>
        <w:t xml:space="preserve">  </w:t>
      </w:r>
      <w:r>
        <w:rPr>
          <w:rStyle w:val="47"/>
          <w:rFonts w:hint="eastAsia" w:ascii="宋体" w:hAnsi="宋体" w:eastAsia="宋体" w:cs="宋体"/>
          <w:color w:val="auto"/>
          <w:sz w:val="30"/>
          <w:szCs w:val="30"/>
          <w:highlight w:val="none"/>
        </w:rPr>
        <w:t xml:space="preserve"> 录</w:t>
      </w:r>
    </w:p>
    <w:p w14:paraId="236126CC">
      <w:pPr>
        <w:pStyle w:val="39"/>
        <w:snapToGrid w:val="0"/>
        <w:jc w:val="center"/>
        <w:rPr>
          <w:rStyle w:val="47"/>
          <w:rFonts w:hint="eastAsia" w:ascii="宋体" w:hAnsi="宋体" w:eastAsia="宋体" w:cs="宋体"/>
          <w:color w:val="auto"/>
          <w:sz w:val="30"/>
          <w:szCs w:val="30"/>
          <w:highlight w:val="none"/>
        </w:rPr>
      </w:pPr>
      <w:r>
        <w:rPr>
          <w:rStyle w:val="47"/>
          <w:rFonts w:hint="eastAsia" w:ascii="宋体" w:hAnsi="宋体" w:eastAsia="宋体" w:cs="宋体"/>
          <w:color w:val="auto"/>
          <w:sz w:val="30"/>
          <w:szCs w:val="30"/>
          <w:highlight w:val="none"/>
        </w:rPr>
        <w:t>上篇    专用部分</w:t>
      </w:r>
    </w:p>
    <w:p w14:paraId="7AA96793">
      <w:pPr>
        <w:pStyle w:val="118"/>
        <w:numPr>
          <w:ilvl w:val="0"/>
          <w:numId w:val="3"/>
        </w:numPr>
        <w:tabs>
          <w:tab w:val="left" w:pos="900"/>
          <w:tab w:val="right" w:leader="dot" w:pos="9345"/>
        </w:tabs>
        <w:snapToGrid w:val="0"/>
        <w:spacing w:before="120" w:after="120" w:line="360" w:lineRule="auto"/>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招标公告</w:t>
      </w:r>
    </w:p>
    <w:p w14:paraId="408372E0">
      <w:pPr>
        <w:pStyle w:val="118"/>
        <w:tabs>
          <w:tab w:val="left" w:pos="900"/>
          <w:tab w:val="right" w:leader="dot" w:pos="9345"/>
        </w:tabs>
        <w:snapToGrid w:val="0"/>
        <w:spacing w:before="120" w:after="120" w:line="360" w:lineRule="auto"/>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第二章  投标须知前附表</w:t>
      </w:r>
    </w:p>
    <w:p w14:paraId="5B8750DC">
      <w:pPr>
        <w:pStyle w:val="118"/>
        <w:tabs>
          <w:tab w:val="left" w:pos="900"/>
          <w:tab w:val="right" w:leader="dot" w:pos="9345"/>
        </w:tabs>
        <w:snapToGrid w:val="0"/>
        <w:spacing w:before="120" w:after="120" w:line="360" w:lineRule="auto"/>
        <w:ind w:firstLine="240" w:firstLineChars="1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（一）前附表1</w:t>
      </w:r>
    </w:p>
    <w:p w14:paraId="2843C37E">
      <w:pPr>
        <w:snapToGrid w:val="0"/>
        <w:spacing w:line="360" w:lineRule="auto"/>
        <w:ind w:firstLine="240" w:firstLineChars="10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（二）前附表2</w:t>
      </w:r>
    </w:p>
    <w:p w14:paraId="3D62A6A1">
      <w:pPr>
        <w:snapToGrid w:val="0"/>
        <w:spacing w:line="360" w:lineRule="auto"/>
        <w:ind w:firstLine="240" w:firstLineChars="10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（三）前附表3</w:t>
      </w:r>
    </w:p>
    <w:p w14:paraId="1E681199">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第三章  需补充和改动的条款</w:t>
      </w:r>
    </w:p>
    <w:p w14:paraId="3A3956DB">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第四章  图纸、技术标准和要求</w:t>
      </w:r>
    </w:p>
    <w:p w14:paraId="32697CF9">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第五章  工程量清单</w:t>
      </w:r>
    </w:p>
    <w:p w14:paraId="66BD7879">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第六章  合同专用条款</w:t>
      </w:r>
    </w:p>
    <w:p w14:paraId="34248E9C">
      <w:pPr>
        <w:pStyle w:val="101"/>
        <w:snapToGrid w:val="0"/>
        <w:spacing w:line="360" w:lineRule="auto"/>
        <w:jc w:val="center"/>
        <w:rPr>
          <w:rStyle w:val="47"/>
          <w:rFonts w:hint="eastAsia" w:ascii="宋体" w:hAnsi="宋体" w:eastAsia="宋体" w:cs="宋体"/>
          <w:b/>
          <w:color w:val="auto"/>
          <w:kern w:val="44"/>
          <w:highlight w:val="none"/>
        </w:rPr>
      </w:pPr>
    </w:p>
    <w:p w14:paraId="4112BA56">
      <w:pPr>
        <w:pStyle w:val="39"/>
        <w:snapToGrid w:val="0"/>
        <w:spacing w:line="240" w:lineRule="auto"/>
        <w:jc w:val="center"/>
        <w:rPr>
          <w:rStyle w:val="47"/>
          <w:rFonts w:hint="eastAsia" w:ascii="宋体" w:hAnsi="宋体" w:eastAsia="宋体" w:cs="宋体"/>
          <w:color w:val="auto"/>
          <w:sz w:val="30"/>
          <w:szCs w:val="30"/>
          <w:highlight w:val="none"/>
        </w:rPr>
      </w:pPr>
      <w:r>
        <w:rPr>
          <w:rStyle w:val="47"/>
          <w:rFonts w:hint="eastAsia" w:ascii="宋体" w:hAnsi="宋体" w:eastAsia="宋体" w:cs="宋体"/>
          <w:color w:val="auto"/>
          <w:sz w:val="30"/>
          <w:szCs w:val="30"/>
          <w:highlight w:val="none"/>
        </w:rPr>
        <w:t>下篇    通用部分</w:t>
      </w:r>
    </w:p>
    <w:p w14:paraId="6D36AEAA">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第一章  投标须知</w:t>
      </w:r>
    </w:p>
    <w:p w14:paraId="371029A9">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（一）总则</w:t>
      </w:r>
    </w:p>
    <w:p w14:paraId="6F266D31">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（二）招标文件</w:t>
      </w:r>
    </w:p>
    <w:p w14:paraId="2E9020D5">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（三）投标文件的编制</w:t>
      </w:r>
    </w:p>
    <w:p w14:paraId="046E5ED5">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（四）投标文件的提交</w:t>
      </w:r>
    </w:p>
    <w:p w14:paraId="38A49721">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（五）开标</w:t>
      </w:r>
    </w:p>
    <w:p w14:paraId="52AFCE6F">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（六）评标、定标</w:t>
      </w:r>
    </w:p>
    <w:p w14:paraId="29A3E2FA">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（七）合同的授予</w:t>
      </w:r>
    </w:p>
    <w:p w14:paraId="6AC2947A">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第二章  评标办法</w:t>
      </w:r>
    </w:p>
    <w:p w14:paraId="1834F9D6">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第三章  合同通用条款</w:t>
      </w:r>
    </w:p>
    <w:p w14:paraId="64711959">
      <w:pPr>
        <w:snapToGrid w:val="0"/>
        <w:spacing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第四章  投标文件格式</w:t>
      </w:r>
    </w:p>
    <w:p w14:paraId="2CF0B370">
      <w:pPr>
        <w:snapToGrid w:val="0"/>
        <w:rPr>
          <w:rStyle w:val="47"/>
          <w:rFonts w:hint="eastAsia" w:ascii="宋体" w:hAnsi="宋体" w:eastAsia="宋体" w:cs="宋体"/>
          <w:color w:val="auto"/>
          <w:highlight w:val="none"/>
        </w:rPr>
      </w:pPr>
    </w:p>
    <w:p w14:paraId="1E0CB609">
      <w:pPr>
        <w:snapToGrid w:val="0"/>
        <w:spacing w:line="500" w:lineRule="exact"/>
        <w:jc w:val="center"/>
        <w:rPr>
          <w:rStyle w:val="47"/>
          <w:rFonts w:hint="eastAsia" w:ascii="宋体" w:hAnsi="宋体" w:eastAsia="宋体" w:cs="宋体"/>
          <w:b/>
          <w:bCs/>
          <w:color w:val="auto"/>
          <w:sz w:val="40"/>
          <w:szCs w:val="40"/>
          <w:highlight w:val="none"/>
        </w:rPr>
      </w:pPr>
      <w:r>
        <w:rPr>
          <w:rStyle w:val="47"/>
          <w:rFonts w:hint="eastAsia" w:ascii="宋体" w:hAnsi="宋体" w:eastAsia="宋体" w:cs="宋体"/>
          <w:b/>
          <w:bCs/>
          <w:color w:val="auto"/>
          <w:sz w:val="40"/>
          <w:szCs w:val="40"/>
          <w:highlight w:val="none"/>
        </w:rPr>
        <w:t>上篇  专用部分</w:t>
      </w:r>
    </w:p>
    <w:p w14:paraId="41BC5E27">
      <w:pPr>
        <w:pStyle w:val="39"/>
        <w:snapToGrid w:val="0"/>
        <w:spacing w:line="240" w:lineRule="auto"/>
        <w:jc w:val="center"/>
        <w:rPr>
          <w:rStyle w:val="47"/>
          <w:rFonts w:hint="eastAsia" w:ascii="宋体" w:hAnsi="宋体" w:eastAsia="宋体" w:cs="宋体"/>
          <w:b/>
          <w:bCs/>
          <w:color w:val="auto"/>
          <w:kern w:val="0"/>
          <w:sz w:val="32"/>
          <w:szCs w:val="32"/>
          <w:highlight w:val="none"/>
        </w:rPr>
      </w:pPr>
      <w:r>
        <w:rPr>
          <w:rStyle w:val="47"/>
          <w:rFonts w:hint="eastAsia" w:ascii="宋体" w:hAnsi="宋体" w:eastAsia="宋体" w:cs="宋体"/>
          <w:b/>
          <w:bCs/>
          <w:color w:val="auto"/>
          <w:kern w:val="0"/>
          <w:sz w:val="32"/>
          <w:szCs w:val="32"/>
          <w:highlight w:val="none"/>
        </w:rPr>
        <w:t>第一章  招标公告</w:t>
      </w:r>
    </w:p>
    <w:p w14:paraId="3080E155">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lang w:val="en-US"/>
        </w:rPr>
        <w:t>1.</w:t>
      </w:r>
      <w:r>
        <w:rPr>
          <w:rStyle w:val="47"/>
          <w:rFonts w:hint="eastAsia" w:asciiTheme="minorEastAsia" w:hAnsiTheme="minorEastAsia" w:eastAsiaTheme="minorEastAsia" w:cstheme="minorEastAsia"/>
          <w:color w:val="auto"/>
          <w:sz w:val="24"/>
          <w:highlight w:val="none"/>
        </w:rPr>
        <w:t>招标条件</w:t>
      </w:r>
    </w:p>
    <w:p w14:paraId="5C654A80">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1.1 项目名称：铜陵国家农业科技园区流转土地清表翻耕项目</w:t>
      </w:r>
    </w:p>
    <w:p w14:paraId="78A33399">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1.2招标人：安徽铜陵国家农业科技园区投资开发有限责任公司</w:t>
      </w:r>
    </w:p>
    <w:p w14:paraId="2476A1C4">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1.3 项目业主：安徽铜陵国家农业科技园区投资开发有限责任公司</w:t>
      </w:r>
    </w:p>
    <w:p w14:paraId="731F68FC">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1.4 资金来源：自筹资金</w:t>
      </w:r>
    </w:p>
    <w:p w14:paraId="2124CC1B">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1.5项目出资比例：100%</w:t>
      </w:r>
    </w:p>
    <w:p w14:paraId="74C69251">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1.6招标方式：公开招标</w:t>
      </w:r>
    </w:p>
    <w:p w14:paraId="27772049">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1.7评标办法：</w:t>
      </w:r>
      <w:r>
        <w:rPr>
          <w:rStyle w:val="47"/>
          <w:rFonts w:hint="eastAsia" w:asciiTheme="minorEastAsia" w:hAnsiTheme="minorEastAsia" w:eastAsiaTheme="minorEastAsia" w:cstheme="minorEastAsia"/>
          <w:color w:val="auto"/>
          <w:sz w:val="24"/>
          <w:highlight w:val="none"/>
          <w:lang w:val="en-US"/>
        </w:rPr>
        <w:t xml:space="preserve"> 经评审的最低投标价法</w:t>
      </w:r>
    </w:p>
    <w:p w14:paraId="4B777FA2">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1.8 定标方法：本次招标</w:t>
      </w:r>
      <w:r>
        <w:rPr>
          <w:rStyle w:val="47"/>
          <w:rFonts w:hint="eastAsia" w:asciiTheme="minorEastAsia" w:hAnsiTheme="minorEastAsia" w:eastAsiaTheme="minorEastAsia" w:cstheme="minorEastAsia"/>
          <w:color w:val="auto"/>
          <w:sz w:val="24"/>
          <w:highlight w:val="none"/>
          <w:u w:val="single"/>
          <w:lang w:val="en-US"/>
        </w:rPr>
        <w:t xml:space="preserve"> </w:t>
      </w:r>
      <w:r>
        <w:rPr>
          <w:rStyle w:val="47"/>
          <w:rFonts w:hint="eastAsia" w:asciiTheme="minorEastAsia" w:hAnsiTheme="minorEastAsia" w:eastAsiaTheme="minorEastAsia" w:cstheme="minorEastAsia"/>
          <w:color w:val="auto"/>
          <w:sz w:val="24"/>
          <w:highlight w:val="none"/>
          <w:u w:val="single"/>
        </w:rPr>
        <w:t>不采用</w:t>
      </w:r>
      <w:r>
        <w:rPr>
          <w:rStyle w:val="47"/>
          <w:rFonts w:hint="eastAsia" w:asciiTheme="minorEastAsia" w:hAnsiTheme="minorEastAsia" w:eastAsiaTheme="minorEastAsia" w:cstheme="minorEastAsia"/>
          <w:color w:val="auto"/>
          <w:sz w:val="24"/>
          <w:highlight w:val="none"/>
          <w:u w:val="single"/>
          <w:lang w:val="en-US"/>
        </w:rPr>
        <w:t xml:space="preserve"> </w:t>
      </w:r>
      <w:r>
        <w:rPr>
          <w:rStyle w:val="47"/>
          <w:rFonts w:hint="eastAsia" w:asciiTheme="minorEastAsia" w:hAnsiTheme="minorEastAsia" w:eastAsiaTheme="minorEastAsia" w:cstheme="minorEastAsia"/>
          <w:color w:val="auto"/>
          <w:sz w:val="24"/>
          <w:highlight w:val="none"/>
        </w:rPr>
        <w:t>评定分离</w:t>
      </w:r>
    </w:p>
    <w:p w14:paraId="60FE2BF6">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lang w:val="en-US"/>
        </w:rPr>
        <w:t>2.</w:t>
      </w:r>
      <w:r>
        <w:rPr>
          <w:rStyle w:val="47"/>
          <w:rFonts w:hint="eastAsia" w:asciiTheme="minorEastAsia" w:hAnsiTheme="minorEastAsia" w:eastAsiaTheme="minorEastAsia" w:cstheme="minorEastAsia"/>
          <w:color w:val="auto"/>
          <w:sz w:val="24"/>
          <w:highlight w:val="none"/>
        </w:rPr>
        <w:t>工程概况与招标范围</w:t>
      </w:r>
    </w:p>
    <w:p w14:paraId="4F4B4738">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kern w:val="0"/>
          <w:sz w:val="24"/>
          <w:highlight w:val="none"/>
          <w:u w:val="single"/>
        </w:rPr>
      </w:pPr>
      <w:r>
        <w:rPr>
          <w:rStyle w:val="47"/>
          <w:rFonts w:hint="eastAsia" w:asciiTheme="minorEastAsia" w:hAnsiTheme="minorEastAsia" w:eastAsiaTheme="minorEastAsia" w:cstheme="minorEastAsia"/>
          <w:color w:val="auto"/>
          <w:sz w:val="24"/>
          <w:highlight w:val="none"/>
        </w:rPr>
        <w:t>2.1 招标项目名称：</w:t>
      </w:r>
      <w:r>
        <w:rPr>
          <w:rStyle w:val="47"/>
          <w:rFonts w:hint="eastAsia" w:asciiTheme="minorEastAsia" w:hAnsiTheme="minorEastAsia" w:eastAsiaTheme="minorEastAsia" w:cstheme="minorEastAsia"/>
          <w:color w:val="auto"/>
          <w:kern w:val="0"/>
          <w:sz w:val="24"/>
          <w:highlight w:val="none"/>
          <w:u w:val="single"/>
        </w:rPr>
        <w:t>铜陵国家农业科技园区流转土地清表翻耕项目</w:t>
      </w:r>
    </w:p>
    <w:p w14:paraId="6E1CEDAB">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default" w:asciiTheme="minorEastAsia" w:hAnsiTheme="minorEastAsia" w:eastAsiaTheme="minorEastAsia" w:cstheme="minorEastAsia"/>
          <w:color w:val="auto"/>
          <w:sz w:val="24"/>
          <w:highlight w:val="none"/>
          <w:u w:val="single"/>
          <w:lang w:val="en-US"/>
        </w:rPr>
      </w:pPr>
      <w:r>
        <w:rPr>
          <w:rStyle w:val="47"/>
          <w:rFonts w:hint="eastAsia" w:asciiTheme="minorEastAsia" w:hAnsiTheme="minorEastAsia" w:eastAsiaTheme="minorEastAsia" w:cstheme="minorEastAsia"/>
          <w:color w:val="auto"/>
          <w:sz w:val="24"/>
          <w:highlight w:val="none"/>
        </w:rPr>
        <w:t>2.2 招标项目编号：</w:t>
      </w:r>
      <w:r>
        <w:rPr>
          <w:rStyle w:val="47"/>
          <w:rFonts w:hint="eastAsia" w:asciiTheme="minorEastAsia" w:hAnsiTheme="minorEastAsia" w:eastAsiaTheme="minorEastAsia" w:cstheme="minorEastAsia"/>
          <w:color w:val="auto"/>
          <w:sz w:val="24"/>
          <w:highlight w:val="none"/>
          <w:u w:val="single"/>
        </w:rPr>
        <w:t>JQZB202601</w:t>
      </w:r>
      <w:r>
        <w:rPr>
          <w:rStyle w:val="47"/>
          <w:rFonts w:hint="eastAsia" w:asciiTheme="minorEastAsia" w:hAnsiTheme="minorEastAsia" w:eastAsiaTheme="minorEastAsia" w:cstheme="minorEastAsia"/>
          <w:color w:val="auto"/>
          <w:sz w:val="24"/>
          <w:highlight w:val="none"/>
          <w:u w:val="single"/>
          <w:lang w:val="en-US"/>
        </w:rPr>
        <w:t>4</w:t>
      </w:r>
    </w:p>
    <w:p w14:paraId="71CFCC95">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2.3 标段划分：</w:t>
      </w:r>
      <w:r>
        <w:rPr>
          <w:rStyle w:val="47"/>
          <w:rFonts w:hint="eastAsia" w:asciiTheme="minorEastAsia" w:hAnsiTheme="minorEastAsia" w:eastAsiaTheme="minorEastAsia" w:cstheme="minorEastAsia"/>
          <w:color w:val="auto"/>
          <w:sz w:val="24"/>
          <w:highlight w:val="none"/>
          <w:u w:val="single"/>
        </w:rPr>
        <w:t>一个标段</w:t>
      </w:r>
      <w:r>
        <w:rPr>
          <w:rStyle w:val="47"/>
          <w:rFonts w:hint="eastAsia" w:asciiTheme="minorEastAsia" w:hAnsiTheme="minorEastAsia" w:eastAsiaTheme="minorEastAsia" w:cstheme="minorEastAsia"/>
          <w:color w:val="auto"/>
          <w:sz w:val="24"/>
          <w:highlight w:val="none"/>
        </w:rPr>
        <w:t xml:space="preserve"> </w:t>
      </w:r>
    </w:p>
    <w:p w14:paraId="0D30BB45">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default" w:asciiTheme="minorEastAsia" w:hAnsiTheme="minorEastAsia" w:eastAsiaTheme="minorEastAsia" w:cstheme="minorEastAsia"/>
          <w:color w:val="auto"/>
          <w:sz w:val="24"/>
          <w:highlight w:val="none"/>
          <w:u w:val="single"/>
          <w:lang w:val="en-US"/>
        </w:rPr>
      </w:pPr>
      <w:r>
        <w:rPr>
          <w:rStyle w:val="47"/>
          <w:rFonts w:hint="eastAsia" w:asciiTheme="minorEastAsia" w:hAnsiTheme="minorEastAsia" w:eastAsiaTheme="minorEastAsia" w:cstheme="minorEastAsia"/>
          <w:color w:val="auto"/>
          <w:sz w:val="24"/>
          <w:highlight w:val="none"/>
        </w:rPr>
        <w:t>2.4 招标项目标段编号：</w:t>
      </w:r>
      <w:r>
        <w:rPr>
          <w:rStyle w:val="47"/>
          <w:rFonts w:hint="eastAsia" w:asciiTheme="minorEastAsia" w:hAnsiTheme="minorEastAsia" w:eastAsiaTheme="minorEastAsia" w:cstheme="minorEastAsia"/>
          <w:color w:val="auto"/>
          <w:sz w:val="24"/>
          <w:highlight w:val="none"/>
          <w:u w:val="single"/>
        </w:rPr>
        <w:t>JQZB202601</w:t>
      </w:r>
      <w:r>
        <w:rPr>
          <w:rStyle w:val="47"/>
          <w:rFonts w:hint="eastAsia" w:asciiTheme="minorEastAsia" w:hAnsiTheme="minorEastAsia" w:eastAsiaTheme="minorEastAsia" w:cstheme="minorEastAsia"/>
          <w:color w:val="auto"/>
          <w:sz w:val="24"/>
          <w:highlight w:val="none"/>
          <w:u w:val="single"/>
          <w:lang w:val="en-US"/>
        </w:rPr>
        <w:t>4</w:t>
      </w:r>
    </w:p>
    <w:p w14:paraId="66B0AB2F">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lang w:val="en-US"/>
        </w:rPr>
      </w:pPr>
      <w:r>
        <w:rPr>
          <w:rStyle w:val="47"/>
          <w:rFonts w:hint="eastAsia" w:asciiTheme="minorEastAsia" w:hAnsiTheme="minorEastAsia" w:eastAsiaTheme="minorEastAsia" w:cstheme="minorEastAsia"/>
          <w:color w:val="auto"/>
          <w:sz w:val="24"/>
          <w:highlight w:val="none"/>
        </w:rPr>
        <w:t>2.5 建设地点：</w:t>
      </w:r>
      <w:r>
        <w:rPr>
          <w:rStyle w:val="47"/>
          <w:rFonts w:hint="eastAsia" w:asciiTheme="minorEastAsia" w:hAnsiTheme="minorEastAsia" w:eastAsiaTheme="minorEastAsia" w:cstheme="minorEastAsia"/>
          <w:color w:val="auto"/>
          <w:sz w:val="24"/>
          <w:highlight w:val="none"/>
          <w:u w:val="single"/>
        </w:rPr>
        <w:t>铜陵国家农业科技园区</w:t>
      </w:r>
    </w:p>
    <w:p w14:paraId="2D5AFC69">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2.6 建设规模：</w:t>
      </w:r>
      <w:r>
        <w:rPr>
          <w:rStyle w:val="47"/>
          <w:rFonts w:hint="eastAsia" w:asciiTheme="minorEastAsia" w:hAnsiTheme="minorEastAsia" w:eastAsiaTheme="minorEastAsia" w:cstheme="minorEastAsia"/>
          <w:color w:val="auto"/>
          <w:sz w:val="24"/>
          <w:highlight w:val="none"/>
          <w:u w:val="single"/>
          <w:lang w:val="en-US" w:eastAsia="zh-CN"/>
        </w:rPr>
        <w:t>本工程为铜陵国家农业科技园区流转土地清表翻耕项目，主要内容包括场地清表（非水塘区域）、土壤翻耕（非水塘区域）、混凝土管道铺设（人机配合下管）、原道路拆除及原样恢复，具体详见招标文件及工程量清单中所载明内容</w:t>
      </w:r>
      <w:r>
        <w:rPr>
          <w:rStyle w:val="47"/>
          <w:rFonts w:hint="eastAsia" w:asciiTheme="minorEastAsia" w:hAnsiTheme="minorEastAsia" w:eastAsiaTheme="minorEastAsia" w:cstheme="minorEastAsia"/>
          <w:color w:val="auto"/>
          <w:sz w:val="24"/>
          <w:highlight w:val="none"/>
        </w:rPr>
        <w:t>。</w:t>
      </w:r>
    </w:p>
    <w:p w14:paraId="1138853B">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2.7 最高投标限价：</w:t>
      </w:r>
      <w:r>
        <w:rPr>
          <w:rStyle w:val="47"/>
          <w:rFonts w:hint="eastAsia" w:asciiTheme="minorEastAsia" w:hAnsiTheme="minorEastAsia" w:eastAsiaTheme="minorEastAsia" w:cstheme="minorEastAsia"/>
          <w:b/>
          <w:bCs/>
          <w:color w:val="auto"/>
          <w:sz w:val="24"/>
          <w:highlight w:val="none"/>
          <w:u w:val="single"/>
          <w:lang w:val="en-US" w:eastAsia="zh-CN"/>
        </w:rPr>
        <w:t xml:space="preserve"> 350754.3元</w:t>
      </w:r>
      <w:r>
        <w:rPr>
          <w:rStyle w:val="47"/>
          <w:rFonts w:hint="eastAsia" w:asciiTheme="minorEastAsia" w:hAnsiTheme="minorEastAsia" w:eastAsiaTheme="minorEastAsia" w:cstheme="minorEastAsia"/>
          <w:color w:val="auto"/>
          <w:sz w:val="24"/>
          <w:highlight w:val="none"/>
          <w:u w:val="single"/>
        </w:rPr>
        <w:t>（含暂列金额2万元，暂列金额不计税金）。</w:t>
      </w:r>
    </w:p>
    <w:p w14:paraId="78ED1224">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u w:val="single"/>
        </w:rPr>
      </w:pPr>
      <w:r>
        <w:rPr>
          <w:rStyle w:val="47"/>
          <w:rFonts w:hint="eastAsia" w:asciiTheme="minorEastAsia" w:hAnsiTheme="minorEastAsia" w:eastAsiaTheme="minorEastAsia" w:cstheme="minorEastAsia"/>
          <w:color w:val="auto"/>
          <w:sz w:val="24"/>
          <w:highlight w:val="none"/>
        </w:rPr>
        <w:t>2.8 计划工期：</w:t>
      </w:r>
      <w:r>
        <w:rPr>
          <w:rStyle w:val="47"/>
          <w:rFonts w:hint="eastAsia" w:asciiTheme="minorEastAsia" w:hAnsiTheme="minorEastAsia" w:eastAsiaTheme="minorEastAsia" w:cstheme="minorEastAsia"/>
          <w:color w:val="auto"/>
          <w:sz w:val="24"/>
          <w:highlight w:val="none"/>
          <w:lang w:val="en-US"/>
        </w:rPr>
        <w:t>30</w:t>
      </w:r>
      <w:r>
        <w:rPr>
          <w:rStyle w:val="47"/>
          <w:rFonts w:hint="eastAsia" w:asciiTheme="minorEastAsia" w:hAnsiTheme="minorEastAsia" w:eastAsiaTheme="minorEastAsia" w:cstheme="minorEastAsia"/>
          <w:color w:val="auto"/>
          <w:sz w:val="24"/>
          <w:highlight w:val="none"/>
          <w:u w:val="single"/>
        </w:rPr>
        <w:t>日历天</w:t>
      </w:r>
      <w:r>
        <w:rPr>
          <w:rStyle w:val="47"/>
          <w:rFonts w:hint="eastAsia" w:asciiTheme="minorEastAsia" w:hAnsiTheme="minorEastAsia" w:eastAsiaTheme="minorEastAsia" w:cstheme="minorEastAsia"/>
          <w:bCs/>
          <w:color w:val="auto"/>
          <w:sz w:val="24"/>
          <w:highlight w:val="none"/>
          <w:u w:val="single"/>
          <w:lang w:val="en-US" w:eastAsia="zh-CN"/>
        </w:rPr>
        <w:t>（若连续降雨超过3日历天或非施工单位原因导致工期延误的，工期可给予顺延，但中标人不得因此要求调整任何工程价款）。</w:t>
      </w:r>
    </w:p>
    <w:p w14:paraId="2A331EB7">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lang w:val="en-US"/>
        </w:rPr>
      </w:pPr>
      <w:r>
        <w:rPr>
          <w:rStyle w:val="47"/>
          <w:rFonts w:hint="eastAsia" w:asciiTheme="minorEastAsia" w:hAnsiTheme="minorEastAsia" w:eastAsiaTheme="minorEastAsia" w:cstheme="minorEastAsia"/>
          <w:color w:val="auto"/>
          <w:sz w:val="24"/>
          <w:highlight w:val="none"/>
        </w:rPr>
        <w:t>2.9 招标范围：</w:t>
      </w:r>
      <w:r>
        <w:rPr>
          <w:rStyle w:val="47"/>
          <w:rFonts w:hint="eastAsia" w:asciiTheme="minorEastAsia" w:hAnsiTheme="minorEastAsia" w:eastAsiaTheme="minorEastAsia" w:cstheme="minorEastAsia"/>
          <w:color w:val="auto"/>
          <w:sz w:val="24"/>
          <w:highlight w:val="none"/>
          <w:u w:val="single"/>
        </w:rPr>
        <w:t>详见招标文件和工程量清单所载明内容。</w:t>
      </w:r>
    </w:p>
    <w:p w14:paraId="481B4EA5">
      <w:pPr>
        <w:keepNext w:val="0"/>
        <w:keepLines w:val="0"/>
        <w:pageBreakBefore w:val="0"/>
        <w:widowControl w:val="0"/>
        <w:shd w:val="clear" w:color="auto" w:fill="F9FDFE"/>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lang w:val="en-US"/>
        </w:rPr>
        <w:t>3.</w:t>
      </w:r>
      <w:r>
        <w:rPr>
          <w:rStyle w:val="47"/>
          <w:rFonts w:hint="eastAsia" w:asciiTheme="minorEastAsia" w:hAnsiTheme="minorEastAsia" w:eastAsiaTheme="minorEastAsia" w:cstheme="minorEastAsia"/>
          <w:b/>
          <w:bCs/>
          <w:color w:val="auto"/>
          <w:kern w:val="0"/>
          <w:sz w:val="24"/>
          <w:highlight w:val="none"/>
        </w:rPr>
        <w:t>投标人资格要求</w:t>
      </w:r>
    </w:p>
    <w:p w14:paraId="23670F17">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Fonts w:hint="eastAsia" w:asciiTheme="minorEastAsia" w:hAnsiTheme="minorEastAsia" w:eastAsiaTheme="minorEastAsia" w:cstheme="minorEastAsia"/>
          <w:color w:val="auto"/>
          <w:sz w:val="24"/>
          <w:szCs w:val="24"/>
          <w:highlight w:val="none"/>
          <w:u w:val="single"/>
        </w:rPr>
      </w:pPr>
      <w:r>
        <w:rPr>
          <w:rStyle w:val="47"/>
          <w:rFonts w:hint="eastAsia" w:asciiTheme="minorEastAsia" w:hAnsiTheme="minorEastAsia" w:eastAsiaTheme="minorEastAsia" w:cstheme="minorEastAsia"/>
          <w:color w:val="auto"/>
          <w:sz w:val="24"/>
          <w:highlight w:val="none"/>
        </w:rPr>
        <w:t>3.1 投标人资质要求：</w:t>
      </w:r>
      <w:r>
        <w:rPr>
          <w:rFonts w:hint="eastAsia" w:asciiTheme="minorEastAsia" w:hAnsiTheme="minorEastAsia" w:eastAsiaTheme="minorEastAsia" w:cstheme="minorEastAsia"/>
          <w:color w:val="auto"/>
          <w:sz w:val="24"/>
          <w:szCs w:val="24"/>
          <w:highlight w:val="none"/>
          <w:u w:val="single"/>
        </w:rPr>
        <w:t>具有市政公用工程施工总承包叁级及以上资质，且具备有效的安全生产许可证。</w:t>
      </w:r>
    </w:p>
    <w:p w14:paraId="1C396BCB">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3.2 投标人业绩要求：</w:t>
      </w:r>
      <w:r>
        <w:rPr>
          <w:rStyle w:val="47"/>
          <w:rFonts w:hint="eastAsia" w:asciiTheme="minorEastAsia" w:hAnsiTheme="minorEastAsia" w:eastAsiaTheme="minorEastAsia" w:cstheme="minorEastAsia"/>
          <w:color w:val="auto"/>
          <w:sz w:val="24"/>
          <w:highlight w:val="none"/>
          <w:u w:val="single"/>
        </w:rPr>
        <w:t>无</w:t>
      </w:r>
      <w:r>
        <w:rPr>
          <w:rStyle w:val="47"/>
          <w:rFonts w:hint="eastAsia" w:asciiTheme="minorEastAsia" w:hAnsiTheme="minorEastAsia" w:eastAsiaTheme="minorEastAsia" w:cstheme="minorEastAsia"/>
          <w:color w:val="auto"/>
          <w:sz w:val="24"/>
          <w:highlight w:val="none"/>
          <w:u w:val="none"/>
        </w:rPr>
        <w:t>。</w:t>
      </w:r>
    </w:p>
    <w:p w14:paraId="6713ED75">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Fonts w:hint="eastAsia" w:asciiTheme="minorEastAsia" w:hAnsiTheme="minorEastAsia" w:eastAsiaTheme="minorEastAsia" w:cstheme="minorEastAsia"/>
          <w:color w:val="auto"/>
          <w:sz w:val="24"/>
          <w:szCs w:val="24"/>
          <w:highlight w:val="none"/>
          <w:u w:val="single"/>
        </w:rPr>
      </w:pPr>
      <w:r>
        <w:rPr>
          <w:rStyle w:val="47"/>
          <w:rFonts w:hint="eastAsia" w:asciiTheme="minorEastAsia" w:hAnsiTheme="minorEastAsia" w:eastAsiaTheme="minorEastAsia" w:cstheme="minorEastAsia"/>
          <w:color w:val="auto"/>
          <w:sz w:val="24"/>
          <w:highlight w:val="none"/>
        </w:rPr>
        <w:t>3.3 项目经理资格要求：</w:t>
      </w:r>
      <w:r>
        <w:rPr>
          <w:rFonts w:hint="eastAsia" w:asciiTheme="minorEastAsia" w:hAnsiTheme="minorEastAsia" w:eastAsiaTheme="minorEastAsia" w:cstheme="minorEastAsia"/>
          <w:color w:val="auto"/>
          <w:sz w:val="24"/>
          <w:szCs w:val="24"/>
          <w:highlight w:val="none"/>
          <w:u w:val="single"/>
        </w:rPr>
        <w:t>具有市政公用工程专业二级及以上注册建造师执业资格，并具有安全生产考核合格证（B类）</w:t>
      </w:r>
      <w:r>
        <w:rPr>
          <w:rFonts w:hint="eastAsia" w:asciiTheme="minorEastAsia" w:hAnsiTheme="minorEastAsia" w:eastAsiaTheme="minorEastAsia" w:cstheme="minorEastAsia"/>
          <w:color w:val="auto"/>
          <w:sz w:val="24"/>
          <w:szCs w:val="24"/>
          <w:highlight w:val="none"/>
          <w:u w:val="single"/>
          <w:lang w:val="en-US" w:eastAsia="zh-CN"/>
        </w:rPr>
        <w:t>和开标截止时间前半年内在该投标单位连续三个月的社保缴纳证明。</w:t>
      </w:r>
    </w:p>
    <w:p w14:paraId="2613D0C3">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3.4 项目经理业绩要求：</w:t>
      </w:r>
      <w:r>
        <w:rPr>
          <w:rStyle w:val="47"/>
          <w:rFonts w:hint="eastAsia" w:asciiTheme="minorEastAsia" w:hAnsiTheme="minorEastAsia" w:eastAsiaTheme="minorEastAsia" w:cstheme="minorEastAsia"/>
          <w:color w:val="auto"/>
          <w:sz w:val="24"/>
          <w:highlight w:val="none"/>
          <w:u w:val="single"/>
        </w:rPr>
        <w:t>无</w:t>
      </w:r>
      <w:r>
        <w:rPr>
          <w:rStyle w:val="47"/>
          <w:rFonts w:hint="eastAsia" w:asciiTheme="minorEastAsia" w:hAnsiTheme="minorEastAsia" w:eastAsiaTheme="minorEastAsia" w:cstheme="minorEastAsia"/>
          <w:color w:val="auto"/>
          <w:sz w:val="24"/>
          <w:highlight w:val="none"/>
          <w:u w:val="none"/>
        </w:rPr>
        <w:t>。</w:t>
      </w:r>
    </w:p>
    <w:p w14:paraId="51DB69F8">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3.5 投标人财务要求：</w:t>
      </w:r>
      <w:r>
        <w:rPr>
          <w:rStyle w:val="47"/>
          <w:rFonts w:hint="eastAsia" w:asciiTheme="minorEastAsia" w:hAnsiTheme="minorEastAsia" w:eastAsiaTheme="minorEastAsia" w:cstheme="minorEastAsia"/>
          <w:color w:val="auto"/>
          <w:sz w:val="24"/>
          <w:highlight w:val="none"/>
          <w:u w:val="single"/>
        </w:rPr>
        <w:t>无</w:t>
      </w:r>
      <w:r>
        <w:rPr>
          <w:rStyle w:val="47"/>
          <w:rFonts w:hint="eastAsia" w:asciiTheme="minorEastAsia" w:hAnsiTheme="minorEastAsia" w:eastAsiaTheme="minorEastAsia" w:cstheme="minorEastAsia"/>
          <w:color w:val="auto"/>
          <w:sz w:val="24"/>
          <w:highlight w:val="none"/>
        </w:rPr>
        <w:t>。</w:t>
      </w:r>
    </w:p>
    <w:p w14:paraId="4405697D">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3.6 本次招标</w:t>
      </w:r>
      <w:r>
        <w:rPr>
          <w:rStyle w:val="47"/>
          <w:rFonts w:hint="eastAsia" w:asciiTheme="minorEastAsia" w:hAnsiTheme="minorEastAsia" w:eastAsiaTheme="minorEastAsia" w:cstheme="minorEastAsia"/>
          <w:color w:val="auto"/>
          <w:sz w:val="24"/>
          <w:highlight w:val="none"/>
          <w:u w:val="single"/>
          <w:lang w:val="en-US"/>
        </w:rPr>
        <w:t xml:space="preserve"> </w:t>
      </w:r>
      <w:r>
        <w:rPr>
          <w:rStyle w:val="47"/>
          <w:rFonts w:hint="eastAsia" w:asciiTheme="minorEastAsia" w:hAnsiTheme="minorEastAsia" w:eastAsiaTheme="minorEastAsia" w:cstheme="minorEastAsia"/>
          <w:color w:val="auto"/>
          <w:sz w:val="24"/>
          <w:highlight w:val="none"/>
          <w:u w:val="single"/>
        </w:rPr>
        <w:t>不接受</w:t>
      </w:r>
      <w:r>
        <w:rPr>
          <w:rStyle w:val="47"/>
          <w:rFonts w:hint="eastAsia" w:asciiTheme="minorEastAsia" w:hAnsiTheme="minorEastAsia" w:eastAsiaTheme="minorEastAsia" w:cstheme="minorEastAsia"/>
          <w:color w:val="auto"/>
          <w:sz w:val="24"/>
          <w:highlight w:val="none"/>
          <w:u w:val="single"/>
          <w:lang w:val="en-US"/>
        </w:rPr>
        <w:t xml:space="preserve"> </w:t>
      </w:r>
      <w:r>
        <w:rPr>
          <w:rStyle w:val="47"/>
          <w:rFonts w:hint="eastAsia" w:asciiTheme="minorEastAsia" w:hAnsiTheme="minorEastAsia" w:eastAsiaTheme="minorEastAsia" w:cstheme="minorEastAsia"/>
          <w:color w:val="auto"/>
          <w:sz w:val="24"/>
          <w:highlight w:val="none"/>
        </w:rPr>
        <w:t>联合体投标。</w:t>
      </w:r>
    </w:p>
    <w:p w14:paraId="730D9368">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本项目不接受联合体投标的理由：</w:t>
      </w:r>
      <w:r>
        <w:rPr>
          <w:rStyle w:val="47"/>
          <w:rFonts w:hint="eastAsia" w:asciiTheme="minorEastAsia" w:hAnsiTheme="minorEastAsia" w:eastAsiaTheme="minorEastAsia" w:cstheme="minorEastAsia"/>
          <w:color w:val="auto"/>
          <w:sz w:val="24"/>
          <w:highlight w:val="none"/>
          <w:u w:val="single"/>
        </w:rPr>
        <w:t>本项目非特大型房屋建筑或市政基础设施工程</w:t>
      </w:r>
      <w:r>
        <w:rPr>
          <w:rStyle w:val="47"/>
          <w:rFonts w:hint="eastAsia" w:asciiTheme="minorEastAsia" w:hAnsiTheme="minorEastAsia" w:eastAsiaTheme="minorEastAsia" w:cstheme="minorEastAsia"/>
          <w:color w:val="auto"/>
          <w:sz w:val="24"/>
          <w:highlight w:val="none"/>
        </w:rPr>
        <w:t>。</w:t>
      </w:r>
    </w:p>
    <w:p w14:paraId="654CB214">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sz w:val="24"/>
          <w:highlight w:val="none"/>
        </w:rPr>
      </w:pPr>
      <w:r>
        <w:rPr>
          <w:rStyle w:val="47"/>
          <w:rFonts w:hint="eastAsia" w:asciiTheme="minorEastAsia" w:hAnsiTheme="minorEastAsia" w:eastAsiaTheme="minorEastAsia" w:cstheme="minorEastAsia"/>
          <w:color w:val="auto"/>
          <w:sz w:val="24"/>
          <w:highlight w:val="none"/>
        </w:rPr>
        <w:t>3.7本项目</w:t>
      </w:r>
      <w:r>
        <w:rPr>
          <w:rStyle w:val="47"/>
          <w:rFonts w:hint="eastAsia" w:asciiTheme="minorEastAsia" w:hAnsiTheme="minorEastAsia" w:eastAsiaTheme="minorEastAsia" w:cstheme="minorEastAsia"/>
          <w:color w:val="auto"/>
          <w:sz w:val="24"/>
          <w:highlight w:val="none"/>
          <w:u w:val="single"/>
        </w:rPr>
        <w:t xml:space="preserve"> 是 </w:t>
      </w:r>
      <w:r>
        <w:rPr>
          <w:rStyle w:val="47"/>
          <w:rFonts w:hint="eastAsia" w:asciiTheme="minorEastAsia" w:hAnsiTheme="minorEastAsia" w:eastAsiaTheme="minorEastAsia" w:cstheme="minorEastAsia"/>
          <w:color w:val="auto"/>
          <w:sz w:val="24"/>
          <w:highlight w:val="none"/>
        </w:rPr>
        <w:t>专门面向中小企业招标。</w:t>
      </w:r>
    </w:p>
    <w:p w14:paraId="3D7C95FB">
      <w:pPr>
        <w:keepNext w:val="0"/>
        <w:keepLines w:val="0"/>
        <w:pageBreakBefore w:val="0"/>
        <w:widowControl w:val="0"/>
        <w:shd w:val="clear" w:color="auto" w:fill="F9FDFE"/>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lang w:val="en-US"/>
        </w:rPr>
        <w:t>4.</w:t>
      </w:r>
      <w:r>
        <w:rPr>
          <w:rStyle w:val="47"/>
          <w:rFonts w:hint="eastAsia" w:asciiTheme="minorEastAsia" w:hAnsiTheme="minorEastAsia" w:eastAsiaTheme="minorEastAsia" w:cstheme="minorEastAsia"/>
          <w:b/>
          <w:bCs/>
          <w:color w:val="auto"/>
          <w:kern w:val="0"/>
          <w:sz w:val="24"/>
          <w:highlight w:val="none"/>
        </w:rPr>
        <w:t>招标文件的获取方式</w:t>
      </w:r>
    </w:p>
    <w:p w14:paraId="033E5AF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4.1 获取时间：起始为公告挂网时间，终止为开标时间。</w:t>
      </w:r>
    </w:p>
    <w:p w14:paraId="2982C86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4.2.获取方式：</w:t>
      </w:r>
    </w:p>
    <w:p w14:paraId="471A54B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ascii="Segoe UI" w:hAnsi="Segoe UI" w:eastAsia="Segoe UI" w:cs="Segoe UI"/>
          <w:i w:val="0"/>
          <w:iCs w:val="0"/>
          <w:caps w:val="0"/>
          <w:color w:val="000000"/>
          <w:spacing w:val="0"/>
          <w:sz w:val="24"/>
          <w:szCs w:val="24"/>
          <w:shd w:val="clear" w:fill="FFFFFF"/>
        </w:rPr>
      </w:pPr>
      <w:r>
        <w:rPr>
          <w:rFonts w:hint="eastAsia" w:asciiTheme="minorEastAsia" w:hAnsiTheme="minorEastAsia" w:eastAsiaTheme="minorEastAsia" w:cstheme="minorEastAsia"/>
          <w:bCs/>
          <w:snapToGrid w:val="0"/>
          <w:color w:val="auto"/>
          <w:sz w:val="24"/>
          <w:szCs w:val="24"/>
          <w:highlight w:val="none"/>
          <w:lang w:eastAsia="zh-CN"/>
        </w:rPr>
        <w:t>（</w:t>
      </w:r>
      <w:r>
        <w:rPr>
          <w:rFonts w:hint="eastAsia" w:asciiTheme="minorEastAsia" w:hAnsiTheme="minorEastAsia" w:eastAsiaTheme="minorEastAsia" w:cstheme="minorEastAsia"/>
          <w:bCs/>
          <w:snapToGrid w:val="0"/>
          <w:color w:val="auto"/>
          <w:sz w:val="24"/>
          <w:szCs w:val="24"/>
          <w:highlight w:val="none"/>
          <w:lang w:val="en-US" w:eastAsia="zh-CN"/>
        </w:rPr>
        <w:t>1）凡有意参加投标者，请于2026年7月 6 日至2026年7月 10日，每天上午8:00至12:00，下午14:30至17:00（北京时间，法定节假日除外），</w:t>
      </w:r>
      <w:r>
        <w:rPr>
          <w:rFonts w:ascii="Segoe UI" w:hAnsi="Segoe UI" w:eastAsia="Segoe UI" w:cs="Segoe UI"/>
          <w:i w:val="0"/>
          <w:iCs w:val="0"/>
          <w:caps w:val="0"/>
          <w:color w:val="000000"/>
          <w:spacing w:val="0"/>
          <w:sz w:val="24"/>
          <w:szCs w:val="24"/>
          <w:shd w:val="clear" w:fill="FFFFFF"/>
        </w:rPr>
        <w:t>自行下载招标文件。</w:t>
      </w:r>
    </w:p>
    <w:p w14:paraId="79233B4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lang w:val="en-US" w:eastAsia="zh-CN"/>
        </w:rPr>
        <w:t xml:space="preserve"> </w:t>
      </w:r>
      <w:r>
        <w:rPr>
          <w:rFonts w:hint="eastAsia" w:asciiTheme="minorEastAsia" w:hAnsiTheme="minorEastAsia" w:eastAsiaTheme="minorEastAsia" w:cstheme="minorEastAsia"/>
          <w:bCs/>
          <w:snapToGrid w:val="0"/>
          <w:color w:val="auto"/>
          <w:sz w:val="24"/>
          <w:szCs w:val="24"/>
          <w:highlight w:val="none"/>
          <w:lang w:eastAsia="zh-CN"/>
        </w:rPr>
        <w:t>（</w:t>
      </w:r>
      <w:r>
        <w:rPr>
          <w:rFonts w:hint="eastAsia" w:asciiTheme="minorEastAsia" w:hAnsiTheme="minorEastAsia" w:eastAsiaTheme="minorEastAsia" w:cstheme="minorEastAsia"/>
          <w:bCs/>
          <w:snapToGrid w:val="0"/>
          <w:color w:val="auto"/>
          <w:sz w:val="24"/>
          <w:szCs w:val="24"/>
          <w:highlight w:val="none"/>
          <w:lang w:val="en-US" w:eastAsia="zh-CN"/>
        </w:rPr>
        <w:t>2）</w:t>
      </w:r>
      <w:r>
        <w:rPr>
          <w:rFonts w:hint="eastAsia" w:asciiTheme="minorEastAsia" w:hAnsiTheme="minorEastAsia" w:eastAsiaTheme="minorEastAsia" w:cstheme="minorEastAsia"/>
          <w:bCs/>
          <w:snapToGrid w:val="0"/>
          <w:color w:val="auto"/>
          <w:sz w:val="24"/>
          <w:szCs w:val="24"/>
          <w:highlight w:val="none"/>
        </w:rPr>
        <w:t>招标文件获取过程中有任何疑问，请在工作时间</w:t>
      </w:r>
      <w:r>
        <w:rPr>
          <w:rFonts w:hint="eastAsia" w:asciiTheme="minorEastAsia" w:hAnsiTheme="minorEastAsia" w:eastAsiaTheme="minorEastAsia" w:cstheme="minorEastAsia"/>
          <w:bCs/>
          <w:snapToGrid w:val="0"/>
          <w:color w:val="auto"/>
          <w:sz w:val="24"/>
          <w:szCs w:val="24"/>
          <w:highlight w:val="none"/>
          <w:lang w:eastAsia="zh-CN"/>
        </w:rPr>
        <w:t>（</w:t>
      </w:r>
      <w:r>
        <w:rPr>
          <w:rFonts w:hint="eastAsia" w:asciiTheme="minorEastAsia" w:hAnsiTheme="minorEastAsia" w:eastAsiaTheme="minorEastAsia" w:cstheme="minorEastAsia"/>
          <w:bCs/>
          <w:snapToGrid w:val="0"/>
          <w:color w:val="auto"/>
          <w:sz w:val="24"/>
          <w:szCs w:val="24"/>
          <w:highlight w:val="none"/>
        </w:rPr>
        <w:t>工作日上午8:30至11:30,下午2:30至5:</w:t>
      </w:r>
      <w:r>
        <w:rPr>
          <w:rFonts w:hint="eastAsia" w:asciiTheme="minorEastAsia" w:hAnsiTheme="minorEastAsia" w:eastAsiaTheme="minorEastAsia" w:cstheme="minorEastAsia"/>
          <w:bCs/>
          <w:snapToGrid w:val="0"/>
          <w:color w:val="auto"/>
          <w:sz w:val="24"/>
          <w:szCs w:val="24"/>
          <w:highlight w:val="none"/>
          <w:lang w:val="en-US" w:eastAsia="zh-CN"/>
        </w:rPr>
        <w:t>0</w:t>
      </w:r>
      <w:r>
        <w:rPr>
          <w:rFonts w:hint="eastAsia" w:asciiTheme="minorEastAsia" w:hAnsiTheme="minorEastAsia" w:eastAsiaTheme="minorEastAsia" w:cstheme="minorEastAsia"/>
          <w:bCs/>
          <w:snapToGrid w:val="0"/>
          <w:color w:val="auto"/>
          <w:sz w:val="24"/>
          <w:szCs w:val="24"/>
          <w:highlight w:val="none"/>
        </w:rPr>
        <w:t>0</w:t>
      </w:r>
      <w:r>
        <w:rPr>
          <w:rFonts w:hint="eastAsia" w:asciiTheme="minorEastAsia" w:hAnsiTheme="minorEastAsia" w:eastAsiaTheme="minorEastAsia" w:cstheme="minorEastAsia"/>
          <w:bCs/>
          <w:snapToGrid w:val="0"/>
          <w:color w:val="auto"/>
          <w:sz w:val="24"/>
          <w:szCs w:val="24"/>
          <w:highlight w:val="none"/>
          <w:lang w:eastAsia="zh-CN"/>
        </w:rPr>
        <w:t>）</w:t>
      </w:r>
      <w:r>
        <w:rPr>
          <w:rFonts w:hint="eastAsia" w:asciiTheme="minorEastAsia" w:hAnsiTheme="minorEastAsia" w:eastAsiaTheme="minorEastAsia" w:cstheme="minorEastAsia"/>
          <w:bCs/>
          <w:snapToGrid w:val="0"/>
          <w:color w:val="auto"/>
          <w:sz w:val="24"/>
          <w:szCs w:val="24"/>
          <w:highlight w:val="none"/>
        </w:rPr>
        <w:t>拨打</w:t>
      </w:r>
      <w:r>
        <w:rPr>
          <w:rFonts w:hint="eastAsia" w:asciiTheme="minorEastAsia" w:hAnsiTheme="minorEastAsia" w:eastAsiaTheme="minorEastAsia" w:cstheme="minorEastAsia"/>
          <w:bCs/>
          <w:snapToGrid w:val="0"/>
          <w:color w:val="auto"/>
          <w:sz w:val="24"/>
          <w:szCs w:val="24"/>
          <w:highlight w:val="none"/>
          <w:u w:val="single"/>
          <w:lang w:val="en-US" w:eastAsia="zh-CN"/>
        </w:rPr>
        <w:t xml:space="preserve"> 汪工18156284202</w:t>
      </w:r>
      <w:r>
        <w:rPr>
          <w:rFonts w:hint="eastAsia" w:asciiTheme="minorEastAsia" w:hAnsiTheme="minorEastAsia" w:eastAsiaTheme="minorEastAsia" w:cstheme="minorEastAsia"/>
          <w:bCs/>
          <w:snapToGrid w:val="0"/>
          <w:color w:val="auto"/>
          <w:sz w:val="24"/>
          <w:szCs w:val="24"/>
          <w:highlight w:val="none"/>
        </w:rPr>
        <w:t>。</w:t>
      </w:r>
    </w:p>
    <w:p w14:paraId="2A1DDBC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Style w:val="47"/>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snapToGrid w:val="0"/>
          <w:color w:val="auto"/>
          <w:sz w:val="24"/>
          <w:szCs w:val="24"/>
          <w:highlight w:val="none"/>
        </w:rPr>
        <w:t>4.3.招标文件价格：0元。</w:t>
      </w:r>
    </w:p>
    <w:p w14:paraId="1BB1E64F">
      <w:pPr>
        <w:keepNext w:val="0"/>
        <w:keepLines w:val="0"/>
        <w:pageBreakBefore w:val="0"/>
        <w:widowControl w:val="0"/>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rPr>
        <w:t>5. 投标文件的递交</w:t>
      </w:r>
    </w:p>
    <w:p w14:paraId="7D1517DE">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投标文件递交的截止时间（投标截止时间，下同）为202</w:t>
      </w:r>
      <w:r>
        <w:rPr>
          <w:rStyle w:val="47"/>
          <w:rFonts w:hint="eastAsia" w:asciiTheme="minorEastAsia" w:hAnsiTheme="minorEastAsia" w:eastAsiaTheme="minorEastAsia" w:cstheme="minorEastAsia"/>
          <w:b w:val="0"/>
          <w:bCs w:val="0"/>
          <w:color w:val="auto"/>
          <w:kern w:val="0"/>
          <w:sz w:val="24"/>
          <w:highlight w:val="none"/>
          <w:lang w:val="en-US"/>
        </w:rPr>
        <w:t>6</w:t>
      </w:r>
      <w:r>
        <w:rPr>
          <w:rStyle w:val="47"/>
          <w:rFonts w:hint="eastAsia" w:asciiTheme="minorEastAsia" w:hAnsiTheme="minorEastAsia" w:eastAsiaTheme="minorEastAsia" w:cstheme="minorEastAsia"/>
          <w:b w:val="0"/>
          <w:bCs w:val="0"/>
          <w:color w:val="auto"/>
          <w:kern w:val="0"/>
          <w:sz w:val="24"/>
          <w:highlight w:val="none"/>
        </w:rPr>
        <w:t>年</w:t>
      </w:r>
      <w:r>
        <w:rPr>
          <w:rStyle w:val="47"/>
          <w:rFonts w:hint="eastAsia" w:asciiTheme="minorEastAsia" w:hAnsiTheme="minorEastAsia" w:eastAsiaTheme="minorEastAsia" w:cstheme="minorEastAsia"/>
          <w:b w:val="0"/>
          <w:bCs w:val="0"/>
          <w:color w:val="auto"/>
          <w:kern w:val="0"/>
          <w:sz w:val="24"/>
          <w:highlight w:val="none"/>
          <w:lang w:val="en-US"/>
        </w:rPr>
        <w:t>7 月 13日09</w:t>
      </w:r>
      <w:r>
        <w:rPr>
          <w:rStyle w:val="47"/>
          <w:rFonts w:hint="eastAsia" w:asciiTheme="minorEastAsia" w:hAnsiTheme="minorEastAsia" w:eastAsiaTheme="minorEastAsia" w:cstheme="minorEastAsia"/>
          <w:b w:val="0"/>
          <w:bCs w:val="0"/>
          <w:color w:val="auto"/>
          <w:kern w:val="0"/>
          <w:sz w:val="24"/>
          <w:highlight w:val="none"/>
        </w:rPr>
        <w:t>时</w:t>
      </w:r>
      <w:r>
        <w:rPr>
          <w:rStyle w:val="47"/>
          <w:rFonts w:hint="eastAsia" w:asciiTheme="minorEastAsia" w:hAnsiTheme="minorEastAsia" w:eastAsiaTheme="minorEastAsia" w:cstheme="minorEastAsia"/>
          <w:b w:val="0"/>
          <w:bCs w:val="0"/>
          <w:color w:val="auto"/>
          <w:kern w:val="0"/>
          <w:sz w:val="24"/>
          <w:highlight w:val="none"/>
          <w:lang w:val="en-US"/>
        </w:rPr>
        <w:t>00</w:t>
      </w:r>
      <w:r>
        <w:rPr>
          <w:rStyle w:val="47"/>
          <w:rFonts w:hint="eastAsia" w:asciiTheme="minorEastAsia" w:hAnsiTheme="minorEastAsia" w:eastAsiaTheme="minorEastAsia" w:cstheme="minorEastAsia"/>
          <w:b w:val="0"/>
          <w:bCs w:val="0"/>
          <w:color w:val="auto"/>
          <w:kern w:val="0"/>
          <w:sz w:val="24"/>
          <w:highlight w:val="none"/>
        </w:rPr>
        <w:t>分，投标人应在投标截止时间前在</w:t>
      </w:r>
      <w:r>
        <w:rPr>
          <w:rStyle w:val="47"/>
          <w:rFonts w:hint="eastAsia" w:asciiTheme="minorEastAsia" w:hAnsiTheme="minorEastAsia" w:eastAsiaTheme="minorEastAsia" w:cstheme="minorEastAsia"/>
          <w:b w:val="0"/>
          <w:bCs w:val="0"/>
          <w:color w:val="auto"/>
          <w:kern w:val="0"/>
          <w:sz w:val="24"/>
          <w:highlight w:val="none"/>
          <w:u w:val="single"/>
        </w:rPr>
        <w:t>安徽建清工程咨询有限公司（铜陵市绿源大市场三期17栋11号）</w:t>
      </w:r>
      <w:r>
        <w:rPr>
          <w:rStyle w:val="47"/>
          <w:rFonts w:hint="eastAsia" w:asciiTheme="minorEastAsia" w:hAnsiTheme="minorEastAsia" w:eastAsiaTheme="minorEastAsia" w:cstheme="minorEastAsia"/>
          <w:b w:val="0"/>
          <w:bCs w:val="0"/>
          <w:color w:val="auto"/>
          <w:kern w:val="0"/>
          <w:sz w:val="24"/>
          <w:highlight w:val="none"/>
        </w:rPr>
        <w:t>现场提交投标文件。</w:t>
      </w:r>
    </w:p>
    <w:p w14:paraId="32CA9285">
      <w:pPr>
        <w:keepNext w:val="0"/>
        <w:keepLines w:val="0"/>
        <w:pageBreakBefore w:val="0"/>
        <w:widowControl w:val="0"/>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rPr>
        <w:t>6. 开标时间及地点</w:t>
      </w:r>
    </w:p>
    <w:p w14:paraId="6B0E8BED">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6.1 开标时间：</w:t>
      </w:r>
      <w:r>
        <w:rPr>
          <w:rStyle w:val="47"/>
          <w:rFonts w:hint="eastAsia" w:asciiTheme="minorEastAsia" w:hAnsiTheme="minorEastAsia" w:eastAsiaTheme="minorEastAsia" w:cstheme="minorEastAsia"/>
          <w:b w:val="0"/>
          <w:bCs w:val="0"/>
          <w:color w:val="auto"/>
          <w:kern w:val="0"/>
          <w:sz w:val="24"/>
          <w:highlight w:val="none"/>
          <w:u w:val="single"/>
        </w:rPr>
        <w:t>202</w:t>
      </w:r>
      <w:r>
        <w:rPr>
          <w:rStyle w:val="47"/>
          <w:rFonts w:hint="eastAsia" w:asciiTheme="minorEastAsia" w:hAnsiTheme="minorEastAsia" w:eastAsiaTheme="minorEastAsia" w:cstheme="minorEastAsia"/>
          <w:b w:val="0"/>
          <w:bCs w:val="0"/>
          <w:color w:val="auto"/>
          <w:kern w:val="0"/>
          <w:sz w:val="24"/>
          <w:highlight w:val="none"/>
          <w:u w:val="single"/>
          <w:lang w:val="en-US"/>
        </w:rPr>
        <w:t>6</w:t>
      </w:r>
      <w:r>
        <w:rPr>
          <w:rStyle w:val="47"/>
          <w:rFonts w:hint="eastAsia" w:asciiTheme="minorEastAsia" w:hAnsiTheme="minorEastAsia" w:eastAsiaTheme="minorEastAsia" w:cstheme="minorEastAsia"/>
          <w:b w:val="0"/>
          <w:bCs w:val="0"/>
          <w:color w:val="auto"/>
          <w:kern w:val="0"/>
          <w:sz w:val="24"/>
          <w:highlight w:val="none"/>
          <w:u w:val="single"/>
        </w:rPr>
        <w:t>年</w:t>
      </w:r>
      <w:r>
        <w:rPr>
          <w:rStyle w:val="47"/>
          <w:rFonts w:hint="eastAsia" w:asciiTheme="minorEastAsia" w:hAnsiTheme="minorEastAsia" w:eastAsiaTheme="minorEastAsia" w:cstheme="minorEastAsia"/>
          <w:b w:val="0"/>
          <w:bCs w:val="0"/>
          <w:color w:val="auto"/>
          <w:kern w:val="0"/>
          <w:sz w:val="24"/>
          <w:highlight w:val="none"/>
          <w:u w:val="single"/>
          <w:lang w:val="en-US"/>
        </w:rPr>
        <w:t>7月13 日</w:t>
      </w:r>
      <w:r>
        <w:rPr>
          <w:rStyle w:val="47"/>
          <w:rFonts w:hint="eastAsia" w:asciiTheme="minorEastAsia" w:hAnsiTheme="minorEastAsia" w:eastAsiaTheme="minorEastAsia" w:cstheme="minorEastAsia"/>
          <w:b w:val="0"/>
          <w:bCs w:val="0"/>
          <w:color w:val="auto"/>
          <w:kern w:val="0"/>
          <w:sz w:val="24"/>
          <w:highlight w:val="none"/>
          <w:u w:val="single"/>
        </w:rPr>
        <w:t>09时</w:t>
      </w:r>
      <w:r>
        <w:rPr>
          <w:rStyle w:val="47"/>
          <w:rFonts w:hint="eastAsia" w:asciiTheme="minorEastAsia" w:hAnsiTheme="minorEastAsia" w:eastAsiaTheme="minorEastAsia" w:cstheme="minorEastAsia"/>
          <w:b w:val="0"/>
          <w:bCs w:val="0"/>
          <w:color w:val="auto"/>
          <w:kern w:val="0"/>
          <w:sz w:val="24"/>
          <w:highlight w:val="none"/>
          <w:u w:val="single"/>
          <w:lang w:val="en-US"/>
        </w:rPr>
        <w:t>0</w:t>
      </w:r>
      <w:bookmarkStart w:id="498" w:name="_GoBack"/>
      <w:bookmarkEnd w:id="498"/>
      <w:r>
        <w:rPr>
          <w:rStyle w:val="47"/>
          <w:rFonts w:hint="eastAsia" w:asciiTheme="minorEastAsia" w:hAnsiTheme="minorEastAsia" w:eastAsiaTheme="minorEastAsia" w:cstheme="minorEastAsia"/>
          <w:b w:val="0"/>
          <w:bCs w:val="0"/>
          <w:color w:val="auto"/>
          <w:kern w:val="0"/>
          <w:sz w:val="24"/>
          <w:highlight w:val="none"/>
          <w:u w:val="single"/>
        </w:rPr>
        <w:t>0分</w:t>
      </w:r>
    </w:p>
    <w:p w14:paraId="6D3C5A00">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6.2 开标地点：安徽建清工程咨询有限公司 （铜陵市绿源大市场三期17栋11号）。</w:t>
      </w:r>
    </w:p>
    <w:p w14:paraId="2DAEFA9C">
      <w:pPr>
        <w:keepNext w:val="0"/>
        <w:keepLines w:val="0"/>
        <w:pageBreakBefore w:val="0"/>
        <w:widowControl w:val="0"/>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rPr>
        <w:t>7. 发布公告的媒介</w:t>
      </w:r>
    </w:p>
    <w:p w14:paraId="4045FC65">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lang w:val="en-US"/>
        </w:rPr>
        <w:t xml:space="preserve"> </w:t>
      </w:r>
      <w:r>
        <w:rPr>
          <w:rStyle w:val="47"/>
          <w:rFonts w:hint="eastAsia" w:asciiTheme="minorEastAsia" w:hAnsiTheme="minorEastAsia" w:eastAsiaTheme="minorEastAsia" w:cstheme="minorEastAsia"/>
          <w:b w:val="0"/>
          <w:bCs w:val="0"/>
          <w:color w:val="auto"/>
          <w:kern w:val="0"/>
          <w:sz w:val="24"/>
          <w:highlight w:val="none"/>
        </w:rPr>
        <w:t>本次招标公告在铜陵市公共资源交易网（目录外交易栏目）发布。</w:t>
      </w:r>
    </w:p>
    <w:p w14:paraId="10D62492">
      <w:pPr>
        <w:keepNext w:val="0"/>
        <w:keepLines w:val="0"/>
        <w:pageBreakBefore w:val="0"/>
        <w:widowControl w:val="0"/>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rPr>
        <w:t>8.联系方式</w:t>
      </w:r>
    </w:p>
    <w:p w14:paraId="6D44B4A0">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8.1 招标人</w:t>
      </w:r>
    </w:p>
    <w:p w14:paraId="0B6D97E6">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kern w:val="0"/>
          <w:sz w:val="24"/>
          <w:highlight w:val="none"/>
          <w:u w:val="single"/>
          <w:lang w:val="zh-CN"/>
        </w:rPr>
      </w:pPr>
      <w:r>
        <w:rPr>
          <w:rStyle w:val="47"/>
          <w:rFonts w:hint="eastAsia" w:asciiTheme="minorEastAsia" w:hAnsiTheme="minorEastAsia" w:eastAsiaTheme="minorEastAsia" w:cstheme="minorEastAsia"/>
          <w:b w:val="0"/>
          <w:bCs w:val="0"/>
          <w:color w:val="auto"/>
          <w:kern w:val="0"/>
          <w:sz w:val="24"/>
          <w:highlight w:val="none"/>
        </w:rPr>
        <w:t>招 标 人：</w:t>
      </w:r>
      <w:r>
        <w:rPr>
          <w:rStyle w:val="47"/>
          <w:rFonts w:hint="eastAsia" w:asciiTheme="minorEastAsia" w:hAnsiTheme="minorEastAsia" w:eastAsiaTheme="minorEastAsia" w:cstheme="minorEastAsia"/>
          <w:color w:val="auto"/>
          <w:kern w:val="0"/>
          <w:sz w:val="24"/>
          <w:highlight w:val="none"/>
          <w:u w:val="single"/>
          <w:lang w:val="zh-CN"/>
        </w:rPr>
        <w:t>安徽铜陵国家农业科技园区投资开发有限责任公司</w:t>
      </w:r>
    </w:p>
    <w:p w14:paraId="08904B71">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地    址：</w:t>
      </w:r>
      <w:r>
        <w:rPr>
          <w:rStyle w:val="47"/>
          <w:rFonts w:hint="eastAsia" w:asciiTheme="minorEastAsia" w:hAnsiTheme="minorEastAsia" w:eastAsiaTheme="minorEastAsia" w:cstheme="minorEastAsia"/>
          <w:b w:val="0"/>
          <w:bCs w:val="0"/>
          <w:color w:val="auto"/>
          <w:kern w:val="0"/>
          <w:sz w:val="24"/>
          <w:highlight w:val="none"/>
          <w:u w:val="single"/>
        </w:rPr>
        <w:t>义安区顺安镇城山村</w:t>
      </w:r>
    </w:p>
    <w:p w14:paraId="772AF351">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lang w:val="en-US"/>
        </w:rPr>
      </w:pPr>
      <w:r>
        <w:rPr>
          <w:rStyle w:val="47"/>
          <w:rFonts w:hint="eastAsia" w:asciiTheme="minorEastAsia" w:hAnsiTheme="minorEastAsia" w:eastAsiaTheme="minorEastAsia" w:cstheme="minorEastAsia"/>
          <w:b w:val="0"/>
          <w:bCs w:val="0"/>
          <w:color w:val="auto"/>
          <w:kern w:val="0"/>
          <w:sz w:val="24"/>
          <w:highlight w:val="none"/>
        </w:rPr>
        <w:t>联 系 人：张先生</w:t>
      </w:r>
    </w:p>
    <w:p w14:paraId="3ED2D103">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default" w:asciiTheme="minorEastAsia" w:hAnsiTheme="minorEastAsia" w:eastAsiaTheme="minorEastAsia" w:cstheme="minorEastAsia"/>
          <w:b w:val="0"/>
          <w:bCs w:val="0"/>
          <w:color w:val="auto"/>
          <w:kern w:val="0"/>
          <w:sz w:val="24"/>
          <w:highlight w:val="none"/>
          <w:u w:val="single"/>
          <w:lang w:val="en-US"/>
        </w:rPr>
      </w:pPr>
      <w:r>
        <w:rPr>
          <w:rStyle w:val="47"/>
          <w:rFonts w:hint="eastAsia" w:asciiTheme="minorEastAsia" w:hAnsiTheme="minorEastAsia" w:eastAsiaTheme="minorEastAsia" w:cstheme="minorEastAsia"/>
          <w:b w:val="0"/>
          <w:bCs w:val="0"/>
          <w:color w:val="auto"/>
          <w:kern w:val="0"/>
          <w:sz w:val="24"/>
          <w:highlight w:val="none"/>
        </w:rPr>
        <w:t>电    话：</w:t>
      </w:r>
      <w:r>
        <w:rPr>
          <w:rStyle w:val="47"/>
          <w:rFonts w:hint="eastAsia" w:asciiTheme="minorEastAsia" w:hAnsiTheme="minorEastAsia" w:eastAsiaTheme="minorEastAsia" w:cstheme="minorEastAsia"/>
          <w:b w:val="0"/>
          <w:bCs w:val="0"/>
          <w:color w:val="auto"/>
          <w:kern w:val="0"/>
          <w:sz w:val="24"/>
          <w:highlight w:val="none"/>
          <w:lang w:val="en-US"/>
        </w:rPr>
        <w:t>17356228949</w:t>
      </w:r>
    </w:p>
    <w:p w14:paraId="088A2714">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8.2 招标代理机构</w:t>
      </w:r>
    </w:p>
    <w:p w14:paraId="0228C7E6">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kern w:val="0"/>
          <w:sz w:val="24"/>
          <w:highlight w:val="none"/>
          <w:u w:val="single"/>
        </w:rPr>
      </w:pPr>
      <w:r>
        <w:rPr>
          <w:rStyle w:val="47"/>
          <w:rFonts w:hint="eastAsia" w:asciiTheme="minorEastAsia" w:hAnsiTheme="minorEastAsia" w:eastAsiaTheme="minorEastAsia" w:cstheme="minorEastAsia"/>
          <w:b w:val="0"/>
          <w:bCs w:val="0"/>
          <w:color w:val="auto"/>
          <w:kern w:val="0"/>
          <w:sz w:val="24"/>
          <w:highlight w:val="none"/>
        </w:rPr>
        <w:t>招标代理机构：</w:t>
      </w:r>
      <w:r>
        <w:rPr>
          <w:rStyle w:val="47"/>
          <w:rFonts w:hint="eastAsia" w:asciiTheme="minorEastAsia" w:hAnsiTheme="minorEastAsia" w:eastAsiaTheme="minorEastAsia" w:cstheme="minorEastAsia"/>
          <w:color w:val="auto"/>
          <w:kern w:val="0"/>
          <w:sz w:val="24"/>
          <w:highlight w:val="none"/>
          <w:u w:val="single"/>
        </w:rPr>
        <w:t xml:space="preserve">安徽建清工程咨询有限公司 </w:t>
      </w:r>
    </w:p>
    <w:p w14:paraId="50EB4B4E">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lang w:val="en-US"/>
        </w:rPr>
      </w:pPr>
      <w:r>
        <w:rPr>
          <w:rStyle w:val="47"/>
          <w:rFonts w:hint="eastAsia" w:asciiTheme="minorEastAsia" w:hAnsiTheme="minorEastAsia" w:eastAsiaTheme="minorEastAsia" w:cstheme="minorEastAsia"/>
          <w:b w:val="0"/>
          <w:bCs w:val="0"/>
          <w:color w:val="auto"/>
          <w:kern w:val="0"/>
          <w:sz w:val="24"/>
          <w:highlight w:val="none"/>
        </w:rPr>
        <w:t>地    址：</w:t>
      </w:r>
      <w:r>
        <w:rPr>
          <w:rFonts w:hint="eastAsia" w:ascii="宋体" w:hAnsi="宋体" w:cs="宋体"/>
          <w:color w:val="auto"/>
          <w:sz w:val="24"/>
          <w:highlight w:val="none"/>
          <w:u w:val="single"/>
          <w:lang w:eastAsia="zh-CN"/>
        </w:rPr>
        <w:t>铜陵市绿源大市场三期1709</w:t>
      </w:r>
    </w:p>
    <w:p w14:paraId="2E484C44">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color w:val="auto"/>
          <w:kern w:val="0"/>
          <w:sz w:val="24"/>
          <w:highlight w:val="none"/>
          <w:u w:val="single"/>
          <w:lang w:val="en-US"/>
        </w:rPr>
      </w:pPr>
      <w:r>
        <w:rPr>
          <w:rStyle w:val="47"/>
          <w:rFonts w:hint="eastAsia" w:asciiTheme="minorEastAsia" w:hAnsiTheme="minorEastAsia" w:eastAsiaTheme="minorEastAsia" w:cstheme="minorEastAsia"/>
          <w:b w:val="0"/>
          <w:bCs w:val="0"/>
          <w:color w:val="auto"/>
          <w:kern w:val="0"/>
          <w:sz w:val="24"/>
          <w:highlight w:val="none"/>
        </w:rPr>
        <w:t>联 系 人：</w:t>
      </w:r>
      <w:r>
        <w:rPr>
          <w:rStyle w:val="47"/>
          <w:rFonts w:hint="eastAsia" w:asciiTheme="minorEastAsia" w:hAnsiTheme="minorEastAsia" w:eastAsiaTheme="minorEastAsia" w:cstheme="minorEastAsia"/>
          <w:color w:val="auto"/>
          <w:kern w:val="0"/>
          <w:sz w:val="24"/>
          <w:highlight w:val="none"/>
          <w:u w:val="single"/>
          <w:lang w:val="en-US"/>
        </w:rPr>
        <w:t>汪工</w:t>
      </w:r>
    </w:p>
    <w:p w14:paraId="621B2BAD">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rPr>
        <w:t>电    话：</w:t>
      </w:r>
      <w:r>
        <w:rPr>
          <w:rStyle w:val="47"/>
          <w:rFonts w:hint="eastAsia" w:asciiTheme="minorEastAsia" w:hAnsiTheme="minorEastAsia" w:eastAsiaTheme="minorEastAsia" w:cstheme="minorEastAsia"/>
          <w:color w:val="auto"/>
          <w:kern w:val="0"/>
          <w:sz w:val="24"/>
          <w:highlight w:val="none"/>
          <w:u w:val="single"/>
          <w:lang w:val="en-US"/>
        </w:rPr>
        <w:t>18156284202</w:t>
      </w:r>
      <w:r>
        <w:rPr>
          <w:rStyle w:val="47"/>
          <w:rFonts w:hint="eastAsia" w:asciiTheme="minorEastAsia" w:hAnsiTheme="minorEastAsia" w:eastAsiaTheme="minorEastAsia" w:cstheme="minorEastAsia"/>
          <w:b w:val="0"/>
          <w:bCs w:val="0"/>
          <w:color w:val="auto"/>
          <w:kern w:val="0"/>
          <w:sz w:val="24"/>
          <w:highlight w:val="none"/>
        </w:rPr>
        <w:t xml:space="preserve">   </w:t>
      </w:r>
    </w:p>
    <w:p w14:paraId="413CA00D">
      <w:pPr>
        <w:keepNext w:val="0"/>
        <w:keepLines w:val="0"/>
        <w:pageBreakBefore w:val="0"/>
        <w:widowControl w:val="0"/>
        <w:kinsoku/>
        <w:wordWrap/>
        <w:overflowPunct/>
        <w:topLinePunct w:val="0"/>
        <w:autoSpaceDE/>
        <w:autoSpaceDN/>
        <w:bidi w:val="0"/>
        <w:adjustRightInd/>
        <w:snapToGrid/>
        <w:spacing w:line="500" w:lineRule="exact"/>
        <w:ind w:firstLine="482" w:firstLineChars="200"/>
        <w:outlineLvl w:val="9"/>
        <w:rPr>
          <w:rStyle w:val="47"/>
          <w:rFonts w:hint="eastAsia" w:asciiTheme="minorEastAsia" w:hAnsiTheme="minorEastAsia" w:eastAsiaTheme="minorEastAsia" w:cstheme="minorEastAsia"/>
          <w:b/>
          <w:bCs/>
          <w:color w:val="auto"/>
          <w:kern w:val="0"/>
          <w:sz w:val="24"/>
          <w:highlight w:val="none"/>
        </w:rPr>
      </w:pPr>
      <w:r>
        <w:rPr>
          <w:rStyle w:val="47"/>
          <w:rFonts w:hint="eastAsia" w:asciiTheme="minorEastAsia" w:hAnsiTheme="minorEastAsia" w:eastAsiaTheme="minorEastAsia" w:cstheme="minorEastAsia"/>
          <w:b/>
          <w:bCs/>
          <w:color w:val="auto"/>
          <w:kern w:val="0"/>
          <w:sz w:val="24"/>
          <w:highlight w:val="none"/>
        </w:rPr>
        <w:t>9.其他事项说明</w:t>
      </w:r>
    </w:p>
    <w:p w14:paraId="4E47C822">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rPr>
      </w:pPr>
      <w:r>
        <w:rPr>
          <w:rStyle w:val="47"/>
          <w:rFonts w:hint="eastAsia" w:asciiTheme="minorEastAsia" w:hAnsiTheme="minorEastAsia" w:eastAsiaTheme="minorEastAsia" w:cstheme="minorEastAsia"/>
          <w:b w:val="0"/>
          <w:bCs w:val="0"/>
          <w:color w:val="auto"/>
          <w:kern w:val="0"/>
          <w:sz w:val="24"/>
          <w:highlight w:val="none"/>
          <w:lang w:val="en-US"/>
        </w:rPr>
        <w:t>9.1</w:t>
      </w:r>
      <w:r>
        <w:rPr>
          <w:rStyle w:val="47"/>
          <w:rFonts w:hint="eastAsia" w:asciiTheme="minorEastAsia" w:hAnsiTheme="minorEastAsia" w:eastAsiaTheme="minorEastAsia" w:cstheme="minorEastAsia"/>
          <w:b w:val="0"/>
          <w:bCs w:val="0"/>
          <w:color w:val="auto"/>
          <w:kern w:val="0"/>
          <w:sz w:val="24"/>
          <w:highlight w:val="none"/>
        </w:rPr>
        <w:t>投标人不得存在的其他关联情形、不得存在的其他不良状况或不良信用记录详见投标人须知前附表。</w:t>
      </w:r>
    </w:p>
    <w:p w14:paraId="1A22B1E8">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Style w:val="47"/>
          <w:rFonts w:hint="eastAsia" w:asciiTheme="minorEastAsia" w:hAnsiTheme="minorEastAsia" w:eastAsiaTheme="minorEastAsia" w:cstheme="minorEastAsia"/>
          <w:b w:val="0"/>
          <w:bCs w:val="0"/>
          <w:color w:val="auto"/>
          <w:kern w:val="0"/>
          <w:sz w:val="24"/>
          <w:highlight w:val="none"/>
          <w:lang w:val="en-US"/>
        </w:rPr>
      </w:pPr>
      <w:r>
        <w:rPr>
          <w:rStyle w:val="47"/>
          <w:rFonts w:hint="eastAsia" w:asciiTheme="minorEastAsia" w:hAnsiTheme="minorEastAsia" w:eastAsiaTheme="minorEastAsia" w:cstheme="minorEastAsia"/>
          <w:b w:val="0"/>
          <w:bCs w:val="0"/>
          <w:color w:val="auto"/>
          <w:kern w:val="0"/>
          <w:sz w:val="24"/>
          <w:highlight w:val="none"/>
          <w:lang w:val="en-US"/>
        </w:rPr>
        <w:t>9.2</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免</w:t>
      </w:r>
      <w:r>
        <w:rPr>
          <w:rFonts w:hint="eastAsia" w:ascii="宋体" w:hAnsi="宋体" w:eastAsia="宋体" w:cs="宋体"/>
          <w:color w:val="auto"/>
          <w:sz w:val="24"/>
          <w:szCs w:val="24"/>
          <w:highlight w:val="none"/>
        </w:rPr>
        <w:t>收投标保证金</w:t>
      </w:r>
      <w:r>
        <w:rPr>
          <w:rStyle w:val="47"/>
          <w:rFonts w:hint="eastAsia" w:asciiTheme="minorEastAsia" w:hAnsiTheme="minorEastAsia" w:eastAsiaTheme="minorEastAsia" w:cstheme="minorEastAsia"/>
          <w:b w:val="0"/>
          <w:bCs w:val="0"/>
          <w:color w:val="auto"/>
          <w:kern w:val="0"/>
          <w:sz w:val="24"/>
          <w:highlight w:val="none"/>
          <w:lang w:val="en-US"/>
        </w:rPr>
        <w:t>。</w:t>
      </w:r>
    </w:p>
    <w:p w14:paraId="57E7E1D4">
      <w:pPr>
        <w:pStyle w:val="37"/>
        <w:numPr>
          <w:ilvl w:val="0"/>
          <w:numId w:val="0"/>
        </w:numPr>
        <w:rPr>
          <w:rFonts w:hint="eastAsia" w:ascii="宋体" w:hAnsi="宋体" w:eastAsia="宋体" w:cs="宋体"/>
          <w:color w:val="auto"/>
          <w:highlight w:val="none"/>
          <w:lang w:val="en-US"/>
        </w:rPr>
      </w:pPr>
    </w:p>
    <w:p w14:paraId="7355CFAA">
      <w:pPr>
        <w:rPr>
          <w:rStyle w:val="47"/>
          <w:rFonts w:hint="eastAsia" w:ascii="宋体" w:hAnsi="宋体" w:eastAsia="宋体" w:cs="宋体"/>
          <w:color w:val="auto"/>
          <w:sz w:val="32"/>
          <w:szCs w:val="40"/>
          <w:highlight w:val="none"/>
        </w:rPr>
      </w:pPr>
      <w:r>
        <w:rPr>
          <w:rStyle w:val="47"/>
          <w:rFonts w:hint="eastAsia" w:ascii="宋体" w:hAnsi="宋体" w:eastAsia="宋体" w:cs="宋体"/>
          <w:color w:val="auto"/>
          <w:sz w:val="32"/>
          <w:szCs w:val="40"/>
          <w:highlight w:val="none"/>
        </w:rPr>
        <w:br w:type="page"/>
      </w:r>
    </w:p>
    <w:p w14:paraId="1BBA3C96">
      <w:pPr>
        <w:pStyle w:val="39"/>
        <w:spacing w:before="0" w:after="0" w:line="360" w:lineRule="auto"/>
        <w:jc w:val="center"/>
        <w:rPr>
          <w:rStyle w:val="47"/>
          <w:rFonts w:hint="eastAsia" w:ascii="宋体" w:hAnsi="宋体" w:eastAsia="宋体" w:cs="宋体"/>
          <w:color w:val="auto"/>
          <w:sz w:val="32"/>
          <w:szCs w:val="40"/>
          <w:highlight w:val="none"/>
        </w:rPr>
      </w:pPr>
      <w:r>
        <w:rPr>
          <w:rStyle w:val="47"/>
          <w:rFonts w:hint="eastAsia" w:ascii="宋体" w:hAnsi="宋体" w:eastAsia="宋体" w:cs="宋体"/>
          <w:color w:val="auto"/>
          <w:sz w:val="32"/>
          <w:szCs w:val="40"/>
          <w:highlight w:val="none"/>
        </w:rPr>
        <w:t>第二章 投标须知前附表</w:t>
      </w:r>
    </w:p>
    <w:p w14:paraId="7040ACB6">
      <w:pPr>
        <w:pStyle w:val="39"/>
        <w:spacing w:before="0" w:after="0" w:line="360" w:lineRule="auto"/>
        <w:jc w:val="center"/>
        <w:rPr>
          <w:rStyle w:val="47"/>
          <w:rFonts w:hint="eastAsia" w:ascii="宋体" w:hAnsi="宋体" w:eastAsia="宋体" w:cs="宋体"/>
          <w:color w:val="auto"/>
          <w:sz w:val="30"/>
          <w:szCs w:val="30"/>
          <w:highlight w:val="none"/>
        </w:rPr>
      </w:pPr>
      <w:r>
        <w:rPr>
          <w:rStyle w:val="47"/>
          <w:rFonts w:hint="eastAsia" w:ascii="宋体" w:hAnsi="宋体" w:eastAsia="宋体" w:cs="宋体"/>
          <w:color w:val="auto"/>
          <w:sz w:val="30"/>
          <w:szCs w:val="30"/>
          <w:highlight w:val="none"/>
        </w:rPr>
        <w:t>（一）前附表1</w:t>
      </w:r>
    </w:p>
    <w:tbl>
      <w:tblPr>
        <w:tblStyle w:val="27"/>
        <w:tblW w:w="950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61"/>
        <w:gridCol w:w="2226"/>
        <w:gridCol w:w="6517"/>
      </w:tblGrid>
      <w:tr w14:paraId="1537CA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EF1231D">
            <w:pPr>
              <w:snapToGrid w:val="0"/>
              <w:spacing w:line="500" w:lineRule="exact"/>
              <w:ind w:firstLine="103" w:firstLineChars="43"/>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序号</w:t>
            </w:r>
          </w:p>
        </w:tc>
        <w:tc>
          <w:tcPr>
            <w:tcW w:w="2226" w:type="dxa"/>
            <w:tcBorders>
              <w:top w:val="single" w:color="000000" w:sz="4" w:space="0"/>
              <w:left w:val="single" w:color="000000" w:sz="4" w:space="0"/>
              <w:bottom w:val="single" w:color="000000" w:sz="4" w:space="0"/>
              <w:right w:val="single" w:color="000000" w:sz="4" w:space="0"/>
            </w:tcBorders>
            <w:vAlign w:val="center"/>
          </w:tcPr>
          <w:p w14:paraId="575E12EB">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序列名称</w:t>
            </w:r>
          </w:p>
        </w:tc>
        <w:tc>
          <w:tcPr>
            <w:tcW w:w="6517" w:type="dxa"/>
            <w:tcBorders>
              <w:top w:val="single" w:color="000000" w:sz="4" w:space="0"/>
              <w:left w:val="single" w:color="000000" w:sz="4" w:space="0"/>
              <w:bottom w:val="single" w:color="000000" w:sz="4" w:space="0"/>
              <w:right w:val="single" w:color="000000" w:sz="4" w:space="0"/>
            </w:tcBorders>
            <w:vAlign w:val="center"/>
          </w:tcPr>
          <w:p w14:paraId="01AD319E">
            <w:pPr>
              <w:tabs>
                <w:tab w:val="left" w:pos="1180"/>
              </w:tabs>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w:t>
            </w:r>
          </w:p>
        </w:tc>
      </w:tr>
      <w:tr w14:paraId="52DB00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6915F3C">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w:t>
            </w:r>
          </w:p>
        </w:tc>
        <w:tc>
          <w:tcPr>
            <w:tcW w:w="2226" w:type="dxa"/>
            <w:tcBorders>
              <w:top w:val="single" w:color="000000" w:sz="4" w:space="0"/>
              <w:left w:val="single" w:color="000000" w:sz="4" w:space="0"/>
              <w:bottom w:val="single" w:color="000000" w:sz="4" w:space="0"/>
              <w:right w:val="single" w:color="000000" w:sz="4" w:space="0"/>
            </w:tcBorders>
            <w:vAlign w:val="center"/>
          </w:tcPr>
          <w:p w14:paraId="62AA1A09">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工程名称</w:t>
            </w:r>
          </w:p>
        </w:tc>
        <w:tc>
          <w:tcPr>
            <w:tcW w:w="6517" w:type="dxa"/>
            <w:tcBorders>
              <w:top w:val="single" w:color="000000" w:sz="4" w:space="0"/>
              <w:left w:val="single" w:color="000000" w:sz="4" w:space="0"/>
              <w:bottom w:val="single" w:color="000000" w:sz="4" w:space="0"/>
              <w:right w:val="single" w:color="000000" w:sz="4" w:space="0"/>
            </w:tcBorders>
            <w:vAlign w:val="center"/>
          </w:tcPr>
          <w:p w14:paraId="62BF217C">
            <w:pPr>
              <w:keepNext w:val="0"/>
              <w:keepLines w:val="0"/>
              <w:pageBreakBefore w:val="0"/>
              <w:widowControl/>
              <w:shd w:val="clear" w:color="auto" w:fill="F9FDFE"/>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cs="宋体"/>
                <w:color w:val="auto"/>
                <w:sz w:val="24"/>
                <w:szCs w:val="24"/>
                <w:highlight w:val="none"/>
              </w:rPr>
              <w:t>铜陵国家农业科技园区流转土地清表翻耕项目</w:t>
            </w:r>
          </w:p>
        </w:tc>
      </w:tr>
      <w:tr w14:paraId="342504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05194FA8">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w:t>
            </w:r>
          </w:p>
        </w:tc>
        <w:tc>
          <w:tcPr>
            <w:tcW w:w="2226" w:type="dxa"/>
            <w:tcBorders>
              <w:top w:val="single" w:color="000000" w:sz="4" w:space="0"/>
              <w:left w:val="single" w:color="000000" w:sz="4" w:space="0"/>
              <w:bottom w:val="single" w:color="000000" w:sz="4" w:space="0"/>
              <w:right w:val="single" w:color="000000" w:sz="4" w:space="0"/>
            </w:tcBorders>
            <w:vAlign w:val="center"/>
          </w:tcPr>
          <w:p w14:paraId="3F504F38">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建设地点</w:t>
            </w:r>
          </w:p>
        </w:tc>
        <w:tc>
          <w:tcPr>
            <w:tcW w:w="6517" w:type="dxa"/>
            <w:tcBorders>
              <w:top w:val="single" w:color="000000" w:sz="4" w:space="0"/>
              <w:left w:val="single" w:color="000000" w:sz="4" w:space="0"/>
              <w:bottom w:val="single" w:color="000000" w:sz="4" w:space="0"/>
              <w:right w:val="single" w:color="000000" w:sz="4" w:space="0"/>
            </w:tcBorders>
            <w:vAlign w:val="center"/>
          </w:tcPr>
          <w:p w14:paraId="4FD1C0CC">
            <w:pPr>
              <w:keepNext w:val="0"/>
              <w:keepLines w:val="0"/>
              <w:pageBreakBefore w:val="0"/>
              <w:widowControl/>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color w:val="auto"/>
                <w:sz w:val="24"/>
                <w:szCs w:val="24"/>
                <w:highlight w:val="none"/>
                <w:lang w:val="en-US"/>
              </w:rPr>
            </w:pPr>
            <w:r>
              <w:rPr>
                <w:rStyle w:val="47"/>
                <w:rFonts w:hint="eastAsia" w:ascii="宋体" w:hAnsi="宋体" w:cs="宋体"/>
                <w:color w:val="auto"/>
                <w:sz w:val="24"/>
                <w:szCs w:val="24"/>
                <w:highlight w:val="none"/>
                <w:lang w:val="en-US"/>
              </w:rPr>
              <w:t>铜陵国家农业科技园区</w:t>
            </w:r>
          </w:p>
        </w:tc>
      </w:tr>
      <w:tr w14:paraId="3740F5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CE4559D">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3</w:t>
            </w:r>
          </w:p>
        </w:tc>
        <w:tc>
          <w:tcPr>
            <w:tcW w:w="2226" w:type="dxa"/>
            <w:tcBorders>
              <w:top w:val="single" w:color="000000" w:sz="4" w:space="0"/>
              <w:left w:val="single" w:color="000000" w:sz="4" w:space="0"/>
              <w:bottom w:val="single" w:color="000000" w:sz="4" w:space="0"/>
              <w:right w:val="single" w:color="000000" w:sz="4" w:space="0"/>
            </w:tcBorders>
            <w:vAlign w:val="center"/>
          </w:tcPr>
          <w:p w14:paraId="5C0729F4">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招标人</w:t>
            </w:r>
          </w:p>
        </w:tc>
        <w:tc>
          <w:tcPr>
            <w:tcW w:w="6517" w:type="dxa"/>
            <w:tcBorders>
              <w:top w:val="single" w:color="000000" w:sz="4" w:space="0"/>
              <w:left w:val="single" w:color="000000" w:sz="4" w:space="0"/>
              <w:bottom w:val="single" w:color="000000" w:sz="4" w:space="0"/>
              <w:right w:val="single" w:color="000000" w:sz="4" w:space="0"/>
            </w:tcBorders>
            <w:vAlign w:val="center"/>
          </w:tcPr>
          <w:p w14:paraId="1FB82877">
            <w:pPr>
              <w:keepNext w:val="0"/>
              <w:keepLines w:val="0"/>
              <w:pageBreakBefore w:val="0"/>
              <w:widowControl/>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cs="宋体"/>
                <w:color w:val="auto"/>
                <w:sz w:val="24"/>
                <w:szCs w:val="24"/>
                <w:highlight w:val="none"/>
                <w:lang w:val="zh-CN"/>
              </w:rPr>
              <w:t>安徽铜陵国家农业科技园区投资开发有限责任公司</w:t>
            </w:r>
          </w:p>
        </w:tc>
      </w:tr>
      <w:tr w14:paraId="25591A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72840080">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1981A30A">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工程设计单位</w:t>
            </w:r>
          </w:p>
        </w:tc>
        <w:tc>
          <w:tcPr>
            <w:tcW w:w="6517" w:type="dxa"/>
            <w:tcBorders>
              <w:top w:val="single" w:color="000000" w:sz="4" w:space="0"/>
              <w:left w:val="single" w:color="000000" w:sz="4" w:space="0"/>
              <w:bottom w:val="single" w:color="000000" w:sz="4" w:space="0"/>
              <w:right w:val="single" w:color="000000" w:sz="4" w:space="0"/>
            </w:tcBorders>
            <w:vAlign w:val="center"/>
          </w:tcPr>
          <w:p w14:paraId="0631B61F">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lang w:val="en-US"/>
              </w:rPr>
            </w:pPr>
            <w:r>
              <w:rPr>
                <w:rStyle w:val="47"/>
                <w:rFonts w:hint="eastAsia" w:ascii="宋体" w:hAnsi="宋体" w:eastAsia="宋体" w:cs="宋体"/>
                <w:color w:val="auto"/>
                <w:sz w:val="24"/>
                <w:szCs w:val="24"/>
                <w:highlight w:val="none"/>
                <w:lang w:val="en-US"/>
              </w:rPr>
              <w:t>/</w:t>
            </w:r>
          </w:p>
        </w:tc>
      </w:tr>
      <w:tr w14:paraId="3A6322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3924ECA">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07C722FC">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招标范围</w:t>
            </w:r>
          </w:p>
        </w:tc>
        <w:tc>
          <w:tcPr>
            <w:tcW w:w="6517" w:type="dxa"/>
            <w:tcBorders>
              <w:top w:val="single" w:color="000000" w:sz="4" w:space="0"/>
              <w:left w:val="single" w:color="000000" w:sz="4" w:space="0"/>
              <w:bottom w:val="single" w:color="000000" w:sz="4" w:space="0"/>
              <w:right w:val="single" w:color="000000" w:sz="4" w:space="0"/>
            </w:tcBorders>
            <w:vAlign w:val="center"/>
          </w:tcPr>
          <w:p w14:paraId="06F77736">
            <w:pPr>
              <w:keepNext w:val="0"/>
              <w:keepLines w:val="0"/>
              <w:pageBreakBefore w:val="0"/>
              <w:widowControl/>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具体详见招标文件、工程量清单及补充答疑文件全部内容。</w:t>
            </w:r>
          </w:p>
        </w:tc>
      </w:tr>
      <w:tr w14:paraId="7DFB36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2351CB3">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6</w:t>
            </w:r>
          </w:p>
        </w:tc>
        <w:tc>
          <w:tcPr>
            <w:tcW w:w="2226" w:type="dxa"/>
            <w:tcBorders>
              <w:top w:val="single" w:color="000000" w:sz="4" w:space="0"/>
              <w:left w:val="single" w:color="000000" w:sz="4" w:space="0"/>
              <w:bottom w:val="single" w:color="000000" w:sz="4" w:space="0"/>
              <w:right w:val="single" w:color="000000" w:sz="4" w:space="0"/>
            </w:tcBorders>
            <w:vAlign w:val="center"/>
          </w:tcPr>
          <w:p w14:paraId="048D4154">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承包方式</w:t>
            </w:r>
          </w:p>
        </w:tc>
        <w:tc>
          <w:tcPr>
            <w:tcW w:w="6517" w:type="dxa"/>
            <w:tcBorders>
              <w:top w:val="single" w:color="000000" w:sz="4" w:space="0"/>
              <w:left w:val="single" w:color="000000" w:sz="4" w:space="0"/>
              <w:bottom w:val="single" w:color="000000" w:sz="4" w:space="0"/>
              <w:right w:val="single" w:color="000000" w:sz="4" w:space="0"/>
            </w:tcBorders>
            <w:vAlign w:val="center"/>
          </w:tcPr>
          <w:p w14:paraId="394C4DE0">
            <w:pPr>
              <w:keepNext w:val="0"/>
              <w:keepLines w:val="0"/>
              <w:pageBreakBefore w:val="0"/>
              <w:widowControl/>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color w:val="auto"/>
                <w:sz w:val="24"/>
                <w:szCs w:val="24"/>
                <w:highlight w:val="none"/>
                <w:lang w:val="en-US"/>
              </w:rPr>
            </w:pPr>
            <w:r>
              <w:rPr>
                <w:rStyle w:val="47"/>
                <w:rFonts w:hint="eastAsia" w:ascii="宋体" w:hAnsi="宋体" w:eastAsia="宋体" w:cs="宋体"/>
                <w:color w:val="auto"/>
                <w:sz w:val="24"/>
                <w:szCs w:val="24"/>
                <w:highlight w:val="none"/>
                <w:lang w:val="en-US"/>
              </w:rPr>
              <w:t>施工总承包</w:t>
            </w:r>
          </w:p>
        </w:tc>
      </w:tr>
      <w:tr w14:paraId="4D0B70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C2E1AC0">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7</w:t>
            </w:r>
          </w:p>
        </w:tc>
        <w:tc>
          <w:tcPr>
            <w:tcW w:w="2226" w:type="dxa"/>
            <w:tcBorders>
              <w:top w:val="single" w:color="000000" w:sz="4" w:space="0"/>
              <w:left w:val="single" w:color="000000" w:sz="4" w:space="0"/>
              <w:bottom w:val="single" w:color="000000" w:sz="4" w:space="0"/>
              <w:right w:val="single" w:color="000000" w:sz="4" w:space="0"/>
            </w:tcBorders>
            <w:vAlign w:val="center"/>
          </w:tcPr>
          <w:p w14:paraId="4C20A292">
            <w:pPr>
              <w:pStyle w:val="16"/>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计价方式</w:t>
            </w:r>
          </w:p>
        </w:tc>
        <w:tc>
          <w:tcPr>
            <w:tcW w:w="6517" w:type="dxa"/>
            <w:tcBorders>
              <w:top w:val="single" w:color="000000" w:sz="4" w:space="0"/>
              <w:left w:val="single" w:color="000000" w:sz="4" w:space="0"/>
              <w:bottom w:val="single" w:color="000000" w:sz="4" w:space="0"/>
              <w:right w:val="single" w:color="000000" w:sz="4" w:space="0"/>
            </w:tcBorders>
            <w:vAlign w:val="center"/>
          </w:tcPr>
          <w:p w14:paraId="268DA1A3">
            <w:pPr>
              <w:keepNext w:val="0"/>
              <w:keepLines w:val="0"/>
              <w:pageBreakBefore w:val="0"/>
              <w:widowControl/>
              <w:kinsoku/>
              <w:wordWrap/>
              <w:overflowPunct/>
              <w:topLinePunct w:val="0"/>
              <w:autoSpaceDE/>
              <w:autoSpaceDN/>
              <w:bidi w:val="0"/>
              <w:adjustRightInd/>
              <w:snapToGrid w:val="0"/>
              <w:spacing w:line="360" w:lineRule="exact"/>
              <w:ind w:right="105" w:rightChars="50"/>
              <w:textAlignment w:val="baseline"/>
              <w:rPr>
                <w:rStyle w:val="47"/>
                <w:rFonts w:hint="eastAsia" w:ascii="宋体" w:hAnsi="宋体" w:eastAsia="宋体" w:cs="宋体"/>
                <w:bCs/>
                <w:color w:val="auto"/>
                <w:sz w:val="24"/>
                <w:szCs w:val="24"/>
                <w:highlight w:val="none"/>
                <w:u w:val="single" w:color="000000"/>
              </w:rPr>
            </w:pPr>
            <w:r>
              <w:rPr>
                <w:rStyle w:val="47"/>
                <w:rFonts w:hint="eastAsia" w:ascii="宋体" w:hAnsi="宋体" w:eastAsia="宋体" w:cs="宋体"/>
                <w:color w:val="auto"/>
                <w:sz w:val="24"/>
                <w:szCs w:val="24"/>
                <w:highlight w:val="none"/>
              </w:rPr>
              <w:t>采用</w:t>
            </w:r>
            <w:r>
              <w:rPr>
                <w:rStyle w:val="47"/>
                <w:rFonts w:hint="eastAsia" w:ascii="宋体" w:hAnsi="宋体" w:eastAsia="宋体" w:cs="宋体"/>
                <w:color w:val="auto"/>
                <w:sz w:val="24"/>
                <w:szCs w:val="24"/>
                <w:highlight w:val="none"/>
                <w:u w:val="single" w:color="000000"/>
              </w:rPr>
              <w:t xml:space="preserve"> 全费用综合单价 </w:t>
            </w:r>
            <w:r>
              <w:rPr>
                <w:rStyle w:val="47"/>
                <w:rFonts w:hint="eastAsia" w:ascii="宋体" w:hAnsi="宋体" w:eastAsia="宋体" w:cs="宋体"/>
                <w:color w:val="auto"/>
                <w:sz w:val="24"/>
                <w:szCs w:val="24"/>
                <w:highlight w:val="none"/>
                <w:lang w:val="en-US"/>
              </w:rPr>
              <w:t>计价</w:t>
            </w:r>
            <w:r>
              <w:rPr>
                <w:rStyle w:val="47"/>
                <w:rFonts w:hint="eastAsia" w:ascii="宋体" w:hAnsi="宋体" w:eastAsia="宋体" w:cs="宋体"/>
                <w:color w:val="auto"/>
                <w:sz w:val="24"/>
                <w:szCs w:val="24"/>
                <w:highlight w:val="none"/>
              </w:rPr>
              <w:t>法</w:t>
            </w:r>
          </w:p>
        </w:tc>
      </w:tr>
      <w:tr w14:paraId="3C1053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53BDF7C">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8</w:t>
            </w:r>
          </w:p>
        </w:tc>
        <w:tc>
          <w:tcPr>
            <w:tcW w:w="2226" w:type="dxa"/>
            <w:tcBorders>
              <w:top w:val="single" w:color="000000" w:sz="4" w:space="0"/>
              <w:left w:val="single" w:color="000000" w:sz="4" w:space="0"/>
              <w:bottom w:val="single" w:color="000000" w:sz="4" w:space="0"/>
              <w:right w:val="single" w:color="000000" w:sz="4" w:space="0"/>
            </w:tcBorders>
            <w:vAlign w:val="center"/>
          </w:tcPr>
          <w:p w14:paraId="26EBDE3D">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cs="宋体"/>
                <w:color w:val="auto"/>
                <w:sz w:val="24"/>
                <w:highlight w:val="none"/>
                <w:lang w:val="en-US"/>
              </w:rPr>
              <w:t>计划工</w:t>
            </w:r>
            <w:r>
              <w:rPr>
                <w:rStyle w:val="47"/>
                <w:rFonts w:hint="eastAsia" w:ascii="宋体" w:hAnsi="宋体" w:eastAsia="宋体" w:cs="宋体"/>
                <w:color w:val="auto"/>
                <w:sz w:val="24"/>
                <w:highlight w:val="none"/>
              </w:rPr>
              <w:t>期</w:t>
            </w:r>
          </w:p>
        </w:tc>
        <w:tc>
          <w:tcPr>
            <w:tcW w:w="6517" w:type="dxa"/>
            <w:tcBorders>
              <w:top w:val="single" w:color="000000" w:sz="4" w:space="0"/>
              <w:left w:val="single" w:color="000000" w:sz="4" w:space="0"/>
              <w:bottom w:val="single" w:color="000000" w:sz="4" w:space="0"/>
              <w:right w:val="single" w:color="000000" w:sz="4" w:space="0"/>
            </w:tcBorders>
            <w:vAlign w:val="center"/>
          </w:tcPr>
          <w:p w14:paraId="50B4F6AE">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baseline"/>
              <w:outlineLvl w:val="2"/>
              <w:rPr>
                <w:rStyle w:val="47"/>
                <w:rFonts w:hint="eastAsia" w:ascii="宋体" w:hAnsi="宋体" w:eastAsia="宋体" w:cs="宋体"/>
                <w:bCs/>
                <w:color w:val="auto"/>
                <w:sz w:val="24"/>
                <w:szCs w:val="24"/>
                <w:highlight w:val="none"/>
              </w:rPr>
            </w:pPr>
            <w:r>
              <w:rPr>
                <w:rStyle w:val="47"/>
                <w:rFonts w:hint="eastAsia" w:ascii="宋体" w:hAnsi="宋体" w:cs="宋体"/>
                <w:bCs/>
                <w:color w:val="auto"/>
                <w:sz w:val="24"/>
                <w:highlight w:val="none"/>
                <w:lang w:val="en-US"/>
              </w:rPr>
              <w:t>30</w:t>
            </w:r>
            <w:r>
              <w:rPr>
                <w:rStyle w:val="47"/>
                <w:rFonts w:hint="eastAsia" w:ascii="宋体" w:hAnsi="宋体" w:eastAsia="宋体" w:cs="宋体"/>
                <w:bCs/>
                <w:color w:val="auto"/>
                <w:sz w:val="24"/>
                <w:highlight w:val="none"/>
              </w:rPr>
              <w:t>日历天</w:t>
            </w:r>
            <w:r>
              <w:rPr>
                <w:rStyle w:val="47"/>
                <w:rFonts w:hint="eastAsia" w:ascii="宋体" w:hAnsi="宋体" w:eastAsia="宋体" w:cs="宋体"/>
                <w:bCs/>
                <w:color w:val="auto"/>
                <w:sz w:val="24"/>
                <w:highlight w:val="none"/>
                <w:lang w:val="en-US" w:eastAsia="zh-CN"/>
              </w:rPr>
              <w:t>（若连续降雨超过3日历天或非施工单位原因导致工期延误的，工期可给予顺延，但中标人不得因此要求调整任何工程价款）</w:t>
            </w:r>
          </w:p>
        </w:tc>
      </w:tr>
      <w:tr w14:paraId="6771A8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1549606">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9</w:t>
            </w:r>
          </w:p>
        </w:tc>
        <w:tc>
          <w:tcPr>
            <w:tcW w:w="2226" w:type="dxa"/>
            <w:tcBorders>
              <w:top w:val="single" w:color="000000" w:sz="4" w:space="0"/>
              <w:left w:val="single" w:color="000000" w:sz="4" w:space="0"/>
              <w:bottom w:val="single" w:color="000000" w:sz="4" w:space="0"/>
              <w:right w:val="single" w:color="000000" w:sz="4" w:space="0"/>
            </w:tcBorders>
            <w:vAlign w:val="center"/>
          </w:tcPr>
          <w:p w14:paraId="212C8FF1">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质量标准要求</w:t>
            </w:r>
          </w:p>
        </w:tc>
        <w:tc>
          <w:tcPr>
            <w:tcW w:w="6517" w:type="dxa"/>
            <w:tcBorders>
              <w:top w:val="single" w:color="000000" w:sz="4" w:space="0"/>
              <w:left w:val="single" w:color="000000" w:sz="4" w:space="0"/>
              <w:bottom w:val="single" w:color="000000" w:sz="4" w:space="0"/>
              <w:right w:val="single" w:color="000000" w:sz="4" w:space="0"/>
            </w:tcBorders>
            <w:vAlign w:val="center"/>
          </w:tcPr>
          <w:p w14:paraId="2BBE52B6">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合格</w:t>
            </w:r>
          </w:p>
        </w:tc>
      </w:tr>
      <w:tr w14:paraId="38BD56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0C27C03">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10</w:t>
            </w:r>
          </w:p>
        </w:tc>
        <w:tc>
          <w:tcPr>
            <w:tcW w:w="2226" w:type="dxa"/>
            <w:tcBorders>
              <w:top w:val="single" w:color="000000" w:sz="4" w:space="0"/>
              <w:left w:val="single" w:color="000000" w:sz="4" w:space="0"/>
              <w:bottom w:val="single" w:color="000000" w:sz="4" w:space="0"/>
              <w:right w:val="single" w:color="000000" w:sz="4" w:space="0"/>
            </w:tcBorders>
            <w:vAlign w:val="center"/>
          </w:tcPr>
          <w:p w14:paraId="41D052B1">
            <w:pPr>
              <w:snapToGrid w:val="0"/>
              <w:spacing w:line="500" w:lineRule="exact"/>
              <w:jc w:val="center"/>
              <w:rPr>
                <w:rStyle w:val="29"/>
                <w:rFonts w:hint="eastAsia" w:ascii="宋体" w:hAnsi="宋体" w:eastAsia="宋体" w:cs="宋体"/>
                <w:b w:val="0"/>
                <w:color w:val="auto"/>
                <w:kern w:val="0"/>
                <w:sz w:val="24"/>
                <w:highlight w:val="none"/>
              </w:rPr>
            </w:pPr>
            <w:r>
              <w:rPr>
                <w:rStyle w:val="29"/>
                <w:rFonts w:hint="eastAsia" w:ascii="宋体" w:hAnsi="宋体" w:eastAsia="宋体" w:cs="宋体"/>
                <w:b w:val="0"/>
                <w:color w:val="auto"/>
                <w:kern w:val="0"/>
                <w:sz w:val="24"/>
                <w:highlight w:val="none"/>
              </w:rPr>
              <w:t>暂列金额</w:t>
            </w:r>
          </w:p>
        </w:tc>
        <w:tc>
          <w:tcPr>
            <w:tcW w:w="6517" w:type="dxa"/>
            <w:tcBorders>
              <w:top w:val="single" w:color="000000" w:sz="4" w:space="0"/>
              <w:left w:val="single" w:color="000000" w:sz="4" w:space="0"/>
              <w:bottom w:val="single" w:color="000000" w:sz="4" w:space="0"/>
              <w:right w:val="single" w:color="000000" w:sz="4" w:space="0"/>
            </w:tcBorders>
            <w:vAlign w:val="center"/>
          </w:tcPr>
          <w:p w14:paraId="5CDF779C">
            <w:pPr>
              <w:pStyle w:val="81"/>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jc w:val="both"/>
              <w:textAlignment w:val="baseline"/>
              <w:rPr>
                <w:rStyle w:val="47"/>
                <w:rFonts w:hint="eastAsia" w:ascii="宋体" w:hAnsi="宋体" w:eastAsia="宋体" w:cs="宋体"/>
                <w:b w:val="0"/>
                <w:bCs w:val="0"/>
                <w:color w:val="auto"/>
                <w:sz w:val="24"/>
                <w:szCs w:val="24"/>
                <w:highlight w:val="none"/>
              </w:rPr>
            </w:pPr>
            <w:r>
              <w:rPr>
                <w:rStyle w:val="47"/>
                <w:rFonts w:hint="eastAsia" w:ascii="宋体" w:hAnsi="宋体" w:eastAsia="宋体" w:cs="宋体"/>
                <w:b w:val="0"/>
                <w:bCs w:val="0"/>
                <w:color w:val="auto"/>
                <w:sz w:val="24"/>
                <w:szCs w:val="24"/>
                <w:highlight w:val="none"/>
              </w:rPr>
              <w:t>本工程</w:t>
            </w:r>
            <w:r>
              <w:rPr>
                <w:rStyle w:val="47"/>
                <w:rFonts w:hint="eastAsia" w:ascii="宋体" w:hAnsi="宋体" w:cs="宋体"/>
                <w:b w:val="0"/>
                <w:bCs w:val="0"/>
                <w:color w:val="auto"/>
                <w:sz w:val="24"/>
                <w:szCs w:val="24"/>
                <w:highlight w:val="none"/>
              </w:rPr>
              <w:t>暂列金额为2万元</w:t>
            </w:r>
            <w:r>
              <w:rPr>
                <w:rStyle w:val="47"/>
                <w:rFonts w:hint="eastAsia" w:ascii="宋体" w:hAnsi="宋体" w:eastAsia="宋体" w:cs="宋体"/>
                <w:b w:val="0"/>
                <w:bCs w:val="0"/>
                <w:color w:val="auto"/>
                <w:sz w:val="24"/>
                <w:szCs w:val="24"/>
                <w:highlight w:val="none"/>
              </w:rPr>
              <w:t>，详见清单最高投标限价，投标人必须将该费用列入投标报价中，不计取税金。</w:t>
            </w:r>
          </w:p>
        </w:tc>
      </w:tr>
      <w:tr w14:paraId="3AE696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2052A04">
            <w:pPr>
              <w:pStyle w:val="482"/>
              <w:snapToGrid w:val="0"/>
              <w:spacing w:before="0" w:after="0" w:line="500" w:lineRule="exact"/>
              <w:jc w:val="center"/>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11</w:t>
            </w:r>
          </w:p>
        </w:tc>
        <w:tc>
          <w:tcPr>
            <w:tcW w:w="2226" w:type="dxa"/>
            <w:tcBorders>
              <w:top w:val="single" w:color="000000" w:sz="4" w:space="0"/>
              <w:left w:val="single" w:color="000000" w:sz="4" w:space="0"/>
              <w:bottom w:val="single" w:color="000000" w:sz="4" w:space="0"/>
              <w:right w:val="single" w:color="000000" w:sz="4" w:space="0"/>
            </w:tcBorders>
            <w:vAlign w:val="center"/>
          </w:tcPr>
          <w:p w14:paraId="70220495">
            <w:pPr>
              <w:pStyle w:val="482"/>
              <w:snapToGrid w:val="0"/>
              <w:spacing w:before="0" w:after="0" w:line="500" w:lineRule="exact"/>
              <w:jc w:val="center"/>
              <w:rPr>
                <w:rStyle w:val="29"/>
                <w:rFonts w:hint="eastAsia" w:ascii="宋体" w:hAnsi="宋体" w:eastAsia="宋体" w:cs="宋体"/>
                <w:b w:val="0"/>
                <w:color w:val="auto"/>
                <w:szCs w:val="24"/>
                <w:highlight w:val="none"/>
              </w:rPr>
            </w:pPr>
            <w:r>
              <w:rPr>
                <w:rStyle w:val="29"/>
                <w:rFonts w:hint="eastAsia" w:ascii="宋体" w:hAnsi="宋体" w:eastAsia="宋体" w:cs="宋体"/>
                <w:b w:val="0"/>
                <w:color w:val="auto"/>
                <w:szCs w:val="24"/>
                <w:highlight w:val="none"/>
              </w:rPr>
              <w:t>评标定标办法</w:t>
            </w:r>
          </w:p>
        </w:tc>
        <w:tc>
          <w:tcPr>
            <w:tcW w:w="6517" w:type="dxa"/>
            <w:tcBorders>
              <w:top w:val="single" w:color="000000" w:sz="4" w:space="0"/>
              <w:left w:val="single" w:color="000000" w:sz="4" w:space="0"/>
              <w:bottom w:val="single" w:color="000000" w:sz="4" w:space="0"/>
              <w:right w:val="single" w:color="000000" w:sz="4" w:space="0"/>
            </w:tcBorders>
            <w:vAlign w:val="center"/>
          </w:tcPr>
          <w:p w14:paraId="50133FB9">
            <w:pPr>
              <w:pStyle w:val="482"/>
              <w:keepNext w:val="0"/>
              <w:keepLines w:val="0"/>
              <w:pageBreakBefore w:val="0"/>
              <w:widowControl/>
              <w:kinsoku/>
              <w:wordWrap/>
              <w:overflowPunct/>
              <w:topLinePunct w:val="0"/>
              <w:autoSpaceDE/>
              <w:autoSpaceDN/>
              <w:bidi w:val="0"/>
              <w:adjustRightInd/>
              <w:snapToGrid w:val="0"/>
              <w:spacing w:before="0" w:after="0" w:line="360" w:lineRule="exact"/>
              <w:ind w:left="105" w:leftChars="50" w:right="105" w:rightChars="50"/>
              <w:jc w:val="both"/>
              <w:textAlignment w:val="baseline"/>
              <w:rPr>
                <w:rStyle w:val="47"/>
                <w:rFonts w:hint="eastAsia" w:ascii="宋体" w:hAnsi="宋体" w:eastAsia="宋体" w:cs="宋体"/>
                <w:b w:val="0"/>
                <w:bCs w:val="0"/>
                <w:color w:val="auto"/>
                <w:sz w:val="24"/>
                <w:szCs w:val="24"/>
                <w:highlight w:val="none"/>
                <w:lang w:val="en-US"/>
              </w:rPr>
            </w:pPr>
            <w:r>
              <w:rPr>
                <w:rStyle w:val="47"/>
                <w:rFonts w:hint="eastAsia" w:ascii="宋体" w:hAnsi="宋体" w:eastAsia="宋体" w:cs="宋体"/>
                <w:b w:val="0"/>
                <w:bCs w:val="0"/>
                <w:color w:val="auto"/>
                <w:sz w:val="24"/>
                <w:szCs w:val="24"/>
                <w:highlight w:val="none"/>
                <w:lang w:val="en-US"/>
              </w:rPr>
              <w:t>综合评分法</w:t>
            </w:r>
          </w:p>
        </w:tc>
      </w:tr>
      <w:tr w14:paraId="31B63C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501FE3F">
            <w:pPr>
              <w:pStyle w:val="482"/>
              <w:snapToGrid w:val="0"/>
              <w:spacing w:before="0" w:after="0"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12</w:t>
            </w:r>
          </w:p>
        </w:tc>
        <w:tc>
          <w:tcPr>
            <w:tcW w:w="2226" w:type="dxa"/>
            <w:tcBorders>
              <w:top w:val="single" w:color="000000" w:sz="4" w:space="0"/>
              <w:left w:val="single" w:color="000000" w:sz="4" w:space="0"/>
              <w:bottom w:val="single" w:color="000000" w:sz="4" w:space="0"/>
              <w:right w:val="single" w:color="000000" w:sz="4" w:space="0"/>
            </w:tcBorders>
            <w:vAlign w:val="center"/>
          </w:tcPr>
          <w:p w14:paraId="4271603B">
            <w:pPr>
              <w:pStyle w:val="482"/>
              <w:snapToGrid w:val="0"/>
              <w:spacing w:before="0" w:after="0" w:line="500" w:lineRule="exact"/>
              <w:jc w:val="center"/>
              <w:rPr>
                <w:rStyle w:val="29"/>
                <w:rFonts w:hint="eastAsia" w:ascii="宋体" w:hAnsi="宋体" w:eastAsia="宋体" w:cs="宋体"/>
                <w:b w:val="0"/>
                <w:color w:val="auto"/>
                <w:szCs w:val="24"/>
                <w:highlight w:val="none"/>
              </w:rPr>
            </w:pPr>
            <w:r>
              <w:rPr>
                <w:rStyle w:val="29"/>
                <w:rFonts w:hint="eastAsia" w:ascii="宋体" w:hAnsi="宋体" w:eastAsia="宋体" w:cs="宋体"/>
                <w:b w:val="0"/>
                <w:color w:val="auto"/>
                <w:szCs w:val="24"/>
                <w:highlight w:val="none"/>
              </w:rPr>
              <w:t>资格审查方式</w:t>
            </w:r>
          </w:p>
        </w:tc>
        <w:tc>
          <w:tcPr>
            <w:tcW w:w="6517" w:type="dxa"/>
            <w:tcBorders>
              <w:top w:val="single" w:color="000000" w:sz="4" w:space="0"/>
              <w:left w:val="single" w:color="000000" w:sz="4" w:space="0"/>
              <w:bottom w:val="single" w:color="000000" w:sz="4" w:space="0"/>
              <w:right w:val="single" w:color="000000" w:sz="4" w:space="0"/>
            </w:tcBorders>
            <w:vAlign w:val="center"/>
          </w:tcPr>
          <w:p w14:paraId="47E043AF">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b w:val="0"/>
                <w:bCs w:val="0"/>
                <w:color w:val="auto"/>
                <w:sz w:val="24"/>
                <w:szCs w:val="24"/>
                <w:highlight w:val="none"/>
              </w:rPr>
            </w:pPr>
            <w:r>
              <w:rPr>
                <w:rStyle w:val="47"/>
                <w:rFonts w:hint="eastAsia" w:ascii="宋体" w:hAnsi="宋体" w:eastAsia="宋体" w:cs="宋体"/>
                <w:b w:val="0"/>
                <w:bCs w:val="0"/>
                <w:color w:val="auto"/>
                <w:sz w:val="24"/>
                <w:szCs w:val="24"/>
                <w:highlight w:val="none"/>
              </w:rPr>
              <w:t>资格后审</w:t>
            </w:r>
          </w:p>
        </w:tc>
      </w:tr>
      <w:tr w14:paraId="3AB93D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8003F4A">
            <w:pPr>
              <w:pStyle w:val="482"/>
              <w:snapToGrid w:val="0"/>
              <w:spacing w:before="0" w:after="0"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13</w:t>
            </w:r>
          </w:p>
        </w:tc>
        <w:tc>
          <w:tcPr>
            <w:tcW w:w="2226" w:type="dxa"/>
            <w:tcBorders>
              <w:top w:val="single" w:color="000000" w:sz="4" w:space="0"/>
              <w:left w:val="single" w:color="000000" w:sz="4" w:space="0"/>
              <w:bottom w:val="single" w:color="000000" w:sz="4" w:space="0"/>
              <w:right w:val="single" w:color="000000" w:sz="4" w:space="0"/>
            </w:tcBorders>
            <w:vAlign w:val="center"/>
          </w:tcPr>
          <w:p w14:paraId="4EBB6366">
            <w:pPr>
              <w:pStyle w:val="482"/>
              <w:snapToGrid w:val="0"/>
              <w:spacing w:before="0" w:after="0" w:line="500" w:lineRule="exact"/>
              <w:jc w:val="center"/>
              <w:rPr>
                <w:rStyle w:val="29"/>
                <w:rFonts w:hint="eastAsia" w:ascii="宋体" w:hAnsi="宋体" w:eastAsia="宋体" w:cs="宋体"/>
                <w:b w:val="0"/>
                <w:color w:val="auto"/>
                <w:szCs w:val="24"/>
                <w:highlight w:val="none"/>
              </w:rPr>
            </w:pPr>
            <w:r>
              <w:rPr>
                <w:rStyle w:val="29"/>
                <w:rFonts w:hint="eastAsia" w:ascii="宋体" w:hAnsi="宋体" w:eastAsia="宋体" w:cs="宋体"/>
                <w:b w:val="0"/>
                <w:color w:val="auto"/>
                <w:szCs w:val="24"/>
                <w:highlight w:val="none"/>
              </w:rPr>
              <w:t>投标人资质等级要求</w:t>
            </w:r>
          </w:p>
        </w:tc>
        <w:tc>
          <w:tcPr>
            <w:tcW w:w="6517" w:type="dxa"/>
            <w:tcBorders>
              <w:top w:val="single" w:color="000000" w:sz="4" w:space="0"/>
              <w:left w:val="single" w:color="000000" w:sz="4" w:space="0"/>
              <w:bottom w:val="single" w:color="000000" w:sz="4" w:space="0"/>
              <w:right w:val="single" w:color="000000" w:sz="4" w:space="0"/>
            </w:tcBorders>
            <w:vAlign w:val="center"/>
          </w:tcPr>
          <w:p w14:paraId="0963AFFA">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b/>
                <w:bCs/>
                <w:color w:val="auto"/>
                <w:sz w:val="24"/>
                <w:szCs w:val="24"/>
                <w:highlight w:val="none"/>
              </w:rPr>
            </w:pPr>
            <w:r>
              <w:rPr>
                <w:rStyle w:val="47"/>
                <w:rFonts w:hint="eastAsia" w:ascii="宋体" w:hAnsi="宋体" w:eastAsia="宋体" w:cs="宋体"/>
                <w:b w:val="0"/>
                <w:bCs w:val="0"/>
                <w:color w:val="auto"/>
                <w:sz w:val="24"/>
                <w:szCs w:val="24"/>
                <w:highlight w:val="none"/>
              </w:rPr>
              <w:t>见招标公告</w:t>
            </w:r>
          </w:p>
        </w:tc>
      </w:tr>
      <w:tr w14:paraId="22966A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14D11A6F">
            <w:pPr>
              <w:pStyle w:val="482"/>
              <w:snapToGrid w:val="0"/>
              <w:spacing w:before="0" w:after="0"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14</w:t>
            </w:r>
          </w:p>
        </w:tc>
        <w:tc>
          <w:tcPr>
            <w:tcW w:w="2226" w:type="dxa"/>
            <w:tcBorders>
              <w:top w:val="single" w:color="000000" w:sz="4" w:space="0"/>
              <w:left w:val="single" w:color="000000" w:sz="4" w:space="0"/>
              <w:bottom w:val="single" w:color="000000" w:sz="4" w:space="0"/>
              <w:right w:val="single" w:color="000000" w:sz="4" w:space="0"/>
            </w:tcBorders>
            <w:vAlign w:val="center"/>
          </w:tcPr>
          <w:p w14:paraId="3D00C78A">
            <w:pPr>
              <w:snapToGrid w:val="0"/>
              <w:spacing w:line="500" w:lineRule="exact"/>
              <w:jc w:val="center"/>
              <w:rPr>
                <w:rStyle w:val="29"/>
                <w:rFonts w:hint="eastAsia" w:ascii="宋体" w:hAnsi="宋体" w:eastAsia="宋体" w:cs="宋体"/>
                <w:b w:val="0"/>
                <w:color w:val="auto"/>
                <w:kern w:val="0"/>
                <w:sz w:val="24"/>
                <w:highlight w:val="none"/>
              </w:rPr>
            </w:pPr>
            <w:r>
              <w:rPr>
                <w:rStyle w:val="29"/>
                <w:rFonts w:hint="eastAsia" w:ascii="宋体" w:hAnsi="宋体" w:eastAsia="宋体" w:cs="宋体"/>
                <w:b w:val="0"/>
                <w:color w:val="auto"/>
                <w:kern w:val="0"/>
                <w:sz w:val="24"/>
                <w:highlight w:val="none"/>
              </w:rPr>
              <w:t>投标人项目经理要求</w:t>
            </w:r>
          </w:p>
        </w:tc>
        <w:tc>
          <w:tcPr>
            <w:tcW w:w="6517" w:type="dxa"/>
            <w:tcBorders>
              <w:top w:val="single" w:color="000000" w:sz="4" w:space="0"/>
              <w:left w:val="single" w:color="000000" w:sz="4" w:space="0"/>
              <w:bottom w:val="single" w:color="000000" w:sz="4" w:space="0"/>
              <w:right w:val="single" w:color="000000" w:sz="4" w:space="0"/>
            </w:tcBorders>
            <w:vAlign w:val="center"/>
          </w:tcPr>
          <w:p w14:paraId="3207DFA4">
            <w:pPr>
              <w:pStyle w:val="482"/>
              <w:keepNext w:val="0"/>
              <w:keepLines w:val="0"/>
              <w:pageBreakBefore w:val="0"/>
              <w:widowControl/>
              <w:kinsoku/>
              <w:wordWrap/>
              <w:overflowPunct/>
              <w:topLinePunct w:val="0"/>
              <w:autoSpaceDE/>
              <w:autoSpaceDN/>
              <w:bidi w:val="0"/>
              <w:adjustRightInd/>
              <w:snapToGrid w:val="0"/>
              <w:spacing w:before="0" w:after="0" w:line="360" w:lineRule="exact"/>
              <w:ind w:left="105" w:leftChars="50" w:right="105" w:rightChars="50"/>
              <w:jc w:val="both"/>
              <w:textAlignment w:val="baseline"/>
              <w:rPr>
                <w:rStyle w:val="47"/>
                <w:rFonts w:hint="eastAsia" w:ascii="宋体" w:hAnsi="宋体" w:eastAsia="宋体" w:cs="宋体"/>
                <w:b/>
                <w:bCs/>
                <w:color w:val="auto"/>
                <w:sz w:val="24"/>
                <w:szCs w:val="24"/>
                <w:highlight w:val="none"/>
              </w:rPr>
            </w:pPr>
            <w:r>
              <w:rPr>
                <w:rStyle w:val="47"/>
                <w:rFonts w:hint="eastAsia" w:ascii="宋体" w:hAnsi="宋体" w:eastAsia="宋体" w:cs="宋体"/>
                <w:b w:val="0"/>
                <w:bCs w:val="0"/>
                <w:color w:val="auto"/>
                <w:sz w:val="24"/>
                <w:szCs w:val="24"/>
                <w:highlight w:val="none"/>
              </w:rPr>
              <w:t>见招标公告。项目经理不得同时担任两个及以上建设工程施工项目负责人，以下情形除外：①符合《注册建造师执业管理办法（试行）》第九条规定的情形；②虽在其他项目上担任项目经理岗位，但承诺在本项目中标后合同签订前能够从其他项目变更至本项目并全面履约。</w:t>
            </w:r>
          </w:p>
        </w:tc>
      </w:tr>
      <w:tr w14:paraId="58375A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58701B5">
            <w:pPr>
              <w:snapToGrid w:val="0"/>
              <w:spacing w:line="500" w:lineRule="exact"/>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15</w:t>
            </w:r>
          </w:p>
        </w:tc>
        <w:tc>
          <w:tcPr>
            <w:tcW w:w="2226" w:type="dxa"/>
            <w:tcBorders>
              <w:top w:val="single" w:color="000000" w:sz="4" w:space="0"/>
              <w:left w:val="single" w:color="000000" w:sz="4" w:space="0"/>
              <w:bottom w:val="single" w:color="000000" w:sz="4" w:space="0"/>
              <w:right w:val="single" w:color="000000" w:sz="4" w:space="0"/>
            </w:tcBorders>
            <w:vAlign w:val="center"/>
          </w:tcPr>
          <w:p w14:paraId="35D14E23">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投标替代方案</w:t>
            </w:r>
          </w:p>
        </w:tc>
        <w:tc>
          <w:tcPr>
            <w:tcW w:w="6517" w:type="dxa"/>
            <w:tcBorders>
              <w:top w:val="single" w:color="000000" w:sz="4" w:space="0"/>
              <w:left w:val="single" w:color="000000" w:sz="4" w:space="0"/>
              <w:bottom w:val="single" w:color="000000" w:sz="4" w:space="0"/>
              <w:right w:val="single" w:color="000000" w:sz="4" w:space="0"/>
            </w:tcBorders>
            <w:vAlign w:val="center"/>
          </w:tcPr>
          <w:p w14:paraId="25707BBD">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29"/>
                <w:rFonts w:hint="eastAsia" w:ascii="宋体" w:hAnsi="宋体" w:eastAsia="宋体" w:cs="宋体"/>
                <w:b w:val="0"/>
                <w:color w:val="auto"/>
                <w:kern w:val="0"/>
                <w:sz w:val="24"/>
                <w:szCs w:val="24"/>
                <w:highlight w:val="none"/>
              </w:rPr>
              <w:t>无</w:t>
            </w:r>
          </w:p>
        </w:tc>
      </w:tr>
      <w:tr w14:paraId="0F38A0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3489C0C">
            <w:pPr>
              <w:snapToGrid w:val="0"/>
              <w:spacing w:line="360" w:lineRule="auto"/>
              <w:jc w:val="cente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16</w:t>
            </w:r>
          </w:p>
        </w:tc>
        <w:tc>
          <w:tcPr>
            <w:tcW w:w="2226" w:type="dxa"/>
            <w:tcBorders>
              <w:top w:val="single" w:color="000000" w:sz="4" w:space="0"/>
              <w:left w:val="single" w:color="000000" w:sz="4" w:space="0"/>
              <w:bottom w:val="single" w:color="000000" w:sz="4" w:space="0"/>
              <w:right w:val="single" w:color="000000" w:sz="4" w:space="0"/>
            </w:tcBorders>
            <w:vAlign w:val="center"/>
          </w:tcPr>
          <w:p w14:paraId="3AA93FF7">
            <w:pPr>
              <w:snapToGrid w:val="0"/>
              <w:spacing w:line="360" w:lineRule="auto"/>
              <w:jc w:val="center"/>
              <w:rPr>
                <w:rStyle w:val="47"/>
                <w:rFonts w:hint="eastAsia" w:ascii="宋体" w:hAnsi="宋体" w:eastAsia="宋体" w:cs="宋体"/>
                <w:color w:val="auto"/>
                <w:sz w:val="24"/>
                <w:highlight w:val="none"/>
              </w:rPr>
            </w:pPr>
            <w:r>
              <w:rPr>
                <w:rStyle w:val="29"/>
                <w:rFonts w:hint="eastAsia" w:ascii="宋体" w:hAnsi="宋体" w:eastAsia="宋体" w:cs="宋体"/>
                <w:b w:val="0"/>
                <w:color w:val="auto"/>
                <w:kern w:val="0"/>
                <w:sz w:val="24"/>
                <w:highlight w:val="none"/>
              </w:rPr>
              <w:t>投标文件</w:t>
            </w:r>
          </w:p>
        </w:tc>
        <w:tc>
          <w:tcPr>
            <w:tcW w:w="6517" w:type="dxa"/>
            <w:tcBorders>
              <w:top w:val="single" w:color="000000" w:sz="4" w:space="0"/>
              <w:left w:val="single" w:color="000000" w:sz="4" w:space="0"/>
              <w:bottom w:val="single" w:color="000000" w:sz="4" w:space="0"/>
              <w:right w:val="single" w:color="000000" w:sz="4" w:space="0"/>
            </w:tcBorders>
            <w:vAlign w:val="center"/>
          </w:tcPr>
          <w:p w14:paraId="4CB5B1A6">
            <w:pPr>
              <w:keepNext w:val="0"/>
              <w:keepLines w:val="0"/>
              <w:pageBreakBefore w:val="0"/>
              <w:widowControl/>
              <w:kinsoku/>
              <w:wordWrap/>
              <w:overflowPunct/>
              <w:topLinePunct w:val="0"/>
              <w:autoSpaceDE/>
              <w:autoSpaceDN/>
              <w:bidi w:val="0"/>
              <w:adjustRightInd/>
              <w:snapToGrid w:val="0"/>
              <w:spacing w:before="48" w:after="48" w:line="360" w:lineRule="exact"/>
              <w:ind w:left="105" w:leftChars="50" w:right="105" w:rightChars="50"/>
              <w:textAlignment w:val="baseline"/>
              <w:rPr>
                <w:rStyle w:val="29"/>
                <w:rFonts w:hint="eastAsia" w:ascii="宋体" w:hAnsi="宋体" w:eastAsia="宋体" w:cs="宋体"/>
                <w:b w:val="0"/>
                <w:color w:val="auto"/>
                <w:kern w:val="0"/>
                <w:sz w:val="24"/>
                <w:szCs w:val="24"/>
                <w:highlight w:val="none"/>
              </w:rPr>
            </w:pPr>
            <w:r>
              <w:rPr>
                <w:rStyle w:val="47"/>
                <w:rFonts w:hint="eastAsia" w:ascii="宋体" w:hAnsi="宋体" w:eastAsia="宋体" w:cs="宋体"/>
                <w:color w:val="auto"/>
                <w:sz w:val="24"/>
                <w:szCs w:val="24"/>
                <w:highlight w:val="none"/>
              </w:rPr>
              <w:t>正本1份</w:t>
            </w:r>
            <w:r>
              <w:rPr>
                <w:rStyle w:val="47"/>
                <w:rFonts w:hint="eastAsia" w:ascii="宋体" w:hAnsi="宋体" w:cs="宋体"/>
                <w:color w:val="auto"/>
                <w:sz w:val="24"/>
                <w:szCs w:val="24"/>
                <w:highlight w:val="none"/>
              </w:rPr>
              <w:t>，</w:t>
            </w:r>
            <w:r>
              <w:rPr>
                <w:rStyle w:val="47"/>
                <w:rFonts w:hint="eastAsia" w:ascii="宋体" w:hAnsi="宋体" w:cs="宋体"/>
                <w:color w:val="auto"/>
                <w:sz w:val="24"/>
                <w:szCs w:val="24"/>
                <w:highlight w:val="none"/>
                <w:lang w:val="en-US"/>
              </w:rPr>
              <w:t>副本2份，</w:t>
            </w:r>
            <w:r>
              <w:rPr>
                <w:rStyle w:val="47"/>
                <w:rFonts w:hint="eastAsia" w:ascii="宋体" w:hAnsi="宋体" w:eastAsia="宋体" w:cs="宋体"/>
                <w:color w:val="auto"/>
                <w:sz w:val="24"/>
                <w:szCs w:val="24"/>
                <w:highlight w:val="none"/>
                <w:lang w:val="en-US"/>
              </w:rPr>
              <w:t>电子投标文件（U盘）1份装订在正本内</w:t>
            </w:r>
            <w:r>
              <w:rPr>
                <w:rStyle w:val="47"/>
                <w:rFonts w:hint="eastAsia" w:ascii="宋体" w:hAnsi="宋体" w:eastAsia="宋体" w:cs="宋体"/>
                <w:color w:val="auto"/>
                <w:sz w:val="24"/>
                <w:szCs w:val="24"/>
                <w:highlight w:val="none"/>
              </w:rPr>
              <w:t>。</w:t>
            </w:r>
          </w:p>
        </w:tc>
      </w:tr>
      <w:tr w14:paraId="31DB61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E2D69F4">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szCs w:val="24"/>
                <w:highlight w:val="none"/>
              </w:rPr>
              <w:t>17</w:t>
            </w:r>
          </w:p>
        </w:tc>
        <w:tc>
          <w:tcPr>
            <w:tcW w:w="2226" w:type="dxa"/>
            <w:tcBorders>
              <w:top w:val="single" w:color="000000" w:sz="4" w:space="0"/>
              <w:left w:val="single" w:color="000000" w:sz="4" w:space="0"/>
              <w:bottom w:val="single" w:color="000000" w:sz="4" w:space="0"/>
              <w:right w:val="single" w:color="000000" w:sz="4" w:space="0"/>
            </w:tcBorders>
            <w:vAlign w:val="center"/>
          </w:tcPr>
          <w:p w14:paraId="6B75C0A2">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Fonts w:hint="eastAsia" w:ascii="宋体" w:hAnsi="宋体" w:eastAsia="宋体" w:cs="宋体"/>
                <w:b w:val="0"/>
                <w:bCs/>
                <w:color w:val="auto"/>
                <w:sz w:val="24"/>
                <w:szCs w:val="24"/>
                <w:highlight w:val="none"/>
                <w:lang w:val="en-US" w:eastAsia="zh-CN" w:bidi="ar-SA"/>
              </w:rPr>
            </w:pPr>
            <w:r>
              <w:rPr>
                <w:rStyle w:val="29"/>
                <w:rFonts w:hint="eastAsia" w:ascii="宋体" w:hAnsi="宋体" w:eastAsia="宋体" w:cs="宋体"/>
                <w:b w:val="0"/>
                <w:color w:val="auto"/>
                <w:szCs w:val="24"/>
                <w:highlight w:val="none"/>
              </w:rPr>
              <w:t>投标有效期</w:t>
            </w:r>
          </w:p>
        </w:tc>
        <w:tc>
          <w:tcPr>
            <w:tcW w:w="6517" w:type="dxa"/>
            <w:tcBorders>
              <w:top w:val="single" w:color="000000" w:sz="4" w:space="0"/>
              <w:left w:val="single" w:color="000000" w:sz="4" w:space="0"/>
              <w:bottom w:val="single" w:color="000000" w:sz="4" w:space="0"/>
              <w:right w:val="single" w:color="000000" w:sz="4" w:space="0"/>
            </w:tcBorders>
            <w:vAlign w:val="center"/>
          </w:tcPr>
          <w:p w14:paraId="55240C4F">
            <w:pPr>
              <w:pStyle w:val="482"/>
              <w:keepNext w:val="0"/>
              <w:keepLines w:val="0"/>
              <w:pageBreakBefore w:val="0"/>
              <w:widowControl/>
              <w:kinsoku/>
              <w:wordWrap/>
              <w:overflowPunct/>
              <w:topLinePunct w:val="0"/>
              <w:autoSpaceDE/>
              <w:autoSpaceDN/>
              <w:bidi w:val="0"/>
              <w:adjustRightInd/>
              <w:snapToGrid w:val="0"/>
              <w:spacing w:before="0" w:after="0" w:line="360" w:lineRule="exact"/>
              <w:ind w:left="2675" w:leftChars="50" w:right="105" w:rightChars="50" w:hanging="2570" w:hangingChars="1071"/>
              <w:jc w:val="both"/>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szCs w:val="24"/>
                <w:highlight w:val="none"/>
              </w:rPr>
              <w:t>投标文件提交截止时间后：90天内有效</w:t>
            </w:r>
          </w:p>
        </w:tc>
      </w:tr>
    </w:tbl>
    <w:p w14:paraId="17D0D06A">
      <w:pPr>
        <w:pStyle w:val="40"/>
        <w:tabs>
          <w:tab w:val="left" w:pos="720"/>
        </w:tabs>
        <w:snapToGrid w:val="0"/>
        <w:spacing w:before="120" w:after="120" w:line="360" w:lineRule="auto"/>
        <w:jc w:val="center"/>
        <w:rPr>
          <w:rStyle w:val="47"/>
          <w:rFonts w:hint="eastAsia" w:ascii="宋体" w:hAnsi="宋体" w:eastAsia="宋体" w:cs="宋体"/>
          <w:color w:val="auto"/>
          <w:sz w:val="28"/>
          <w:szCs w:val="36"/>
          <w:highlight w:val="none"/>
        </w:rPr>
      </w:pPr>
    </w:p>
    <w:p w14:paraId="55E41905">
      <w:pPr>
        <w:pStyle w:val="40"/>
        <w:tabs>
          <w:tab w:val="left" w:pos="720"/>
        </w:tabs>
        <w:snapToGrid w:val="0"/>
        <w:spacing w:before="120" w:after="120" w:line="360" w:lineRule="auto"/>
        <w:jc w:val="center"/>
        <w:rPr>
          <w:rStyle w:val="47"/>
          <w:rFonts w:hint="eastAsia" w:ascii="宋体" w:hAnsi="宋体" w:eastAsia="宋体" w:cs="宋体"/>
          <w:color w:val="auto"/>
          <w:sz w:val="28"/>
          <w:szCs w:val="36"/>
          <w:highlight w:val="none"/>
        </w:rPr>
      </w:pPr>
    </w:p>
    <w:p w14:paraId="21B5A857">
      <w:pPr>
        <w:pStyle w:val="40"/>
        <w:tabs>
          <w:tab w:val="left" w:pos="720"/>
        </w:tabs>
        <w:snapToGrid w:val="0"/>
        <w:spacing w:before="120" w:after="120" w:line="360" w:lineRule="auto"/>
        <w:jc w:val="center"/>
        <w:rPr>
          <w:rStyle w:val="47"/>
          <w:rFonts w:hint="eastAsia" w:ascii="宋体" w:hAnsi="宋体" w:eastAsia="宋体" w:cs="宋体"/>
          <w:color w:val="auto"/>
          <w:sz w:val="28"/>
          <w:szCs w:val="28"/>
          <w:highlight w:val="none"/>
        </w:rPr>
      </w:pPr>
      <w:r>
        <w:rPr>
          <w:rStyle w:val="47"/>
          <w:rFonts w:hint="eastAsia" w:ascii="宋体" w:hAnsi="宋体" w:eastAsia="宋体" w:cs="宋体"/>
          <w:color w:val="auto"/>
          <w:sz w:val="28"/>
          <w:szCs w:val="36"/>
          <w:highlight w:val="none"/>
        </w:rPr>
        <w:t>（二）前附表2</w:t>
      </w:r>
    </w:p>
    <w:tbl>
      <w:tblPr>
        <w:tblStyle w:val="27"/>
        <w:tblW w:w="985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47"/>
        <w:gridCol w:w="1729"/>
        <w:gridCol w:w="7379"/>
      </w:tblGrid>
      <w:tr w14:paraId="4AA1B0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148DF3CC">
            <w:pPr>
              <w:snapToGrid w:val="0"/>
              <w:spacing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序号</w:t>
            </w:r>
          </w:p>
        </w:tc>
        <w:tc>
          <w:tcPr>
            <w:tcW w:w="1729" w:type="dxa"/>
            <w:tcBorders>
              <w:top w:val="single" w:color="000000" w:sz="4" w:space="0"/>
              <w:left w:val="single" w:color="000000" w:sz="4" w:space="0"/>
              <w:bottom w:val="single" w:color="000000" w:sz="4" w:space="0"/>
              <w:right w:val="single" w:color="000000" w:sz="4" w:space="0"/>
            </w:tcBorders>
            <w:vAlign w:val="center"/>
          </w:tcPr>
          <w:p w14:paraId="512F6876">
            <w:pPr>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序列名称</w:t>
            </w:r>
          </w:p>
        </w:tc>
        <w:tc>
          <w:tcPr>
            <w:tcW w:w="7379" w:type="dxa"/>
            <w:tcBorders>
              <w:top w:val="single" w:color="000000" w:sz="4" w:space="0"/>
              <w:left w:val="single" w:color="000000" w:sz="4" w:space="0"/>
              <w:bottom w:val="single" w:color="000000" w:sz="4" w:space="0"/>
              <w:right w:val="single" w:color="000000" w:sz="4" w:space="0"/>
            </w:tcBorders>
            <w:vAlign w:val="center"/>
          </w:tcPr>
          <w:p w14:paraId="1AB0A5C0">
            <w:pPr>
              <w:tabs>
                <w:tab w:val="left" w:pos="1180"/>
              </w:tabs>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w:t>
            </w:r>
          </w:p>
        </w:tc>
      </w:tr>
      <w:tr w14:paraId="6B5DDD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290B353B">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18</w:t>
            </w:r>
          </w:p>
        </w:tc>
        <w:tc>
          <w:tcPr>
            <w:tcW w:w="1729" w:type="dxa"/>
            <w:tcBorders>
              <w:top w:val="single" w:color="000000" w:sz="4" w:space="0"/>
              <w:left w:val="single" w:color="000000" w:sz="4" w:space="0"/>
              <w:bottom w:val="single" w:color="000000" w:sz="4" w:space="0"/>
              <w:right w:val="single" w:color="000000" w:sz="4" w:space="0"/>
            </w:tcBorders>
            <w:vAlign w:val="center"/>
          </w:tcPr>
          <w:p w14:paraId="55D36CD6">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color w:val="auto"/>
                <w:szCs w:val="24"/>
                <w:highlight w:val="none"/>
              </w:rPr>
            </w:pPr>
            <w:r>
              <w:rPr>
                <w:rStyle w:val="29"/>
                <w:rFonts w:hint="eastAsia" w:ascii="宋体" w:hAnsi="宋体" w:eastAsia="宋体" w:cs="宋体"/>
                <w:b w:val="0"/>
                <w:color w:val="auto"/>
                <w:szCs w:val="24"/>
                <w:highlight w:val="none"/>
              </w:rPr>
              <w:t>投标保证金</w:t>
            </w:r>
          </w:p>
        </w:tc>
        <w:tc>
          <w:tcPr>
            <w:tcW w:w="7379" w:type="dxa"/>
            <w:tcBorders>
              <w:top w:val="single" w:color="000000" w:sz="4" w:space="0"/>
              <w:left w:val="single" w:color="000000" w:sz="4" w:space="0"/>
              <w:bottom w:val="single" w:color="000000" w:sz="4" w:space="0"/>
              <w:right w:val="single" w:color="000000" w:sz="4" w:space="0"/>
            </w:tcBorders>
            <w:vAlign w:val="center"/>
          </w:tcPr>
          <w:p w14:paraId="182A3A72">
            <w:pPr>
              <w:keepNext w:val="0"/>
              <w:keepLines w:val="0"/>
              <w:pageBreakBefore w:val="0"/>
              <w:widowControl/>
              <w:kinsoku/>
              <w:wordWrap/>
              <w:overflowPunct/>
              <w:topLinePunct w:val="0"/>
              <w:autoSpaceDE/>
              <w:autoSpaceDN/>
              <w:bidi w:val="0"/>
              <w:adjustRightInd w:val="0"/>
              <w:snapToGrid w:val="0"/>
              <w:spacing w:line="360" w:lineRule="exact"/>
              <w:textAlignment w:val="baseline"/>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本项目是否要求投标人提交</w:t>
            </w:r>
            <w:r>
              <w:rPr>
                <w:rFonts w:hint="eastAsia" w:ascii="宋体" w:hAnsi="宋体" w:eastAsia="宋体" w:cs="宋体"/>
                <w:b/>
                <w:snapToGrid w:val="0"/>
                <w:color w:val="auto"/>
                <w:sz w:val="24"/>
                <w:szCs w:val="24"/>
                <w:highlight w:val="none"/>
              </w:rPr>
              <w:t>投标保证金：</w:t>
            </w:r>
          </w:p>
          <w:p w14:paraId="676E44C3">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baseline"/>
              <w:rPr>
                <w:rStyle w:val="47"/>
                <w:rFonts w:hint="eastAsia" w:ascii="宋体" w:hAnsi="宋体" w:eastAsia="宋体" w:cs="宋体"/>
                <w:b/>
                <w:bCs/>
                <w:color w:val="auto"/>
                <w:sz w:val="24"/>
                <w:szCs w:val="24"/>
                <w:highlight w:val="none"/>
                <w:lang w:val="en-US" w:eastAsia="zh-CN"/>
              </w:rPr>
            </w:pP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lang w:val="en-US" w:eastAsia="zh-CN"/>
              </w:rPr>
              <w:t>不要求</w:t>
            </w:r>
          </w:p>
        </w:tc>
      </w:tr>
      <w:tr w14:paraId="0397C0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08C62BAB">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19</w:t>
            </w:r>
          </w:p>
        </w:tc>
        <w:tc>
          <w:tcPr>
            <w:tcW w:w="1729" w:type="dxa"/>
            <w:tcBorders>
              <w:top w:val="single" w:color="000000" w:sz="4" w:space="0"/>
              <w:left w:val="single" w:color="000000" w:sz="4" w:space="0"/>
              <w:bottom w:val="single" w:color="000000" w:sz="4" w:space="0"/>
              <w:right w:val="single" w:color="000000" w:sz="4" w:space="0"/>
            </w:tcBorders>
            <w:vAlign w:val="center"/>
          </w:tcPr>
          <w:p w14:paraId="285C8CC1">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color w:val="auto"/>
                <w:szCs w:val="24"/>
                <w:highlight w:val="none"/>
              </w:rPr>
            </w:pPr>
            <w:r>
              <w:rPr>
                <w:rStyle w:val="29"/>
                <w:rFonts w:hint="eastAsia" w:ascii="宋体" w:hAnsi="宋体" w:eastAsia="宋体" w:cs="宋体"/>
                <w:b w:val="0"/>
                <w:color w:val="auto"/>
                <w:szCs w:val="24"/>
                <w:highlight w:val="none"/>
              </w:rPr>
              <w:t>中标人履约保证金</w:t>
            </w:r>
          </w:p>
        </w:tc>
        <w:tc>
          <w:tcPr>
            <w:tcW w:w="7379" w:type="dxa"/>
            <w:tcBorders>
              <w:top w:val="single" w:color="000000" w:sz="4" w:space="0"/>
              <w:left w:val="single" w:color="000000" w:sz="4" w:space="0"/>
              <w:bottom w:val="single" w:color="000000" w:sz="4" w:space="0"/>
              <w:right w:val="single" w:color="000000" w:sz="4" w:space="0"/>
            </w:tcBorders>
            <w:vAlign w:val="center"/>
          </w:tcPr>
          <w:p w14:paraId="6D29B3F6">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中标人提供的履约保证金为合同价款（中标价）×2%（不含暂列金额）。保证金形式可以为银行转账、银行电汇、银行保函、担保机构担保、保证保险的任意一种形式。</w:t>
            </w:r>
          </w:p>
        </w:tc>
      </w:tr>
      <w:tr w14:paraId="3AA483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39706DCD">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20</w:t>
            </w:r>
          </w:p>
        </w:tc>
        <w:tc>
          <w:tcPr>
            <w:tcW w:w="1729" w:type="dxa"/>
            <w:tcBorders>
              <w:top w:val="single" w:color="000000" w:sz="4" w:space="0"/>
              <w:left w:val="single" w:color="000000" w:sz="4" w:space="0"/>
              <w:bottom w:val="single" w:color="000000" w:sz="4" w:space="0"/>
              <w:right w:val="single" w:color="000000" w:sz="4" w:space="0"/>
            </w:tcBorders>
            <w:vAlign w:val="center"/>
          </w:tcPr>
          <w:p w14:paraId="6AEDE859">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安全文明要求</w:t>
            </w:r>
          </w:p>
        </w:tc>
        <w:tc>
          <w:tcPr>
            <w:tcW w:w="7379" w:type="dxa"/>
            <w:tcBorders>
              <w:top w:val="single" w:color="000000" w:sz="4" w:space="0"/>
              <w:left w:val="single" w:color="000000" w:sz="4" w:space="0"/>
              <w:bottom w:val="single" w:color="000000" w:sz="4" w:space="0"/>
              <w:right w:val="single" w:color="000000" w:sz="4" w:space="0"/>
            </w:tcBorders>
            <w:vAlign w:val="center"/>
          </w:tcPr>
          <w:p w14:paraId="2738B22F">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必须确保安全文明施工，国家现行相关规定</w:t>
            </w:r>
          </w:p>
        </w:tc>
      </w:tr>
      <w:tr w14:paraId="66B928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32E00284">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21</w:t>
            </w:r>
          </w:p>
        </w:tc>
        <w:tc>
          <w:tcPr>
            <w:tcW w:w="1729" w:type="dxa"/>
            <w:tcBorders>
              <w:top w:val="single" w:color="000000" w:sz="4" w:space="0"/>
              <w:left w:val="single" w:color="000000" w:sz="4" w:space="0"/>
              <w:bottom w:val="single" w:color="000000" w:sz="4" w:space="0"/>
              <w:right w:val="single" w:color="000000" w:sz="4" w:space="0"/>
            </w:tcBorders>
            <w:vAlign w:val="center"/>
          </w:tcPr>
          <w:p w14:paraId="539AA548">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总包及分包规定</w:t>
            </w:r>
          </w:p>
        </w:tc>
        <w:tc>
          <w:tcPr>
            <w:tcW w:w="7379" w:type="dxa"/>
            <w:tcBorders>
              <w:top w:val="single" w:color="000000" w:sz="4" w:space="0"/>
              <w:left w:val="single" w:color="000000" w:sz="4" w:space="0"/>
              <w:bottom w:val="single" w:color="000000" w:sz="4" w:space="0"/>
              <w:right w:val="single" w:color="000000" w:sz="4" w:space="0"/>
            </w:tcBorders>
            <w:vAlign w:val="center"/>
          </w:tcPr>
          <w:p w14:paraId="5D03CCCB">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lang w:val="zh-CN"/>
              </w:rPr>
            </w:pPr>
            <w:r>
              <w:rPr>
                <w:rStyle w:val="47"/>
                <w:rFonts w:hint="eastAsia" w:ascii="宋体" w:hAnsi="宋体" w:eastAsia="宋体" w:cs="宋体"/>
                <w:color w:val="auto"/>
                <w:sz w:val="24"/>
                <w:szCs w:val="24"/>
                <w:highlight w:val="none"/>
                <w:lang w:val="zh-CN"/>
              </w:rPr>
              <w:t>投标人不得在中标后将工程转包给其它单位。</w:t>
            </w:r>
          </w:p>
          <w:p w14:paraId="567043E7">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本项目</w:t>
            </w:r>
            <w:r>
              <w:rPr>
                <w:rStyle w:val="47"/>
                <w:rFonts w:hint="eastAsia" w:ascii="宋体" w:hAnsi="宋体" w:eastAsia="宋体" w:cs="宋体"/>
                <w:color w:val="auto"/>
                <w:sz w:val="24"/>
                <w:szCs w:val="24"/>
                <w:highlight w:val="none"/>
                <w:u w:val="single" w:color="000000"/>
              </w:rPr>
              <w:t xml:space="preserve"> 主体、</w:t>
            </w:r>
            <w:r>
              <w:rPr>
                <w:rStyle w:val="47"/>
                <w:rFonts w:hint="eastAsia" w:ascii="宋体" w:hAnsi="宋体" w:eastAsia="宋体" w:cs="宋体"/>
                <w:color w:val="auto"/>
                <w:sz w:val="24"/>
                <w:szCs w:val="24"/>
                <w:highlight w:val="none"/>
                <w:u w:val="single" w:color="000000"/>
                <w:lang w:val="en-US"/>
              </w:rPr>
              <w:t>关键</w:t>
            </w:r>
            <w:r>
              <w:rPr>
                <w:rStyle w:val="47"/>
                <w:rFonts w:hint="eastAsia" w:ascii="宋体" w:hAnsi="宋体" w:eastAsia="宋体" w:cs="宋体"/>
                <w:color w:val="auto"/>
                <w:sz w:val="24"/>
                <w:szCs w:val="24"/>
                <w:highlight w:val="none"/>
                <w:u w:val="single" w:color="000000"/>
              </w:rPr>
              <w:t xml:space="preserve"> </w:t>
            </w:r>
            <w:r>
              <w:rPr>
                <w:rStyle w:val="47"/>
                <w:rFonts w:hint="eastAsia" w:ascii="宋体" w:hAnsi="宋体" w:eastAsia="宋体" w:cs="宋体"/>
                <w:color w:val="auto"/>
                <w:sz w:val="24"/>
                <w:szCs w:val="24"/>
                <w:highlight w:val="none"/>
              </w:rPr>
              <w:t>部分不得分包。</w:t>
            </w:r>
          </w:p>
          <w:p w14:paraId="29BD44DD">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非主体、非关键性工程如需分包，分包项目、内容及分包商需符合国家有关规定，并须经监理单位及招标人同意和认可。招标人依法负责对转包、分包行为的监督处理，并在处理的同时及时向工程所在地的行业主管部门报告。招标人根据现场情况有权调整项目实施内容。</w:t>
            </w:r>
          </w:p>
        </w:tc>
      </w:tr>
      <w:tr w14:paraId="53628C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734CB9F6">
            <w:pPr>
              <w:pStyle w:val="482"/>
              <w:keepNext w:val="0"/>
              <w:keepLines w:val="0"/>
              <w:pageBreakBefore w:val="0"/>
              <w:widowControl/>
              <w:kinsoku/>
              <w:wordWrap/>
              <w:overflowPunct/>
              <w:topLinePunct w:val="0"/>
              <w:autoSpaceDE/>
              <w:autoSpaceDN/>
              <w:bidi w:val="0"/>
              <w:adjustRightInd/>
              <w:snapToGrid w:val="0"/>
              <w:spacing w:before="0" w:after="0" w:line="400" w:lineRule="exact"/>
              <w:jc w:val="center"/>
              <w:textAlignment w:val="baseline"/>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22</w:t>
            </w:r>
          </w:p>
        </w:tc>
        <w:tc>
          <w:tcPr>
            <w:tcW w:w="1729" w:type="dxa"/>
            <w:tcBorders>
              <w:top w:val="single" w:color="000000" w:sz="4" w:space="0"/>
              <w:left w:val="single" w:color="000000" w:sz="4" w:space="0"/>
              <w:bottom w:val="single" w:color="000000" w:sz="4" w:space="0"/>
              <w:right w:val="single" w:color="000000" w:sz="4" w:space="0"/>
            </w:tcBorders>
            <w:vAlign w:val="center"/>
          </w:tcPr>
          <w:p w14:paraId="455B0B04">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主要材料要求</w:t>
            </w:r>
          </w:p>
        </w:tc>
        <w:tc>
          <w:tcPr>
            <w:tcW w:w="7379" w:type="dxa"/>
            <w:tcBorders>
              <w:top w:val="single" w:color="000000" w:sz="4" w:space="0"/>
              <w:left w:val="single" w:color="000000" w:sz="4" w:space="0"/>
              <w:bottom w:val="single" w:color="000000" w:sz="4" w:space="0"/>
              <w:right w:val="single" w:color="000000" w:sz="4" w:space="0"/>
            </w:tcBorders>
            <w:vAlign w:val="center"/>
          </w:tcPr>
          <w:p w14:paraId="74618233">
            <w:pPr>
              <w:keepNext w:val="0"/>
              <w:keepLines w:val="0"/>
              <w:pageBreakBefore w:val="0"/>
              <w:widowControl/>
              <w:kinsoku/>
              <w:wordWrap/>
              <w:overflowPunct/>
              <w:topLinePunct w:val="0"/>
              <w:autoSpaceDE/>
              <w:autoSpaceDN/>
              <w:bidi w:val="0"/>
              <w:adjustRightInd w:val="0"/>
              <w:spacing w:line="360" w:lineRule="exact"/>
              <w:ind w:left="105" w:leftChars="50" w:right="105" w:righ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主要材料及设备由</w:t>
            </w:r>
            <w:r>
              <w:rPr>
                <w:rFonts w:hint="eastAsia" w:ascii="宋体" w:hAnsi="宋体" w:eastAsia="宋体" w:cs="宋体"/>
                <w:b/>
                <w:bCs/>
                <w:color w:val="auto"/>
                <w:sz w:val="24"/>
                <w:szCs w:val="24"/>
                <w:highlight w:val="none"/>
                <w:u w:val="single"/>
              </w:rPr>
              <w:t>中标人自行</w:t>
            </w:r>
            <w:r>
              <w:rPr>
                <w:rFonts w:hint="eastAsia" w:ascii="宋体" w:hAnsi="宋体" w:eastAsia="宋体" w:cs="宋体"/>
                <w:color w:val="auto"/>
                <w:sz w:val="24"/>
                <w:szCs w:val="24"/>
                <w:highlight w:val="none"/>
              </w:rPr>
              <w:t>采购。</w:t>
            </w:r>
          </w:p>
          <w:p w14:paraId="7CD22C89">
            <w:pPr>
              <w:keepNext w:val="0"/>
              <w:keepLines w:val="0"/>
              <w:pageBreakBefore w:val="0"/>
              <w:widowControl/>
              <w:kinsoku/>
              <w:wordWrap/>
              <w:overflowPunct/>
              <w:topLinePunct w:val="0"/>
              <w:autoSpaceDE/>
              <w:autoSpaceDN/>
              <w:bidi w:val="0"/>
              <w:adjustRightInd w:val="0"/>
              <w:spacing w:line="360" w:lineRule="exact"/>
              <w:ind w:left="105" w:leftChars="50" w:right="105" w:righ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如工程所需材料均由中标人自行采购的，因中标人自行采购的材料质量引起的工程质量问题由中标人承担所造成的一切损失。</w:t>
            </w:r>
          </w:p>
          <w:p w14:paraId="38A11CAC">
            <w:pPr>
              <w:keepNext w:val="0"/>
              <w:keepLines w:val="0"/>
              <w:pageBreakBefore w:val="0"/>
              <w:widowControl/>
              <w:kinsoku/>
              <w:wordWrap/>
              <w:overflowPunct/>
              <w:topLinePunct w:val="0"/>
              <w:autoSpaceDE/>
              <w:autoSpaceDN/>
              <w:bidi w:val="0"/>
              <w:adjustRightInd w:val="0"/>
              <w:spacing w:line="360" w:lineRule="exact"/>
              <w:ind w:left="105" w:leftChars="50" w:right="105" w:righ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如本项目列出了主要材料或设备的推荐品牌，仅为说明而非具有限制性，投标人可以选用其他品牌，但其质量标准应优于或相当于技术规格中要求的标准。</w:t>
            </w:r>
          </w:p>
        </w:tc>
      </w:tr>
      <w:tr w14:paraId="4EAE11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747" w:type="dxa"/>
            <w:tcBorders>
              <w:top w:val="single" w:color="000000" w:sz="4" w:space="0"/>
              <w:left w:val="single" w:color="000000" w:sz="4" w:space="0"/>
              <w:bottom w:val="nil"/>
              <w:right w:val="single" w:color="000000" w:sz="4" w:space="0"/>
            </w:tcBorders>
            <w:vAlign w:val="center"/>
          </w:tcPr>
          <w:p w14:paraId="6F937DD3">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23</w:t>
            </w:r>
          </w:p>
        </w:tc>
        <w:tc>
          <w:tcPr>
            <w:tcW w:w="1729" w:type="dxa"/>
            <w:tcBorders>
              <w:top w:val="single" w:color="000000" w:sz="4" w:space="0"/>
              <w:left w:val="single" w:color="000000" w:sz="4" w:space="0"/>
              <w:bottom w:val="nil"/>
              <w:right w:val="single" w:color="000000" w:sz="4" w:space="0"/>
            </w:tcBorders>
            <w:vAlign w:val="center"/>
          </w:tcPr>
          <w:p w14:paraId="7F156432">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现场条件</w:t>
            </w:r>
          </w:p>
        </w:tc>
        <w:tc>
          <w:tcPr>
            <w:tcW w:w="7379" w:type="dxa"/>
            <w:tcBorders>
              <w:top w:val="single" w:color="000000" w:sz="4" w:space="0"/>
              <w:left w:val="single" w:color="000000" w:sz="4" w:space="0"/>
              <w:bottom w:val="nil"/>
              <w:right w:val="single" w:color="000000" w:sz="4" w:space="0"/>
            </w:tcBorders>
            <w:vAlign w:val="center"/>
          </w:tcPr>
          <w:p w14:paraId="26D6D950">
            <w:pPr>
              <w:keepNext w:val="0"/>
              <w:keepLines w:val="0"/>
              <w:pageBreakBefore w:val="0"/>
              <w:widowControl/>
              <w:kinsoku/>
              <w:wordWrap/>
              <w:overflowPunct/>
              <w:topLinePunct w:val="0"/>
              <w:autoSpaceDE/>
              <w:autoSpaceDN/>
              <w:bidi w:val="0"/>
              <w:snapToGrid w:val="0"/>
              <w:spacing w:before="48" w:after="48"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具备开工条件</w:t>
            </w:r>
            <w:r>
              <w:rPr>
                <w:rFonts w:hint="eastAsia" w:ascii="宋体" w:hAnsi="宋体" w:eastAsia="宋体" w:cs="宋体"/>
                <w:color w:val="auto"/>
                <w:sz w:val="24"/>
                <w:szCs w:val="24"/>
                <w:highlight w:val="none"/>
              </w:rPr>
              <w:t>（投标人应自行踏勘现场）</w:t>
            </w:r>
          </w:p>
        </w:tc>
      </w:tr>
      <w:tr w14:paraId="500513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60D93661">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24</w:t>
            </w:r>
          </w:p>
        </w:tc>
        <w:tc>
          <w:tcPr>
            <w:tcW w:w="1729" w:type="dxa"/>
            <w:tcBorders>
              <w:top w:val="single" w:color="000000" w:sz="4" w:space="0"/>
              <w:left w:val="single" w:color="000000" w:sz="4" w:space="0"/>
              <w:bottom w:val="single" w:color="000000" w:sz="4" w:space="0"/>
              <w:right w:val="single" w:color="000000" w:sz="4" w:space="0"/>
            </w:tcBorders>
            <w:vAlign w:val="center"/>
          </w:tcPr>
          <w:p w14:paraId="499E4094">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开标注意事项</w:t>
            </w:r>
          </w:p>
        </w:tc>
        <w:tc>
          <w:tcPr>
            <w:tcW w:w="7379" w:type="dxa"/>
            <w:tcBorders>
              <w:top w:val="single" w:color="000000" w:sz="4" w:space="0"/>
              <w:left w:val="single" w:color="000000" w:sz="4" w:space="0"/>
              <w:bottom w:val="single" w:color="000000" w:sz="4" w:space="0"/>
              <w:right w:val="single" w:color="000000" w:sz="4" w:space="0"/>
            </w:tcBorders>
            <w:vAlign w:val="center"/>
          </w:tcPr>
          <w:p w14:paraId="12E9BF58">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b/>
                <w:color w:val="auto"/>
                <w:sz w:val="24"/>
                <w:szCs w:val="24"/>
                <w:highlight w:val="none"/>
              </w:rPr>
              <w:t>投标人法定代表人或其授权委托代理人必须参加开标会议，</w:t>
            </w:r>
            <w:r>
              <w:rPr>
                <w:rStyle w:val="47"/>
                <w:rFonts w:hint="eastAsia" w:ascii="宋体" w:hAnsi="宋体" w:eastAsia="宋体" w:cs="宋体"/>
                <w:color w:val="auto"/>
                <w:sz w:val="24"/>
                <w:szCs w:val="24"/>
                <w:highlight w:val="none"/>
              </w:rPr>
              <w:t>详见投标须知中开标部分及评标办法。</w:t>
            </w:r>
          </w:p>
        </w:tc>
      </w:tr>
      <w:tr w14:paraId="69E4C1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24E1D21E">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25</w:t>
            </w:r>
          </w:p>
        </w:tc>
        <w:tc>
          <w:tcPr>
            <w:tcW w:w="1729" w:type="dxa"/>
            <w:tcBorders>
              <w:top w:val="single" w:color="000000" w:sz="4" w:space="0"/>
              <w:left w:val="single" w:color="000000" w:sz="4" w:space="0"/>
              <w:bottom w:val="single" w:color="000000" w:sz="4" w:space="0"/>
              <w:right w:val="single" w:color="000000" w:sz="4" w:space="0"/>
            </w:tcBorders>
            <w:vAlign w:val="center"/>
          </w:tcPr>
          <w:p w14:paraId="4C663F95">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废标条款</w:t>
            </w:r>
          </w:p>
        </w:tc>
        <w:tc>
          <w:tcPr>
            <w:tcW w:w="7379" w:type="dxa"/>
            <w:tcBorders>
              <w:top w:val="single" w:color="000000" w:sz="4" w:space="0"/>
              <w:left w:val="single" w:color="000000" w:sz="4" w:space="0"/>
              <w:bottom w:val="single" w:color="000000" w:sz="4" w:space="0"/>
              <w:right w:val="single" w:color="000000" w:sz="4" w:space="0"/>
            </w:tcBorders>
            <w:vAlign w:val="center"/>
          </w:tcPr>
          <w:p w14:paraId="7D23BB69">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见评标、定标27.2.1重大偏差部分及评标办法</w:t>
            </w:r>
          </w:p>
        </w:tc>
      </w:tr>
      <w:tr w14:paraId="3FB7CC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222CC665">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26</w:t>
            </w:r>
          </w:p>
        </w:tc>
        <w:tc>
          <w:tcPr>
            <w:tcW w:w="1729" w:type="dxa"/>
            <w:tcBorders>
              <w:top w:val="single" w:color="000000" w:sz="4" w:space="0"/>
              <w:left w:val="single" w:color="000000" w:sz="4" w:space="0"/>
              <w:bottom w:val="single" w:color="000000" w:sz="4" w:space="0"/>
              <w:right w:val="single" w:color="000000" w:sz="4" w:space="0"/>
            </w:tcBorders>
            <w:vAlign w:val="center"/>
          </w:tcPr>
          <w:p w14:paraId="754CCEBD">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对招标文件提出异议的最迟时间</w:t>
            </w:r>
          </w:p>
        </w:tc>
        <w:tc>
          <w:tcPr>
            <w:tcW w:w="7379" w:type="dxa"/>
            <w:tcBorders>
              <w:top w:val="single" w:color="000000" w:sz="4" w:space="0"/>
              <w:left w:val="single" w:color="000000" w:sz="4" w:space="0"/>
              <w:bottom w:val="single" w:color="000000" w:sz="4" w:space="0"/>
              <w:right w:val="single" w:color="000000" w:sz="4" w:space="0"/>
            </w:tcBorders>
            <w:vAlign w:val="center"/>
          </w:tcPr>
          <w:p w14:paraId="4B5850B8">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投标截止3日前</w:t>
            </w:r>
          </w:p>
        </w:tc>
      </w:tr>
      <w:tr w14:paraId="42AB36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7344E56E">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27</w:t>
            </w:r>
          </w:p>
        </w:tc>
        <w:tc>
          <w:tcPr>
            <w:tcW w:w="1729" w:type="dxa"/>
            <w:tcBorders>
              <w:top w:val="single" w:color="000000" w:sz="4" w:space="0"/>
              <w:left w:val="single" w:color="000000" w:sz="4" w:space="0"/>
              <w:bottom w:val="single" w:color="000000" w:sz="4" w:space="0"/>
              <w:right w:val="single" w:color="000000" w:sz="4" w:space="0"/>
            </w:tcBorders>
            <w:vAlign w:val="center"/>
          </w:tcPr>
          <w:p w14:paraId="067184E4">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对招标文件提出异议的方法</w:t>
            </w:r>
          </w:p>
        </w:tc>
        <w:tc>
          <w:tcPr>
            <w:tcW w:w="7379" w:type="dxa"/>
            <w:tcBorders>
              <w:top w:val="single" w:color="000000" w:sz="4" w:space="0"/>
              <w:left w:val="single" w:color="000000" w:sz="4" w:space="0"/>
              <w:bottom w:val="single" w:color="000000" w:sz="4" w:space="0"/>
              <w:right w:val="single" w:color="000000" w:sz="4" w:space="0"/>
            </w:tcBorders>
            <w:vAlign w:val="center"/>
          </w:tcPr>
          <w:p w14:paraId="54297521">
            <w:pPr>
              <w:keepNext w:val="0"/>
              <w:keepLines w:val="0"/>
              <w:pageBreakBefore w:val="0"/>
              <w:widowControl/>
              <w:kinsoku/>
              <w:wordWrap/>
              <w:overflowPunct/>
              <w:topLinePunct w:val="0"/>
              <w:autoSpaceDE/>
              <w:autoSpaceDN/>
              <w:bidi w:val="0"/>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见投标须知</w:t>
            </w:r>
          </w:p>
        </w:tc>
      </w:tr>
      <w:tr w14:paraId="6E2449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39B896A7">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28</w:t>
            </w:r>
          </w:p>
        </w:tc>
        <w:tc>
          <w:tcPr>
            <w:tcW w:w="1729" w:type="dxa"/>
            <w:tcBorders>
              <w:top w:val="single" w:color="000000" w:sz="4" w:space="0"/>
              <w:left w:val="single" w:color="000000" w:sz="4" w:space="0"/>
              <w:bottom w:val="single" w:color="000000" w:sz="4" w:space="0"/>
              <w:right w:val="single" w:color="000000" w:sz="4" w:space="0"/>
            </w:tcBorders>
            <w:vAlign w:val="center"/>
          </w:tcPr>
          <w:p w14:paraId="23C00C33">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招标文件最迟</w:t>
            </w:r>
          </w:p>
          <w:p w14:paraId="6A28BB4E">
            <w:pPr>
              <w:pStyle w:val="16"/>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澄清时间</w:t>
            </w:r>
          </w:p>
        </w:tc>
        <w:tc>
          <w:tcPr>
            <w:tcW w:w="7379" w:type="dxa"/>
            <w:tcBorders>
              <w:top w:val="single" w:color="000000" w:sz="4" w:space="0"/>
              <w:left w:val="single" w:color="000000" w:sz="4" w:space="0"/>
              <w:bottom w:val="single" w:color="000000" w:sz="4" w:space="0"/>
              <w:right w:val="single" w:color="000000" w:sz="4" w:space="0"/>
            </w:tcBorders>
            <w:vAlign w:val="center"/>
          </w:tcPr>
          <w:p w14:paraId="687638BF">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投标截止前3天，请投标人自行查看网站</w:t>
            </w:r>
          </w:p>
        </w:tc>
      </w:tr>
      <w:tr w14:paraId="2ADC61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4347">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highlight w:val="none"/>
              </w:rPr>
              <w:t>29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6EC2">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highlight w:val="none"/>
              </w:rPr>
              <w:t>招标代理服务费</w:t>
            </w:r>
          </w:p>
        </w:tc>
        <w:tc>
          <w:tcPr>
            <w:tcW w:w="7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6181">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肆仟元</w:t>
            </w:r>
            <w:r>
              <w:rPr>
                <w:rFonts w:hint="eastAsia" w:ascii="宋体" w:hAnsi="宋体" w:eastAsia="宋体" w:cs="宋体"/>
                <w:color w:val="auto"/>
                <w:kern w:val="2"/>
                <w:sz w:val="24"/>
                <w:szCs w:val="24"/>
                <w:highlight w:val="none"/>
                <w:lang w:val="en-US" w:eastAsia="zh-CN" w:bidi="ar-SA"/>
              </w:rPr>
              <w:t>由中标人支付</w:t>
            </w:r>
          </w:p>
        </w:tc>
      </w:tr>
      <w:tr w14:paraId="1F7766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752">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highlight w:val="none"/>
              </w:rPr>
              <w:t>30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332E">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人员到岗</w:t>
            </w:r>
          </w:p>
          <w:p w14:paraId="39D1DC05">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highlight w:val="none"/>
              </w:rPr>
              <w:t>及履约要求</w:t>
            </w:r>
          </w:p>
        </w:tc>
        <w:tc>
          <w:tcPr>
            <w:tcW w:w="7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2BE2">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1.投标人一旦中标，拟派的建造师在整个项目施工期内必须在岗，否则招标人有权终止合同。由此造成的损失，中标人自行承担，并赔偿由此给招标人带来的损失。</w:t>
            </w:r>
          </w:p>
          <w:p w14:paraId="705B1027">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中标人不得擅自更换建造师及项目部主要管理人员，确需更换时，须报经招标人同意。中标人未能按照承诺到岗尽职的，招标人将视情况严重程度对其作出相应处理，给予警告并发出整改通知。如仍未及时整改，招标人有权责令其停工整改、直至终止合同。</w:t>
            </w:r>
          </w:p>
          <w:p w14:paraId="3084A1DA">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Fonts w:hint="eastAsia" w:ascii="宋体" w:hAnsi="宋体" w:eastAsia="宋体" w:cs="宋体"/>
                <w:color w:val="auto"/>
                <w:kern w:val="2"/>
                <w:sz w:val="24"/>
                <w:szCs w:val="24"/>
                <w:highlight w:val="none"/>
                <w:lang w:val="en-US" w:eastAsia="zh-CN" w:bidi="ar-SA"/>
              </w:rPr>
            </w:pPr>
            <w:r>
              <w:rPr>
                <w:rStyle w:val="47"/>
                <w:rFonts w:hint="eastAsia" w:ascii="宋体" w:hAnsi="宋体" w:eastAsia="宋体" w:cs="宋体"/>
                <w:color w:val="auto"/>
                <w:sz w:val="24"/>
                <w:highlight w:val="none"/>
              </w:rPr>
              <w:t>3.本项目建筑工人实行实名制管理，具体要求见安徽省住房和城乡建设厅、安徽省人力资源和社会保障厅《关于进一步推进房屋建筑和市政工程建设领域建筑工人实名制管理工作的通知》（建市函〔2019〕1号）。</w:t>
            </w:r>
          </w:p>
        </w:tc>
      </w:tr>
    </w:tbl>
    <w:p w14:paraId="4FDF0787">
      <w:pPr>
        <w:pStyle w:val="40"/>
        <w:tabs>
          <w:tab w:val="left" w:pos="720"/>
        </w:tabs>
        <w:snapToGrid w:val="0"/>
        <w:spacing w:before="120" w:after="120" w:line="360" w:lineRule="auto"/>
        <w:ind w:left="720" w:hanging="720"/>
        <w:jc w:val="center"/>
        <w:rPr>
          <w:rStyle w:val="47"/>
          <w:rFonts w:hint="eastAsia" w:ascii="宋体" w:hAnsi="宋体" w:eastAsia="宋体" w:cs="宋体"/>
          <w:color w:val="auto"/>
          <w:highlight w:val="none"/>
        </w:rPr>
      </w:pPr>
      <w:r>
        <w:rPr>
          <w:rStyle w:val="47"/>
          <w:rFonts w:hint="eastAsia" w:ascii="宋体" w:hAnsi="宋体" w:eastAsia="宋体" w:cs="宋体"/>
          <w:color w:val="auto"/>
          <w:szCs w:val="21"/>
          <w:highlight w:val="none"/>
        </w:rPr>
        <w:br w:type="page"/>
      </w:r>
      <w:r>
        <w:rPr>
          <w:rStyle w:val="47"/>
          <w:rFonts w:hint="eastAsia" w:ascii="宋体" w:hAnsi="宋体" w:eastAsia="宋体" w:cs="宋体"/>
          <w:color w:val="auto"/>
          <w:sz w:val="28"/>
          <w:szCs w:val="28"/>
          <w:highlight w:val="none"/>
        </w:rPr>
        <w:t>（三）前附表3（招标人要求一览表）</w:t>
      </w:r>
    </w:p>
    <w:tbl>
      <w:tblPr>
        <w:tblStyle w:val="27"/>
        <w:tblW w:w="1005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3"/>
        <w:gridCol w:w="1750"/>
        <w:gridCol w:w="7531"/>
      </w:tblGrid>
      <w:tr w14:paraId="26C05D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7334F8F9">
            <w:pPr>
              <w:snapToGrid w:val="0"/>
              <w:spacing w:before="48" w:after="48" w:line="360" w:lineRule="auto"/>
              <w:ind w:right="-358" w:firstLine="103" w:firstLineChars="43"/>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项目</w:t>
            </w:r>
          </w:p>
        </w:tc>
        <w:tc>
          <w:tcPr>
            <w:tcW w:w="1750" w:type="dxa"/>
            <w:tcBorders>
              <w:top w:val="single" w:color="000000" w:sz="4" w:space="0"/>
              <w:left w:val="single" w:color="000000" w:sz="4" w:space="0"/>
              <w:bottom w:val="single" w:color="000000" w:sz="4" w:space="0"/>
              <w:right w:val="single" w:color="000000" w:sz="4" w:space="0"/>
            </w:tcBorders>
            <w:vAlign w:val="center"/>
          </w:tcPr>
          <w:p w14:paraId="115D8205">
            <w:pPr>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序列名称</w:t>
            </w:r>
          </w:p>
        </w:tc>
        <w:tc>
          <w:tcPr>
            <w:tcW w:w="7531" w:type="dxa"/>
            <w:tcBorders>
              <w:top w:val="single" w:color="000000" w:sz="4" w:space="0"/>
              <w:left w:val="single" w:color="000000" w:sz="4" w:space="0"/>
              <w:bottom w:val="single" w:color="000000" w:sz="4" w:space="0"/>
              <w:right w:val="single" w:color="000000" w:sz="4" w:space="0"/>
            </w:tcBorders>
            <w:vAlign w:val="center"/>
          </w:tcPr>
          <w:p w14:paraId="75444CB7">
            <w:pPr>
              <w:tabs>
                <w:tab w:val="left" w:pos="1180"/>
              </w:tabs>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序列内容</w:t>
            </w:r>
          </w:p>
        </w:tc>
      </w:tr>
      <w:tr w14:paraId="4A6E92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718" w:hRule="exac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55DE298D">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31</w:t>
            </w:r>
          </w:p>
        </w:tc>
        <w:tc>
          <w:tcPr>
            <w:tcW w:w="1750" w:type="dxa"/>
            <w:tcBorders>
              <w:top w:val="single" w:color="000000" w:sz="4" w:space="0"/>
              <w:left w:val="single" w:color="000000" w:sz="4" w:space="0"/>
              <w:bottom w:val="single" w:color="000000" w:sz="4" w:space="0"/>
              <w:right w:val="single" w:color="000000" w:sz="4" w:space="0"/>
            </w:tcBorders>
            <w:vAlign w:val="center"/>
          </w:tcPr>
          <w:p w14:paraId="3CF3E54B">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材料要求</w:t>
            </w:r>
          </w:p>
        </w:tc>
        <w:tc>
          <w:tcPr>
            <w:tcW w:w="7531" w:type="dxa"/>
            <w:tcBorders>
              <w:top w:val="single" w:color="000000" w:sz="4" w:space="0"/>
              <w:left w:val="single" w:color="000000" w:sz="4" w:space="0"/>
              <w:bottom w:val="single" w:color="000000" w:sz="4" w:space="0"/>
              <w:right w:val="single" w:color="000000" w:sz="4" w:space="0"/>
            </w:tcBorders>
            <w:vAlign w:val="center"/>
          </w:tcPr>
          <w:p w14:paraId="345C4C9E">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中标人自行采购的材料应满足设计和规范要求的质量等级，并须按有关技术规范要求对材料质量进行检验。中标人选定的材料供应厂家和价格须经招标人和监理单位认可。如招标人和监理单位对材料的质量有异议，有权提出权威检验部门鉴定的要求，若经鉴定确有质量问题，由此而发生的一切费用由中标人自负。</w:t>
            </w:r>
          </w:p>
          <w:p w14:paraId="60573389">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w:t>
            </w:r>
            <w:r>
              <w:rPr>
                <w:rFonts w:hint="eastAsia" w:ascii="宋体" w:hAnsi="宋体" w:eastAsia="宋体" w:cs="宋体"/>
                <w:color w:val="auto"/>
                <w:sz w:val="24"/>
                <w:highlight w:val="none"/>
              </w:rPr>
              <w:t>如中标人自行采购的材料在质量、规格型号、样式等方面不符合发包人或设计图纸要求，则承包人须重新无条件置换，否则发包人有权改为甲供或不支付此项工程款。</w:t>
            </w:r>
          </w:p>
          <w:p w14:paraId="5E879B53">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3.因中标人自行采购的材料质量引起的工程质量问题由中标人承担所造成的一切损失。</w:t>
            </w:r>
          </w:p>
        </w:tc>
      </w:tr>
      <w:tr w14:paraId="4007CE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602F8125">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32</w:t>
            </w:r>
          </w:p>
        </w:tc>
        <w:tc>
          <w:tcPr>
            <w:tcW w:w="1750" w:type="dxa"/>
            <w:tcBorders>
              <w:top w:val="single" w:color="000000" w:sz="4" w:space="0"/>
              <w:left w:val="single" w:color="000000" w:sz="4" w:space="0"/>
              <w:bottom w:val="single" w:color="000000" w:sz="4" w:space="0"/>
              <w:right w:val="single" w:color="000000" w:sz="4" w:space="0"/>
            </w:tcBorders>
            <w:vAlign w:val="center"/>
          </w:tcPr>
          <w:p w14:paraId="084BE711">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施工重点</w:t>
            </w:r>
          </w:p>
          <w:p w14:paraId="745FA950">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难点</w:t>
            </w:r>
          </w:p>
        </w:tc>
        <w:tc>
          <w:tcPr>
            <w:tcW w:w="7531" w:type="dxa"/>
            <w:tcBorders>
              <w:top w:val="single" w:color="000000" w:sz="4" w:space="0"/>
              <w:left w:val="single" w:color="000000" w:sz="4" w:space="0"/>
              <w:bottom w:val="single" w:color="000000" w:sz="4" w:space="0"/>
              <w:right w:val="single" w:color="000000" w:sz="4" w:space="0"/>
            </w:tcBorders>
            <w:vAlign w:val="center"/>
          </w:tcPr>
          <w:p w14:paraId="6E9100A2">
            <w:pPr>
              <w:keepNext w:val="0"/>
              <w:keepLines w:val="0"/>
              <w:pageBreakBefore w:val="0"/>
              <w:widowControl/>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Fonts w:hint="eastAsia" w:ascii="宋体" w:hAnsi="宋体" w:eastAsia="宋体" w:cs="宋体"/>
                <w:bCs/>
                <w:color w:val="auto"/>
                <w:sz w:val="24"/>
                <w:highlight w:val="none"/>
              </w:rPr>
              <w:t>详见“第三章《需补充或改动的格式条款》”内容</w:t>
            </w:r>
          </w:p>
        </w:tc>
      </w:tr>
      <w:tr w14:paraId="7B1B72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662" w:hRule="exac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69506ADD">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33</w:t>
            </w:r>
          </w:p>
        </w:tc>
        <w:tc>
          <w:tcPr>
            <w:tcW w:w="1750" w:type="dxa"/>
            <w:tcBorders>
              <w:top w:val="single" w:color="000000" w:sz="4" w:space="0"/>
              <w:left w:val="single" w:color="000000" w:sz="4" w:space="0"/>
              <w:bottom w:val="single" w:color="000000" w:sz="4" w:space="0"/>
              <w:right w:val="single" w:color="000000" w:sz="4" w:space="0"/>
            </w:tcBorders>
            <w:vAlign w:val="center"/>
          </w:tcPr>
          <w:p w14:paraId="7AE932F6">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领取中标通知书及合同签订要求</w:t>
            </w:r>
          </w:p>
        </w:tc>
        <w:tc>
          <w:tcPr>
            <w:tcW w:w="7531" w:type="dxa"/>
            <w:tcBorders>
              <w:top w:val="single" w:color="000000" w:sz="4" w:space="0"/>
              <w:left w:val="single" w:color="000000" w:sz="4" w:space="0"/>
              <w:bottom w:val="single" w:color="000000" w:sz="4" w:space="0"/>
              <w:right w:val="single" w:color="000000" w:sz="4" w:space="0"/>
            </w:tcBorders>
            <w:vAlign w:val="center"/>
          </w:tcPr>
          <w:p w14:paraId="1AB42D6F">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1.中标人应在中标结果公示发布后的</w:t>
            </w:r>
            <w:r>
              <w:rPr>
                <w:rStyle w:val="47"/>
                <w:rFonts w:hint="eastAsia" w:ascii="宋体" w:hAnsi="宋体" w:eastAsia="宋体" w:cs="宋体"/>
                <w:color w:val="auto"/>
                <w:sz w:val="24"/>
                <w:highlight w:val="none"/>
                <w:lang w:val="en-US"/>
              </w:rPr>
              <w:t>7</w:t>
            </w:r>
            <w:r>
              <w:rPr>
                <w:rStyle w:val="47"/>
                <w:rFonts w:hint="eastAsia" w:ascii="宋体" w:hAnsi="宋体" w:eastAsia="宋体" w:cs="宋体"/>
                <w:color w:val="auto"/>
                <w:sz w:val="24"/>
                <w:highlight w:val="none"/>
              </w:rPr>
              <w:t>天内领取《中标通知书》，逾期不领取视为放弃中标资格，招标人有权取消中标人中标资格，并将相关情况报送监管部门，由监管部门按规定处理。</w:t>
            </w:r>
          </w:p>
          <w:p w14:paraId="45647624">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2.中标人应在领取《中标通知书》后的</w:t>
            </w:r>
            <w:r>
              <w:rPr>
                <w:rStyle w:val="47"/>
                <w:rFonts w:hint="eastAsia" w:ascii="宋体" w:hAnsi="宋体" w:eastAsia="宋体" w:cs="宋体"/>
                <w:color w:val="auto"/>
                <w:sz w:val="24"/>
                <w:highlight w:val="none"/>
                <w:lang w:val="en-US"/>
              </w:rPr>
              <w:t>30日</w:t>
            </w:r>
            <w:r>
              <w:rPr>
                <w:rStyle w:val="47"/>
                <w:rFonts w:hint="eastAsia" w:ascii="宋体" w:hAnsi="宋体" w:eastAsia="宋体" w:cs="宋体"/>
                <w:color w:val="auto"/>
                <w:sz w:val="24"/>
                <w:highlight w:val="none"/>
              </w:rPr>
              <w:t>内提交履约担保并与招标人签订合同，逾期未提交履约担保或签订合同的，招标人有权拒签合同、取消中标人中标资格，并将相关违约行为报送监管部门，由监管部门按规定处理。</w:t>
            </w:r>
          </w:p>
          <w:p w14:paraId="5DC65197">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中标人拟派项目经理如在其他项目上担任项目经理岗位，未能按照承诺在合同签订前从其他项目变更至本项目的，招标人有权拒签合同、取消中标人中标资格，并将相关情况报送监管部门，由监管部门按规定处理。</w:t>
            </w:r>
          </w:p>
        </w:tc>
      </w:tr>
      <w:tr w14:paraId="5410FD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82" w:hRule="exac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08EF0BFD">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34</w:t>
            </w:r>
          </w:p>
        </w:tc>
        <w:tc>
          <w:tcPr>
            <w:tcW w:w="1750" w:type="dxa"/>
            <w:tcBorders>
              <w:top w:val="single" w:color="000000" w:sz="4" w:space="0"/>
              <w:left w:val="single" w:color="000000" w:sz="4" w:space="0"/>
              <w:bottom w:val="single" w:color="000000" w:sz="4" w:space="0"/>
              <w:right w:val="single" w:color="000000" w:sz="4" w:space="0"/>
            </w:tcBorders>
            <w:vAlign w:val="center"/>
          </w:tcPr>
          <w:p w14:paraId="3A21AE26">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重要提示</w:t>
            </w:r>
          </w:p>
        </w:tc>
        <w:tc>
          <w:tcPr>
            <w:tcW w:w="7531" w:type="dxa"/>
            <w:tcBorders>
              <w:top w:val="single" w:color="000000" w:sz="4" w:space="0"/>
              <w:left w:val="single" w:color="000000" w:sz="4" w:space="0"/>
              <w:bottom w:val="single" w:color="000000" w:sz="4" w:space="0"/>
              <w:right w:val="single" w:color="000000" w:sz="4" w:space="0"/>
            </w:tcBorders>
          </w:tcPr>
          <w:p w14:paraId="0DF0B055">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1.如有多个评审环节需要提供相同的资料，投标人应在最靠前的评审环节提供，并在后续的评审环节中注明见投标文件的某个部分，以方便评委评审。</w:t>
            </w:r>
          </w:p>
          <w:p w14:paraId="70E8F0EC">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Fonts w:hint="eastAsia" w:ascii="宋体" w:hAnsi="宋体" w:eastAsia="宋体" w:cs="宋体"/>
                <w:color w:val="auto"/>
                <w:highlight w:val="none"/>
              </w:rPr>
            </w:pPr>
            <w:r>
              <w:rPr>
                <w:rStyle w:val="47"/>
                <w:rFonts w:hint="eastAsia" w:ascii="宋体" w:hAnsi="宋体" w:eastAsia="宋体" w:cs="宋体"/>
                <w:color w:val="auto"/>
                <w:sz w:val="24"/>
                <w:highlight w:val="none"/>
              </w:rPr>
              <w:t>2.投标人</w:t>
            </w:r>
            <w:r>
              <w:rPr>
                <w:rStyle w:val="47"/>
                <w:rFonts w:hint="eastAsia" w:ascii="宋体" w:hAnsi="宋体" w:eastAsia="宋体" w:cs="宋体"/>
                <w:color w:val="auto"/>
                <w:sz w:val="24"/>
                <w:highlight w:val="none"/>
                <w:lang w:val="en-US"/>
              </w:rPr>
              <w:t>自行充分勘察现场</w:t>
            </w:r>
            <w:r>
              <w:rPr>
                <w:rStyle w:val="47"/>
                <w:rFonts w:hint="eastAsia" w:ascii="宋体" w:hAnsi="宋体" w:eastAsia="宋体" w:cs="宋体"/>
                <w:color w:val="auto"/>
                <w:sz w:val="24"/>
                <w:highlight w:val="none"/>
              </w:rPr>
              <w:t>情况，投标报价中须考虑所有措施项目费，须满足本工程施工中所有相关措施需要，投标人中标后，不得以不完全了解现场情况为由，提出任何形式的增加工程造价或索赔的要求。</w:t>
            </w:r>
          </w:p>
        </w:tc>
      </w:tr>
      <w:tr w14:paraId="466AC4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19" w:hRule="exac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32EA15DA">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35</w:t>
            </w:r>
          </w:p>
        </w:tc>
        <w:tc>
          <w:tcPr>
            <w:tcW w:w="1750" w:type="dxa"/>
            <w:tcBorders>
              <w:top w:val="single" w:color="000000" w:sz="4" w:space="0"/>
              <w:left w:val="single" w:color="000000" w:sz="4" w:space="0"/>
              <w:bottom w:val="single" w:color="000000" w:sz="4" w:space="0"/>
              <w:right w:val="single" w:color="000000" w:sz="4" w:space="0"/>
            </w:tcBorders>
            <w:vAlign w:val="center"/>
          </w:tcPr>
          <w:p w14:paraId="1D340A17">
            <w:pPr>
              <w:keepNext w:val="0"/>
              <w:keepLines w:val="0"/>
              <w:pageBreakBefore w:val="0"/>
              <w:widowControl/>
              <w:kinsoku/>
              <w:wordWrap/>
              <w:overflowPunct/>
              <w:topLinePunct w:val="0"/>
              <w:autoSpaceDE/>
              <w:autoSpaceDN/>
              <w:bidi w:val="0"/>
              <w:adjustRightInd/>
              <w:snapToGrid w:val="0"/>
              <w:spacing w:line="400" w:lineRule="exact"/>
              <w:jc w:val="center"/>
              <w:textAlignment w:val="baseline"/>
              <w:rPr>
                <w:rStyle w:val="47"/>
                <w:rFonts w:hint="eastAsia" w:ascii="宋体" w:hAnsi="宋体" w:eastAsia="宋体" w:cs="宋体"/>
                <w:color w:val="auto"/>
                <w:sz w:val="24"/>
                <w:highlight w:val="none"/>
              </w:rPr>
            </w:pPr>
            <w:r>
              <w:rPr>
                <w:rStyle w:val="47"/>
                <w:rFonts w:hint="eastAsia" w:ascii="宋体" w:hAnsi="宋体" w:eastAsia="宋体" w:cs="宋体"/>
                <w:bCs/>
                <w:color w:val="auto"/>
                <w:sz w:val="24"/>
                <w:highlight w:val="none"/>
              </w:rPr>
              <w:t>招标文件的解释权顺序</w:t>
            </w:r>
          </w:p>
        </w:tc>
        <w:tc>
          <w:tcPr>
            <w:tcW w:w="7531" w:type="dxa"/>
            <w:tcBorders>
              <w:top w:val="single" w:color="000000" w:sz="4" w:space="0"/>
              <w:left w:val="single" w:color="000000" w:sz="4" w:space="0"/>
              <w:bottom w:val="single" w:color="000000" w:sz="4" w:space="0"/>
              <w:right w:val="single" w:color="000000" w:sz="4" w:space="0"/>
            </w:tcBorders>
          </w:tcPr>
          <w:p w14:paraId="2BDBE20C">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1.构成本招标文件的各个组成文件应互为解释，互为说明；</w:t>
            </w:r>
          </w:p>
          <w:p w14:paraId="404869DC">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2.招标文件约定中如有不明确或不一致的，工程量以工程量清单为准；构成合同组成内容的，以合同文件约定内容为准；</w:t>
            </w:r>
          </w:p>
          <w:p w14:paraId="0BEB7345">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3.除招标文件中有特别规定外，仅适用于招标投标阶段的规定，同一组成文件中就同一事项的规定或约定不一致的，按评标办法、招标公告、投标人须知、投标文件格式的优先顺序解释；</w:t>
            </w:r>
          </w:p>
          <w:p w14:paraId="7F750726">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color w:val="auto"/>
                <w:sz w:val="24"/>
                <w:highlight w:val="none"/>
              </w:rPr>
              <w:t>4.按上述规定仍不能形成结论的，由招标人或其委托的招标代理机构负责解释。</w:t>
            </w:r>
          </w:p>
        </w:tc>
      </w:tr>
      <w:tr w14:paraId="431415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52" w:hRule="exac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BAE">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jc w:val="center"/>
              <w:textAlignment w:val="baseline"/>
              <w:rPr>
                <w:rStyle w:val="47"/>
                <w:rFonts w:hint="eastAsia" w:ascii="宋体" w:hAnsi="宋体" w:eastAsia="宋体" w:cs="宋体"/>
                <w:color w:val="auto"/>
                <w:sz w:val="24"/>
                <w:highlight w:val="none"/>
                <w:lang w:val="en-US" w:eastAsia="zh-CN"/>
              </w:rPr>
            </w:pPr>
            <w:r>
              <w:rPr>
                <w:rStyle w:val="47"/>
                <w:rFonts w:hint="eastAsia" w:ascii="宋体" w:hAnsi="宋体" w:eastAsia="宋体" w:cs="宋体"/>
                <w:color w:val="auto"/>
                <w:sz w:val="24"/>
                <w:highlight w:val="none"/>
                <w:lang w:val="en-US" w:eastAsia="zh-CN"/>
              </w:rPr>
              <w:t>36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921">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jc w:val="center"/>
              <w:textAlignment w:val="baseline"/>
              <w:rPr>
                <w:rStyle w:val="47"/>
                <w:rFonts w:hint="eastAsia" w:ascii="宋体" w:hAnsi="宋体" w:eastAsia="宋体" w:cs="宋体"/>
                <w:color w:val="auto"/>
                <w:sz w:val="24"/>
                <w:highlight w:val="none"/>
                <w:lang w:val="en-US" w:eastAsia="zh-CN"/>
              </w:rPr>
            </w:pPr>
            <w:r>
              <w:rPr>
                <w:rStyle w:val="47"/>
                <w:rFonts w:hint="eastAsia" w:ascii="宋体" w:hAnsi="宋体" w:eastAsia="宋体" w:cs="宋体"/>
                <w:color w:val="auto"/>
                <w:sz w:val="24"/>
                <w:highlight w:val="none"/>
                <w:lang w:val="en-US" w:eastAsia="zh-CN"/>
              </w:rPr>
              <w:t>投标人不得存在的其他不良状况或不良信用记录</w:t>
            </w:r>
          </w:p>
        </w:tc>
        <w:tc>
          <w:tcPr>
            <w:tcW w:w="7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99A">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lang w:val="en-US" w:eastAsia="zh-CN"/>
              </w:rPr>
            </w:pPr>
            <w:r>
              <w:rPr>
                <w:rStyle w:val="47"/>
                <w:rFonts w:hint="eastAsia" w:ascii="宋体" w:hAnsi="宋体" w:eastAsia="宋体" w:cs="宋体"/>
                <w:color w:val="auto"/>
                <w:sz w:val="24"/>
                <w:highlight w:val="none"/>
                <w:lang w:val="en-US" w:eastAsia="zh-CN"/>
              </w:rPr>
              <w:t>有下列失信行为之一的，不得推荐为中标候选人：</w:t>
            </w:r>
          </w:p>
          <w:p w14:paraId="7DDB7DCC">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lang w:val="en-US" w:eastAsia="zh-CN"/>
              </w:rPr>
            </w:pPr>
            <w:r>
              <w:rPr>
                <w:rStyle w:val="47"/>
                <w:rFonts w:hint="eastAsia" w:ascii="宋体" w:hAnsi="宋体" w:eastAsia="宋体" w:cs="宋体"/>
                <w:color w:val="auto"/>
                <w:sz w:val="24"/>
                <w:highlight w:val="none"/>
                <w:lang w:val="en-US" w:eastAsia="zh-CN"/>
              </w:rPr>
              <w:t>（1）被铜陵市住建局纳入“黑名单”管理的；</w:t>
            </w:r>
          </w:p>
          <w:p w14:paraId="73FD920D">
            <w:pPr>
              <w:keepNext w:val="0"/>
              <w:keepLines w:val="0"/>
              <w:pageBreakBefore w:val="0"/>
              <w:widowControl/>
              <w:tabs>
                <w:tab w:val="left" w:pos="312"/>
              </w:tabs>
              <w:kinsoku/>
              <w:wordWrap/>
              <w:overflowPunct/>
              <w:topLinePunct w:val="0"/>
              <w:autoSpaceDE/>
              <w:autoSpaceDN/>
              <w:bidi w:val="0"/>
              <w:adjustRightInd/>
              <w:snapToGrid w:val="0"/>
              <w:spacing w:line="360" w:lineRule="exact"/>
              <w:ind w:left="105" w:leftChars="50" w:right="105" w:rightChars="50"/>
              <w:textAlignment w:val="baseline"/>
              <w:rPr>
                <w:rStyle w:val="47"/>
                <w:rFonts w:hint="eastAsia" w:ascii="宋体" w:hAnsi="宋体" w:eastAsia="宋体" w:cs="宋体"/>
                <w:color w:val="auto"/>
                <w:sz w:val="24"/>
                <w:highlight w:val="none"/>
                <w:lang w:val="en-US" w:eastAsia="zh-CN"/>
              </w:rPr>
            </w:pPr>
            <w:r>
              <w:rPr>
                <w:rStyle w:val="47"/>
                <w:rFonts w:hint="eastAsia" w:ascii="宋体" w:hAnsi="宋体" w:eastAsia="宋体" w:cs="宋体"/>
                <w:color w:val="auto"/>
                <w:sz w:val="24"/>
                <w:highlight w:val="none"/>
                <w:lang w:val="en-US" w:eastAsia="zh-CN"/>
              </w:rPr>
              <w:t>（2）如本项目为重新招标，在之前投标中放弃中标资格的。</w:t>
            </w:r>
          </w:p>
        </w:tc>
      </w:tr>
    </w:tbl>
    <w:p w14:paraId="7C257930">
      <w:pPr>
        <w:rPr>
          <w:rStyle w:val="47"/>
          <w:rFonts w:hint="eastAsia" w:ascii="宋体" w:hAnsi="宋体" w:eastAsia="宋体" w:cs="宋体"/>
          <w:color w:val="auto"/>
          <w:sz w:val="28"/>
          <w:szCs w:val="28"/>
          <w:highlight w:val="none"/>
        </w:rPr>
      </w:pPr>
      <w:r>
        <w:rPr>
          <w:rStyle w:val="47"/>
          <w:rFonts w:hint="eastAsia" w:ascii="宋体" w:hAnsi="宋体" w:eastAsia="宋体" w:cs="宋体"/>
          <w:color w:val="auto"/>
          <w:sz w:val="28"/>
          <w:szCs w:val="28"/>
          <w:highlight w:val="none"/>
        </w:rPr>
        <w:br w:type="page"/>
      </w:r>
    </w:p>
    <w:p w14:paraId="084EDB13">
      <w:pPr>
        <w:pStyle w:val="39"/>
        <w:spacing w:before="0" w:after="0" w:line="500" w:lineRule="exact"/>
        <w:jc w:val="center"/>
        <w:rPr>
          <w:rStyle w:val="47"/>
          <w:rFonts w:hint="eastAsia" w:ascii="宋体" w:hAnsi="宋体" w:eastAsia="宋体" w:cs="宋体"/>
          <w:color w:val="auto"/>
          <w:sz w:val="28"/>
          <w:szCs w:val="28"/>
          <w:highlight w:val="none"/>
        </w:rPr>
      </w:pPr>
      <w:r>
        <w:rPr>
          <w:rStyle w:val="47"/>
          <w:rFonts w:hint="eastAsia" w:ascii="宋体" w:hAnsi="宋体" w:eastAsia="宋体" w:cs="宋体"/>
          <w:color w:val="auto"/>
          <w:sz w:val="28"/>
          <w:szCs w:val="28"/>
          <w:highlight w:val="none"/>
        </w:rPr>
        <w:t>第三章   需补充或改动的格式条款</w:t>
      </w:r>
    </w:p>
    <w:p w14:paraId="02C46684">
      <w:pPr>
        <w:keepNext w:val="0"/>
        <w:keepLines w:val="0"/>
        <w:pageBreakBefore w:val="0"/>
        <w:widowControl/>
        <w:kinsoku/>
        <w:wordWrap/>
        <w:overflowPunct/>
        <w:topLinePunct w:val="0"/>
        <w:autoSpaceDE/>
        <w:autoSpaceDN/>
        <w:bidi w:val="0"/>
        <w:adjustRightInd/>
        <w:snapToGrid/>
        <w:spacing w:line="500" w:lineRule="exact"/>
        <w:ind w:firstLine="442" w:firstLineChars="200"/>
        <w:textAlignment w:val="baseline"/>
        <w:rPr>
          <w:rStyle w:val="47"/>
          <w:rFonts w:hint="eastAsia" w:ascii="宋体" w:hAnsi="宋体" w:eastAsia="宋体" w:cs="宋体"/>
          <w:b/>
          <w:color w:val="auto"/>
          <w:sz w:val="22"/>
          <w:szCs w:val="22"/>
          <w:highlight w:val="none"/>
        </w:rPr>
      </w:pPr>
      <w:r>
        <w:rPr>
          <w:rStyle w:val="47"/>
          <w:rFonts w:hint="eastAsia" w:ascii="宋体" w:hAnsi="宋体" w:eastAsia="宋体" w:cs="宋体"/>
          <w:b/>
          <w:color w:val="auto"/>
          <w:sz w:val="22"/>
          <w:szCs w:val="22"/>
          <w:highlight w:val="none"/>
        </w:rPr>
        <w:t>注：招标文件通用部分及专用条款中的格式部分均不得改动，如针对项目特点，需对招标文件相关条款进行补充和改动的，需在此表中注明。</w:t>
      </w:r>
    </w:p>
    <w:tbl>
      <w:tblPr>
        <w:tblStyle w:val="27"/>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285"/>
        <w:gridCol w:w="1276"/>
        <w:gridCol w:w="6621"/>
      </w:tblGrid>
      <w:tr w14:paraId="2E06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68FE273F">
            <w:pPr>
              <w:snapToGrid w:val="0"/>
              <w:spacing w:line="3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序号</w:t>
            </w:r>
          </w:p>
        </w:tc>
        <w:tc>
          <w:tcPr>
            <w:tcW w:w="1285" w:type="dxa"/>
            <w:tcBorders>
              <w:top w:val="single" w:color="000000" w:sz="4" w:space="0"/>
              <w:left w:val="single" w:color="000000" w:sz="4" w:space="0"/>
              <w:bottom w:val="single" w:color="000000" w:sz="4" w:space="0"/>
              <w:right w:val="single" w:color="000000" w:sz="4" w:space="0"/>
            </w:tcBorders>
            <w:vAlign w:val="center"/>
          </w:tcPr>
          <w:p w14:paraId="48957ECD">
            <w:pPr>
              <w:snapToGrid w:val="0"/>
              <w:spacing w:line="3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条款号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F40E464">
            <w:pPr>
              <w:snapToGrid w:val="0"/>
              <w:spacing w:line="3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条款名称</w:t>
            </w:r>
          </w:p>
        </w:tc>
        <w:tc>
          <w:tcPr>
            <w:tcW w:w="6621" w:type="dxa"/>
            <w:tcBorders>
              <w:top w:val="single" w:color="000000" w:sz="4" w:space="0"/>
              <w:left w:val="single" w:color="000000" w:sz="4" w:space="0"/>
              <w:bottom w:val="single" w:color="000000" w:sz="4" w:space="0"/>
              <w:right w:val="single" w:color="000000" w:sz="4" w:space="0"/>
            </w:tcBorders>
            <w:vAlign w:val="center"/>
          </w:tcPr>
          <w:p w14:paraId="618FA560">
            <w:pPr>
              <w:snapToGrid w:val="0"/>
              <w:spacing w:line="3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改动的条款</w:t>
            </w:r>
          </w:p>
        </w:tc>
      </w:tr>
      <w:tr w14:paraId="5134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0E22FC38">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1</w:t>
            </w:r>
          </w:p>
        </w:tc>
        <w:tc>
          <w:tcPr>
            <w:tcW w:w="1285" w:type="dxa"/>
            <w:tcBorders>
              <w:top w:val="single" w:color="000000" w:sz="4" w:space="0"/>
              <w:left w:val="single" w:color="000000" w:sz="4" w:space="0"/>
              <w:bottom w:val="single" w:color="000000" w:sz="4" w:space="0"/>
              <w:right w:val="single" w:color="000000" w:sz="4" w:space="0"/>
            </w:tcBorders>
            <w:vAlign w:val="center"/>
          </w:tcPr>
          <w:p w14:paraId="45252FB0">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下篇《通用部分》“第一章投标须知”</w:t>
            </w:r>
          </w:p>
          <w:p w14:paraId="1FB9661A">
            <w:pPr>
              <w:snapToGrid w:val="0"/>
              <w:spacing w:line="300" w:lineRule="exact"/>
              <w:jc w:val="center"/>
              <w:rPr>
                <w:rStyle w:val="47"/>
                <w:rFonts w:hint="eastAsia" w:ascii="宋体" w:hAnsi="宋体" w:eastAsia="宋体" w:cs="宋体"/>
                <w:b/>
                <w:bCs/>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BF2852F">
            <w:pPr>
              <w:pStyle w:val="101"/>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第11.4条“投标报价编制依据”</w:t>
            </w:r>
          </w:p>
        </w:tc>
        <w:tc>
          <w:tcPr>
            <w:tcW w:w="6621" w:type="dxa"/>
            <w:tcBorders>
              <w:top w:val="single" w:color="000000" w:sz="4" w:space="0"/>
              <w:left w:val="single" w:color="000000" w:sz="4" w:space="0"/>
              <w:bottom w:val="single" w:color="000000" w:sz="4" w:space="0"/>
              <w:right w:val="single" w:color="000000" w:sz="4" w:space="0"/>
            </w:tcBorders>
          </w:tcPr>
          <w:p w14:paraId="7D17A98A">
            <w:pPr>
              <w:snapToGrid w:val="0"/>
              <w:spacing w:line="300" w:lineRule="exact"/>
              <w:rPr>
                <w:rStyle w:val="47"/>
                <w:rFonts w:hint="eastAsia" w:ascii="宋体" w:hAnsi="宋体" w:eastAsia="宋体" w:cs="宋体"/>
                <w:b/>
                <w:bCs/>
                <w:color w:val="auto"/>
                <w:highlight w:val="none"/>
              </w:rPr>
            </w:pPr>
            <w:r>
              <w:rPr>
                <w:rStyle w:val="47"/>
                <w:rFonts w:hint="eastAsia" w:ascii="宋体" w:hAnsi="宋体" w:eastAsia="宋体" w:cs="宋体"/>
                <w:b/>
                <w:bCs/>
                <w:color w:val="auto"/>
                <w:highlight w:val="none"/>
              </w:rPr>
              <w:t>增加：</w:t>
            </w:r>
          </w:p>
          <w:p w14:paraId="43006F35">
            <w:pPr>
              <w:snapToGrid w:val="0"/>
              <w:spacing w:line="300" w:lineRule="exact"/>
              <w:ind w:firstLine="411" w:firstLineChars="196"/>
              <w:rPr>
                <w:rStyle w:val="47"/>
                <w:rFonts w:hint="eastAsia" w:ascii="宋体" w:hAnsi="宋体" w:eastAsia="宋体" w:cs="宋体"/>
                <w:b/>
                <w:bCs/>
                <w:color w:val="auto"/>
                <w:highlight w:val="none"/>
              </w:rPr>
            </w:pPr>
            <w:r>
              <w:rPr>
                <w:rStyle w:val="47"/>
                <w:rFonts w:hint="eastAsia" w:ascii="宋体" w:hAnsi="宋体" w:eastAsia="宋体" w:cs="宋体"/>
                <w:b w:val="0"/>
                <w:bCs w:val="0"/>
                <w:color w:val="auto"/>
                <w:highlight w:val="none"/>
              </w:rPr>
              <w:t>1.本工程计价方式采用全费用综合单价。投标人的报价应是招标范围内全部工程的价格体现，包含人工费、机械费、措施费、管理费、利润、施工期内的风险金、规费、税金等全部费用。</w:t>
            </w:r>
          </w:p>
          <w:p w14:paraId="394ECD30">
            <w:pPr>
              <w:snapToGrid w:val="0"/>
              <w:spacing w:line="300" w:lineRule="exact"/>
              <w:ind w:firstLine="411" w:firstLineChars="196"/>
              <w:rPr>
                <w:rStyle w:val="47"/>
                <w:rFonts w:hint="eastAsia" w:ascii="宋体" w:hAnsi="宋体" w:eastAsia="宋体" w:cs="宋体"/>
                <w:color w:val="auto"/>
                <w:highlight w:val="none"/>
              </w:rPr>
            </w:pPr>
            <w:r>
              <w:rPr>
                <w:rStyle w:val="47"/>
                <w:rFonts w:hint="eastAsia" w:ascii="宋体" w:hAnsi="宋体" w:eastAsia="宋体" w:cs="宋体"/>
                <w:color w:val="auto"/>
                <w:highlight w:val="none"/>
                <w:lang w:val="en-US"/>
              </w:rPr>
              <w:t>2</w:t>
            </w:r>
            <w:r>
              <w:rPr>
                <w:rStyle w:val="47"/>
                <w:rFonts w:hint="eastAsia" w:ascii="宋体" w:hAnsi="宋体" w:eastAsia="宋体" w:cs="宋体"/>
                <w:color w:val="auto"/>
                <w:highlight w:val="none"/>
              </w:rPr>
              <w:t>.措施项目费包括夜间施工增加费、二次搬运费、冬雨季施工增加费、已完工程及设备保护费、工程定位复测费、非夜间施工照明费、临时保护设施费、赶工措施费、其他措施项目等全部费用。</w:t>
            </w:r>
          </w:p>
          <w:p w14:paraId="71A62438">
            <w:pPr>
              <w:snapToGrid w:val="0"/>
              <w:spacing w:line="300" w:lineRule="exact"/>
              <w:ind w:firstLine="411" w:firstLineChars="196"/>
              <w:rPr>
                <w:rFonts w:hint="eastAsia" w:ascii="宋体" w:hAnsi="宋体" w:eastAsia="宋体" w:cs="宋体"/>
                <w:color w:val="auto"/>
                <w:highlight w:val="none"/>
              </w:rPr>
            </w:pPr>
            <w:r>
              <w:rPr>
                <w:rStyle w:val="47"/>
                <w:rFonts w:hint="eastAsia" w:ascii="宋体" w:hAnsi="宋体" w:eastAsia="宋体" w:cs="宋体"/>
                <w:color w:val="auto"/>
                <w:highlight w:val="none"/>
                <w:lang w:val="en-US"/>
              </w:rPr>
              <w:t>3.</w:t>
            </w:r>
            <w:r>
              <w:rPr>
                <w:rStyle w:val="47"/>
                <w:rFonts w:hint="eastAsia" w:ascii="宋体" w:hAnsi="宋体" w:eastAsia="宋体" w:cs="宋体"/>
                <w:color w:val="auto"/>
                <w:highlight w:val="none"/>
              </w:rPr>
              <w:t>投标人的投标报价须包含安全生产、文明施工及文明创建的所有费用，中标后发包人不因此而支付任何额外费用。施工过程中，中标人必须按安全生产、文明施工及文明创建的要求组织施工，如达不到要求，并拒不整改的，竣工结算中发包人将全额扣除承包人安全防护、文明施工及其相关措施费，且承包人须向发包人承担合同价2%的违约金。</w:t>
            </w:r>
          </w:p>
          <w:p w14:paraId="56B8D5CB">
            <w:pPr>
              <w:snapToGrid w:val="0"/>
              <w:spacing w:line="300" w:lineRule="exact"/>
              <w:ind w:firstLine="411" w:firstLineChars="196"/>
              <w:rPr>
                <w:rStyle w:val="47"/>
                <w:rFonts w:hint="eastAsia" w:ascii="宋体" w:hAnsi="宋体" w:eastAsia="宋体" w:cs="宋体"/>
                <w:color w:val="auto"/>
                <w:highlight w:val="none"/>
              </w:rPr>
            </w:pPr>
            <w:r>
              <w:rPr>
                <w:rStyle w:val="47"/>
                <w:rFonts w:hint="eastAsia" w:ascii="宋体" w:hAnsi="宋体" w:eastAsia="宋体" w:cs="宋体"/>
                <w:color w:val="auto"/>
                <w:highlight w:val="none"/>
                <w:lang w:val="en-US"/>
              </w:rPr>
              <w:t>4</w:t>
            </w:r>
            <w:r>
              <w:rPr>
                <w:rStyle w:val="47"/>
                <w:rFonts w:hint="eastAsia" w:ascii="宋体" w:hAnsi="宋体" w:eastAsia="宋体" w:cs="宋体"/>
                <w:color w:val="auto"/>
                <w:highlight w:val="none"/>
              </w:rPr>
              <w:t>.投标人的投标报价应充分考虑工程施工期间因雨季、汛期发生的排水等相关措施费，结算时不再另行计算。投标单位不得以不完全了解现场情况为由，提出任何形式的增加工程造价或索赔的要求。</w:t>
            </w:r>
          </w:p>
          <w:p w14:paraId="3C27F075">
            <w:pPr>
              <w:snapToGrid w:val="0"/>
              <w:spacing w:line="300" w:lineRule="exact"/>
              <w:ind w:firstLine="411" w:firstLineChars="196"/>
              <w:rPr>
                <w:rStyle w:val="47"/>
                <w:rFonts w:hint="eastAsia" w:ascii="宋体" w:hAnsi="宋体" w:eastAsia="宋体" w:cs="宋体"/>
                <w:color w:val="auto"/>
                <w:highlight w:val="none"/>
              </w:rPr>
            </w:pPr>
            <w:r>
              <w:rPr>
                <w:rStyle w:val="47"/>
                <w:rFonts w:hint="eastAsia" w:ascii="宋体" w:hAnsi="宋体" w:eastAsia="宋体" w:cs="宋体"/>
                <w:color w:val="auto"/>
                <w:highlight w:val="none"/>
                <w:lang w:val="en-US"/>
              </w:rPr>
              <w:t>5</w:t>
            </w:r>
            <w:r>
              <w:rPr>
                <w:rStyle w:val="47"/>
                <w:rFonts w:hint="eastAsia" w:ascii="宋体" w:hAnsi="宋体" w:eastAsia="宋体" w:cs="宋体"/>
                <w:color w:val="auto"/>
                <w:highlight w:val="none"/>
              </w:rPr>
              <w:t>.投标人的投标报价中包含出入口冲洗设备的采购、安装费及所涉及的一切相关费用，不再单列，招标人不再另行支付费用。</w:t>
            </w:r>
          </w:p>
          <w:p w14:paraId="6EA5EAC8">
            <w:pPr>
              <w:snapToGrid w:val="0"/>
              <w:spacing w:line="300" w:lineRule="exact"/>
              <w:ind w:firstLine="411" w:firstLineChars="196"/>
              <w:rPr>
                <w:rStyle w:val="47"/>
                <w:rFonts w:hint="eastAsia" w:ascii="宋体" w:hAnsi="宋体" w:eastAsia="宋体" w:cs="宋体"/>
                <w:color w:val="auto"/>
                <w:highlight w:val="none"/>
              </w:rPr>
            </w:pPr>
            <w:r>
              <w:rPr>
                <w:rStyle w:val="47"/>
                <w:rFonts w:hint="eastAsia" w:ascii="宋体" w:hAnsi="宋体" w:eastAsia="宋体" w:cs="宋体"/>
                <w:color w:val="auto"/>
                <w:highlight w:val="none"/>
                <w:lang w:val="en-US"/>
              </w:rPr>
              <w:t>6</w:t>
            </w:r>
            <w:r>
              <w:rPr>
                <w:rStyle w:val="47"/>
                <w:rFonts w:hint="eastAsia" w:ascii="宋体" w:hAnsi="宋体" w:eastAsia="宋体" w:cs="宋体"/>
                <w:color w:val="auto"/>
                <w:highlight w:val="none"/>
              </w:rPr>
              <w:t>.本工程计价方式采用全费用综合单价。可以参照《建设工程工程量清单计价规范》GB50500－2013，2018版《安徽省建设工程计价依据》、《安徽省建设工程计价依据动态调整》（第</w:t>
            </w:r>
            <w:r>
              <w:rPr>
                <w:rStyle w:val="47"/>
                <w:rFonts w:hint="eastAsia" w:ascii="宋体" w:hAnsi="宋体" w:cs="宋体"/>
                <w:color w:val="auto"/>
                <w:highlight w:val="none"/>
                <w:lang w:val="en-US"/>
              </w:rPr>
              <w:t>2</w:t>
            </w:r>
            <w:r>
              <w:rPr>
                <w:rStyle w:val="47"/>
                <w:rFonts w:hint="eastAsia" w:ascii="宋体" w:hAnsi="宋体" w:eastAsia="宋体" w:cs="宋体"/>
                <w:color w:val="auto"/>
                <w:highlight w:val="none"/>
              </w:rPr>
              <w:t>期）等相关资料。</w:t>
            </w:r>
          </w:p>
        </w:tc>
      </w:tr>
      <w:tr w14:paraId="434E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7D39905A">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2</w:t>
            </w:r>
          </w:p>
        </w:tc>
        <w:tc>
          <w:tcPr>
            <w:tcW w:w="1285" w:type="dxa"/>
            <w:tcBorders>
              <w:top w:val="single" w:color="000000" w:sz="4" w:space="0"/>
              <w:left w:val="single" w:color="000000" w:sz="4" w:space="0"/>
              <w:bottom w:val="single" w:color="000000" w:sz="4" w:space="0"/>
              <w:right w:val="single" w:color="000000" w:sz="4" w:space="0"/>
            </w:tcBorders>
            <w:vAlign w:val="center"/>
          </w:tcPr>
          <w:p w14:paraId="521F31C2">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下篇《通用部分》“第一章投标须知”</w:t>
            </w:r>
          </w:p>
          <w:p w14:paraId="6CAEC50F">
            <w:pPr>
              <w:snapToGrid w:val="0"/>
              <w:spacing w:line="300" w:lineRule="exact"/>
              <w:jc w:val="center"/>
              <w:rPr>
                <w:rStyle w:val="47"/>
                <w:rFonts w:hint="eastAsia" w:ascii="宋体" w:hAnsi="宋体" w:eastAsia="宋体" w:cs="宋体"/>
                <w:b/>
                <w:bCs/>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C881C60">
            <w:pPr>
              <w:pStyle w:val="101"/>
              <w:snapToGrid w:val="0"/>
              <w:spacing w:line="300" w:lineRule="exact"/>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第11.5条“投标人的费用项目编制原则”</w:t>
            </w:r>
          </w:p>
        </w:tc>
        <w:tc>
          <w:tcPr>
            <w:tcW w:w="6621" w:type="dxa"/>
            <w:tcBorders>
              <w:top w:val="single" w:color="000000" w:sz="4" w:space="0"/>
              <w:left w:val="single" w:color="000000" w:sz="4" w:space="0"/>
              <w:bottom w:val="single" w:color="000000" w:sz="4" w:space="0"/>
              <w:right w:val="single" w:color="000000" w:sz="4" w:space="0"/>
            </w:tcBorders>
          </w:tcPr>
          <w:p w14:paraId="35A10587">
            <w:pPr>
              <w:snapToGrid w:val="0"/>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增加：</w:t>
            </w:r>
          </w:p>
          <w:p w14:paraId="00B718D7">
            <w:pPr>
              <w:snapToGrid w:val="0"/>
              <w:spacing w:line="3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1.投标人的投标报价应是完成工程量清单、施工图纸所列招标工程范围内容的全部以及完成上述内容所必须的附属工程、临时工程（其中含施工</w:t>
            </w:r>
            <w:r>
              <w:rPr>
                <w:rFonts w:hint="eastAsia" w:ascii="宋体" w:hAnsi="宋体" w:eastAsia="宋体" w:cs="宋体"/>
                <w:color w:val="auto"/>
                <w:highlight w:val="none"/>
                <w:lang w:eastAsia="zh-CN"/>
              </w:rPr>
              <w:t>围挡</w:t>
            </w:r>
            <w:r>
              <w:rPr>
                <w:rFonts w:hint="eastAsia" w:ascii="宋体" w:hAnsi="宋体" w:eastAsia="宋体" w:cs="宋体"/>
                <w:color w:val="auto"/>
                <w:highlight w:val="none"/>
              </w:rPr>
              <w:t>、排水、施工便道、场地硬化、临时设施，施工现场周围管线的保护及不影响原道路畅通和管道通畅的导流措施等）及工程施工过程中发生的所有措施费用等全部费用。</w:t>
            </w:r>
          </w:p>
          <w:p w14:paraId="168CEC4B">
            <w:pPr>
              <w:snapToGrid w:val="0"/>
              <w:spacing w:line="3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投标人投标报价中须考虑招标文件中及施工组织设计中描述的所有措施费，并去施工现场实地考察施工环境，须满足本工程施工中所有相关措施需要。投标人中标后，不得以不完全了解现场情况为由，提出任何形式的增加工程造价或索赔的要求。投标人在投标报价时须充分考虑将来施工过程中对原有建筑物、道路等设施</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破坏修复费用、大型机械进出场、环境保洁费用等相关措施费用，中标后招标人不再另行支付上述相关费用。</w:t>
            </w:r>
          </w:p>
          <w:p w14:paraId="6B64C90D">
            <w:pPr>
              <w:snapToGrid w:val="0"/>
              <w:spacing w:line="3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3.对于受施工现场场地限制，需要另外寻找场地解决临时住宿、材料及设备堆放，由此所产生的费用由承包人自行承担，招标人不再另行支付。</w:t>
            </w:r>
          </w:p>
          <w:p w14:paraId="5D8D88C9">
            <w:pPr>
              <w:snapToGrid w:val="0"/>
              <w:spacing w:line="3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招标人要求施工单位必须做到安全生产、文明施工。投标单位应自行进行现场踏勘，对工程的地理位置，施工现场情况和影响的因素以及困难条件进行周密的勘察和研究，做出自己的判断、结论和估价，投标报价时要充分考虑上述因素（如与周边社会关系的协调、材料场内二次搬运、运输距离和垃圾外运（外运垃圾的</w:t>
            </w:r>
            <w:r>
              <w:rPr>
                <w:rFonts w:hint="eastAsia" w:ascii="宋体" w:hAnsi="宋体" w:eastAsia="宋体" w:cs="宋体"/>
                <w:color w:val="auto"/>
                <w:highlight w:val="none"/>
                <w:lang w:val="en-US" w:eastAsia="zh-CN"/>
              </w:rPr>
              <w:t>抛弃点</w:t>
            </w:r>
            <w:r>
              <w:rPr>
                <w:rFonts w:hint="eastAsia" w:ascii="宋体" w:hAnsi="宋体" w:eastAsia="宋体" w:cs="宋体"/>
                <w:color w:val="auto"/>
                <w:highlight w:val="none"/>
              </w:rPr>
              <w:t>由投标人自行考虑）过程中交通、城管等部门对装卸的限制、环境影响等各种因素等）。中标后，签订合同时和施工过程中，投标单位不得以不完全了解现场情况为由，提出任何形式的增加工程造价或索赔的要求。</w:t>
            </w:r>
          </w:p>
          <w:p w14:paraId="15FBE85B">
            <w:pPr>
              <w:snapToGrid w:val="0"/>
              <w:spacing w:line="3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.施工临时便道及临时管道由投标人踏勘现场自行考虑，费用考虑在投标报价中。</w:t>
            </w:r>
          </w:p>
          <w:p w14:paraId="0506DF4E">
            <w:pPr>
              <w:pStyle w:val="37"/>
              <w:rPr>
                <w:rFonts w:hint="eastAsia" w:ascii="宋体" w:hAnsi="宋体" w:eastAsia="宋体" w:cs="宋体"/>
                <w:color w:val="auto"/>
                <w:highlight w:val="none"/>
              </w:rPr>
            </w:pPr>
            <w:r>
              <w:rPr>
                <w:rStyle w:val="47"/>
                <w:rFonts w:hint="eastAsia" w:ascii="宋体" w:hAnsi="宋体" w:eastAsia="宋体" w:cs="宋体"/>
                <w:color w:val="auto"/>
                <w:highlight w:val="none"/>
                <w:lang w:val="en-US"/>
              </w:rPr>
              <w:t>6</w:t>
            </w:r>
            <w:r>
              <w:rPr>
                <w:rStyle w:val="47"/>
                <w:rFonts w:hint="eastAsia" w:ascii="宋体" w:hAnsi="宋体" w:eastAsia="宋体" w:cs="宋体"/>
                <w:color w:val="auto"/>
                <w:highlight w:val="none"/>
              </w:rPr>
              <w:t>.工程资料的档案编制、整理、扫描、加工等相关费用由施工单位承担（由投标人自行考虑，包含在投标单价和投标总价中， 招标人不再单独计量支付），且必须满足招标人及档案馆的资料归档要求。</w:t>
            </w:r>
          </w:p>
        </w:tc>
      </w:tr>
      <w:tr w14:paraId="48FF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64D88789">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3</w:t>
            </w:r>
          </w:p>
        </w:tc>
        <w:tc>
          <w:tcPr>
            <w:tcW w:w="1285" w:type="dxa"/>
            <w:tcBorders>
              <w:top w:val="single" w:color="000000" w:sz="4" w:space="0"/>
              <w:left w:val="single" w:color="000000" w:sz="4" w:space="0"/>
              <w:bottom w:val="single" w:color="000000" w:sz="4" w:space="0"/>
              <w:right w:val="single" w:color="000000" w:sz="4" w:space="0"/>
            </w:tcBorders>
            <w:vAlign w:val="center"/>
          </w:tcPr>
          <w:p w14:paraId="675B9542">
            <w:pPr>
              <w:snapToGrid w:val="0"/>
              <w:spacing w:line="300" w:lineRule="exact"/>
              <w:jc w:val="center"/>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重要说明</w:t>
            </w:r>
          </w:p>
        </w:tc>
        <w:tc>
          <w:tcPr>
            <w:tcW w:w="1276" w:type="dxa"/>
            <w:tcBorders>
              <w:top w:val="single" w:color="000000" w:sz="4" w:space="0"/>
              <w:left w:val="single" w:color="000000" w:sz="4" w:space="0"/>
              <w:bottom w:val="single" w:color="000000" w:sz="4" w:space="0"/>
              <w:right w:val="single" w:color="000000" w:sz="4" w:space="0"/>
            </w:tcBorders>
            <w:vAlign w:val="center"/>
          </w:tcPr>
          <w:p w14:paraId="25F22AF4">
            <w:pPr>
              <w:pStyle w:val="101"/>
              <w:snapToGrid w:val="0"/>
              <w:spacing w:line="300" w:lineRule="exact"/>
              <w:rPr>
                <w:rStyle w:val="47"/>
                <w:rFonts w:hint="eastAsia" w:ascii="宋体" w:hAnsi="宋体" w:eastAsia="宋体" w:cs="宋体"/>
                <w:color w:val="auto"/>
                <w:sz w:val="24"/>
                <w:highlight w:val="none"/>
              </w:rPr>
            </w:pPr>
          </w:p>
        </w:tc>
        <w:tc>
          <w:tcPr>
            <w:tcW w:w="6621" w:type="dxa"/>
            <w:tcBorders>
              <w:top w:val="single" w:color="000000" w:sz="4" w:space="0"/>
              <w:left w:val="single" w:color="000000" w:sz="4" w:space="0"/>
              <w:bottom w:val="single" w:color="000000" w:sz="4" w:space="0"/>
              <w:right w:val="single" w:color="000000" w:sz="4" w:space="0"/>
            </w:tcBorders>
          </w:tcPr>
          <w:p w14:paraId="33F44A2F">
            <w:pPr>
              <w:snapToGrid w:val="0"/>
              <w:spacing w:line="3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rPr>
              <w:t>施工期间，安全防护、文明施工及扬尘污染防治具体实施执行中华人民共和国住房和城乡建设部（编号JGJ146-2013)《建设工程施工现场环境与卫生标准》、建管函[2018]80号文《关于全面提升建筑工程临时围挡美化亮化的通知》、建管[2018]24号文《关于进一步加强我市建筑施工现场扬尘污染管控工作的通知》、建管函〔2017〕67号文《关于进一步加强我市施工现场文明施工扬尘管控工作的通知》（相关文件表述不一致时，以高要求为准），承包人投标报价中已考虑招标文件中及施工组织设计中描述的所有措施费，并已综合考虑以上所有费用，能够满足本工程施工中所有相关措施需要，中标后，承包人不得以不完全了解现场情况为由，提出任何形式的增加工程造价或索赔的要求。</w:t>
            </w:r>
          </w:p>
          <w:p w14:paraId="080C917C">
            <w:pPr>
              <w:snapToGrid w:val="0"/>
              <w:spacing w:line="3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2.本工程施工中使用的所有运输车必须执行铜陵市人民政府办公室【办[2017]174号】《铜陵市推广使用全密闭新型绿色环保运输车实施方案的通知》要求。</w:t>
            </w:r>
          </w:p>
          <w:p w14:paraId="44BD23D1">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3.招标文件中第六章合同专用条款中增加“对项目经理（建造师）及承包人相关要求及违约责任”，投标人投标报价须充分考虑由此带来的风险因素，一旦中标，必须严格执行招标文件中专用合同条款，否则招标人有权取消投标人中标资格，或没收承包人履约保证金，终止施工合同，将承包人清退出场。</w:t>
            </w:r>
          </w:p>
          <w:p w14:paraId="342C75A1">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 xml:space="preserve">4.相关报批手续由施工单位配合建设单位办理，施工单位应按许可内容进行文明施工。施工区域垃圾、污水由施工单位自行处理，自行承担发生的所有费用，不得污染周围环境。 </w:t>
            </w:r>
          </w:p>
          <w:p w14:paraId="2D71D438">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5.中标人中标后应编制详细的施工方案，报送相关主管部门审批后方可实施，增加的施工便道等费用包含在措施费中，不再另行计取费用。</w:t>
            </w:r>
          </w:p>
          <w:p w14:paraId="536D4C06">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6.施工过程中，施工单位应做好施工区域范围内相关地下管线、地上建筑物、构筑物，原有各类管道或其他设施等的成品保护，开挖前应做好探管、与其他使用单位交底等相关准备工作。相关地下管线应探明且与其他使用单位做好交底等相关准备工作。相关地下管线应探明且与其他相关使用单位做好交底等相关工作后方可进场施工，如未按上述要求进行前期准备工作，施工过程中出现安全事故，由施工单位承担由此造成的全部损失及责任。</w:t>
            </w:r>
          </w:p>
          <w:p w14:paraId="1B63B3AB">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7.本工程施工质量管理严格执行《住房城乡建设部关于开展质量管理标准化工作的通知》（建质【2017】242号）、《安徽省建设工程施工质量标准化示范工程管理指导意见》《安徽省建设工程施工质量标准化示范工程实施细则（试行）》“关于印发《铜陵市建设工程施工质量标准化工作方案和实施办法》的通知”（建函【2018】84号）文件要求。</w:t>
            </w:r>
          </w:p>
          <w:p w14:paraId="65D05714">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8.本工程中标人必须严格执行住建部和人社部建市[2019]18号文《住房和城乡建设部人力资源社会保障部关于印发建筑工人实名制管理办法（试行）的通知》及市人社局铜人社[2019]32号文《关于做好我市建设工程领域农民工实名制登记及工资支付监管信息化管理工作的通知》。</w:t>
            </w:r>
          </w:p>
          <w:p w14:paraId="718579A3">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9.投标人应充分考虑现场交通情况，投标报价中须考虑招标文件中及施工组织设计中描述的所有措施项目费，须满足本工程施工中所有相关措施需要。投标人中标后，不得以不完全了解现场情况为由，提出任何形式的增加工程造价或索赔的要求。</w:t>
            </w:r>
          </w:p>
          <w:p w14:paraId="458CA18C">
            <w:pPr>
              <w:pStyle w:val="37"/>
              <w:rPr>
                <w:rStyle w:val="47"/>
                <w:rFonts w:hint="eastAsia" w:ascii="宋体" w:hAnsi="宋体" w:eastAsia="宋体" w:cs="宋体"/>
                <w:color w:val="auto"/>
                <w:highlight w:val="none"/>
                <w:lang w:val="en-US"/>
              </w:rPr>
            </w:pPr>
            <w:r>
              <w:rPr>
                <w:rStyle w:val="47"/>
                <w:rFonts w:hint="eastAsia" w:ascii="宋体" w:hAnsi="宋体" w:eastAsia="宋体" w:cs="宋体"/>
                <w:color w:val="auto"/>
                <w:highlight w:val="none"/>
                <w:lang w:val="en-US"/>
              </w:rPr>
              <w:t>10.施工中应加强对施工范围内基础设施的保护措施，严禁野蛮施工，如有损坏应无条件修复。</w:t>
            </w:r>
          </w:p>
          <w:p w14:paraId="3720F3B6">
            <w:pPr>
              <w:pStyle w:val="37"/>
              <w:rPr>
                <w:rStyle w:val="47"/>
                <w:rFonts w:hint="eastAsia" w:ascii="宋体" w:hAnsi="宋体" w:eastAsia="宋体" w:cs="宋体"/>
                <w:color w:val="auto"/>
                <w:highlight w:val="none"/>
                <w:lang w:val="en-US"/>
              </w:rPr>
            </w:pPr>
            <w:r>
              <w:rPr>
                <w:rStyle w:val="47"/>
                <w:rFonts w:hint="eastAsia" w:ascii="宋体" w:hAnsi="宋体" w:cs="宋体"/>
                <w:color w:val="auto"/>
                <w:highlight w:val="none"/>
                <w:lang w:val="en-US"/>
              </w:rPr>
              <w:t>11</w:t>
            </w:r>
            <w:r>
              <w:rPr>
                <w:rStyle w:val="47"/>
                <w:rFonts w:hint="eastAsia" w:ascii="宋体" w:hAnsi="宋体" w:eastAsia="宋体" w:cs="宋体"/>
                <w:color w:val="auto"/>
                <w:highlight w:val="none"/>
                <w:lang w:val="en-US"/>
              </w:rPr>
              <w:t>.投标人必须自行踏勘现场，对现场可能需要实施的施工便道，场内、外排水，雨季施工额外措施费等外部不利施工的其他因素，在投标报价内综合考虑，中标后一律不予额外增加费用。投标前潜在投标人须充分了解项目情况，报价综合考虑项目风险费用。</w:t>
            </w:r>
          </w:p>
          <w:p w14:paraId="051546D9">
            <w:pPr>
              <w:pStyle w:val="37"/>
              <w:rPr>
                <w:rStyle w:val="47"/>
                <w:rFonts w:hint="eastAsia" w:ascii="宋体" w:hAnsi="宋体" w:eastAsia="宋体" w:cs="宋体"/>
                <w:color w:val="auto"/>
                <w:highlight w:val="none"/>
              </w:rPr>
            </w:pPr>
            <w:r>
              <w:rPr>
                <w:rStyle w:val="47"/>
                <w:rFonts w:hint="eastAsia" w:ascii="宋体" w:hAnsi="宋体" w:cs="宋体"/>
                <w:color w:val="auto"/>
                <w:highlight w:val="none"/>
                <w:lang w:val="en-US"/>
              </w:rPr>
              <w:t>12</w:t>
            </w:r>
            <w:r>
              <w:rPr>
                <w:rStyle w:val="47"/>
                <w:rFonts w:hint="eastAsia" w:ascii="宋体" w:hAnsi="宋体" w:eastAsia="宋体" w:cs="宋体"/>
                <w:color w:val="auto"/>
                <w:highlight w:val="none"/>
                <w:lang w:val="en-US"/>
              </w:rPr>
              <w:t>.</w:t>
            </w:r>
            <w:r>
              <w:rPr>
                <w:rStyle w:val="47"/>
                <w:rFonts w:hint="eastAsia" w:ascii="宋体" w:hAnsi="宋体" w:eastAsia="宋体" w:cs="宋体"/>
                <w:color w:val="auto"/>
                <w:highlight w:val="none"/>
              </w:rPr>
              <w:t>施工过程中要做好围挡和交通疏导、配备交通疏导人员和设置警示标志，保证通行有序、安全，投标时综合考虑相关费用。施工过程中要保证不影响区域内</w:t>
            </w:r>
            <w:r>
              <w:rPr>
                <w:rStyle w:val="47"/>
                <w:rFonts w:hint="eastAsia" w:ascii="宋体" w:hAnsi="宋体" w:eastAsia="宋体" w:cs="宋体"/>
                <w:color w:val="auto"/>
                <w:highlight w:val="none"/>
                <w:lang w:val="en-US"/>
              </w:rPr>
              <w:t>人员</w:t>
            </w:r>
            <w:r>
              <w:rPr>
                <w:rStyle w:val="47"/>
                <w:rFonts w:hint="eastAsia" w:ascii="宋体" w:hAnsi="宋体" w:eastAsia="宋体" w:cs="宋体"/>
                <w:color w:val="auto"/>
                <w:highlight w:val="none"/>
              </w:rPr>
              <w:t>的正常出行，做好降噪和扬尘治理，夜间施工须按照铜陵市政府相关规定执行。</w:t>
            </w:r>
          </w:p>
          <w:p w14:paraId="24BE5F08">
            <w:pPr>
              <w:pStyle w:val="37"/>
              <w:rPr>
                <w:rStyle w:val="47"/>
                <w:rFonts w:hint="eastAsia" w:ascii="宋体" w:hAnsi="宋体" w:eastAsia="宋体" w:cs="宋体"/>
                <w:b/>
                <w:bCs/>
                <w:color w:val="auto"/>
                <w:highlight w:val="none"/>
                <w:lang w:val="en-US" w:eastAsia="zh-CN"/>
              </w:rPr>
            </w:pPr>
            <w:r>
              <w:rPr>
                <w:rStyle w:val="47"/>
                <w:rFonts w:hint="eastAsia" w:ascii="宋体" w:hAnsi="宋体" w:cs="宋体"/>
                <w:b/>
                <w:bCs/>
                <w:color w:val="auto"/>
                <w:highlight w:val="none"/>
                <w:lang w:val="en-US" w:eastAsia="zh-CN"/>
              </w:rPr>
              <w:t>13</w:t>
            </w:r>
            <w:r>
              <w:rPr>
                <w:rStyle w:val="47"/>
                <w:rFonts w:hint="eastAsia" w:ascii="宋体" w:hAnsi="宋体" w:eastAsia="宋体" w:cs="宋体"/>
                <w:b/>
                <w:bCs/>
                <w:color w:val="auto"/>
                <w:highlight w:val="none"/>
                <w:lang w:val="en-US" w:eastAsia="zh-CN"/>
              </w:rPr>
              <w:t>.严格按照合同以及国家有关法律、法规、操作规程施工，制定施工现场安全操作规程，对施工人员进行安全交底，按安全程序施工并指派现场安全检查员。建立完善施工现场安全组织机构，明确岗位、职责，在施工中发生的一切安全事故，由承包人负责，并承担由此产生的经济和法律责任。</w:t>
            </w:r>
          </w:p>
          <w:p w14:paraId="33283F3E">
            <w:pPr>
              <w:keepNext w:val="0"/>
              <w:keepLines w:val="0"/>
              <w:pageBreakBefore w:val="0"/>
              <w:widowControl w:val="0"/>
              <w:kinsoku/>
              <w:wordWrap/>
              <w:overflowPunct/>
              <w:topLinePunct w:val="0"/>
              <w:bidi w:val="0"/>
              <w:adjustRightInd/>
              <w:snapToGrid/>
              <w:spacing w:line="240" w:lineRule="auto"/>
              <w:ind w:firstLine="422" w:firstLineChars="200"/>
              <w:textAlignment w:val="auto"/>
              <w:rPr>
                <w:rFonts w:hint="eastAsia"/>
                <w:color w:val="auto"/>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14.中标单位杜绝一切形式的盗采行为，一经发现，承担1万-3万元违约金，同时承担全额履约保证金等金额的违约金，清退出场，按已完合格工程量的80%与承包人结算，相关违约金在结算款中扣除并承担一切法律责任。</w:t>
            </w:r>
          </w:p>
        </w:tc>
      </w:tr>
    </w:tbl>
    <w:p w14:paraId="47042802">
      <w:pPr>
        <w:numPr>
          <w:ilvl w:val="0"/>
          <w:numId w:val="0"/>
        </w:numPr>
        <w:tabs>
          <w:tab w:val="left" w:pos="432"/>
        </w:tabs>
        <w:snapToGrid w:val="0"/>
        <w:spacing w:line="360" w:lineRule="auto"/>
        <w:jc w:val="center"/>
        <w:textAlignment w:val="baseline"/>
        <w:rPr>
          <w:rStyle w:val="47"/>
          <w:rFonts w:hint="eastAsia" w:ascii="宋体" w:hAnsi="宋体" w:eastAsia="宋体" w:cs="宋体"/>
          <w:b/>
          <w:color w:val="auto"/>
          <w:sz w:val="30"/>
          <w:szCs w:val="30"/>
          <w:highlight w:val="none"/>
        </w:rPr>
      </w:pPr>
    </w:p>
    <w:p w14:paraId="6296D57A">
      <w:pPr>
        <w:numPr>
          <w:ilvl w:val="0"/>
          <w:numId w:val="0"/>
        </w:numPr>
        <w:tabs>
          <w:tab w:val="left" w:pos="432"/>
        </w:tabs>
        <w:snapToGrid w:val="0"/>
        <w:spacing w:line="360" w:lineRule="auto"/>
        <w:jc w:val="center"/>
        <w:textAlignment w:val="baseline"/>
        <w:rPr>
          <w:rStyle w:val="47"/>
          <w:rFonts w:hint="eastAsia" w:ascii="宋体" w:hAnsi="宋体" w:eastAsia="宋体" w:cs="宋体"/>
          <w:b/>
          <w:color w:val="auto"/>
          <w:sz w:val="30"/>
          <w:szCs w:val="30"/>
          <w:highlight w:val="none"/>
        </w:rPr>
      </w:pPr>
    </w:p>
    <w:p w14:paraId="0D2AECDF">
      <w:pPr>
        <w:numPr>
          <w:ilvl w:val="0"/>
          <w:numId w:val="0"/>
        </w:numPr>
        <w:tabs>
          <w:tab w:val="left" w:pos="432"/>
        </w:tabs>
        <w:snapToGrid w:val="0"/>
        <w:spacing w:line="360" w:lineRule="auto"/>
        <w:jc w:val="both"/>
        <w:textAlignment w:val="baseline"/>
        <w:rPr>
          <w:rStyle w:val="47"/>
          <w:rFonts w:hint="eastAsia" w:ascii="宋体" w:hAnsi="宋体" w:eastAsia="宋体" w:cs="宋体"/>
          <w:b/>
          <w:color w:val="auto"/>
          <w:sz w:val="30"/>
          <w:szCs w:val="30"/>
          <w:highlight w:val="none"/>
        </w:rPr>
      </w:pPr>
    </w:p>
    <w:p w14:paraId="44B57DE2">
      <w:pPr>
        <w:numPr>
          <w:ilvl w:val="0"/>
          <w:numId w:val="1"/>
        </w:numPr>
        <w:snapToGrid w:val="0"/>
        <w:spacing w:line="360" w:lineRule="auto"/>
        <w:jc w:val="center"/>
        <w:rPr>
          <w:rStyle w:val="47"/>
          <w:rFonts w:hint="eastAsia" w:ascii="宋体" w:hAnsi="宋体" w:eastAsia="宋体" w:cs="宋体"/>
          <w:b/>
          <w:color w:val="auto"/>
          <w:sz w:val="30"/>
          <w:szCs w:val="30"/>
          <w:highlight w:val="none"/>
        </w:rPr>
      </w:pPr>
      <w:r>
        <w:rPr>
          <w:rStyle w:val="47"/>
          <w:rFonts w:hint="eastAsia" w:ascii="宋体" w:hAnsi="宋体" w:eastAsia="宋体" w:cs="宋体"/>
          <w:b/>
          <w:color w:val="auto"/>
          <w:sz w:val="30"/>
          <w:szCs w:val="30"/>
          <w:highlight w:val="none"/>
        </w:rPr>
        <w:t>第四章 图纸、技术标准和要求</w:t>
      </w:r>
    </w:p>
    <w:p w14:paraId="1F35F579">
      <w:pPr>
        <w:pStyle w:val="37"/>
        <w:rPr>
          <w:rFonts w:hint="eastAsia" w:ascii="宋体" w:hAnsi="宋体" w:eastAsia="宋体" w:cs="宋体"/>
          <w:color w:val="auto"/>
          <w:highlight w:val="none"/>
        </w:rPr>
      </w:pPr>
    </w:p>
    <w:p w14:paraId="02264317">
      <w:pPr>
        <w:numPr>
          <w:ilvl w:val="0"/>
          <w:numId w:val="1"/>
        </w:numPr>
        <w:snapToGrid w:val="0"/>
        <w:spacing w:line="360" w:lineRule="auto"/>
        <w:jc w:val="center"/>
        <w:rPr>
          <w:rStyle w:val="47"/>
          <w:rFonts w:hint="eastAsia" w:ascii="宋体" w:hAnsi="宋体" w:eastAsia="宋体" w:cs="宋体"/>
          <w:b/>
          <w:color w:val="auto"/>
          <w:sz w:val="30"/>
          <w:szCs w:val="30"/>
          <w:highlight w:val="none"/>
        </w:rPr>
      </w:pPr>
      <w:r>
        <w:rPr>
          <w:rStyle w:val="47"/>
          <w:rFonts w:hint="eastAsia" w:ascii="宋体" w:hAnsi="宋体" w:eastAsia="宋体" w:cs="宋体"/>
          <w:b/>
          <w:color w:val="auto"/>
          <w:sz w:val="30"/>
          <w:szCs w:val="30"/>
          <w:highlight w:val="none"/>
        </w:rPr>
        <w:t>第五章  工程量清单（另附）</w:t>
      </w:r>
    </w:p>
    <w:p w14:paraId="782BB135">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3A1D1636">
      <w:pPr>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第六章  合同专用条款</w:t>
      </w:r>
    </w:p>
    <w:p w14:paraId="0AAEF031">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0" w:name="_Toc351203633"/>
      <w:r>
        <w:rPr>
          <w:rFonts w:hint="eastAsia" w:ascii="宋体" w:hAnsi="宋体" w:eastAsia="宋体" w:cs="宋体"/>
          <w:color w:val="auto"/>
          <w:sz w:val="21"/>
          <w:szCs w:val="21"/>
          <w:highlight w:val="none"/>
        </w:rPr>
        <w:t>1</w:t>
      </w:r>
      <w:bookmarkStart w:id="1" w:name="_Toc296944495"/>
      <w:bookmarkStart w:id="2" w:name="_Toc297120456"/>
      <w:bookmarkStart w:id="3" w:name="_Toc296890984"/>
      <w:bookmarkStart w:id="4" w:name="_Toc292559866"/>
      <w:bookmarkStart w:id="5" w:name="_Toc292559361"/>
      <w:bookmarkStart w:id="6" w:name="_Toc296503156"/>
      <w:bookmarkStart w:id="7" w:name="_Toc297048342"/>
      <w:bookmarkStart w:id="8" w:name="_Toc296347155"/>
      <w:bookmarkStart w:id="9" w:name="_Toc296891196"/>
      <w:bookmarkStart w:id="10" w:name="_Toc296346657"/>
      <w:r>
        <w:rPr>
          <w:rFonts w:hint="eastAsia" w:ascii="宋体" w:hAnsi="宋体" w:eastAsia="宋体" w:cs="宋体"/>
          <w:color w:val="auto"/>
          <w:sz w:val="21"/>
          <w:szCs w:val="21"/>
          <w:highlight w:val="none"/>
        </w:rPr>
        <w:t>. 一般约定</w:t>
      </w:r>
      <w:bookmarkEnd w:id="0"/>
    </w:p>
    <w:bookmarkEnd w:id="1"/>
    <w:bookmarkEnd w:id="2"/>
    <w:bookmarkEnd w:id="3"/>
    <w:bookmarkEnd w:id="4"/>
    <w:bookmarkEnd w:id="5"/>
    <w:bookmarkEnd w:id="6"/>
    <w:bookmarkEnd w:id="7"/>
    <w:bookmarkEnd w:id="8"/>
    <w:bookmarkEnd w:id="9"/>
    <w:bookmarkEnd w:id="10"/>
    <w:p w14:paraId="37016BF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词语定义</w:t>
      </w:r>
    </w:p>
    <w:p w14:paraId="37E9606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45C1EEF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 xml:space="preserve">    1.1.1.10其他合同文件包括：</w:t>
      </w:r>
      <w:r>
        <w:rPr>
          <w:rFonts w:hint="eastAsia" w:ascii="宋体" w:hAnsi="宋体" w:eastAsia="宋体" w:cs="宋体"/>
          <w:color w:val="auto"/>
          <w:szCs w:val="21"/>
          <w:highlight w:val="none"/>
          <w:u w:val="single"/>
        </w:rPr>
        <w:t xml:space="preserve">招标文件、工程量清单、最高投标限价等。 </w:t>
      </w:r>
    </w:p>
    <w:p w14:paraId="5ED3FC1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1.1.2 合同当事人及其他相关方</w:t>
      </w:r>
    </w:p>
    <w:p w14:paraId="3635434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1.1.2.4监理人：</w:t>
      </w:r>
    </w:p>
    <w:p w14:paraId="070CB1D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031515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FE405C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5863AA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36F8E7A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4B2D06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6DFDDF3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0921064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10F250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673F06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71115B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0E5C30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03B012A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8AFBB1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kern w:val="0"/>
          <w:szCs w:val="21"/>
          <w:highlight w:val="none"/>
        </w:rPr>
        <w:t>。</w:t>
      </w:r>
    </w:p>
    <w:p w14:paraId="758D4DB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48B67DF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1.3法律 </w:t>
      </w:r>
    </w:p>
    <w:p w14:paraId="4EA43B57">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《中华人民共和国民法典</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中华人民共和国建筑法</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中华人民共和国招标投标法》等相关法律法规</w:t>
      </w:r>
      <w:r>
        <w:rPr>
          <w:rFonts w:hint="eastAsia" w:ascii="宋体" w:hAnsi="宋体" w:eastAsia="宋体" w:cs="宋体"/>
          <w:color w:val="auto"/>
          <w:szCs w:val="21"/>
          <w:highlight w:val="none"/>
        </w:rPr>
        <w:t>。</w:t>
      </w:r>
    </w:p>
    <w:p w14:paraId="107C916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标准和规范</w:t>
      </w:r>
    </w:p>
    <w:p w14:paraId="4D63598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u w:val="single"/>
        </w:rPr>
        <w:t>国家现行的行业施工及验收标准规范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4D12C7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不提供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p>
    <w:p w14:paraId="500C832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0BE76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无           </w:t>
      </w:r>
      <w:r>
        <w:rPr>
          <w:rFonts w:hint="eastAsia" w:ascii="宋体" w:hAnsi="宋体" w:eastAsia="宋体" w:cs="宋体"/>
          <w:color w:val="auto"/>
          <w:kern w:val="0"/>
          <w:szCs w:val="21"/>
          <w:highlight w:val="none"/>
        </w:rPr>
        <w:t>。</w:t>
      </w:r>
    </w:p>
    <w:p w14:paraId="1F93942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1.4.3发包人对工程的技术标准和功能要求的特殊要求：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A3F0F5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合同文件的优先顺序</w:t>
      </w:r>
    </w:p>
    <w:p w14:paraId="1ED1523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r>
        <w:rPr>
          <w:rFonts w:hint="eastAsia" w:ascii="宋体" w:hAnsi="宋体" w:eastAsia="宋体" w:cs="宋体"/>
          <w:color w:val="auto"/>
          <w:szCs w:val="21"/>
          <w:highlight w:val="none"/>
          <w:u w:val="single"/>
        </w:rPr>
        <w:t>执行通用合同条款    </w:t>
      </w:r>
      <w:r>
        <w:rPr>
          <w:rFonts w:hint="eastAsia" w:ascii="宋体" w:hAnsi="宋体" w:eastAsia="宋体" w:cs="宋体"/>
          <w:color w:val="auto"/>
          <w:szCs w:val="21"/>
          <w:highlight w:val="none"/>
        </w:rPr>
        <w:t>。</w:t>
      </w:r>
    </w:p>
    <w:p w14:paraId="4B0E582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图纸和承包人文件</w:t>
      </w:r>
      <w:r>
        <w:rPr>
          <w:rFonts w:hint="eastAsia" w:ascii="宋体" w:hAnsi="宋体" w:eastAsia="宋体" w:cs="宋体"/>
          <w:color w:val="auto"/>
          <w:szCs w:val="21"/>
          <w:highlight w:val="none"/>
        </w:rPr>
        <w:tab/>
      </w:r>
    </w:p>
    <w:p w14:paraId="3586772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14:paraId="299C4DD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开工前      </w:t>
      </w:r>
      <w:r>
        <w:rPr>
          <w:rFonts w:hint="eastAsia" w:ascii="宋体" w:hAnsi="宋体" w:eastAsia="宋体" w:cs="宋体"/>
          <w:color w:val="auto"/>
          <w:szCs w:val="21"/>
          <w:highlight w:val="none"/>
        </w:rPr>
        <w:t>；</w:t>
      </w:r>
    </w:p>
    <w:p w14:paraId="7E8FA0F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4套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7C2FEB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招标图纸    </w:t>
      </w:r>
      <w:r>
        <w:rPr>
          <w:rFonts w:hint="eastAsia" w:ascii="宋体" w:hAnsi="宋体" w:eastAsia="宋体" w:cs="宋体"/>
          <w:color w:val="auto"/>
          <w:szCs w:val="21"/>
          <w:highlight w:val="none"/>
        </w:rPr>
        <w:t>。</w:t>
      </w:r>
    </w:p>
    <w:p w14:paraId="7CCC783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19A7135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投标文件原样副本（含商务标电子版）、施工组织设计和总进度计划（含进度计划网络图、横道图）</w:t>
      </w:r>
      <w:r>
        <w:rPr>
          <w:rFonts w:hint="eastAsia" w:ascii="宋体" w:hAnsi="宋体" w:eastAsia="宋体" w:cs="宋体"/>
          <w:color w:val="auto"/>
          <w:szCs w:val="21"/>
          <w:highlight w:val="none"/>
        </w:rPr>
        <w:t>；</w:t>
      </w:r>
    </w:p>
    <w:p w14:paraId="1966661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开工前三天        </w:t>
      </w:r>
      <w:r>
        <w:rPr>
          <w:rFonts w:hint="eastAsia" w:ascii="宋体" w:hAnsi="宋体" w:eastAsia="宋体" w:cs="宋体"/>
          <w:color w:val="auto"/>
          <w:szCs w:val="21"/>
          <w:highlight w:val="none"/>
        </w:rPr>
        <w:t>；</w:t>
      </w:r>
    </w:p>
    <w:p w14:paraId="20C3818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叁份              </w:t>
      </w:r>
      <w:r>
        <w:rPr>
          <w:rFonts w:hint="eastAsia" w:ascii="宋体" w:hAnsi="宋体" w:eastAsia="宋体" w:cs="宋体"/>
          <w:color w:val="auto"/>
          <w:szCs w:val="21"/>
          <w:highlight w:val="none"/>
        </w:rPr>
        <w:t>；</w:t>
      </w:r>
    </w:p>
    <w:p w14:paraId="4A261F8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以书面形式提供    </w:t>
      </w:r>
      <w:r>
        <w:rPr>
          <w:rFonts w:hint="eastAsia" w:ascii="宋体" w:hAnsi="宋体" w:eastAsia="宋体" w:cs="宋体"/>
          <w:color w:val="auto"/>
          <w:szCs w:val="21"/>
          <w:highlight w:val="none"/>
        </w:rPr>
        <w:t>；</w:t>
      </w:r>
    </w:p>
    <w:p w14:paraId="0282310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到承包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人相关文件后14日内组织审核批准意见或提出修改意见  </w:t>
      </w:r>
      <w:r>
        <w:rPr>
          <w:rFonts w:hint="eastAsia" w:ascii="宋体" w:hAnsi="宋体" w:eastAsia="宋体" w:cs="宋体"/>
          <w:color w:val="auto"/>
          <w:szCs w:val="21"/>
          <w:highlight w:val="none"/>
        </w:rPr>
        <w:t>。</w:t>
      </w:r>
    </w:p>
    <w:p w14:paraId="181D9C2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14:paraId="39D8444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套（含 2 套竣工图）不足的由承包人自行复制，费用自理</w:t>
      </w:r>
      <w:r>
        <w:rPr>
          <w:rFonts w:hint="eastAsia" w:ascii="宋体" w:hAnsi="宋体" w:eastAsia="宋体" w:cs="宋体"/>
          <w:color w:val="auto"/>
          <w:szCs w:val="21"/>
          <w:highlight w:val="none"/>
        </w:rPr>
        <w:t>。</w:t>
      </w:r>
    </w:p>
    <w:p w14:paraId="407F9A5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联络</w:t>
      </w:r>
    </w:p>
    <w:p w14:paraId="1AF5DAA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4B72842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工地现场     </w:t>
      </w:r>
      <w:r>
        <w:rPr>
          <w:rFonts w:hint="eastAsia" w:ascii="宋体" w:hAnsi="宋体" w:eastAsia="宋体" w:cs="宋体"/>
          <w:color w:val="auto"/>
          <w:kern w:val="0"/>
          <w:szCs w:val="21"/>
          <w:highlight w:val="none"/>
        </w:rPr>
        <w:t>；</w:t>
      </w:r>
    </w:p>
    <w:p w14:paraId="2BC2FFE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              </w:t>
      </w:r>
      <w:r>
        <w:rPr>
          <w:rFonts w:hint="eastAsia" w:ascii="宋体" w:hAnsi="宋体" w:eastAsia="宋体" w:cs="宋体"/>
          <w:color w:val="auto"/>
          <w:kern w:val="0"/>
          <w:szCs w:val="21"/>
          <w:highlight w:val="none"/>
        </w:rPr>
        <w:t>。</w:t>
      </w:r>
    </w:p>
    <w:p w14:paraId="16F78F1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14:paraId="4239AAB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14:paraId="0E3752A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            </w:t>
      </w:r>
      <w:r>
        <w:rPr>
          <w:rFonts w:hint="eastAsia" w:ascii="宋体" w:hAnsi="宋体" w:eastAsia="宋体" w:cs="宋体"/>
          <w:color w:val="auto"/>
          <w:kern w:val="0"/>
          <w:szCs w:val="21"/>
          <w:highlight w:val="none"/>
        </w:rPr>
        <w:t>；</w:t>
      </w:r>
    </w:p>
    <w:p w14:paraId="3BB902E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             </w:t>
      </w:r>
      <w:r>
        <w:rPr>
          <w:rFonts w:hint="eastAsia" w:ascii="宋体" w:hAnsi="宋体" w:eastAsia="宋体" w:cs="宋体"/>
          <w:color w:val="auto"/>
          <w:kern w:val="0"/>
          <w:szCs w:val="21"/>
          <w:highlight w:val="none"/>
        </w:rPr>
        <w:t>。</w:t>
      </w:r>
    </w:p>
    <w:p w14:paraId="4400BF1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交通运输</w:t>
      </w:r>
    </w:p>
    <w:p w14:paraId="18E9137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1" w:name="_Toc312677986"/>
      <w:bookmarkStart w:id="12" w:name="_Toc304295521"/>
      <w:bookmarkStart w:id="13" w:name="_Toc318581155"/>
      <w:bookmarkStart w:id="14" w:name="_Toc303539100"/>
      <w:bookmarkStart w:id="15" w:name="_Toc300934943"/>
      <w:r>
        <w:rPr>
          <w:rFonts w:hint="eastAsia" w:ascii="宋体" w:hAnsi="宋体" w:eastAsia="宋体" w:cs="宋体"/>
          <w:color w:val="auto"/>
          <w:szCs w:val="21"/>
          <w:highlight w:val="none"/>
        </w:rPr>
        <w:t>.10.1 出入现场的权利</w:t>
      </w:r>
    </w:p>
    <w:p w14:paraId="0692EE9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bookmarkEnd w:id="11"/>
    <w:bookmarkEnd w:id="12"/>
    <w:bookmarkEnd w:id="13"/>
    <w:bookmarkEnd w:id="14"/>
    <w:bookmarkEnd w:id="15"/>
    <w:p w14:paraId="1C67085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6" w:name="_Toc300934944"/>
      <w:bookmarkStart w:id="17" w:name="_Toc303539101"/>
      <w:bookmarkStart w:id="18" w:name="_Toc304295522"/>
      <w:bookmarkStart w:id="19" w:name="_Toc318581156"/>
      <w:bookmarkStart w:id="20" w:name="_Toc312677987"/>
      <w:r>
        <w:rPr>
          <w:rFonts w:hint="eastAsia" w:ascii="宋体" w:hAnsi="宋体" w:eastAsia="宋体" w:cs="宋体"/>
          <w:color w:val="auto"/>
          <w:szCs w:val="21"/>
          <w:highlight w:val="none"/>
        </w:rPr>
        <w:t>.10.3 场内交通</w:t>
      </w:r>
    </w:p>
    <w:p w14:paraId="0DE085F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项目规划红线为界  </w:t>
      </w:r>
      <w:r>
        <w:rPr>
          <w:rFonts w:hint="eastAsia" w:ascii="宋体" w:hAnsi="宋体" w:eastAsia="宋体" w:cs="宋体"/>
          <w:color w:val="auto"/>
          <w:szCs w:val="21"/>
          <w:highlight w:val="none"/>
        </w:rPr>
        <w:t>。</w:t>
      </w:r>
    </w:p>
    <w:p w14:paraId="1638FFC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bookmarkEnd w:id="16"/>
      <w:bookmarkEnd w:id="17"/>
      <w:bookmarkEnd w:id="18"/>
      <w:bookmarkEnd w:id="19"/>
      <w:bookmarkEnd w:id="20"/>
      <w:bookmarkStart w:id="21" w:name="_Toc318581157"/>
      <w:r>
        <w:rPr>
          <w:rFonts w:hint="eastAsia" w:ascii="宋体" w:hAnsi="宋体" w:eastAsia="宋体" w:cs="宋体"/>
          <w:color w:val="auto"/>
          <w:szCs w:val="21"/>
          <w:highlight w:val="none"/>
          <w:u w:val="single"/>
        </w:rPr>
        <w:t xml:space="preserve">   由承包人依据项目现状自行处理  </w:t>
      </w:r>
      <w:r>
        <w:rPr>
          <w:rFonts w:hint="eastAsia" w:ascii="宋体" w:hAnsi="宋体" w:eastAsia="宋体" w:cs="宋体"/>
          <w:color w:val="auto"/>
          <w:szCs w:val="21"/>
          <w:highlight w:val="none"/>
        </w:rPr>
        <w:t>。</w:t>
      </w:r>
    </w:p>
    <w:p w14:paraId="7803A67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555F906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bookmarkEnd w:id="21"/>
    <w:p w14:paraId="75E84F5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知识产权</w:t>
      </w:r>
    </w:p>
    <w:p w14:paraId="771D6BF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 发包人  </w:t>
      </w:r>
      <w:r>
        <w:rPr>
          <w:rFonts w:hint="eastAsia" w:ascii="宋体" w:hAnsi="宋体" w:eastAsia="宋体" w:cs="宋体"/>
          <w:color w:val="auto"/>
          <w:szCs w:val="21"/>
          <w:highlight w:val="none"/>
        </w:rPr>
        <w:t>。</w:t>
      </w:r>
    </w:p>
    <w:p w14:paraId="0382B69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6F345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w:t>
      </w:r>
    </w:p>
    <w:p w14:paraId="17CF326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A502E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1.11.3 承包人在施工过程中所采用的专利、专有技术、技术秘密的使用费的承担方式：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0EE0E04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5854349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执行专用合同条款中关于合同价款调整的约定  </w:t>
      </w:r>
      <w:r>
        <w:rPr>
          <w:rFonts w:hint="eastAsia" w:ascii="宋体" w:hAnsi="宋体" w:eastAsia="宋体" w:cs="宋体"/>
          <w:color w:val="auto"/>
          <w:kern w:val="0"/>
          <w:szCs w:val="21"/>
          <w:highlight w:val="none"/>
        </w:rPr>
        <w:t>。</w:t>
      </w:r>
    </w:p>
    <w:p w14:paraId="7EBE172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rPr>
        <w:t xml:space="preserve">  执行专用合同条款中关于合同价款调整的约定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770F19">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22" w:name="_Toc351203634"/>
      <w:r>
        <w:rPr>
          <w:rFonts w:hint="eastAsia" w:ascii="宋体" w:hAnsi="宋体" w:eastAsia="宋体" w:cs="宋体"/>
          <w:color w:val="auto"/>
          <w:sz w:val="21"/>
          <w:szCs w:val="21"/>
          <w:highlight w:val="none"/>
        </w:rPr>
        <w:t>2</w:t>
      </w:r>
      <w:bookmarkStart w:id="23" w:name="_Toc296890985"/>
      <w:bookmarkStart w:id="24" w:name="_Toc296503157"/>
      <w:bookmarkStart w:id="25" w:name="_Toc297120457"/>
      <w:bookmarkStart w:id="26" w:name="_Toc292559362"/>
      <w:bookmarkStart w:id="27" w:name="_Toc296891197"/>
      <w:bookmarkStart w:id="28" w:name="_Toc296346658"/>
      <w:bookmarkStart w:id="29" w:name="_Toc292559867"/>
      <w:bookmarkStart w:id="30" w:name="_Toc296944496"/>
      <w:bookmarkStart w:id="31" w:name="_Toc296347156"/>
      <w:bookmarkStart w:id="32" w:name="_Toc297048343"/>
      <w:r>
        <w:rPr>
          <w:rFonts w:hint="eastAsia" w:ascii="宋体" w:hAnsi="宋体" w:eastAsia="宋体" w:cs="宋体"/>
          <w:color w:val="auto"/>
          <w:sz w:val="21"/>
          <w:szCs w:val="21"/>
          <w:highlight w:val="none"/>
        </w:rPr>
        <w:t>. 发包人</w:t>
      </w:r>
      <w:bookmarkEnd w:id="22"/>
    </w:p>
    <w:bookmarkEnd w:id="23"/>
    <w:bookmarkEnd w:id="24"/>
    <w:bookmarkEnd w:id="25"/>
    <w:bookmarkEnd w:id="26"/>
    <w:bookmarkEnd w:id="27"/>
    <w:bookmarkEnd w:id="28"/>
    <w:bookmarkEnd w:id="29"/>
    <w:bookmarkEnd w:id="30"/>
    <w:bookmarkEnd w:id="31"/>
    <w:bookmarkEnd w:id="32"/>
    <w:p w14:paraId="6798CD3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发包人代表</w:t>
      </w:r>
    </w:p>
    <w:p w14:paraId="074737E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59A1ACD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7892F28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43FD5FD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42E126C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17661B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483ADC0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4634F53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 xml:space="preserve">（1）对工程进度、质量、投资负责，抽查隐蔽工程现场和验收记录，按照规定程序办理经济签证；（2）负责协调外部关系，监督检查监理单位、施工单位工作。 </w:t>
      </w:r>
    </w:p>
    <w:p w14:paraId="349A4AE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施工现场、施工条件和基础资料的提供</w:t>
      </w:r>
    </w:p>
    <w:p w14:paraId="59DBEE8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4A123A0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p>
    <w:p w14:paraId="2F87C3DE">
      <w:pPr>
        <w:keepNext w:val="0"/>
        <w:keepLines w:val="0"/>
        <w:pageBreakBefore w:val="0"/>
        <w:widowControl w:val="0"/>
        <w:kinsoku/>
        <w:wordWrap/>
        <w:overflowPunct/>
        <w:topLinePunct w:val="0"/>
        <w:bidi w:val="0"/>
        <w:adjustRightInd/>
        <w:snapToGrid/>
        <w:spacing w:line="420" w:lineRule="exact"/>
        <w:ind w:left="0" w:firstLine="422" w:firstLineChars="200"/>
        <w:jc w:val="both"/>
        <w:outlineLvl w:val="9"/>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（1）施工场地具备施工条件的要求及完成的时间：</w:t>
      </w:r>
      <w:r>
        <w:rPr>
          <w:rFonts w:hint="eastAsia" w:ascii="宋体" w:hAnsi="宋体" w:eastAsia="宋体" w:cs="宋体"/>
          <w:b/>
          <w:color w:val="auto"/>
          <w:szCs w:val="21"/>
          <w:highlight w:val="none"/>
          <w:u w:val="single"/>
        </w:rPr>
        <w:t>开工前7日内由发包人完成。（2）将施工所需的水、电接至施工场地的时间、地点和供应要求：由承包人自行解决，费用自理。（3）施工现场地与公共道路的通道开通时间和要求：现场现状，承包人自行踏勘现场，自行开通临时便道，费用自理，以满足文明施工要求为准。（4）工程地质和地下管线资料的提供时间：开工前5日内由发包人提供相关资料，同时承包人需自行核查现场杆管线，并做好相关保护措施。</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 xml:space="preserve">5）由发包人办理的施工所需证件、批件的名称和完成时间：由承包人配合发包人在开工前5日内完成。（6）双方约定发包人应做的其他工作：开工前 3 日组织图纸会审和设计交底。（7）发包人委托承包人办理的工作：施工临时用水、用电由承包人自行解决并承担费用。  </w:t>
      </w:r>
    </w:p>
    <w:p w14:paraId="6DAA601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7C5B88A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0A5A6B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14:paraId="0101F08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szCs w:val="21"/>
          <w:highlight w:val="none"/>
        </w:rPr>
        <w:t>。</w:t>
      </w:r>
    </w:p>
    <w:p w14:paraId="083B2D6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02118A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4096A1A">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33" w:name="_Toc351203635"/>
      <w:r>
        <w:rPr>
          <w:rFonts w:hint="eastAsia" w:ascii="宋体" w:hAnsi="宋体" w:eastAsia="宋体" w:cs="宋体"/>
          <w:color w:val="auto"/>
          <w:sz w:val="21"/>
          <w:szCs w:val="21"/>
          <w:highlight w:val="none"/>
        </w:rPr>
        <w:t>3</w:t>
      </w:r>
      <w:bookmarkStart w:id="34" w:name="_Toc296346659"/>
      <w:bookmarkStart w:id="35" w:name="_Toc296944497"/>
      <w:bookmarkStart w:id="36" w:name="_Toc296347157"/>
      <w:bookmarkStart w:id="37" w:name="_Toc297120458"/>
      <w:bookmarkStart w:id="38" w:name="_Toc296503158"/>
      <w:bookmarkStart w:id="39" w:name="_Toc292559868"/>
      <w:bookmarkStart w:id="40" w:name="_Toc296891198"/>
      <w:bookmarkStart w:id="41" w:name="_Toc297048344"/>
      <w:bookmarkStart w:id="42" w:name="_Toc296890986"/>
      <w:bookmarkStart w:id="43" w:name="_Toc292559363"/>
      <w:r>
        <w:rPr>
          <w:rFonts w:hint="eastAsia" w:ascii="宋体" w:hAnsi="宋体" w:eastAsia="宋体" w:cs="宋体"/>
          <w:color w:val="auto"/>
          <w:sz w:val="21"/>
          <w:szCs w:val="21"/>
          <w:highlight w:val="none"/>
        </w:rPr>
        <w:t>. 承包人</w:t>
      </w:r>
      <w:bookmarkEnd w:id="33"/>
    </w:p>
    <w:bookmarkEnd w:id="34"/>
    <w:bookmarkEnd w:id="35"/>
    <w:bookmarkEnd w:id="36"/>
    <w:bookmarkEnd w:id="37"/>
    <w:bookmarkEnd w:id="38"/>
    <w:bookmarkEnd w:id="39"/>
    <w:bookmarkEnd w:id="40"/>
    <w:bookmarkEnd w:id="41"/>
    <w:bookmarkEnd w:id="42"/>
    <w:bookmarkEnd w:id="43"/>
    <w:p w14:paraId="633EFEE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14:paraId="3E80DEB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（5）承包人提交的竣工资料的内容：</w:t>
      </w:r>
      <w:r>
        <w:rPr>
          <w:rFonts w:hint="eastAsia" w:ascii="宋体" w:hAnsi="宋体" w:eastAsia="宋体" w:cs="宋体"/>
          <w:color w:val="auto"/>
          <w:kern w:val="2"/>
          <w:sz w:val="21"/>
          <w:szCs w:val="21"/>
          <w:highlight w:val="none"/>
          <w:u w:val="single"/>
          <w:lang w:eastAsia="zh-CN"/>
        </w:rPr>
        <w:t>提供完整的竣工资料肆套（含竣工图、影像资料,其中二套是原件)和可编辑电子文件一份；承包人未按发包人和城建档案馆要求提供竣工资料或资料不符合要求的（含发包人及分包工程资料的整理、扫描)，扣2%的工程结算总价作为抵押金，直至提交符合要求为止资料后退还抵押金。</w:t>
      </w:r>
    </w:p>
    <w:p w14:paraId="3FB268F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肆套               </w:t>
      </w:r>
      <w:r>
        <w:rPr>
          <w:rFonts w:hint="eastAsia" w:ascii="宋体" w:hAnsi="宋体" w:eastAsia="宋体" w:cs="宋体"/>
          <w:color w:val="auto"/>
          <w:szCs w:val="21"/>
          <w:highlight w:val="none"/>
        </w:rPr>
        <w:t>。</w:t>
      </w:r>
    </w:p>
    <w:p w14:paraId="5F647AA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承包人承担           </w:t>
      </w:r>
      <w:r>
        <w:rPr>
          <w:rFonts w:hint="eastAsia" w:ascii="宋体" w:hAnsi="宋体" w:eastAsia="宋体" w:cs="宋体"/>
          <w:color w:val="auto"/>
          <w:szCs w:val="21"/>
          <w:highlight w:val="none"/>
        </w:rPr>
        <w:t>。</w:t>
      </w:r>
    </w:p>
    <w:p w14:paraId="60E1522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工程竣工并通过验收后30日内 。</w:t>
      </w:r>
    </w:p>
    <w:p w14:paraId="1451789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所有竣工资料都是肆份（两份必须是原件），加可编辑电子版一份。（肆套竣工图必须全部为原件）</w:t>
      </w:r>
    </w:p>
    <w:p w14:paraId="1990AE7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（6）承包人应履行的其他义务：</w:t>
      </w:r>
      <w:r>
        <w:rPr>
          <w:rFonts w:hint="eastAsia" w:ascii="宋体" w:hAnsi="宋体" w:eastAsia="宋体" w:cs="宋体"/>
          <w:color w:val="auto"/>
          <w:szCs w:val="21"/>
          <w:highlight w:val="none"/>
          <w:u w:val="single"/>
        </w:rPr>
        <w:t>执行合同通用条款及招标文件规定。</w:t>
      </w:r>
    </w:p>
    <w:p w14:paraId="7A71C7F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项目经理</w:t>
      </w:r>
    </w:p>
    <w:p w14:paraId="18DC022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31F6265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70690DF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BFED92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3FA2A2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B2C54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50182C1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E8BD2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1543B52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BB530E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0A9147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承包人对项目经理的授权范围如下： </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执行通用合同条款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DF8B6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Cs/>
          <w:color w:val="auto"/>
          <w:szCs w:val="21"/>
          <w:highlight w:val="none"/>
          <w:u w:val="singl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bCs/>
          <w:color w:val="auto"/>
          <w:szCs w:val="21"/>
          <w:highlight w:val="none"/>
          <w:u w:val="single"/>
        </w:rPr>
        <w:t>建造师与投标建造师要一致，并且为本工程专职建造师，必须参加各种例会。建造师、技术负责人每天在岗时间不少于 8 小时，项目部主要成员每天在岗时间不少于 8 小时，建造师、技术负责人关键工序时段应常驻现场，否则视为不到位。如建造师和技术负责人不到位，同时追究违约责任，发包人有权做出任何决定，甚至有权勒令承包人退场，并保留向承包人索赔损失的权利。</w:t>
      </w:r>
    </w:p>
    <w:p w14:paraId="7851A01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bCs/>
          <w:color w:val="auto"/>
          <w:szCs w:val="21"/>
          <w:highlight w:val="none"/>
          <w:u w:val="single"/>
        </w:rPr>
        <w:t>执行合同通用条款</w:t>
      </w:r>
      <w:r>
        <w:rPr>
          <w:rFonts w:hint="eastAsia" w:ascii="宋体" w:hAnsi="宋体" w:eastAsia="宋体" w:cs="宋体"/>
          <w:color w:val="auto"/>
          <w:szCs w:val="21"/>
          <w:highlight w:val="none"/>
          <w:u w:val="single"/>
          <w:shd w:val="clear" w:color="auto" w:fill="FFFFFF"/>
        </w:rPr>
        <w:t>。</w:t>
      </w:r>
    </w:p>
    <w:p w14:paraId="552DCB8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Cs/>
          <w:color w:val="auto"/>
          <w:szCs w:val="21"/>
          <w:highlight w:val="none"/>
          <w:u w:val="single"/>
          <w:lang w:val="en-US" w:eastAsia="zh-CN"/>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bCs/>
          <w:color w:val="auto"/>
          <w:szCs w:val="21"/>
          <w:highlight w:val="none"/>
          <w:u w:val="single"/>
        </w:rPr>
        <w:t xml:space="preserve">每天按人民币 </w:t>
      </w:r>
      <w:r>
        <w:rPr>
          <w:rFonts w:hint="eastAsia" w:ascii="宋体" w:hAnsi="宋体" w:eastAsia="宋体" w:cs="宋体"/>
          <w:bCs/>
          <w:color w:val="auto"/>
          <w:szCs w:val="21"/>
          <w:highlight w:val="none"/>
          <w:u w:val="single"/>
          <w:lang w:val="en-US" w:eastAsia="zh-CN"/>
        </w:rPr>
        <w:t>1000</w:t>
      </w:r>
      <w:r>
        <w:rPr>
          <w:rFonts w:hint="eastAsia" w:ascii="宋体" w:hAnsi="宋体" w:eastAsia="宋体" w:cs="宋体"/>
          <w:bCs/>
          <w:color w:val="auto"/>
          <w:szCs w:val="21"/>
          <w:highlight w:val="none"/>
          <w:u w:val="single"/>
        </w:rPr>
        <w:t>元，在当月进度款中扣</w:t>
      </w:r>
      <w:r>
        <w:rPr>
          <w:rFonts w:hint="eastAsia" w:ascii="宋体" w:hAnsi="宋体" w:eastAsia="宋体" w:cs="宋体"/>
          <w:bCs/>
          <w:color w:val="auto"/>
          <w:szCs w:val="21"/>
          <w:highlight w:val="none"/>
          <w:u w:val="single"/>
          <w:lang w:eastAsia="zh-CN"/>
        </w:rPr>
        <w:t>除违约金</w:t>
      </w:r>
      <w:r>
        <w:rPr>
          <w:rFonts w:hint="eastAsia" w:ascii="宋体" w:hAnsi="宋体" w:eastAsia="宋体" w:cs="宋体"/>
          <w:bCs/>
          <w:color w:val="auto"/>
          <w:szCs w:val="21"/>
          <w:highlight w:val="none"/>
          <w:u w:val="single"/>
        </w:rPr>
        <w:t>。如特殊情况下，建造师离开现场的，须经发包人同意，并书面指定临时代表，代为行使建造师的权利；该临时代表的一切行为，发包人均认为是建造师的行为。建造师、项目技术负责人任何一人离开现场应征得发包人同意。</w:t>
      </w:r>
      <w:r>
        <w:rPr>
          <w:rFonts w:hint="eastAsia" w:ascii="宋体" w:hAnsi="宋体" w:eastAsia="宋体" w:cs="宋体"/>
          <w:bCs/>
          <w:color w:val="auto"/>
          <w:szCs w:val="21"/>
          <w:highlight w:val="none"/>
          <w:u w:val="single"/>
          <w:lang w:val="en-US" w:eastAsia="zh-CN"/>
        </w:rPr>
        <w:t xml:space="preserve"> </w:t>
      </w:r>
    </w:p>
    <w:p w14:paraId="4B15F00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bCs/>
          <w:color w:val="auto"/>
          <w:szCs w:val="21"/>
          <w:highlight w:val="none"/>
          <w:u w:val="single"/>
        </w:rPr>
        <w:t>项目经理不得更换，如需更换，须经发包人同意，承包人承担</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万元的违约金（不可抗力因素除外）。未经发包人同意，承包人私自变更建造师，除承担</w:t>
      </w:r>
      <w:r>
        <w:rPr>
          <w:rFonts w:hint="eastAsia" w:ascii="宋体" w:hAnsi="宋体" w:eastAsia="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万元的违约金外，发包人有权终止合同，并按已完工程量的80%与承包人结算。</w:t>
      </w:r>
    </w:p>
    <w:p w14:paraId="288499B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bCs/>
          <w:color w:val="auto"/>
          <w:szCs w:val="21"/>
          <w:highlight w:val="none"/>
          <w:u w:val="single"/>
        </w:rPr>
        <w:t>承包人</w:t>
      </w:r>
      <w:r>
        <w:rPr>
          <w:rFonts w:hint="eastAsia" w:ascii="宋体" w:hAnsi="宋体" w:eastAsia="宋体" w:cs="宋体"/>
          <w:bCs/>
          <w:color w:val="auto"/>
          <w:szCs w:val="21"/>
          <w:highlight w:val="none"/>
          <w:u w:val="single"/>
          <w:lang w:val="en-US" w:eastAsia="zh-CN"/>
        </w:rPr>
        <w:t>承担</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 xml:space="preserve"> 万元</w:t>
      </w:r>
      <w:r>
        <w:rPr>
          <w:rFonts w:hint="eastAsia" w:ascii="宋体" w:hAnsi="宋体" w:eastAsia="宋体" w:cs="宋体"/>
          <w:bCs/>
          <w:color w:val="auto"/>
          <w:szCs w:val="21"/>
          <w:highlight w:val="none"/>
          <w:u w:val="single"/>
          <w:lang w:eastAsia="zh-CN"/>
        </w:rPr>
        <w:t>违约金</w:t>
      </w:r>
      <w:r>
        <w:rPr>
          <w:rFonts w:hint="eastAsia" w:ascii="宋体" w:hAnsi="宋体" w:eastAsia="宋体" w:cs="宋体"/>
          <w:bCs/>
          <w:color w:val="auto"/>
          <w:szCs w:val="21"/>
          <w:highlight w:val="none"/>
          <w:u w:val="single"/>
        </w:rPr>
        <w:t>。</w:t>
      </w:r>
    </w:p>
    <w:p w14:paraId="72C33C1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承包人人员</w:t>
      </w:r>
    </w:p>
    <w:p w14:paraId="5BE199C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bCs/>
          <w:color w:val="auto"/>
          <w:szCs w:val="21"/>
          <w:highlight w:val="none"/>
          <w:u w:val="single"/>
        </w:rPr>
        <w:t>开工前提供。</w:t>
      </w:r>
    </w:p>
    <w:p w14:paraId="30109F5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bCs/>
          <w:color w:val="auto"/>
          <w:szCs w:val="21"/>
          <w:highlight w:val="none"/>
          <w:u w:val="single"/>
        </w:rPr>
        <w:t xml:space="preserve"> 承包人</w:t>
      </w:r>
      <w:r>
        <w:rPr>
          <w:rFonts w:hint="eastAsia" w:ascii="宋体" w:hAnsi="宋体" w:eastAsia="宋体" w:cs="宋体"/>
          <w:bCs/>
          <w:color w:val="auto"/>
          <w:szCs w:val="21"/>
          <w:highlight w:val="none"/>
          <w:u w:val="single"/>
          <w:lang w:eastAsia="zh-CN"/>
        </w:rPr>
        <w:t>承担</w:t>
      </w:r>
      <w:r>
        <w:rPr>
          <w:rFonts w:hint="eastAsia" w:ascii="宋体" w:hAnsi="宋体" w:eastAsia="宋体" w:cs="宋体"/>
          <w:bCs/>
          <w:color w:val="auto"/>
          <w:szCs w:val="21"/>
          <w:highlight w:val="none"/>
          <w:u w:val="single"/>
        </w:rPr>
        <w:t>每岗</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万元</w:t>
      </w:r>
      <w:r>
        <w:rPr>
          <w:rFonts w:hint="eastAsia" w:ascii="宋体" w:hAnsi="宋体" w:eastAsia="宋体" w:cs="宋体"/>
          <w:bCs/>
          <w:color w:val="auto"/>
          <w:szCs w:val="21"/>
          <w:highlight w:val="none"/>
          <w:u w:val="single"/>
          <w:lang w:eastAsia="zh-CN"/>
        </w:rPr>
        <w:t>违约金</w:t>
      </w:r>
      <w:r>
        <w:rPr>
          <w:rFonts w:hint="eastAsia" w:ascii="宋体" w:hAnsi="宋体" w:eastAsia="宋体" w:cs="宋体"/>
          <w:color w:val="auto"/>
          <w:szCs w:val="21"/>
          <w:highlight w:val="none"/>
        </w:rPr>
        <w:t>。</w:t>
      </w:r>
    </w:p>
    <w:p w14:paraId="5A78C12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项目部主要管理人员（施工、 安全、质量、技术等负责人）必须常驻施工现场，如有特殊情况必须离开，项目经理部须报发包人批准，并书面指定其他人员代为行使本人的职责。</w:t>
      </w:r>
    </w:p>
    <w:p w14:paraId="5A41DB6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bCs/>
          <w:color w:val="auto"/>
          <w:szCs w:val="21"/>
          <w:highlight w:val="none"/>
          <w:u w:val="single"/>
        </w:rPr>
        <w:t>按人员未到岗处理</w:t>
      </w:r>
      <w:r>
        <w:rPr>
          <w:rFonts w:hint="eastAsia" w:ascii="宋体" w:hAnsi="宋体" w:eastAsia="宋体" w:cs="宋体"/>
          <w:color w:val="auto"/>
          <w:szCs w:val="21"/>
          <w:highlight w:val="none"/>
        </w:rPr>
        <w:t>。</w:t>
      </w:r>
    </w:p>
    <w:p w14:paraId="72807D3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lang w:eastAsia="zh-CN"/>
        </w:rPr>
        <w:t>承包人承担</w:t>
      </w:r>
      <w:r>
        <w:rPr>
          <w:rFonts w:hint="eastAsia" w:ascii="宋体" w:hAnsi="宋体" w:eastAsia="宋体" w:cs="宋体"/>
          <w:bCs/>
          <w:color w:val="auto"/>
          <w:szCs w:val="21"/>
          <w:highlight w:val="none"/>
          <w:u w:val="single"/>
        </w:rPr>
        <w:t>每人</w:t>
      </w:r>
      <w:r>
        <w:rPr>
          <w:rFonts w:hint="eastAsia" w:ascii="宋体" w:hAnsi="宋体" w:eastAsia="宋体" w:cs="宋体"/>
          <w:bCs/>
          <w:color w:val="auto"/>
          <w:szCs w:val="21"/>
          <w:highlight w:val="none"/>
          <w:u w:val="single"/>
          <w:lang w:val="en-US" w:eastAsia="zh-CN"/>
        </w:rPr>
        <w:t>500</w:t>
      </w:r>
      <w:r>
        <w:rPr>
          <w:rFonts w:hint="eastAsia" w:ascii="宋体" w:hAnsi="宋体" w:eastAsia="宋体" w:cs="宋体"/>
          <w:bCs/>
          <w:color w:val="auto"/>
          <w:szCs w:val="21"/>
          <w:highlight w:val="none"/>
          <w:u w:val="single"/>
        </w:rPr>
        <w:t>元/天</w:t>
      </w:r>
      <w:r>
        <w:rPr>
          <w:rFonts w:hint="eastAsia" w:ascii="宋体" w:hAnsi="宋体" w:eastAsia="宋体" w:cs="宋体"/>
          <w:bCs/>
          <w:color w:val="auto"/>
          <w:szCs w:val="21"/>
          <w:highlight w:val="none"/>
          <w:u w:val="single"/>
          <w:lang w:eastAsia="zh-CN"/>
        </w:rPr>
        <w:t>违约金</w:t>
      </w:r>
      <w:r>
        <w:rPr>
          <w:rFonts w:hint="eastAsia" w:ascii="宋体" w:hAnsi="宋体" w:eastAsia="宋体" w:cs="宋体"/>
          <w:color w:val="auto"/>
          <w:sz w:val="24"/>
          <w:highlight w:val="none"/>
        </w:rPr>
        <w:t>。</w:t>
      </w:r>
    </w:p>
    <w:p w14:paraId="59853B5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44" w:name="_Toc292559869"/>
      <w:bookmarkStart w:id="45" w:name="_Toc296890987"/>
      <w:bookmarkStart w:id="46" w:name="_Toc296944498"/>
      <w:bookmarkStart w:id="47" w:name="_Toc297216151"/>
      <w:bookmarkStart w:id="48" w:name="_Toc300934945"/>
      <w:bookmarkStart w:id="49" w:name="_Toc297123492"/>
      <w:bookmarkStart w:id="50" w:name="_Toc296503159"/>
      <w:bookmarkStart w:id="51" w:name="_Toc292559364"/>
      <w:bookmarkStart w:id="52" w:name="_Toc297048345"/>
      <w:bookmarkStart w:id="53" w:name="_Toc297120459"/>
      <w:bookmarkStart w:id="54" w:name="_Toc312677988"/>
      <w:bookmarkStart w:id="55" w:name="_Toc296346660"/>
      <w:bookmarkStart w:id="56" w:name="_Toc303539102"/>
      <w:bookmarkStart w:id="57" w:name="_Toc304295523"/>
      <w:bookmarkStart w:id="58" w:name="_Toc296347158"/>
      <w:bookmarkStart w:id="59" w:name="_Toc296891199"/>
      <w:r>
        <w:rPr>
          <w:rFonts w:hint="eastAsia" w:ascii="宋体" w:hAnsi="宋体" w:eastAsia="宋体" w:cs="宋体"/>
          <w:color w:val="auto"/>
          <w:szCs w:val="21"/>
          <w:highlight w:val="none"/>
        </w:rPr>
        <w:t>.5 分包</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5AA4140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60" w:name="_Toc300934946"/>
      <w:bookmarkStart w:id="61" w:name="_Toc296944499"/>
      <w:bookmarkStart w:id="62" w:name="_Toc297120460"/>
      <w:bookmarkStart w:id="63" w:name="_Toc297123493"/>
      <w:bookmarkStart w:id="64" w:name="_Toc296891200"/>
      <w:bookmarkStart w:id="65" w:name="_Toc292559365"/>
      <w:bookmarkStart w:id="66" w:name="_Toc297216152"/>
      <w:bookmarkStart w:id="67" w:name="_Toc303539103"/>
      <w:bookmarkStart w:id="68" w:name="_Toc297048346"/>
      <w:bookmarkStart w:id="69" w:name="_Toc296347159"/>
      <w:bookmarkStart w:id="70" w:name="_Toc304295524"/>
      <w:bookmarkStart w:id="71" w:name="_Toc296346661"/>
      <w:bookmarkStart w:id="72" w:name="_Toc296890988"/>
      <w:bookmarkStart w:id="73" w:name="_Toc296503160"/>
      <w:bookmarkStart w:id="74" w:name="_Toc292559870"/>
      <w:bookmarkStart w:id="75" w:name="_Toc318581158"/>
      <w:bookmarkStart w:id="76" w:name="_Toc312677989"/>
      <w:r>
        <w:rPr>
          <w:rFonts w:hint="eastAsia" w:ascii="宋体" w:hAnsi="宋体" w:eastAsia="宋体" w:cs="宋体"/>
          <w:color w:val="auto"/>
          <w:szCs w:val="21"/>
          <w:highlight w:val="none"/>
        </w:rPr>
        <w:t>.5.1 分包的一般约定</w:t>
      </w:r>
    </w:p>
    <w:p w14:paraId="71ACA5A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 xml:space="preserve">    执行通用合同条款         </w:t>
      </w:r>
      <w:r>
        <w:rPr>
          <w:rFonts w:hint="eastAsia" w:ascii="宋体" w:hAnsi="宋体" w:eastAsia="宋体" w:cs="宋体"/>
          <w:color w:val="auto"/>
          <w:szCs w:val="21"/>
          <w:highlight w:val="none"/>
        </w:rPr>
        <w:t>。</w:t>
      </w:r>
    </w:p>
    <w:p w14:paraId="2CBEF95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7" w:name="_Toc304295525"/>
      <w:bookmarkStart w:id="78" w:name="_Toc296503161"/>
      <w:bookmarkStart w:id="79" w:name="_Toc296891201"/>
      <w:bookmarkStart w:id="80" w:name="_Toc300934947"/>
      <w:bookmarkStart w:id="81" w:name="_Toc296944500"/>
      <w:bookmarkStart w:id="82" w:name="_Toc296890989"/>
      <w:bookmarkStart w:id="83" w:name="_Toc297120461"/>
      <w:bookmarkStart w:id="84" w:name="_Toc296347160"/>
      <w:bookmarkStart w:id="85" w:name="_Toc297216153"/>
      <w:bookmarkStart w:id="86" w:name="_Toc297123494"/>
      <w:bookmarkStart w:id="87" w:name="_Toc297048347"/>
      <w:bookmarkStart w:id="88" w:name="_Toc296346662"/>
      <w:bookmarkStart w:id="89" w:name="_Toc303539104"/>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4B65147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bookmarkStart w:id="90" w:name="_Toc318581159"/>
      <w:bookmarkStart w:id="91" w:name="_Toc312677990"/>
      <w:r>
        <w:rPr>
          <w:rFonts w:hint="eastAsia" w:ascii="宋体" w:hAnsi="宋体" w:eastAsia="宋体" w:cs="宋体"/>
          <w:color w:val="auto"/>
          <w:szCs w:val="21"/>
          <w:highlight w:val="none"/>
        </w:rPr>
        <w:t>.5.2分包的确定</w:t>
      </w:r>
    </w:p>
    <w:p w14:paraId="08FE875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B5A8E5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12DACB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28F198E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bookmarkEnd w:id="90"/>
    <w:bookmarkEnd w:id="91"/>
    <w:p w14:paraId="084559E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14:paraId="2038376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 xml:space="preserve">1、工程现场照管由承包人负责，相关处理及保护费用已包含在合同价款内，发包人负责协调相关单位进行处理；2、工程竣工前，承包人负责已完工程的保护工作，费用由承包人承担。  </w:t>
      </w:r>
    </w:p>
    <w:p w14:paraId="4DA8AC1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3.7履约保证金</w:t>
      </w:r>
    </w:p>
    <w:p w14:paraId="1220C62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bookmarkStart w:id="92" w:name="_Toc351203636"/>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是 </w:t>
      </w:r>
      <w:r>
        <w:rPr>
          <w:rFonts w:hint="eastAsia" w:ascii="宋体" w:hAnsi="宋体" w:eastAsia="宋体" w:cs="宋体"/>
          <w:color w:val="auto"/>
          <w:szCs w:val="21"/>
          <w:highlight w:val="none"/>
        </w:rPr>
        <w:t>。</w:t>
      </w:r>
    </w:p>
    <w:p w14:paraId="7ECBBC67">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承包人提供履约担保的形式、金额及期限：</w:t>
      </w:r>
      <w:r>
        <w:rPr>
          <w:rFonts w:hint="eastAsia" w:ascii="宋体" w:hAnsi="宋体" w:eastAsia="宋体" w:cs="宋体"/>
          <w:color w:val="auto"/>
          <w:szCs w:val="21"/>
          <w:highlight w:val="none"/>
          <w:u w:val="single"/>
        </w:rPr>
        <w:t>以银行保函或保证保险形式提交履约担保。履约担保金额为合同价款（不含暂列金额）的2% 。</w:t>
      </w:r>
    </w:p>
    <w:p w14:paraId="647DC5C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履约保证金的退还：</w:t>
      </w:r>
      <w:r>
        <w:rPr>
          <w:rFonts w:hint="eastAsia" w:ascii="宋体" w:hAnsi="宋体" w:eastAsia="宋体" w:cs="宋体"/>
          <w:color w:val="auto"/>
          <w:highlight w:val="none"/>
          <w:u w:val="single"/>
        </w:rPr>
        <w:t>竣工验收合格后，承包人无其他违约行为的，予以退还。施工过程中，若承包方出现本合同约定的违约行为，</w:t>
      </w:r>
      <w:r>
        <w:rPr>
          <w:rFonts w:hint="eastAsia" w:ascii="宋体" w:hAnsi="宋体" w:eastAsia="宋体" w:cs="宋体"/>
          <w:color w:val="auto"/>
          <w:highlight w:val="none"/>
          <w:u w:val="single"/>
          <w:lang w:eastAsia="zh-CN"/>
        </w:rPr>
        <w:t>除</w:t>
      </w:r>
      <w:r>
        <w:rPr>
          <w:rFonts w:hint="eastAsia" w:ascii="宋体" w:hAnsi="宋体" w:eastAsia="宋体" w:cs="宋体"/>
          <w:color w:val="auto"/>
          <w:highlight w:val="none"/>
          <w:u w:val="single"/>
        </w:rPr>
        <w:t>全部履约保证金（转账）</w:t>
      </w:r>
      <w:r>
        <w:rPr>
          <w:rFonts w:hint="eastAsia" w:ascii="宋体" w:hAnsi="宋体" w:eastAsia="宋体" w:cs="宋体"/>
          <w:color w:val="auto"/>
          <w:highlight w:val="none"/>
          <w:u w:val="single"/>
          <w:lang w:eastAsia="zh-CN"/>
        </w:rPr>
        <w:t>不予退还外</w:t>
      </w:r>
      <w:r>
        <w:rPr>
          <w:rFonts w:hint="eastAsia" w:ascii="宋体" w:hAnsi="宋体" w:eastAsia="宋体" w:cs="宋体"/>
          <w:color w:val="auto"/>
          <w:highlight w:val="none"/>
          <w:u w:val="single"/>
        </w:rPr>
        <w:t>，若履约保证金缴纳形式为保证保险、保函</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则在竣工结算时扣除合同履约保证金同等金额的违约金</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履约保证金不足以支付各项违约金的，则从未付工程款中扣减。</w:t>
      </w:r>
    </w:p>
    <w:p w14:paraId="58C49709">
      <w:pPr>
        <w:keepNext w:val="0"/>
        <w:keepLines w:val="0"/>
        <w:pageBreakBefore w:val="0"/>
        <w:widowControl w:val="0"/>
        <w:kinsoku/>
        <w:wordWrap/>
        <w:overflowPunct/>
        <w:topLinePunct w:val="0"/>
        <w:bidi w:val="0"/>
        <w:adjustRightInd/>
        <w:snapToGrid/>
        <w:spacing w:line="420" w:lineRule="exact"/>
        <w:ind w:left="0" w:firstLine="422" w:firstLineChars="200"/>
        <w:jc w:val="both"/>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bookmarkStart w:id="93" w:name="_Toc267251413"/>
      <w:bookmarkStart w:id="94" w:name="_Toc296347161"/>
      <w:bookmarkStart w:id="95" w:name="_Toc296890990"/>
      <w:bookmarkStart w:id="96" w:name="_Toc296346663"/>
      <w:bookmarkStart w:id="97" w:name="_Toc296891202"/>
      <w:bookmarkStart w:id="98" w:name="_Toc296503162"/>
      <w:bookmarkStart w:id="99" w:name="_Toc292559366"/>
      <w:bookmarkStart w:id="100" w:name="_Toc297120462"/>
      <w:bookmarkStart w:id="101" w:name="_Toc292559871"/>
      <w:bookmarkStart w:id="102" w:name="_Toc296944501"/>
      <w:bookmarkStart w:id="103" w:name="_Toc297048348"/>
      <w:r>
        <w:rPr>
          <w:rFonts w:hint="eastAsia" w:ascii="宋体" w:hAnsi="宋体" w:eastAsia="宋体" w:cs="宋体"/>
          <w:b/>
          <w:color w:val="auto"/>
          <w:szCs w:val="21"/>
          <w:highlight w:val="none"/>
        </w:rPr>
        <w:t>. 监</w:t>
      </w:r>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b/>
          <w:color w:val="auto"/>
          <w:szCs w:val="21"/>
          <w:highlight w:val="none"/>
        </w:rPr>
        <w:t>理人</w:t>
      </w:r>
      <w:bookmarkEnd w:id="92"/>
    </w:p>
    <w:p w14:paraId="25F82EC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4.1监理人的一般规定</w:t>
      </w:r>
    </w:p>
    <w:p w14:paraId="7D84780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C34A1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17D214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承包人为发包人和监理单位免费提供足够的办公用房和会议室   </w:t>
      </w:r>
      <w:r>
        <w:rPr>
          <w:rFonts w:hint="eastAsia" w:ascii="宋体" w:hAnsi="宋体" w:eastAsia="宋体" w:cs="宋体"/>
          <w:color w:val="auto"/>
          <w:szCs w:val="21"/>
          <w:highlight w:val="none"/>
        </w:rPr>
        <w:t>。</w:t>
      </w:r>
    </w:p>
    <w:p w14:paraId="708E689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监理人员</w:t>
      </w:r>
    </w:p>
    <w:p w14:paraId="20FEE43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7B57225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45259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E17DE5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08B3817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6CCF33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FFDE60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0C679B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1C53F3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商定或确定</w:t>
      </w:r>
    </w:p>
    <w:p w14:paraId="40B196E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bookmarkStart w:id="104"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77E20DD7">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1BBF6DF">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95E33DF">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B0B7BF1">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105" w:name="_Toc351203637"/>
      <w:r>
        <w:rPr>
          <w:rFonts w:hint="eastAsia" w:ascii="宋体" w:hAnsi="宋体" w:eastAsia="宋体" w:cs="宋体"/>
          <w:color w:val="auto"/>
          <w:sz w:val="21"/>
          <w:szCs w:val="21"/>
          <w:highlight w:val="none"/>
        </w:rPr>
        <w:t>5</w:t>
      </w:r>
      <w:bookmarkEnd w:id="104"/>
      <w:bookmarkStart w:id="106" w:name="_Toc296890991"/>
      <w:bookmarkStart w:id="107" w:name="_Toc292559367"/>
      <w:bookmarkStart w:id="108" w:name="_Toc296891203"/>
      <w:bookmarkStart w:id="109" w:name="_Toc297048349"/>
      <w:bookmarkStart w:id="110" w:name="_Toc296944502"/>
      <w:bookmarkStart w:id="111" w:name="_Toc296347162"/>
      <w:bookmarkStart w:id="112" w:name="_Toc292559872"/>
      <w:bookmarkStart w:id="113" w:name="_Toc296503163"/>
      <w:bookmarkStart w:id="114" w:name="_Toc297120463"/>
      <w:bookmarkStart w:id="115" w:name="_Toc296346664"/>
      <w:r>
        <w:rPr>
          <w:rFonts w:hint="eastAsia" w:ascii="宋体" w:hAnsi="宋体" w:eastAsia="宋体" w:cs="宋体"/>
          <w:color w:val="auto"/>
          <w:sz w:val="21"/>
          <w:szCs w:val="21"/>
          <w:highlight w:val="none"/>
        </w:rPr>
        <w:t>. 工程质量</w:t>
      </w:r>
      <w:bookmarkEnd w:id="105"/>
    </w:p>
    <w:p w14:paraId="24F1FB3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质量要求</w:t>
      </w:r>
    </w:p>
    <w:p w14:paraId="79AA943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Start w:id="116" w:name="_Toc300934949"/>
      <w:bookmarkStart w:id="117" w:name="_Toc304295527"/>
      <w:bookmarkStart w:id="118" w:name="_Toc297216155"/>
      <w:bookmarkStart w:id="119" w:name="_Toc318581164"/>
      <w:bookmarkStart w:id="120" w:name="_Toc312677997"/>
      <w:bookmarkStart w:id="121" w:name="_Toc297123496"/>
      <w:bookmarkStart w:id="122" w:name="_Toc303539106"/>
      <w:r>
        <w:rPr>
          <w:rFonts w:hint="eastAsia" w:ascii="宋体" w:hAnsi="宋体" w:eastAsia="宋体" w:cs="宋体"/>
          <w:color w:val="auto"/>
          <w:szCs w:val="21"/>
          <w:highlight w:val="none"/>
        </w:rPr>
        <w:t>.1.1 特殊质量标准和要求：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Cs w:val="21"/>
          <w:highlight w:val="none"/>
          <w:u w:val="single"/>
        </w:rPr>
        <w:t>见施工图纸及清单要求。</w:t>
      </w:r>
    </w:p>
    <w:p w14:paraId="5BEB8D1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隐蔽工程检查</w:t>
      </w:r>
    </w:p>
    <w:p w14:paraId="55638FF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5.2.2承包人提前通知监理人隐蔽工程检查的期限的约定：</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szCs w:val="21"/>
          <w:highlight w:val="none"/>
        </w:rPr>
        <w:t>。</w:t>
      </w:r>
    </w:p>
    <w:p w14:paraId="6EDE6E4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060184D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2AB181D2">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123" w:name="_Toc351203638"/>
      <w:r>
        <w:rPr>
          <w:rFonts w:hint="eastAsia" w:ascii="宋体" w:hAnsi="宋体" w:eastAsia="宋体" w:cs="宋体"/>
          <w:color w:val="auto"/>
          <w:sz w:val="21"/>
          <w:szCs w:val="21"/>
          <w:highlight w:val="none"/>
        </w:rPr>
        <w:t>6. 安全文明施工与环境保护</w:t>
      </w:r>
      <w:bookmarkEnd w:id="116"/>
      <w:bookmarkEnd w:id="117"/>
      <w:bookmarkEnd w:id="118"/>
      <w:bookmarkEnd w:id="119"/>
      <w:bookmarkEnd w:id="120"/>
      <w:bookmarkEnd w:id="121"/>
      <w:bookmarkEnd w:id="122"/>
      <w:bookmarkEnd w:id="123"/>
      <w:bookmarkStart w:id="124" w:name="_Toc351203639"/>
    </w:p>
    <w:p w14:paraId="2E41A24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6.1安全文明施工</w:t>
      </w:r>
    </w:p>
    <w:p w14:paraId="65A5441E">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承包人的投标报价已包含安全生产、文明施工及文明创建的所有费用，发包人不因此而支付任何额外费用。施工过程中，承包人必须按安全生产、文明施工及文明创建的要求组织施工，如达不到要求，依据补充条款中关于安全、文明考核承包人承担相应违约责任。拒不整改的，发包人有权解除本合同，将承包人清退出场，并将全额扣除承包人安全防护、文明施工及其相关措施费，承担合同价 2%的违约金，并按已完合格工程80%结算。由于承包人安全措施不力造成事故（包括第三方事故）的责任和隐藏发生的费用，由承包人承担。</w:t>
      </w:r>
    </w:p>
    <w:p w14:paraId="07D8A296">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施工现场的安全保卫工作（包括此项工作发生的费用）均由承包人承担 。</w:t>
      </w:r>
    </w:p>
    <w:p w14:paraId="18D2D37C">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1F5D36EC">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6DC65EC0">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负责市容、环保、交通、街道等部门和周边居民的协调工作，发包人协助，费用由承包人承担。施工场地清洁卫生符合安徽省及各地市对施工场地文明施工和清洁卫生的有关规定；达到《建筑施工安全检查标准》（JGJ59-2011）标准及铜陵市地方标准，施工现场要严格按照《安徽省大气污染防治条例》第六十二条、六十三条执行</w:t>
      </w:r>
      <w:r>
        <w:rPr>
          <w:rFonts w:hint="eastAsia" w:ascii="宋体" w:hAnsi="宋体" w:eastAsia="宋体" w:cs="宋体"/>
          <w:color w:val="auto"/>
          <w:sz w:val="24"/>
          <w:highlight w:val="none"/>
          <w:u w:val="single"/>
        </w:rPr>
        <w:t>。</w:t>
      </w:r>
    </w:p>
    <w:p w14:paraId="4FAE2824">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建设单位扬尘污染防治责任人：            联系电话：</w:t>
      </w:r>
    </w:p>
    <w:p w14:paraId="114F5F8B">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施工单位扬尘污染防治责任人：            联系电话：</w:t>
      </w:r>
    </w:p>
    <w:p w14:paraId="1DB7508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w:t>
      </w:r>
    </w:p>
    <w:p w14:paraId="5F2141DB">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工期和进度</w:t>
      </w:r>
      <w:bookmarkEnd w:id="124"/>
      <w:r>
        <w:rPr>
          <w:rFonts w:hint="eastAsia" w:ascii="宋体" w:hAnsi="宋体" w:eastAsia="宋体" w:cs="宋体"/>
          <w:color w:val="auto"/>
          <w:sz w:val="21"/>
          <w:szCs w:val="21"/>
          <w:highlight w:val="none"/>
        </w:rPr>
        <w:t>：</w:t>
      </w:r>
    </w:p>
    <w:p w14:paraId="1EEA199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施工组织设计</w:t>
      </w:r>
    </w:p>
    <w:p w14:paraId="65F889F9">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kern w:val="0"/>
          <w:szCs w:val="21"/>
          <w:highlight w:val="none"/>
          <w:u w:val="single"/>
        </w:rPr>
        <w:t>1、承包人提供施工组织设计（施工方案）和进度计划的时间：开工前7日内承包人向发包人提供施工组织设计和总进度计划（含进度计划网络图、横道图）工程师确认的时间：收到后 7日内工程师进行确认和提出修改意见。2、群体工程中有关进度计划的要求：承包人合同段范围内的工程进度计划安排应服从和满足发包人对于整个项目群体工程总体进度计划的安排，并能根据总体进度计划的需要进行调整。</w:t>
      </w:r>
    </w:p>
    <w:p w14:paraId="5655525D">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70424551">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开工前3日     </w:t>
      </w:r>
      <w:r>
        <w:rPr>
          <w:rFonts w:hint="eastAsia" w:ascii="宋体" w:hAnsi="宋体" w:eastAsia="宋体" w:cs="宋体"/>
          <w:color w:val="auto"/>
          <w:szCs w:val="21"/>
          <w:highlight w:val="none"/>
        </w:rPr>
        <w:t>。</w:t>
      </w:r>
    </w:p>
    <w:p w14:paraId="5FDB4F8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 xml:space="preserve">  收到之日起3日  </w:t>
      </w:r>
      <w:r>
        <w:rPr>
          <w:rFonts w:hint="eastAsia" w:ascii="宋体" w:hAnsi="宋体" w:eastAsia="宋体" w:cs="宋体"/>
          <w:color w:val="auto"/>
          <w:szCs w:val="21"/>
          <w:highlight w:val="none"/>
        </w:rPr>
        <w:t>。</w:t>
      </w:r>
    </w:p>
    <w:p w14:paraId="33D75F6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125" w:name="_Toc312678005"/>
      <w:bookmarkStart w:id="126" w:name="_Toc303539123"/>
      <w:bookmarkStart w:id="127" w:name="_Toc304295541"/>
      <w:bookmarkStart w:id="128" w:name="_Toc312677479"/>
      <w:bookmarkStart w:id="129" w:name="_Toc297216173"/>
      <w:bookmarkStart w:id="130" w:name="_Toc300934966"/>
      <w:bookmarkStart w:id="131" w:name="_Toc297123514"/>
      <w:r>
        <w:rPr>
          <w:rFonts w:hint="eastAsia" w:ascii="宋体" w:hAnsi="宋体" w:eastAsia="宋体" w:cs="宋体"/>
          <w:color w:val="auto"/>
          <w:szCs w:val="21"/>
          <w:highlight w:val="none"/>
        </w:rPr>
        <w:t>.2 施工进度计划</w:t>
      </w:r>
    </w:p>
    <w:p w14:paraId="4ABFA9F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35518E9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 xml:space="preserve">收到之日起3日   </w:t>
      </w:r>
      <w:r>
        <w:rPr>
          <w:rFonts w:hint="eastAsia" w:ascii="宋体" w:hAnsi="宋体" w:eastAsia="宋体" w:cs="宋体"/>
          <w:color w:val="auto"/>
          <w:szCs w:val="21"/>
          <w:highlight w:val="none"/>
        </w:rPr>
        <w:t>。</w:t>
      </w:r>
    </w:p>
    <w:p w14:paraId="3534065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开工</w:t>
      </w:r>
    </w:p>
    <w:p w14:paraId="0B64CA5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34BC8E7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开工前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078FB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开工前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0A7D4E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开工前       </w:t>
      </w:r>
      <w:r>
        <w:rPr>
          <w:rFonts w:hint="eastAsia" w:ascii="宋体" w:hAnsi="宋体" w:eastAsia="宋体" w:cs="宋体"/>
          <w:color w:val="auto"/>
          <w:szCs w:val="21"/>
          <w:highlight w:val="none"/>
        </w:rPr>
        <w:t>。</w:t>
      </w:r>
    </w:p>
    <w:bookmarkEnd w:id="125"/>
    <w:bookmarkEnd w:id="126"/>
    <w:bookmarkEnd w:id="127"/>
    <w:bookmarkEnd w:id="128"/>
    <w:bookmarkEnd w:id="129"/>
    <w:bookmarkEnd w:id="130"/>
    <w:bookmarkEnd w:id="131"/>
    <w:p w14:paraId="0525B12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测量放线</w:t>
      </w:r>
    </w:p>
    <w:p w14:paraId="428159A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 xml:space="preserve"> 开工前7日 </w:t>
      </w:r>
      <w:r>
        <w:rPr>
          <w:rFonts w:hint="eastAsia" w:ascii="宋体" w:hAnsi="宋体" w:eastAsia="宋体" w:cs="宋体"/>
          <w:color w:val="auto"/>
          <w:szCs w:val="21"/>
          <w:highlight w:val="none"/>
        </w:rPr>
        <w:t>。</w:t>
      </w:r>
    </w:p>
    <w:p w14:paraId="26F4B01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132" w:name="_Toc297123516"/>
      <w:bookmarkStart w:id="133" w:name="_Toc297216175"/>
      <w:bookmarkStart w:id="134" w:name="_Toc312678010"/>
      <w:bookmarkStart w:id="135" w:name="_Toc304295546"/>
      <w:bookmarkStart w:id="136" w:name="_Toc303539125"/>
      <w:bookmarkStart w:id="137" w:name="_Toc300934968"/>
      <w:bookmarkStart w:id="138" w:name="_Toc312677484"/>
      <w:r>
        <w:rPr>
          <w:rFonts w:hint="eastAsia" w:ascii="宋体" w:hAnsi="宋体" w:eastAsia="宋体" w:cs="宋体"/>
          <w:color w:val="auto"/>
          <w:szCs w:val="21"/>
          <w:highlight w:val="none"/>
        </w:rPr>
        <w:t>.5 工期延误</w:t>
      </w:r>
    </w:p>
    <w:bookmarkEnd w:id="132"/>
    <w:bookmarkEnd w:id="133"/>
    <w:bookmarkEnd w:id="134"/>
    <w:bookmarkEnd w:id="135"/>
    <w:bookmarkEnd w:id="136"/>
    <w:bookmarkEnd w:id="137"/>
    <w:bookmarkEnd w:id="138"/>
    <w:p w14:paraId="71DC7B2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26249B2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）因发包人原因导致工期延误的其他情形：</w:t>
      </w:r>
      <w:r>
        <w:rPr>
          <w:rFonts w:hint="eastAsia" w:ascii="宋体" w:hAnsi="宋体" w:eastAsia="宋体" w:cs="宋体"/>
          <w:color w:val="auto"/>
          <w:szCs w:val="21"/>
          <w:highlight w:val="none"/>
          <w:u w:val="single"/>
        </w:rPr>
        <w:t xml:space="preserve">合同工期予以顺延。 </w:t>
      </w:r>
    </w:p>
    <w:p w14:paraId="50733EC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139" w:name="_Toc312677486"/>
      <w:bookmarkStart w:id="140" w:name="_Toc303539127"/>
      <w:bookmarkStart w:id="141" w:name="_Toc318581169"/>
      <w:bookmarkStart w:id="142" w:name="_Toc297123518"/>
      <w:bookmarkStart w:id="143" w:name="_Toc300934970"/>
      <w:bookmarkStart w:id="144" w:name="_Toc297216177"/>
      <w:bookmarkStart w:id="145" w:name="_Toc304295548"/>
      <w:bookmarkStart w:id="146" w:name="_Toc312678012"/>
      <w:r>
        <w:rPr>
          <w:rFonts w:hint="eastAsia" w:ascii="宋体" w:hAnsi="宋体" w:eastAsia="宋体" w:cs="宋体"/>
          <w:color w:val="auto"/>
          <w:szCs w:val="21"/>
          <w:highlight w:val="none"/>
        </w:rPr>
        <w:t>.5.2 因承包人原因导致工期延误</w:t>
      </w:r>
    </w:p>
    <w:bookmarkEnd w:id="139"/>
    <w:bookmarkEnd w:id="140"/>
    <w:bookmarkEnd w:id="141"/>
    <w:bookmarkEnd w:id="142"/>
    <w:bookmarkEnd w:id="143"/>
    <w:bookmarkEnd w:id="144"/>
    <w:bookmarkEnd w:id="145"/>
    <w:bookmarkEnd w:id="146"/>
    <w:p w14:paraId="55C01BE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仿宋_GB2312" w:cs="宋体"/>
          <w:color w:val="auto"/>
          <w:szCs w:val="21"/>
          <w:highlight w:val="none"/>
          <w:lang w:eastAsia="zh-CN"/>
        </w:rPr>
      </w:pPr>
      <w:r>
        <w:rPr>
          <w:rFonts w:hint="eastAsia" w:ascii="宋体" w:hAnsi="宋体" w:eastAsia="宋体" w:cs="宋体"/>
          <w:color w:val="auto"/>
          <w:szCs w:val="21"/>
          <w:highlight w:val="none"/>
        </w:rPr>
        <w:t>因</w:t>
      </w:r>
      <w:bookmarkStart w:id="147" w:name="_Toc312677487"/>
      <w:bookmarkStart w:id="148" w:name="_Toc318581170"/>
      <w:bookmarkStart w:id="149" w:name="_Toc312678013"/>
      <w:r>
        <w:rPr>
          <w:rFonts w:hint="eastAsia" w:ascii="宋体" w:hAnsi="宋体" w:eastAsia="宋体" w:cs="宋体"/>
          <w:color w:val="auto"/>
          <w:szCs w:val="21"/>
          <w:highlight w:val="none"/>
        </w:rPr>
        <w:t>承包人原因造成工期延误，逾期竣工违约金的计算方法为</w:t>
      </w:r>
      <w:bookmarkEnd w:id="147"/>
      <w:bookmarkEnd w:id="148"/>
      <w:bookmarkEnd w:id="149"/>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rPr>
        <w:t>因承包人原因，延误工期7天内（含）的，按500元/天*（延误天数）计算违约金；因承包人原因，延误工期大于7天（不含），将扣除承包人工程全部工期履约保证金，同时发包人有权单方面终止合同、清退出场、按已完合格工程量的80%与承包人结算，并追究其他相关责任。因发包人或不可抗力造成的工期延误，工期予以顺延</w:t>
      </w:r>
      <w:r>
        <w:rPr>
          <w:rFonts w:hint="eastAsia" w:ascii="宋体" w:hAnsi="宋体" w:eastAsia="宋体" w:cs="宋体"/>
          <w:color w:val="auto"/>
          <w:szCs w:val="21"/>
          <w:highlight w:val="none"/>
          <w:u w:val="single"/>
          <w:lang w:eastAsia="zh-CN"/>
        </w:rPr>
        <w:t>。</w:t>
      </w:r>
    </w:p>
    <w:p w14:paraId="4055719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150" w:name="_Toc312678015"/>
      <w:bookmarkStart w:id="151" w:name="_Toc303539128"/>
      <w:bookmarkStart w:id="152" w:name="_Toc304295549"/>
      <w:bookmarkStart w:id="153" w:name="_Toc300934971"/>
      <w:bookmarkStart w:id="154" w:name="_Toc297123519"/>
      <w:bookmarkStart w:id="155" w:name="_Toc297216178"/>
      <w:r>
        <w:rPr>
          <w:rFonts w:hint="eastAsia" w:ascii="宋体" w:hAnsi="宋体" w:eastAsia="宋体" w:cs="宋体"/>
          <w:color w:val="auto"/>
          <w:szCs w:val="21"/>
          <w:highlight w:val="none"/>
        </w:rPr>
        <w:t>.6 不</w:t>
      </w:r>
      <w:bookmarkEnd w:id="150"/>
      <w:bookmarkEnd w:id="151"/>
      <w:bookmarkEnd w:id="152"/>
      <w:bookmarkEnd w:id="153"/>
      <w:bookmarkEnd w:id="154"/>
      <w:bookmarkEnd w:id="155"/>
      <w:r>
        <w:rPr>
          <w:rFonts w:hint="eastAsia" w:ascii="宋体" w:hAnsi="宋体" w:eastAsia="宋体" w:cs="宋体"/>
          <w:color w:val="auto"/>
          <w:szCs w:val="21"/>
          <w:highlight w:val="none"/>
        </w:rPr>
        <w:t>利物质条件</w:t>
      </w:r>
    </w:p>
    <w:p w14:paraId="65B6113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bookmarkStart w:id="156" w:name="_Toc303539129"/>
      <w:bookmarkStart w:id="157" w:name="_Toc297123520"/>
      <w:bookmarkStart w:id="158" w:name="_Toc297216179"/>
      <w:bookmarkStart w:id="159" w:name="_Toc300934972"/>
      <w:bookmarkStart w:id="160" w:name="_Toc318581172"/>
      <w:bookmarkStart w:id="161" w:name="_Toc312678016"/>
      <w:bookmarkStart w:id="162" w:name="_Toc304295550"/>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bookmarkEnd w:id="156"/>
    <w:bookmarkEnd w:id="157"/>
    <w:bookmarkEnd w:id="158"/>
    <w:bookmarkEnd w:id="159"/>
    <w:bookmarkEnd w:id="160"/>
    <w:bookmarkEnd w:id="161"/>
    <w:bookmarkEnd w:id="162"/>
    <w:p w14:paraId="79F39D7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163" w:name="_Toc300934973"/>
      <w:bookmarkStart w:id="164" w:name="_Toc304295551"/>
      <w:bookmarkStart w:id="165" w:name="_Toc303539130"/>
      <w:bookmarkStart w:id="166" w:name="_Toc312678017"/>
      <w:bookmarkStart w:id="167" w:name="_Toc297216180"/>
      <w:bookmarkStart w:id="168" w:name="_Toc297123521"/>
      <w:r>
        <w:rPr>
          <w:rFonts w:hint="eastAsia" w:ascii="宋体" w:hAnsi="宋体" w:eastAsia="宋体" w:cs="宋体"/>
          <w:color w:val="auto"/>
          <w:szCs w:val="21"/>
          <w:highlight w:val="none"/>
        </w:rPr>
        <w:t>.7异常恶劣的气候条件</w:t>
      </w:r>
    </w:p>
    <w:bookmarkEnd w:id="163"/>
    <w:bookmarkEnd w:id="164"/>
    <w:bookmarkEnd w:id="165"/>
    <w:bookmarkEnd w:id="166"/>
    <w:bookmarkEnd w:id="167"/>
    <w:bookmarkEnd w:id="168"/>
    <w:p w14:paraId="79F1859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7EA4272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F24275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357C8A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FAE440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7.9 提前竣工的奖励</w:t>
      </w:r>
    </w:p>
    <w:p w14:paraId="579864B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7.9.1提前竣工的奖励：</w:t>
      </w:r>
      <w:bookmarkStart w:id="169" w:name="_Toc318581171"/>
      <w:bookmarkStart w:id="170" w:name="_Toc312678014"/>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bookmarkEnd w:id="169"/>
    <w:bookmarkEnd w:id="170"/>
    <w:p w14:paraId="46D440F4">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171" w:name="_Toc351203640"/>
      <w:r>
        <w:rPr>
          <w:rFonts w:hint="eastAsia" w:ascii="宋体" w:hAnsi="宋体" w:eastAsia="宋体" w:cs="宋体"/>
          <w:color w:val="auto"/>
          <w:sz w:val="21"/>
          <w:szCs w:val="21"/>
          <w:highlight w:val="none"/>
        </w:rPr>
        <w:t>8. 材料与设备</w:t>
      </w:r>
      <w:bookmarkEnd w:id="171"/>
    </w:p>
    <w:bookmarkEnd w:id="106"/>
    <w:bookmarkEnd w:id="107"/>
    <w:bookmarkEnd w:id="108"/>
    <w:bookmarkEnd w:id="109"/>
    <w:bookmarkEnd w:id="110"/>
    <w:bookmarkEnd w:id="111"/>
    <w:bookmarkEnd w:id="112"/>
    <w:bookmarkEnd w:id="113"/>
    <w:bookmarkEnd w:id="114"/>
    <w:bookmarkEnd w:id="115"/>
    <w:p w14:paraId="76E6242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172" w:name="_Toc303539136"/>
      <w:bookmarkStart w:id="173" w:name="_Toc280868654"/>
      <w:bookmarkStart w:id="174" w:name="_Toc296891207"/>
      <w:bookmarkStart w:id="175" w:name="_Toc292559877"/>
      <w:bookmarkStart w:id="176" w:name="_Toc296944506"/>
      <w:bookmarkStart w:id="177" w:name="_Toc296890995"/>
      <w:bookmarkStart w:id="178" w:name="_Toc292559372"/>
      <w:bookmarkStart w:id="179" w:name="_Toc296503167"/>
      <w:bookmarkStart w:id="180" w:name="_Toc312677493"/>
      <w:bookmarkStart w:id="181" w:name="_Toc296347166"/>
      <w:bookmarkStart w:id="182" w:name="_Toc296346668"/>
      <w:bookmarkStart w:id="183" w:name="_Toc297123527"/>
      <w:bookmarkStart w:id="184" w:name="_Toc297216186"/>
      <w:bookmarkStart w:id="185" w:name="_Toc300934979"/>
      <w:bookmarkStart w:id="186" w:name="_Toc312678019"/>
      <w:bookmarkStart w:id="187" w:name="_Toc304295556"/>
      <w:bookmarkStart w:id="188" w:name="_Toc297048353"/>
      <w:bookmarkStart w:id="189" w:name="_Toc297120467"/>
      <w:bookmarkStart w:id="190" w:name="_Toc280868655"/>
      <w:bookmarkStart w:id="191" w:name="_Toc280868656"/>
      <w:bookmarkStart w:id="192" w:name="_Toc267251424"/>
      <w:r>
        <w:rPr>
          <w:rFonts w:hint="eastAsia" w:ascii="宋体" w:hAnsi="宋体" w:eastAsia="宋体" w:cs="宋体"/>
          <w:color w:val="auto"/>
          <w:szCs w:val="21"/>
          <w:highlight w:val="none"/>
        </w:rPr>
        <w:t>.4材料与工程设备的保管与使用</w:t>
      </w:r>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14:paraId="7BF3459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bookmarkStart w:id="193" w:name="_Toc292559878"/>
      <w:bookmarkStart w:id="194" w:name="_Toc292559373"/>
      <w:bookmarkStart w:id="195" w:name="_Toc312677494"/>
      <w:bookmarkStart w:id="196" w:name="_Toc297123528"/>
      <w:bookmarkStart w:id="197" w:name="_Toc296503168"/>
      <w:bookmarkStart w:id="198" w:name="_Toc297216187"/>
      <w:bookmarkStart w:id="199" w:name="_Toc304295557"/>
      <w:bookmarkStart w:id="200" w:name="_Toc296944507"/>
      <w:bookmarkStart w:id="201" w:name="_Toc296890996"/>
      <w:bookmarkStart w:id="202" w:name="_Toc296891208"/>
      <w:bookmarkStart w:id="203" w:name="_Toc296347167"/>
      <w:bookmarkStart w:id="204" w:name="_Toc303539137"/>
      <w:bookmarkStart w:id="205" w:name="_Toc312678020"/>
      <w:bookmarkStart w:id="206" w:name="_Toc296346669"/>
      <w:bookmarkStart w:id="207" w:name="_Toc318581173"/>
      <w:bookmarkStart w:id="208" w:name="_Toc300934980"/>
      <w:bookmarkStart w:id="209" w:name="_Toc297120468"/>
      <w:bookmarkStart w:id="210" w:name="_Toc297048354"/>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none"/>
        </w:rPr>
        <w:t>。</w:t>
      </w:r>
    </w:p>
    <w:bookmarkEnd w:id="193"/>
    <w:bookmarkEnd w:id="194"/>
    <w:p w14:paraId="163B30B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8.6 样品</w:t>
      </w:r>
    </w:p>
    <w:p w14:paraId="568C266E">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 样品的报送与封存</w:t>
      </w:r>
    </w:p>
    <w:p w14:paraId="7AEB1A02">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工程所需材料应当在进场前报由发包人、监理单位进行审查，审查通过的，方可进场使用；审查不通过的，发包人有权要求承包人重新报送，直至通过发包人、监理单位的审查后，方可进场； 因承包人自行采购的材料质量引起的工程质量问题由承包人承担所造成的一切损失。推荐品牌的设备及材料承包人选定的品牌须经发包人和监理单位认可</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rPr>
        <w:t xml:space="preserve">             </w:t>
      </w:r>
    </w:p>
    <w:p w14:paraId="26336B5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8.8 施工设备和临时设施</w:t>
      </w:r>
    </w:p>
    <w:p w14:paraId="31870FDB">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0F8D5C90">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 xml:space="preserve"> 承包人承担          </w:t>
      </w:r>
      <w:r>
        <w:rPr>
          <w:rFonts w:hint="eastAsia" w:ascii="宋体" w:hAnsi="宋体" w:eastAsia="宋体" w:cs="宋体"/>
          <w:color w:val="auto"/>
          <w:szCs w:val="21"/>
          <w:highlight w:val="none"/>
        </w:rPr>
        <w:t>。</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619D6BA9">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211" w:name="_Toc351203641"/>
      <w:r>
        <w:rPr>
          <w:rFonts w:hint="eastAsia" w:ascii="宋体" w:hAnsi="宋体" w:eastAsia="宋体" w:cs="宋体"/>
          <w:color w:val="auto"/>
          <w:sz w:val="21"/>
          <w:szCs w:val="21"/>
          <w:highlight w:val="none"/>
        </w:rPr>
        <w:t>9</w:t>
      </w:r>
      <w:bookmarkEnd w:id="190"/>
      <w:bookmarkEnd w:id="191"/>
      <w:bookmarkEnd w:id="192"/>
      <w:bookmarkStart w:id="212" w:name="_Toc304295559"/>
      <w:bookmarkStart w:id="213" w:name="_Toc312678021"/>
      <w:bookmarkStart w:id="214" w:name="_Toc297216192"/>
      <w:bookmarkStart w:id="215" w:name="_Toc312677495"/>
      <w:bookmarkStart w:id="216" w:name="_Toc300934982"/>
      <w:bookmarkStart w:id="217" w:name="_Toc303539139"/>
      <w:bookmarkStart w:id="218" w:name="_Toc297123533"/>
      <w:bookmarkStart w:id="219" w:name="_Toc296346674"/>
      <w:bookmarkStart w:id="220" w:name="_Toc296503173"/>
      <w:bookmarkStart w:id="221" w:name="_Toc296891001"/>
      <w:bookmarkStart w:id="222" w:name="_Toc296891213"/>
      <w:bookmarkStart w:id="223" w:name="_Toc296347172"/>
      <w:bookmarkStart w:id="224" w:name="_Toc296944512"/>
      <w:bookmarkStart w:id="225" w:name="_Toc267251427"/>
      <w:bookmarkStart w:id="226" w:name="_Toc297048359"/>
      <w:bookmarkStart w:id="227" w:name="_Toc292559883"/>
      <w:bookmarkStart w:id="228" w:name="_Toc267251428"/>
      <w:bookmarkStart w:id="229" w:name="_Toc297120473"/>
      <w:bookmarkStart w:id="230" w:name="_Toc292559378"/>
      <w:r>
        <w:rPr>
          <w:rFonts w:hint="eastAsia" w:ascii="宋体" w:hAnsi="宋体" w:eastAsia="宋体" w:cs="宋体"/>
          <w:color w:val="auto"/>
          <w:sz w:val="21"/>
          <w:szCs w:val="21"/>
          <w:highlight w:val="none"/>
        </w:rPr>
        <w:t>. 试验与检验</w:t>
      </w:r>
      <w:bookmarkEnd w:id="211"/>
    </w:p>
    <w:bookmarkEnd w:id="212"/>
    <w:bookmarkEnd w:id="213"/>
    <w:bookmarkEnd w:id="214"/>
    <w:bookmarkEnd w:id="215"/>
    <w:bookmarkEnd w:id="216"/>
    <w:bookmarkEnd w:id="217"/>
    <w:bookmarkEnd w:id="218"/>
    <w:p w14:paraId="2E22E55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231" w:name="_Toc297216193"/>
      <w:bookmarkStart w:id="232" w:name="_Toc312678022"/>
      <w:bookmarkStart w:id="233" w:name="_Toc304295560"/>
      <w:bookmarkStart w:id="234" w:name="_Toc312677496"/>
      <w:bookmarkStart w:id="235" w:name="_Toc303539140"/>
      <w:bookmarkStart w:id="236" w:name="_Toc300934983"/>
      <w:bookmarkStart w:id="237" w:name="_Toc297123534"/>
      <w:r>
        <w:rPr>
          <w:rFonts w:hint="eastAsia" w:ascii="宋体" w:hAnsi="宋体" w:eastAsia="宋体" w:cs="宋体"/>
          <w:color w:val="auto"/>
          <w:szCs w:val="21"/>
          <w:highlight w:val="none"/>
        </w:rPr>
        <w:t>.1试验设备与试验人员</w:t>
      </w:r>
    </w:p>
    <w:bookmarkEnd w:id="231"/>
    <w:bookmarkEnd w:id="232"/>
    <w:bookmarkEnd w:id="233"/>
    <w:bookmarkEnd w:id="234"/>
    <w:bookmarkEnd w:id="235"/>
    <w:bookmarkEnd w:id="236"/>
    <w:bookmarkEnd w:id="237"/>
    <w:p w14:paraId="5BC0D54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238" w:name="_Toc312677497"/>
      <w:bookmarkStart w:id="239" w:name="_Toc312678023"/>
      <w:bookmarkStart w:id="240" w:name="_Toc304295561"/>
      <w:bookmarkStart w:id="241" w:name="_Toc303539141"/>
      <w:bookmarkStart w:id="242" w:name="_Toc297123535"/>
      <w:bookmarkStart w:id="243" w:name="_Toc297216194"/>
      <w:bookmarkStart w:id="244" w:name="_Toc300934984"/>
      <w:bookmarkStart w:id="245" w:name="_Toc318581174"/>
      <w:r>
        <w:rPr>
          <w:rFonts w:hint="eastAsia" w:ascii="宋体" w:hAnsi="宋体" w:eastAsia="宋体" w:cs="宋体"/>
          <w:color w:val="auto"/>
          <w:szCs w:val="21"/>
          <w:highlight w:val="none"/>
        </w:rPr>
        <w:t>.1.2 试验设备</w:t>
      </w:r>
    </w:p>
    <w:p w14:paraId="0407DD0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施工现场需要配置的试验场所：</w:t>
      </w:r>
      <w:bookmarkEnd w:id="238"/>
      <w:bookmarkEnd w:id="239"/>
      <w:bookmarkEnd w:id="240"/>
      <w:bookmarkEnd w:id="241"/>
      <w:bookmarkEnd w:id="242"/>
      <w:bookmarkEnd w:id="243"/>
      <w:bookmarkEnd w:id="244"/>
      <w:bookmarkStart w:id="246" w:name="_Toc297216195"/>
      <w:bookmarkStart w:id="247" w:name="_Toc304295562"/>
      <w:bookmarkStart w:id="248" w:name="_Toc312677498"/>
      <w:bookmarkStart w:id="249" w:name="_Toc300934985"/>
      <w:bookmarkStart w:id="250" w:name="_Toc312678024"/>
      <w:bookmarkStart w:id="251" w:name="_Toc303539142"/>
      <w:bookmarkStart w:id="252" w:name="_Toc297123536"/>
      <w:r>
        <w:rPr>
          <w:rFonts w:hint="eastAsia" w:ascii="宋体" w:hAnsi="宋体" w:eastAsia="宋体" w:cs="宋体"/>
          <w:color w:val="auto"/>
          <w:szCs w:val="21"/>
          <w:highlight w:val="none"/>
          <w:u w:val="single"/>
        </w:rPr>
        <w:t xml:space="preserve">     满足要求            </w:t>
      </w:r>
      <w:r>
        <w:rPr>
          <w:rFonts w:hint="eastAsia" w:ascii="宋体" w:hAnsi="宋体" w:eastAsia="宋体" w:cs="宋体"/>
          <w:color w:val="auto"/>
          <w:szCs w:val="21"/>
          <w:highlight w:val="none"/>
        </w:rPr>
        <w:t>。</w:t>
      </w:r>
    </w:p>
    <w:p w14:paraId="773E28C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      同上               </w:t>
      </w:r>
      <w:r>
        <w:rPr>
          <w:rFonts w:hint="eastAsia" w:ascii="宋体" w:hAnsi="宋体" w:eastAsia="宋体" w:cs="宋体"/>
          <w:color w:val="auto"/>
          <w:szCs w:val="21"/>
          <w:highlight w:val="none"/>
        </w:rPr>
        <w:t>。</w:t>
      </w:r>
    </w:p>
    <w:p w14:paraId="03D611F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同上               </w:t>
      </w:r>
      <w:r>
        <w:rPr>
          <w:rFonts w:hint="eastAsia" w:ascii="宋体" w:hAnsi="宋体" w:eastAsia="宋体" w:cs="宋体"/>
          <w:color w:val="auto"/>
          <w:szCs w:val="21"/>
          <w:highlight w:val="none"/>
        </w:rPr>
        <w:t>。</w:t>
      </w:r>
    </w:p>
    <w:p w14:paraId="7E9A77F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现场工艺试验 </w:t>
      </w:r>
    </w:p>
    <w:p w14:paraId="541739A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同上               </w:t>
      </w:r>
      <w:r>
        <w:rPr>
          <w:rFonts w:hint="eastAsia" w:ascii="宋体" w:hAnsi="宋体" w:eastAsia="宋体" w:cs="宋体"/>
          <w:color w:val="auto"/>
          <w:szCs w:val="21"/>
          <w:highlight w:val="none"/>
        </w:rPr>
        <w:t>。</w:t>
      </w:r>
    </w:p>
    <w:p w14:paraId="64FB65C7">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253" w:name="_Toc351203642"/>
      <w:r>
        <w:rPr>
          <w:rFonts w:hint="eastAsia" w:ascii="宋体" w:hAnsi="宋体" w:eastAsia="宋体" w:cs="宋体"/>
          <w:color w:val="auto"/>
          <w:sz w:val="21"/>
          <w:szCs w:val="21"/>
          <w:highlight w:val="none"/>
        </w:rPr>
        <w:t>1</w:t>
      </w:r>
      <w:bookmarkStart w:id="254" w:name="_Toc312677499"/>
      <w:bookmarkStart w:id="255" w:name="_Toc297120493"/>
      <w:bookmarkStart w:id="256" w:name="_Toc296944532"/>
      <w:bookmarkStart w:id="257" w:name="_Toc296891021"/>
      <w:bookmarkStart w:id="258" w:name="_Toc296346694"/>
      <w:bookmarkStart w:id="259" w:name="_Toc296347192"/>
      <w:bookmarkStart w:id="260" w:name="_Toc300934989"/>
      <w:bookmarkStart w:id="261" w:name="_Toc297216199"/>
      <w:bookmarkStart w:id="262" w:name="_Toc297123540"/>
      <w:bookmarkStart w:id="263" w:name="_Toc292559903"/>
      <w:bookmarkStart w:id="264" w:name="_Toc312678025"/>
      <w:bookmarkStart w:id="265" w:name="_Toc303539146"/>
      <w:bookmarkStart w:id="266" w:name="_Toc297048379"/>
      <w:bookmarkStart w:id="267" w:name="_Toc296891233"/>
      <w:bookmarkStart w:id="268" w:name="_Toc296503193"/>
      <w:bookmarkStart w:id="269" w:name="_Toc304295566"/>
      <w:bookmarkStart w:id="270" w:name="_Toc292559398"/>
      <w:r>
        <w:rPr>
          <w:rFonts w:hint="eastAsia" w:ascii="宋体" w:hAnsi="宋体" w:eastAsia="宋体" w:cs="宋体"/>
          <w:color w:val="auto"/>
          <w:sz w:val="21"/>
          <w:szCs w:val="21"/>
          <w:highlight w:val="none"/>
        </w:rPr>
        <w:t>0. 变更</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bookmarkEnd w:id="219"/>
    <w:bookmarkEnd w:id="220"/>
    <w:bookmarkEnd w:id="221"/>
    <w:bookmarkEnd w:id="222"/>
    <w:bookmarkEnd w:id="223"/>
    <w:bookmarkEnd w:id="224"/>
    <w:bookmarkEnd w:id="225"/>
    <w:bookmarkEnd w:id="226"/>
    <w:bookmarkEnd w:id="227"/>
    <w:bookmarkEnd w:id="228"/>
    <w:bookmarkEnd w:id="229"/>
    <w:bookmarkEnd w:id="230"/>
    <w:bookmarkEnd w:id="245"/>
    <w:bookmarkEnd w:id="246"/>
    <w:bookmarkEnd w:id="247"/>
    <w:bookmarkEnd w:id="248"/>
    <w:bookmarkEnd w:id="249"/>
    <w:bookmarkEnd w:id="250"/>
    <w:bookmarkEnd w:id="251"/>
    <w:bookmarkEnd w:id="252"/>
    <w:p w14:paraId="3B848AC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bookmarkStart w:id="271" w:name="_Toc267251439"/>
      <w:bookmarkStart w:id="272" w:name="_Toc267251435"/>
      <w:bookmarkStart w:id="273" w:name="_Toc267251440"/>
      <w:bookmarkStart w:id="274" w:name="_Toc267251441"/>
      <w:bookmarkStart w:id="275" w:name="_Toc267251433"/>
      <w:bookmarkStart w:id="276" w:name="_Toc267251437"/>
      <w:r>
        <w:rPr>
          <w:rFonts w:hint="eastAsia" w:ascii="宋体" w:hAnsi="宋体" w:eastAsia="宋体" w:cs="宋体"/>
          <w:color w:val="auto"/>
          <w:szCs w:val="21"/>
          <w:highlight w:val="none"/>
        </w:rPr>
        <w:t>1</w:t>
      </w:r>
      <w:bookmarkStart w:id="277" w:name="_Toc304295567"/>
      <w:bookmarkStart w:id="278" w:name="_Toc312677500"/>
      <w:bookmarkStart w:id="279" w:name="_Toc297123541"/>
      <w:bookmarkStart w:id="280" w:name="_Toc296891022"/>
      <w:bookmarkStart w:id="281" w:name="_Toc296346695"/>
      <w:bookmarkStart w:id="282" w:name="_Toc300934990"/>
      <w:bookmarkStart w:id="283" w:name="_Toc292559904"/>
      <w:bookmarkStart w:id="284" w:name="_Toc296503194"/>
      <w:bookmarkStart w:id="285" w:name="_Toc297120494"/>
      <w:bookmarkStart w:id="286" w:name="_Toc312678026"/>
      <w:bookmarkStart w:id="287" w:name="_Toc297048380"/>
      <w:bookmarkStart w:id="288" w:name="_Toc303539147"/>
      <w:bookmarkStart w:id="289" w:name="_Toc297216200"/>
      <w:bookmarkStart w:id="290" w:name="_Toc296944533"/>
      <w:bookmarkStart w:id="291" w:name="_Toc292559399"/>
      <w:bookmarkStart w:id="292" w:name="_Toc296347193"/>
      <w:bookmarkStart w:id="293" w:name="_Toc296891234"/>
      <w:r>
        <w:rPr>
          <w:rFonts w:hint="eastAsia" w:ascii="宋体" w:hAnsi="宋体" w:eastAsia="宋体" w:cs="宋体"/>
          <w:color w:val="auto"/>
          <w:szCs w:val="21"/>
          <w:highlight w:val="none"/>
        </w:rPr>
        <w:t>0.1变更的范围</w:t>
      </w:r>
    </w:p>
    <w:p w14:paraId="5A8F40D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1、本工程在施工过程中，因施工图或发包人原因需要修改变更，承包人不得以任何理由拒绝</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2、本工程设计变更、修改均以设计部门签发，并经监理单位、发包人代表签字认可并盖单位公章后方有效；其他变更、经济签证须监理单位、发包人代表签字认可并盖单位公章后方有效</w:t>
      </w:r>
      <w:r>
        <w:rPr>
          <w:rFonts w:hint="eastAsia" w:ascii="宋体" w:hAnsi="宋体" w:eastAsia="宋体" w:cs="宋体"/>
          <w:color w:val="auto"/>
          <w:szCs w:val="21"/>
          <w:highlight w:val="none"/>
        </w:rPr>
        <w:t>。</w:t>
      </w:r>
    </w:p>
    <w:p w14:paraId="2F38D11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变更估价</w:t>
      </w:r>
    </w:p>
    <w:p w14:paraId="5638B45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14:paraId="296F733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关于变更估价的约定: </w:t>
      </w:r>
      <w:r>
        <w:rPr>
          <w:rFonts w:hint="eastAsia" w:ascii="宋体" w:hAnsi="宋体" w:eastAsia="宋体" w:cs="宋体"/>
          <w:color w:val="auto"/>
          <w:szCs w:val="21"/>
          <w:highlight w:val="none"/>
          <w:u w:val="single"/>
        </w:rPr>
        <w:t xml:space="preserve"> 执行通用合同条款         </w:t>
      </w:r>
      <w:r>
        <w:rPr>
          <w:rFonts w:hint="eastAsia" w:ascii="宋体" w:hAnsi="宋体" w:eastAsia="宋体" w:cs="宋体"/>
          <w:color w:val="auto"/>
          <w:szCs w:val="21"/>
          <w:highlight w:val="none"/>
        </w:rPr>
        <w:t>。</w:t>
      </w:r>
    </w:p>
    <w:p w14:paraId="4B5F140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4" w:name="_Toc297120497"/>
      <w:bookmarkStart w:id="295" w:name="_Toc296503197"/>
      <w:bookmarkStart w:id="296" w:name="_Toc296944536"/>
      <w:bookmarkStart w:id="297" w:name="_Toc296891237"/>
      <w:bookmarkStart w:id="298" w:name="_Toc296347196"/>
      <w:bookmarkStart w:id="299" w:name="_Toc300934993"/>
      <w:bookmarkStart w:id="300" w:name="_Toc297048383"/>
      <w:bookmarkStart w:id="301" w:name="_Toc296891025"/>
      <w:bookmarkStart w:id="302" w:name="_Toc292559402"/>
      <w:bookmarkStart w:id="303" w:name="_Toc292559907"/>
      <w:bookmarkStart w:id="304" w:name="_Toc296346698"/>
      <w:bookmarkStart w:id="305" w:name="_Toc303539150"/>
      <w:bookmarkStart w:id="306" w:name="_Toc297123544"/>
      <w:bookmarkStart w:id="307" w:name="_Toc297216203"/>
      <w:bookmarkStart w:id="308" w:name="_Toc312678029"/>
      <w:bookmarkStart w:id="309" w:name="_Toc312677503"/>
      <w:bookmarkStart w:id="310" w:name="_Toc304295570"/>
      <w:r>
        <w:rPr>
          <w:rFonts w:hint="eastAsia" w:ascii="宋体" w:hAnsi="宋体" w:eastAsia="宋体" w:cs="宋体"/>
          <w:color w:val="auto"/>
          <w:szCs w:val="21"/>
          <w:highlight w:val="none"/>
        </w:rPr>
        <w:t>0.5承</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Start w:id="311" w:name="_Toc297048389"/>
      <w:bookmarkStart w:id="312" w:name="_Toc297216204"/>
      <w:bookmarkStart w:id="313" w:name="_Toc296503203"/>
      <w:bookmarkStart w:id="314" w:name="_Toc296891243"/>
      <w:bookmarkStart w:id="315" w:name="_Toc292559913"/>
      <w:bookmarkStart w:id="316" w:name="_Toc300934994"/>
      <w:bookmarkStart w:id="317" w:name="_Toc297123545"/>
      <w:bookmarkStart w:id="318" w:name="_Toc296347202"/>
      <w:bookmarkStart w:id="319" w:name="_Toc303539151"/>
      <w:bookmarkStart w:id="320" w:name="_Toc296944542"/>
      <w:bookmarkStart w:id="321" w:name="_Toc292559408"/>
      <w:bookmarkStart w:id="322" w:name="_Toc296346704"/>
      <w:bookmarkStart w:id="323" w:name="_Toc296891031"/>
      <w:bookmarkStart w:id="324" w:name="_Toc297120503"/>
      <w:r>
        <w:rPr>
          <w:rFonts w:hint="eastAsia" w:ascii="宋体" w:hAnsi="宋体" w:eastAsia="宋体" w:cs="宋体"/>
          <w:color w:val="auto"/>
          <w:szCs w:val="21"/>
          <w:highlight w:val="none"/>
        </w:rPr>
        <w:t>包人的合理化建议</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499143B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 xml:space="preserve">  收到7日内         </w:t>
      </w:r>
      <w:r>
        <w:rPr>
          <w:rFonts w:hint="eastAsia" w:ascii="宋体" w:hAnsi="宋体" w:eastAsia="宋体" w:cs="宋体"/>
          <w:color w:val="auto"/>
          <w:szCs w:val="21"/>
          <w:highlight w:val="none"/>
        </w:rPr>
        <w:t>。</w:t>
      </w:r>
    </w:p>
    <w:p w14:paraId="7C1BC0B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收到监理报送后七天内 </w:t>
      </w:r>
      <w:r>
        <w:rPr>
          <w:rFonts w:hint="eastAsia" w:ascii="宋体" w:hAnsi="宋体" w:eastAsia="宋体" w:cs="宋体"/>
          <w:color w:val="auto"/>
          <w:szCs w:val="21"/>
          <w:highlight w:val="none"/>
        </w:rPr>
        <w:t>。</w:t>
      </w:r>
    </w:p>
    <w:p w14:paraId="19C871C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w:t>
      </w:r>
      <w:bookmarkStart w:id="325" w:name="_Toc292559914"/>
      <w:bookmarkStart w:id="326" w:name="_Toc292559409"/>
      <w:bookmarkStart w:id="327" w:name="_Toc297048390"/>
      <w:bookmarkStart w:id="328" w:name="_Toc297120504"/>
      <w:bookmarkStart w:id="329" w:name="_Toc297123546"/>
      <w:bookmarkStart w:id="330" w:name="_Toc296891032"/>
      <w:bookmarkStart w:id="331" w:name="_Toc312678030"/>
      <w:bookmarkStart w:id="332" w:name="_Toc296891244"/>
      <w:bookmarkStart w:id="333" w:name="_Toc296347203"/>
      <w:bookmarkStart w:id="334" w:name="_Toc312677504"/>
      <w:bookmarkStart w:id="335" w:name="_Toc297216205"/>
      <w:bookmarkStart w:id="336" w:name="_Toc300934995"/>
      <w:bookmarkStart w:id="337" w:name="_Toc304295571"/>
      <w:bookmarkStart w:id="338" w:name="_Toc296944543"/>
      <w:bookmarkStart w:id="339" w:name="_Toc296503204"/>
      <w:bookmarkStart w:id="340" w:name="_Toc296346705"/>
      <w:bookmarkStart w:id="341" w:name="_Toc318581175"/>
      <w:bookmarkStart w:id="342" w:name="_Toc303539152"/>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另行协商</w:t>
      </w:r>
      <w:r>
        <w:rPr>
          <w:rFonts w:hint="eastAsia" w:ascii="宋体" w:hAnsi="宋体" w:eastAsia="宋体" w:cs="宋体"/>
          <w:color w:val="auto"/>
          <w:szCs w:val="21"/>
          <w:highlight w:val="none"/>
        </w:rPr>
        <w: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181A7B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343" w:name="_Toc300934997"/>
      <w:bookmarkStart w:id="344" w:name="_Toc297048385"/>
      <w:bookmarkStart w:id="345" w:name="_Toc296891027"/>
      <w:bookmarkStart w:id="346" w:name="_Toc297123548"/>
      <w:bookmarkStart w:id="347" w:name="_Toc312678033"/>
      <w:bookmarkStart w:id="348" w:name="_Toc296891239"/>
      <w:bookmarkStart w:id="349" w:name="_Toc312677507"/>
      <w:bookmarkStart w:id="350" w:name="_Toc304295574"/>
      <w:bookmarkStart w:id="351" w:name="_Toc296944538"/>
      <w:bookmarkStart w:id="352" w:name="_Toc296503199"/>
      <w:bookmarkStart w:id="353" w:name="_Toc296346700"/>
      <w:bookmarkStart w:id="354" w:name="_Toc303539154"/>
      <w:bookmarkStart w:id="355" w:name="_Toc297216207"/>
      <w:bookmarkStart w:id="356" w:name="_Toc292559909"/>
      <w:bookmarkStart w:id="357" w:name="_Toc296347198"/>
      <w:bookmarkStart w:id="358" w:name="_Toc297120499"/>
      <w:bookmarkStart w:id="359" w:name="_Toc292559404"/>
      <w:r>
        <w:rPr>
          <w:rFonts w:hint="eastAsia" w:ascii="宋体" w:hAnsi="宋体" w:eastAsia="宋体" w:cs="宋体"/>
          <w:color w:val="auto"/>
          <w:szCs w:val="21"/>
          <w:highlight w:val="none"/>
        </w:rPr>
        <w:t>0.7 暂估价</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7858C4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360" w:name="_Toc312677508"/>
      <w:bookmarkStart w:id="361" w:name="_Toc312678034"/>
      <w:bookmarkStart w:id="362" w:name="_Toc318581176"/>
      <w:r>
        <w:rPr>
          <w:rFonts w:hint="eastAsia" w:ascii="宋体" w:hAnsi="宋体" w:eastAsia="宋体" w:cs="宋体"/>
          <w:color w:val="auto"/>
          <w:kern w:val="0"/>
          <w:szCs w:val="21"/>
          <w:highlight w:val="none"/>
        </w:rPr>
        <w:t>估价材料和工程设备的明细：</w:t>
      </w:r>
      <w:r>
        <w:rPr>
          <w:rFonts w:hint="eastAsia" w:ascii="宋体" w:hAnsi="宋体" w:eastAsia="宋体" w:cs="宋体"/>
          <w:color w:val="auto"/>
          <w:kern w:val="0"/>
          <w:szCs w:val="21"/>
          <w:highlight w:val="none"/>
          <w:u w:val="single"/>
          <w:lang w:val="en-US" w:eastAsia="zh-CN"/>
        </w:rPr>
        <w:t xml:space="preserve">   /   </w:t>
      </w:r>
      <w:r>
        <w:rPr>
          <w:rFonts w:hint="eastAsia" w:ascii="宋体" w:hAnsi="宋体" w:eastAsia="宋体" w:cs="宋体"/>
          <w:color w:val="auto"/>
          <w:kern w:val="0"/>
          <w:szCs w:val="21"/>
          <w:highlight w:val="none"/>
        </w:rPr>
        <w:t>。</w:t>
      </w:r>
    </w:p>
    <w:bookmarkEnd w:id="360"/>
    <w:bookmarkEnd w:id="361"/>
    <w:bookmarkEnd w:id="362"/>
    <w:p w14:paraId="6590F9E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363" w:name="_Toc318581177"/>
      <w:bookmarkStart w:id="364" w:name="_Toc312678035"/>
      <w:bookmarkStart w:id="365" w:name="_Toc312677509"/>
      <w:r>
        <w:rPr>
          <w:rFonts w:hint="eastAsia" w:ascii="宋体" w:hAnsi="宋体" w:eastAsia="宋体" w:cs="宋体"/>
          <w:color w:val="auto"/>
          <w:szCs w:val="21"/>
          <w:highlight w:val="none"/>
        </w:rPr>
        <w:t>0.7.1 依法必须招标的暂估价项目</w:t>
      </w:r>
    </w:p>
    <w:bookmarkEnd w:id="363"/>
    <w:bookmarkEnd w:id="364"/>
    <w:bookmarkEnd w:id="365"/>
    <w:p w14:paraId="6D5A82F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种方式确定。</w:t>
      </w:r>
    </w:p>
    <w:p w14:paraId="5B71C8D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1F39C49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种方式确定。</w:t>
      </w:r>
    </w:p>
    <w:p w14:paraId="47D990B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0F0D39A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AB8B63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10.8 暂列金额</w:t>
      </w:r>
    </w:p>
    <w:p w14:paraId="4BC09122">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bookmarkStart w:id="366" w:name="_Toc351203643"/>
      <w:r>
        <w:rPr>
          <w:rFonts w:hint="eastAsia" w:ascii="宋体" w:hAnsi="宋体" w:eastAsia="宋体" w:cs="宋体"/>
          <w:color w:val="auto"/>
          <w:szCs w:val="21"/>
          <w:highlight w:val="none"/>
          <w:u w:val="single"/>
        </w:rPr>
        <w:t>由发包人决定是否动用及使用方式</w:t>
      </w:r>
      <w:r>
        <w:rPr>
          <w:rFonts w:hint="eastAsia" w:ascii="宋体" w:hAnsi="宋体" w:eastAsia="宋体" w:cs="宋体"/>
          <w:color w:val="auto"/>
          <w:szCs w:val="21"/>
          <w:highlight w:val="none"/>
        </w:rPr>
        <w:t>。</w:t>
      </w:r>
    </w:p>
    <w:bookmarkEnd w:id="271"/>
    <w:bookmarkEnd w:id="272"/>
    <w:bookmarkEnd w:id="273"/>
    <w:bookmarkEnd w:id="274"/>
    <w:bookmarkEnd w:id="275"/>
    <w:bookmarkEnd w:id="276"/>
    <w:bookmarkEnd w:id="366"/>
    <w:p w14:paraId="241C2BE8">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367" w:name="_Toc296891033"/>
      <w:bookmarkStart w:id="368" w:name="_Toc292559915"/>
      <w:bookmarkStart w:id="369" w:name="_Toc297048391"/>
      <w:bookmarkStart w:id="370" w:name="_Toc296503205"/>
      <w:bookmarkStart w:id="371" w:name="_Toc296891245"/>
      <w:bookmarkStart w:id="372" w:name="_Toc292559410"/>
      <w:bookmarkStart w:id="373" w:name="_Toc297120505"/>
      <w:bookmarkStart w:id="374" w:name="_Toc296346706"/>
      <w:bookmarkStart w:id="375" w:name="_Toc296944544"/>
      <w:bookmarkStart w:id="376" w:name="_Toc296347204"/>
      <w:bookmarkStart w:id="377" w:name="_Toc351203644"/>
      <w:bookmarkStart w:id="378" w:name="_Toc304295579"/>
      <w:bookmarkStart w:id="379" w:name="_Toc297123552"/>
      <w:bookmarkStart w:id="380" w:name="_Toc300935002"/>
      <w:bookmarkStart w:id="381" w:name="_Toc303539159"/>
      <w:bookmarkStart w:id="382" w:name="_Toc312678040"/>
      <w:bookmarkStart w:id="383" w:name="_Toc297216211"/>
      <w:r>
        <w:rPr>
          <w:rFonts w:hint="eastAsia" w:ascii="宋体" w:hAnsi="宋体" w:eastAsia="宋体" w:cs="宋体"/>
          <w:color w:val="auto"/>
          <w:sz w:val="21"/>
          <w:szCs w:val="21"/>
          <w:highlight w:val="none"/>
        </w:rPr>
        <w:t>11. 价格调整</w:t>
      </w:r>
    </w:p>
    <w:p w14:paraId="448FE321">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市场价格波动引起的调整</w:t>
      </w:r>
    </w:p>
    <w:p w14:paraId="70EC77CB">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不调整</w:t>
      </w:r>
      <w:r>
        <w:rPr>
          <w:rFonts w:hint="eastAsia" w:ascii="宋体" w:hAnsi="宋体" w:eastAsia="宋体" w:cs="宋体"/>
          <w:color w:val="auto"/>
          <w:szCs w:val="21"/>
          <w:highlight w:val="none"/>
          <w:u w:val="single"/>
        </w:rPr>
        <w:t>。</w:t>
      </w:r>
    </w:p>
    <w:p w14:paraId="165CFD0E">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种方式对合同价格进行调整：</w:t>
      </w:r>
    </w:p>
    <w:p w14:paraId="3BD22ABA">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247E6347">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0469666D">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w:t>
      </w:r>
    </w:p>
    <w:p w14:paraId="3CFD8FCD">
      <w:pPr>
        <w:keepNext w:val="0"/>
        <w:keepLines w:val="0"/>
        <w:pageBreakBefore w:val="0"/>
        <w:widowControl w:val="0"/>
        <w:numPr>
          <w:ilvl w:val="0"/>
          <w:numId w:val="0"/>
        </w:numPr>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关于基准价格的约定：</w:t>
      </w:r>
      <w:r>
        <w:rPr>
          <w:rFonts w:hint="eastAsia" w:ascii="宋体" w:hAnsi="宋体" w:eastAsia="宋体" w:cs="宋体"/>
          <w:color w:val="auto"/>
          <w:szCs w:val="21"/>
          <w:highlight w:val="none"/>
          <w:u w:val="single"/>
          <w:lang w:val="en-US" w:eastAsia="zh-CN"/>
        </w:rPr>
        <w:t xml:space="preserve">    /    </w:t>
      </w:r>
    </w:p>
    <w:p w14:paraId="6C692DC1">
      <w:pPr>
        <w:keepNext w:val="0"/>
        <w:keepLines w:val="0"/>
        <w:pageBreakBefore w:val="0"/>
        <w:widowControl w:val="0"/>
        <w:numPr>
          <w:ilvl w:val="0"/>
          <w:numId w:val="0"/>
        </w:numPr>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%时，其超过部分据实调整。</w:t>
      </w:r>
    </w:p>
    <w:p w14:paraId="3D67C8F8">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%时，其超过部分据实调整。</w:t>
      </w:r>
    </w:p>
    <w:p w14:paraId="1803891F">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%时，其超过部分据实调整。</w:t>
      </w:r>
    </w:p>
    <w:p w14:paraId="77251C0E">
      <w:pPr>
        <w:keepNext w:val="0"/>
        <w:keepLines w:val="0"/>
        <w:pageBreakBefore w:val="0"/>
        <w:widowControl w:val="0"/>
        <w:tabs>
          <w:tab w:val="left" w:pos="900"/>
        </w:tabs>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rPr>
        <w:t>第3种方式：其他价格调整方式：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4"/>
          <w:szCs w:val="24"/>
          <w:highlight w:val="none"/>
          <w:u w:val="single"/>
        </w:rPr>
        <w:t xml:space="preserve"> </w:t>
      </w:r>
    </w:p>
    <w:p w14:paraId="0E4981D5">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bookmarkEnd w:id="367"/>
      <w:bookmarkEnd w:id="368"/>
      <w:bookmarkEnd w:id="369"/>
      <w:bookmarkEnd w:id="370"/>
      <w:bookmarkEnd w:id="371"/>
      <w:bookmarkEnd w:id="372"/>
      <w:bookmarkEnd w:id="373"/>
      <w:bookmarkEnd w:id="374"/>
      <w:bookmarkEnd w:id="375"/>
      <w:bookmarkEnd w:id="376"/>
      <w:r>
        <w:rPr>
          <w:rFonts w:hint="eastAsia" w:ascii="宋体" w:hAnsi="宋体" w:eastAsia="宋体" w:cs="宋体"/>
          <w:color w:val="auto"/>
          <w:sz w:val="21"/>
          <w:szCs w:val="21"/>
          <w:highlight w:val="none"/>
        </w:rPr>
        <w:t>合同价格、</w:t>
      </w:r>
      <w:r>
        <w:rPr>
          <w:rFonts w:hint="eastAsia" w:ascii="宋体" w:hAnsi="宋体" w:eastAsia="宋体" w:cs="宋体"/>
          <w:color w:val="auto"/>
          <w:sz w:val="21"/>
          <w:szCs w:val="21"/>
          <w:highlight w:val="none"/>
          <w:lang w:val="en-US" w:eastAsia="zh-CN"/>
        </w:rPr>
        <w:t>计</w:t>
      </w:r>
      <w:r>
        <w:rPr>
          <w:rFonts w:hint="eastAsia" w:ascii="宋体" w:hAnsi="宋体" w:eastAsia="宋体" w:cs="宋体"/>
          <w:color w:val="auto"/>
          <w:sz w:val="21"/>
          <w:szCs w:val="21"/>
          <w:highlight w:val="none"/>
        </w:rPr>
        <w:t>量与支付</w:t>
      </w:r>
      <w:bookmarkEnd w:id="377"/>
    </w:p>
    <w:p w14:paraId="06DF9944">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12.1 合同价格形式：</w:t>
      </w:r>
      <w:r>
        <w:rPr>
          <w:rFonts w:hint="eastAsia" w:ascii="宋体" w:hAnsi="宋体" w:eastAsia="宋体" w:cs="宋体"/>
          <w:color w:val="auto"/>
          <w:szCs w:val="21"/>
          <w:highlight w:val="none"/>
          <w:u w:val="single"/>
        </w:rPr>
        <w:t>采用第（1）种采用单价合同</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none"/>
        </w:rPr>
        <w:t>。</w:t>
      </w:r>
    </w:p>
    <w:p w14:paraId="240A18E6">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单价合同。</w:t>
      </w:r>
    </w:p>
    <w:p w14:paraId="2040B49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综合单价包含的风险范围：</w:t>
      </w:r>
      <w:r>
        <w:rPr>
          <w:rFonts w:hint="eastAsia" w:ascii="宋体" w:hAnsi="宋体" w:eastAsia="宋体" w:cs="宋体"/>
          <w:color w:val="auto"/>
          <w:highlight w:val="none"/>
          <w:u w:val="single"/>
        </w:rPr>
        <w:t xml:space="preserve"> A.本工程采用单价合同，工程量依据施工图纸、工程变更、现场隐蔽记录及经济签证计量。 </w:t>
      </w:r>
    </w:p>
    <w:p w14:paraId="789156D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B.施工期间承包方自购的各类建材的市场风险、人工单价、机械台班价格浮动的风险和国家下发的政策性调整文件一律不予调整。 </w:t>
      </w:r>
    </w:p>
    <w:p w14:paraId="0C1150E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C.图纸设计范围内容和为完成图纸设计范围内所有项目所必须实施的措施费用。 </w:t>
      </w:r>
    </w:p>
    <w:p w14:paraId="214C722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D.其他项目费中招标人暂列金额为招标人完成本工程对不明确项目的估算金额，其是否动用及是否向承包人支付以及支付的数额由招标人决定。   </w:t>
      </w:r>
    </w:p>
    <w:p w14:paraId="098292B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风险费用的计算方法：</w:t>
      </w:r>
      <w:r>
        <w:rPr>
          <w:rFonts w:hint="eastAsia" w:ascii="宋体" w:hAnsi="宋体" w:eastAsia="宋体" w:cs="宋体"/>
          <w:color w:val="auto"/>
          <w:highlight w:val="none"/>
          <w:u w:val="single"/>
        </w:rPr>
        <w:t xml:space="preserve"> 风险范围内的报价，一次性包干 </w:t>
      </w:r>
      <w:r>
        <w:rPr>
          <w:rFonts w:hint="eastAsia" w:ascii="宋体" w:hAnsi="宋体" w:eastAsia="宋体" w:cs="宋体"/>
          <w:color w:val="auto"/>
          <w:highlight w:val="none"/>
        </w:rPr>
        <w:t>。</w:t>
      </w:r>
    </w:p>
    <w:p w14:paraId="76C8DEB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风险范围以外合同价格的调整方法：</w:t>
      </w:r>
      <w:r>
        <w:rPr>
          <w:rFonts w:hint="eastAsia" w:ascii="宋体" w:hAnsi="宋体" w:eastAsia="宋体" w:cs="宋体"/>
          <w:color w:val="auto"/>
          <w:highlight w:val="none"/>
          <w:u w:val="single"/>
        </w:rPr>
        <w:t xml:space="preserve">  国家下发的政策性调整文件、变更价款和签证价款等风险以外费用另加。</w:t>
      </w:r>
    </w:p>
    <w:p w14:paraId="7AE2C59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单价调整：由于变更和施工图纸修改、隐蔽工程及经济签证洽商的项目结算</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因变更和图纸修改、隐蔽工程增减的项目，如清单中有该项目，且工程</w:t>
      </w:r>
      <w:r>
        <w:rPr>
          <w:rFonts w:hint="eastAsia" w:ascii="宋体" w:hAnsi="宋体" w:cs="宋体"/>
          <w:color w:val="auto"/>
          <w:highlight w:val="none"/>
          <w:u w:val="single"/>
          <w:lang w:val="en-US" w:eastAsia="zh-CN"/>
        </w:rPr>
        <w:t>量</w:t>
      </w:r>
      <w:r>
        <w:rPr>
          <w:rFonts w:hint="eastAsia" w:ascii="宋体" w:hAnsi="宋体" w:eastAsia="宋体" w:cs="宋体"/>
          <w:color w:val="auto"/>
          <w:highlight w:val="none"/>
          <w:u w:val="single"/>
        </w:rPr>
        <w:t>增减在15%以下，则按承包人清单中的综合单价结算</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如招标清单中没有该项目也没有类似项目，则按清单计价规则另行组价（材料价按施工同期《铜陵工程造价》中的材料价格执行，《铜陵工程造价》中没有的材料双方参照市场询价另行协商），其中综合费（企业管理费、利润）、税金按</w:t>
      </w:r>
      <w:r>
        <w:rPr>
          <w:rFonts w:hint="eastAsia" w:ascii="宋体" w:hAnsi="宋体" w:eastAsia="宋体" w:cs="宋体"/>
          <w:color w:val="auto"/>
          <w:highlight w:val="none"/>
          <w:u w:val="single"/>
          <w:lang w:val="en-US" w:eastAsia="zh-CN"/>
        </w:rPr>
        <w:t>安徽省住房和城乡建设厅公告第</w:t>
      </w:r>
      <w:r>
        <w:rPr>
          <w:rFonts w:hint="eastAsia" w:ascii="宋体" w:hAnsi="宋体" w:cs="宋体"/>
          <w:color w:val="auto"/>
          <w:highlight w:val="none"/>
          <w:u w:val="single"/>
          <w:lang w:val="en-US" w:eastAsia="zh-CN"/>
        </w:rPr>
        <w:t>172</w:t>
      </w:r>
      <w:r>
        <w:rPr>
          <w:rFonts w:hint="eastAsia" w:ascii="宋体" w:hAnsi="宋体" w:eastAsia="宋体" w:cs="宋体"/>
          <w:color w:val="auto"/>
          <w:highlight w:val="none"/>
          <w:u w:val="single"/>
          <w:lang w:val="en-US" w:eastAsia="zh-CN"/>
        </w:rPr>
        <w:t>号《安徽省建设工程计价依据动态调整（第</w:t>
      </w:r>
      <w:r>
        <w:rPr>
          <w:rFonts w:hint="eastAsia" w:ascii="宋体" w:hAnsi="宋体" w:cs="宋体"/>
          <w:color w:val="auto"/>
          <w:highlight w:val="none"/>
          <w:u w:val="single"/>
          <w:lang w:val="en-US" w:eastAsia="zh-CN"/>
        </w:rPr>
        <w:t>2</w:t>
      </w:r>
      <w:r>
        <w:rPr>
          <w:rFonts w:hint="eastAsia" w:ascii="宋体" w:hAnsi="宋体" w:eastAsia="宋体" w:cs="宋体"/>
          <w:color w:val="auto"/>
          <w:highlight w:val="none"/>
          <w:u w:val="single"/>
          <w:lang w:val="en-US" w:eastAsia="zh-CN"/>
        </w:rPr>
        <w:t>号）》</w:t>
      </w:r>
      <w:r>
        <w:rPr>
          <w:rFonts w:hint="eastAsia" w:ascii="宋体" w:hAnsi="宋体" w:eastAsia="宋体" w:cs="宋体"/>
          <w:color w:val="auto"/>
          <w:highlight w:val="none"/>
          <w:u w:val="single"/>
        </w:rPr>
        <w:t xml:space="preserve">计取，不可竞争费及措施项目费不再计取（分部分项中对应的措施费子目按实计取），另行组价得出 M，结算价=M×中标价/最高投标限价（均应扣除暂定价、暂列金额）， 由发包人核定的综合单价或材料价格不再下浮。 </w:t>
      </w:r>
    </w:p>
    <w:p w14:paraId="42A2473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rPr>
        <w:t>标内分项</w:t>
      </w:r>
      <w:r>
        <w:rPr>
          <w:rFonts w:hint="eastAsia" w:ascii="宋体" w:hAnsi="宋体" w:cs="宋体"/>
          <w:color w:val="auto"/>
          <w:highlight w:val="none"/>
          <w:u w:val="single"/>
          <w:lang w:eastAsia="zh-CN"/>
        </w:rPr>
        <w:t>工程量</w:t>
      </w:r>
      <w:r>
        <w:rPr>
          <w:rFonts w:hint="eastAsia" w:ascii="宋体" w:hAnsi="宋体" w:eastAsia="宋体" w:cs="宋体"/>
          <w:color w:val="auto"/>
          <w:highlight w:val="none"/>
          <w:u w:val="single"/>
        </w:rPr>
        <w:t>增幅超过招标清单里15%以上(含本数)的项目，其投标单价若高于C值的10%及以上的[C</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招标控制价中综合单价</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(1-中标单位投标时总价降标系数)，降标系数小数点保留两位小数]，工程结算时该分项工程数里增幅超过招标清单里15%以上(不含本数)部分的</w:t>
      </w:r>
      <w:r>
        <w:rPr>
          <w:rFonts w:hint="eastAsia" w:ascii="宋体" w:hAnsi="宋体" w:cs="宋体"/>
          <w:color w:val="auto"/>
          <w:highlight w:val="none"/>
          <w:u w:val="single"/>
          <w:lang w:eastAsia="zh-CN"/>
        </w:rPr>
        <w:t>工程量</w:t>
      </w:r>
      <w:r>
        <w:rPr>
          <w:rFonts w:hint="eastAsia" w:ascii="宋体" w:hAnsi="宋体" w:eastAsia="宋体" w:cs="宋体"/>
          <w:color w:val="auto"/>
          <w:highlight w:val="none"/>
          <w:u w:val="single"/>
        </w:rPr>
        <w:t>单价按C值执行;对标内分项</w:t>
      </w:r>
      <w:r>
        <w:rPr>
          <w:rFonts w:hint="eastAsia" w:ascii="宋体" w:hAnsi="宋体" w:cs="宋体"/>
          <w:color w:val="auto"/>
          <w:highlight w:val="none"/>
          <w:u w:val="single"/>
          <w:lang w:eastAsia="zh-CN"/>
        </w:rPr>
        <w:t>工程量</w:t>
      </w:r>
      <w:r>
        <w:rPr>
          <w:rFonts w:hint="eastAsia" w:ascii="宋体" w:hAnsi="宋体" w:eastAsia="宋体" w:cs="宋体"/>
          <w:color w:val="auto"/>
          <w:highlight w:val="none"/>
          <w:u w:val="single"/>
        </w:rPr>
        <w:t>减少超过招标清单里15%以上(不含本数)的或被取消的项目，其投标单价低于C值的10%及以上的，工程结算时该分项</w:t>
      </w:r>
      <w:r>
        <w:rPr>
          <w:rFonts w:hint="eastAsia" w:ascii="宋体" w:hAnsi="宋体" w:cs="宋体"/>
          <w:color w:val="auto"/>
          <w:highlight w:val="none"/>
          <w:u w:val="single"/>
          <w:lang w:eastAsia="zh-CN"/>
        </w:rPr>
        <w:t>工程量</w:t>
      </w:r>
      <w:r>
        <w:rPr>
          <w:rFonts w:hint="eastAsia" w:ascii="宋体" w:hAnsi="宋体" w:eastAsia="宋体" w:cs="宋体"/>
          <w:color w:val="auto"/>
          <w:highlight w:val="none"/>
          <w:u w:val="single"/>
        </w:rPr>
        <w:t>减少超过招标清单里15%以上(不含本数)剩余部分的</w:t>
      </w:r>
      <w:r>
        <w:rPr>
          <w:rFonts w:hint="eastAsia" w:ascii="宋体" w:hAnsi="宋体" w:cs="宋体"/>
          <w:color w:val="auto"/>
          <w:highlight w:val="none"/>
          <w:u w:val="single"/>
          <w:lang w:eastAsia="zh-CN"/>
        </w:rPr>
        <w:t>工程量</w:t>
      </w:r>
      <w:r>
        <w:rPr>
          <w:rFonts w:hint="eastAsia" w:ascii="宋体" w:hAnsi="宋体" w:eastAsia="宋体" w:cs="宋体"/>
          <w:color w:val="auto"/>
          <w:highlight w:val="none"/>
          <w:u w:val="single"/>
        </w:rPr>
        <w:t>单价按C值[C</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招标控制价中综合单价</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(1-中标单位投标时总价降标系数)，隆标系数小数点保留两位小数]计算在总价中扣除;反之按中标单位综合单价执行</w:t>
      </w:r>
      <w:r>
        <w:rPr>
          <w:rFonts w:hint="eastAsia" w:ascii="宋体" w:hAnsi="宋体" w:cs="宋体"/>
          <w:color w:val="auto"/>
          <w:highlight w:val="none"/>
          <w:u w:val="single"/>
          <w:lang w:eastAsia="zh-CN"/>
        </w:rPr>
        <w:t>。</w:t>
      </w:r>
    </w:p>
    <w:p w14:paraId="6A8E9AC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未尽事宜，按</w:t>
      </w:r>
      <w:r>
        <w:rPr>
          <w:rFonts w:hint="eastAsia" w:ascii="宋体" w:hAnsi="宋体" w:eastAsia="宋体" w:cs="宋体"/>
          <w:color w:val="auto"/>
          <w:highlight w:val="none"/>
          <w:u w:val="single"/>
          <w:lang w:val="en-US" w:eastAsia="zh-CN"/>
        </w:rPr>
        <w:t>安徽省住房和城乡建设厅公告第</w:t>
      </w:r>
      <w:r>
        <w:rPr>
          <w:rFonts w:hint="eastAsia" w:ascii="宋体" w:hAnsi="宋体" w:cs="宋体"/>
          <w:color w:val="auto"/>
          <w:highlight w:val="none"/>
          <w:u w:val="single"/>
          <w:lang w:val="en-US" w:eastAsia="zh-CN"/>
        </w:rPr>
        <w:t>172</w:t>
      </w:r>
      <w:r>
        <w:rPr>
          <w:rFonts w:hint="eastAsia" w:ascii="宋体" w:hAnsi="宋体" w:eastAsia="宋体" w:cs="宋体"/>
          <w:color w:val="auto"/>
          <w:highlight w:val="none"/>
          <w:u w:val="single"/>
          <w:lang w:val="en-US" w:eastAsia="zh-CN"/>
        </w:rPr>
        <w:t>号《安徽省建设工程计价依据动态调整（第</w:t>
      </w:r>
      <w:r>
        <w:rPr>
          <w:rFonts w:hint="eastAsia" w:ascii="宋体" w:hAnsi="宋体" w:cs="宋体"/>
          <w:color w:val="auto"/>
          <w:highlight w:val="none"/>
          <w:u w:val="single"/>
          <w:lang w:val="en-US" w:eastAsia="zh-CN"/>
        </w:rPr>
        <w:t>2</w:t>
      </w:r>
      <w:r>
        <w:rPr>
          <w:rFonts w:hint="eastAsia" w:ascii="宋体" w:hAnsi="宋体" w:eastAsia="宋体" w:cs="宋体"/>
          <w:color w:val="auto"/>
          <w:highlight w:val="none"/>
          <w:u w:val="single"/>
          <w:lang w:val="en-US" w:eastAsia="zh-CN"/>
        </w:rPr>
        <w:t>号）》</w:t>
      </w:r>
      <w:r>
        <w:rPr>
          <w:rFonts w:hint="eastAsia" w:ascii="宋体" w:hAnsi="宋体" w:eastAsia="宋体" w:cs="宋体"/>
          <w:color w:val="auto"/>
          <w:highlight w:val="none"/>
          <w:u w:val="single"/>
        </w:rPr>
        <w:t>执行。</w:t>
      </w:r>
    </w:p>
    <w:p w14:paraId="15811AC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在本工程施工中所有招标人暂定的材料价必须经业主重新确认。 </w:t>
      </w:r>
    </w:p>
    <w:p w14:paraId="602705C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F.承包人应当在以上情况发生后 14 天内，将调整原因、工程量以书面形式通知建设单 位现场代表及监理工程师，经确认调整工程量后作为追加合同价款的依据，但不作为工程进度款支付依据，待工程竣工后进行结算。</w:t>
      </w:r>
    </w:p>
    <w:p w14:paraId="5CC0947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总价合同。</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 xml:space="preserve">    总价包含的风险范围：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50FEFE74">
      <w:pPr>
        <w:keepNext w:val="0"/>
        <w:keepLines w:val="0"/>
        <w:pageBreakBefore w:val="0"/>
        <w:widowControl w:val="0"/>
        <w:kinsoku/>
        <w:wordWrap/>
        <w:overflowPunct/>
        <w:topLinePunct w:val="0"/>
        <w:bidi w:val="0"/>
        <w:adjustRightInd/>
        <w:snapToGrid/>
        <w:spacing w:line="420" w:lineRule="exact"/>
        <w:ind w:left="0"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B28F55E">
      <w:pPr>
        <w:keepNext w:val="0"/>
        <w:keepLines w:val="0"/>
        <w:pageBreakBefore w:val="0"/>
        <w:widowControl w:val="0"/>
        <w:kinsoku/>
        <w:wordWrap/>
        <w:overflowPunct/>
        <w:topLinePunct w:val="0"/>
        <w:bidi w:val="0"/>
        <w:adjustRightInd/>
        <w:snapToGrid/>
        <w:spacing w:line="420" w:lineRule="exact"/>
        <w:ind w:left="0" w:firstLine="420" w:firstLineChars="200"/>
        <w:jc w:val="both"/>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sz w:val="21"/>
          <w:szCs w:val="21"/>
          <w:highlight w:val="none"/>
        </w:rPr>
        <w:t>风险范围以外合同价款调整方法：</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6B11CE2">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（3）采用可调价格合同：可调价格包括可调综合单价和措施费等，合同价款调整方法：</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66EDDAF">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（4）采用成本加酬金合同，有关成本和酬金的预定：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50BD74C">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双方预定合同价款的其他调整因素：</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03FBF62">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发包人向承包人预付工程款的时间和金额或占合同价款总额的比例：</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53DEE19">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扣回工程款的时间、比例：</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bookmarkEnd w:id="378"/>
    <w:bookmarkEnd w:id="379"/>
    <w:bookmarkEnd w:id="380"/>
    <w:bookmarkEnd w:id="381"/>
    <w:bookmarkEnd w:id="382"/>
    <w:bookmarkEnd w:id="383"/>
    <w:p w14:paraId="54B383EE">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bookmarkStart w:id="384" w:name="_Toc297123554"/>
      <w:bookmarkStart w:id="385" w:name="_Toc312678042"/>
      <w:bookmarkStart w:id="386" w:name="_Toc303539161"/>
      <w:bookmarkStart w:id="387" w:name="_Toc297216213"/>
      <w:bookmarkStart w:id="388" w:name="_Toc300935004"/>
      <w:bookmarkStart w:id="389" w:name="_Toc304295581"/>
      <w:bookmarkStart w:id="390" w:name="_Toc296347206"/>
      <w:bookmarkStart w:id="391" w:name="_Toc296891035"/>
      <w:bookmarkStart w:id="392" w:name="_Toc297048393"/>
      <w:bookmarkStart w:id="393" w:name="_Toc296944546"/>
      <w:bookmarkStart w:id="394" w:name="_Toc296891247"/>
      <w:bookmarkStart w:id="395" w:name="_Toc292559412"/>
      <w:bookmarkStart w:id="396" w:name="_Toc296346708"/>
      <w:bookmarkStart w:id="397" w:name="_Toc296503207"/>
      <w:bookmarkStart w:id="398" w:name="_Toc297120507"/>
      <w:bookmarkStart w:id="399" w:name="_Toc292559917"/>
      <w:r>
        <w:rPr>
          <w:rFonts w:hint="eastAsia" w:ascii="宋体" w:hAnsi="宋体" w:eastAsia="宋体" w:cs="宋体"/>
          <w:color w:val="auto"/>
          <w:szCs w:val="21"/>
          <w:highlight w:val="none"/>
        </w:rPr>
        <w:t>12.2 预付款</w:t>
      </w:r>
    </w:p>
    <w:bookmarkEnd w:id="384"/>
    <w:bookmarkEnd w:id="385"/>
    <w:bookmarkEnd w:id="386"/>
    <w:bookmarkEnd w:id="387"/>
    <w:bookmarkEnd w:id="388"/>
    <w:bookmarkEnd w:id="389"/>
    <w:p w14:paraId="02714DCC">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28149F11">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0BFD9C4">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B472B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预付款扣回的方式：</w:t>
      </w:r>
      <w:r>
        <w:rPr>
          <w:rFonts w:hint="eastAsia" w:ascii="宋体" w:hAnsi="宋体" w:cs="宋体"/>
          <w:strike w:val="0"/>
          <w:dstrike w:val="0"/>
          <w:color w:val="auto"/>
          <w:szCs w:val="21"/>
          <w:highlight w:val="none"/>
          <w:u w:val="single"/>
          <w:lang w:val="en-US" w:eastAsia="zh-CN"/>
        </w:rPr>
        <w:t xml:space="preserve"> /</w:t>
      </w:r>
    </w:p>
    <w:p w14:paraId="7EED499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20AE0D6D">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担保有效期自开立之日起至发包人全额扣回预付款 后 90 日止 </w:t>
      </w:r>
      <w:r>
        <w:rPr>
          <w:rFonts w:hint="eastAsia" w:ascii="宋体" w:hAnsi="宋体" w:eastAsia="宋体" w:cs="宋体"/>
          <w:color w:val="auto"/>
          <w:szCs w:val="21"/>
          <w:highlight w:val="none"/>
          <w:u w:val="none"/>
        </w:rPr>
        <w:t>。</w:t>
      </w:r>
    </w:p>
    <w:p w14:paraId="4F113623">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以银行保函或保证保险形式提供预付款担保    </w:t>
      </w:r>
      <w:r>
        <w:rPr>
          <w:rFonts w:hint="eastAsia" w:ascii="宋体" w:hAnsi="宋体" w:eastAsia="宋体" w:cs="宋体"/>
          <w:color w:val="auto"/>
          <w:szCs w:val="21"/>
          <w:highlight w:val="none"/>
        </w:rPr>
        <w:t>。</w:t>
      </w:r>
    </w:p>
    <w:bookmarkEnd w:id="390"/>
    <w:bookmarkEnd w:id="391"/>
    <w:bookmarkEnd w:id="392"/>
    <w:bookmarkEnd w:id="393"/>
    <w:bookmarkEnd w:id="394"/>
    <w:bookmarkEnd w:id="395"/>
    <w:bookmarkEnd w:id="396"/>
    <w:bookmarkEnd w:id="397"/>
    <w:bookmarkEnd w:id="398"/>
    <w:bookmarkEnd w:id="399"/>
    <w:p w14:paraId="2C87EDF6">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计量</w:t>
      </w:r>
    </w:p>
    <w:p w14:paraId="731E5563">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7E895D3A">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按2018版安徽省建设工程计价依据</w:t>
      </w:r>
      <w:r>
        <w:rPr>
          <w:rFonts w:hint="eastAsia" w:ascii="宋体" w:hAnsi="宋体" w:eastAsia="宋体" w:cs="宋体"/>
          <w:color w:val="auto"/>
          <w:szCs w:val="21"/>
          <w:highlight w:val="none"/>
          <w:u w:val="single"/>
          <w:lang w:eastAsia="zh-CN"/>
        </w:rPr>
        <w:t>及安徽省建设工程计价依据动态调整（第</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号）</w:t>
      </w:r>
      <w:r>
        <w:rPr>
          <w:rFonts w:hint="eastAsia" w:ascii="宋体" w:hAnsi="宋体" w:eastAsia="宋体" w:cs="宋体"/>
          <w:color w:val="auto"/>
          <w:szCs w:val="21"/>
          <w:highlight w:val="none"/>
          <w:u w:val="single"/>
        </w:rPr>
        <w:t>执行</w:t>
      </w:r>
      <w:r>
        <w:rPr>
          <w:rFonts w:hint="eastAsia" w:ascii="宋体" w:hAnsi="宋体" w:eastAsia="宋体" w:cs="宋体"/>
          <w:color w:val="auto"/>
          <w:szCs w:val="21"/>
          <w:highlight w:val="none"/>
        </w:rPr>
        <w:t>。</w:t>
      </w:r>
    </w:p>
    <w:p w14:paraId="1D2B891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2B06CD14">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C97C688">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5E254E72">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4454C14">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0A6076D1">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szCs w:val="21"/>
          <w:highlight w:val="none"/>
        </w:rPr>
        <w:t>。</w:t>
      </w:r>
    </w:p>
    <w:p w14:paraId="4C12AD98">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w:t>
      </w:r>
      <w:r>
        <w:rPr>
          <w:rFonts w:hint="eastAsia" w:ascii="宋体" w:hAnsi="宋体" w:eastAsia="宋体" w:cs="宋体"/>
          <w:color w:val="auto"/>
          <w:kern w:val="0"/>
          <w:szCs w:val="21"/>
          <w:highlight w:val="none"/>
        </w:rPr>
        <w:t xml:space="preserve">12.3.4 </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2DF98E8">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4F5EEADD">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                   。</w:t>
      </w:r>
    </w:p>
    <w:p w14:paraId="38459C8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14:paraId="4DB436A7">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bookmarkStart w:id="400" w:name="_Toc296891251"/>
      <w:bookmarkStart w:id="401" w:name="_Toc292559416"/>
      <w:bookmarkStart w:id="402" w:name="_Toc303539163"/>
      <w:bookmarkStart w:id="403" w:name="_Toc296891039"/>
      <w:bookmarkStart w:id="404" w:name="_Toc297123556"/>
      <w:bookmarkStart w:id="405" w:name="_Toc292559921"/>
      <w:bookmarkStart w:id="406" w:name="_Toc297048397"/>
      <w:bookmarkStart w:id="407" w:name="_Toc297120511"/>
      <w:bookmarkStart w:id="408" w:name="_Toc300935006"/>
      <w:bookmarkStart w:id="409" w:name="_Toc296347210"/>
      <w:bookmarkStart w:id="410" w:name="_Toc296503211"/>
      <w:bookmarkStart w:id="411" w:name="_Toc296346712"/>
      <w:bookmarkStart w:id="412" w:name="_Toc296944550"/>
      <w:bookmarkStart w:id="413" w:name="_Toc297216215"/>
      <w:r>
        <w:rPr>
          <w:rFonts w:hint="eastAsia" w:ascii="宋体" w:hAnsi="宋体" w:eastAsia="宋体" w:cs="宋体"/>
          <w:color w:val="auto"/>
          <w:szCs w:val="21"/>
          <w:highlight w:val="none"/>
        </w:rPr>
        <w:t>12.4.1 付款周期</w:t>
      </w:r>
    </w:p>
    <w:p w14:paraId="2D5A0DDA">
      <w:pPr>
        <w:keepNext w:val="0"/>
        <w:keepLines w:val="0"/>
        <w:pageBreakBefore w:val="0"/>
        <w:widowControl w:val="0"/>
        <w:kinsoku/>
        <w:wordWrap/>
        <w:overflowPunct/>
        <w:topLinePunct w:val="0"/>
        <w:autoSpaceDE/>
        <w:autoSpaceDN/>
        <w:bidi w:val="0"/>
        <w:adjustRightInd/>
        <w:snapToGrid/>
        <w:spacing w:line="420" w:lineRule="exact"/>
        <w:ind w:left="0" w:firstLine="422" w:firstLineChars="200"/>
        <w:jc w:val="both"/>
        <w:textAlignment w:val="baseline"/>
        <w:outlineLvl w:val="9"/>
        <w:rPr>
          <w:rFonts w:hint="eastAsia" w:ascii="宋体" w:hAnsi="宋体" w:eastAsia="宋体" w:cs="宋体"/>
          <w:b/>
          <w:color w:val="FF0000"/>
          <w:szCs w:val="21"/>
          <w:highlight w:val="none"/>
          <w:lang w:eastAsia="zh-CN"/>
        </w:rPr>
      </w:pPr>
      <w:r>
        <w:rPr>
          <w:rFonts w:hint="eastAsia" w:ascii="宋体" w:hAnsi="宋体" w:eastAsia="宋体" w:cs="宋体"/>
          <w:b/>
          <w:color w:val="FF0000"/>
          <w:szCs w:val="21"/>
          <w:highlight w:val="none"/>
        </w:rPr>
        <w:t>双方约定工程款（进度款）支付的方式和时间：</w:t>
      </w:r>
      <w:r>
        <w:rPr>
          <w:rFonts w:hint="eastAsia" w:ascii="宋体" w:hAnsi="宋体" w:cs="宋体"/>
          <w:b/>
          <w:color w:val="FF0000"/>
          <w:szCs w:val="21"/>
          <w:highlight w:val="none"/>
          <w:lang w:val="en-US" w:eastAsia="zh-CN"/>
        </w:rPr>
        <w:t xml:space="preserve"> </w:t>
      </w:r>
    </w:p>
    <w:p w14:paraId="22C906B2">
      <w:pPr>
        <w:adjustRightInd w:val="0"/>
        <w:snapToGrid w:val="0"/>
        <w:spacing w:line="360" w:lineRule="auto"/>
        <w:ind w:firstLine="420" w:firstLineChars="200"/>
        <w:rPr>
          <w:rFonts w:hint="eastAsia" w:hAnsi="宋体" w:eastAsia="宋体" w:cs="Times New Roman"/>
          <w:sz w:val="21"/>
          <w:szCs w:val="21"/>
          <w:u w:val="single"/>
        </w:rPr>
      </w:pPr>
      <w:r>
        <w:rPr>
          <w:rFonts w:hint="eastAsia" w:ascii="宋体" w:hAnsi="宋体" w:cs="宋体"/>
          <w:color w:val="FF0000"/>
          <w:szCs w:val="21"/>
          <w:highlight w:val="none"/>
          <w:lang w:val="en-US" w:eastAsia="zh-CN"/>
        </w:rPr>
        <w:t xml:space="preserve"> </w:t>
      </w:r>
      <w:r>
        <w:rPr>
          <w:rFonts w:hint="eastAsia" w:ascii="宋体" w:hAnsi="宋体" w:eastAsia="宋体" w:cs="宋体"/>
          <w:color w:val="FF0000"/>
          <w:szCs w:val="21"/>
          <w:highlight w:val="none"/>
        </w:rPr>
        <w:t>竣工验收合格后，竣工资料齐备移交发包人并提交完整有效的结算资料后付至已完合格工程价款的85%，</w:t>
      </w:r>
      <w:r>
        <w:rPr>
          <w:rFonts w:hint="eastAsia" w:ascii="宋体" w:hAnsi="宋体" w:cs="宋体"/>
          <w:color w:val="FF0000"/>
          <w:szCs w:val="21"/>
          <w:highlight w:val="none"/>
          <w:lang w:val="en-US" w:eastAsia="zh-CN"/>
        </w:rPr>
        <w:t xml:space="preserve"> </w:t>
      </w:r>
      <w:r>
        <w:rPr>
          <w:rFonts w:hint="eastAsia" w:ascii="宋体" w:hAnsi="宋体" w:eastAsia="宋体" w:cs="宋体"/>
          <w:color w:val="FF0000"/>
          <w:szCs w:val="21"/>
          <w:highlight w:val="none"/>
        </w:rPr>
        <w:t>结算经审核结束后付至结算价款的100%</w:t>
      </w:r>
      <w:r>
        <w:rPr>
          <w:rFonts w:hint="eastAsia" w:ascii="宋体" w:hAnsi="宋体" w:cs="宋体"/>
          <w:color w:val="FF0000"/>
          <w:szCs w:val="21"/>
          <w:highlight w:val="none"/>
          <w:lang w:val="en-US" w:eastAsia="zh-CN"/>
        </w:rPr>
        <w:t>,</w:t>
      </w:r>
      <w:r>
        <w:rPr>
          <w:rFonts w:hint="eastAsia" w:hAnsi="宋体" w:eastAsia="宋体" w:cs="Times New Roman"/>
          <w:sz w:val="21"/>
          <w:szCs w:val="21"/>
          <w:u w:val="single"/>
        </w:rPr>
        <w:t>质量保证金金额为工程款结算总额的3%；质量保证金推行工程担保制度，可通过银行保函、保证保险等方式提供</w:t>
      </w:r>
      <w:r>
        <w:rPr>
          <w:rFonts w:hint="eastAsia" w:hAnsi="宋体" w:eastAsia="宋体" w:cs="Times New Roman"/>
          <w:sz w:val="21"/>
          <w:szCs w:val="21"/>
          <w:u w:val="single"/>
          <w:lang w:val="en-US" w:eastAsia="zh-CN"/>
        </w:rPr>
        <w:t xml:space="preserve"> </w:t>
      </w:r>
      <w:r>
        <w:rPr>
          <w:rFonts w:hint="eastAsia" w:hAnsi="宋体" w:eastAsia="宋体" w:cs="Times New Roman"/>
          <w:sz w:val="21"/>
          <w:szCs w:val="21"/>
          <w:u w:val="single"/>
        </w:rPr>
        <w:t>。</w:t>
      </w:r>
    </w:p>
    <w:p w14:paraId="5ED9ADE8">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FF0000"/>
          <w:szCs w:val="21"/>
          <w:highlight w:val="none"/>
          <w:lang w:val="en-US" w:eastAsia="zh-CN"/>
        </w:rPr>
      </w:pPr>
    </w:p>
    <w:p w14:paraId="56B57BD8">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cs="宋体"/>
          <w:color w:val="FF0000"/>
          <w:szCs w:val="21"/>
          <w:highlight w:val="none"/>
          <w:lang w:val="en-US" w:eastAsia="zh-CN"/>
        </w:rPr>
        <w:t xml:space="preserve"> </w:t>
      </w:r>
      <w:r>
        <w:rPr>
          <w:rFonts w:hint="eastAsia" w:ascii="宋体" w:hAnsi="宋体" w:eastAsia="宋体" w:cs="宋体"/>
          <w:color w:val="auto"/>
          <w:szCs w:val="21"/>
          <w:highlight w:val="none"/>
        </w:rPr>
        <w:t>（4）预付款担保：提交预付款支付申请时需提供等额的预付款担保。</w:t>
      </w:r>
    </w:p>
    <w:p w14:paraId="163F1F04">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4DB3D779">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szCs w:val="21"/>
          <w:highlight w:val="none"/>
        </w:rPr>
        <w:t>。</w:t>
      </w:r>
    </w:p>
    <w:p w14:paraId="4E8B805E">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ascii="宋体" w:hAnsi="宋体" w:eastAsia="宋体" w:cs="宋体"/>
          <w:color w:val="auto"/>
          <w:szCs w:val="21"/>
          <w:highlight w:val="none"/>
        </w:rPr>
        <w:t>2.4.3 进度付款申请单的提交</w:t>
      </w:r>
    </w:p>
    <w:p w14:paraId="57CAA860">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C50C527">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执行通用合同条款</w:t>
      </w:r>
      <w:r>
        <w:rPr>
          <w:rFonts w:hint="eastAsia" w:ascii="宋体" w:hAnsi="宋体" w:eastAsia="宋体" w:cs="宋体"/>
          <w:color w:val="auto"/>
          <w:szCs w:val="21"/>
          <w:highlight w:val="none"/>
        </w:rPr>
        <w:t>。</w:t>
      </w:r>
    </w:p>
    <w:p w14:paraId="2533EEAE">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E13A659">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6AF68376">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自收到之日起七天内</w:t>
      </w:r>
      <w:r>
        <w:rPr>
          <w:rFonts w:hint="eastAsia" w:ascii="宋体" w:hAnsi="宋体" w:eastAsia="宋体" w:cs="宋体"/>
          <w:color w:val="auto"/>
          <w:szCs w:val="21"/>
          <w:highlight w:val="none"/>
        </w:rPr>
        <w:t>。</w:t>
      </w:r>
    </w:p>
    <w:p w14:paraId="2E687C3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8050E71">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：按发包人规定的时间。</w:t>
      </w:r>
    </w:p>
    <w:p w14:paraId="6EA8A33F">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95BA463">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3FB18A4F">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69774B5">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9742019">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14" w:name="_Toc351203645"/>
      <w:bookmarkStart w:id="415" w:name="_Toc292559424"/>
      <w:bookmarkStart w:id="416" w:name="_Toc312678053"/>
      <w:bookmarkStart w:id="417" w:name="_Toc296347218"/>
      <w:bookmarkStart w:id="418" w:name="_Toc296891259"/>
      <w:bookmarkStart w:id="419" w:name="_Toc304295593"/>
      <w:bookmarkStart w:id="420" w:name="_Toc303539172"/>
      <w:bookmarkStart w:id="421" w:name="_Toc296346720"/>
      <w:bookmarkStart w:id="422" w:name="_Toc297216223"/>
      <w:bookmarkStart w:id="423" w:name="_Toc296503219"/>
      <w:bookmarkStart w:id="424" w:name="_Toc297048405"/>
      <w:bookmarkStart w:id="425" w:name="_Toc300935015"/>
      <w:bookmarkStart w:id="426" w:name="_Toc296891047"/>
      <w:bookmarkStart w:id="427" w:name="_Toc297123564"/>
      <w:bookmarkStart w:id="428" w:name="_Toc296944558"/>
      <w:bookmarkStart w:id="429" w:name="_Toc292559929"/>
      <w:bookmarkStart w:id="430" w:name="_Toc297120519"/>
      <w:r>
        <w:rPr>
          <w:rFonts w:hint="eastAsia" w:ascii="宋体" w:hAnsi="宋体" w:eastAsia="宋体" w:cs="宋体"/>
          <w:color w:val="auto"/>
          <w:sz w:val="21"/>
          <w:szCs w:val="21"/>
          <w:highlight w:val="none"/>
        </w:rPr>
        <w:t>13. 验收和工程试车</w:t>
      </w:r>
      <w:bookmarkEnd w:id="414"/>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703CE00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分部分项工程验收</w:t>
      </w:r>
    </w:p>
    <w:p w14:paraId="61D529D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2479127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7A61C79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bookmarkStart w:id="431" w:name="_Toc297216224"/>
      <w:bookmarkStart w:id="432" w:name="_Toc312678056"/>
      <w:bookmarkStart w:id="433" w:name="_Toc292559933"/>
      <w:bookmarkStart w:id="434" w:name="_Toc296891263"/>
      <w:bookmarkStart w:id="435" w:name="_Toc296891051"/>
      <w:bookmarkStart w:id="436" w:name="_Toc303539173"/>
      <w:bookmarkStart w:id="437" w:name="_Toc297048409"/>
      <w:bookmarkStart w:id="438" w:name="_Toc304295596"/>
      <w:bookmarkStart w:id="439" w:name="_Toc296503223"/>
      <w:bookmarkStart w:id="440" w:name="_Toc300935016"/>
      <w:bookmarkStart w:id="441" w:name="_Toc296944562"/>
      <w:bookmarkStart w:id="442" w:name="_Toc297120523"/>
      <w:bookmarkStart w:id="443" w:name="_Toc297123565"/>
      <w:bookmarkStart w:id="444" w:name="_Toc296346724"/>
      <w:bookmarkStart w:id="445" w:name="_Toc292559428"/>
      <w:bookmarkStart w:id="446" w:name="_Toc296347222"/>
      <w:bookmarkStart w:id="447" w:name="_Toc267251471"/>
      <w:bookmarkStart w:id="448" w:name="_Toc267251470"/>
      <w:bookmarkStart w:id="449" w:name="_Toc267251476"/>
      <w:bookmarkStart w:id="450" w:name="_Toc267251474"/>
      <w:bookmarkStart w:id="451" w:name="_Toc267251475"/>
      <w:bookmarkStart w:id="452" w:name="_Toc267251472"/>
      <w:bookmarkStart w:id="453" w:name="_Toc267251473"/>
      <w:r>
        <w:rPr>
          <w:rFonts w:hint="eastAsia" w:ascii="宋体" w:hAnsi="宋体" w:eastAsia="宋体" w:cs="宋体"/>
          <w:color w:val="auto"/>
          <w:szCs w:val="21"/>
          <w:highlight w:val="none"/>
        </w:rPr>
        <w:t>13.2 竣工验收</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61EA34F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bookmarkStart w:id="454" w:name="_Toc280868704"/>
      <w:bookmarkStart w:id="455" w:name="_Toc280868705"/>
      <w:bookmarkStart w:id="456" w:name="_Toc280868706"/>
      <w:bookmarkStart w:id="457" w:name="_Toc280868707"/>
      <w:bookmarkStart w:id="458" w:name="_Toc280868708"/>
      <w:bookmarkStart w:id="459" w:name="_Toc280868709"/>
      <w:r>
        <w:rPr>
          <w:rFonts w:hint="eastAsia" w:ascii="宋体" w:hAnsi="宋体" w:eastAsia="宋体" w:cs="宋体"/>
          <w:color w:val="auto"/>
          <w:szCs w:val="21"/>
          <w:highlight w:val="none"/>
        </w:rPr>
        <w:t>13.2.2竣工验收程序</w:t>
      </w:r>
    </w:p>
    <w:bookmarkEnd w:id="454"/>
    <w:p w14:paraId="541445A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执行通用合同条款</w:t>
      </w:r>
      <w:r>
        <w:rPr>
          <w:rFonts w:hint="eastAsia" w:ascii="宋体" w:hAnsi="宋体" w:eastAsia="宋体" w:cs="宋体"/>
          <w:color w:val="auto"/>
          <w:szCs w:val="21"/>
          <w:highlight w:val="none"/>
        </w:rPr>
        <w:t>。</w:t>
      </w:r>
    </w:p>
    <w:p w14:paraId="18F9CC3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455"/>
    <w:p w14:paraId="62E20CA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456"/>
    <w:p w14:paraId="75A4167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在颁发工程接受证书后7天内  </w:t>
      </w:r>
      <w:r>
        <w:rPr>
          <w:rFonts w:hint="eastAsia" w:ascii="宋体" w:hAnsi="宋体" w:eastAsia="宋体" w:cs="宋体"/>
          <w:color w:val="auto"/>
          <w:szCs w:val="21"/>
          <w:highlight w:val="none"/>
        </w:rPr>
        <w:t>。</w:t>
      </w:r>
    </w:p>
    <w:p w14:paraId="28B41A6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bookmarkEnd w:id="457"/>
    <w:p w14:paraId="61F233C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szCs w:val="21"/>
          <w:highlight w:val="none"/>
        </w:rPr>
        <w:t>。</w:t>
      </w:r>
    </w:p>
    <w:p w14:paraId="6E3E4F8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工程试车</w:t>
      </w:r>
    </w:p>
    <w:bookmarkEnd w:id="458"/>
    <w:p w14:paraId="06EB86C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053D9CC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合同工程内容            </w:t>
      </w:r>
      <w:r>
        <w:rPr>
          <w:rFonts w:hint="eastAsia" w:ascii="宋体" w:hAnsi="宋体" w:eastAsia="宋体" w:cs="宋体"/>
          <w:color w:val="auto"/>
          <w:szCs w:val="21"/>
          <w:highlight w:val="none"/>
        </w:rPr>
        <w:t>。</w:t>
      </w:r>
    </w:p>
    <w:p w14:paraId="256D7B6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kern w:val="0"/>
          <w:szCs w:val="21"/>
          <w:highlight w:val="none"/>
        </w:rPr>
        <w:t>承担；</w:t>
      </w:r>
    </w:p>
    <w:p w14:paraId="172C7C3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kern w:val="0"/>
          <w:szCs w:val="21"/>
          <w:highlight w:val="none"/>
        </w:rPr>
        <w:t>承担。</w:t>
      </w:r>
    </w:p>
    <w:p w14:paraId="6CDCDD4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1C25CEC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4D8933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竣工退场</w:t>
      </w:r>
    </w:p>
    <w:p w14:paraId="4C09147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12F6C21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kern w:val="0"/>
          <w:szCs w:val="21"/>
          <w:highlight w:val="none"/>
        </w:rPr>
        <w:t>。</w:t>
      </w:r>
    </w:p>
    <w:p w14:paraId="38C353C8">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60" w:name="_Toc351203646"/>
      <w:r>
        <w:rPr>
          <w:rFonts w:hint="eastAsia" w:ascii="宋体" w:hAnsi="宋体" w:eastAsia="宋体" w:cs="宋体"/>
          <w:color w:val="auto"/>
          <w:sz w:val="21"/>
          <w:szCs w:val="21"/>
          <w:highlight w:val="none"/>
        </w:rPr>
        <w:t>14. 竣工结算</w:t>
      </w:r>
      <w:bookmarkEnd w:id="460"/>
    </w:p>
    <w:p w14:paraId="7E2CDBD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竣工付款申请</w:t>
      </w:r>
    </w:p>
    <w:p w14:paraId="549AF8A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rPr>
        <w:t xml:space="preserve">竣工验收合格后28天内 </w:t>
      </w:r>
      <w:r>
        <w:rPr>
          <w:rFonts w:hint="eastAsia" w:ascii="宋体" w:hAnsi="宋体" w:eastAsia="宋体" w:cs="宋体"/>
          <w:color w:val="auto"/>
          <w:sz w:val="21"/>
          <w:szCs w:val="21"/>
          <w:highlight w:val="none"/>
        </w:rPr>
        <w:t>。</w:t>
      </w:r>
    </w:p>
    <w:p w14:paraId="622E1D2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rPr>
        <w:t xml:space="preserve">执行通用合同条款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p>
    <w:p w14:paraId="609A569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2ECC652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EB6C9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D7908E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执行通用合同条款  </w:t>
      </w:r>
      <w:r>
        <w:rPr>
          <w:rFonts w:hint="eastAsia" w:ascii="宋体" w:hAnsi="宋体" w:eastAsia="宋体" w:cs="宋体"/>
          <w:color w:val="auto"/>
          <w:sz w:val="21"/>
          <w:szCs w:val="21"/>
          <w:highlight w:val="none"/>
        </w:rPr>
        <w:t>。</w:t>
      </w:r>
    </w:p>
    <w:p w14:paraId="64C2130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竣工结算补充：</w:t>
      </w:r>
      <w:r>
        <w:rPr>
          <w:rFonts w:hint="eastAsia" w:ascii="宋体" w:hAnsi="宋体" w:eastAsia="宋体" w:cs="宋体"/>
          <w:color w:val="auto"/>
          <w:szCs w:val="21"/>
          <w:highlight w:val="none"/>
          <w:u w:val="single"/>
        </w:rPr>
        <w:t>1、工程价款的结算依据《安徽省建设工程价款结算暂行办法》等有关规定执行。2、承包人的投标报价（合同价款）是承包人基于业主提供的资料和现场数据及承包人的理解和现场考察计算出来的，覆盖了完成合同义务所包括的一切工作，不得因漏项或考虑不周提出索赔。3、工程结算方式：合同价加（减）经工程师签字确认的设计变更。4、招标人有权根据现场情况调整原投标清单工程量，由此产生的风险由投标人综合考虑，自行承担。工程结算以审核结果为准（若上级审核部门对本项目进行抽查，审核结果不一致的，以上级审核部门审核结果为准，对费用已支付的项目进行多退少补）</w:t>
      </w:r>
      <w:r>
        <w:rPr>
          <w:rFonts w:hint="eastAsia" w:ascii="宋体" w:hAnsi="宋体" w:eastAsia="宋体" w:cs="宋体"/>
          <w:color w:val="auto"/>
          <w:szCs w:val="21"/>
          <w:highlight w:val="none"/>
          <w:u w:val="single"/>
          <w:lang w:eastAsia="zh-CN"/>
        </w:rPr>
        <w:t>。</w:t>
      </w:r>
      <w:r>
        <w:rPr>
          <w:rFonts w:hint="eastAsia" w:ascii="宋体" w:hAnsi="宋体" w:eastAsia="宋体" w:cs="宋体"/>
          <w:b/>
          <w:bCs/>
          <w:color w:val="auto"/>
          <w:szCs w:val="21"/>
          <w:highlight w:val="none"/>
          <w:u w:val="single"/>
        </w:rPr>
        <w:t>5、竣工结算资料必须经监理单位审核后方可报发包方项目负责人。</w:t>
      </w:r>
    </w:p>
    <w:p w14:paraId="67308B3C">
      <w:pPr>
        <w:pStyle w:val="15"/>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竣工结算审核承包人违约责任：</w:t>
      </w:r>
      <w:r>
        <w:rPr>
          <w:rFonts w:hint="eastAsia" w:ascii="宋体" w:hAnsi="宋体" w:cs="宋体"/>
          <w:b/>
          <w:bCs/>
          <w:color w:val="auto"/>
          <w:szCs w:val="21"/>
          <w:highlight w:val="none"/>
          <w:u w:val="single"/>
        </w:rPr>
        <w:t>承包人应在工程竣工验收合格之日起，30日历天内向发包人提交竣工结算资料，逾期未提交竣工结算资料责任由承包人承担。承包人必须认真编制工程决算，不允许高估冒算，对提交的送审金额负责。</w:t>
      </w:r>
      <w:r>
        <w:rPr>
          <w:rFonts w:hint="eastAsia" w:ascii="宋体" w:hAnsi="宋体" w:eastAsia="宋体" w:cs="宋体"/>
          <w:b/>
          <w:bCs/>
          <w:color w:val="auto"/>
          <w:szCs w:val="21"/>
          <w:highlight w:val="none"/>
          <w:u w:val="single"/>
        </w:rPr>
        <w:t xml:space="preserve"> </w:t>
      </w:r>
    </w:p>
    <w:p w14:paraId="31F7A05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210B56F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527BDBA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按相关规定执行     </w:t>
      </w:r>
      <w:r>
        <w:rPr>
          <w:rFonts w:hint="eastAsia" w:ascii="宋体" w:hAnsi="宋体" w:eastAsia="宋体" w:cs="宋体"/>
          <w:color w:val="auto"/>
          <w:sz w:val="21"/>
          <w:szCs w:val="21"/>
          <w:highlight w:val="none"/>
        </w:rPr>
        <w:t>。</w:t>
      </w:r>
    </w:p>
    <w:p w14:paraId="455CC32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在缺陷责任期终止证书颁发后七天内   </w:t>
      </w:r>
      <w:r>
        <w:rPr>
          <w:rFonts w:hint="eastAsia" w:ascii="宋体" w:hAnsi="宋体" w:eastAsia="宋体" w:cs="宋体"/>
          <w:color w:val="auto"/>
          <w:sz w:val="21"/>
          <w:szCs w:val="21"/>
          <w:highlight w:val="none"/>
        </w:rPr>
        <w:t xml:space="preserve">。 </w:t>
      </w:r>
    </w:p>
    <w:p w14:paraId="19F7623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48DCEAE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0C2660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447"/>
    <w:bookmarkEnd w:id="448"/>
    <w:bookmarkEnd w:id="449"/>
    <w:bookmarkEnd w:id="450"/>
    <w:bookmarkEnd w:id="451"/>
    <w:bookmarkEnd w:id="452"/>
    <w:bookmarkEnd w:id="453"/>
    <w:bookmarkEnd w:id="459"/>
    <w:p w14:paraId="4C3AC611">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61" w:name="_Toc351203647"/>
      <w:bookmarkStart w:id="462" w:name="_Toc267251483"/>
      <w:bookmarkStart w:id="463" w:name="_Toc267251482"/>
      <w:bookmarkStart w:id="464" w:name="_Toc267251484"/>
      <w:bookmarkStart w:id="465" w:name="_Toc267251485"/>
      <w:bookmarkStart w:id="466" w:name="_Toc267251489"/>
      <w:bookmarkStart w:id="467" w:name="_Toc267251488"/>
      <w:bookmarkStart w:id="468" w:name="_Toc267251486"/>
      <w:bookmarkStart w:id="469" w:name="_Toc267251490"/>
      <w:bookmarkStart w:id="470" w:name="_Toc267251494"/>
      <w:bookmarkStart w:id="471" w:name="_Toc267251496"/>
      <w:bookmarkStart w:id="472" w:name="_Toc267251498"/>
      <w:bookmarkStart w:id="473" w:name="_Toc267251499"/>
      <w:bookmarkStart w:id="474" w:name="_Toc267251502"/>
      <w:bookmarkStart w:id="475" w:name="_Toc267251493"/>
      <w:bookmarkStart w:id="476" w:name="_Toc267251503"/>
      <w:bookmarkStart w:id="477" w:name="_Toc267251497"/>
      <w:bookmarkStart w:id="478" w:name="_Toc267251492"/>
      <w:bookmarkStart w:id="479" w:name="_Toc267251491"/>
      <w:bookmarkStart w:id="480" w:name="_Toc267251495"/>
      <w:bookmarkStart w:id="481" w:name="_Toc267251501"/>
      <w:bookmarkStart w:id="482" w:name="_Toc267251506"/>
      <w:bookmarkStart w:id="483" w:name="_Toc267251504"/>
      <w:bookmarkStart w:id="484" w:name="_Toc267251507"/>
      <w:bookmarkStart w:id="485" w:name="_Toc267251508"/>
      <w:bookmarkStart w:id="486" w:name="_Toc267251515"/>
      <w:bookmarkStart w:id="487" w:name="_Toc267251510"/>
      <w:bookmarkStart w:id="488" w:name="_Toc267251511"/>
      <w:bookmarkStart w:id="489" w:name="_Toc267251514"/>
      <w:bookmarkStart w:id="490" w:name="_Toc267251513"/>
      <w:bookmarkStart w:id="491" w:name="_Toc267251509"/>
      <w:r>
        <w:rPr>
          <w:rFonts w:hint="eastAsia" w:ascii="宋体" w:hAnsi="宋体" w:eastAsia="宋体" w:cs="宋体"/>
          <w:color w:val="auto"/>
          <w:sz w:val="21"/>
          <w:szCs w:val="21"/>
          <w:highlight w:val="none"/>
        </w:rPr>
        <w:t>15. 缺陷责任期与保修</w:t>
      </w:r>
      <w:bookmarkEnd w:id="461"/>
    </w:p>
    <w:p w14:paraId="3781607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462"/>
    </w:p>
    <w:p w14:paraId="3B38160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一年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73008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质量保证金</w:t>
      </w:r>
    </w:p>
    <w:p w14:paraId="3B6F194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1B439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2894D59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种方式：</w:t>
      </w:r>
    </w:p>
    <w:p w14:paraId="4EC61F46">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44D43531">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%的工程款；</w:t>
      </w:r>
    </w:p>
    <w:p w14:paraId="5F0C7769">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4875795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质量保证金的扣留 </w:t>
      </w:r>
    </w:p>
    <w:p w14:paraId="451D14D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103B84D1">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5303AF04">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14:paraId="44FF5684">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w:t>
      </w:r>
    </w:p>
    <w:p w14:paraId="34E11BC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bookmarkEnd w:id="463"/>
    <w:bookmarkEnd w:id="464"/>
    <w:p w14:paraId="79E858C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bookmarkEnd w:id="465"/>
    <w:p w14:paraId="67FCAC2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5AE477B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 w:val="21"/>
          <w:szCs w:val="21"/>
          <w:highlight w:val="none"/>
          <w:u w:val="single"/>
          <w:lang w:eastAsia="zh-CN"/>
        </w:rPr>
        <w:t>一年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106AF9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4547A0F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执行合同通用条款 </w:t>
      </w:r>
      <w:r>
        <w:rPr>
          <w:rFonts w:hint="eastAsia" w:ascii="宋体" w:hAnsi="宋体" w:eastAsia="宋体" w:cs="宋体"/>
          <w:color w:val="auto"/>
          <w:kern w:val="0"/>
          <w:szCs w:val="21"/>
          <w:highlight w:val="none"/>
        </w:rPr>
        <w:t>。</w:t>
      </w:r>
    </w:p>
    <w:bookmarkEnd w:id="466"/>
    <w:bookmarkEnd w:id="467"/>
    <w:bookmarkEnd w:id="468"/>
    <w:bookmarkEnd w:id="469"/>
    <w:p w14:paraId="491BEBC2">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92" w:name="_Toc351203648"/>
      <w:bookmarkStart w:id="493" w:name="_Toc280868717"/>
      <w:bookmarkStart w:id="494" w:name="_Toc280868718"/>
      <w:r>
        <w:rPr>
          <w:rFonts w:hint="eastAsia" w:ascii="宋体" w:hAnsi="宋体" w:eastAsia="宋体" w:cs="宋体"/>
          <w:color w:val="auto"/>
          <w:sz w:val="21"/>
          <w:szCs w:val="21"/>
          <w:highlight w:val="none"/>
        </w:rPr>
        <w:t>16. 违约</w:t>
      </w:r>
      <w:bookmarkEnd w:id="492"/>
    </w:p>
    <w:p w14:paraId="70FCF63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发包人违约</w:t>
      </w:r>
    </w:p>
    <w:p w14:paraId="0C61314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54EEDD4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执行合同通用条款           </w:t>
      </w:r>
      <w:r>
        <w:rPr>
          <w:rFonts w:hint="eastAsia" w:ascii="宋体" w:hAnsi="宋体" w:eastAsia="宋体" w:cs="宋体"/>
          <w:color w:val="auto"/>
          <w:kern w:val="0"/>
          <w:szCs w:val="21"/>
          <w:highlight w:val="none"/>
        </w:rPr>
        <w:t>。</w:t>
      </w:r>
    </w:p>
    <w:p w14:paraId="60E19BC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16.1.2 发包人违约的责任</w:t>
      </w:r>
    </w:p>
    <w:p w14:paraId="6EDFCBC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0852073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4CD66DD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27F84E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8468A6F">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428829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621564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7D5B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661327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7C5E9CED">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58D56D78">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0DBBED9C">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18DC30C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合同实施期间，如发现承包人名不副实（存在挂靠、借用资质、转包、违法分包等行为），</w:t>
      </w:r>
      <w:r>
        <w:rPr>
          <w:rFonts w:hint="eastAsia" w:ascii="宋体" w:hAnsi="宋体" w:eastAsia="宋体" w:cs="宋体"/>
          <w:color w:val="auto"/>
          <w:sz w:val="21"/>
          <w:szCs w:val="21"/>
          <w:highlight w:val="none"/>
          <w:u w:val="single"/>
        </w:rPr>
        <w:t>合同履行不力、不守承诺、严重影响工程进度、不能按期保质完成施工任务，</w:t>
      </w:r>
      <w:r>
        <w:rPr>
          <w:rFonts w:hint="eastAsia" w:ascii="宋体" w:hAnsi="宋体" w:eastAsia="宋体" w:cs="宋体"/>
          <w:color w:val="auto"/>
          <w:sz w:val="21"/>
          <w:szCs w:val="21"/>
          <w:highlight w:val="none"/>
          <w:u w:val="single"/>
          <w:lang w:val="en-US" w:eastAsia="zh-CN"/>
        </w:rPr>
        <w:t>承包人承担全部</w:t>
      </w:r>
      <w:r>
        <w:rPr>
          <w:rFonts w:hint="eastAsia" w:ascii="宋体" w:hAnsi="宋体" w:eastAsia="宋体" w:cs="宋体"/>
          <w:color w:val="auto"/>
          <w:sz w:val="21"/>
          <w:szCs w:val="21"/>
          <w:highlight w:val="none"/>
          <w:u w:val="single"/>
        </w:rPr>
        <w:t>履约保证金</w:t>
      </w:r>
      <w:r>
        <w:rPr>
          <w:rFonts w:hint="eastAsia" w:ascii="宋体" w:hAnsi="宋体" w:eastAsia="宋体" w:cs="宋体"/>
          <w:color w:val="auto"/>
          <w:sz w:val="21"/>
          <w:szCs w:val="21"/>
          <w:highlight w:val="none"/>
          <w:u w:val="single"/>
          <w:lang w:val="en-US" w:eastAsia="zh-CN"/>
        </w:rPr>
        <w:t>同等金额的违约金</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发包人有权</w:t>
      </w:r>
      <w:r>
        <w:rPr>
          <w:rFonts w:hint="eastAsia" w:ascii="宋体" w:hAnsi="宋体" w:eastAsia="宋体" w:cs="宋体"/>
          <w:color w:val="auto"/>
          <w:sz w:val="21"/>
          <w:szCs w:val="21"/>
          <w:highlight w:val="none"/>
          <w:u w:val="single"/>
        </w:rPr>
        <w:t>单方面终止合同，将承包人清退出场，并追究相关责任。</w:t>
      </w:r>
    </w:p>
    <w:p w14:paraId="572F279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6BA5B2D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color w:val="auto"/>
          <w:kern w:val="0"/>
          <w:szCs w:val="21"/>
          <w:highlight w:val="none"/>
          <w:u w:val="single"/>
        </w:rPr>
        <w:t xml:space="preserve">     同上    </w:t>
      </w:r>
      <w:r>
        <w:rPr>
          <w:rFonts w:hint="eastAsia" w:ascii="宋体" w:hAnsi="宋体" w:eastAsia="宋体" w:cs="宋体"/>
          <w:color w:val="auto"/>
          <w:kern w:val="0"/>
          <w:szCs w:val="21"/>
          <w:highlight w:val="none"/>
        </w:rPr>
        <w:t>。</w:t>
      </w:r>
    </w:p>
    <w:p w14:paraId="160457B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5343B9F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Cs/>
          <w:color w:val="auto"/>
          <w:szCs w:val="21"/>
          <w:highlight w:val="none"/>
          <w:u w:val="single"/>
        </w:rPr>
        <w:t xml:space="preserve">同上    </w:t>
      </w:r>
      <w:r>
        <w:rPr>
          <w:rFonts w:hint="eastAsia" w:ascii="宋体" w:hAnsi="宋体" w:eastAsia="宋体" w:cs="宋体"/>
          <w:bCs/>
          <w:color w:val="auto"/>
          <w:szCs w:val="21"/>
          <w:highlight w:val="none"/>
        </w:rPr>
        <w:t>。</w:t>
      </w:r>
    </w:p>
    <w:p w14:paraId="31903FD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执行合同通用条款     </w:t>
      </w:r>
      <w:r>
        <w:rPr>
          <w:rFonts w:hint="eastAsia" w:ascii="宋体" w:hAnsi="宋体" w:eastAsia="宋体" w:cs="宋体"/>
          <w:color w:val="auto"/>
          <w:kern w:val="0"/>
          <w:szCs w:val="21"/>
          <w:highlight w:val="none"/>
        </w:rPr>
        <w:t>。</w:t>
      </w:r>
    </w:p>
    <w:p w14:paraId="7CB32F74">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95" w:name="_Toc351203649"/>
      <w:r>
        <w:rPr>
          <w:rFonts w:hint="eastAsia" w:ascii="宋体" w:hAnsi="宋体" w:eastAsia="宋体" w:cs="宋体"/>
          <w:color w:val="auto"/>
          <w:sz w:val="21"/>
          <w:szCs w:val="21"/>
          <w:highlight w:val="none"/>
        </w:rPr>
        <w:t>17. 不可抗力</w:t>
      </w:r>
      <w:bookmarkEnd w:id="495"/>
      <w:r>
        <w:rPr>
          <w:rFonts w:hint="eastAsia" w:ascii="宋体" w:hAnsi="宋体" w:eastAsia="宋体" w:cs="宋体"/>
          <w:color w:val="auto"/>
          <w:sz w:val="21"/>
          <w:szCs w:val="21"/>
          <w:highlight w:val="none"/>
        </w:rPr>
        <w:t xml:space="preserve"> </w:t>
      </w:r>
      <w:bookmarkEnd w:id="493"/>
    </w:p>
    <w:p w14:paraId="4324F937">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14:paraId="14CA3B8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kern w:val="0"/>
          <w:szCs w:val="21"/>
          <w:highlight w:val="none"/>
        </w:rPr>
        <w:t>。</w:t>
      </w:r>
    </w:p>
    <w:p w14:paraId="661BEA4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因不可抗力解除合同</w:t>
      </w:r>
    </w:p>
    <w:p w14:paraId="31F08183">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天内完成款项的支付。</w:t>
      </w:r>
    </w:p>
    <w:p w14:paraId="0080B13D">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96" w:name="_Toc351203650"/>
      <w:r>
        <w:rPr>
          <w:rFonts w:hint="eastAsia" w:ascii="宋体" w:hAnsi="宋体" w:eastAsia="宋体" w:cs="宋体"/>
          <w:color w:val="auto"/>
          <w:sz w:val="21"/>
          <w:szCs w:val="21"/>
          <w:highlight w:val="none"/>
        </w:rPr>
        <w:t>18. 保险</w:t>
      </w:r>
      <w:bookmarkEnd w:id="496"/>
    </w:p>
    <w:bookmarkEnd w:id="494"/>
    <w:p w14:paraId="178706B0">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14:paraId="15CF633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szCs w:val="21"/>
          <w:highlight w:val="none"/>
          <w:u w:val="single"/>
        </w:rPr>
        <w:t xml:space="preserve">执行通用合同条款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FC56D15">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其他保险</w:t>
      </w:r>
    </w:p>
    <w:p w14:paraId="3BDEC1E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076AC3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49C35E2">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14:paraId="0816FC6B">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bookmarkEnd w:id="470"/>
    <w:bookmarkEnd w:id="471"/>
    <w:bookmarkEnd w:id="472"/>
    <w:bookmarkEnd w:id="473"/>
    <w:bookmarkEnd w:id="474"/>
    <w:bookmarkEnd w:id="475"/>
    <w:bookmarkEnd w:id="476"/>
    <w:bookmarkEnd w:id="477"/>
    <w:bookmarkEnd w:id="478"/>
    <w:bookmarkEnd w:id="479"/>
    <w:bookmarkEnd w:id="480"/>
    <w:bookmarkEnd w:id="481"/>
    <w:p w14:paraId="2DC164EE">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bookmarkStart w:id="497" w:name="_Toc351203651"/>
      <w:r>
        <w:rPr>
          <w:rFonts w:hint="eastAsia" w:ascii="宋体" w:hAnsi="宋体" w:eastAsia="宋体" w:cs="宋体"/>
          <w:color w:val="auto"/>
          <w:sz w:val="21"/>
          <w:szCs w:val="21"/>
          <w:highlight w:val="none"/>
        </w:rPr>
        <w:t>20. 争议解决</w:t>
      </w:r>
      <w:bookmarkEnd w:id="497"/>
    </w:p>
    <w:bookmarkEnd w:id="482"/>
    <w:bookmarkEnd w:id="483"/>
    <w:p w14:paraId="562D4DDD">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争</w:t>
      </w:r>
      <w:bookmarkEnd w:id="484"/>
      <w:r>
        <w:rPr>
          <w:rFonts w:hint="eastAsia" w:ascii="宋体" w:hAnsi="宋体" w:eastAsia="宋体" w:cs="宋体"/>
          <w:color w:val="auto"/>
          <w:szCs w:val="21"/>
          <w:highlight w:val="none"/>
        </w:rPr>
        <w:t>议评审</w:t>
      </w:r>
    </w:p>
    <w:p w14:paraId="416B274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4D5546A9">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5ED0237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E1559C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8AB6A8E">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893523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3169F8D">
      <w:pPr>
        <w:keepNext w:val="0"/>
        <w:keepLines w:val="0"/>
        <w:pageBreakBefore w:val="0"/>
        <w:widowControl w:val="0"/>
        <w:kinsoku/>
        <w:wordWrap/>
        <w:overflowPunct/>
        <w:topLinePunct w:val="0"/>
        <w:autoSpaceDE w:val="0"/>
        <w:autoSpaceDN w:val="0"/>
        <w:bidi w:val="0"/>
        <w:adjustRightInd/>
        <w:snapToGrid/>
        <w:spacing w:line="420" w:lineRule="exact"/>
        <w:ind w:left="0" w:firstLine="420" w:firstLineChars="200"/>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0CF493C6">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C6892AA">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bookmarkEnd w:id="485"/>
    </w:p>
    <w:p w14:paraId="4E70B7C1">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3254C3D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仲裁委员会申请仲裁；</w:t>
      </w:r>
    </w:p>
    <w:p w14:paraId="1AB922F4">
      <w:pPr>
        <w:keepNext w:val="0"/>
        <w:keepLines w:val="0"/>
        <w:pageBreakBefore w:val="0"/>
        <w:widowControl w:val="0"/>
        <w:kinsoku/>
        <w:wordWrap/>
        <w:overflowPunct/>
        <w:topLinePunct w:val="0"/>
        <w:bidi w:val="0"/>
        <w:adjustRightInd/>
        <w:snapToGrid/>
        <w:spacing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工程所在地    </w:t>
      </w:r>
      <w:r>
        <w:rPr>
          <w:rFonts w:hint="eastAsia" w:ascii="宋体" w:hAnsi="宋体" w:eastAsia="宋体" w:cs="宋体"/>
          <w:color w:val="auto"/>
          <w:szCs w:val="21"/>
          <w:highlight w:val="none"/>
        </w:rPr>
        <w:t>人民法院起诉。</w:t>
      </w:r>
      <w:bookmarkEnd w:id="486"/>
      <w:bookmarkEnd w:id="487"/>
      <w:bookmarkEnd w:id="488"/>
      <w:bookmarkEnd w:id="489"/>
      <w:bookmarkEnd w:id="490"/>
      <w:bookmarkEnd w:id="491"/>
    </w:p>
    <w:p w14:paraId="576E9807">
      <w:pPr>
        <w:keepNext w:val="0"/>
        <w:keepLines w:val="0"/>
        <w:pageBreakBefore w:val="0"/>
        <w:widowControl w:val="0"/>
        <w:kinsoku/>
        <w:wordWrap/>
        <w:overflowPunct/>
        <w:topLinePunct w:val="0"/>
        <w:bidi w:val="0"/>
        <w:adjustRightInd/>
        <w:snapToGrid/>
        <w:spacing w:before="0" w:after="0" w:line="420" w:lineRule="exact"/>
        <w:ind w:lef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补充条款</w:t>
      </w:r>
    </w:p>
    <w:p w14:paraId="11872446">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eastAsia="zh-CN"/>
        </w:rPr>
        <w:t>施工企业按照有关标准规定，对应自行进行检测的项目，费用已包含在综合费的检验试验费中由施工企业承担。由建设单位委托具有相应资质的第三方检测机构进行的，其费用由建设单位承担</w:t>
      </w:r>
      <w:r>
        <w:rPr>
          <w:rFonts w:hint="eastAsia" w:ascii="宋体" w:hAnsi="宋体" w:eastAsia="宋体" w:cs="宋体"/>
          <w:color w:val="auto"/>
          <w:szCs w:val="21"/>
          <w:highlight w:val="none"/>
        </w:rPr>
        <w:t>。</w:t>
      </w:r>
    </w:p>
    <w:p w14:paraId="550C57AE">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农民工工资支付管理：按《铜陵市建筑领域建立农民工工资支付专用账户暂行办法》规定执行。因欠付农民工工资而导致农民工聚集、上访等现象，发包方可直接使用承包人工程款支付劳务工资，承包人承担实际支付额的双倍违约金，发包人有权单方解除本合同，向主管部门通报记企业“不良”信用记录。</w:t>
      </w:r>
    </w:p>
    <w:p w14:paraId="0A226D8F">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合同价已包含安全生产、文明施工及文明创建的所有费用，发包人不另行增加费用。施工期间，承包人安全防护、文明施工及扬尘污染防治具体实施执行中华人民共和国住房和城乡建设部(编号JGJ146-2013)《建设工程施工现场环境与卫生标准》、铜陵市建管函[2018]80号文《关于全面提升建筑工程临时围挡美化亮化的通知》、铜陵市建管[2018]24号文《关于进一步加强我市建筑施工现场扬尘污染管控工作的通知》、铜陵市建函〔2017〕67号文《关于进一步加强我市施工现场文明施工扬尘管控工的通知》</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rPr>
        <w:t>安徽省建设工程造价管理总站造价[2014]13号文（扬尘污染防治）的规定标准（相关文件表述不一致时，以高要求为准）及市文明办 2019 年颁发的建筑垃圾清运的相关约定。</w:t>
      </w:r>
    </w:p>
    <w:p w14:paraId="6F63D104">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 合同当事人关于暂列金额使用的约定：由发包人支配使用，不作为进度款支付依据。</w:t>
      </w:r>
    </w:p>
    <w:p w14:paraId="3BD1BD87">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 施工中招标项目工程量超过清单量时，均需发包人和监理单位书面认可后方可施工，对没办理书面认可手续的，擅自扩大招标清单工程量的，发包人在结算中一律不予认可。</w:t>
      </w:r>
    </w:p>
    <w:p w14:paraId="64D240D9">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发包人有权细化本次招标清单项目内容，在实际实施过程中发包人有权根据现场情况进行适当调整（增减工程量或项目），承包人不得以任何理由或借口来拒绝施工。</w:t>
      </w:r>
    </w:p>
    <w:p w14:paraId="40923C43">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 工程变更、签证补充条款：</w:t>
      </w:r>
    </w:p>
    <w:p w14:paraId="4AF22880">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①施工图设计文件经批准后，原则上不得变更，如因：设计错误、与现场不符，勘察设计不详或施工中因自然条件发生变化，建设单位提出新的要求或功能要求，有更好的比较方案等原因时，可提出工程变更。</w:t>
      </w:r>
    </w:p>
    <w:p w14:paraId="34EFD2CC">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②工程变更严格执行审批制度，变更手续以联系单方式体现，需经建设、设计、监理、承包等单位确定变更方案后由施工单位实施，重大工程变更（超过 5 万元以上）须经发包人研究确认。未按程序批准的工程变更不得擅自施工，否则施工后的变更工程量不予计量，造成的经济损失由责任单位承担。</w:t>
      </w:r>
    </w:p>
    <w:p w14:paraId="52426442">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③对于隐蔽的变更，每道工序及隐蔽工程完工后，施工单位应及时通知监理、建设单位，三方到施工现场进行相关数据确认并作记录。</w:t>
      </w:r>
    </w:p>
    <w:p w14:paraId="054A23D9">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④施工单位应当详细、准确计算变更工程量，并于变更内容实施后 7 天内提交工程量签证单，并于每月 5 日前将上月工程签证汇总到建设单位，施工单位的所有签证单必须有连续的唯一编号，且必须附件齐全，附件不齐全的，不予签证，逾期不报的，视同作废。</w:t>
      </w:r>
    </w:p>
    <w:p w14:paraId="1B1CDD9B">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⑤施工单位在上报工程变更时应据实填报，不得弄虚作假，如发现施工单位所报工程变更有弄虚作假行为，除扣除虚假的变更费用外，并承担虚假工程费用的 3～5 倍的违约金。</w:t>
      </w:r>
    </w:p>
    <w:p w14:paraId="447410F1">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21.8 对承包人及项目经理（建造师）相关要求及违约责任:</w:t>
      </w:r>
    </w:p>
    <w:p w14:paraId="5CABFA86">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（1）人员到岗：项目实施期间，承包人投标文件中配备的项目管理人员必须全员到岗，严格执行考勤制度，未经发包人同意项目管理人员不得擅离职守，如无故缺勤，项目经理按1000元/天承担违约金，其他人员按 500元/天承担违约金。</w:t>
      </w:r>
    </w:p>
    <w:p w14:paraId="30376E54">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（2）项目经理履职：项目经理必须是真实的项目管理者，全权负责工程项目从工程施工准备开始直至验收交工，以及签证结算的全过程施工管理工作，确保尽职履职。项目经理履职情况约定如下：</w:t>
      </w:r>
    </w:p>
    <w:p w14:paraId="7724024C">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①本工程材料设备采购、劳务用工合同及工程资金支付计划必须经项目经理签署，如没有项目经理签字，发包人将不予认可，可拒付工程进度款，由此影响施工进度承包人自行承担责任。</w:t>
      </w:r>
    </w:p>
    <w:p w14:paraId="16957C79">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项目总监必须每周主持召开项目部例会并详细记录例会内容，项目经理及项目部关键管理人员必须全员参加（附签到表）。发包人将不定期检查项目部例会记录，如发现项目经理没有定期主持召开项目部例会或没有例会记录(例会记录造假或与现场实际情况不符视为没有例会记录)，第一次给予项目经理警告，责令整改；第二次给予项目经理通报批评，同时扣除承包人 10%履约保证金；第三次发包人可直接将项目经理清除出场，按项目经理不履职、不作为处理。</w:t>
      </w:r>
    </w:p>
    <w:p w14:paraId="21AC21A8">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项目经理必须保证各项施工任务有序推进，如施工投入不够、项目部技术力量欠缺，或项目经理无法调遣安排施工班组的，项目经理必须向公司法人代表报告，及时采取有效措施处理，否则视为项目经理履职不力，发包人可直接将项目经理清除出场，同时扣除承包人20%履约保证金。</w:t>
      </w:r>
    </w:p>
    <w:p w14:paraId="0AB8657B">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全生产、文明施工考核：承包人项目经理必须强化现场管理，科学、合理组织施工，确保工程安全生产、文明施工。如发现工程安全生产、文明施工不满足行业主管部门或业主单位要求的，首先追究项目经理责任，第一次给予项目经理警告，限期整改，并视违约情况，承包人承担0.5万元以下的违约金；以后每发现一次，承包人承担1万元违约金，按期整改到位；同时发包人有权安排其他施工单位落实安全生产、文明施工相关要求，产生的安全生产、文明施工经费将按双倍的金额从承包人工程款中扣回，并由发包人直接支付给其他施工单位。承包人承担的上述违约金，由发包人在支付承包人当期工程款内扣除。</w:t>
      </w:r>
    </w:p>
    <w:p w14:paraId="65FE2356">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（4）质量考核：施工过程中，如发现承包人弄虚作假、偷工减料，不按图纸及规范施工或质量不合格的；第一次发现，给予警告，限期整改，并视违约情况承包人承担 0.5～1万元的违约金；第二次发现，承包人承担1～2万元的违约金，并必须采取措施整改直至合格；第三次发现或承包人拒不整改、整改不到位或造成其他损失的，发包人有权单方面终止合同、清退出场，承包人承担2～3万元及全部履约保证金等额的违约金，同时按已完合格工程量的80%与承包人结算，并向行业主管部门通报，由行业主管部门按相关规定给与处罚；给发包人造成损失的，另行追究相关责任。</w:t>
      </w:r>
    </w:p>
    <w:p w14:paraId="5A6AA0BE">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项目承包方在使用农民工及其它劳务用工，必须严格执行国家及地方政府的有关规定，依法与其签定劳动合同，在收取合同约定工程款后，按规定足额支付劳务工资；因欠付农民工工资而导致农民工聚集、上访等现象，发包人将依据《铜陵市人民政府办公室关于印发铜陵市农民工工资保证金管理暂行办法的通知（办〔2018〕160号）》等要求给予处罚，发包方可直接使用承包人工程款支付劳务工资，并按实际支付额的双倍扣除工程款（不再返还），且发包人有权单方解除本合同，向主管部门通报记企业“不良”信用记录一次，在发包人今后招投标过程中，取消其中标资格一次。劳动合同、劳务工资支付明细表及支付情况需报发包人备案。</w:t>
      </w:r>
    </w:p>
    <w:p w14:paraId="5A798FF4">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在铜陵市相关行政主管部门或上级部门的检查中，如本工程安全、文明施工、质量等方面不达标被通报处理的，承包人须无条件整改到位，且需向发包人承担20000元/次的违约金；如在相关检查中被扣分并被通报的，承包人需按10000元/分向发包人承担违约金，且须立即整改。以上被通报的问题，如承包人拒不整改，将承担全部履约保证金同等金额的违约金和扣除安全防护文明施工措施费。</w:t>
      </w:r>
    </w:p>
    <w:p w14:paraId="47CD61C1">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最终竣工结算以</w:t>
      </w:r>
      <w:r>
        <w:rPr>
          <w:rFonts w:hint="eastAsia" w:ascii="宋体" w:hAnsi="宋体" w:eastAsia="宋体" w:cs="宋体"/>
          <w:color w:val="auto"/>
          <w:szCs w:val="21"/>
          <w:highlight w:val="none"/>
          <w:lang w:eastAsia="zh-CN"/>
        </w:rPr>
        <w:t>审核</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CN"/>
        </w:rPr>
        <w:t>审核</w:t>
      </w:r>
      <w:r>
        <w:rPr>
          <w:rFonts w:hint="eastAsia" w:ascii="宋体" w:hAnsi="宋体" w:eastAsia="宋体" w:cs="宋体"/>
          <w:color w:val="auto"/>
          <w:szCs w:val="21"/>
          <w:highlight w:val="none"/>
        </w:rPr>
        <w:t>为准，对</w:t>
      </w:r>
      <w:r>
        <w:rPr>
          <w:rFonts w:hint="eastAsia" w:ascii="宋体" w:hAnsi="宋体" w:eastAsia="宋体" w:cs="宋体"/>
          <w:color w:val="auto"/>
          <w:szCs w:val="21"/>
          <w:highlight w:val="none"/>
          <w:lang w:eastAsia="zh-CN"/>
        </w:rPr>
        <w:t>审核</w:t>
      </w:r>
      <w:r>
        <w:rPr>
          <w:rFonts w:hint="eastAsia" w:ascii="宋体" w:hAnsi="宋体" w:eastAsia="宋体" w:cs="宋体"/>
          <w:color w:val="auto"/>
          <w:szCs w:val="21"/>
          <w:highlight w:val="none"/>
        </w:rPr>
        <w:t>中没有正当理由，不接受</w:t>
      </w:r>
      <w:r>
        <w:rPr>
          <w:rFonts w:hint="eastAsia" w:ascii="宋体" w:hAnsi="宋体" w:eastAsia="宋体" w:cs="宋体"/>
          <w:color w:val="auto"/>
          <w:szCs w:val="21"/>
          <w:highlight w:val="none"/>
          <w:lang w:eastAsia="zh-CN"/>
        </w:rPr>
        <w:t>审核</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CN"/>
        </w:rPr>
        <w:t>审核</w:t>
      </w:r>
      <w:r>
        <w:rPr>
          <w:rFonts w:hint="eastAsia" w:ascii="宋体" w:hAnsi="宋体" w:eastAsia="宋体" w:cs="宋体"/>
          <w:color w:val="auto"/>
          <w:szCs w:val="21"/>
          <w:highlight w:val="none"/>
        </w:rPr>
        <w:t>结果的施工单位，按</w:t>
      </w:r>
      <w:r>
        <w:rPr>
          <w:rFonts w:hint="eastAsia" w:ascii="宋体" w:hAnsi="宋体" w:eastAsia="宋体" w:cs="宋体"/>
          <w:color w:val="auto"/>
          <w:szCs w:val="21"/>
          <w:highlight w:val="none"/>
          <w:lang w:eastAsia="zh-CN"/>
        </w:rPr>
        <w:t>已完工程量</w:t>
      </w:r>
      <w:r>
        <w:rPr>
          <w:rFonts w:hint="eastAsia" w:ascii="宋体" w:hAnsi="宋体" w:eastAsia="宋体" w:cs="宋体"/>
          <w:color w:val="auto"/>
          <w:szCs w:val="21"/>
          <w:highlight w:val="none"/>
        </w:rPr>
        <w:t>的80%与承包人结算，造成的一切后果施工单位自行承担 。</w:t>
      </w:r>
    </w:p>
    <w:p w14:paraId="5DC8C069">
      <w:pPr>
        <w:keepNext w:val="0"/>
        <w:keepLines w:val="0"/>
        <w:pageBreakBefore w:val="0"/>
        <w:widowControl w:val="0"/>
        <w:kinsoku/>
        <w:wordWrap/>
        <w:overflowPunct/>
        <w:topLinePunct w:val="0"/>
        <w:bidi w:val="0"/>
        <w:adjustRightInd/>
        <w:snapToGrid/>
        <w:spacing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施工期间的用水用电接入费投标人自行考虑费用，包含在合同中，结算中不予调整。</w:t>
      </w:r>
    </w:p>
    <w:p w14:paraId="44C22DD7">
      <w:pPr>
        <w:pStyle w:val="15"/>
        <w:spacing w:line="240" w:lineRule="auto"/>
        <w:rPr>
          <w:rFonts w:hint="eastAsia" w:ascii="宋体" w:hAnsi="宋体" w:eastAsia="宋体" w:cs="宋体"/>
          <w:b/>
          <w:bCs/>
          <w:color w:val="auto"/>
          <w:sz w:val="21"/>
          <w:szCs w:val="21"/>
          <w:highlight w:val="none"/>
          <w:lang w:val="en-US" w:eastAsia="zh-CN"/>
        </w:rPr>
      </w:pPr>
    </w:p>
    <w:p w14:paraId="6705482B">
      <w:pPr>
        <w:pStyle w:val="15"/>
        <w:spacing w:line="240" w:lineRule="auto"/>
        <w:rPr>
          <w:rFonts w:hint="eastAsia" w:ascii="宋体" w:hAnsi="宋体" w:eastAsia="宋体" w:cs="宋体"/>
          <w:b/>
          <w:bCs/>
          <w:color w:val="auto"/>
          <w:sz w:val="21"/>
          <w:szCs w:val="21"/>
          <w:highlight w:val="none"/>
          <w:lang w:val="en-US" w:eastAsia="zh-CN"/>
        </w:rPr>
      </w:pPr>
    </w:p>
    <w:p w14:paraId="021BE902">
      <w:pPr>
        <w:pStyle w:val="1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协议书附件：</w:t>
      </w:r>
    </w:p>
    <w:p w14:paraId="311BD08E">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附件1：廉洁协议；</w:t>
      </w:r>
    </w:p>
    <w:p w14:paraId="486A572C">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附件2：安全生产合同；</w:t>
      </w:r>
    </w:p>
    <w:p w14:paraId="371EC72C">
      <w:pPr>
        <w:rPr>
          <w:rFonts w:hint="eastAsia" w:ascii="宋体" w:hAnsi="宋体" w:eastAsia="宋体" w:cs="宋体"/>
          <w:b/>
          <w:bCs/>
          <w:color w:val="auto"/>
          <w:sz w:val="21"/>
          <w:szCs w:val="21"/>
          <w:highlight w:val="none"/>
        </w:rPr>
      </w:pPr>
    </w:p>
    <w:p w14:paraId="5453A772">
      <w:pPr>
        <w:rPr>
          <w:rFonts w:hint="eastAsia" w:ascii="宋体" w:hAnsi="宋体" w:eastAsia="宋体" w:cs="宋体"/>
          <w:b/>
          <w:bCs/>
          <w:color w:val="auto"/>
          <w:sz w:val="21"/>
          <w:szCs w:val="21"/>
          <w:highlight w:val="none"/>
        </w:rPr>
      </w:pPr>
    </w:p>
    <w:p w14:paraId="2548B305">
      <w:pPr>
        <w:rPr>
          <w:rFonts w:hint="eastAsia" w:ascii="宋体" w:hAnsi="宋体" w:eastAsia="宋体" w:cs="宋体"/>
          <w:b/>
          <w:bCs/>
          <w:color w:val="auto"/>
          <w:sz w:val="21"/>
          <w:szCs w:val="21"/>
          <w:highlight w:val="none"/>
        </w:rPr>
      </w:pPr>
    </w:p>
    <w:p w14:paraId="79873F5E">
      <w:pPr>
        <w:rPr>
          <w:rFonts w:hint="eastAsia" w:ascii="宋体" w:hAnsi="宋体" w:eastAsia="宋体" w:cs="宋体"/>
          <w:b/>
          <w:bCs/>
          <w:color w:val="auto"/>
          <w:sz w:val="21"/>
          <w:szCs w:val="21"/>
          <w:highlight w:val="none"/>
        </w:rPr>
      </w:pPr>
    </w:p>
    <w:p w14:paraId="1D76CB98">
      <w:pPr>
        <w:rPr>
          <w:rFonts w:hint="eastAsia" w:ascii="宋体" w:hAnsi="宋体" w:eastAsia="宋体" w:cs="宋体"/>
          <w:b/>
          <w:bCs/>
          <w:color w:val="auto"/>
          <w:sz w:val="21"/>
          <w:szCs w:val="21"/>
          <w:highlight w:val="none"/>
        </w:rPr>
      </w:pPr>
    </w:p>
    <w:p w14:paraId="45DF6E31">
      <w:pPr>
        <w:rPr>
          <w:rFonts w:hint="eastAsia" w:ascii="宋体" w:hAnsi="宋体" w:eastAsia="宋体" w:cs="宋体"/>
          <w:b/>
          <w:bCs/>
          <w:color w:val="auto"/>
          <w:sz w:val="21"/>
          <w:szCs w:val="21"/>
          <w:highlight w:val="none"/>
        </w:rPr>
      </w:pPr>
    </w:p>
    <w:p w14:paraId="7B32772C">
      <w:pPr>
        <w:rPr>
          <w:rFonts w:hint="eastAsia" w:ascii="宋体" w:hAnsi="宋体" w:eastAsia="宋体" w:cs="宋体"/>
          <w:b/>
          <w:bCs/>
          <w:color w:val="auto"/>
          <w:sz w:val="21"/>
          <w:szCs w:val="21"/>
          <w:highlight w:val="none"/>
        </w:rPr>
      </w:pPr>
    </w:p>
    <w:p w14:paraId="1CA6F826">
      <w:pPr>
        <w:rPr>
          <w:rFonts w:hint="eastAsia" w:ascii="宋体" w:hAnsi="宋体" w:eastAsia="宋体" w:cs="宋体"/>
          <w:b/>
          <w:bCs/>
          <w:color w:val="auto"/>
          <w:sz w:val="21"/>
          <w:szCs w:val="21"/>
          <w:highlight w:val="none"/>
        </w:rPr>
      </w:pPr>
    </w:p>
    <w:p w14:paraId="19B7B16A">
      <w:pPr>
        <w:rPr>
          <w:rFonts w:hint="eastAsia" w:ascii="宋体" w:hAnsi="宋体" w:eastAsia="宋体" w:cs="宋体"/>
          <w:b/>
          <w:bCs/>
          <w:color w:val="auto"/>
          <w:sz w:val="21"/>
          <w:szCs w:val="21"/>
          <w:highlight w:val="none"/>
        </w:rPr>
      </w:pPr>
    </w:p>
    <w:p w14:paraId="73E1F193">
      <w:pPr>
        <w:rPr>
          <w:rFonts w:hint="eastAsia" w:ascii="宋体" w:hAnsi="宋体" w:eastAsia="宋体" w:cs="宋体"/>
          <w:b/>
          <w:bCs/>
          <w:color w:val="auto"/>
          <w:sz w:val="21"/>
          <w:szCs w:val="21"/>
          <w:highlight w:val="none"/>
        </w:rPr>
      </w:pPr>
    </w:p>
    <w:p w14:paraId="37447AF4">
      <w:pPr>
        <w:rPr>
          <w:rFonts w:hint="eastAsia" w:ascii="宋体" w:hAnsi="宋体" w:eastAsia="宋体" w:cs="宋体"/>
          <w:b/>
          <w:bCs/>
          <w:color w:val="auto"/>
          <w:sz w:val="21"/>
          <w:szCs w:val="21"/>
          <w:highlight w:val="none"/>
        </w:rPr>
      </w:pPr>
    </w:p>
    <w:p w14:paraId="68588BDE">
      <w:pPr>
        <w:rPr>
          <w:rFonts w:hint="eastAsia" w:ascii="宋体" w:hAnsi="宋体" w:eastAsia="宋体" w:cs="宋体"/>
          <w:b/>
          <w:bCs/>
          <w:color w:val="auto"/>
          <w:sz w:val="21"/>
          <w:szCs w:val="21"/>
          <w:highlight w:val="none"/>
        </w:rPr>
      </w:pPr>
    </w:p>
    <w:p w14:paraId="333695CA">
      <w:pPr>
        <w:rPr>
          <w:rFonts w:hint="eastAsia" w:ascii="宋体" w:hAnsi="宋体" w:eastAsia="宋体" w:cs="宋体"/>
          <w:b/>
          <w:bCs/>
          <w:color w:val="auto"/>
          <w:sz w:val="21"/>
          <w:szCs w:val="21"/>
          <w:highlight w:val="none"/>
        </w:rPr>
      </w:pPr>
    </w:p>
    <w:p w14:paraId="21F5994B">
      <w:pPr>
        <w:rPr>
          <w:rFonts w:hint="eastAsia" w:ascii="宋体" w:hAnsi="宋体" w:eastAsia="宋体" w:cs="宋体"/>
          <w:b/>
          <w:bCs/>
          <w:color w:val="auto"/>
          <w:sz w:val="21"/>
          <w:szCs w:val="21"/>
          <w:highlight w:val="none"/>
        </w:rPr>
      </w:pPr>
    </w:p>
    <w:p w14:paraId="2C1DCB50">
      <w:pPr>
        <w:rPr>
          <w:rFonts w:hint="eastAsia" w:ascii="宋体" w:hAnsi="宋体" w:eastAsia="宋体" w:cs="宋体"/>
          <w:b/>
          <w:bCs/>
          <w:color w:val="auto"/>
          <w:sz w:val="21"/>
          <w:szCs w:val="21"/>
          <w:highlight w:val="none"/>
        </w:rPr>
      </w:pPr>
    </w:p>
    <w:p w14:paraId="32C60367">
      <w:pPr>
        <w:rPr>
          <w:rFonts w:hint="eastAsia" w:ascii="宋体" w:hAnsi="宋体" w:eastAsia="宋体" w:cs="宋体"/>
          <w:b/>
          <w:bCs/>
          <w:color w:val="auto"/>
          <w:sz w:val="21"/>
          <w:szCs w:val="21"/>
          <w:highlight w:val="none"/>
        </w:rPr>
      </w:pPr>
    </w:p>
    <w:p w14:paraId="7034104D">
      <w:pPr>
        <w:rPr>
          <w:rFonts w:hint="eastAsia" w:ascii="宋体" w:hAnsi="宋体" w:eastAsia="宋体" w:cs="宋体"/>
          <w:b/>
          <w:bCs/>
          <w:color w:val="auto"/>
          <w:sz w:val="21"/>
          <w:szCs w:val="21"/>
          <w:highlight w:val="none"/>
        </w:rPr>
      </w:pPr>
    </w:p>
    <w:p w14:paraId="5EB18563">
      <w:pPr>
        <w:rPr>
          <w:rFonts w:hint="eastAsia" w:ascii="宋体" w:hAnsi="宋体" w:eastAsia="宋体" w:cs="宋体"/>
          <w:b/>
          <w:bCs/>
          <w:color w:val="auto"/>
          <w:sz w:val="21"/>
          <w:szCs w:val="21"/>
          <w:highlight w:val="none"/>
        </w:rPr>
      </w:pPr>
    </w:p>
    <w:p w14:paraId="4F0E8B55">
      <w:pPr>
        <w:rPr>
          <w:rFonts w:hint="eastAsia" w:ascii="宋体" w:hAnsi="宋体" w:eastAsia="宋体" w:cs="宋体"/>
          <w:b/>
          <w:bCs/>
          <w:color w:val="auto"/>
          <w:sz w:val="21"/>
          <w:szCs w:val="21"/>
          <w:highlight w:val="none"/>
        </w:rPr>
      </w:pPr>
    </w:p>
    <w:p w14:paraId="45A04F0F">
      <w:pPr>
        <w:rPr>
          <w:rFonts w:hint="eastAsia" w:ascii="宋体" w:hAnsi="宋体" w:eastAsia="宋体" w:cs="宋体"/>
          <w:b/>
          <w:bCs/>
          <w:color w:val="auto"/>
          <w:sz w:val="21"/>
          <w:szCs w:val="21"/>
          <w:highlight w:val="none"/>
        </w:rPr>
      </w:pPr>
    </w:p>
    <w:p w14:paraId="0B4C6CF8">
      <w:pPr>
        <w:rPr>
          <w:rFonts w:hint="eastAsia" w:ascii="宋体" w:hAnsi="宋体" w:eastAsia="宋体" w:cs="宋体"/>
          <w:b/>
          <w:bCs/>
          <w:color w:val="auto"/>
          <w:sz w:val="21"/>
          <w:szCs w:val="21"/>
          <w:highlight w:val="none"/>
        </w:rPr>
      </w:pPr>
    </w:p>
    <w:p w14:paraId="32DC31F8">
      <w:pPr>
        <w:rPr>
          <w:rFonts w:hint="eastAsia" w:ascii="宋体" w:hAnsi="宋体" w:eastAsia="宋体" w:cs="宋体"/>
          <w:b/>
          <w:bCs/>
          <w:color w:val="auto"/>
          <w:sz w:val="21"/>
          <w:szCs w:val="21"/>
          <w:highlight w:val="none"/>
        </w:rPr>
      </w:pPr>
    </w:p>
    <w:p w14:paraId="01C030A9">
      <w:pPr>
        <w:rPr>
          <w:rFonts w:hint="eastAsia" w:ascii="宋体" w:hAnsi="宋体" w:eastAsia="宋体" w:cs="宋体"/>
          <w:b/>
          <w:bCs/>
          <w:color w:val="auto"/>
          <w:sz w:val="21"/>
          <w:szCs w:val="21"/>
          <w:highlight w:val="none"/>
        </w:rPr>
      </w:pPr>
    </w:p>
    <w:p w14:paraId="0B5E1CD6">
      <w:pPr>
        <w:rPr>
          <w:rFonts w:hint="eastAsia" w:ascii="宋体" w:hAnsi="宋体" w:eastAsia="宋体" w:cs="宋体"/>
          <w:b/>
          <w:bCs/>
          <w:color w:val="auto"/>
          <w:sz w:val="21"/>
          <w:szCs w:val="21"/>
          <w:highlight w:val="none"/>
        </w:rPr>
      </w:pPr>
    </w:p>
    <w:p w14:paraId="631E2FA7">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FD3695E">
      <w:pPr>
        <w:pStyle w:val="3"/>
        <w:keepNext w:val="0"/>
        <w:keepLines w:val="0"/>
        <w:numPr>
          <w:ilvl w:val="0"/>
          <w:numId w:val="0"/>
        </w:numPr>
        <w:spacing w:before="0" w:after="0" w:line="360" w:lineRule="auto"/>
        <w:ind w:leftChars="0"/>
        <w:jc w:val="lef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rPr>
        <w:t>附件1：</w:t>
      </w:r>
    </w:p>
    <w:p w14:paraId="6D25F817">
      <w:pPr>
        <w:pStyle w:val="23"/>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廉</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洁</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协</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议</w:t>
      </w:r>
    </w:p>
    <w:p w14:paraId="72E3EEB5">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1FA5BBA">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1B11C6AE">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（本协议中，乙方系指与甲方签订主合同的，为本项目提供工程施工的单位。）</w:t>
      </w:r>
    </w:p>
    <w:p w14:paraId="6628583A">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促进双方诚信经营、廉洁从业，在项目建设过程中营造风清气正的合作环境，防范商业贿赂及不正当利益输送，保护国家、集体和各方当事人的合法权益，根据中华人民共和国反不正当竞争法、中华人民共和国招标投标法等相关法律法规，甲乙双方经平等协商，自愿订立本协议，共同遵照执行。</w:t>
      </w:r>
    </w:p>
    <w:p w14:paraId="16A8AB8E">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一、甲方的权利与义务</w:t>
      </w:r>
    </w:p>
    <w:p w14:paraId="40EFDB5E">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（一）甲方及其工作人员应严格遵守国家关于党风廉政建设及反商业贿赂的各项法律法规和政策规定，公平、公正、平等地对待所有项目参与单位。</w:t>
      </w:r>
    </w:p>
    <w:p w14:paraId="2868C64A">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（二）甲方及其工作人员不得以任何形式向乙方索要或接受乙方的礼金、有价证券、贵重物品、回扣、好处费等；不得在乙方报销任何应由甲方单位或个人支付的费用。</w:t>
      </w:r>
    </w:p>
    <w:p w14:paraId="163B6AF6">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（三）甲方工作人员不得参加乙方安排的、可能影响公务执行公正性的宴请、高消费娱乐、健身、旅游等活动。</w:t>
      </w:r>
    </w:p>
    <w:p w14:paraId="355E0AEC">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（四）甲方及其工作人员不得要求或接受乙方为其住房装修、婚丧嫁娶、亲属工作安排及出国等提供任何形式的便利。</w:t>
      </w:r>
    </w:p>
    <w:p w14:paraId="587EB288">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（五）甲方任何人不得以个人名义向乙方推荐分包单位、设备材料供应商或任何其他商业合作伙伴。</w:t>
      </w:r>
    </w:p>
    <w:p w14:paraId="43313AAF">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（六）甲方工作人员不得利用职权，明示或暗示乙方违反合同约定或施工相关规范，以降低工程质量。</w:t>
      </w:r>
    </w:p>
    <w:p w14:paraId="59E6D77F">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（七）甲方有权对乙方遵守本协议的情况进行监督检查。如发现乙方存在违约行为，有权依据本协议第三条的规定进行处理。</w:t>
      </w:r>
    </w:p>
    <w:p w14:paraId="104A87C5">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（八）甲方应为乙方履行职责提供必要的正常工作条件，不得故意刁难或干涉乙方正常的、合法的履约行为。</w:t>
      </w:r>
    </w:p>
    <w:p w14:paraId="724A4721">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二、乙方的权利与义务</w:t>
      </w:r>
    </w:p>
    <w:p w14:paraId="2330F7CC">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（一）乙方应严格遵守国家关于招标投标、工程建设、市场活动及反商业贿赂的各项法律法规和政策性规定，诚信履约，杜绝一切不正当商业行为。</w:t>
      </w:r>
    </w:p>
    <w:p w14:paraId="5E711AA5">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（二）乙方及其所有工作人员，在与甲方、项目其他合作方如监理、设计、检测单位等及所有与工程建设相关的单位和个人的业务往来中，承诺履行通用廉洁义务。</w:t>
      </w:r>
    </w:p>
    <w:p w14:paraId="3A7DCEF4">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1.不提供任何形式的贿赂。绝不以任何理由提供、赠送、支付任何形式的礼金、现金、有价证券、支付凭证、贵重物品、回扣、佣金、好处费、感谢费等。</w:t>
      </w:r>
    </w:p>
    <w:p w14:paraId="58901227">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2.不承担任何不当费用。绝不为任何前述单位或其工作人员、亲属报销任何应由其自身承担的费用。</w:t>
      </w:r>
    </w:p>
    <w:p w14:paraId="5693E993">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3.不提供任何不当便利。绝不提供可能影响公务执行公正性的宴请、高消费娱乐、健身、旅游、出国等活动；不为其装修住房、操办婚丧嫁娶、安排子女亲属工作等提供方便。</w:t>
      </w:r>
    </w:p>
    <w:p w14:paraId="72DEFE60">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4.不进行任何私下协商。绝不与任何前述单位的工作人员就合同中的工程质量、数量、价格、工程量变更、项目验收、技术参数、设计标准等实质性条款进行私下沟通或达成默契。</w:t>
      </w:r>
    </w:p>
    <w:p w14:paraId="5041BA22">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5.不输送任何其他利益。绝不提供干股、红利或其他股权性利益；不为其购置或提供通讯工具、高档办公用品、交通工具、住房等财物。</w:t>
      </w:r>
    </w:p>
    <w:p w14:paraId="337BC919">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（三）除上述通用廉洁义务外，乙方还应根据其承担的具体职责，遵守特定岗位廉洁义务</w:t>
      </w:r>
      <w:r>
        <w:rPr>
          <w:rFonts w:hint="eastAsia" w:ascii="宋体" w:hAnsi="宋体" w:eastAsia="宋体" w:cs="宋体"/>
          <w:color w:val="auto"/>
          <w:sz w:val="21"/>
          <w:szCs w:val="21"/>
          <w:highlight w:val="none"/>
          <w:lang w:eastAsia="zh-CN"/>
        </w:rPr>
        <w:t>：</w:t>
      </w:r>
    </w:p>
    <w:p w14:paraId="443B6978">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不得偷工减料、使用不合格或假冒伪劣的建筑材料、设备；不得伪造工程资料、试验报告；不得与</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监理、检测等单位串通，对不合格工程进行虚假验收。</w:t>
      </w:r>
    </w:p>
    <w:p w14:paraId="0E8B3BD8">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（四）乙方有义务自觉接受甲方的监督。如发现甲方工作人员存在任何违反本协议第一条规定的行为，有权向相关纪检、司法机关进行举报。</w:t>
      </w:r>
    </w:p>
    <w:p w14:paraId="717041A8">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三、违约责任</w:t>
      </w:r>
    </w:p>
    <w:p w14:paraId="05DA37EB">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协议第一条规定的，甲方将按管理权限，对相关责任人依据有关规定给予党纪、政纪处分或组织处理；涉嫌犯罪的，将移交司法机关追究刑事责任；给乙方造成经济损失的，应依法予以赔偿。</w:t>
      </w:r>
    </w:p>
    <w:p w14:paraId="717DFB34">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（二）乙方或其工作人员违反本协议第二条规定的，即构成对本协议的根本性违约。甲方有权根据具体情节和造成的影响，单方面采取以下一项或多项措施，而无需承担任何责任，乙方对此无条件接受。</w:t>
      </w:r>
    </w:p>
    <w:p w14:paraId="27B84086">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1.没收履约保证金。全额扣除并没收乙方依据主合同缴纳的履约保证金。</w:t>
      </w:r>
    </w:p>
    <w:p w14:paraId="05811B49">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2.立即</w:t>
      </w:r>
      <w:r>
        <w:rPr>
          <w:rFonts w:hint="eastAsia" w:ascii="宋体" w:hAnsi="宋体" w:eastAsia="宋体" w:cs="宋体"/>
          <w:color w:val="auto"/>
          <w:sz w:val="21"/>
          <w:szCs w:val="21"/>
          <w:highlight w:val="none"/>
          <w:lang w:eastAsia="zh-CN"/>
        </w:rPr>
        <w:t>终止</w:t>
      </w:r>
      <w:r>
        <w:rPr>
          <w:rFonts w:hint="eastAsia" w:ascii="宋体" w:hAnsi="宋体" w:eastAsia="宋体" w:cs="宋体"/>
          <w:color w:val="auto"/>
          <w:sz w:val="21"/>
          <w:szCs w:val="21"/>
          <w:highlight w:val="none"/>
        </w:rPr>
        <w:t>或解除合同。单方面</w:t>
      </w:r>
      <w:r>
        <w:rPr>
          <w:rFonts w:hint="eastAsia" w:ascii="宋体" w:hAnsi="宋体" w:eastAsia="宋体" w:cs="宋体"/>
          <w:color w:val="auto"/>
          <w:sz w:val="21"/>
          <w:szCs w:val="21"/>
          <w:highlight w:val="none"/>
          <w:lang w:eastAsia="zh-CN"/>
        </w:rPr>
        <w:t>终止</w:t>
      </w:r>
      <w:r>
        <w:rPr>
          <w:rFonts w:hint="eastAsia" w:ascii="宋体" w:hAnsi="宋体" w:eastAsia="宋体" w:cs="宋体"/>
          <w:color w:val="auto"/>
          <w:sz w:val="21"/>
          <w:szCs w:val="21"/>
          <w:highlight w:val="none"/>
        </w:rPr>
        <w:t>或解除与乙方已签订的包括主合同在内的所有合同。</w:t>
      </w:r>
    </w:p>
    <w:p w14:paraId="204C263A">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3.追偿全部损失。要求乙方赔偿因此给甲方造成的全部直接和间接经济损失，并全额返还乙方通过不正当手段获取的全部非法所得。</w:t>
      </w:r>
    </w:p>
    <w:p w14:paraId="13F59460">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4.承担全部纠正成本。承担因其违约行为所导致的一切返工、修复、重新检测、重新设计、工期延误等全部直接及间接损失与费用。</w:t>
      </w:r>
    </w:p>
    <w:p w14:paraId="61CC3D32">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5.列入“黑名单”。将乙方列入甲方供应商“黑名单”，在一至三年内暂停或永久取消乙方参与甲方任何项目的投标或合作资格。</w:t>
      </w:r>
    </w:p>
    <w:p w14:paraId="55190F10">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6.行业通报与资质影响。甲方有权将乙方的违约行为通报至相关行业主管部门、行政监督部门或行业协会，建议对其进行相应处理。</w:t>
      </w:r>
    </w:p>
    <w:p w14:paraId="43C2392A">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7.追究法律责任。将相关线索移交纪检监察机关或司法机关处理，乙方将承担相应的党纪、政纪及刑事责任。</w:t>
      </w:r>
    </w:p>
    <w:p w14:paraId="63BB3FBB">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四、其他约定</w:t>
      </w:r>
    </w:p>
    <w:p w14:paraId="0AFB4FD6">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（一）本协议作为甲乙双方主合同不可分割的组成部分，与主合同具有同等法律效力。</w:t>
      </w:r>
    </w:p>
    <w:p w14:paraId="55B3C610">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（二）本协议自双方签字盖章之日起生效，有效期覆盖主合同从开始至项目质保期结束的全过程。</w:t>
      </w:r>
    </w:p>
    <w:p w14:paraId="5010ACAC">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5A25EE6D">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2099817F">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7CC96132">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0687FB07">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086E9A90">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0787DD59">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72900E66">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207E817E">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p w14:paraId="7B87E8A7">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016D67C8">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213C1364">
      <w:pPr>
        <w:pStyle w:val="2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3557D0CE">
      <w:pPr>
        <w:pStyle w:val="37"/>
        <w:ind w:firstLine="402"/>
        <w:rPr>
          <w:rFonts w:hint="eastAsia" w:ascii="宋体" w:hAnsi="宋体" w:eastAsia="宋体" w:cs="宋体"/>
          <w:b/>
          <w:bCs/>
          <w:color w:val="auto"/>
          <w:sz w:val="21"/>
          <w:szCs w:val="21"/>
          <w:highlight w:val="none"/>
        </w:rPr>
      </w:pPr>
    </w:p>
    <w:p w14:paraId="3FDB5B6F">
      <w:pPr>
        <w:pStyle w:val="37"/>
        <w:ind w:firstLine="402"/>
        <w:rPr>
          <w:rFonts w:hint="eastAsia" w:ascii="宋体" w:hAnsi="宋体" w:eastAsia="宋体" w:cs="宋体"/>
          <w:b/>
          <w:bCs/>
          <w:color w:val="auto"/>
          <w:sz w:val="21"/>
          <w:szCs w:val="21"/>
          <w:highlight w:val="none"/>
        </w:rPr>
      </w:pPr>
    </w:p>
    <w:p w14:paraId="76445832">
      <w:pPr>
        <w:pStyle w:val="37"/>
        <w:ind w:firstLine="402"/>
        <w:rPr>
          <w:rFonts w:hint="eastAsia" w:ascii="宋体" w:hAnsi="宋体" w:eastAsia="宋体" w:cs="宋体"/>
          <w:b/>
          <w:bCs/>
          <w:color w:val="auto"/>
          <w:sz w:val="21"/>
          <w:szCs w:val="21"/>
          <w:highlight w:val="none"/>
        </w:rPr>
      </w:pPr>
    </w:p>
    <w:p w14:paraId="19E9749A">
      <w:pPr>
        <w:pStyle w:val="37"/>
        <w:ind w:firstLine="402"/>
        <w:rPr>
          <w:rFonts w:hint="eastAsia" w:ascii="宋体" w:hAnsi="宋体" w:eastAsia="宋体" w:cs="宋体"/>
          <w:b/>
          <w:bCs/>
          <w:color w:val="auto"/>
          <w:sz w:val="21"/>
          <w:szCs w:val="21"/>
          <w:highlight w:val="none"/>
        </w:rPr>
      </w:pPr>
    </w:p>
    <w:p w14:paraId="7F5A748A">
      <w:pPr>
        <w:pStyle w:val="37"/>
        <w:ind w:firstLine="402"/>
        <w:rPr>
          <w:rFonts w:hint="eastAsia" w:ascii="宋体" w:hAnsi="宋体" w:eastAsia="宋体" w:cs="宋体"/>
          <w:b/>
          <w:bCs/>
          <w:color w:val="auto"/>
          <w:sz w:val="21"/>
          <w:szCs w:val="21"/>
          <w:highlight w:val="none"/>
        </w:rPr>
      </w:pPr>
    </w:p>
    <w:p w14:paraId="0FD224F3">
      <w:pPr>
        <w:pStyle w:val="37"/>
        <w:ind w:firstLine="402"/>
        <w:rPr>
          <w:rFonts w:hint="eastAsia" w:ascii="宋体" w:hAnsi="宋体" w:eastAsia="宋体" w:cs="宋体"/>
          <w:b/>
          <w:bCs/>
          <w:color w:val="auto"/>
          <w:sz w:val="21"/>
          <w:szCs w:val="21"/>
          <w:highlight w:val="none"/>
        </w:rPr>
      </w:pPr>
    </w:p>
    <w:p w14:paraId="56D4F8C6">
      <w:pPr>
        <w:pStyle w:val="37"/>
        <w:ind w:firstLine="402"/>
        <w:rPr>
          <w:rFonts w:hint="eastAsia" w:ascii="宋体" w:hAnsi="宋体" w:eastAsia="宋体" w:cs="宋体"/>
          <w:b/>
          <w:bCs/>
          <w:color w:val="auto"/>
          <w:sz w:val="21"/>
          <w:szCs w:val="21"/>
          <w:highlight w:val="none"/>
        </w:rPr>
      </w:pPr>
    </w:p>
    <w:p w14:paraId="09B3C473">
      <w:pPr>
        <w:pStyle w:val="37"/>
        <w:ind w:firstLine="402"/>
        <w:rPr>
          <w:rFonts w:hint="eastAsia" w:ascii="宋体" w:hAnsi="宋体" w:eastAsia="宋体" w:cs="宋体"/>
          <w:b/>
          <w:bCs/>
          <w:color w:val="auto"/>
          <w:sz w:val="21"/>
          <w:szCs w:val="21"/>
          <w:highlight w:val="none"/>
        </w:rPr>
      </w:pPr>
    </w:p>
    <w:p w14:paraId="29A2432A">
      <w:pPr>
        <w:pStyle w:val="37"/>
        <w:ind w:firstLine="402"/>
        <w:rPr>
          <w:rFonts w:hint="eastAsia" w:ascii="宋体" w:hAnsi="宋体" w:eastAsia="宋体" w:cs="宋体"/>
          <w:b/>
          <w:bCs/>
          <w:color w:val="auto"/>
          <w:sz w:val="21"/>
          <w:szCs w:val="21"/>
          <w:highlight w:val="none"/>
        </w:rPr>
      </w:pPr>
    </w:p>
    <w:p w14:paraId="0615DB06">
      <w:pPr>
        <w:pStyle w:val="37"/>
        <w:ind w:firstLine="402"/>
        <w:rPr>
          <w:rFonts w:hint="eastAsia" w:ascii="宋体" w:hAnsi="宋体" w:eastAsia="宋体" w:cs="宋体"/>
          <w:b/>
          <w:bCs/>
          <w:color w:val="auto"/>
          <w:sz w:val="21"/>
          <w:szCs w:val="21"/>
          <w:highlight w:val="none"/>
        </w:rPr>
      </w:pPr>
    </w:p>
    <w:p w14:paraId="7B02F00E">
      <w:pPr>
        <w:pStyle w:val="37"/>
        <w:ind w:firstLine="402"/>
        <w:rPr>
          <w:rFonts w:hint="eastAsia" w:ascii="宋体" w:hAnsi="宋体" w:eastAsia="宋体" w:cs="宋体"/>
          <w:b/>
          <w:bCs/>
          <w:color w:val="auto"/>
          <w:sz w:val="21"/>
          <w:szCs w:val="21"/>
          <w:highlight w:val="none"/>
        </w:rPr>
      </w:pPr>
    </w:p>
    <w:p w14:paraId="0AAAEAEF">
      <w:pPr>
        <w:pStyle w:val="37"/>
        <w:ind w:firstLine="402"/>
        <w:rPr>
          <w:rFonts w:hint="eastAsia" w:ascii="宋体" w:hAnsi="宋体" w:eastAsia="宋体" w:cs="宋体"/>
          <w:b/>
          <w:bCs/>
          <w:color w:val="auto"/>
          <w:sz w:val="21"/>
          <w:szCs w:val="21"/>
          <w:highlight w:val="none"/>
        </w:rPr>
      </w:pPr>
    </w:p>
    <w:p w14:paraId="5A106CF0">
      <w:pPr>
        <w:pStyle w:val="37"/>
        <w:ind w:firstLine="402"/>
        <w:rPr>
          <w:rFonts w:hint="eastAsia" w:ascii="宋体" w:hAnsi="宋体" w:eastAsia="宋体" w:cs="宋体"/>
          <w:b/>
          <w:bCs/>
          <w:color w:val="auto"/>
          <w:sz w:val="21"/>
          <w:szCs w:val="21"/>
          <w:highlight w:val="none"/>
        </w:rPr>
      </w:pPr>
    </w:p>
    <w:p w14:paraId="259D1B48">
      <w:pPr>
        <w:pStyle w:val="37"/>
        <w:ind w:firstLine="402"/>
        <w:rPr>
          <w:rFonts w:hint="eastAsia" w:ascii="宋体" w:hAnsi="宋体" w:eastAsia="宋体" w:cs="宋体"/>
          <w:b/>
          <w:bCs/>
          <w:color w:val="auto"/>
          <w:sz w:val="21"/>
          <w:szCs w:val="21"/>
          <w:highlight w:val="none"/>
        </w:rPr>
      </w:pPr>
    </w:p>
    <w:p w14:paraId="2DE185AD">
      <w:pPr>
        <w:pStyle w:val="37"/>
        <w:ind w:firstLine="402"/>
        <w:rPr>
          <w:rFonts w:hint="eastAsia" w:ascii="宋体" w:hAnsi="宋体" w:eastAsia="宋体" w:cs="宋体"/>
          <w:b/>
          <w:bCs/>
          <w:color w:val="auto"/>
          <w:sz w:val="21"/>
          <w:szCs w:val="21"/>
          <w:highlight w:val="none"/>
        </w:rPr>
      </w:pPr>
    </w:p>
    <w:p w14:paraId="2AF2731E">
      <w:pPr>
        <w:pStyle w:val="37"/>
        <w:ind w:firstLine="402"/>
        <w:rPr>
          <w:rFonts w:hint="eastAsia" w:ascii="宋体" w:hAnsi="宋体" w:eastAsia="宋体" w:cs="宋体"/>
          <w:b/>
          <w:bCs/>
          <w:color w:val="auto"/>
          <w:sz w:val="21"/>
          <w:szCs w:val="21"/>
          <w:highlight w:val="none"/>
        </w:rPr>
      </w:pPr>
    </w:p>
    <w:p w14:paraId="5F4BB50A">
      <w:pPr>
        <w:pStyle w:val="37"/>
        <w:ind w:firstLine="402"/>
        <w:rPr>
          <w:rFonts w:hint="eastAsia" w:ascii="宋体" w:hAnsi="宋体" w:eastAsia="宋体" w:cs="宋体"/>
          <w:b/>
          <w:bCs/>
          <w:color w:val="auto"/>
          <w:sz w:val="21"/>
          <w:szCs w:val="21"/>
          <w:highlight w:val="none"/>
        </w:rPr>
      </w:pPr>
    </w:p>
    <w:p w14:paraId="54D97A22">
      <w:pPr>
        <w:pStyle w:val="37"/>
        <w:ind w:firstLine="402"/>
        <w:rPr>
          <w:rFonts w:hint="eastAsia" w:ascii="宋体" w:hAnsi="宋体" w:eastAsia="宋体" w:cs="宋体"/>
          <w:b/>
          <w:bCs/>
          <w:color w:val="auto"/>
          <w:sz w:val="21"/>
          <w:szCs w:val="21"/>
          <w:highlight w:val="none"/>
        </w:rPr>
      </w:pPr>
    </w:p>
    <w:p w14:paraId="068C0787">
      <w:pPr>
        <w:pStyle w:val="37"/>
        <w:ind w:firstLine="402"/>
        <w:rPr>
          <w:rFonts w:hint="eastAsia" w:ascii="宋体" w:hAnsi="宋体" w:eastAsia="宋体" w:cs="宋体"/>
          <w:b/>
          <w:bCs/>
          <w:color w:val="auto"/>
          <w:sz w:val="21"/>
          <w:szCs w:val="21"/>
          <w:highlight w:val="none"/>
        </w:rPr>
      </w:pPr>
    </w:p>
    <w:p w14:paraId="5577C1CC">
      <w:pPr>
        <w:pStyle w:val="37"/>
        <w:ind w:firstLine="402"/>
        <w:rPr>
          <w:rFonts w:hint="eastAsia" w:ascii="宋体" w:hAnsi="宋体" w:eastAsia="宋体" w:cs="宋体"/>
          <w:b/>
          <w:bCs/>
          <w:color w:val="auto"/>
          <w:sz w:val="21"/>
          <w:szCs w:val="21"/>
          <w:highlight w:val="none"/>
        </w:rPr>
      </w:pPr>
    </w:p>
    <w:p w14:paraId="046F40D2">
      <w:pPr>
        <w:pStyle w:val="37"/>
        <w:ind w:firstLine="402"/>
        <w:rPr>
          <w:rFonts w:hint="eastAsia" w:ascii="宋体" w:hAnsi="宋体" w:eastAsia="宋体" w:cs="宋体"/>
          <w:b/>
          <w:bCs/>
          <w:color w:val="auto"/>
          <w:sz w:val="21"/>
          <w:szCs w:val="21"/>
          <w:highlight w:val="none"/>
        </w:rPr>
      </w:pPr>
    </w:p>
    <w:p w14:paraId="1C20C80D">
      <w:pPr>
        <w:pStyle w:val="37"/>
        <w:ind w:firstLine="402"/>
        <w:rPr>
          <w:rFonts w:hint="eastAsia" w:ascii="宋体" w:hAnsi="宋体" w:eastAsia="宋体" w:cs="宋体"/>
          <w:b/>
          <w:bCs/>
          <w:color w:val="auto"/>
          <w:sz w:val="21"/>
          <w:szCs w:val="21"/>
          <w:highlight w:val="none"/>
        </w:rPr>
      </w:pPr>
    </w:p>
    <w:p w14:paraId="4DE1C621">
      <w:pPr>
        <w:pStyle w:val="37"/>
        <w:ind w:firstLine="402"/>
        <w:rPr>
          <w:rFonts w:hint="eastAsia" w:ascii="宋体" w:hAnsi="宋体" w:eastAsia="宋体" w:cs="宋体"/>
          <w:b/>
          <w:bCs/>
          <w:color w:val="auto"/>
          <w:sz w:val="21"/>
          <w:szCs w:val="21"/>
          <w:highlight w:val="none"/>
        </w:rPr>
      </w:pPr>
    </w:p>
    <w:p w14:paraId="7433D202">
      <w:pPr>
        <w:rPr>
          <w:rFonts w:hint="eastAsia" w:ascii="宋体" w:hAnsi="宋体" w:eastAsia="宋体" w:cs="宋体"/>
          <w:b/>
          <w:bCs/>
          <w:color w:val="auto"/>
          <w:sz w:val="21"/>
          <w:szCs w:val="21"/>
          <w:highlight w:val="none"/>
        </w:rPr>
      </w:pPr>
    </w:p>
    <w:p w14:paraId="257017A0">
      <w:pPr>
        <w:rPr>
          <w:rFonts w:hint="eastAsia" w:ascii="宋体" w:hAnsi="宋体" w:eastAsia="宋体" w:cs="宋体"/>
          <w:b/>
          <w:bCs/>
          <w:color w:val="auto"/>
          <w:sz w:val="21"/>
          <w:szCs w:val="21"/>
          <w:highlight w:val="none"/>
        </w:rPr>
      </w:pPr>
    </w:p>
    <w:p w14:paraId="54967206">
      <w:pPr>
        <w:rPr>
          <w:rFonts w:hint="eastAsia" w:ascii="宋体" w:hAnsi="宋体" w:eastAsia="宋体" w:cs="宋体"/>
          <w:b/>
          <w:bCs/>
          <w:color w:val="auto"/>
          <w:sz w:val="21"/>
          <w:szCs w:val="21"/>
          <w:highlight w:val="none"/>
        </w:rPr>
      </w:pPr>
    </w:p>
    <w:p w14:paraId="55294D0A">
      <w:pPr>
        <w:rPr>
          <w:rFonts w:hint="eastAsia" w:ascii="宋体" w:hAnsi="宋体" w:eastAsia="宋体" w:cs="宋体"/>
          <w:b/>
          <w:bCs/>
          <w:color w:val="auto"/>
          <w:sz w:val="21"/>
          <w:szCs w:val="21"/>
          <w:highlight w:val="none"/>
        </w:rPr>
      </w:pPr>
    </w:p>
    <w:p w14:paraId="6FF64FC6">
      <w:pPr>
        <w:pStyle w:val="37"/>
        <w:ind w:firstLine="402"/>
        <w:rPr>
          <w:rFonts w:hint="eastAsia" w:ascii="宋体" w:hAnsi="宋体" w:eastAsia="宋体" w:cs="宋体"/>
          <w:b/>
          <w:bCs/>
          <w:color w:val="auto"/>
          <w:sz w:val="21"/>
          <w:szCs w:val="21"/>
          <w:highlight w:val="none"/>
        </w:rPr>
      </w:pPr>
    </w:p>
    <w:p w14:paraId="384A8DCC">
      <w:pPr>
        <w:pStyle w:val="37"/>
        <w:ind w:left="0" w:leftChars="0" w:firstLine="0" w:firstLineChars="0"/>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p>
    <w:p w14:paraId="3E2771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安全生产合同</w:t>
      </w:r>
    </w:p>
    <w:p w14:paraId="3873E0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p>
    <w:p w14:paraId="10BFEB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为在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
        </w:rPr>
        <w:t>（项目名称）</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（标段）施工合同的实施过程中创造安全、高效的施工环境，切实搞好本项目的安全管理工作，本项目发包人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（发包人名称，以下简称“发包人”）与承包人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（承包人名称，以下简称“承包人”）特此签订安全生产合同：</w:t>
      </w:r>
    </w:p>
    <w:p w14:paraId="2EC46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1.发包人职责</w:t>
      </w:r>
    </w:p>
    <w:p w14:paraId="0464B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（1）严格遵守国家有关安全生产的法律法规，认真执行工程承包合同中的有关安全要求。</w:t>
      </w:r>
    </w:p>
    <w:p w14:paraId="012C7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（2）按照“安全第一、预防为主”和坚持“管生产必须管安全”的原则进行安全生产管理，做到生产与安全工作同时计划、布置、检查、总结和评比。</w:t>
      </w:r>
    </w:p>
    <w:p w14:paraId="10D00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（3）重要的安全设施必须坚持与主体工程“三同时”的原则，即：同时设计、审批，同时施工，同时验收，投入使用。</w:t>
      </w:r>
    </w:p>
    <w:p w14:paraId="042AF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（4）定期召开安全生产调度会，及时传达中央及地方有关安全生产的精神。</w:t>
      </w:r>
    </w:p>
    <w:p w14:paraId="3325A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（5）组织对承包人施工现场安全生产检查，监督承包人及时处理发现的各种安全隐患。</w:t>
      </w:r>
    </w:p>
    <w:p w14:paraId="664F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2.承包人职责</w:t>
      </w:r>
    </w:p>
    <w:p w14:paraId="15CB5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10F2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73F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D5FB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（4）承包人在任何时候都应采取各种合理的预防措施，防止其员工发生任何违法、违禁、暴力或妨碍治安的行为。</w:t>
      </w:r>
    </w:p>
    <w:p w14:paraId="39F7E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0FB4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7A4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（7）操作人员上岗，必须按规定穿戴防护用品。施工负责人和安全检查员应随时检查劳动防护用品的穿戴情况，不按规定穿戴防护用品的人员不得上岗。</w:t>
      </w:r>
    </w:p>
    <w:p w14:paraId="65BA0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（8）所有施工机具设备和高空作业的设备均应定期检查，并有安全员的签字记录，保证其经常处于完好状态；不合格的机具、设备和劳动保护用品严禁使用：</w:t>
      </w:r>
    </w:p>
    <w:p w14:paraId="1B407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（9）施工中采用新技术、新工艺、新设备、新材料时，必须制定相应的安全技术措施，施工现场必须具有相关的安全标志牌。</w:t>
      </w:r>
    </w:p>
    <w:p w14:paraId="69922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4643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（11）安全生产费用按照《建设工程安全生产管理条例》的相关规定使用和管理。</w:t>
      </w:r>
    </w:p>
    <w:p w14:paraId="7893D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3.违约责任</w:t>
      </w:r>
    </w:p>
    <w:p w14:paraId="55DA4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如因发包人或承包人违约造成安全事故，将依法追究责任。</w:t>
      </w:r>
    </w:p>
    <w:p w14:paraId="2DE73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4.本合同由双方法定代表人或其授权的代理人签署并加盖单位章后生效，全部工程竣工验收后失效。</w:t>
      </w:r>
    </w:p>
    <w:p w14:paraId="1DF15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2D9E037E">
      <w:pPr>
        <w:pStyle w:val="26"/>
        <w:rPr>
          <w:rFonts w:hint="eastAsia" w:ascii="宋体" w:hAnsi="宋体" w:eastAsia="宋体" w:cs="宋体"/>
          <w:color w:val="auto"/>
          <w:sz w:val="21"/>
          <w:szCs w:val="21"/>
          <w:highlight w:val="none"/>
        </w:rPr>
      </w:pPr>
    </w:p>
    <w:p w14:paraId="48ECAB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（盖单位章）           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（盖单位章）</w:t>
      </w:r>
    </w:p>
    <w:p w14:paraId="331A7F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法定代表人或其委托代理人：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（签字）          法定代表人或其委托代理人：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（签字）</w:t>
      </w:r>
    </w:p>
    <w:p w14:paraId="658B3CA7">
      <w:pPr>
        <w:keepNext w:val="0"/>
        <w:keepLines w:val="0"/>
        <w:widowControl w:val="0"/>
        <w:suppressLineNumbers w:val="0"/>
        <w:spacing w:before="0" w:beforeAutospacing="0" w:after="0" w:afterAutospacing="0"/>
        <w:ind w:left="0" w:right="0"/>
        <w:jc w:val="both"/>
        <w:rPr>
          <w:rStyle w:val="47"/>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6D2F65B0">
      <w:pPr>
        <w:pStyle w:val="37"/>
        <w:ind w:firstLine="402"/>
        <w:rPr>
          <w:rFonts w:hint="eastAsia" w:ascii="宋体" w:hAnsi="宋体" w:eastAsia="宋体" w:cs="宋体"/>
          <w:b/>
          <w:color w:val="auto"/>
          <w:sz w:val="21"/>
          <w:szCs w:val="21"/>
          <w:highlight w:val="none"/>
        </w:rPr>
      </w:pPr>
    </w:p>
    <w:p w14:paraId="28ECD3DF">
      <w:pPr>
        <w:snapToGrid w:val="0"/>
        <w:spacing w:line="360" w:lineRule="auto"/>
        <w:jc w:val="center"/>
        <w:rPr>
          <w:rStyle w:val="47"/>
          <w:rFonts w:hint="eastAsia" w:ascii="宋体" w:hAnsi="宋体" w:eastAsia="宋体" w:cs="宋体"/>
          <w:b/>
          <w:color w:val="auto"/>
          <w:sz w:val="30"/>
          <w:szCs w:val="30"/>
          <w:highlight w:val="none"/>
        </w:rPr>
      </w:pPr>
    </w:p>
    <w:p w14:paraId="558F37AF">
      <w:pPr>
        <w:snapToGrid w:val="0"/>
        <w:spacing w:line="360" w:lineRule="auto"/>
        <w:jc w:val="center"/>
        <w:rPr>
          <w:rStyle w:val="47"/>
          <w:rFonts w:hint="eastAsia" w:ascii="宋体" w:hAnsi="宋体" w:eastAsia="宋体" w:cs="宋体"/>
          <w:b/>
          <w:color w:val="auto"/>
          <w:sz w:val="30"/>
          <w:szCs w:val="30"/>
          <w:highlight w:val="none"/>
        </w:rPr>
      </w:pPr>
    </w:p>
    <w:p w14:paraId="37EC7BBB">
      <w:pPr>
        <w:snapToGrid w:val="0"/>
        <w:spacing w:line="360" w:lineRule="auto"/>
        <w:jc w:val="both"/>
        <w:rPr>
          <w:rStyle w:val="47"/>
          <w:rFonts w:hint="eastAsia" w:ascii="宋体" w:hAnsi="宋体" w:eastAsia="宋体" w:cs="宋体"/>
          <w:b/>
          <w:color w:val="auto"/>
          <w:sz w:val="30"/>
          <w:szCs w:val="30"/>
          <w:highlight w:val="none"/>
        </w:rPr>
      </w:pPr>
    </w:p>
    <w:p w14:paraId="396EC4DA">
      <w:pPr>
        <w:snapToGrid w:val="0"/>
        <w:spacing w:line="360" w:lineRule="auto"/>
        <w:jc w:val="center"/>
        <w:rPr>
          <w:rStyle w:val="47"/>
          <w:rFonts w:hint="eastAsia" w:ascii="宋体" w:hAnsi="宋体" w:eastAsia="宋体" w:cs="宋体"/>
          <w:b/>
          <w:color w:val="auto"/>
          <w:sz w:val="30"/>
          <w:szCs w:val="30"/>
          <w:highlight w:val="none"/>
        </w:rPr>
      </w:pPr>
    </w:p>
    <w:p w14:paraId="0DEA3F0B">
      <w:pPr>
        <w:snapToGrid w:val="0"/>
        <w:spacing w:line="360" w:lineRule="auto"/>
        <w:jc w:val="center"/>
        <w:rPr>
          <w:rStyle w:val="47"/>
          <w:rFonts w:hint="eastAsia" w:ascii="宋体" w:hAnsi="宋体" w:eastAsia="宋体" w:cs="宋体"/>
          <w:b/>
          <w:color w:val="auto"/>
          <w:sz w:val="30"/>
          <w:szCs w:val="30"/>
          <w:highlight w:val="none"/>
        </w:rPr>
      </w:pPr>
    </w:p>
    <w:p w14:paraId="7C55FD04">
      <w:pPr>
        <w:snapToGrid w:val="0"/>
        <w:spacing w:line="360" w:lineRule="auto"/>
        <w:jc w:val="center"/>
        <w:rPr>
          <w:rStyle w:val="47"/>
          <w:rFonts w:hint="eastAsia" w:ascii="宋体" w:hAnsi="宋体" w:eastAsia="宋体" w:cs="宋体"/>
          <w:b/>
          <w:color w:val="auto"/>
          <w:sz w:val="30"/>
          <w:szCs w:val="30"/>
          <w:highlight w:val="none"/>
        </w:rPr>
      </w:pPr>
    </w:p>
    <w:p w14:paraId="550A1916">
      <w:pPr>
        <w:snapToGrid w:val="0"/>
        <w:spacing w:line="360" w:lineRule="auto"/>
        <w:jc w:val="center"/>
        <w:rPr>
          <w:rStyle w:val="47"/>
          <w:rFonts w:hint="eastAsia" w:ascii="宋体" w:hAnsi="宋体" w:eastAsia="宋体" w:cs="宋体"/>
          <w:b/>
          <w:color w:val="auto"/>
          <w:sz w:val="30"/>
          <w:szCs w:val="30"/>
          <w:highlight w:val="none"/>
        </w:rPr>
      </w:pPr>
    </w:p>
    <w:p w14:paraId="27E0586B">
      <w:pPr>
        <w:snapToGrid w:val="0"/>
        <w:spacing w:line="360" w:lineRule="auto"/>
        <w:jc w:val="center"/>
        <w:rPr>
          <w:rStyle w:val="47"/>
          <w:rFonts w:hint="eastAsia" w:ascii="宋体" w:hAnsi="宋体" w:eastAsia="宋体" w:cs="宋体"/>
          <w:b/>
          <w:color w:val="auto"/>
          <w:sz w:val="30"/>
          <w:szCs w:val="30"/>
          <w:highlight w:val="none"/>
        </w:rPr>
      </w:pPr>
    </w:p>
    <w:p w14:paraId="31F475DC">
      <w:pPr>
        <w:snapToGrid w:val="0"/>
        <w:spacing w:line="360" w:lineRule="auto"/>
        <w:jc w:val="center"/>
        <w:rPr>
          <w:rStyle w:val="47"/>
          <w:rFonts w:hint="eastAsia" w:ascii="宋体" w:hAnsi="宋体" w:eastAsia="宋体" w:cs="宋体"/>
          <w:b/>
          <w:color w:val="auto"/>
          <w:sz w:val="30"/>
          <w:szCs w:val="30"/>
          <w:highlight w:val="none"/>
        </w:rPr>
      </w:pPr>
    </w:p>
    <w:p w14:paraId="6B922CD1">
      <w:pPr>
        <w:snapToGrid w:val="0"/>
        <w:spacing w:line="360" w:lineRule="auto"/>
        <w:jc w:val="center"/>
        <w:rPr>
          <w:rStyle w:val="47"/>
          <w:rFonts w:hint="eastAsia" w:ascii="宋体" w:hAnsi="宋体" w:eastAsia="宋体" w:cs="宋体"/>
          <w:b/>
          <w:color w:val="auto"/>
          <w:sz w:val="30"/>
          <w:szCs w:val="30"/>
          <w:highlight w:val="none"/>
        </w:rPr>
      </w:pPr>
    </w:p>
    <w:p w14:paraId="770086CD">
      <w:pPr>
        <w:snapToGrid w:val="0"/>
        <w:spacing w:line="360" w:lineRule="auto"/>
        <w:jc w:val="center"/>
        <w:rPr>
          <w:rStyle w:val="47"/>
          <w:rFonts w:hint="eastAsia" w:ascii="宋体" w:hAnsi="宋体" w:eastAsia="宋体" w:cs="宋体"/>
          <w:b/>
          <w:color w:val="auto"/>
          <w:sz w:val="30"/>
          <w:szCs w:val="30"/>
          <w:highlight w:val="none"/>
        </w:rPr>
      </w:pPr>
    </w:p>
    <w:p w14:paraId="34F00B8E">
      <w:pPr>
        <w:snapToGrid w:val="0"/>
        <w:spacing w:line="360" w:lineRule="auto"/>
        <w:jc w:val="center"/>
        <w:rPr>
          <w:rStyle w:val="47"/>
          <w:rFonts w:hint="eastAsia" w:ascii="宋体" w:hAnsi="宋体" w:eastAsia="宋体" w:cs="宋体"/>
          <w:b/>
          <w:color w:val="auto"/>
          <w:sz w:val="30"/>
          <w:szCs w:val="30"/>
          <w:highlight w:val="none"/>
        </w:rPr>
      </w:pPr>
    </w:p>
    <w:p w14:paraId="4FFCE997">
      <w:pPr>
        <w:snapToGrid w:val="0"/>
        <w:spacing w:line="360" w:lineRule="auto"/>
        <w:jc w:val="center"/>
        <w:rPr>
          <w:rStyle w:val="47"/>
          <w:rFonts w:hint="eastAsia" w:ascii="宋体" w:hAnsi="宋体" w:eastAsia="宋体" w:cs="宋体"/>
          <w:b/>
          <w:color w:val="auto"/>
          <w:sz w:val="30"/>
          <w:szCs w:val="30"/>
          <w:highlight w:val="none"/>
        </w:rPr>
      </w:pPr>
    </w:p>
    <w:p w14:paraId="24703833">
      <w:pPr>
        <w:snapToGrid w:val="0"/>
        <w:spacing w:line="360" w:lineRule="auto"/>
        <w:jc w:val="center"/>
        <w:rPr>
          <w:rStyle w:val="47"/>
          <w:rFonts w:hint="eastAsia" w:ascii="宋体" w:hAnsi="宋体" w:eastAsia="宋体" w:cs="宋体"/>
          <w:b/>
          <w:color w:val="auto"/>
          <w:sz w:val="30"/>
          <w:szCs w:val="30"/>
          <w:highlight w:val="none"/>
        </w:rPr>
      </w:pPr>
    </w:p>
    <w:p w14:paraId="775067B7">
      <w:pPr>
        <w:snapToGrid w:val="0"/>
        <w:spacing w:line="360" w:lineRule="auto"/>
        <w:jc w:val="center"/>
        <w:rPr>
          <w:rStyle w:val="47"/>
          <w:rFonts w:hint="eastAsia" w:ascii="宋体" w:hAnsi="宋体" w:eastAsia="宋体" w:cs="宋体"/>
          <w:b/>
          <w:color w:val="auto"/>
          <w:sz w:val="30"/>
          <w:szCs w:val="30"/>
          <w:highlight w:val="none"/>
        </w:rPr>
      </w:pPr>
    </w:p>
    <w:p w14:paraId="59451F0C">
      <w:pPr>
        <w:snapToGrid w:val="0"/>
        <w:spacing w:line="360" w:lineRule="auto"/>
        <w:jc w:val="center"/>
        <w:rPr>
          <w:rStyle w:val="47"/>
          <w:rFonts w:hint="eastAsia" w:ascii="宋体" w:hAnsi="宋体" w:eastAsia="宋体" w:cs="宋体"/>
          <w:b/>
          <w:color w:val="auto"/>
          <w:sz w:val="30"/>
          <w:szCs w:val="30"/>
          <w:highlight w:val="none"/>
        </w:rPr>
      </w:pPr>
    </w:p>
    <w:p w14:paraId="137A9464">
      <w:pPr>
        <w:snapToGrid w:val="0"/>
        <w:spacing w:line="360" w:lineRule="auto"/>
        <w:jc w:val="center"/>
        <w:rPr>
          <w:rStyle w:val="47"/>
          <w:rFonts w:hint="eastAsia" w:ascii="宋体" w:hAnsi="宋体" w:eastAsia="宋体" w:cs="宋体"/>
          <w:b/>
          <w:color w:val="auto"/>
          <w:sz w:val="30"/>
          <w:szCs w:val="30"/>
          <w:highlight w:val="none"/>
        </w:rPr>
      </w:pPr>
    </w:p>
    <w:p w14:paraId="1CB4B01D">
      <w:pPr>
        <w:snapToGrid w:val="0"/>
        <w:spacing w:line="360" w:lineRule="auto"/>
        <w:jc w:val="center"/>
        <w:rPr>
          <w:rStyle w:val="47"/>
          <w:rFonts w:hint="eastAsia" w:ascii="宋体" w:hAnsi="宋体" w:eastAsia="宋体" w:cs="宋体"/>
          <w:b/>
          <w:color w:val="auto"/>
          <w:sz w:val="30"/>
          <w:szCs w:val="30"/>
          <w:highlight w:val="none"/>
        </w:rPr>
      </w:pPr>
    </w:p>
    <w:p w14:paraId="47B28E00">
      <w:pPr>
        <w:snapToGrid w:val="0"/>
        <w:spacing w:line="360" w:lineRule="auto"/>
        <w:jc w:val="center"/>
        <w:rPr>
          <w:rStyle w:val="47"/>
          <w:rFonts w:hint="eastAsia" w:ascii="宋体" w:hAnsi="宋体" w:eastAsia="宋体" w:cs="宋体"/>
          <w:b/>
          <w:color w:val="auto"/>
          <w:sz w:val="30"/>
          <w:szCs w:val="30"/>
          <w:highlight w:val="none"/>
        </w:rPr>
      </w:pPr>
      <w:r>
        <w:rPr>
          <w:rStyle w:val="47"/>
          <w:rFonts w:hint="eastAsia" w:ascii="宋体" w:hAnsi="宋体" w:eastAsia="宋体" w:cs="宋体"/>
          <w:b/>
          <w:color w:val="auto"/>
          <w:sz w:val="30"/>
          <w:szCs w:val="30"/>
          <w:highlight w:val="none"/>
        </w:rPr>
        <w:t>下篇   通用部分</w:t>
      </w:r>
    </w:p>
    <w:p w14:paraId="049DD10F">
      <w:pPr>
        <w:snapToGrid w:val="0"/>
        <w:spacing w:line="360" w:lineRule="auto"/>
        <w:jc w:val="center"/>
        <w:rPr>
          <w:rStyle w:val="47"/>
          <w:rFonts w:hint="eastAsia" w:ascii="宋体" w:hAnsi="宋体" w:eastAsia="宋体" w:cs="宋体"/>
          <w:b/>
          <w:color w:val="auto"/>
          <w:sz w:val="30"/>
          <w:szCs w:val="30"/>
          <w:highlight w:val="none"/>
        </w:rPr>
      </w:pPr>
      <w:r>
        <w:rPr>
          <w:rStyle w:val="47"/>
          <w:rFonts w:hint="eastAsia" w:ascii="宋体" w:hAnsi="宋体" w:eastAsia="宋体" w:cs="宋体"/>
          <w:b/>
          <w:color w:val="auto"/>
          <w:sz w:val="30"/>
          <w:szCs w:val="30"/>
          <w:highlight w:val="none"/>
        </w:rPr>
        <w:t>第一章  投标须知</w:t>
      </w:r>
    </w:p>
    <w:p w14:paraId="1629070C">
      <w:pPr>
        <w:snapToGrid w:val="0"/>
        <w:spacing w:line="360" w:lineRule="auto"/>
        <w:jc w:val="center"/>
        <w:rPr>
          <w:rStyle w:val="47"/>
          <w:rFonts w:hint="eastAsia" w:ascii="宋体" w:hAnsi="宋体" w:eastAsia="宋体" w:cs="宋体"/>
          <w:b/>
          <w:color w:val="auto"/>
          <w:sz w:val="28"/>
          <w:szCs w:val="28"/>
          <w:highlight w:val="none"/>
        </w:rPr>
      </w:pPr>
      <w:r>
        <w:rPr>
          <w:rStyle w:val="47"/>
          <w:rFonts w:hint="eastAsia" w:ascii="宋体" w:hAnsi="宋体" w:eastAsia="宋体" w:cs="宋体"/>
          <w:b/>
          <w:color w:val="auto"/>
          <w:sz w:val="28"/>
          <w:szCs w:val="28"/>
          <w:highlight w:val="none"/>
        </w:rPr>
        <w:t>（一）总  则</w:t>
      </w:r>
    </w:p>
    <w:p w14:paraId="68650E0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1.合格的投标人</w:t>
      </w:r>
    </w:p>
    <w:p w14:paraId="3B9635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1.1 投标人资质等级详见招标公告。</w:t>
      </w:r>
    </w:p>
    <w:p w14:paraId="0A0267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1.2投标人不得存在下列情形之一：</w:t>
      </w:r>
    </w:p>
    <w:p w14:paraId="344BB7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（1）为招标人不具有独立法人资格的附属机构（单位）；</w:t>
      </w:r>
    </w:p>
    <w:p w14:paraId="12171A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（2）为本招标项目前期准备提供设计或咨询服务的；</w:t>
      </w:r>
    </w:p>
    <w:p w14:paraId="6BD43C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（3）为本招标项目的监理人；</w:t>
      </w:r>
    </w:p>
    <w:p w14:paraId="471D6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（4）为本招标项目的代建人；</w:t>
      </w:r>
    </w:p>
    <w:p w14:paraId="2C90AD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（5）为本招标项目提供招标代理服务的；</w:t>
      </w:r>
    </w:p>
    <w:p w14:paraId="7FCBC0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（6）与本招标项目的监理人或代建人或招标代理机构同为一个法定代表人的；</w:t>
      </w:r>
    </w:p>
    <w:p w14:paraId="05C8CC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r>
        <w:rPr>
          <w:rStyle w:val="47"/>
          <w:rFonts w:hint="eastAsia" w:ascii="宋体" w:hAnsi="宋体" w:eastAsia="宋体" w:cs="宋体"/>
          <w:color w:val="auto"/>
          <w:sz w:val="24"/>
          <w:highlight w:val="none"/>
          <w:lang w:val="en-US"/>
        </w:rPr>
        <w:t>7</w:t>
      </w:r>
      <w:r>
        <w:rPr>
          <w:rStyle w:val="47"/>
          <w:rFonts w:hint="eastAsia" w:ascii="宋体" w:hAnsi="宋体" w:eastAsia="宋体" w:cs="宋体"/>
          <w:color w:val="auto"/>
          <w:sz w:val="24"/>
          <w:highlight w:val="none"/>
        </w:rPr>
        <w:t xml:space="preserve">）被责令停业的； </w:t>
      </w:r>
    </w:p>
    <w:p w14:paraId="31F855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r>
        <w:rPr>
          <w:rStyle w:val="47"/>
          <w:rFonts w:hint="eastAsia" w:ascii="宋体" w:hAnsi="宋体" w:eastAsia="宋体" w:cs="宋体"/>
          <w:color w:val="auto"/>
          <w:sz w:val="24"/>
          <w:highlight w:val="none"/>
          <w:lang w:val="en-US"/>
        </w:rPr>
        <w:t>8</w:t>
      </w:r>
      <w:r>
        <w:rPr>
          <w:rStyle w:val="47"/>
          <w:rFonts w:hint="eastAsia" w:ascii="宋体" w:hAnsi="宋体" w:eastAsia="宋体" w:cs="宋体"/>
          <w:color w:val="auto"/>
          <w:sz w:val="24"/>
          <w:highlight w:val="none"/>
        </w:rPr>
        <w:t xml:space="preserve">）被暂停或取消投标资格的； </w:t>
      </w:r>
    </w:p>
    <w:p w14:paraId="714997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r>
        <w:rPr>
          <w:rStyle w:val="47"/>
          <w:rFonts w:hint="eastAsia" w:ascii="宋体" w:hAnsi="宋体" w:eastAsia="宋体" w:cs="宋体"/>
          <w:color w:val="auto"/>
          <w:sz w:val="24"/>
          <w:highlight w:val="none"/>
          <w:lang w:val="en-US"/>
        </w:rPr>
        <w:t>9</w:t>
      </w:r>
      <w:r>
        <w:rPr>
          <w:rStyle w:val="47"/>
          <w:rFonts w:hint="eastAsia" w:ascii="宋体" w:hAnsi="宋体" w:eastAsia="宋体" w:cs="宋体"/>
          <w:color w:val="auto"/>
          <w:sz w:val="24"/>
          <w:highlight w:val="none"/>
        </w:rPr>
        <w:t xml:space="preserve">）财产被接管或冻结的； </w:t>
      </w:r>
    </w:p>
    <w:p w14:paraId="24A073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val="0"/>
          <w:bCs w:val="0"/>
          <w:color w:val="auto"/>
          <w:sz w:val="24"/>
          <w:highlight w:val="none"/>
        </w:rPr>
      </w:pPr>
      <w:r>
        <w:rPr>
          <w:rStyle w:val="47"/>
          <w:rFonts w:hint="eastAsia" w:ascii="宋体" w:hAnsi="宋体" w:eastAsia="宋体" w:cs="宋体"/>
          <w:b w:val="0"/>
          <w:bCs w:val="0"/>
          <w:color w:val="auto"/>
          <w:sz w:val="24"/>
          <w:highlight w:val="none"/>
        </w:rPr>
        <w:t>（1</w:t>
      </w:r>
      <w:r>
        <w:rPr>
          <w:rStyle w:val="47"/>
          <w:rFonts w:hint="eastAsia" w:ascii="宋体" w:hAnsi="宋体" w:eastAsia="宋体" w:cs="宋体"/>
          <w:b w:val="0"/>
          <w:bCs w:val="0"/>
          <w:color w:val="auto"/>
          <w:sz w:val="24"/>
          <w:highlight w:val="none"/>
          <w:lang w:val="en-US"/>
        </w:rPr>
        <w:t>0</w:t>
      </w:r>
      <w:r>
        <w:rPr>
          <w:rStyle w:val="47"/>
          <w:rFonts w:hint="eastAsia" w:ascii="宋体" w:hAnsi="宋体" w:eastAsia="宋体" w:cs="宋体"/>
          <w:b w:val="0"/>
          <w:bCs w:val="0"/>
          <w:color w:val="auto"/>
          <w:sz w:val="24"/>
          <w:highlight w:val="none"/>
        </w:rPr>
        <w:t>）如本项目为重新招标，在之前投标中放弃中标资格的。</w:t>
      </w:r>
    </w:p>
    <w:p w14:paraId="124C1B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val="0"/>
          <w:bCs w:val="0"/>
          <w:color w:val="auto"/>
          <w:sz w:val="24"/>
          <w:highlight w:val="none"/>
        </w:rPr>
      </w:pPr>
      <w:r>
        <w:rPr>
          <w:rStyle w:val="47"/>
          <w:rFonts w:hint="eastAsia" w:ascii="宋体" w:hAnsi="宋体" w:eastAsia="宋体" w:cs="宋体"/>
          <w:b w:val="0"/>
          <w:bCs w:val="0"/>
          <w:color w:val="auto"/>
          <w:sz w:val="24"/>
          <w:highlight w:val="none"/>
        </w:rPr>
        <w:t>1.3单位负责人为同一人或者存在控股、管理关系的不同单位，不得同时参加本招标项目同一标段的投标。</w:t>
      </w:r>
    </w:p>
    <w:p w14:paraId="32DE27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1.4本项目采用评标办法中所述的方法确定合格投标人。</w:t>
      </w:r>
    </w:p>
    <w:p w14:paraId="21B9742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2.踏勘现场</w:t>
      </w:r>
    </w:p>
    <w:p w14:paraId="0E3EF8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人应按照招标文件所述，自行对工程现场及周围环境进行踏勘现场以获得有关编制投标文件和签署合同所涉及现场的资料。踏勘现场所发生的自身费用由投标人自己承担。经招标人允许，投标人可为踏勘目的进入招标人的项目现场，但投标人不得因此使招标人承担有关的责任和蒙受损失。投标人应承担踏勘现场的责任和风险。</w:t>
      </w:r>
    </w:p>
    <w:p w14:paraId="2A6AC8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3.招标资料</w:t>
      </w:r>
    </w:p>
    <w:p w14:paraId="2A2EF9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招标人向投标人提供的所有数据和资料，是招标人现有的能被投标人利用的资料，招标人对投标人做出的任何推论、理解和结论均不负责任。</w:t>
      </w:r>
    </w:p>
    <w:p w14:paraId="257C0E08">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4.投标费用</w:t>
      </w:r>
    </w:p>
    <w:p w14:paraId="44EB8A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投标人应承担其编制投标文件与递交投标文件等投标过程中所涉及的一切费用，不论投标结果如何，招标人将不予承担。</w:t>
      </w:r>
    </w:p>
    <w:p w14:paraId="085E5C2B">
      <w:pPr>
        <w:snapToGrid w:val="0"/>
        <w:spacing w:line="500" w:lineRule="exact"/>
        <w:jc w:val="center"/>
        <w:rPr>
          <w:rStyle w:val="47"/>
          <w:rFonts w:hint="eastAsia" w:ascii="宋体" w:hAnsi="宋体" w:eastAsia="宋体" w:cs="宋体"/>
          <w:b/>
          <w:color w:val="auto"/>
          <w:sz w:val="24"/>
          <w:highlight w:val="none"/>
        </w:rPr>
      </w:pPr>
    </w:p>
    <w:p w14:paraId="0665A4C0">
      <w:pPr>
        <w:snapToGrid w:val="0"/>
        <w:spacing w:line="50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b/>
          <w:color w:val="auto"/>
          <w:sz w:val="24"/>
          <w:highlight w:val="none"/>
        </w:rPr>
        <w:t>（二） 招标文件</w:t>
      </w:r>
    </w:p>
    <w:p w14:paraId="67554A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5.招标文件的组成</w:t>
      </w:r>
    </w:p>
    <w:p w14:paraId="48D59E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5.1招标文件包括下列内容：</w:t>
      </w:r>
    </w:p>
    <w:p w14:paraId="47A030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5.1.1本招标文件的全部内容，包括工程量清单和图纸；</w:t>
      </w:r>
    </w:p>
    <w:p w14:paraId="5D9EEB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5.1.2本工程所有发生的答疑文件及书面通知。</w:t>
      </w:r>
    </w:p>
    <w:p w14:paraId="420E04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5.2 投标人获取招标文件后，应仔细检查招标文件的所有内容，如有残缺等问题应及时向招标人提出，否则，由此引起的后果由投标人自己承担。投标人同时应认真审阅招标文件中所有的事项、格式、条款和规范要求等，若投标人的投标文件没有按招标文件要求提交全部资料及自己理解产生的误差，或投标文件没有对招标文件做出实质性响应，其风险由投标人自行承担，并根据有关条款规定，该投标有可能被拒绝。</w:t>
      </w:r>
    </w:p>
    <w:p w14:paraId="70F7F0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6.招标文件的澄清</w:t>
      </w:r>
    </w:p>
    <w:p w14:paraId="432331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投标人若对招标文件有任何疑问，应在投标截止时间前三日向招标人提出澄清要求。招标文件的澄清将在</w:t>
      </w:r>
      <w:r>
        <w:rPr>
          <w:rFonts w:hint="eastAsia" w:ascii="宋体" w:hAnsi="宋体" w:eastAsia="宋体" w:cs="宋体"/>
          <w:i w:val="0"/>
          <w:iCs w:val="0"/>
          <w:caps w:val="0"/>
          <w:color w:val="333333"/>
          <w:spacing w:val="0"/>
          <w:sz w:val="24"/>
          <w:szCs w:val="24"/>
          <w:shd w:val="clear" w:fill="FFFFFF"/>
        </w:rPr>
        <w:t>铜陵市公共资源交易中心网</w:t>
      </w:r>
      <w:r>
        <w:rPr>
          <w:rStyle w:val="47"/>
          <w:rFonts w:hint="eastAsia" w:ascii="宋体" w:hAnsi="宋体" w:cs="宋体"/>
          <w:color w:val="auto"/>
          <w:sz w:val="24"/>
          <w:szCs w:val="24"/>
          <w:highlight w:val="none"/>
          <w:lang w:val="en-US"/>
        </w:rPr>
        <w:t xml:space="preserve"> </w:t>
      </w:r>
      <w:r>
        <w:rPr>
          <w:rStyle w:val="47"/>
          <w:rFonts w:hint="eastAsia" w:ascii="宋体" w:hAnsi="宋体" w:eastAsia="宋体" w:cs="宋体"/>
          <w:bCs/>
          <w:color w:val="auto"/>
          <w:kern w:val="0"/>
          <w:sz w:val="24"/>
          <w:highlight w:val="none"/>
        </w:rPr>
        <w:t>公布，但不指明澄清问题的来源。所有潜在投标人均有义务自行查看该澄清内容。</w:t>
      </w:r>
    </w:p>
    <w:p w14:paraId="2A59E5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7.招标文件的修改</w:t>
      </w:r>
    </w:p>
    <w:p w14:paraId="50E936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7.1 招标文件发出后，招标人可对招标文件进行必要的修改。</w:t>
      </w:r>
    </w:p>
    <w:p w14:paraId="61DBE2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7.2 招标文件的修改将</w:t>
      </w:r>
      <w:r>
        <w:rPr>
          <w:rStyle w:val="47"/>
          <w:rFonts w:hint="eastAsia" w:ascii="宋体" w:hAnsi="宋体" w:eastAsia="宋体" w:cs="宋体"/>
          <w:color w:val="auto"/>
          <w:sz w:val="24"/>
          <w:highlight w:val="none"/>
        </w:rPr>
        <w:t>在网上以补充公告的方式发布</w:t>
      </w:r>
      <w:r>
        <w:rPr>
          <w:rStyle w:val="47"/>
          <w:rFonts w:hint="eastAsia" w:ascii="宋体" w:hAnsi="宋体" w:eastAsia="宋体" w:cs="宋体"/>
          <w:bCs/>
          <w:color w:val="auto"/>
          <w:kern w:val="0"/>
          <w:sz w:val="24"/>
          <w:highlight w:val="none"/>
        </w:rPr>
        <w:t>，该修改内容作为招标文件的组成部分，具有约束作用。</w:t>
      </w:r>
    </w:p>
    <w:p w14:paraId="133696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7.3当招标文件、招标文件的澄清、修改、补充等在同一内容的表述上不一致时，以最后发出的修改文件为准。</w:t>
      </w:r>
    </w:p>
    <w:p w14:paraId="676AA1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7.4为使投标人在编制投标文件时有充分的时间对招标文件的澄清、修改、补充等内容进行研究，如果澄清的内容影响投标文件编制的，且发出时间距投标截止时间不足3天的，招标人将依法酌情延长投标截止时间，具体时间将在招标文件的修改、补充通知中予以明确。</w:t>
      </w:r>
    </w:p>
    <w:p w14:paraId="3A88AE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kern w:val="0"/>
          <w:sz w:val="24"/>
          <w:highlight w:val="none"/>
        </w:rPr>
      </w:pPr>
      <w:r>
        <w:rPr>
          <w:rStyle w:val="47"/>
          <w:rFonts w:hint="eastAsia" w:ascii="宋体" w:hAnsi="宋体" w:eastAsia="宋体" w:cs="宋体"/>
          <w:bCs/>
          <w:color w:val="auto"/>
          <w:kern w:val="0"/>
          <w:sz w:val="24"/>
          <w:highlight w:val="none"/>
        </w:rPr>
        <w:t>7.5如果投标人在答疑时间截止前未对招标文件有关条款提出质疑，视为充分理解招标文件所有内容，一旦递交投标文件，则认为该投标人接受招标文件所有条款，不再接受对招标文件的异议或投诉。</w:t>
      </w:r>
    </w:p>
    <w:p w14:paraId="1AC58024">
      <w:pPr>
        <w:snapToGrid w:val="0"/>
        <w:spacing w:line="500" w:lineRule="exact"/>
        <w:jc w:val="center"/>
        <w:rPr>
          <w:rStyle w:val="47"/>
          <w:rFonts w:hint="eastAsia" w:ascii="宋体" w:hAnsi="宋体" w:eastAsia="宋体" w:cs="宋体"/>
          <w:b/>
          <w:color w:val="auto"/>
          <w:sz w:val="24"/>
          <w:highlight w:val="none"/>
        </w:rPr>
      </w:pPr>
    </w:p>
    <w:p w14:paraId="7F16D574">
      <w:pPr>
        <w:snapToGrid w:val="0"/>
        <w:spacing w:line="500" w:lineRule="exact"/>
        <w:jc w:val="center"/>
        <w:rPr>
          <w:rStyle w:val="47"/>
          <w:rFonts w:hint="eastAsia" w:ascii="宋体" w:hAnsi="宋体" w:eastAsia="宋体" w:cs="宋体"/>
          <w:bCs/>
          <w:color w:val="auto"/>
          <w:sz w:val="24"/>
          <w:highlight w:val="none"/>
        </w:rPr>
      </w:pPr>
      <w:r>
        <w:rPr>
          <w:rStyle w:val="47"/>
          <w:rFonts w:hint="eastAsia" w:ascii="宋体" w:hAnsi="宋体" w:eastAsia="宋体" w:cs="宋体"/>
          <w:b/>
          <w:color w:val="auto"/>
          <w:sz w:val="24"/>
          <w:highlight w:val="none"/>
        </w:rPr>
        <w:t>（三）投标文件的编制</w:t>
      </w:r>
    </w:p>
    <w:p w14:paraId="3DD51BAD">
      <w:pPr>
        <w:pStyle w:val="120"/>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8.投标文件的语言及度量衡单位</w:t>
      </w:r>
    </w:p>
    <w:p w14:paraId="520B15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8.1投标文件和与投标有关的所有文件均应使用</w:t>
      </w:r>
      <w:r>
        <w:rPr>
          <w:rStyle w:val="47"/>
          <w:rFonts w:hint="eastAsia" w:ascii="宋体" w:hAnsi="宋体" w:eastAsia="宋体" w:cs="宋体"/>
          <w:color w:val="auto"/>
          <w:sz w:val="24"/>
          <w:szCs w:val="24"/>
          <w:highlight w:val="none"/>
          <w:u w:val="single" w:color="000000"/>
        </w:rPr>
        <w:t xml:space="preserve"> 中文 （</w:t>
      </w:r>
      <w:r>
        <w:rPr>
          <w:rStyle w:val="47"/>
          <w:rFonts w:hint="eastAsia" w:ascii="宋体" w:hAnsi="宋体" w:eastAsia="宋体" w:cs="宋体"/>
          <w:color w:val="auto"/>
          <w:sz w:val="24"/>
          <w:szCs w:val="24"/>
          <w:highlight w:val="none"/>
        </w:rPr>
        <w:t>语言文字）。投标人随投标文件提供的证明文件和印刷品可以是其它语言，但必须附</w:t>
      </w:r>
      <w:r>
        <w:rPr>
          <w:rStyle w:val="47"/>
          <w:rFonts w:hint="eastAsia" w:ascii="宋体" w:hAnsi="宋体" w:eastAsia="宋体" w:cs="宋体"/>
          <w:bCs/>
          <w:color w:val="auto"/>
          <w:sz w:val="24"/>
          <w:szCs w:val="24"/>
          <w:highlight w:val="none"/>
          <w:lang w:val="zh-CN"/>
        </w:rPr>
        <w:t>有经权威翻译机构核准的</w:t>
      </w:r>
      <w:r>
        <w:rPr>
          <w:rStyle w:val="47"/>
          <w:rFonts w:hint="eastAsia" w:ascii="宋体" w:hAnsi="宋体" w:eastAsia="宋体" w:cs="宋体"/>
          <w:color w:val="auto"/>
          <w:sz w:val="24"/>
          <w:szCs w:val="24"/>
          <w:highlight w:val="none"/>
        </w:rPr>
        <w:t>中文译文或得到评标委员会的认可。</w:t>
      </w:r>
    </w:p>
    <w:p w14:paraId="518457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8.2除工程规范另有规定外，投标文件使用的度量衡单位，均采用中华人民共和国法定计量单位。</w:t>
      </w:r>
    </w:p>
    <w:p w14:paraId="1B81122C">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9.投标文件的组成</w:t>
      </w:r>
    </w:p>
    <w:p w14:paraId="3358A8A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9.1 投标文件由</w:t>
      </w:r>
      <w:r>
        <w:rPr>
          <w:rStyle w:val="47"/>
          <w:rFonts w:hint="eastAsia" w:ascii="宋体" w:hAnsi="宋体" w:eastAsia="宋体" w:cs="宋体"/>
          <w:b/>
          <w:bCs/>
          <w:color w:val="auto"/>
          <w:sz w:val="24"/>
          <w:szCs w:val="24"/>
          <w:highlight w:val="none"/>
        </w:rPr>
        <w:t>资信</w:t>
      </w:r>
      <w:r>
        <w:rPr>
          <w:rStyle w:val="47"/>
          <w:rFonts w:hint="eastAsia" w:ascii="宋体" w:hAnsi="宋体" w:eastAsia="宋体" w:cs="宋体"/>
          <w:b/>
          <w:bCs/>
          <w:color w:val="auto"/>
          <w:sz w:val="24"/>
          <w:szCs w:val="24"/>
          <w:highlight w:val="none"/>
          <w:lang w:val="en-US"/>
        </w:rPr>
        <w:t>审查和</w:t>
      </w:r>
      <w:r>
        <w:rPr>
          <w:rStyle w:val="47"/>
          <w:rFonts w:hint="eastAsia" w:ascii="宋体" w:hAnsi="宋体" w:eastAsia="宋体" w:cs="宋体"/>
          <w:b/>
          <w:bCs/>
          <w:color w:val="auto"/>
          <w:sz w:val="24"/>
          <w:szCs w:val="24"/>
          <w:highlight w:val="none"/>
        </w:rPr>
        <w:t>商务标</w:t>
      </w:r>
      <w:r>
        <w:rPr>
          <w:rStyle w:val="47"/>
          <w:rFonts w:hint="eastAsia" w:ascii="宋体" w:hAnsi="宋体" w:eastAsia="宋体" w:cs="宋体"/>
          <w:b/>
          <w:bCs/>
          <w:color w:val="auto"/>
          <w:sz w:val="24"/>
          <w:szCs w:val="24"/>
          <w:highlight w:val="none"/>
          <w:lang w:val="en-US"/>
        </w:rPr>
        <w:t>两</w:t>
      </w:r>
      <w:r>
        <w:rPr>
          <w:rStyle w:val="47"/>
          <w:rFonts w:hint="eastAsia" w:ascii="宋体" w:hAnsi="宋体" w:eastAsia="宋体" w:cs="宋体"/>
          <w:b/>
          <w:bCs/>
          <w:color w:val="auto"/>
          <w:sz w:val="24"/>
          <w:szCs w:val="24"/>
          <w:highlight w:val="none"/>
        </w:rPr>
        <w:t>部分</w:t>
      </w:r>
      <w:r>
        <w:rPr>
          <w:rStyle w:val="47"/>
          <w:rFonts w:hint="eastAsia" w:ascii="宋体" w:hAnsi="宋体" w:eastAsia="宋体" w:cs="宋体"/>
          <w:color w:val="auto"/>
          <w:sz w:val="24"/>
          <w:szCs w:val="24"/>
          <w:highlight w:val="none"/>
        </w:rPr>
        <w:t>组成。</w:t>
      </w:r>
    </w:p>
    <w:p w14:paraId="196E104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w:t>
      </w:r>
      <w:r>
        <w:rPr>
          <w:rFonts w:hint="eastAsia" w:ascii="宋体" w:hAnsi="宋体" w:eastAsia="宋体" w:cs="宋体"/>
          <w:b/>
          <w:color w:val="auto"/>
          <w:sz w:val="24"/>
          <w:szCs w:val="24"/>
          <w:highlight w:val="none"/>
          <w:lang w:val="en-US" w:eastAsia="zh-CN"/>
        </w:rPr>
        <w:t>投标文件</w:t>
      </w:r>
      <w:r>
        <w:rPr>
          <w:rFonts w:hint="eastAsia" w:ascii="宋体" w:hAnsi="宋体" w:eastAsia="宋体" w:cs="宋体"/>
          <w:b/>
          <w:color w:val="auto"/>
          <w:sz w:val="24"/>
          <w:szCs w:val="24"/>
          <w:highlight w:val="none"/>
        </w:rPr>
        <w:t>主要包括的内容见评标办法中的投标初步审查评审内容</w:t>
      </w:r>
      <w:r>
        <w:rPr>
          <w:rFonts w:hint="eastAsia" w:ascii="宋体" w:hAnsi="宋体" w:eastAsia="宋体" w:cs="宋体"/>
          <w:b/>
          <w:color w:val="auto"/>
          <w:sz w:val="24"/>
          <w:szCs w:val="24"/>
          <w:highlight w:val="none"/>
          <w:lang w:val="en-US" w:eastAsia="zh-CN"/>
        </w:rPr>
        <w:t>和商务标评审内容</w:t>
      </w:r>
      <w:r>
        <w:rPr>
          <w:rFonts w:hint="eastAsia" w:ascii="宋体" w:hAnsi="宋体" w:eastAsia="宋体" w:cs="宋体"/>
          <w:b/>
          <w:color w:val="auto"/>
          <w:sz w:val="24"/>
          <w:szCs w:val="24"/>
          <w:highlight w:val="none"/>
        </w:rPr>
        <w:t>，格式详见招标文件第四章投标文件格式。</w:t>
      </w:r>
    </w:p>
    <w:p w14:paraId="7B591FD1">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 xml:space="preserve">10.投标文件格式 </w:t>
      </w:r>
    </w:p>
    <w:p w14:paraId="1BD901E8">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投标人提交的投标文件应当使用招标文件所提供的投标文件全部格式编制投标文件，但表格可以按同样格式扩展（需符合2018版安徽省建设工程计价依据）。</w:t>
      </w:r>
    </w:p>
    <w:p w14:paraId="35BB777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 xml:space="preserve">11.投标报价 </w:t>
      </w:r>
    </w:p>
    <w:p w14:paraId="41E451B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11.1 投标人应仔细阅读招标文件，了解拟投标合同段的全部工程内容。投标人的投标报价应是招标文件所确定的招标范围内全部工程内容的价格体现，但其投标报价不得低于投标人个别成本价。投标人的投标报价，应是在满足招标文件规定供货期、质量要求下，完成本项目招标工程范围的全部工作。</w:t>
      </w:r>
    </w:p>
    <w:p w14:paraId="6967E66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11.2投标人应根据当前建设市场行情，结合实际情况对投标费用进行分析、测算，实事求是地确定投标报价（不得低于成本价）任何投标优惠都体现在报价内。招标人不要求投标人采用总价优惠或以总价百分比优惠的方式进行投标报价，其优惠应直接体现在各项投标报价的综合单价中。</w:t>
      </w:r>
      <w:r>
        <w:rPr>
          <w:rStyle w:val="47"/>
          <w:rFonts w:hint="eastAsia" w:ascii="宋体" w:hAnsi="宋体" w:eastAsia="宋体" w:cs="宋体"/>
          <w:b/>
          <w:bCs/>
          <w:color w:val="auto"/>
          <w:sz w:val="24"/>
          <w:szCs w:val="24"/>
          <w:highlight w:val="none"/>
        </w:rPr>
        <w:t>投标人不得以自有机械闲置、自有材料等不计成本为由进行投标报价。</w:t>
      </w:r>
      <w:r>
        <w:rPr>
          <w:rStyle w:val="47"/>
          <w:rFonts w:hint="eastAsia" w:ascii="宋体" w:hAnsi="宋体" w:eastAsia="宋体" w:cs="宋体"/>
          <w:color w:val="auto"/>
          <w:sz w:val="24"/>
          <w:szCs w:val="24"/>
          <w:highlight w:val="none"/>
        </w:rPr>
        <w:t>采用清单报价方法的，投标人不应采用总价优惠或以总价百分比优惠的方式进行投标报价，其优惠应直接体现在各项投标报价的综合单价中。</w:t>
      </w:r>
    </w:p>
    <w:p w14:paraId="1AED12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bCs/>
          <w:color w:val="auto"/>
          <w:sz w:val="24"/>
          <w:szCs w:val="24"/>
          <w:highlight w:val="none"/>
        </w:rPr>
        <w:t>11.3投标人的报价应包含相应的所有税费，投标人应充分了解政府对相关税费的规定</w:t>
      </w:r>
      <w:r>
        <w:rPr>
          <w:rStyle w:val="47"/>
          <w:rFonts w:hint="eastAsia" w:ascii="宋体" w:hAnsi="宋体" w:eastAsia="宋体" w:cs="宋体"/>
          <w:color w:val="auto"/>
          <w:sz w:val="24"/>
          <w:szCs w:val="24"/>
          <w:highlight w:val="none"/>
        </w:rPr>
        <w:t>。</w:t>
      </w:r>
    </w:p>
    <w:p w14:paraId="26AF5CA3">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11.4投标报价的编制要求:投标人根据招标工程量清单要求，分别报综合单价和总价</w:t>
      </w:r>
    </w:p>
    <w:p w14:paraId="48CA0131">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11.5投标人的费用项目编制原则</w:t>
      </w:r>
    </w:p>
    <w:p w14:paraId="5918AD3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11.5.1投标人的投标报价应是完成工程量清单、施工图纸所列招标工程范围内容的全部以及完成上述内容所必须的附属工程、临时工程（其中含施工围栏、施工现场周围管线的保护及不影响原道路畅通的导流措施等）等，招标人要求施工单位能够做到安全生产、文明施工。投标单位应自行进行现场踏勘，对工程的地理位置，施工现场情况和影响的因素以及困难条件进行周密的勘察和研究，做出自己的判断、结论和估价，投标报价时要充分考虑上述因素（如与周边社会关系的协调、材料场内二次搬运、临时施工道路、建筑垃圾外运（外运垃圾的弃土点由投标人自行考虑）过程中交通、城管等部门对装卸的限制、环境影响等各种因素等）。中标后，签订合同时和施工过程中，投标单位不得以不完全了解现场情况为由，提出任何形式的增加工程造价或索赔的要求。</w:t>
      </w:r>
    </w:p>
    <w:p w14:paraId="47AF7FA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11.6中标后的投标综合单价不再调整。</w:t>
      </w:r>
    </w:p>
    <w:p w14:paraId="56F7D9A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11.7 投标人应按招标人提供的工程量清单中列出的工程项目和工程量逐项填报综合单价和合价。</w:t>
      </w:r>
      <w:r>
        <w:rPr>
          <w:rStyle w:val="47"/>
          <w:rFonts w:hint="eastAsia" w:ascii="宋体" w:hAnsi="宋体" w:eastAsia="宋体" w:cs="宋体"/>
          <w:b/>
          <w:bCs/>
          <w:color w:val="auto"/>
          <w:sz w:val="24"/>
          <w:szCs w:val="24"/>
          <w:highlight w:val="none"/>
        </w:rPr>
        <w:t>投标人不得在工程量清单中任意增删、修改清单项目与工程量及项目排列顺序。</w:t>
      </w:r>
    </w:p>
    <w:p w14:paraId="420CC777">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11.8除非交易文件中另有规定，投标人在工程量清单报价书中所报的综合单价和合价、以及投标报价汇总表中的投标报价均包括完成招标文件规定的全部工程内容及为达到质量和工期目标、安全文明、环境保护等要求的直接费、间接费、利润、税金、风险费等所有费用。为满足工程建设标准和技术规范要求所发生的费用应包括在投标报价中。投标报价为投标人在投标文件中提出的各项支付金额的总和。每一清单项目只允许有一个报价，任何有选择的报价将不予接受。投标人未填综合单价或合价的清单项目，将被视为该项费用已包括在其他有价款的综合单价或合价以及投标总价内，投标人必须按合同要求完成工程量清单中未填综合单价或合价的工程项目，任何与未填综合单价或合价的工程项目有关的工程价款，招标人将不再另行支付。</w:t>
      </w:r>
    </w:p>
    <w:p w14:paraId="11C0473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11.9工程材料</w:t>
      </w:r>
    </w:p>
    <w:p w14:paraId="3769C82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11.9.1材料供应方式：见前附表</w:t>
      </w:r>
    </w:p>
    <w:p w14:paraId="5553D11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11.9.2材料价格：除甲供材和实行暂定价的材料及设备以外，由投标单位自行采购的材料确定投标报价时应充分考虑材料价格上涨等市场风险因素，综合单价中的材料费应包括材料运杂费、采保费及试验检验费。</w:t>
      </w:r>
    </w:p>
    <w:p w14:paraId="72D6123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color w:val="auto"/>
          <w:sz w:val="24"/>
          <w:szCs w:val="24"/>
          <w:highlight w:val="none"/>
        </w:rPr>
        <w:t>11.9.3结算时实行暂定价的材料和设备的价差仅计取税金，不计取其他费用。</w:t>
      </w:r>
      <w:r>
        <w:rPr>
          <w:rStyle w:val="47"/>
          <w:rFonts w:hint="eastAsia" w:ascii="宋体" w:hAnsi="宋体" w:eastAsia="宋体" w:cs="宋体"/>
          <w:b/>
          <w:color w:val="auto"/>
          <w:sz w:val="24"/>
          <w:szCs w:val="24"/>
          <w:highlight w:val="none"/>
        </w:rPr>
        <w:t>暂定价的材料达到招标限额以上的，招标人将另行招标。</w:t>
      </w:r>
    </w:p>
    <w:p w14:paraId="1C7ED1B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11.10工程造价的确定与控制</w:t>
      </w:r>
    </w:p>
    <w:p w14:paraId="15DC552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szCs w:val="24"/>
          <w:highlight w:val="none"/>
        </w:rPr>
      </w:pPr>
      <w:r>
        <w:rPr>
          <w:rStyle w:val="47"/>
          <w:rFonts w:hint="eastAsia" w:ascii="宋体" w:hAnsi="宋体" w:eastAsia="宋体" w:cs="宋体"/>
          <w:bCs/>
          <w:color w:val="auto"/>
          <w:sz w:val="24"/>
          <w:szCs w:val="24"/>
          <w:highlight w:val="none"/>
        </w:rPr>
        <w:t>11.10.1开标前，投标人应认真对照施工设计图纸等文件核对招标人提供的工程量清单，发现工程量存在项目划分误差、计量单位误差、数量误差、遗漏项目的，应在投标截止日</w:t>
      </w:r>
      <w:r>
        <w:rPr>
          <w:rStyle w:val="47"/>
          <w:rFonts w:hint="eastAsia" w:ascii="宋体" w:hAnsi="宋体" w:eastAsia="宋体" w:cs="宋体"/>
          <w:bCs/>
          <w:color w:val="auto"/>
          <w:sz w:val="24"/>
          <w:szCs w:val="24"/>
          <w:highlight w:val="none"/>
          <w:u w:val="single" w:color="000000"/>
          <w:lang w:val="en-US"/>
        </w:rPr>
        <w:t>3</w:t>
      </w:r>
      <w:r>
        <w:rPr>
          <w:rStyle w:val="47"/>
          <w:rFonts w:hint="eastAsia" w:ascii="宋体" w:hAnsi="宋体" w:eastAsia="宋体" w:cs="宋体"/>
          <w:bCs/>
          <w:color w:val="auto"/>
          <w:sz w:val="24"/>
          <w:szCs w:val="24"/>
          <w:highlight w:val="none"/>
          <w:u w:val="single" w:color="000000"/>
        </w:rPr>
        <w:t>日</w:t>
      </w:r>
      <w:r>
        <w:rPr>
          <w:rStyle w:val="47"/>
          <w:rFonts w:hint="eastAsia" w:ascii="宋体" w:hAnsi="宋体" w:eastAsia="宋体" w:cs="宋体"/>
          <w:bCs/>
          <w:color w:val="auto"/>
          <w:sz w:val="24"/>
          <w:szCs w:val="24"/>
          <w:highlight w:val="none"/>
        </w:rPr>
        <w:t>前向招标人提出异议或修正要求。招标人经核实后确实存在误差且对工程造价影响较大的，应进行修正并重新公布准确的工程量清单。</w:t>
      </w:r>
    </w:p>
    <w:p w14:paraId="61AC23A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11.11中标人在工程量清单报价书中所报的综合单价非合同条款约束因素外一律不予调整。</w:t>
      </w:r>
    </w:p>
    <w:p w14:paraId="3CDB69B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szCs w:val="24"/>
          <w:highlight w:val="none"/>
        </w:rPr>
      </w:pPr>
      <w:r>
        <w:rPr>
          <w:rStyle w:val="47"/>
          <w:rFonts w:hint="eastAsia" w:ascii="宋体" w:hAnsi="宋体" w:eastAsia="宋体" w:cs="宋体"/>
          <w:color w:val="auto"/>
          <w:sz w:val="24"/>
          <w:szCs w:val="24"/>
          <w:highlight w:val="none"/>
        </w:rPr>
        <w:t>11.12本招标工程的施工地点为本须知前附表所述，投标人应自行到施工现场踏勘以充分了解工地位置、情况、道路、储存空间、装卸限制及任何其它足以影响投标报价的情况，任何因忽视或误解施工场地情况而导致的索赔或工期延长申请将不被批准。</w:t>
      </w:r>
      <w:r>
        <w:rPr>
          <w:rStyle w:val="47"/>
          <w:rFonts w:hint="eastAsia" w:ascii="宋体" w:hAnsi="宋体" w:eastAsia="宋体" w:cs="宋体"/>
          <w:bCs/>
          <w:color w:val="auto"/>
          <w:sz w:val="24"/>
          <w:szCs w:val="24"/>
          <w:highlight w:val="none"/>
        </w:rPr>
        <w:t>对于受施工现场场地限制，如需要另外寻找场地解决临时住宿、材料及设备堆放，由此所产生的费用应包含在投标报价范围内，招标人不再承担该费用。</w:t>
      </w:r>
    </w:p>
    <w:p w14:paraId="7082BF71">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12.投标货币</w:t>
      </w:r>
    </w:p>
    <w:p w14:paraId="1FBC079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本工程投标报价采用的币种为</w:t>
      </w:r>
      <w:r>
        <w:rPr>
          <w:rStyle w:val="47"/>
          <w:rFonts w:hint="eastAsia" w:ascii="宋体" w:hAnsi="宋体" w:eastAsia="宋体" w:cs="宋体"/>
          <w:color w:val="auto"/>
          <w:sz w:val="24"/>
          <w:szCs w:val="24"/>
          <w:highlight w:val="none"/>
          <w:u w:val="single" w:color="000000"/>
        </w:rPr>
        <w:t xml:space="preserve">  人民币  </w:t>
      </w:r>
      <w:r>
        <w:rPr>
          <w:rStyle w:val="47"/>
          <w:rFonts w:hint="eastAsia" w:ascii="宋体" w:hAnsi="宋体" w:eastAsia="宋体" w:cs="宋体"/>
          <w:color w:val="auto"/>
          <w:sz w:val="24"/>
          <w:szCs w:val="24"/>
          <w:highlight w:val="none"/>
        </w:rPr>
        <w:t xml:space="preserve">。 </w:t>
      </w:r>
    </w:p>
    <w:p w14:paraId="04F81E97">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13.投标有效期</w:t>
      </w:r>
    </w:p>
    <w:p w14:paraId="04A51E9A">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13.1投标有效期见本须知前附表规定的期限，在此期限内，凡符合本招标文件要求的投标文件均保持有效。</w:t>
      </w:r>
    </w:p>
    <w:p w14:paraId="45A2F0E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13.2在特殊情况下，招标人在原定投标有效期内，可以根据需要向投标人提出延长投标有效期的要求，投标人可以拒绝招标人这种要求并申请退还保证金，</w:t>
      </w:r>
      <w:r>
        <w:rPr>
          <w:rStyle w:val="47"/>
          <w:rFonts w:hint="eastAsia" w:ascii="宋体" w:hAnsi="宋体" w:eastAsia="宋体" w:cs="宋体"/>
          <w:bCs/>
          <w:color w:val="auto"/>
          <w:sz w:val="24"/>
          <w:szCs w:val="24"/>
          <w:highlight w:val="none"/>
        </w:rPr>
        <w:t>但是对拒绝延长投标有效期的投标单位招标人将拒绝其投标文件。</w:t>
      </w:r>
      <w:r>
        <w:rPr>
          <w:rStyle w:val="47"/>
          <w:rFonts w:hint="eastAsia" w:ascii="宋体" w:hAnsi="宋体" w:eastAsia="宋体" w:cs="宋体"/>
          <w:color w:val="auto"/>
          <w:sz w:val="24"/>
          <w:szCs w:val="24"/>
          <w:highlight w:val="none"/>
        </w:rPr>
        <w:t>同意延长投标有效期的投标人既不能要求也不允许修改其投标文件，但需要相应的延长投标担保的有效期，在延长的投标有效期内本须知第14条关于投标担保的退还规定仍然适用。</w:t>
      </w:r>
    </w:p>
    <w:p w14:paraId="3DD5A9F2">
      <w:pPr>
        <w:pStyle w:val="10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14.</w:t>
      </w:r>
      <w:r>
        <w:rPr>
          <w:rStyle w:val="47"/>
          <w:rFonts w:hint="eastAsia" w:ascii="宋体" w:hAnsi="宋体" w:eastAsia="宋体" w:cs="宋体"/>
          <w:b/>
          <w:color w:val="auto"/>
          <w:sz w:val="24"/>
          <w:szCs w:val="24"/>
          <w:highlight w:val="none"/>
        </w:rPr>
        <w:t>投标保证金</w:t>
      </w:r>
    </w:p>
    <w:p w14:paraId="1E0D6589">
      <w:pPr>
        <w:pStyle w:val="10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14.1投标人应在本须知前附表规定的时间前提交一笔不少于前附表规定数额的投标担保，并作为其投标文件的一部分。</w:t>
      </w:r>
    </w:p>
    <w:p w14:paraId="489D2BF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szCs w:val="24"/>
          <w:highlight w:val="none"/>
        </w:rPr>
      </w:pPr>
      <w:r>
        <w:rPr>
          <w:rStyle w:val="47"/>
          <w:rFonts w:hint="eastAsia" w:ascii="宋体" w:hAnsi="宋体" w:eastAsia="宋体" w:cs="宋体"/>
          <w:color w:val="auto"/>
          <w:sz w:val="24"/>
          <w:szCs w:val="24"/>
          <w:highlight w:val="none"/>
        </w:rPr>
        <w:t>14.2</w:t>
      </w:r>
      <w:r>
        <w:rPr>
          <w:rStyle w:val="47"/>
          <w:rFonts w:hint="eastAsia" w:ascii="宋体" w:hAnsi="宋体" w:eastAsia="宋体" w:cs="宋体"/>
          <w:color w:val="auto"/>
          <w:spacing w:val="10"/>
          <w:kern w:val="24"/>
          <w:sz w:val="24"/>
          <w:szCs w:val="24"/>
          <w:highlight w:val="none"/>
        </w:rPr>
        <w:t>投标人应按要求提交投标担保，保证金的形式见须知前附表，</w:t>
      </w:r>
      <w:r>
        <w:rPr>
          <w:rStyle w:val="47"/>
          <w:rFonts w:hint="eastAsia" w:ascii="宋体" w:hAnsi="宋体" w:eastAsia="宋体" w:cs="宋体"/>
          <w:color w:val="auto"/>
          <w:sz w:val="24"/>
          <w:szCs w:val="24"/>
          <w:highlight w:val="none"/>
        </w:rPr>
        <w:t>接受投标保证金的银行及帐号详见招标</w:t>
      </w:r>
      <w:r>
        <w:rPr>
          <w:rStyle w:val="47"/>
          <w:rFonts w:hint="eastAsia" w:ascii="宋体" w:hAnsi="宋体" w:eastAsia="宋体" w:cs="宋体"/>
          <w:color w:val="auto"/>
          <w:sz w:val="24"/>
          <w:szCs w:val="24"/>
          <w:highlight w:val="none"/>
          <w:lang w:val="en-US"/>
        </w:rPr>
        <w:t>邀请函</w:t>
      </w:r>
      <w:r>
        <w:rPr>
          <w:rStyle w:val="47"/>
          <w:rFonts w:hint="eastAsia" w:ascii="宋体" w:hAnsi="宋体" w:eastAsia="宋体" w:cs="宋体"/>
          <w:b/>
          <w:color w:val="auto"/>
          <w:sz w:val="24"/>
          <w:szCs w:val="24"/>
          <w:highlight w:val="none"/>
        </w:rPr>
        <w:t>。任何未按规定提交投标保证金的投标人，将被视为自动放弃投标资格。</w:t>
      </w:r>
    </w:p>
    <w:p w14:paraId="57B04473">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14.3对于未能按要求提交投标担保的投标，招标人将视为不响应招标文件而予以拒绝。</w:t>
      </w:r>
    </w:p>
    <w:p w14:paraId="3038C743">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szCs w:val="24"/>
          <w:highlight w:val="none"/>
        </w:rPr>
      </w:pPr>
      <w:r>
        <w:rPr>
          <w:rStyle w:val="47"/>
          <w:rFonts w:hint="eastAsia" w:ascii="宋体" w:hAnsi="宋体" w:eastAsia="宋体" w:cs="宋体"/>
          <w:color w:val="auto"/>
          <w:sz w:val="24"/>
          <w:szCs w:val="24"/>
          <w:highlight w:val="none"/>
        </w:rPr>
        <w:t>14.4</w:t>
      </w:r>
      <w:r>
        <w:rPr>
          <w:rStyle w:val="47"/>
          <w:rFonts w:hint="eastAsia" w:ascii="宋体" w:hAnsi="宋体" w:eastAsia="宋体" w:cs="宋体"/>
          <w:b/>
          <w:color w:val="auto"/>
          <w:sz w:val="24"/>
          <w:szCs w:val="24"/>
          <w:highlight w:val="none"/>
        </w:rPr>
        <w:t>非预中标人的投标保证金将在标候选人公示后五日内退还；排名第一的预中标候选人的投标保证金将在合同签订后五日内退还，其他预中标候选人的保证金在中标公告后的五日内退还。（均不计息）。</w:t>
      </w:r>
    </w:p>
    <w:p w14:paraId="30D98FC7">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因项目开标时间推迟的原因，已转账缴入指定账户的投标保证金，投标人不得以撤回投标等理由要求在前款规定的时间前退还。</w:t>
      </w:r>
    </w:p>
    <w:p w14:paraId="1228E92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15.投标替代方案</w:t>
      </w:r>
    </w:p>
    <w:p w14:paraId="00B0DD1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15.1 投标人所提交的方案应满足招标文件的要求，除非本须知前附表中允许投标人提交替代方案，否则替代方案将不予考虑。如果允许投标人提交替代方案，则执行本须知第15.2条规定。</w:t>
      </w:r>
    </w:p>
    <w:p w14:paraId="1B82C8F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15.2如果本须知前附表中要求投标人提交替代方案，则投标人除提交正式投标文件外，还应按照招标文件要求提交替代方案。替代方案应包括设计计算书、技术规范、单价分析表、替代方案报价书、所建议的施工方案等满足评审需要的全部资料。</w:t>
      </w:r>
    </w:p>
    <w:p w14:paraId="3F83683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szCs w:val="24"/>
          <w:highlight w:val="none"/>
        </w:rPr>
      </w:pPr>
      <w:r>
        <w:rPr>
          <w:rStyle w:val="47"/>
          <w:rFonts w:hint="eastAsia" w:ascii="宋体" w:hAnsi="宋体" w:eastAsia="宋体" w:cs="宋体"/>
          <w:b/>
          <w:color w:val="auto"/>
          <w:sz w:val="24"/>
          <w:szCs w:val="24"/>
          <w:highlight w:val="none"/>
        </w:rPr>
        <w:t>16.投标文件的份数和签署</w:t>
      </w:r>
    </w:p>
    <w:p w14:paraId="07C58A6A">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16.1 投标人应按本须知前附表规定的份数和招标文件规定的格式，编制并提交投标文件。</w:t>
      </w:r>
    </w:p>
    <w:p w14:paraId="7C08A5F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16.2使用纸质的投标文件正本需采用打印或使用不褪色的蓝、黑墨水笔书写，字迹应清晰易于辨认，并应在投标文件封面的右上角清楚地注明“正本”</w:t>
      </w:r>
      <w:r>
        <w:rPr>
          <w:rStyle w:val="47"/>
          <w:rFonts w:hint="eastAsia" w:hAnsi="宋体" w:cs="宋体"/>
          <w:color w:val="auto"/>
          <w:sz w:val="24"/>
          <w:szCs w:val="24"/>
          <w:highlight w:val="none"/>
          <w:lang w:val="en-US"/>
        </w:rPr>
        <w:t>或</w:t>
      </w:r>
      <w:r>
        <w:rPr>
          <w:rStyle w:val="47"/>
          <w:rFonts w:hint="eastAsia" w:ascii="宋体" w:hAnsi="宋体" w:eastAsia="宋体" w:cs="宋体"/>
          <w:color w:val="auto"/>
          <w:sz w:val="24"/>
          <w:szCs w:val="24"/>
          <w:highlight w:val="none"/>
        </w:rPr>
        <w:t>“</w:t>
      </w:r>
      <w:r>
        <w:rPr>
          <w:rStyle w:val="47"/>
          <w:rFonts w:hint="eastAsia" w:ascii="宋体" w:hAnsi="宋体" w:eastAsia="宋体" w:cs="宋体"/>
          <w:color w:val="auto"/>
          <w:sz w:val="24"/>
          <w:szCs w:val="24"/>
          <w:highlight w:val="none"/>
          <w:lang w:val="en-US"/>
        </w:rPr>
        <w:t>副</w:t>
      </w:r>
      <w:r>
        <w:rPr>
          <w:rStyle w:val="47"/>
          <w:rFonts w:hint="eastAsia" w:ascii="宋体" w:hAnsi="宋体" w:eastAsia="宋体" w:cs="宋体"/>
          <w:color w:val="auto"/>
          <w:sz w:val="24"/>
          <w:szCs w:val="24"/>
          <w:highlight w:val="none"/>
        </w:rPr>
        <w:t>本”。投标文件“正本”</w:t>
      </w:r>
      <w:r>
        <w:rPr>
          <w:rStyle w:val="47"/>
          <w:rFonts w:hint="eastAsia" w:hAnsi="宋体" w:cs="宋体"/>
          <w:color w:val="auto"/>
          <w:sz w:val="24"/>
          <w:szCs w:val="24"/>
          <w:highlight w:val="none"/>
          <w:lang w:val="en-US"/>
        </w:rPr>
        <w:t>或</w:t>
      </w:r>
      <w:r>
        <w:rPr>
          <w:rStyle w:val="47"/>
          <w:rFonts w:hint="eastAsia" w:ascii="宋体" w:hAnsi="宋体" w:eastAsia="宋体" w:cs="宋体"/>
          <w:color w:val="auto"/>
          <w:sz w:val="24"/>
          <w:szCs w:val="24"/>
          <w:highlight w:val="none"/>
        </w:rPr>
        <w:t>“</w:t>
      </w:r>
      <w:r>
        <w:rPr>
          <w:rStyle w:val="47"/>
          <w:rFonts w:hint="eastAsia" w:ascii="宋体" w:hAnsi="宋体" w:eastAsia="宋体" w:cs="宋体"/>
          <w:color w:val="auto"/>
          <w:sz w:val="24"/>
          <w:szCs w:val="24"/>
          <w:highlight w:val="none"/>
          <w:lang w:val="en-US"/>
        </w:rPr>
        <w:t>副</w:t>
      </w:r>
      <w:r>
        <w:rPr>
          <w:rStyle w:val="47"/>
          <w:rFonts w:hint="eastAsia" w:ascii="宋体" w:hAnsi="宋体" w:eastAsia="宋体" w:cs="宋体"/>
          <w:color w:val="auto"/>
          <w:sz w:val="24"/>
          <w:szCs w:val="24"/>
          <w:highlight w:val="none"/>
        </w:rPr>
        <w:t>本”字样须使用不能擦去的黑色墨迹打印或书写。</w:t>
      </w:r>
    </w:p>
    <w:p w14:paraId="4FD00D9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color w:val="auto"/>
          <w:spacing w:val="-2"/>
          <w:sz w:val="24"/>
          <w:szCs w:val="24"/>
          <w:highlight w:val="none"/>
        </w:rPr>
      </w:pPr>
      <w:r>
        <w:rPr>
          <w:rStyle w:val="47"/>
          <w:rFonts w:hint="eastAsia" w:ascii="宋体" w:hAnsi="宋体" w:eastAsia="宋体" w:cs="宋体"/>
          <w:color w:val="auto"/>
          <w:sz w:val="24"/>
          <w:szCs w:val="24"/>
          <w:highlight w:val="none"/>
        </w:rPr>
        <w:t>16.3报价文件封面、投标函、投标报价汇总表、联合体共同投标协议书（若有)均应加盖投标人公章并经法定代表人或其委托代理人签字或加盖印章。由委托代理人签字或盖章的在投标文件中须同时提交投标文件签署授权委托书。投标文件签署授权委托书格式、签字、</w:t>
      </w:r>
      <w:r>
        <w:rPr>
          <w:rStyle w:val="47"/>
          <w:rFonts w:hint="eastAsia" w:ascii="宋体" w:hAnsi="宋体" w:eastAsia="宋体" w:cs="宋体"/>
          <w:color w:val="auto"/>
          <w:spacing w:val="-2"/>
          <w:sz w:val="24"/>
          <w:szCs w:val="24"/>
          <w:highlight w:val="none"/>
        </w:rPr>
        <w:t>盖章及内容均应符合招标文件要求，否则投标文件签署授权委托书无效。以联合体共同投标的须有各成员的合法授权代表签字或盖章和各成员法人印章，并附联合体共同投标协议书。</w:t>
      </w:r>
    </w:p>
    <w:p w14:paraId="6A4C8E6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16.4投标人按照本招标文件的规定对其投标文件相关内容签署盖章后，其投标文件所有内容均视为确认，对投标人起约束作用。</w:t>
      </w:r>
    </w:p>
    <w:p w14:paraId="3827098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16.5 除投标人对错误处须修改外，全套纸质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成的辨识错误。</w:t>
      </w:r>
    </w:p>
    <w:p w14:paraId="3F298132">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szCs w:val="24"/>
          <w:highlight w:val="none"/>
        </w:rPr>
      </w:pPr>
      <w:r>
        <w:rPr>
          <w:rStyle w:val="47"/>
          <w:rFonts w:hint="eastAsia" w:ascii="宋体" w:hAnsi="宋体" w:eastAsia="宋体" w:cs="宋体"/>
          <w:bCs/>
          <w:color w:val="auto"/>
          <w:sz w:val="24"/>
          <w:szCs w:val="24"/>
          <w:highlight w:val="none"/>
        </w:rPr>
        <w:t>16.6纸质投标文件建议双面打印。</w:t>
      </w:r>
    </w:p>
    <w:p w14:paraId="0D0CC00B">
      <w:pPr>
        <w:snapToGrid w:val="0"/>
        <w:spacing w:line="500" w:lineRule="exact"/>
        <w:jc w:val="center"/>
        <w:rPr>
          <w:rStyle w:val="47"/>
          <w:rFonts w:hint="eastAsia" w:ascii="宋体" w:hAnsi="宋体" w:eastAsia="宋体" w:cs="宋体"/>
          <w:b/>
          <w:color w:val="auto"/>
          <w:sz w:val="24"/>
          <w:highlight w:val="none"/>
        </w:rPr>
      </w:pPr>
    </w:p>
    <w:p w14:paraId="42B9C914">
      <w:pPr>
        <w:snapToGrid w:val="0"/>
        <w:spacing w:line="500" w:lineRule="exact"/>
        <w:jc w:val="center"/>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（四）投标文件的提交</w:t>
      </w:r>
    </w:p>
    <w:p w14:paraId="7A907F0B">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b/>
          <w:bCs/>
          <w:color w:val="auto"/>
          <w:sz w:val="24"/>
          <w:highlight w:val="none"/>
        </w:rPr>
        <w:t>17.投标文件的装订、密封和标记</w:t>
      </w:r>
    </w:p>
    <w:p w14:paraId="6DE56FF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17.1</w:t>
      </w:r>
      <w:r>
        <w:rPr>
          <w:rFonts w:hint="eastAsia" w:ascii="宋体" w:hAnsi="宋体" w:eastAsia="宋体" w:cs="宋体"/>
          <w:color w:val="auto"/>
          <w:sz w:val="24"/>
          <w:szCs w:val="24"/>
          <w:highlight w:val="none"/>
        </w:rPr>
        <w:t>投标人应根据本招标文件下篇第四章“投标文件格式”的要求将纸质投标文件装订</w:t>
      </w:r>
      <w:r>
        <w:rPr>
          <w:rFonts w:hint="eastAsia" w:ascii="宋体" w:hAnsi="宋体" w:eastAsia="宋体" w:cs="宋体"/>
          <w:b/>
          <w:bCs/>
          <w:color w:val="auto"/>
          <w:sz w:val="24"/>
          <w:szCs w:val="24"/>
          <w:highlight w:val="none"/>
          <w:u w:val="single"/>
          <w:lang w:eastAsia="zh-CN"/>
        </w:rPr>
        <w:t>（资格审查部分和商务部分按顺序装订成一册）</w:t>
      </w:r>
      <w:r>
        <w:rPr>
          <w:rFonts w:hint="eastAsia" w:ascii="宋体" w:hAnsi="宋体" w:eastAsia="宋体" w:cs="宋体"/>
          <w:color w:val="auto"/>
          <w:sz w:val="24"/>
          <w:szCs w:val="24"/>
          <w:highlight w:val="none"/>
        </w:rPr>
        <w:t>密封</w:t>
      </w:r>
      <w:r>
        <w:rPr>
          <w:rStyle w:val="47"/>
          <w:rFonts w:hint="eastAsia" w:ascii="宋体" w:hAnsi="宋体" w:eastAsia="宋体" w:cs="宋体"/>
          <w:color w:val="auto"/>
          <w:sz w:val="24"/>
          <w:highlight w:val="none"/>
        </w:rPr>
        <w:t>。</w:t>
      </w:r>
    </w:p>
    <w:p w14:paraId="5BA5D74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17.2纸质投标文件的</w:t>
      </w:r>
      <w:r>
        <w:rPr>
          <w:rStyle w:val="47"/>
          <w:rFonts w:hint="eastAsia" w:hAnsi="宋体" w:cs="宋体"/>
          <w:color w:val="auto"/>
          <w:sz w:val="24"/>
          <w:highlight w:val="none"/>
          <w:lang w:val="en-US"/>
        </w:rPr>
        <w:t>需</w:t>
      </w:r>
      <w:r>
        <w:rPr>
          <w:rStyle w:val="47"/>
          <w:rFonts w:hint="eastAsia" w:ascii="宋体" w:hAnsi="宋体" w:eastAsia="宋体" w:cs="宋体"/>
          <w:color w:val="auto"/>
          <w:sz w:val="24"/>
          <w:highlight w:val="none"/>
        </w:rPr>
        <w:t>密封，并在密封袋上清楚地标明“正本”</w:t>
      </w:r>
      <w:r>
        <w:rPr>
          <w:rStyle w:val="47"/>
          <w:rFonts w:hint="eastAsia" w:hAnsi="宋体" w:cs="宋体"/>
          <w:color w:val="auto"/>
          <w:sz w:val="24"/>
          <w:highlight w:val="none"/>
          <w:lang w:val="en-US"/>
        </w:rPr>
        <w:t>或</w:t>
      </w:r>
      <w:r>
        <w:rPr>
          <w:rStyle w:val="47"/>
          <w:rFonts w:hint="eastAsia" w:ascii="宋体" w:hAnsi="宋体" w:eastAsia="宋体" w:cs="宋体"/>
          <w:color w:val="auto"/>
          <w:sz w:val="24"/>
          <w:highlight w:val="none"/>
        </w:rPr>
        <w:t>“</w:t>
      </w:r>
      <w:r>
        <w:rPr>
          <w:rStyle w:val="47"/>
          <w:rFonts w:hint="eastAsia" w:ascii="宋体" w:hAnsi="宋体" w:eastAsia="宋体" w:cs="宋体"/>
          <w:color w:val="auto"/>
          <w:sz w:val="24"/>
          <w:highlight w:val="none"/>
          <w:lang w:val="en-US"/>
        </w:rPr>
        <w:t>副</w:t>
      </w:r>
      <w:r>
        <w:rPr>
          <w:rStyle w:val="47"/>
          <w:rFonts w:hint="eastAsia" w:ascii="宋体" w:hAnsi="宋体" w:eastAsia="宋体" w:cs="宋体"/>
          <w:color w:val="auto"/>
          <w:sz w:val="24"/>
          <w:highlight w:val="none"/>
        </w:rPr>
        <w:t>本”，密封袋封口处应密封，并应加盖投标人法人章或法定代表人印章；</w:t>
      </w:r>
    </w:p>
    <w:p w14:paraId="280C23B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 纸质投标文件在投标文件密封袋上均应写明：</w:t>
      </w:r>
    </w:p>
    <w:p w14:paraId="635BE7D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17.3.1 招标人名称；</w:t>
      </w:r>
    </w:p>
    <w:p w14:paraId="066C9F9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17.3.2 招标编号；</w:t>
      </w:r>
    </w:p>
    <w:p w14:paraId="4BBF551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17.3.3 工程名称；</w:t>
      </w:r>
    </w:p>
    <w:p w14:paraId="42C92831">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17.3.4 年月日时分开标，此时间以前不得开启；</w:t>
      </w:r>
    </w:p>
    <w:p w14:paraId="2B809AD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17.3.5投标人名称和地址。</w:t>
      </w:r>
    </w:p>
    <w:p w14:paraId="630C202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18.投标文件的提交</w:t>
      </w:r>
    </w:p>
    <w:p w14:paraId="30F7A91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18.1投标人应按招标公告中规定的地点，于截止时间前提交投标文件。</w:t>
      </w:r>
    </w:p>
    <w:p w14:paraId="6BD99C4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color w:val="auto"/>
          <w:sz w:val="24"/>
          <w:highlight w:val="none"/>
        </w:rPr>
        <w:t>18.2 投标文件提交的截止时间见招标公告的规定。</w:t>
      </w:r>
    </w:p>
    <w:p w14:paraId="1B3C892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18.3 招标人可按本须知第6、7条款规定以澄清或修改、补充通知的方式，酌情延长提交投标文件的截止时间。在此情况下，投标人的所有权利和义务以及投标人受制约的截止时间，均以延长后新的投标截止时间为准。</w:t>
      </w:r>
    </w:p>
    <w:p w14:paraId="601FA59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18.4 到投标截止时间止，招标人收到的有效投标文件少于3个的，招标人将依法重新组织招标。</w:t>
      </w:r>
    </w:p>
    <w:p w14:paraId="63FAAF2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
          <w:color w:val="auto"/>
          <w:sz w:val="24"/>
          <w:highlight w:val="none"/>
        </w:rPr>
        <w:t>19.</w:t>
      </w:r>
      <w:r>
        <w:rPr>
          <w:rStyle w:val="47"/>
          <w:rFonts w:hint="eastAsia" w:ascii="宋体" w:hAnsi="宋体" w:eastAsia="宋体" w:cs="宋体"/>
          <w:b/>
          <w:bCs/>
          <w:color w:val="auto"/>
          <w:sz w:val="24"/>
          <w:highlight w:val="none"/>
        </w:rPr>
        <w:t>迟交的投标文件</w:t>
      </w:r>
    </w:p>
    <w:p w14:paraId="4D40AB0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19.1招标人在本前附表规定的投标截止时间以后收到的投标文件，将被拒绝并退回给投标人。</w:t>
      </w:r>
    </w:p>
    <w:p w14:paraId="4446926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20.投标文件的补充、修改与撤回</w:t>
      </w:r>
    </w:p>
    <w:p w14:paraId="56281BE3">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20.1 投标人在提交投标文件以后，在规定的投标截止时间之前，可以补充、修改或撤回已提交的投标文件，并通知招标人。补充、修改的内容为投标文件的组成部分。</w:t>
      </w:r>
    </w:p>
    <w:p w14:paraId="560C1C39">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20.2采用纸质投标文件的，投标人对投标文件的补充、修改或撤回通知，应按须知本招标文件的规定密封、标记和提交，并在投标文件密封袋上清楚标明“补充、修改”或“撤回”字样。否则，补充、修改或撤回通知无效。</w:t>
      </w:r>
    </w:p>
    <w:p w14:paraId="237FD98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20.3 在投标截止时间之后，投标人不得补充、修改投标文件。</w:t>
      </w:r>
    </w:p>
    <w:p w14:paraId="138B0D77">
      <w:pPr>
        <w:snapToGrid w:val="0"/>
        <w:spacing w:line="500" w:lineRule="exact"/>
        <w:ind w:firstLine="482" w:firstLineChars="200"/>
        <w:jc w:val="center"/>
        <w:rPr>
          <w:rStyle w:val="47"/>
          <w:rFonts w:hint="eastAsia" w:ascii="宋体" w:hAnsi="宋体" w:eastAsia="宋体" w:cs="宋体"/>
          <w:b/>
          <w:color w:val="auto"/>
          <w:sz w:val="24"/>
          <w:highlight w:val="none"/>
        </w:rPr>
      </w:pPr>
    </w:p>
    <w:p w14:paraId="097DA723">
      <w:pPr>
        <w:snapToGrid w:val="0"/>
        <w:spacing w:line="500" w:lineRule="exact"/>
        <w:jc w:val="center"/>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（五）开标</w:t>
      </w:r>
    </w:p>
    <w:p w14:paraId="2BB11E24">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21.开标</w:t>
      </w:r>
    </w:p>
    <w:p w14:paraId="060F3859">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Cs/>
          <w:color w:val="auto"/>
          <w:sz w:val="24"/>
          <w:highlight w:val="none"/>
        </w:rPr>
        <w:t>21.1招标人按</w:t>
      </w:r>
      <w:r>
        <w:rPr>
          <w:rStyle w:val="47"/>
          <w:rFonts w:hint="eastAsia" w:ascii="宋体" w:hAnsi="宋体" w:eastAsia="宋体" w:cs="宋体"/>
          <w:color w:val="auto"/>
          <w:sz w:val="24"/>
          <w:highlight w:val="none"/>
        </w:rPr>
        <w:t>招标时间安排表</w:t>
      </w:r>
      <w:r>
        <w:rPr>
          <w:rStyle w:val="47"/>
          <w:rFonts w:hint="eastAsia" w:ascii="宋体" w:hAnsi="宋体" w:eastAsia="宋体" w:cs="宋体"/>
          <w:bCs/>
          <w:color w:val="auto"/>
          <w:sz w:val="24"/>
          <w:highlight w:val="none"/>
        </w:rPr>
        <w:t>所规定的时间和地点公开开标，并邀请所有投标人代表参加。</w:t>
      </w:r>
      <w:r>
        <w:rPr>
          <w:rStyle w:val="47"/>
          <w:rFonts w:hint="eastAsia" w:ascii="宋体" w:hAnsi="宋体" w:eastAsia="宋体" w:cs="宋体"/>
          <w:b/>
          <w:bCs/>
          <w:color w:val="auto"/>
          <w:sz w:val="24"/>
          <w:highlight w:val="none"/>
        </w:rPr>
        <w:t>采用纸质投标文件投标的，投标单位代表递交纸质投标文件时，应出示法人授权书（格式参照招标文件提供的格式、法定代表人到场的不需要)、有效身份证件，以便证明其身份。投标单位代表在回答专家的质询或对开评标活动现场提出异议的，也应按照上述要求出具相关授权和身份证明文件。</w:t>
      </w:r>
    </w:p>
    <w:p w14:paraId="677ECE01">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21.2按规定提交合格的撤回通知的投标文件不予开封，并退回给投标人；按本须知第22条规定确定为无效的投标文件，不予送交评审。</w:t>
      </w:r>
    </w:p>
    <w:p w14:paraId="4121FFEA">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21.3</w:t>
      </w:r>
      <w:r>
        <w:rPr>
          <w:rStyle w:val="47"/>
          <w:rFonts w:hint="eastAsia" w:ascii="宋体" w:hAnsi="宋体" w:eastAsia="宋体" w:cs="宋体"/>
          <w:b/>
          <w:bCs/>
          <w:color w:val="auto"/>
          <w:sz w:val="24"/>
          <w:highlight w:val="none"/>
        </w:rPr>
        <w:t>投标人必须保证其标书中所有资料的真实性。若有弄虚作假及其它违法违规行为的，由相关监督管理部门依照相关法律法规进行处理，记入不良行为记录。不论其是否为中标候选人，均不对已评审的结果重新计算，是中标候选人的，取消其中标资格。</w:t>
      </w:r>
    </w:p>
    <w:p w14:paraId="33B2698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21.4开标由招标人或招标代理机构主持，主持人按下列程序进行：</w:t>
      </w:r>
    </w:p>
    <w:p w14:paraId="43E05D6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21.4.1由主持人宣布开标会开始、同时宣布开标人、记录人及到场的相关人员；</w:t>
      </w:r>
    </w:p>
    <w:p w14:paraId="4CEBC0E7">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Cs/>
          <w:color w:val="auto"/>
          <w:sz w:val="24"/>
          <w:highlight w:val="none"/>
        </w:rPr>
        <w:t>21.4.2宣读至投标截止时间前接收到递交的有效投标文件的份数及投标单位名称，并现场核实到场投标人身份证明。</w:t>
      </w:r>
    </w:p>
    <w:p w14:paraId="1FA28E86">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21.4.3</w:t>
      </w:r>
      <w:r>
        <w:rPr>
          <w:rStyle w:val="47"/>
          <w:rFonts w:hint="eastAsia" w:ascii="宋体" w:hAnsi="宋体" w:eastAsia="宋体" w:cs="宋体"/>
          <w:b/>
          <w:bCs/>
          <w:color w:val="auto"/>
          <w:sz w:val="24"/>
          <w:highlight w:val="none"/>
        </w:rPr>
        <w:t>招标人和投标人的代表共同检查各投标书密封情况，对密封情况有异议的应当场提出，标书开启后不再接受任何对标书密封情况的异议和投诉。</w:t>
      </w:r>
    </w:p>
    <w:p w14:paraId="6EB0FF7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Cs/>
          <w:color w:val="auto"/>
          <w:sz w:val="24"/>
          <w:highlight w:val="none"/>
        </w:rPr>
        <w:t>22.4.4</w:t>
      </w:r>
      <w:r>
        <w:rPr>
          <w:rStyle w:val="47"/>
          <w:rFonts w:hint="eastAsia" w:ascii="宋体" w:hAnsi="宋体" w:eastAsia="宋体" w:cs="宋体"/>
          <w:b/>
          <w:color w:val="auto"/>
          <w:sz w:val="24"/>
          <w:highlight w:val="none"/>
        </w:rPr>
        <w:t>主持人</w:t>
      </w:r>
      <w:r>
        <w:rPr>
          <w:rStyle w:val="47"/>
          <w:rFonts w:hint="eastAsia" w:ascii="宋体" w:hAnsi="宋体" w:eastAsia="宋体" w:cs="宋体"/>
          <w:b/>
          <w:bCs/>
          <w:color w:val="auto"/>
          <w:sz w:val="24"/>
          <w:highlight w:val="none"/>
        </w:rPr>
        <w:t>告知所有投标人，任何对开标期间的异议应当在开标现场提出，开标结束后，不再接受任何对开标的异议和投诉。</w:t>
      </w:r>
    </w:p>
    <w:p w14:paraId="3CEF29D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22.4.5主持人按投标书送达时间逆顺序进行开标、唱标。各投标单位对开标情况记录进行签字确认。</w:t>
      </w:r>
    </w:p>
    <w:p w14:paraId="7B39753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22.4.6开标结束。</w:t>
      </w:r>
    </w:p>
    <w:p w14:paraId="191D3C6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22.</w:t>
      </w:r>
      <w:r>
        <w:rPr>
          <w:rStyle w:val="47"/>
          <w:rFonts w:hint="eastAsia" w:ascii="宋体" w:hAnsi="宋体" w:eastAsia="宋体" w:cs="宋体"/>
          <w:b/>
          <w:bCs/>
          <w:color w:val="auto"/>
          <w:sz w:val="24"/>
          <w:highlight w:val="none"/>
        </w:rPr>
        <w:t>投标文件有下列情形之一的，招标人将不予接受</w:t>
      </w:r>
      <w:r>
        <w:rPr>
          <w:rStyle w:val="47"/>
          <w:rFonts w:hint="eastAsia" w:ascii="宋体" w:hAnsi="宋体" w:eastAsia="宋体" w:cs="宋体"/>
          <w:color w:val="auto"/>
          <w:sz w:val="24"/>
          <w:highlight w:val="none"/>
        </w:rPr>
        <w:t xml:space="preserve">： </w:t>
      </w:r>
    </w:p>
    <w:p w14:paraId="5F0246AA">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 xml:space="preserve">22.1逾期送达的或者未送达指定地点的； </w:t>
      </w:r>
    </w:p>
    <w:p w14:paraId="039DA28B">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22.2纸质投标文件，未按招标文件要求包装、密封的。</w:t>
      </w:r>
    </w:p>
    <w:p w14:paraId="136B1AB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b/>
          <w:bCs/>
          <w:color w:val="auto"/>
          <w:sz w:val="24"/>
          <w:highlight w:val="none"/>
        </w:rPr>
        <w:t>23.开标记录</w:t>
      </w:r>
    </w:p>
    <w:p w14:paraId="47D067A9">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Cs/>
          <w:color w:val="auto"/>
          <w:sz w:val="24"/>
          <w:highlight w:val="none"/>
        </w:rPr>
        <w:t>招标人或其委托的招标代理机构对开标过程进行记录并在系统中填写所有投标单位的报价、工期及项目负责人信息，如有纸质资料应妥善保管并存档备查。</w:t>
      </w:r>
    </w:p>
    <w:p w14:paraId="25D1B917">
      <w:pPr>
        <w:snapToGrid w:val="0"/>
        <w:spacing w:line="500" w:lineRule="exact"/>
        <w:jc w:val="center"/>
        <w:rPr>
          <w:rStyle w:val="47"/>
          <w:rFonts w:hint="eastAsia" w:ascii="宋体" w:hAnsi="宋体" w:eastAsia="宋体" w:cs="宋体"/>
          <w:b/>
          <w:color w:val="auto"/>
          <w:sz w:val="24"/>
          <w:highlight w:val="none"/>
        </w:rPr>
      </w:pPr>
    </w:p>
    <w:p w14:paraId="4D0C6FD8">
      <w:pPr>
        <w:snapToGrid w:val="0"/>
        <w:spacing w:line="500" w:lineRule="exact"/>
        <w:jc w:val="center"/>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（六）评标、定标</w:t>
      </w:r>
    </w:p>
    <w:p w14:paraId="71B6E7B3">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24.评标委员会与评标</w:t>
      </w:r>
    </w:p>
    <w:p w14:paraId="02D56FC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24.1 评标委员会由招标人依法组建，评标活动由评标委员会负责。</w:t>
      </w:r>
    </w:p>
    <w:p w14:paraId="06DC71A8">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24.2 开标结束后，开始评标，评标在保密的环境中进行。</w:t>
      </w:r>
    </w:p>
    <w:p w14:paraId="62BDE277">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25.评标过程的保密</w:t>
      </w:r>
    </w:p>
    <w:p w14:paraId="6384B1B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25.1开标后，直至授予中标人合同为止，凡属于对投标文件的审查、澄清、评价和比较的有关资料以及中标候选人的推荐情况，与评标有关的其他任何情况均严格保密。</w:t>
      </w:r>
    </w:p>
    <w:p w14:paraId="258619D6">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25.2 在投标文件的评审和比较、中标候选人推荐以及授予合同的过程中，投标人向招标人和评标委员会施加影响的任何行为，都将会导致其投标被拒绝。</w:t>
      </w:r>
    </w:p>
    <w:p w14:paraId="31C26F51">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25.3中标人确定后，招标人不对未中标人就评标过程以及未能中标原因作出任何解释。未中标人不得向评标委员会组成人员或其他有关人员询问评标过程的情况和材料。</w:t>
      </w:r>
    </w:p>
    <w:p w14:paraId="5311B3D1">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26.投标文件的澄清</w:t>
      </w:r>
    </w:p>
    <w:p w14:paraId="548A3147">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26.1 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凡属于评标委员会在评标中发现的计算错误进行核实的修改不在此列。</w:t>
      </w:r>
    </w:p>
    <w:p w14:paraId="78FCF5D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26.2 有下列情形之一的，在评标现场评标时，评标委员会可以要求投标人当场作出书面说明并提供相关材料：</w:t>
      </w:r>
    </w:p>
    <w:p w14:paraId="180946F8">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（一）设有</w:t>
      </w:r>
      <w:r>
        <w:rPr>
          <w:rStyle w:val="47"/>
          <w:rFonts w:hint="eastAsia" w:asciiTheme="minorEastAsia" w:hAnsiTheme="minorEastAsia" w:eastAsiaTheme="minorEastAsia" w:cstheme="minorEastAsia"/>
          <w:bCs/>
          <w:color w:val="auto"/>
          <w:sz w:val="24"/>
          <w:szCs w:val="24"/>
          <w:highlight w:val="none"/>
        </w:rPr>
        <w:t>最高投标限价</w:t>
      </w:r>
      <w:r>
        <w:rPr>
          <w:rStyle w:val="47"/>
          <w:rFonts w:hint="eastAsia" w:asciiTheme="minorEastAsia" w:hAnsiTheme="minorEastAsia" w:eastAsiaTheme="minorEastAsia" w:cstheme="minorEastAsia"/>
          <w:color w:val="auto"/>
          <w:sz w:val="24"/>
          <w:szCs w:val="24"/>
          <w:highlight w:val="none"/>
        </w:rPr>
        <w:t>的，投标报价低于</w:t>
      </w:r>
      <w:r>
        <w:rPr>
          <w:rStyle w:val="47"/>
          <w:rFonts w:hint="eastAsia" w:asciiTheme="minorEastAsia" w:hAnsiTheme="minorEastAsia" w:eastAsiaTheme="minorEastAsia" w:cstheme="minorEastAsia"/>
          <w:bCs/>
          <w:color w:val="auto"/>
          <w:sz w:val="24"/>
          <w:szCs w:val="24"/>
          <w:highlight w:val="none"/>
        </w:rPr>
        <w:t>最高投标限价</w:t>
      </w:r>
      <w:r>
        <w:rPr>
          <w:rStyle w:val="47"/>
          <w:rFonts w:hint="eastAsia" w:asciiTheme="minorEastAsia" w:hAnsiTheme="minorEastAsia" w:eastAsiaTheme="minorEastAsia" w:cstheme="minorEastAsia"/>
          <w:color w:val="auto"/>
          <w:sz w:val="24"/>
          <w:szCs w:val="24"/>
          <w:highlight w:val="none"/>
        </w:rPr>
        <w:t>合理幅度的；</w:t>
      </w:r>
    </w:p>
    <w:p w14:paraId="5E4A226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（二）不设最高投标限价的，投标报价明显低于其他投标报价，有可能低于其企业成本的。</w:t>
      </w:r>
    </w:p>
    <w:p w14:paraId="4BE8289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27.投标文件的评审程序</w:t>
      </w:r>
    </w:p>
    <w:p w14:paraId="52D1AFF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bCs/>
          <w:color w:val="auto"/>
          <w:sz w:val="24"/>
          <w:szCs w:val="24"/>
          <w:highlight w:val="none"/>
        </w:rPr>
        <w:t>27.1</w:t>
      </w:r>
      <w:r>
        <w:rPr>
          <w:rStyle w:val="47"/>
          <w:rFonts w:hint="eastAsia" w:asciiTheme="minorEastAsia" w:hAnsiTheme="minorEastAsia" w:eastAsiaTheme="minorEastAsia" w:cstheme="minorEastAsia"/>
          <w:color w:val="auto"/>
          <w:sz w:val="24"/>
          <w:szCs w:val="24"/>
          <w:highlight w:val="none"/>
        </w:rPr>
        <w:t>评标委员会应当根据招标文件有关规定，审查并逐项列出投标文件的全部投标偏差。投标偏差分重大偏差和细微偏差。</w:t>
      </w:r>
    </w:p>
    <w:p w14:paraId="7599CE2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bCs/>
          <w:color w:val="auto"/>
          <w:sz w:val="24"/>
          <w:szCs w:val="24"/>
          <w:highlight w:val="none"/>
        </w:rPr>
        <w:t>27.2</w:t>
      </w:r>
      <w:r>
        <w:rPr>
          <w:rStyle w:val="47"/>
          <w:rFonts w:hint="eastAsia" w:asciiTheme="minorEastAsia" w:hAnsiTheme="minorEastAsia" w:eastAsiaTheme="minorEastAsia" w:cstheme="minorEastAsia"/>
          <w:color w:val="auto"/>
          <w:sz w:val="24"/>
          <w:szCs w:val="24"/>
          <w:highlight w:val="none"/>
        </w:rPr>
        <w:t>投标偏差的界定和评审</w:t>
      </w:r>
    </w:p>
    <w:p w14:paraId="6F5DDF7F">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27.2.1重大偏差的认定，投标文件有下列情形之一的，属于重大偏差，由评标委员会评审后按废标处理：</w:t>
      </w:r>
    </w:p>
    <w:p w14:paraId="2CA932D4">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27.2.1.1未按招标文件中要求提供相关资格审查材料或提供的材料不符合要求的。</w:t>
      </w:r>
    </w:p>
    <w:p w14:paraId="6F5434E5">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rPr>
        <w:t>27.2.1.2投标文件封面、投标函、附录、投标总价表未加盖投标人的企业印章、企业法定代表人或其授权的委托代理人签字或盖章的。企业法定代表人授权的委托代理人没有合法、有效的委托书。</w:t>
      </w:r>
    </w:p>
    <w:p w14:paraId="672C971D">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27.2.1.3</w:t>
      </w:r>
      <w:r>
        <w:rPr>
          <w:rStyle w:val="47"/>
          <w:rFonts w:hint="eastAsia" w:asciiTheme="minorEastAsia" w:hAnsiTheme="minorEastAsia" w:eastAsiaTheme="minorEastAsia" w:cstheme="minorEastAsia"/>
          <w:b/>
          <w:bCs/>
          <w:color w:val="auto"/>
          <w:sz w:val="24"/>
          <w:szCs w:val="24"/>
          <w:highlight w:val="none"/>
        </w:rPr>
        <w:t>未按规定的格式填写，</w:t>
      </w:r>
      <w:r>
        <w:rPr>
          <w:rStyle w:val="47"/>
          <w:rFonts w:hint="eastAsia" w:asciiTheme="minorEastAsia" w:hAnsiTheme="minorEastAsia" w:eastAsiaTheme="minorEastAsia" w:cstheme="minorEastAsia"/>
          <w:b/>
          <w:color w:val="auto"/>
          <w:sz w:val="24"/>
          <w:szCs w:val="24"/>
          <w:highlight w:val="none"/>
        </w:rPr>
        <w:t>实质性</w:t>
      </w:r>
      <w:r>
        <w:rPr>
          <w:rStyle w:val="47"/>
          <w:rFonts w:hint="eastAsia" w:asciiTheme="minorEastAsia" w:hAnsiTheme="minorEastAsia" w:eastAsiaTheme="minorEastAsia" w:cstheme="minorEastAsia"/>
          <w:b/>
          <w:bCs/>
          <w:color w:val="auto"/>
          <w:sz w:val="24"/>
          <w:szCs w:val="24"/>
          <w:highlight w:val="none"/>
        </w:rPr>
        <w:t>内容不全或关键字迹模糊、无法辨认的；</w:t>
      </w:r>
    </w:p>
    <w:p w14:paraId="0937170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27.2.1.4投标人递交两份或多份内容不同的投标文件，或在一份投标文件中对同一招标项目有两个或多个报价，且未声明哪一个有效的。按招标文件规定提交备选投标方案的除外。</w:t>
      </w:r>
    </w:p>
    <w:p w14:paraId="3DCDE120">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27.2.1.5 投标文件明显不符合招标文件规定的报价、工期、质量标准、技术规格、施工方案评审标准或其它实质性要求。</w:t>
      </w:r>
    </w:p>
    <w:p w14:paraId="0D3065E8">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w:t>
      </w:r>
      <w:r>
        <w:rPr>
          <w:rStyle w:val="47"/>
          <w:rFonts w:hint="eastAsia" w:asciiTheme="minorEastAsia" w:hAnsiTheme="minorEastAsia" w:eastAsiaTheme="minorEastAsia" w:cstheme="minorEastAsia"/>
          <w:b/>
          <w:color w:val="auto"/>
          <w:sz w:val="24"/>
          <w:szCs w:val="24"/>
          <w:highlight w:val="none"/>
          <w:lang w:val="en-US"/>
        </w:rPr>
        <w:t>6</w:t>
      </w:r>
      <w:r>
        <w:rPr>
          <w:rStyle w:val="47"/>
          <w:rFonts w:hint="eastAsia" w:asciiTheme="minorEastAsia" w:hAnsiTheme="minorEastAsia" w:eastAsiaTheme="minorEastAsia" w:cstheme="minorEastAsia"/>
          <w:b/>
          <w:color w:val="auto"/>
          <w:sz w:val="24"/>
          <w:szCs w:val="24"/>
          <w:highlight w:val="none"/>
        </w:rPr>
        <w:t>投标文件商务标的投标总价表未按要求加盖印章的，</w:t>
      </w:r>
      <w:r>
        <w:rPr>
          <w:rStyle w:val="47"/>
          <w:rFonts w:hint="eastAsia" w:asciiTheme="minorEastAsia" w:hAnsiTheme="minorEastAsia" w:eastAsiaTheme="minorEastAsia" w:cstheme="minorEastAsia"/>
          <w:b/>
          <w:bCs/>
          <w:color w:val="auto"/>
          <w:sz w:val="24"/>
          <w:szCs w:val="24"/>
          <w:highlight w:val="none"/>
        </w:rPr>
        <w:t>经评标委员会认定属于重大偏差的。</w:t>
      </w:r>
    </w:p>
    <w:p w14:paraId="294AD784">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w:t>
      </w:r>
      <w:r>
        <w:rPr>
          <w:rStyle w:val="47"/>
          <w:rFonts w:hint="eastAsia" w:asciiTheme="minorEastAsia" w:hAnsiTheme="minorEastAsia" w:eastAsiaTheme="minorEastAsia" w:cstheme="minorEastAsia"/>
          <w:b/>
          <w:color w:val="auto"/>
          <w:sz w:val="24"/>
          <w:szCs w:val="24"/>
          <w:highlight w:val="none"/>
          <w:lang w:val="en-US"/>
        </w:rPr>
        <w:t>7</w:t>
      </w:r>
      <w:r>
        <w:rPr>
          <w:rStyle w:val="47"/>
          <w:rFonts w:hint="eastAsia" w:asciiTheme="minorEastAsia" w:hAnsiTheme="minorEastAsia" w:eastAsiaTheme="minorEastAsia" w:cstheme="minorEastAsia"/>
          <w:b/>
          <w:color w:val="auto"/>
          <w:sz w:val="24"/>
          <w:szCs w:val="24"/>
          <w:highlight w:val="none"/>
        </w:rPr>
        <w:t>投标文件中的其它重大偏差（包括缺项，漏项）：</w:t>
      </w:r>
    </w:p>
    <w:p w14:paraId="2322764F">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rPr>
        <w:t>①投标文件中填报的工程量清单报价书中的格式、内容及工程量与招标人提供给投标人报价格式、内容及工程量不一致，以致影响评标结果的。</w:t>
      </w:r>
    </w:p>
    <w:p w14:paraId="63F9D2E7">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rPr>
        <w:t>②</w:t>
      </w:r>
      <w:r>
        <w:rPr>
          <w:rStyle w:val="47"/>
          <w:rFonts w:hint="eastAsia" w:asciiTheme="minorEastAsia" w:hAnsiTheme="minorEastAsia" w:eastAsiaTheme="minorEastAsia" w:cstheme="minorEastAsia"/>
          <w:b/>
          <w:bCs/>
          <w:color w:val="auto"/>
          <w:sz w:val="24"/>
          <w:szCs w:val="24"/>
          <w:highlight w:val="none"/>
        </w:rPr>
        <w:t>投标报价高于最高投标限价的。</w:t>
      </w:r>
    </w:p>
    <w:p w14:paraId="764A08B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rPr>
        <w:t>③</w:t>
      </w:r>
      <w:r>
        <w:rPr>
          <w:rStyle w:val="47"/>
          <w:rFonts w:hint="eastAsia" w:asciiTheme="minorEastAsia" w:hAnsiTheme="minorEastAsia" w:eastAsiaTheme="minorEastAsia" w:cstheme="minorEastAsia"/>
          <w:b/>
          <w:bCs/>
          <w:color w:val="auto"/>
          <w:sz w:val="24"/>
          <w:szCs w:val="24"/>
          <w:highlight w:val="none"/>
        </w:rPr>
        <w:t>因投标人原因造成投标报价及其综合单价遗漏的工程项目、工程内容、工程数量、费用或计算错误等绝对值累计总额（高估冒算、多报费用不得抵消缺漏费用）占投标报价3%（含）以上者。凡招标文件要求或者工程造价组成应计算的费用而投标人未报，且投标文件未阐明充分理由，并不能提供足够证据者，均视为缺漏项目或费用。</w:t>
      </w:r>
    </w:p>
    <w:p w14:paraId="1E1F7E43">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rPr>
        <w:t>④</w:t>
      </w:r>
      <w:r>
        <w:rPr>
          <w:rStyle w:val="47"/>
          <w:rFonts w:hint="eastAsia" w:asciiTheme="minorEastAsia" w:hAnsiTheme="minorEastAsia" w:eastAsiaTheme="minorEastAsia" w:cstheme="minorEastAsia"/>
          <w:b/>
          <w:bCs/>
          <w:color w:val="auto"/>
          <w:sz w:val="24"/>
          <w:szCs w:val="24"/>
          <w:highlight w:val="none"/>
        </w:rPr>
        <w:t>投标人拒不按照要求对投标文件进行澄清、说明、补正的，或评标委员根据招标文件的规定对投标文件的计算错误进行修正后，投标人不接受修正后的投标报价的。</w:t>
      </w:r>
    </w:p>
    <w:p w14:paraId="248DF897">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rPr>
        <w:t>⑤</w:t>
      </w:r>
      <w:r>
        <w:rPr>
          <w:rStyle w:val="47"/>
          <w:rFonts w:hint="eastAsia" w:asciiTheme="minorEastAsia" w:hAnsiTheme="minorEastAsia" w:eastAsiaTheme="minorEastAsia" w:cstheme="minorEastAsia"/>
          <w:b/>
          <w:bCs/>
          <w:color w:val="auto"/>
          <w:sz w:val="24"/>
          <w:szCs w:val="24"/>
          <w:highlight w:val="none"/>
        </w:rPr>
        <w:t>投标报价中变更暂列金额或预留金或招标人提供的暂定价格的。</w:t>
      </w:r>
    </w:p>
    <w:p w14:paraId="28A2F02A">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rPr>
        <w:t>⑥</w:t>
      </w:r>
      <w:r>
        <w:rPr>
          <w:rStyle w:val="47"/>
          <w:rFonts w:hint="eastAsia" w:asciiTheme="minorEastAsia" w:hAnsiTheme="minorEastAsia" w:eastAsiaTheme="minorEastAsia" w:cstheme="minorEastAsia"/>
          <w:b/>
          <w:bCs/>
          <w:color w:val="auto"/>
          <w:sz w:val="24"/>
          <w:szCs w:val="24"/>
          <w:highlight w:val="none"/>
        </w:rPr>
        <w:t>法律、法规规定的其它情形。</w:t>
      </w:r>
    </w:p>
    <w:p w14:paraId="4A0CB9F1">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w:t>
      </w:r>
      <w:r>
        <w:rPr>
          <w:rStyle w:val="47"/>
          <w:rFonts w:hint="eastAsia" w:asciiTheme="minorEastAsia" w:hAnsiTheme="minorEastAsia" w:eastAsiaTheme="minorEastAsia" w:cstheme="minorEastAsia"/>
          <w:b/>
          <w:color w:val="auto"/>
          <w:sz w:val="24"/>
          <w:szCs w:val="24"/>
          <w:highlight w:val="none"/>
          <w:lang w:val="en-US"/>
        </w:rPr>
        <w:t>8资信标</w:t>
      </w:r>
      <w:r>
        <w:rPr>
          <w:rStyle w:val="47"/>
          <w:rFonts w:hint="eastAsia" w:asciiTheme="minorEastAsia" w:hAnsiTheme="minorEastAsia" w:eastAsiaTheme="minorEastAsia" w:cstheme="minorEastAsia"/>
          <w:b/>
          <w:color w:val="auto"/>
          <w:sz w:val="24"/>
          <w:szCs w:val="24"/>
          <w:highlight w:val="none"/>
        </w:rPr>
        <w:t>文件或商务标文件经评审委员会评审不合格的。</w:t>
      </w:r>
    </w:p>
    <w:p w14:paraId="1996D392">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27.2.1.</w:t>
      </w:r>
      <w:r>
        <w:rPr>
          <w:rStyle w:val="47"/>
          <w:rFonts w:hint="eastAsia" w:asciiTheme="minorEastAsia" w:hAnsiTheme="minorEastAsia" w:eastAsiaTheme="minorEastAsia" w:cstheme="minorEastAsia"/>
          <w:b/>
          <w:color w:val="auto"/>
          <w:sz w:val="24"/>
          <w:szCs w:val="24"/>
          <w:highlight w:val="none"/>
          <w:lang w:val="en-US"/>
        </w:rPr>
        <w:t>9</w:t>
      </w:r>
      <w:r>
        <w:rPr>
          <w:rStyle w:val="47"/>
          <w:rFonts w:hint="eastAsia" w:asciiTheme="minorEastAsia" w:hAnsiTheme="minorEastAsia" w:eastAsiaTheme="minorEastAsia" w:cstheme="minorEastAsia"/>
          <w:b/>
          <w:color w:val="auto"/>
          <w:sz w:val="24"/>
          <w:szCs w:val="24"/>
          <w:highlight w:val="none"/>
        </w:rPr>
        <w:t>法律、法规规定的其它情形；</w:t>
      </w:r>
    </w:p>
    <w:p w14:paraId="3112899D">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27.3 细微偏差的认定：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02DA6876">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27.4 投标文件的澄清：投标文件需澄清、说明或者补正的（包括补正投标报价)以及投标文件存在细微偏差需要补正的，评标委员会应当以书面形式要求投标人进行书面澄清、说明、补正或确认，细微偏差的修正将由评委进行评审，其投标人的法定代表人或其委托代理人应签字认可。</w:t>
      </w:r>
    </w:p>
    <w:p w14:paraId="5D058A0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27.5如果投标文件实质上不响应招标文件的各项要求，评标委员会将予以拒绝，并且不允许投标人通过修改或撤销其不符合要求的差异或保留，使之成为具有响应性的投标。</w:t>
      </w:r>
    </w:p>
    <w:p w14:paraId="42CCE2E8">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27.6经审查符合招标文件要求的有效投标文件，由评标委员会进行详细评审、比较。</w:t>
      </w:r>
    </w:p>
    <w:p w14:paraId="07F3EA24">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27.7</w:t>
      </w:r>
      <w:r>
        <w:rPr>
          <w:rStyle w:val="47"/>
          <w:rFonts w:hint="eastAsia" w:asciiTheme="minorEastAsia" w:hAnsiTheme="minorEastAsia" w:eastAsiaTheme="minorEastAsia" w:cstheme="minorEastAsia"/>
          <w:b/>
          <w:color w:val="auto"/>
          <w:sz w:val="24"/>
          <w:szCs w:val="24"/>
          <w:highlight w:val="none"/>
        </w:rPr>
        <w:t>评委对界定为细微偏差的应做相应调整，投标人应现场书面接受调整内容。</w:t>
      </w:r>
    </w:p>
    <w:p w14:paraId="2760F575">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28.投标文件计算错误的修正</w:t>
      </w:r>
    </w:p>
    <w:p w14:paraId="6F142D11">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28.1评标委员会将对确定为实质上响应招标文件要求的投标文件进行校核，看其是否有计算或表达上的细微偏差，细微偏差的修正原则如下：</w:t>
      </w:r>
    </w:p>
    <w:p w14:paraId="68E930A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28.1.1工程量清单报价表中，出现综合单价金额和工程量的乘积与合价金额不一致的，以标出的综合单价金额为准，并修改合价金额。但综合单价金额小数点有明显错误的，此时应以标出的合价金额为准，并修改综合单价金额；</w:t>
      </w:r>
    </w:p>
    <w:p w14:paraId="465D852C">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28.1.2各项报价书中，细目价格、费用（合价或合计)金额累计不等于总价（合计或总计)金额时，应以各细目价格、费用（合价或合计)金额累计数为准，修正总价（合价或总计)金额。</w:t>
      </w:r>
    </w:p>
    <w:p w14:paraId="5DED8A77">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28.1.3</w:t>
      </w:r>
      <w:r>
        <w:rPr>
          <w:rStyle w:val="47"/>
          <w:rFonts w:hint="eastAsia" w:asciiTheme="minorEastAsia" w:hAnsiTheme="minorEastAsia" w:eastAsiaTheme="minorEastAsia" w:cstheme="minorEastAsia"/>
          <w:b/>
          <w:color w:val="auto"/>
          <w:sz w:val="24"/>
          <w:szCs w:val="24"/>
          <w:highlight w:val="none"/>
        </w:rPr>
        <w:t>投标文件中填报的投标工期、工程质量标准前后不一致时，以投标函填报的为准。</w:t>
      </w:r>
    </w:p>
    <w:p w14:paraId="3B3B0F5F">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28.1.4投标文件中填写的工程名称、工程结构、建筑面积、层数有误时，以招标工程的实际内容为准。</w:t>
      </w:r>
    </w:p>
    <w:p w14:paraId="17CDAC1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28.2按上述修正错误的原则及方法调整或修正投标文件的投标报价，投标人同意后，调整后的投标报价对投标人起约束作用。如果投标人不接受修正后的报价，则其投标将被拒绝。</w:t>
      </w:r>
    </w:p>
    <w:p w14:paraId="6E3AA090">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29.投标人的最终投标报价</w:t>
      </w:r>
    </w:p>
    <w:p w14:paraId="11B2332E">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按照本招标文件的规定进行澄清、补正后的投标报价经投标人的法定代表人或其委托代理人确认后即为该投标人的最终投标报价。投标人一旦中标，此报价即为中标价。</w:t>
      </w:r>
    </w:p>
    <w:p w14:paraId="1B99B085">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r>
        <w:rPr>
          <w:rStyle w:val="47"/>
          <w:rFonts w:hint="eastAsia" w:asciiTheme="minorEastAsia" w:hAnsiTheme="minorEastAsia" w:eastAsiaTheme="minorEastAsia" w:cstheme="minorEastAsia"/>
          <w:b/>
          <w:color w:val="auto"/>
          <w:sz w:val="24"/>
          <w:szCs w:val="24"/>
          <w:highlight w:val="none"/>
        </w:rPr>
        <w:t>30.投标文件的评审、比较和否决</w:t>
      </w:r>
    </w:p>
    <w:p w14:paraId="6D2A520A">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30.1评标委员会将按照本须知第27条规定，仅对在实质上响应招标文件要求的投标文件进行评估和比较。</w:t>
      </w:r>
    </w:p>
    <w:p w14:paraId="684A7306">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30.2 在评审过程中,评标委员会可以书面形式要求投标人就投标文件中含义不明确的内容进行书面说明并提供相关材料。</w:t>
      </w:r>
    </w:p>
    <w:p w14:paraId="1F74E980">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30.3评标委员会依据招标文件规定的评标标准和方法，对合格投标文件分别进行评审和比较，提出书面评标报告并推荐的中标候选人。</w:t>
      </w:r>
    </w:p>
    <w:p w14:paraId="2135397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sz w:val="24"/>
          <w:szCs w:val="24"/>
          <w:highlight w:val="none"/>
        </w:rPr>
        <w:t>30.4招标人根据评标委员会提出的书面评标报告和推荐的中标候选人，依据国家和地方现行法规确定中标人。</w:t>
      </w:r>
    </w:p>
    <w:p w14:paraId="4F923E2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baseline"/>
        <w:rPr>
          <w:rStyle w:val="47"/>
          <w:rFonts w:hint="eastAsia" w:asciiTheme="minorEastAsia" w:hAnsiTheme="minorEastAsia" w:eastAsiaTheme="minorEastAsia" w:cstheme="minorEastAsia"/>
          <w:color w:val="auto"/>
          <w:kern w:val="0"/>
          <w:sz w:val="24"/>
          <w:szCs w:val="24"/>
          <w:highlight w:val="none"/>
        </w:rPr>
      </w:pPr>
      <w:r>
        <w:rPr>
          <w:rStyle w:val="47"/>
          <w:rFonts w:hint="eastAsia" w:asciiTheme="minorEastAsia" w:hAnsiTheme="minorEastAsia" w:eastAsiaTheme="minorEastAsia" w:cstheme="minorEastAsia"/>
          <w:color w:val="auto"/>
          <w:sz w:val="24"/>
          <w:szCs w:val="24"/>
          <w:highlight w:val="none"/>
        </w:rPr>
        <w:t>30.5评标委员会经评审，认为所有投标都不符合招标文件要求的，可以否决所有投标。所有投标被否决后，招标人应当依法重新招标。</w:t>
      </w:r>
    </w:p>
    <w:p w14:paraId="32D900E0">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baseline"/>
        <w:rPr>
          <w:rStyle w:val="47"/>
          <w:rFonts w:hint="eastAsia" w:asciiTheme="minorEastAsia" w:hAnsiTheme="minorEastAsia" w:eastAsiaTheme="minorEastAsia" w:cstheme="minorEastAsia"/>
          <w:b/>
          <w:color w:val="auto"/>
          <w:sz w:val="24"/>
          <w:szCs w:val="24"/>
          <w:highlight w:val="none"/>
        </w:rPr>
      </w:pPr>
    </w:p>
    <w:p w14:paraId="3CD16EBE">
      <w:pPr>
        <w:pStyle w:val="101"/>
        <w:snapToGrid w:val="0"/>
        <w:spacing w:line="500" w:lineRule="exact"/>
        <w:jc w:val="center"/>
        <w:rPr>
          <w:rStyle w:val="47"/>
          <w:rFonts w:hint="eastAsia" w:ascii="宋体" w:hAnsi="宋体" w:eastAsia="宋体" w:cs="宋体"/>
          <w:b/>
          <w:color w:val="auto"/>
          <w:sz w:val="28"/>
          <w:szCs w:val="28"/>
          <w:highlight w:val="none"/>
        </w:rPr>
      </w:pPr>
      <w:r>
        <w:rPr>
          <w:rStyle w:val="47"/>
          <w:rFonts w:hint="eastAsia" w:ascii="宋体" w:hAnsi="宋体" w:eastAsia="宋体" w:cs="宋体"/>
          <w:b/>
          <w:color w:val="auto"/>
          <w:sz w:val="28"/>
          <w:szCs w:val="28"/>
          <w:highlight w:val="none"/>
        </w:rPr>
        <w:t>（</w:t>
      </w:r>
      <w:r>
        <w:rPr>
          <w:rStyle w:val="47"/>
          <w:rFonts w:hint="eastAsia" w:ascii="宋体" w:hAnsi="宋体" w:eastAsia="宋体" w:cs="宋体"/>
          <w:b/>
          <w:color w:val="auto"/>
          <w:sz w:val="24"/>
          <w:highlight w:val="none"/>
        </w:rPr>
        <w:t>七）合同的授予</w:t>
      </w:r>
    </w:p>
    <w:p w14:paraId="2CE2AD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31.合同授予标准</w:t>
      </w:r>
    </w:p>
    <w:p w14:paraId="030D4E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本招标工程的施工合同将授予中标人。</w:t>
      </w:r>
    </w:p>
    <w:p w14:paraId="13B8EF4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32.招标人拒绝投标的权力</w:t>
      </w:r>
    </w:p>
    <w:p w14:paraId="0DFB46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color w:val="auto"/>
          <w:sz w:val="24"/>
          <w:highlight w:val="none"/>
        </w:rPr>
        <w:t>招标人不承诺将合同授予报价最低的投标人。招标人在发出中标通知书前，有权依据评标委员会的评标报告拒绝不合格的投标</w:t>
      </w:r>
      <w:r>
        <w:rPr>
          <w:rStyle w:val="47"/>
          <w:rFonts w:hint="eastAsia" w:ascii="宋体" w:hAnsi="宋体" w:eastAsia="宋体" w:cs="宋体"/>
          <w:b/>
          <w:color w:val="auto"/>
          <w:sz w:val="24"/>
          <w:highlight w:val="none"/>
        </w:rPr>
        <w:t>。</w:t>
      </w:r>
    </w:p>
    <w:p w14:paraId="001E2E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33.中标通知书</w:t>
      </w:r>
    </w:p>
    <w:p w14:paraId="53F96D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招标人将在发出中标通知书的同时,将中标结果通知所有未中标的投标人。</w:t>
      </w:r>
      <w:r>
        <w:rPr>
          <w:rStyle w:val="47"/>
          <w:rFonts w:hint="eastAsia" w:ascii="宋体" w:hAnsi="宋体" w:eastAsia="宋体" w:cs="宋体"/>
          <w:b/>
          <w:bCs/>
          <w:color w:val="auto"/>
          <w:sz w:val="24"/>
          <w:highlight w:val="none"/>
        </w:rPr>
        <w:t>公开招标的项目将在国家级铜陵经济技术开发区网上以中标公告的形式通知；邀请招标的项目将以传真或电子邮件等方式通知，投标人收到后，应以传真或电邮等的方式确认签收</w:t>
      </w:r>
      <w:r>
        <w:rPr>
          <w:rStyle w:val="47"/>
          <w:rFonts w:hint="eastAsia" w:ascii="宋体" w:hAnsi="宋体" w:eastAsia="宋体" w:cs="宋体"/>
          <w:color w:val="auto"/>
          <w:sz w:val="24"/>
          <w:highlight w:val="none"/>
        </w:rPr>
        <w:t>。</w:t>
      </w:r>
    </w:p>
    <w:p w14:paraId="74326FB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Cs/>
          <w:color w:val="auto"/>
          <w:sz w:val="24"/>
          <w:highlight w:val="none"/>
        </w:rPr>
      </w:pPr>
      <w:r>
        <w:rPr>
          <w:rStyle w:val="47"/>
          <w:rFonts w:hint="eastAsia" w:ascii="宋体" w:hAnsi="宋体" w:eastAsia="宋体" w:cs="宋体"/>
          <w:b/>
          <w:bCs/>
          <w:color w:val="auto"/>
          <w:sz w:val="24"/>
          <w:highlight w:val="none"/>
        </w:rPr>
        <w:t>34.合同协议书的签订</w:t>
      </w:r>
    </w:p>
    <w:p w14:paraId="754E8D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34.1 招标人与中标人将于中标通知书发出之日起</w:t>
      </w:r>
      <w:r>
        <w:rPr>
          <w:rStyle w:val="47"/>
          <w:rFonts w:hint="eastAsia" w:ascii="宋体" w:hAnsi="宋体" w:eastAsia="宋体" w:cs="宋体"/>
          <w:color w:val="auto"/>
          <w:sz w:val="24"/>
          <w:highlight w:val="none"/>
          <w:lang w:val="en-US"/>
        </w:rPr>
        <w:t>5个工作</w:t>
      </w:r>
      <w:r>
        <w:rPr>
          <w:rStyle w:val="47"/>
          <w:rFonts w:hint="eastAsia" w:ascii="宋体" w:hAnsi="宋体" w:eastAsia="宋体" w:cs="宋体"/>
          <w:color w:val="auto"/>
          <w:sz w:val="24"/>
          <w:highlight w:val="none"/>
        </w:rPr>
        <w:t>日内，按照招标文件和中标人的投标文件订立书面工程施工合同，招标人和中标人不得再行订立背离合同实质性内容的其他协议。</w:t>
      </w:r>
    </w:p>
    <w:p w14:paraId="529AD9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34.2中标人如不按本招标文件规定与招标人订立合同，招标人将取消其中标资格，投标担保不予退还，给招标人造成的损失超过投标担保数额的，还应当对超过部分予以赔偿，同时依法承担相应法律责任。</w:t>
      </w:r>
    </w:p>
    <w:p w14:paraId="1B2648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34.3中标人应当按照合同约定履行义务，完成中标项目施工，不得将中标项目施工转让（转包）给他人。</w:t>
      </w:r>
    </w:p>
    <w:p w14:paraId="5238691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35.履约担保</w:t>
      </w:r>
    </w:p>
    <w:p w14:paraId="50A724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35.1 合同协议书签署的同时，中标人应按须知前附表规定的金额向招标人提交履约担保。</w:t>
      </w:r>
    </w:p>
    <w:p w14:paraId="5C8CF9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35.2 若中标人不能按投标须知中相关规定执行，招标人将有权解除合同，给招标人造成的损失超过投标担保数额的，还应当对超过部分予以赔偿。</w:t>
      </w:r>
    </w:p>
    <w:p w14:paraId="0A891106">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35.3履约担保返还时限</w:t>
      </w:r>
    </w:p>
    <w:p w14:paraId="46A5AB75">
      <w:pPr>
        <w:pStyle w:val="10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履约担保返还时限由招标人和中标人自行协商，但最迟返还时限不得超过项目竣工验收后28天。</w:t>
      </w:r>
    </w:p>
    <w:p w14:paraId="6871D94F">
      <w:pPr>
        <w:pStyle w:val="10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36.支付担保</w:t>
      </w:r>
    </w:p>
    <w:p w14:paraId="23CCBB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本工程是否实行工程款支付担保及有关规定见前附表规定，如实行，招标人最迟也将在签订合同的同时向中标人提交。</w:t>
      </w:r>
    </w:p>
    <w:p w14:paraId="0A2FEC99">
      <w:pPr>
        <w:pStyle w:val="3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baseline"/>
        <w:rPr>
          <w:rStyle w:val="47"/>
          <w:rFonts w:hint="eastAsia" w:ascii="宋体" w:hAnsi="宋体" w:eastAsia="宋体" w:cs="宋体"/>
          <w:color w:val="auto"/>
          <w:sz w:val="24"/>
          <w:highlight w:val="none"/>
        </w:rPr>
      </w:pPr>
    </w:p>
    <w:p w14:paraId="6E39A573">
      <w:pP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br w:type="page"/>
      </w:r>
    </w:p>
    <w:p w14:paraId="10767048">
      <w:pPr>
        <w:pStyle w:val="101"/>
        <w:numPr>
          <w:ilvl w:val="0"/>
          <w:numId w:val="0"/>
        </w:numPr>
        <w:snapToGrid w:val="0"/>
        <w:spacing w:line="360" w:lineRule="auto"/>
        <w:jc w:val="center"/>
        <w:rPr>
          <w:rStyle w:val="47"/>
          <w:rFonts w:hint="eastAsia" w:ascii="宋体" w:hAnsi="宋体" w:eastAsia="宋体" w:cs="宋体"/>
          <w:b/>
          <w:color w:val="auto"/>
          <w:sz w:val="24"/>
          <w:highlight w:val="none"/>
        </w:rPr>
      </w:pPr>
      <w:r>
        <w:rPr>
          <w:rStyle w:val="47"/>
          <w:rFonts w:hint="eastAsia" w:hAnsi="宋体" w:cs="宋体"/>
          <w:b/>
          <w:color w:val="auto"/>
          <w:sz w:val="24"/>
          <w:highlight w:val="none"/>
        </w:rPr>
        <w:t>第二章</w:t>
      </w:r>
      <w:r>
        <w:rPr>
          <w:rStyle w:val="47"/>
          <w:rFonts w:hint="eastAsia" w:hAnsi="宋体" w:cs="宋体"/>
          <w:b/>
          <w:color w:val="auto"/>
          <w:sz w:val="24"/>
          <w:highlight w:val="none"/>
          <w:lang w:val="en-US"/>
        </w:rPr>
        <w:t xml:space="preserve"> </w:t>
      </w:r>
      <w:r>
        <w:rPr>
          <w:rStyle w:val="47"/>
          <w:rFonts w:hint="eastAsia" w:ascii="宋体" w:hAnsi="宋体" w:eastAsia="宋体" w:cs="宋体"/>
          <w:b/>
          <w:color w:val="auto"/>
          <w:sz w:val="24"/>
          <w:highlight w:val="none"/>
        </w:rPr>
        <w:t>评标办法</w:t>
      </w:r>
    </w:p>
    <w:p w14:paraId="101DC28A">
      <w:pPr>
        <w:pStyle w:val="39"/>
        <w:keepNext w:val="0"/>
        <w:keepLines w:val="0"/>
        <w:pageBreakBefore w:val="0"/>
        <w:widowControl w:val="0"/>
        <w:kinsoku/>
        <w:wordWrap/>
        <w:topLinePunct w:val="0"/>
        <w:bidi w:val="0"/>
        <w:adjustRightInd/>
        <w:snapToGrid/>
        <w:spacing w:before="0" w:after="0" w:line="500" w:lineRule="exact"/>
        <w:ind w:firstLine="482"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1.总则：</w:t>
      </w:r>
    </w:p>
    <w:p w14:paraId="5C3D9556">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color w:val="auto"/>
          <w:sz w:val="24"/>
          <w:highlight w:val="none"/>
        </w:rPr>
        <w:t>本着坚持“公开、公平、公正”的原则，为维护招投标双方的合法权益，增加评标工作透明度，保证评标、定标的科学性、公正性和可操作性，根据《</w:t>
      </w:r>
      <w:r>
        <w:rPr>
          <w:rStyle w:val="47"/>
          <w:rFonts w:hint="eastAsia" w:ascii="宋体" w:hAnsi="宋体" w:eastAsia="宋体" w:cs="宋体"/>
          <w:color w:val="auto"/>
          <w:sz w:val="24"/>
          <w:highlight w:val="none"/>
          <w:lang w:val="en-US"/>
        </w:rPr>
        <w:t>中华人民共和国</w:t>
      </w:r>
      <w:r>
        <w:rPr>
          <w:rStyle w:val="47"/>
          <w:rFonts w:hint="eastAsia" w:ascii="宋体" w:hAnsi="宋体" w:eastAsia="宋体" w:cs="宋体"/>
          <w:color w:val="auto"/>
          <w:sz w:val="24"/>
          <w:highlight w:val="none"/>
        </w:rPr>
        <w:t>招标投标法》《</w:t>
      </w:r>
      <w:r>
        <w:rPr>
          <w:rStyle w:val="47"/>
          <w:rFonts w:hint="eastAsia" w:ascii="宋体" w:hAnsi="宋体" w:eastAsia="宋体" w:cs="宋体"/>
          <w:color w:val="auto"/>
          <w:sz w:val="24"/>
          <w:highlight w:val="none"/>
          <w:lang w:val="en-US"/>
        </w:rPr>
        <w:t>中华人民共和国</w:t>
      </w:r>
      <w:r>
        <w:rPr>
          <w:rStyle w:val="47"/>
          <w:rFonts w:hint="eastAsia" w:ascii="宋体" w:hAnsi="宋体" w:eastAsia="宋体" w:cs="宋体"/>
          <w:color w:val="auto"/>
          <w:sz w:val="24"/>
          <w:highlight w:val="none"/>
        </w:rPr>
        <w:t>招标投标法实施条例》《评标委员会和评标办法暂行规定（七部委12号令）》等法律法规的精神，并结合本市实际制定本办法。</w:t>
      </w:r>
      <w:r>
        <w:rPr>
          <w:rStyle w:val="47"/>
          <w:rFonts w:hint="eastAsia" w:ascii="宋体" w:hAnsi="宋体" w:eastAsia="宋体" w:cs="宋体"/>
          <w:b/>
          <w:bCs/>
          <w:color w:val="auto"/>
          <w:sz w:val="24"/>
          <w:highlight w:val="none"/>
        </w:rPr>
        <w:t>本招标文件其它部分与本评标办法不一致的，以本办法的规定为准。</w:t>
      </w:r>
    </w:p>
    <w:p w14:paraId="31EEE065">
      <w:pPr>
        <w:keepNext w:val="0"/>
        <w:keepLines w:val="0"/>
        <w:pageBreakBefore w:val="0"/>
        <w:widowControl w:val="0"/>
        <w:kinsoku/>
        <w:wordWrap/>
        <w:topLinePunct w:val="0"/>
        <w:bidi w:val="0"/>
        <w:adjustRightInd/>
        <w:snapToGrid/>
        <w:spacing w:line="500" w:lineRule="exact"/>
        <w:ind w:firstLine="482" w:firstLineChars="200"/>
        <w:jc w:val="both"/>
        <w:textAlignment w:val="baseline"/>
        <w:rPr>
          <w:rStyle w:val="47"/>
          <w:rFonts w:hint="eastAsia" w:ascii="宋体" w:hAnsi="宋体" w:eastAsia="宋体" w:cs="宋体"/>
          <w:color w:val="auto"/>
          <w:kern w:val="1"/>
          <w:sz w:val="24"/>
          <w:highlight w:val="none"/>
        </w:rPr>
      </w:pPr>
      <w:r>
        <w:rPr>
          <w:rStyle w:val="47"/>
          <w:rFonts w:hint="eastAsia" w:ascii="宋体" w:hAnsi="宋体" w:eastAsia="宋体" w:cs="宋体"/>
          <w:b/>
          <w:color w:val="auto"/>
          <w:kern w:val="1"/>
          <w:sz w:val="24"/>
          <w:highlight w:val="none"/>
        </w:rPr>
        <w:t>2.评标程序</w:t>
      </w:r>
    </w:p>
    <w:p w14:paraId="286D73F1">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2.1开标时，评标委员会应按照本章规定的评审环节依次进行。评审委员会应在每个阶段进行认真核查，前一顺序评审通过的方可进行下一顺序评审，任一环节未通过的均视为无效投标，已进入下一顺序评审的，除下列所列情形外，评审委员会不得对前面顺序评审的结果进行修改。①分值汇总计算错误的；②分项评分超出评分标准范围的；③评审委员会成员对客观评审因素评分不一致的。</w:t>
      </w:r>
    </w:p>
    <w:p w14:paraId="24B1BF2B">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评标报告签署前，经复核发现存在以上情形之一的，评标委员会应当场修改评标结果，并在评标报告中记载，同时报监管部门备案。</w:t>
      </w:r>
    </w:p>
    <w:p w14:paraId="4E9C619A">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2.2评标委员会对招标文件及评标方法中存在模糊不清、不易理解的内容，可要求招标人或代理机构现场解释澄清。解释澄清的内容合理的，评委会应当接受；解释澄清的内容超出了招标文件字面含义、违背了相关法律法规的，评委会应当拒绝并根据自己的专业素质做出判断。</w:t>
      </w:r>
    </w:p>
    <w:p w14:paraId="1AAB97F6">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2.3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14:paraId="55B93488">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w:t>
      </w:r>
      <w:r>
        <w:rPr>
          <w:rStyle w:val="47"/>
          <w:rFonts w:hint="eastAsia" w:ascii="宋体" w:hAnsi="宋体" w:eastAsia="宋体" w:cs="宋体"/>
          <w:color w:val="auto"/>
          <w:sz w:val="24"/>
          <w:highlight w:val="none"/>
          <w:lang w:val="en-US"/>
        </w:rPr>
        <w:t>4</w:t>
      </w:r>
      <w:r>
        <w:rPr>
          <w:rStyle w:val="47"/>
          <w:rFonts w:hint="eastAsia" w:ascii="宋体" w:hAnsi="宋体" w:eastAsia="宋体" w:cs="宋体"/>
          <w:color w:val="auto"/>
          <w:sz w:val="24"/>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324AC7CD">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2.5当通过投标资格评审或商务标评审的投标人少于3家的，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流标处理。</w:t>
      </w:r>
    </w:p>
    <w:p w14:paraId="781DEEA4">
      <w:pPr>
        <w:keepNext w:val="0"/>
        <w:keepLines w:val="0"/>
        <w:pageBreakBefore w:val="0"/>
        <w:widowControl w:val="0"/>
        <w:kinsoku/>
        <w:wordWrap/>
        <w:topLinePunct w:val="0"/>
        <w:bidi w:val="0"/>
        <w:adjustRightInd/>
        <w:snapToGrid/>
        <w:spacing w:line="500" w:lineRule="exact"/>
        <w:ind w:firstLine="480" w:firstLineChars="200"/>
        <w:jc w:val="both"/>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w:t>
      </w:r>
      <w:r>
        <w:rPr>
          <w:rStyle w:val="47"/>
          <w:rFonts w:hint="eastAsia" w:ascii="宋体" w:hAnsi="宋体" w:eastAsia="宋体" w:cs="宋体"/>
          <w:color w:val="auto"/>
          <w:sz w:val="24"/>
          <w:highlight w:val="none"/>
          <w:lang w:val="en-US"/>
        </w:rPr>
        <w:t>6</w:t>
      </w:r>
      <w:r>
        <w:rPr>
          <w:rStyle w:val="47"/>
          <w:rFonts w:hint="eastAsia" w:ascii="宋体" w:hAnsi="宋体" w:eastAsia="宋体" w:cs="宋体"/>
          <w:color w:val="auto"/>
          <w:sz w:val="24"/>
          <w:highlight w:val="none"/>
        </w:rPr>
        <w:t>流标的项目，评标委员会除应在评标报告上说明认定项目流标的理由外，还应分析流标产生的可能原因、招标文件有无不合理条款，并提出预防再次流标的措施和建议。</w:t>
      </w:r>
    </w:p>
    <w:p w14:paraId="25E9899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Style w:val="47"/>
          <w:rFonts w:hint="eastAsia" w:ascii="宋体" w:hAnsi="宋体" w:eastAsia="宋体" w:cs="宋体"/>
          <w:b/>
          <w:color w:val="auto"/>
          <w:kern w:val="1"/>
          <w:sz w:val="24"/>
          <w:szCs w:val="24"/>
          <w:highlight w:val="none"/>
        </w:rPr>
      </w:pPr>
      <w:r>
        <w:rPr>
          <w:rFonts w:hint="eastAsia" w:ascii="宋体" w:hAnsi="宋体" w:cs="宋体"/>
          <w:b/>
          <w:color w:val="auto"/>
          <w:kern w:val="2"/>
          <w:sz w:val="24"/>
          <w:szCs w:val="24"/>
          <w:highlight w:val="none"/>
          <w:lang w:val="en-US" w:eastAsia="zh-CN" w:bidi="ar-SA"/>
        </w:rPr>
        <w:t xml:space="preserve"> 3</w:t>
      </w:r>
      <w:r>
        <w:rPr>
          <w:rStyle w:val="47"/>
          <w:rFonts w:hint="eastAsia" w:ascii="宋体" w:hAnsi="宋体" w:eastAsia="宋体" w:cs="宋体"/>
          <w:b/>
          <w:color w:val="auto"/>
          <w:kern w:val="1"/>
          <w:sz w:val="24"/>
          <w:szCs w:val="24"/>
          <w:highlight w:val="none"/>
        </w:rPr>
        <w:t>.报价详细评审</w:t>
      </w:r>
    </w:p>
    <w:p w14:paraId="5B4E2C9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Style w:val="47"/>
          <w:rFonts w:hint="eastAsia" w:ascii="宋体" w:hAnsi="宋体" w:eastAsia="宋体" w:cs="宋体"/>
          <w:b/>
          <w:color w:val="auto"/>
          <w:kern w:val="1"/>
          <w:sz w:val="24"/>
          <w:szCs w:val="24"/>
          <w:highlight w:val="none"/>
        </w:rPr>
      </w:pPr>
      <w:r>
        <w:rPr>
          <w:rStyle w:val="47"/>
          <w:rFonts w:hint="eastAsia" w:ascii="宋体" w:hAnsi="宋体" w:eastAsia="宋体" w:cs="宋体"/>
          <w:b/>
          <w:color w:val="auto"/>
          <w:kern w:val="1"/>
          <w:sz w:val="24"/>
          <w:szCs w:val="24"/>
          <w:highlight w:val="none"/>
        </w:rPr>
        <w:t>以下所有涉及报价计算的结果均按四舍五入原则保留</w:t>
      </w:r>
      <w:r>
        <w:rPr>
          <w:rStyle w:val="47"/>
          <w:rFonts w:hint="eastAsia" w:ascii="宋体" w:hAnsi="宋体" w:eastAsia="宋体" w:cs="宋体"/>
          <w:b/>
          <w:color w:val="auto"/>
          <w:kern w:val="1"/>
          <w:sz w:val="24"/>
          <w:szCs w:val="24"/>
          <w:highlight w:val="none"/>
          <w:lang w:val="en-US"/>
        </w:rPr>
        <w:t>三</w:t>
      </w:r>
      <w:r>
        <w:rPr>
          <w:rStyle w:val="47"/>
          <w:rFonts w:hint="eastAsia" w:ascii="宋体" w:hAnsi="宋体" w:eastAsia="宋体" w:cs="宋体"/>
          <w:b/>
          <w:color w:val="auto"/>
          <w:kern w:val="1"/>
          <w:sz w:val="24"/>
          <w:szCs w:val="24"/>
          <w:highlight w:val="none"/>
        </w:rPr>
        <w:t>位小数。</w:t>
      </w:r>
    </w:p>
    <w:p w14:paraId="580E460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1确定参与商务标抽取及平均值计算的报价范围</w:t>
      </w:r>
    </w:p>
    <w:p w14:paraId="4F43E09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Style w:val="47"/>
          <w:rFonts w:hint="eastAsia" w:ascii="宋体" w:hAnsi="宋体" w:eastAsia="宋体" w:cs="宋体"/>
          <w:b/>
          <w:color w:val="auto"/>
          <w:sz w:val="24"/>
          <w:szCs w:val="24"/>
          <w:highlight w:val="none"/>
        </w:rPr>
      </w:pPr>
      <w:r>
        <w:rPr>
          <w:rStyle w:val="47"/>
          <w:rFonts w:hint="eastAsia" w:ascii="宋体" w:hAnsi="宋体" w:cs="宋体"/>
          <w:b/>
          <w:bCs/>
          <w:color w:val="auto"/>
          <w:sz w:val="24"/>
          <w:szCs w:val="24"/>
          <w:highlight w:val="none"/>
          <w:lang w:val="en-US"/>
        </w:rPr>
        <w:t>3</w:t>
      </w:r>
      <w:r>
        <w:rPr>
          <w:rStyle w:val="47"/>
          <w:rFonts w:hint="eastAsia" w:ascii="宋体" w:hAnsi="宋体" w:eastAsia="宋体" w:cs="宋体"/>
          <w:b/>
          <w:bCs/>
          <w:color w:val="auto"/>
          <w:sz w:val="24"/>
          <w:szCs w:val="24"/>
          <w:highlight w:val="none"/>
          <w:lang w:val="en-US"/>
        </w:rPr>
        <w:t>.1.2低于最高投标限价的75%或高于最高投标限价的86%的投标报价（不含本数），均不参与以下报价的抽取和平均值的计算</w:t>
      </w:r>
      <w:r>
        <w:rPr>
          <w:rStyle w:val="47"/>
          <w:rFonts w:hint="eastAsia" w:ascii="宋体" w:hAnsi="宋体" w:eastAsia="宋体" w:cs="宋体"/>
          <w:b/>
          <w:color w:val="auto"/>
          <w:sz w:val="24"/>
          <w:szCs w:val="24"/>
          <w:highlight w:val="none"/>
        </w:rPr>
        <w:t>。</w:t>
      </w:r>
    </w:p>
    <w:p w14:paraId="7BDBEE7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Fonts w:hint="eastAsia" w:ascii="宋体" w:hAnsi="宋体" w:eastAsia="宋体" w:cs="宋体"/>
          <w:color w:val="auto"/>
          <w:sz w:val="24"/>
          <w:szCs w:val="24"/>
          <w:highlight w:val="none"/>
          <w:lang w:val="en-US"/>
        </w:rPr>
      </w:pPr>
      <w:r>
        <w:rPr>
          <w:rStyle w:val="47"/>
          <w:rFonts w:hint="eastAsia" w:ascii="宋体" w:hAnsi="宋体" w:eastAsia="宋体" w:cs="宋体"/>
          <w:b/>
          <w:color w:val="auto"/>
          <w:sz w:val="24"/>
          <w:szCs w:val="24"/>
          <w:highlight w:val="none"/>
        </w:rPr>
        <w:t>当最高投标限价的</w:t>
      </w:r>
      <w:r>
        <w:rPr>
          <w:rStyle w:val="47"/>
          <w:rFonts w:hint="eastAsia" w:ascii="宋体" w:hAnsi="宋体" w:eastAsia="宋体" w:cs="宋体"/>
          <w:b/>
          <w:color w:val="auto"/>
          <w:sz w:val="24"/>
          <w:szCs w:val="24"/>
          <w:highlight w:val="none"/>
          <w:lang w:val="en-US"/>
        </w:rPr>
        <w:t>7</w:t>
      </w:r>
      <w:r>
        <w:rPr>
          <w:rStyle w:val="47"/>
          <w:rFonts w:hint="eastAsia" w:ascii="宋体" w:hAnsi="宋体" w:cs="宋体"/>
          <w:b/>
          <w:color w:val="auto"/>
          <w:sz w:val="24"/>
          <w:szCs w:val="24"/>
          <w:highlight w:val="none"/>
          <w:lang w:val="en-US"/>
        </w:rPr>
        <w:t>5</w:t>
      </w:r>
      <w:r>
        <w:rPr>
          <w:rStyle w:val="47"/>
          <w:rFonts w:hint="eastAsia" w:ascii="宋体" w:hAnsi="宋体" w:eastAsia="宋体" w:cs="宋体"/>
          <w:b/>
          <w:color w:val="auto"/>
          <w:sz w:val="24"/>
          <w:szCs w:val="24"/>
          <w:highlight w:val="none"/>
        </w:rPr>
        <w:t>%与最高投标限价的</w:t>
      </w:r>
      <w:r>
        <w:rPr>
          <w:rStyle w:val="47"/>
          <w:rFonts w:hint="eastAsia" w:ascii="宋体" w:hAnsi="宋体" w:eastAsia="宋体" w:cs="宋体"/>
          <w:b/>
          <w:color w:val="auto"/>
          <w:sz w:val="24"/>
          <w:szCs w:val="24"/>
          <w:highlight w:val="none"/>
          <w:lang w:val="en-US"/>
        </w:rPr>
        <w:t>8</w:t>
      </w:r>
      <w:r>
        <w:rPr>
          <w:rStyle w:val="47"/>
          <w:rFonts w:hint="eastAsia" w:ascii="宋体" w:hAnsi="宋体" w:cs="宋体"/>
          <w:b/>
          <w:color w:val="auto"/>
          <w:sz w:val="24"/>
          <w:szCs w:val="24"/>
          <w:highlight w:val="none"/>
          <w:lang w:val="en-US"/>
        </w:rPr>
        <w:t>6</w:t>
      </w:r>
      <w:r>
        <w:rPr>
          <w:rStyle w:val="47"/>
          <w:rFonts w:hint="eastAsia" w:ascii="宋体" w:hAnsi="宋体" w:eastAsia="宋体" w:cs="宋体"/>
          <w:b/>
          <w:color w:val="auto"/>
          <w:sz w:val="24"/>
          <w:szCs w:val="24"/>
          <w:highlight w:val="none"/>
        </w:rPr>
        <w:t>%之间无投标报价时（含本数），属于报价异常，本项目做流标处理。</w:t>
      </w:r>
    </w:p>
    <w:p w14:paraId="057DE3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 xml:space="preserve">.2 </w:t>
      </w:r>
      <w:r>
        <w:rPr>
          <w:rFonts w:hint="eastAsia" w:ascii="宋体" w:hAnsi="宋体" w:eastAsia="宋体" w:cs="宋体"/>
          <w:b/>
          <w:color w:val="auto"/>
          <w:sz w:val="24"/>
          <w:szCs w:val="24"/>
          <w:highlight w:val="none"/>
        </w:rPr>
        <w:t>计算投标报价算术平均值b</w:t>
      </w:r>
    </w:p>
    <w:p w14:paraId="40F49D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设通过前述各步骤评审的投标人数量为M</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最高投标限价为A。</w:t>
      </w:r>
    </w:p>
    <w:p w14:paraId="3505B9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M≤10时，按由高到低顺序去掉报价高的M×20%（四舍五入取整数）家和按由低到高顺序去掉报价低的M×10%（四舍五入取整数）家后，在此范围内的所有投标报价取算术平均值为b值（当投标单位家数M≤5时，则取所有投标报价的算术平均值为b值）；</w:t>
      </w:r>
    </w:p>
    <w:p w14:paraId="419158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当M＞10时，去除n个最高报价和最低报价后（不同投标人报价相同的不作为1个报价计算），代理机构在开标现场从其他投标报价中随机抽取N个投标报价进行算术平均（抽取方法见下表），算术平均值为b：</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5"/>
        <w:gridCol w:w="2161"/>
        <w:gridCol w:w="1759"/>
        <w:gridCol w:w="1759"/>
      </w:tblGrid>
      <w:tr w14:paraId="5C096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14:paraId="13A22E09">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投标人数量（M）</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C542D0C">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去除的报价</w:t>
            </w:r>
          </w:p>
          <w:p w14:paraId="3D3E47C4">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数量（n）</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ADD5812">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抽取的投标</w:t>
            </w:r>
          </w:p>
          <w:p w14:paraId="1E35CB81">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数量（N）</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E491937">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算术平均值（b）</w:t>
            </w:r>
          </w:p>
        </w:tc>
      </w:tr>
      <w:tr w14:paraId="13CCB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85" w:type="dxa"/>
            <w:tcBorders>
              <w:top w:val="single" w:color="auto" w:sz="4" w:space="0"/>
              <w:left w:val="single" w:color="auto" w:sz="4" w:space="0"/>
              <w:bottom w:val="nil"/>
              <w:right w:val="single" w:color="auto" w:sz="4" w:space="0"/>
            </w:tcBorders>
            <w:noWrap w:val="0"/>
            <w:vAlign w:val="center"/>
          </w:tcPr>
          <w:p w14:paraId="47260CB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10﹤M≤20</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4374C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n=2</w:t>
            </w:r>
          </w:p>
        </w:tc>
        <w:tc>
          <w:tcPr>
            <w:tcW w:w="1759" w:type="dxa"/>
            <w:tcBorders>
              <w:top w:val="single" w:color="auto" w:sz="4" w:space="0"/>
              <w:left w:val="single" w:color="auto" w:sz="4" w:space="0"/>
              <w:bottom w:val="single" w:color="auto" w:sz="4" w:space="0"/>
              <w:right w:val="single" w:color="auto" w:sz="4" w:space="0"/>
            </w:tcBorders>
            <w:noWrap w:val="0"/>
            <w:vAlign w:val="bottom"/>
          </w:tcPr>
          <w:p w14:paraId="0BB117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N=6</w:t>
            </w:r>
          </w:p>
        </w:tc>
        <w:tc>
          <w:tcPr>
            <w:tcW w:w="1759" w:type="dxa"/>
            <w:vMerge w:val="restart"/>
            <w:tcBorders>
              <w:top w:val="single" w:color="auto" w:sz="4" w:space="0"/>
              <w:left w:val="single" w:color="auto" w:sz="4" w:space="0"/>
              <w:bottom w:val="nil"/>
              <w:right w:val="single" w:color="auto" w:sz="4" w:space="0"/>
            </w:tcBorders>
            <w:noWrap w:val="0"/>
            <w:vAlign w:val="center"/>
          </w:tcPr>
          <w:p w14:paraId="4B8E27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对抽取的N个报价算术平均</w:t>
            </w:r>
          </w:p>
        </w:tc>
      </w:tr>
      <w:tr w14:paraId="76A40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85" w:type="dxa"/>
            <w:tcBorders>
              <w:top w:val="single" w:color="auto" w:sz="4" w:space="0"/>
              <w:left w:val="single" w:color="auto" w:sz="4" w:space="0"/>
              <w:bottom w:val="nil"/>
              <w:right w:val="single" w:color="auto" w:sz="4" w:space="0"/>
            </w:tcBorders>
            <w:noWrap w:val="0"/>
            <w:vAlign w:val="center"/>
          </w:tcPr>
          <w:p w14:paraId="1B0EB0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20﹤M≤30</w:t>
            </w:r>
          </w:p>
        </w:tc>
        <w:tc>
          <w:tcPr>
            <w:tcW w:w="2161" w:type="dxa"/>
            <w:tcBorders>
              <w:top w:val="single" w:color="auto" w:sz="4" w:space="0"/>
              <w:left w:val="single" w:color="auto" w:sz="4" w:space="0"/>
              <w:bottom w:val="nil"/>
              <w:right w:val="single" w:color="auto" w:sz="4" w:space="0"/>
            </w:tcBorders>
            <w:noWrap w:val="0"/>
            <w:vAlign w:val="center"/>
          </w:tcPr>
          <w:p w14:paraId="13C89C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n=3</w:t>
            </w:r>
          </w:p>
        </w:tc>
        <w:tc>
          <w:tcPr>
            <w:tcW w:w="1759" w:type="dxa"/>
            <w:vMerge w:val="restart"/>
            <w:tcBorders>
              <w:top w:val="single" w:color="auto" w:sz="4" w:space="0"/>
              <w:left w:val="single" w:color="auto" w:sz="4" w:space="0"/>
              <w:bottom w:val="single" w:color="auto" w:sz="4" w:space="0"/>
              <w:right w:val="single" w:color="auto" w:sz="4" w:space="0"/>
            </w:tcBorders>
            <w:noWrap w:val="0"/>
            <w:vAlign w:val="center"/>
          </w:tcPr>
          <w:p w14:paraId="3E2FD1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N=8</w:t>
            </w:r>
          </w:p>
        </w:tc>
        <w:tc>
          <w:tcPr>
            <w:tcW w:w="1759" w:type="dxa"/>
            <w:vMerge w:val="continue"/>
            <w:tcBorders>
              <w:top w:val="nil"/>
              <w:left w:val="single" w:color="auto" w:sz="4" w:space="0"/>
              <w:bottom w:val="nil"/>
              <w:right w:val="single" w:color="auto" w:sz="4" w:space="0"/>
            </w:tcBorders>
            <w:noWrap w:val="0"/>
            <w:vAlign w:val="center"/>
          </w:tcPr>
          <w:p w14:paraId="20C7D526">
            <w:pPr>
              <w:jc w:val="center"/>
              <w:rPr>
                <w:rFonts w:hint="eastAsia" w:ascii="宋体" w:hAnsi="宋体" w:eastAsia="宋体" w:cs="宋体"/>
                <w:color w:val="auto"/>
                <w:sz w:val="24"/>
                <w:szCs w:val="24"/>
                <w:highlight w:val="none"/>
              </w:rPr>
            </w:pPr>
          </w:p>
        </w:tc>
      </w:tr>
      <w:tr w14:paraId="7A3A9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14:paraId="70ABFD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30﹤M≤40</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0EF53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n=4</w:t>
            </w:r>
          </w:p>
        </w:tc>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14:paraId="3B3CFFA8">
            <w:pPr>
              <w:jc w:val="center"/>
              <w:rPr>
                <w:rFonts w:hint="eastAsia" w:ascii="宋体" w:hAnsi="宋体" w:eastAsia="宋体" w:cs="宋体"/>
                <w:color w:val="auto"/>
                <w:sz w:val="24"/>
                <w:szCs w:val="24"/>
                <w:highlight w:val="none"/>
              </w:rPr>
            </w:pPr>
          </w:p>
        </w:tc>
        <w:tc>
          <w:tcPr>
            <w:tcW w:w="1759" w:type="dxa"/>
            <w:vMerge w:val="continue"/>
            <w:tcBorders>
              <w:top w:val="nil"/>
              <w:left w:val="single" w:color="auto" w:sz="4" w:space="0"/>
              <w:bottom w:val="nil"/>
              <w:right w:val="single" w:color="auto" w:sz="4" w:space="0"/>
            </w:tcBorders>
            <w:noWrap w:val="0"/>
            <w:vAlign w:val="center"/>
          </w:tcPr>
          <w:p w14:paraId="46FA79DF">
            <w:pPr>
              <w:jc w:val="center"/>
              <w:rPr>
                <w:rFonts w:hint="eastAsia" w:ascii="宋体" w:hAnsi="宋体" w:eastAsia="宋体" w:cs="宋体"/>
                <w:color w:val="auto"/>
                <w:sz w:val="24"/>
                <w:szCs w:val="24"/>
                <w:highlight w:val="none"/>
              </w:rPr>
            </w:pPr>
          </w:p>
        </w:tc>
      </w:tr>
      <w:tr w14:paraId="3DEFA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14:paraId="35CBBC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M值以此类推</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2859CC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n值以此类推</w:t>
            </w:r>
          </w:p>
        </w:tc>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14:paraId="26468DFC">
            <w:pPr>
              <w:jc w:val="center"/>
              <w:rPr>
                <w:rFonts w:hint="eastAsia" w:ascii="宋体" w:hAnsi="宋体" w:eastAsia="宋体" w:cs="宋体"/>
                <w:color w:val="auto"/>
                <w:sz w:val="24"/>
                <w:szCs w:val="24"/>
                <w:highlight w:val="none"/>
              </w:rPr>
            </w:pPr>
          </w:p>
        </w:tc>
        <w:tc>
          <w:tcPr>
            <w:tcW w:w="1759" w:type="dxa"/>
            <w:vMerge w:val="continue"/>
            <w:tcBorders>
              <w:top w:val="nil"/>
              <w:left w:val="single" w:color="auto" w:sz="4" w:space="0"/>
              <w:bottom w:val="single" w:color="auto" w:sz="4" w:space="0"/>
              <w:right w:val="single" w:color="auto" w:sz="4" w:space="0"/>
            </w:tcBorders>
            <w:noWrap w:val="0"/>
            <w:vAlign w:val="center"/>
          </w:tcPr>
          <w:p w14:paraId="5D705B57">
            <w:pPr>
              <w:jc w:val="center"/>
              <w:rPr>
                <w:rFonts w:hint="eastAsia" w:ascii="宋体" w:hAnsi="宋体" w:eastAsia="宋体" w:cs="宋体"/>
                <w:color w:val="auto"/>
                <w:sz w:val="24"/>
                <w:szCs w:val="24"/>
                <w:highlight w:val="none"/>
              </w:rPr>
            </w:pPr>
          </w:p>
        </w:tc>
      </w:tr>
    </w:tbl>
    <w:p w14:paraId="6B9285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2.2对上述参与算术平均值计算的N个投标人需进行投标资格初步评审及商务标审查，如有因投标资格初步评审或商务标审查未通过导致投标人不足N家且仍有合格的投标人可递补的，按照参与报价抽取范围的条件，补充抽取至满足N家为止：</w:t>
      </w:r>
    </w:p>
    <w:p w14:paraId="60D2DEB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.2.3投标资格初步评审</w:t>
      </w:r>
    </w:p>
    <w:tbl>
      <w:tblPr>
        <w:tblStyle w:val="27"/>
        <w:tblW w:w="949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2"/>
        <w:gridCol w:w="1453"/>
        <w:gridCol w:w="3572"/>
        <w:gridCol w:w="3718"/>
      </w:tblGrid>
      <w:tr w14:paraId="0ED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578961DF">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53" w:type="dxa"/>
            <w:tcBorders>
              <w:top w:val="single" w:color="auto" w:sz="4" w:space="0"/>
              <w:left w:val="single" w:color="auto" w:sz="4" w:space="0"/>
              <w:bottom w:val="single" w:color="auto" w:sz="4" w:space="0"/>
              <w:right w:val="single" w:color="auto" w:sz="4" w:space="0"/>
            </w:tcBorders>
            <w:noWrap/>
            <w:vAlign w:val="center"/>
          </w:tcPr>
          <w:p w14:paraId="14E8A563">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评审项目</w:t>
            </w:r>
          </w:p>
        </w:tc>
        <w:tc>
          <w:tcPr>
            <w:tcW w:w="3572" w:type="dxa"/>
            <w:tcBorders>
              <w:top w:val="single" w:color="auto" w:sz="4" w:space="0"/>
              <w:left w:val="single" w:color="auto" w:sz="4" w:space="0"/>
              <w:bottom w:val="single" w:color="auto" w:sz="4" w:space="0"/>
              <w:right w:val="single" w:color="auto" w:sz="4" w:space="0"/>
            </w:tcBorders>
            <w:noWrap/>
            <w:vAlign w:val="center"/>
          </w:tcPr>
          <w:p w14:paraId="7E1E03BC">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证明材料</w:t>
            </w:r>
          </w:p>
        </w:tc>
        <w:tc>
          <w:tcPr>
            <w:tcW w:w="3718" w:type="dxa"/>
            <w:tcBorders>
              <w:top w:val="single" w:color="auto" w:sz="4" w:space="0"/>
              <w:left w:val="single" w:color="auto" w:sz="4" w:space="0"/>
              <w:bottom w:val="single" w:color="auto" w:sz="4" w:space="0"/>
              <w:right w:val="single" w:color="auto" w:sz="4" w:space="0"/>
            </w:tcBorders>
            <w:noWrap/>
            <w:vAlign w:val="center"/>
          </w:tcPr>
          <w:p w14:paraId="5AD50C4A">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情况说明</w:t>
            </w:r>
          </w:p>
        </w:tc>
      </w:tr>
      <w:tr w14:paraId="0081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63898CD6">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453" w:type="dxa"/>
            <w:tcBorders>
              <w:top w:val="single" w:color="auto" w:sz="4" w:space="0"/>
              <w:left w:val="single" w:color="auto" w:sz="4" w:space="0"/>
              <w:bottom w:val="single" w:color="auto" w:sz="4" w:space="0"/>
              <w:right w:val="single" w:color="auto" w:sz="4" w:space="0"/>
            </w:tcBorders>
            <w:noWrap/>
            <w:vAlign w:val="center"/>
          </w:tcPr>
          <w:p w14:paraId="2B840454">
            <w:pPr>
              <w:keepNext w:val="0"/>
              <w:keepLines w:val="0"/>
              <w:pageBreakBefore w:val="0"/>
              <w:widowControl/>
              <w:kinsoku/>
              <w:overflowPunct/>
              <w:topLinePunct w:val="0"/>
              <w:autoSpaceDE/>
              <w:autoSpaceDN/>
              <w:bidi w:val="0"/>
              <w:adjustRightInd/>
              <w:snapToGrid/>
              <w:spacing w:line="40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企业资质</w:t>
            </w:r>
          </w:p>
        </w:tc>
        <w:tc>
          <w:tcPr>
            <w:tcW w:w="3572" w:type="dxa"/>
            <w:tcBorders>
              <w:top w:val="single" w:color="auto" w:sz="4" w:space="0"/>
              <w:left w:val="single" w:color="auto" w:sz="4" w:space="0"/>
              <w:bottom w:val="single" w:color="auto" w:sz="4" w:space="0"/>
              <w:right w:val="single" w:color="auto" w:sz="4" w:space="0"/>
            </w:tcBorders>
            <w:noWrap/>
            <w:vAlign w:val="center"/>
          </w:tcPr>
          <w:p w14:paraId="0FA1A1D3">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按照招标公告(资质最低条件)提供材料</w:t>
            </w:r>
          </w:p>
        </w:tc>
        <w:tc>
          <w:tcPr>
            <w:tcW w:w="3718" w:type="dxa"/>
            <w:tcBorders>
              <w:top w:val="single" w:color="auto" w:sz="4" w:space="0"/>
              <w:left w:val="single" w:color="auto" w:sz="4" w:space="0"/>
              <w:right w:val="single" w:color="auto" w:sz="4" w:space="0"/>
            </w:tcBorders>
            <w:noWrap/>
            <w:vAlign w:val="center"/>
          </w:tcPr>
          <w:p w14:paraId="48B3897C">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ascii="宋体" w:hAnsi="宋体" w:cs="宋体"/>
                <w:color w:val="auto"/>
                <w:sz w:val="24"/>
                <w:highlight w:val="none"/>
              </w:rPr>
              <w:t>有效的营业执照、企业资质等级证书、安全生产许可证复印件</w:t>
            </w:r>
            <w:r>
              <w:rPr>
                <w:rFonts w:hint="eastAsia" w:ascii="宋体" w:hAnsi="宋体" w:cs="宋体"/>
                <w:color w:val="auto"/>
                <w:sz w:val="24"/>
                <w:highlight w:val="none"/>
              </w:rPr>
              <w:t>或影印件</w:t>
            </w:r>
            <w:r>
              <w:rPr>
                <w:rFonts w:ascii="宋体" w:hAnsi="宋体" w:cs="宋体"/>
                <w:color w:val="auto"/>
                <w:sz w:val="24"/>
                <w:highlight w:val="none"/>
              </w:rPr>
              <w:t>放入投标文件，纸质证照和电子证照皆可。</w:t>
            </w:r>
          </w:p>
        </w:tc>
      </w:tr>
      <w:tr w14:paraId="578D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75F1A09">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53" w:type="dxa"/>
            <w:tcBorders>
              <w:top w:val="single" w:color="auto" w:sz="4" w:space="0"/>
              <w:left w:val="single" w:color="auto" w:sz="4" w:space="0"/>
              <w:bottom w:val="single" w:color="auto" w:sz="4" w:space="0"/>
              <w:right w:val="single" w:color="auto" w:sz="4" w:space="0"/>
            </w:tcBorders>
            <w:noWrap/>
            <w:vAlign w:val="center"/>
          </w:tcPr>
          <w:p w14:paraId="3A09E307">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3572" w:type="dxa"/>
            <w:tcBorders>
              <w:top w:val="single" w:color="auto" w:sz="4" w:space="0"/>
              <w:left w:val="single" w:color="auto" w:sz="4" w:space="0"/>
              <w:bottom w:val="single" w:color="auto" w:sz="4" w:space="0"/>
              <w:right w:val="single" w:color="auto" w:sz="4" w:space="0"/>
            </w:tcBorders>
            <w:noWrap/>
            <w:vAlign w:val="center"/>
          </w:tcPr>
          <w:p w14:paraId="366B9876">
            <w:pPr>
              <w:keepNext w:val="0"/>
              <w:keepLines w:val="0"/>
              <w:pageBreakBefore w:val="0"/>
              <w:widowControl/>
              <w:kinsoku/>
              <w:overflowPunct/>
              <w:topLinePunct w:val="0"/>
              <w:autoSpaceDE/>
              <w:autoSpaceDN/>
              <w:bidi w:val="0"/>
              <w:adjustRightInd/>
              <w:snapToGrid/>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按照招标公告（项目经理最低要求）提供材料</w:t>
            </w:r>
          </w:p>
        </w:tc>
        <w:tc>
          <w:tcPr>
            <w:tcW w:w="3718" w:type="dxa"/>
            <w:tcBorders>
              <w:top w:val="single" w:color="auto" w:sz="4" w:space="0"/>
              <w:left w:val="single" w:color="auto" w:sz="4" w:space="0"/>
              <w:right w:val="single" w:color="auto" w:sz="4" w:space="0"/>
            </w:tcBorders>
            <w:noWrap/>
            <w:vAlign w:val="center"/>
          </w:tcPr>
          <w:p w14:paraId="6AD4E138">
            <w:pPr>
              <w:keepNext w:val="0"/>
              <w:keepLines w:val="0"/>
              <w:pageBreakBefore w:val="0"/>
              <w:widowControl/>
              <w:kinsoku/>
              <w:overflowPunct/>
              <w:topLinePunct w:val="0"/>
              <w:autoSpaceDE/>
              <w:autoSpaceDN/>
              <w:bidi w:val="0"/>
              <w:adjustRightInd/>
              <w:snapToGrid/>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有效的资格证书、安全生产考核B证、</w:t>
            </w:r>
            <w:r>
              <w:rPr>
                <w:rFonts w:hint="eastAsia" w:hAnsi="宋体" w:cs="仿宋_GB2312"/>
                <w:bCs/>
                <w:color w:val="auto"/>
                <w:sz w:val="24"/>
                <w:highlight w:val="none"/>
              </w:rPr>
              <w:t>社保证明</w:t>
            </w:r>
            <w:r>
              <w:rPr>
                <w:rFonts w:hint="eastAsia" w:ascii="宋体" w:hAnsi="宋体" w:cs="宋体"/>
                <w:color w:val="auto"/>
                <w:sz w:val="24"/>
                <w:highlight w:val="none"/>
              </w:rPr>
              <w:t>复印件或影印件加盖公章放入投标文件中，纸质证照和电子证照皆可。</w:t>
            </w:r>
          </w:p>
        </w:tc>
      </w:tr>
      <w:tr w14:paraId="3238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486EC2E7">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53" w:type="dxa"/>
            <w:tcBorders>
              <w:top w:val="single" w:color="auto" w:sz="4" w:space="0"/>
              <w:left w:val="single" w:color="auto" w:sz="4" w:space="0"/>
              <w:bottom w:val="single" w:color="auto" w:sz="4" w:space="0"/>
              <w:right w:val="single" w:color="auto" w:sz="4" w:space="0"/>
            </w:tcBorders>
            <w:noWrap/>
            <w:vAlign w:val="center"/>
          </w:tcPr>
          <w:p w14:paraId="47B8677B">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3572" w:type="dxa"/>
            <w:tcBorders>
              <w:top w:val="single" w:color="auto" w:sz="4" w:space="0"/>
              <w:left w:val="single" w:color="auto" w:sz="4" w:space="0"/>
              <w:bottom w:val="single" w:color="auto" w:sz="4" w:space="0"/>
              <w:right w:val="single" w:color="auto" w:sz="4" w:space="0"/>
            </w:tcBorders>
            <w:noWrap/>
            <w:vAlign w:val="center"/>
          </w:tcPr>
          <w:p w14:paraId="78860704">
            <w:pPr>
              <w:keepNext w:val="0"/>
              <w:keepLines w:val="0"/>
              <w:pageBreakBefore w:val="0"/>
              <w:tabs>
                <w:tab w:val="left" w:pos="945"/>
              </w:tabs>
              <w:kinsoku/>
              <w:overflowPunct/>
              <w:topLinePunct w:val="0"/>
              <w:autoSpaceDE/>
              <w:autoSpaceDN/>
              <w:bidi w:val="0"/>
              <w:adjustRightInd/>
              <w:snapToGrid/>
              <w:spacing w:line="400" w:lineRule="exact"/>
              <w:rPr>
                <w:rFonts w:hint="eastAsia" w:ascii="宋体" w:hAnsi="宋体" w:cs="宋体"/>
                <w:color w:val="auto"/>
                <w:sz w:val="24"/>
                <w:highlight w:val="none"/>
              </w:rPr>
            </w:pPr>
            <w:r>
              <w:rPr>
                <w:rFonts w:hint="eastAsia" w:ascii="宋体" w:hAnsi="宋体" w:cs="宋体"/>
                <w:color w:val="auto"/>
                <w:sz w:val="24"/>
                <w:highlight w:val="none"/>
              </w:rPr>
              <w:t>按投标人须知前附表的要求提供材料</w:t>
            </w:r>
          </w:p>
        </w:tc>
        <w:tc>
          <w:tcPr>
            <w:tcW w:w="3718" w:type="dxa"/>
            <w:tcBorders>
              <w:top w:val="single" w:color="auto" w:sz="4" w:space="0"/>
              <w:left w:val="single" w:color="auto" w:sz="4" w:space="0"/>
              <w:right w:val="single" w:color="auto" w:sz="4" w:space="0"/>
            </w:tcBorders>
            <w:noWrap/>
            <w:vAlign w:val="center"/>
          </w:tcPr>
          <w:p w14:paraId="3A0990DB">
            <w:pPr>
              <w:keepNext w:val="0"/>
              <w:keepLines w:val="0"/>
              <w:pageBreakBefore w:val="0"/>
              <w:tabs>
                <w:tab w:val="left" w:pos="945"/>
              </w:tabs>
              <w:kinsoku/>
              <w:overflowPunct/>
              <w:topLinePunct w:val="0"/>
              <w:autoSpaceDE/>
              <w:autoSpaceDN/>
              <w:bidi w:val="0"/>
              <w:adjustRightInd/>
              <w:snapToGrid/>
              <w:spacing w:line="400" w:lineRule="exact"/>
              <w:rPr>
                <w:rFonts w:hint="eastAsia" w:ascii="宋体" w:hAnsi="宋体" w:cs="宋体"/>
                <w:color w:val="auto"/>
                <w:sz w:val="24"/>
                <w:highlight w:val="none"/>
              </w:rPr>
            </w:pPr>
            <w:r>
              <w:rPr>
                <w:rFonts w:hint="eastAsia" w:ascii="宋体" w:hAnsi="宋体" w:cs="宋体"/>
                <w:color w:val="auto"/>
                <w:sz w:val="24"/>
                <w:highlight w:val="none"/>
              </w:rPr>
              <w:t>1.转账形式保证金缴纳情况由招标代理机构对比确认。</w:t>
            </w:r>
          </w:p>
          <w:p w14:paraId="05A953A9">
            <w:pPr>
              <w:keepNext w:val="0"/>
              <w:keepLines w:val="0"/>
              <w:pageBreakBefore w:val="0"/>
              <w:tabs>
                <w:tab w:val="left" w:pos="945"/>
              </w:tabs>
              <w:kinsoku/>
              <w:overflowPunct/>
              <w:topLinePunct w:val="0"/>
              <w:autoSpaceDE/>
              <w:autoSpaceDN/>
              <w:bidi w:val="0"/>
              <w:adjustRightInd/>
              <w:snapToGrid/>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2.投标保证金其他要求见投标人须知前附表。</w:t>
            </w:r>
          </w:p>
        </w:tc>
      </w:tr>
      <w:tr w14:paraId="70AC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45F57D54">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53" w:type="dxa"/>
            <w:tcBorders>
              <w:top w:val="single" w:color="auto" w:sz="4" w:space="0"/>
              <w:left w:val="single" w:color="auto" w:sz="4" w:space="0"/>
              <w:bottom w:val="single" w:color="auto" w:sz="4" w:space="0"/>
              <w:right w:val="single" w:color="auto" w:sz="4" w:space="0"/>
            </w:tcBorders>
            <w:noWrap/>
            <w:vAlign w:val="center"/>
          </w:tcPr>
          <w:p w14:paraId="6D55EACE">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诚信承诺书</w:t>
            </w:r>
          </w:p>
        </w:tc>
        <w:tc>
          <w:tcPr>
            <w:tcW w:w="3572" w:type="dxa"/>
            <w:tcBorders>
              <w:top w:val="single" w:color="auto" w:sz="4" w:space="0"/>
              <w:left w:val="single" w:color="auto" w:sz="4" w:space="0"/>
              <w:bottom w:val="single" w:color="auto" w:sz="4" w:space="0"/>
              <w:right w:val="single" w:color="auto" w:sz="4" w:space="0"/>
            </w:tcBorders>
            <w:noWrap/>
            <w:vAlign w:val="center"/>
          </w:tcPr>
          <w:p w14:paraId="1D9BA681">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按给定格式填写盖章</w:t>
            </w:r>
          </w:p>
        </w:tc>
        <w:tc>
          <w:tcPr>
            <w:tcW w:w="3718" w:type="dxa"/>
            <w:tcBorders>
              <w:top w:val="single" w:color="auto" w:sz="4" w:space="0"/>
              <w:left w:val="single" w:color="auto" w:sz="4" w:space="0"/>
              <w:bottom w:val="single" w:color="auto" w:sz="4" w:space="0"/>
              <w:right w:val="single" w:color="auto" w:sz="4" w:space="0"/>
            </w:tcBorders>
            <w:noWrap/>
            <w:vAlign w:val="center"/>
          </w:tcPr>
          <w:p w14:paraId="57EC0BBC">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2C25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A278DAD">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453" w:type="dxa"/>
            <w:tcBorders>
              <w:top w:val="single" w:color="auto" w:sz="4" w:space="0"/>
              <w:left w:val="single" w:color="auto" w:sz="4" w:space="0"/>
              <w:bottom w:val="single" w:color="auto" w:sz="4" w:space="0"/>
              <w:right w:val="single" w:color="auto" w:sz="4" w:space="0"/>
            </w:tcBorders>
            <w:noWrap/>
            <w:vAlign w:val="center"/>
          </w:tcPr>
          <w:p w14:paraId="46AC3069">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项目经理到岗承诺</w:t>
            </w:r>
          </w:p>
        </w:tc>
        <w:tc>
          <w:tcPr>
            <w:tcW w:w="3572" w:type="dxa"/>
            <w:tcBorders>
              <w:top w:val="single" w:color="auto" w:sz="4" w:space="0"/>
              <w:left w:val="single" w:color="auto" w:sz="4" w:space="0"/>
              <w:bottom w:val="single" w:color="auto" w:sz="4" w:space="0"/>
              <w:right w:val="single" w:color="auto" w:sz="4" w:space="0"/>
            </w:tcBorders>
            <w:noWrap/>
            <w:vAlign w:val="center"/>
          </w:tcPr>
          <w:p w14:paraId="406CCE03">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按给定的格式填写盖章</w:t>
            </w:r>
          </w:p>
        </w:tc>
        <w:tc>
          <w:tcPr>
            <w:tcW w:w="3718" w:type="dxa"/>
            <w:tcBorders>
              <w:top w:val="single" w:color="auto" w:sz="4" w:space="0"/>
              <w:left w:val="single" w:color="auto" w:sz="4" w:space="0"/>
              <w:bottom w:val="single" w:color="auto" w:sz="4" w:space="0"/>
              <w:right w:val="single" w:color="auto" w:sz="4" w:space="0"/>
            </w:tcBorders>
            <w:noWrap/>
            <w:vAlign w:val="center"/>
          </w:tcPr>
          <w:p w14:paraId="48192A46">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01B8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3E588899">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453" w:type="dxa"/>
            <w:tcBorders>
              <w:top w:val="single" w:color="auto" w:sz="4" w:space="0"/>
              <w:left w:val="single" w:color="auto" w:sz="4" w:space="0"/>
              <w:bottom w:val="single" w:color="auto" w:sz="4" w:space="0"/>
              <w:right w:val="single" w:color="auto" w:sz="4" w:space="0"/>
            </w:tcBorders>
            <w:noWrap/>
            <w:vAlign w:val="center"/>
          </w:tcPr>
          <w:p w14:paraId="5E5D8E66">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授权委托书、法定代表人身份证明书</w:t>
            </w:r>
          </w:p>
        </w:tc>
        <w:tc>
          <w:tcPr>
            <w:tcW w:w="3572" w:type="dxa"/>
            <w:tcBorders>
              <w:top w:val="single" w:color="auto" w:sz="4" w:space="0"/>
              <w:left w:val="single" w:color="auto" w:sz="4" w:space="0"/>
              <w:bottom w:val="single" w:color="auto" w:sz="4" w:space="0"/>
              <w:right w:val="single" w:color="auto" w:sz="4" w:space="0"/>
            </w:tcBorders>
            <w:noWrap/>
            <w:vAlign w:val="center"/>
          </w:tcPr>
          <w:p w14:paraId="29159CFB">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非法定代表人的，提供授权委托书；法人到场的，无需授权委托书。需按给定的格式填写、盖章</w:t>
            </w:r>
          </w:p>
        </w:tc>
        <w:tc>
          <w:tcPr>
            <w:tcW w:w="3718" w:type="dxa"/>
            <w:tcBorders>
              <w:top w:val="single" w:color="auto" w:sz="4" w:space="0"/>
              <w:left w:val="single" w:color="auto" w:sz="4" w:space="0"/>
              <w:bottom w:val="single" w:color="auto" w:sz="4" w:space="0"/>
              <w:right w:val="single" w:color="auto" w:sz="4" w:space="0"/>
            </w:tcBorders>
            <w:noWrap/>
            <w:vAlign w:val="center"/>
          </w:tcPr>
          <w:p w14:paraId="017B5A74">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①授权委托书及法定代表人身份证明书加盖投标单位公章的原件装订在投标文件内。</w:t>
            </w:r>
          </w:p>
          <w:p w14:paraId="2F108ADB">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②被授权人身份证及法定代表人身份证扫描件（复印件）加盖投标单位公章装订在投标文件中。</w:t>
            </w:r>
          </w:p>
        </w:tc>
      </w:tr>
      <w:tr w14:paraId="7AC9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7CE3EA0F">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453" w:type="dxa"/>
            <w:tcBorders>
              <w:top w:val="single" w:color="auto" w:sz="4" w:space="0"/>
              <w:left w:val="single" w:color="auto" w:sz="4" w:space="0"/>
              <w:bottom w:val="single" w:color="auto" w:sz="4" w:space="0"/>
              <w:right w:val="single" w:color="auto" w:sz="4" w:space="0"/>
            </w:tcBorders>
            <w:noWrap/>
            <w:vAlign w:val="center"/>
          </w:tcPr>
          <w:p w14:paraId="75058E1A">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中小企业声明函</w:t>
            </w:r>
          </w:p>
        </w:tc>
        <w:tc>
          <w:tcPr>
            <w:tcW w:w="3572" w:type="dxa"/>
            <w:tcBorders>
              <w:top w:val="single" w:color="auto" w:sz="4" w:space="0"/>
              <w:left w:val="single" w:color="auto" w:sz="4" w:space="0"/>
              <w:bottom w:val="single" w:color="auto" w:sz="4" w:space="0"/>
              <w:right w:val="single" w:color="auto" w:sz="4" w:space="0"/>
            </w:tcBorders>
            <w:noWrap/>
            <w:vAlign w:val="center"/>
          </w:tcPr>
          <w:p w14:paraId="5E929725">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Fonts w:hint="eastAsia" w:ascii="宋体" w:hAnsi="宋体" w:cs="宋体"/>
                <w:color w:val="auto"/>
                <w:sz w:val="24"/>
                <w:highlight w:val="none"/>
              </w:rPr>
              <w:t>按给定的格式填写签章</w:t>
            </w:r>
          </w:p>
        </w:tc>
        <w:tc>
          <w:tcPr>
            <w:tcW w:w="3718" w:type="dxa"/>
            <w:tcBorders>
              <w:top w:val="single" w:color="auto" w:sz="4" w:space="0"/>
              <w:left w:val="single" w:color="auto" w:sz="4" w:space="0"/>
              <w:bottom w:val="single" w:color="auto" w:sz="4" w:space="0"/>
              <w:right w:val="single" w:color="auto" w:sz="4" w:space="0"/>
            </w:tcBorders>
            <w:noWrap/>
            <w:vAlign w:val="center"/>
          </w:tcPr>
          <w:p w14:paraId="48D87BA2">
            <w:pPr>
              <w:keepNext w:val="0"/>
              <w:keepLines w:val="0"/>
              <w:pageBreakBefore w:val="0"/>
              <w:widowControl/>
              <w:kinsoku/>
              <w:overflowPunct/>
              <w:topLinePunct w:val="0"/>
              <w:autoSpaceDE/>
              <w:autoSpaceDN/>
              <w:bidi w:val="0"/>
              <w:adjustRightInd/>
              <w:snapToGrid/>
              <w:spacing w:line="400" w:lineRule="exact"/>
              <w:jc w:val="left"/>
              <w:rPr>
                <w:rFonts w:ascii="宋体" w:hAnsi="宋体" w:cs="宋体"/>
                <w:color w:val="auto"/>
                <w:sz w:val="24"/>
                <w:highlight w:val="none"/>
              </w:rPr>
            </w:pPr>
            <w:r>
              <w:rPr>
                <w:rStyle w:val="47"/>
                <w:rFonts w:hint="eastAsia" w:ascii="宋体" w:hAnsi="宋体" w:cs="宋体"/>
                <w:color w:val="auto"/>
                <w:kern w:val="0"/>
                <w:sz w:val="24"/>
                <w:szCs w:val="32"/>
                <w:highlight w:val="none"/>
              </w:rPr>
              <w:t>按照格式填写加盖公章放入投标文件中</w:t>
            </w:r>
          </w:p>
        </w:tc>
      </w:tr>
      <w:tr w14:paraId="1C91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3F19AE6A">
            <w:pPr>
              <w:keepNext w:val="0"/>
              <w:keepLines w:val="0"/>
              <w:pageBreakBefore w:val="0"/>
              <w:widowControl/>
              <w:kinsoku/>
              <w:overflowPunct/>
              <w:topLinePunct w:val="0"/>
              <w:autoSpaceDE/>
              <w:autoSpaceDN/>
              <w:bidi w:val="0"/>
              <w:adjustRightInd/>
              <w:snapToGrid/>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453" w:type="dxa"/>
            <w:tcBorders>
              <w:top w:val="single" w:color="auto" w:sz="4" w:space="0"/>
              <w:left w:val="single" w:color="auto" w:sz="4" w:space="0"/>
              <w:bottom w:val="single" w:color="auto" w:sz="4" w:space="0"/>
              <w:right w:val="single" w:color="auto" w:sz="4" w:space="0"/>
            </w:tcBorders>
            <w:noWrap/>
            <w:vAlign w:val="center"/>
          </w:tcPr>
          <w:p w14:paraId="293C81B1">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资质动态核查</w:t>
            </w:r>
          </w:p>
        </w:tc>
        <w:tc>
          <w:tcPr>
            <w:tcW w:w="7290" w:type="dxa"/>
            <w:gridSpan w:val="2"/>
            <w:tcBorders>
              <w:top w:val="single" w:color="auto" w:sz="4" w:space="0"/>
              <w:left w:val="single" w:color="auto" w:sz="4" w:space="0"/>
              <w:bottom w:val="single" w:color="auto" w:sz="4" w:space="0"/>
              <w:right w:val="single" w:color="auto" w:sz="4" w:space="0"/>
            </w:tcBorders>
            <w:noWrap/>
            <w:vAlign w:val="center"/>
          </w:tcPr>
          <w:p w14:paraId="56B7AA33">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cs="宋体"/>
                <w:b/>
                <w:bCs/>
                <w:color w:val="auto"/>
                <w:sz w:val="24"/>
                <w:highlight w:val="none"/>
              </w:rPr>
            </w:pPr>
            <w:r>
              <w:rPr>
                <w:rFonts w:hint="eastAsia" w:ascii="宋体" w:hAnsi="宋体" w:cs="宋体"/>
                <w:b/>
                <w:bCs/>
                <w:color w:val="auto"/>
                <w:sz w:val="24"/>
                <w:highlight w:val="none"/>
              </w:rPr>
              <w:t>根据《关于进一步规范全市建筑市场秩序的通知》（建函〔2024〕69号）要求，投标人的注册建造师必须满足相应建筑业企业资质标准要求，开标当日，评标委员会对抽取的N个投标人进行查询，评标委员会根据开标当日查询结果进行评审，具体要求如下：</w:t>
            </w:r>
          </w:p>
          <w:p w14:paraId="6664F055">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评标委员会登录全国建筑市场监管公共服务平台(https://jzsc.mohurd.gov.cn/home）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号），对关系企业履约能力的建造师数量进行评审，即：</w:t>
            </w:r>
          </w:p>
          <w:p w14:paraId="08D0FCFD">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 xml:space="preserve"> 1</w:t>
            </w:r>
            <w:r>
              <w:rPr>
                <w:rFonts w:hint="eastAsia" w:ascii="宋体" w:hAnsi="宋体" w:cs="宋体"/>
                <w:b/>
                <w:bCs/>
                <w:color w:val="auto"/>
                <w:sz w:val="24"/>
                <w:highlight w:val="none"/>
              </w:rPr>
              <w:t>、市政公用工程施工总承包：</w:t>
            </w:r>
          </w:p>
          <w:p w14:paraId="6724744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（1）市政公用工程施工总承包特级资质企业：注册一级建造师50人以上。</w:t>
            </w:r>
          </w:p>
          <w:p w14:paraId="5ACCEBD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（2）市政公用工程施工总承包壹级资质企业：市政公用工程专业一级注册建造师不少于12人。</w:t>
            </w:r>
          </w:p>
          <w:p w14:paraId="1F11635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（3）市政公用工程施工总承包贰级、叁级资质企业：市政公用工程专业注册建造师不少于5人。</w:t>
            </w:r>
          </w:p>
          <w:p w14:paraId="5DC859C1">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cs="宋体"/>
                <w:b/>
                <w:bCs/>
                <w:color w:val="auto"/>
                <w:sz w:val="24"/>
                <w:highlight w:val="none"/>
              </w:rPr>
            </w:pPr>
            <w:r>
              <w:rPr>
                <w:rFonts w:hint="eastAsia" w:ascii="宋体" w:hAnsi="宋体" w:cs="宋体"/>
                <w:b/>
                <w:bCs/>
                <w:color w:val="auto"/>
                <w:sz w:val="24"/>
                <w:highlight w:val="none"/>
              </w:rPr>
              <w:t>投标人注册建造师不满足招标文件要求的，投标资格初步评审不合格。</w:t>
            </w:r>
          </w:p>
          <w:p w14:paraId="203C0949">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 xml:space="preserve"> </w:t>
            </w:r>
          </w:p>
        </w:tc>
      </w:tr>
    </w:tbl>
    <w:p w14:paraId="24B3EF37">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cs="宋体"/>
          <w:color w:val="auto"/>
          <w:sz w:val="24"/>
          <w:szCs w:val="24"/>
          <w:highlight w:val="none"/>
        </w:rPr>
      </w:pPr>
      <w:r>
        <w:rPr>
          <w:rStyle w:val="47"/>
          <w:rFonts w:hint="eastAsia" w:ascii="宋体" w:hAnsi="宋体" w:cs="宋体"/>
          <w:color w:val="auto"/>
          <w:sz w:val="24"/>
          <w:szCs w:val="24"/>
          <w:highlight w:val="none"/>
        </w:rPr>
        <w:t>备注：</w:t>
      </w:r>
    </w:p>
    <w:p w14:paraId="73A786BE">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cs="宋体"/>
          <w:bCs/>
          <w:color w:val="auto"/>
          <w:sz w:val="24"/>
          <w:szCs w:val="24"/>
          <w:highlight w:val="none"/>
        </w:rPr>
      </w:pPr>
      <w:r>
        <w:rPr>
          <w:rStyle w:val="47"/>
          <w:rFonts w:hint="eastAsia" w:ascii="宋体" w:hAnsi="宋体" w:cs="宋体"/>
          <w:color w:val="auto"/>
          <w:sz w:val="24"/>
          <w:szCs w:val="24"/>
          <w:highlight w:val="none"/>
        </w:rPr>
        <w:t>（1）以上有一项不符合即为不合格。</w:t>
      </w:r>
      <w:r>
        <w:rPr>
          <w:rStyle w:val="47"/>
          <w:rFonts w:hint="eastAsia" w:ascii="宋体" w:hAnsi="宋体" w:cs="宋体"/>
          <w:bCs/>
          <w:color w:val="auto"/>
          <w:sz w:val="24"/>
          <w:szCs w:val="24"/>
          <w:highlight w:val="none"/>
        </w:rPr>
        <w:t>第6项中的授权委托书及法定代表人身份证明书必须提供，身份证扫描件或复印件不作为废标条件，仅用作判定其现场澄清或异议效力的依据。</w:t>
      </w:r>
    </w:p>
    <w:p w14:paraId="55805EA8">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（2）各类资质证书、合同、验收报告、营业执照、施工企业及项目负责人资质等级证书、安全生产考核证书等均不要求投标人提供原件。</w:t>
      </w:r>
    </w:p>
    <w:p w14:paraId="2015169C">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（3）投标文件封面、投标函、投标函附录、工程量清单报价表封面未按招标文件规定的投标文件格式签字或盖章的即为不合格</w:t>
      </w:r>
    </w:p>
    <w:p w14:paraId="3447A3AC">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（4）招标文件规定的不得投标、不得推荐为中标候选人的不良行为记录及失信行为均不需投标人提供相关证明材料，只需按投标文件规定格式填写并提交《诚信承诺书》即可。</w:t>
      </w:r>
    </w:p>
    <w:p w14:paraId="5A2C3031">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未按规定的格式填写，实质性内容不全或关键字迹模糊、无法辨认的资格评审不合格。</w:t>
      </w:r>
    </w:p>
    <w:p w14:paraId="368D5974">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（6）本招标文件中要求提供的社保证明材料，投标人可提供社会保险的任一险种，均予认可。</w:t>
      </w:r>
    </w:p>
    <w:p w14:paraId="3BF93C7E">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.2.4商务标审查</w:t>
      </w:r>
    </w:p>
    <w:p w14:paraId="63B8DC2C">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cs="宋体"/>
          <w:color w:val="auto"/>
          <w:sz w:val="24"/>
          <w:szCs w:val="24"/>
          <w:highlight w:val="none"/>
        </w:rPr>
      </w:pPr>
      <w:r>
        <w:rPr>
          <w:rFonts w:hint="eastAsia" w:ascii="宋体" w:hAnsi="宋体" w:cs="宋体"/>
          <w:color w:val="auto"/>
          <w:sz w:val="24"/>
          <w:szCs w:val="24"/>
          <w:highlight w:val="none"/>
        </w:rPr>
        <w:t>商务标审查中发现存在以下重大偏差之一者</w:t>
      </w:r>
      <w:r>
        <w:rPr>
          <w:rStyle w:val="47"/>
          <w:rFonts w:hint="eastAsia" w:ascii="宋体" w:hAnsi="宋体" w:cs="宋体"/>
          <w:color w:val="auto"/>
          <w:sz w:val="24"/>
          <w:szCs w:val="24"/>
          <w:highlight w:val="none"/>
        </w:rPr>
        <w:t xml:space="preserve">，将作为废标处理，即为不合格： </w:t>
      </w:r>
    </w:p>
    <w:p w14:paraId="65518670">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t>投标人投标报价超过最高投标限价的。</w:t>
      </w:r>
    </w:p>
    <w:p w14:paraId="32B92EAD">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②投标文件中填报的工程量清单报价书中的格式、内容及工程量与招标人提供给投标人报价格式、内容及工程量不一致，以致影响评标结果的</w:t>
      </w:r>
      <w:r>
        <w:rPr>
          <w:rStyle w:val="47"/>
          <w:rFonts w:hint="eastAsia" w:ascii="宋体" w:hAnsi="宋体" w:eastAsia="宋体" w:cs="宋体"/>
          <w:color w:val="auto"/>
          <w:sz w:val="24"/>
          <w:szCs w:val="24"/>
          <w:highlight w:val="none"/>
          <w:lang w:eastAsia="zh-CN"/>
        </w:rPr>
        <w:t>。</w:t>
      </w:r>
    </w:p>
    <w:p w14:paraId="07D7CA7E">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Style w:val="47"/>
          <w:rFonts w:hint="eastAsia" w:ascii="宋体" w:hAnsi="宋体" w:eastAsia="宋体" w:cs="宋体"/>
          <w:color w:val="auto"/>
          <w:sz w:val="24"/>
          <w:szCs w:val="24"/>
          <w:highlight w:val="none"/>
        </w:rPr>
        <w:t>投标文件中填报的工程量清单报价书中的分项、分部工程项目名称、内容或计量单位及工程量与招标人提供的工程量清单不一致以致影响评标结果的；</w:t>
      </w:r>
    </w:p>
    <w:p w14:paraId="7C9888BA">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④投标人在需评审的主要材料和设备中报价为0，或改变评审表报价顺序造成难以进行数据比对而无法评标的。</w:t>
      </w:r>
    </w:p>
    <w:p w14:paraId="16BBBBF8">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⑤</w:t>
      </w:r>
      <w:r>
        <w:rPr>
          <w:rStyle w:val="47"/>
          <w:rFonts w:hint="eastAsia" w:ascii="宋体" w:hAnsi="宋体" w:eastAsia="宋体" w:cs="宋体"/>
          <w:b/>
          <w:bCs/>
          <w:color w:val="auto"/>
          <w:sz w:val="24"/>
          <w:szCs w:val="24"/>
          <w:highlight w:val="none"/>
        </w:rPr>
        <w:t>评标委员会认为投标人的报价明显低于其他投标人的报价，有可能影响工程质量或者不能诚信履约的，将要求其在</w:t>
      </w:r>
      <w:r>
        <w:rPr>
          <w:rStyle w:val="47"/>
          <w:rFonts w:hint="eastAsia" w:ascii="宋体" w:hAnsi="宋体" w:eastAsia="宋体" w:cs="宋体"/>
          <w:b/>
          <w:bCs/>
          <w:color w:val="auto"/>
          <w:sz w:val="24"/>
          <w:szCs w:val="24"/>
          <w:highlight w:val="none"/>
          <w:u w:val="single" w:color="000000"/>
        </w:rPr>
        <w:t>0.5</w:t>
      </w:r>
      <w:r>
        <w:rPr>
          <w:rStyle w:val="47"/>
          <w:rFonts w:hint="eastAsia" w:ascii="宋体" w:hAnsi="宋体" w:eastAsia="宋体" w:cs="宋体"/>
          <w:b/>
          <w:bCs/>
          <w:color w:val="auto"/>
          <w:sz w:val="24"/>
          <w:szCs w:val="24"/>
          <w:highlight w:val="none"/>
        </w:rPr>
        <w:t>小时内（具体时间由评委确定）提供书面说明，必要时提交相</w:t>
      </w:r>
      <w:r>
        <w:rPr>
          <w:rStyle w:val="47"/>
          <w:rFonts w:hint="eastAsia" w:ascii="宋体" w:hAnsi="宋体" w:eastAsia="宋体" w:cs="宋体"/>
          <w:b/>
          <w:color w:val="auto"/>
          <w:sz w:val="24"/>
          <w:szCs w:val="24"/>
          <w:highlight w:val="none"/>
        </w:rPr>
        <w:t>关证明材</w:t>
      </w:r>
      <w:r>
        <w:rPr>
          <w:rStyle w:val="47"/>
          <w:rFonts w:hint="eastAsia" w:ascii="宋体" w:hAnsi="宋体" w:eastAsia="宋体" w:cs="宋体"/>
          <w:b/>
          <w:bCs/>
          <w:color w:val="auto"/>
          <w:sz w:val="24"/>
          <w:szCs w:val="24"/>
          <w:highlight w:val="none"/>
        </w:rPr>
        <w:t>料，评标委员会认定其报价低于成本的将否决其投标，未在规定时间递交说明或证明材料的投标也将被否决</w:t>
      </w:r>
      <w:r>
        <w:rPr>
          <w:rStyle w:val="47"/>
          <w:rFonts w:hint="eastAsia" w:ascii="宋体" w:hAnsi="宋体" w:eastAsia="宋体" w:cs="宋体"/>
          <w:color w:val="auto"/>
          <w:sz w:val="24"/>
          <w:szCs w:val="24"/>
          <w:highlight w:val="none"/>
          <w:lang w:val="en-US"/>
        </w:rPr>
        <w:t>；</w:t>
      </w:r>
    </w:p>
    <w:p w14:paraId="27AD732D">
      <w:pPr>
        <w:pStyle w:val="15"/>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lang w:eastAsia="zh-CN"/>
        </w:rPr>
      </w:pPr>
      <w:r>
        <w:rPr>
          <w:rStyle w:val="47"/>
          <w:rFonts w:hint="eastAsia" w:ascii="宋体" w:hAnsi="宋体" w:eastAsia="宋体" w:cs="宋体"/>
          <w:color w:val="auto"/>
          <w:sz w:val="24"/>
          <w:szCs w:val="24"/>
          <w:highlight w:val="none"/>
        </w:rPr>
        <w:t>⑥</w:t>
      </w:r>
      <w:r>
        <w:rPr>
          <w:rFonts w:hint="eastAsia" w:hAnsi="宋体" w:eastAsia="宋体" w:cs="宋体"/>
          <w:bCs/>
          <w:color w:val="auto"/>
          <w:sz w:val="24"/>
          <w:szCs w:val="24"/>
          <w:highlight w:val="none"/>
        </w:rPr>
        <w:t>投标报价中变更暂列金额或招标人提供的暂定价格</w:t>
      </w:r>
      <w:r>
        <w:rPr>
          <w:rFonts w:hint="eastAsia" w:hAnsi="宋体" w:eastAsia="宋体" w:cs="宋体"/>
          <w:bCs/>
          <w:color w:val="auto"/>
          <w:sz w:val="24"/>
          <w:szCs w:val="24"/>
          <w:highlight w:val="none"/>
          <w:lang w:eastAsia="zh-CN"/>
        </w:rPr>
        <w:t>。</w:t>
      </w:r>
    </w:p>
    <w:p w14:paraId="69CBF616">
      <w:pPr>
        <w:pStyle w:val="15"/>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color w:val="auto"/>
          <w:sz w:val="24"/>
          <w:szCs w:val="24"/>
          <w:highlight w:val="none"/>
        </w:rPr>
      </w:pPr>
      <w:r>
        <w:rPr>
          <w:rStyle w:val="47"/>
          <w:rFonts w:hint="eastAsia" w:ascii="宋体" w:hAnsi="宋体" w:eastAsia="宋体" w:cs="宋体"/>
          <w:color w:val="auto"/>
          <w:sz w:val="24"/>
          <w:szCs w:val="24"/>
          <w:highlight w:val="none"/>
        </w:rPr>
        <w:t>⑦</w:t>
      </w:r>
      <w:r>
        <w:rPr>
          <w:rFonts w:hint="eastAsia" w:hAnsi="宋体" w:eastAsia="宋体" w:cs="宋体"/>
          <w:bCs/>
          <w:color w:val="auto"/>
          <w:sz w:val="24"/>
          <w:szCs w:val="24"/>
          <w:highlight w:val="none"/>
        </w:rPr>
        <w:t>投标人拒不按照要求对投标文件进行澄清、说明、补正的，或评标委员根据招标文件的规定对投标文件的计算错误进行修正后，投标人不接受修正后的投标报价的。</w:t>
      </w:r>
    </w:p>
    <w:p w14:paraId="05F711A3">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rPr>
      </w:pPr>
      <w:r>
        <w:rPr>
          <w:rFonts w:hint="eastAsia" w:ascii="宋体" w:hAnsi="宋体" w:eastAsia="宋体" w:cs="宋体"/>
          <w:bCs/>
          <w:color w:val="auto"/>
          <w:sz w:val="24"/>
          <w:szCs w:val="24"/>
          <w:highlight w:val="none"/>
        </w:rPr>
        <w:t>⑧</w:t>
      </w:r>
      <w:r>
        <w:rPr>
          <w:rFonts w:hint="eastAsia" w:hAnsi="宋体" w:eastAsia="宋体" w:cs="宋体"/>
          <w:bCs/>
          <w:color w:val="auto"/>
          <w:sz w:val="24"/>
          <w:szCs w:val="24"/>
          <w:highlight w:val="none"/>
        </w:rPr>
        <w:t>投标人递交两份或多份内容不同的投标文件，或在一份投标文件中对同一招标项目有两个或多个报价，且未声明哪一个有效的。按招标文件规定提交备选投标方案的除外。</w:t>
      </w:r>
    </w:p>
    <w:p w14:paraId="6922AF92">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⑨</w:t>
      </w:r>
      <w:r>
        <w:rPr>
          <w:rFonts w:hint="eastAsia" w:hAnsi="宋体" w:eastAsia="宋体" w:cs="宋体"/>
          <w:bCs/>
          <w:color w:val="auto"/>
          <w:sz w:val="24"/>
          <w:szCs w:val="24"/>
          <w:highlight w:val="none"/>
          <w:u w:val="none"/>
        </w:rPr>
        <w:t>投标文件明显不符合招标文件规定的报价、工期、质量标准或其它实质性要求。</w:t>
      </w:r>
    </w:p>
    <w:p w14:paraId="1841F352">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⑩</w:t>
      </w:r>
      <w:r>
        <w:rPr>
          <w:rStyle w:val="47"/>
          <w:rFonts w:hint="eastAsia" w:ascii="宋体" w:hAnsi="宋体" w:eastAsia="宋体" w:cs="宋体"/>
          <w:color w:val="auto"/>
          <w:sz w:val="24"/>
          <w:szCs w:val="24"/>
          <w:highlight w:val="none"/>
        </w:rPr>
        <w:t>有关法律、法规规定的其它废标条件。</w:t>
      </w:r>
    </w:p>
    <w:p w14:paraId="5E4B49D6">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.3计算评标基准值B</w:t>
      </w:r>
    </w:p>
    <w:p w14:paraId="7C38F9F6">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（一次平均法）以算术平均值b为评标基准值B。</w:t>
      </w:r>
    </w:p>
    <w:p w14:paraId="2DC1B8EF">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.4计算报价得分（</w:t>
      </w: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0分）</w:t>
      </w:r>
    </w:p>
    <w:p w14:paraId="4E832969">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对报价采用</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0分制计算报价得分，投标报价等于评标基准值得满分</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0分，较评标基准值每高1%扣0.5分，较评标基准值每低1%扣0.3分。具体计算公式为：</w:t>
      </w:r>
      <w:r>
        <w:rPr>
          <w:rFonts w:hint="eastAsia" w:ascii="宋体" w:hAnsi="宋体" w:cs="宋体"/>
          <w:color w:val="auto"/>
          <w:sz w:val="24"/>
          <w:szCs w:val="24"/>
          <w:highlight w:val="none"/>
          <w:lang w:val="en-US" w:eastAsia="zh-CN"/>
        </w:rPr>
        <w:t>10</w:t>
      </w:r>
      <w:r>
        <w:rPr>
          <w:rFonts w:hint="eastAsia" w:ascii="宋体" w:hAnsi="宋体" w:cs="宋体"/>
          <w:b/>
          <w:bCs/>
          <w:color w:val="auto"/>
          <w:sz w:val="24"/>
          <w:szCs w:val="24"/>
          <w:highlight w:val="none"/>
        </w:rPr>
        <w:t>0-偏差率×（0.5或0.3）×100</w:t>
      </w:r>
      <w:r>
        <w:rPr>
          <w:rFonts w:hint="eastAsia" w:ascii="宋体" w:hAnsi="宋体" w:cs="宋体"/>
          <w:color w:val="auto"/>
          <w:sz w:val="24"/>
          <w:szCs w:val="24"/>
          <w:highlight w:val="none"/>
        </w:rPr>
        <w:t>，计算结果保留3位小数。未参与报价抽取和平均值计算的有效报价也应计算报价得分。</w:t>
      </w:r>
    </w:p>
    <w:p w14:paraId="5CBECBA3">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注：偏差率=∣投标人报价-评标基准值∣/评标基准值×100% （偏差率保留3位小数，小数点后第4位“四舍五入”，即为*.***%）</w:t>
      </w:r>
    </w:p>
    <w:p w14:paraId="14CB8792">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.资格审查、商务部分审查及信用评审</w:t>
      </w:r>
    </w:p>
    <w:p w14:paraId="3EAB014B">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评审综合得分由高到低排序在前5家的投标人进行资格审查、商务部分审查及信用评审，若有投标人综合得分与第5家投标人综合得分相同的，则该投标人也同时进入资格审查、商务部分审查及信用评审环节。投标人不足5家的则全部进行资格审查、商务部分审查及信用评审。如有因资格审查、商务部分审查及信用评审未通过导致投标人不足3家且仍有合格的投标人可递补的，按照总得分排序递补审查至满足3家为止。因企业信用评审导致合格的投标人不足3家的，不影响本次招标的有效性。</w:t>
      </w:r>
    </w:p>
    <w:p w14:paraId="5A16D1B9">
      <w:pPr>
        <w:pStyle w:val="26"/>
        <w:keepNext w:val="0"/>
        <w:keepLines w:val="0"/>
        <w:pageBreakBefore w:val="0"/>
        <w:widowControl w:val="0"/>
        <w:tabs>
          <w:tab w:val="left" w:pos="0"/>
          <w:tab w:val="left" w:pos="993"/>
          <w:tab w:val="left" w:pos="1134"/>
        </w:tabs>
        <w:kinsoku/>
        <w:wordWrap/>
        <w:topLinePunct w:val="0"/>
        <w:bidi w:val="0"/>
        <w:adjustRightInd/>
        <w:snapToGrid/>
        <w:spacing w:line="500" w:lineRule="exact"/>
        <w:ind w:left="0" w:leftChars="0" w:firstLine="482"/>
        <w:textAlignment w:val="baseline"/>
        <w:rPr>
          <w:rFonts w:hint="eastAsia" w:ascii="宋体" w:hAnsi="宋体" w:cs="宋体"/>
          <w:b/>
          <w:bCs/>
          <w:color w:val="auto"/>
          <w:sz w:val="24"/>
          <w:szCs w:val="24"/>
          <w:highlight w:val="none"/>
        </w:rPr>
      </w:pPr>
      <w:r>
        <w:rPr>
          <w:rFonts w:hint="eastAsia" w:hAnsi="宋体" w:cs="宋体"/>
          <w:b/>
          <w:bCs/>
          <w:color w:val="auto"/>
          <w:sz w:val="24"/>
          <w:szCs w:val="24"/>
          <w:highlight w:val="none"/>
          <w:lang w:val="en-US" w:eastAsia="zh-CN"/>
        </w:rPr>
        <w:t>4</w:t>
      </w:r>
      <w:r>
        <w:rPr>
          <w:rFonts w:hint="eastAsia" w:ascii="宋体" w:hAnsi="宋体" w:cs="宋体"/>
          <w:b/>
          <w:bCs/>
          <w:color w:val="auto"/>
          <w:sz w:val="24"/>
          <w:szCs w:val="24"/>
          <w:highlight w:val="none"/>
        </w:rPr>
        <w:t>.1资格审查</w:t>
      </w:r>
    </w:p>
    <w:tbl>
      <w:tblPr>
        <w:tblStyle w:val="27"/>
        <w:tblW w:w="994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
        <w:gridCol w:w="1295"/>
        <w:gridCol w:w="3728"/>
        <w:gridCol w:w="4007"/>
      </w:tblGrid>
      <w:tr w14:paraId="222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217933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295" w:type="dxa"/>
            <w:tcBorders>
              <w:top w:val="single" w:color="auto" w:sz="4" w:space="0"/>
              <w:left w:val="single" w:color="auto" w:sz="4" w:space="0"/>
              <w:bottom w:val="single" w:color="auto" w:sz="4" w:space="0"/>
              <w:right w:val="single" w:color="auto" w:sz="4" w:space="0"/>
            </w:tcBorders>
            <w:noWrap/>
            <w:vAlign w:val="center"/>
          </w:tcPr>
          <w:p w14:paraId="2D36A0A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评审项目</w:t>
            </w:r>
          </w:p>
        </w:tc>
        <w:tc>
          <w:tcPr>
            <w:tcW w:w="3728" w:type="dxa"/>
            <w:tcBorders>
              <w:top w:val="single" w:color="auto" w:sz="4" w:space="0"/>
              <w:left w:val="single" w:color="auto" w:sz="4" w:space="0"/>
              <w:bottom w:val="single" w:color="auto" w:sz="4" w:space="0"/>
              <w:right w:val="single" w:color="auto" w:sz="4" w:space="0"/>
            </w:tcBorders>
            <w:noWrap/>
            <w:vAlign w:val="center"/>
          </w:tcPr>
          <w:p w14:paraId="55E13A2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证明材料</w:t>
            </w:r>
          </w:p>
        </w:tc>
        <w:tc>
          <w:tcPr>
            <w:tcW w:w="4007" w:type="dxa"/>
            <w:tcBorders>
              <w:top w:val="single" w:color="auto" w:sz="4" w:space="0"/>
              <w:left w:val="single" w:color="auto" w:sz="4" w:space="0"/>
              <w:bottom w:val="single" w:color="auto" w:sz="4" w:space="0"/>
              <w:right w:val="single" w:color="auto" w:sz="4" w:space="0"/>
            </w:tcBorders>
            <w:noWrap/>
            <w:vAlign w:val="center"/>
          </w:tcPr>
          <w:p w14:paraId="1E31054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情况说明</w:t>
            </w:r>
          </w:p>
        </w:tc>
      </w:tr>
      <w:tr w14:paraId="567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43C056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95" w:type="dxa"/>
            <w:tcBorders>
              <w:top w:val="single" w:color="auto" w:sz="4" w:space="0"/>
              <w:left w:val="single" w:color="auto" w:sz="4" w:space="0"/>
              <w:bottom w:val="single" w:color="auto" w:sz="4" w:space="0"/>
              <w:right w:val="single" w:color="auto" w:sz="4" w:space="0"/>
            </w:tcBorders>
            <w:noWrap/>
            <w:vAlign w:val="center"/>
          </w:tcPr>
          <w:p w14:paraId="4B612C81">
            <w:pPr>
              <w:keepNext w:val="0"/>
              <w:keepLines w:val="0"/>
              <w:pageBreakBefore w:val="0"/>
              <w:widowControl/>
              <w:kinsoku/>
              <w:wordWrap/>
              <w:overflowPunct/>
              <w:topLinePunct w:val="0"/>
              <w:autoSpaceDE/>
              <w:autoSpaceDN/>
              <w:bidi w:val="0"/>
              <w:adjustRightInd/>
              <w:snapToGrid/>
              <w:spacing w:line="400" w:lineRule="exact"/>
              <w:ind w:firstLine="120" w:firstLineChars="5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w:t>
            </w:r>
          </w:p>
        </w:tc>
        <w:tc>
          <w:tcPr>
            <w:tcW w:w="3728" w:type="dxa"/>
            <w:tcBorders>
              <w:top w:val="single" w:color="auto" w:sz="4" w:space="0"/>
              <w:left w:val="single" w:color="auto" w:sz="4" w:space="0"/>
              <w:bottom w:val="single" w:color="auto" w:sz="4" w:space="0"/>
              <w:right w:val="single" w:color="auto" w:sz="4" w:space="0"/>
            </w:tcBorders>
            <w:noWrap/>
            <w:vAlign w:val="center"/>
          </w:tcPr>
          <w:p w14:paraId="6A7E2EE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按照招标公告(资质最低条件)提供材料</w:t>
            </w:r>
          </w:p>
        </w:tc>
        <w:tc>
          <w:tcPr>
            <w:tcW w:w="4007" w:type="dxa"/>
            <w:tcBorders>
              <w:top w:val="single" w:color="auto" w:sz="4" w:space="0"/>
              <w:left w:val="single" w:color="auto" w:sz="4" w:space="0"/>
              <w:right w:val="single" w:color="auto" w:sz="4" w:space="0"/>
            </w:tcBorders>
            <w:noWrap/>
            <w:vAlign w:val="center"/>
          </w:tcPr>
          <w:p w14:paraId="6AEC3AA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有效的营业执照、企业资质等级证书、安全生产许可证复印件或影印件放入投标文件，纸质证照和电子证照皆可。</w:t>
            </w:r>
          </w:p>
        </w:tc>
      </w:tr>
      <w:tr w14:paraId="4073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FFD8F3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95" w:type="dxa"/>
            <w:tcBorders>
              <w:top w:val="single" w:color="auto" w:sz="4" w:space="0"/>
              <w:left w:val="single" w:color="auto" w:sz="4" w:space="0"/>
              <w:bottom w:val="single" w:color="auto" w:sz="4" w:space="0"/>
              <w:right w:val="single" w:color="auto" w:sz="4" w:space="0"/>
            </w:tcBorders>
            <w:noWrap/>
            <w:vAlign w:val="center"/>
          </w:tcPr>
          <w:p w14:paraId="70E630A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3728" w:type="dxa"/>
            <w:tcBorders>
              <w:top w:val="single" w:color="auto" w:sz="4" w:space="0"/>
              <w:left w:val="single" w:color="auto" w:sz="4" w:space="0"/>
              <w:bottom w:val="single" w:color="auto" w:sz="4" w:space="0"/>
              <w:right w:val="single" w:color="auto" w:sz="4" w:space="0"/>
            </w:tcBorders>
            <w:noWrap/>
            <w:vAlign w:val="center"/>
          </w:tcPr>
          <w:p w14:paraId="49F5BF1D">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按照招标公告（项目经理最低要求）提供材料</w:t>
            </w:r>
          </w:p>
        </w:tc>
        <w:tc>
          <w:tcPr>
            <w:tcW w:w="4007" w:type="dxa"/>
            <w:tcBorders>
              <w:top w:val="single" w:color="auto" w:sz="4" w:space="0"/>
              <w:left w:val="single" w:color="auto" w:sz="4" w:space="0"/>
              <w:right w:val="single" w:color="auto" w:sz="4" w:space="0"/>
            </w:tcBorders>
            <w:noWrap/>
            <w:vAlign w:val="center"/>
          </w:tcPr>
          <w:p w14:paraId="5652961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有效的资格证书、安全生产考核B证、</w:t>
            </w:r>
            <w:r>
              <w:rPr>
                <w:rFonts w:hint="eastAsia" w:asciiTheme="minorEastAsia" w:hAnsiTheme="minorEastAsia" w:eastAsiaTheme="minorEastAsia" w:cstheme="minorEastAsia"/>
                <w:bCs/>
                <w:color w:val="auto"/>
                <w:sz w:val="24"/>
                <w:szCs w:val="24"/>
                <w:highlight w:val="none"/>
              </w:rPr>
              <w:t>社保证明</w:t>
            </w:r>
            <w:r>
              <w:rPr>
                <w:rFonts w:hint="eastAsia" w:asciiTheme="minorEastAsia" w:hAnsiTheme="minorEastAsia" w:eastAsiaTheme="minorEastAsia" w:cstheme="minorEastAsia"/>
                <w:color w:val="auto"/>
                <w:sz w:val="24"/>
                <w:szCs w:val="24"/>
                <w:highlight w:val="none"/>
              </w:rPr>
              <w:t>复印件或影印件加盖公章放入投标文件中，纸质证照和电子证照皆可。</w:t>
            </w:r>
          </w:p>
        </w:tc>
      </w:tr>
      <w:tr w14:paraId="6EBA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D6B567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95" w:type="dxa"/>
            <w:tcBorders>
              <w:top w:val="single" w:color="auto" w:sz="4" w:space="0"/>
              <w:left w:val="single" w:color="auto" w:sz="4" w:space="0"/>
              <w:bottom w:val="single" w:color="auto" w:sz="4" w:space="0"/>
              <w:right w:val="single" w:color="auto" w:sz="4" w:space="0"/>
            </w:tcBorders>
            <w:noWrap/>
            <w:vAlign w:val="center"/>
          </w:tcPr>
          <w:p w14:paraId="13D8ED1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3728" w:type="dxa"/>
            <w:tcBorders>
              <w:top w:val="single" w:color="auto" w:sz="4" w:space="0"/>
              <w:left w:val="single" w:color="auto" w:sz="4" w:space="0"/>
              <w:bottom w:val="single" w:color="auto" w:sz="4" w:space="0"/>
              <w:right w:val="single" w:color="auto" w:sz="4" w:space="0"/>
            </w:tcBorders>
            <w:noWrap/>
            <w:vAlign w:val="center"/>
          </w:tcPr>
          <w:p w14:paraId="31891096">
            <w:pPr>
              <w:keepNext w:val="0"/>
              <w:keepLines w:val="0"/>
              <w:pageBreakBefore w:val="0"/>
              <w:widowControl/>
              <w:tabs>
                <w:tab w:val="left" w:pos="945"/>
              </w:tabs>
              <w:kinsoku/>
              <w:wordWrap/>
              <w:overflowPunct/>
              <w:topLinePunct w:val="0"/>
              <w:autoSpaceDE/>
              <w:autoSpaceDN/>
              <w:bidi w:val="0"/>
              <w:adjustRightInd/>
              <w:snapToGrid/>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按投标人须知前附表的要求提供材料</w:t>
            </w:r>
          </w:p>
        </w:tc>
        <w:tc>
          <w:tcPr>
            <w:tcW w:w="4007" w:type="dxa"/>
            <w:tcBorders>
              <w:top w:val="single" w:color="auto" w:sz="4" w:space="0"/>
              <w:left w:val="single" w:color="auto" w:sz="4" w:space="0"/>
              <w:bottom w:val="single" w:color="auto" w:sz="4" w:space="0"/>
              <w:right w:val="single" w:color="auto" w:sz="4" w:space="0"/>
            </w:tcBorders>
            <w:noWrap/>
            <w:vAlign w:val="center"/>
          </w:tcPr>
          <w:p w14:paraId="35208FB6">
            <w:pPr>
              <w:keepNext w:val="0"/>
              <w:keepLines w:val="0"/>
              <w:pageBreakBefore w:val="0"/>
              <w:widowControl/>
              <w:tabs>
                <w:tab w:val="left" w:pos="945"/>
              </w:tabs>
              <w:kinsoku/>
              <w:wordWrap/>
              <w:overflowPunct/>
              <w:topLinePunct w:val="0"/>
              <w:autoSpaceDE/>
              <w:autoSpaceDN/>
              <w:bidi w:val="0"/>
              <w:adjustRightInd/>
              <w:snapToGrid/>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1.转账形式保证金缴纳情况由招标代理机构对比确认。</w:t>
            </w:r>
          </w:p>
          <w:p w14:paraId="7795C920">
            <w:pPr>
              <w:keepNext w:val="0"/>
              <w:keepLines w:val="0"/>
              <w:pageBreakBefore w:val="0"/>
              <w:widowControl/>
              <w:tabs>
                <w:tab w:val="left" w:pos="945"/>
              </w:tabs>
              <w:kinsoku/>
              <w:wordWrap/>
              <w:overflowPunct/>
              <w:topLinePunct w:val="0"/>
              <w:autoSpaceDE/>
              <w:autoSpaceDN/>
              <w:bidi w:val="0"/>
              <w:adjustRightInd/>
              <w:snapToGrid/>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2.投标保证金其他要求见投标人须知前附表。</w:t>
            </w:r>
          </w:p>
        </w:tc>
      </w:tr>
      <w:tr w14:paraId="72C7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D4CDF3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95" w:type="dxa"/>
            <w:tcBorders>
              <w:top w:val="single" w:color="auto" w:sz="4" w:space="0"/>
              <w:left w:val="single" w:color="auto" w:sz="4" w:space="0"/>
              <w:bottom w:val="single" w:color="auto" w:sz="4" w:space="0"/>
              <w:right w:val="single" w:color="auto" w:sz="4" w:space="0"/>
            </w:tcBorders>
            <w:noWrap/>
            <w:vAlign w:val="center"/>
          </w:tcPr>
          <w:p w14:paraId="0F9165A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诚信承诺书</w:t>
            </w:r>
          </w:p>
        </w:tc>
        <w:tc>
          <w:tcPr>
            <w:tcW w:w="3728" w:type="dxa"/>
            <w:tcBorders>
              <w:top w:val="single" w:color="auto" w:sz="4" w:space="0"/>
              <w:left w:val="single" w:color="auto" w:sz="4" w:space="0"/>
              <w:bottom w:val="single" w:color="auto" w:sz="4" w:space="0"/>
              <w:right w:val="single" w:color="auto" w:sz="4" w:space="0"/>
            </w:tcBorders>
            <w:noWrap/>
            <w:vAlign w:val="center"/>
          </w:tcPr>
          <w:p w14:paraId="7279D286">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按给定格式填写盖章</w:t>
            </w:r>
          </w:p>
        </w:tc>
        <w:tc>
          <w:tcPr>
            <w:tcW w:w="4007" w:type="dxa"/>
            <w:tcBorders>
              <w:top w:val="single" w:color="auto" w:sz="4" w:space="0"/>
              <w:left w:val="single" w:color="auto" w:sz="4" w:space="0"/>
              <w:bottom w:val="single" w:color="auto" w:sz="4" w:space="0"/>
              <w:right w:val="single" w:color="auto" w:sz="4" w:space="0"/>
            </w:tcBorders>
            <w:noWrap/>
            <w:vAlign w:val="center"/>
          </w:tcPr>
          <w:p w14:paraId="4E171D5D">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加盖投标单位公章的原件装订在投标文件内</w:t>
            </w:r>
          </w:p>
        </w:tc>
      </w:tr>
      <w:tr w14:paraId="5B2F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0984766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95" w:type="dxa"/>
            <w:tcBorders>
              <w:top w:val="single" w:color="auto" w:sz="4" w:space="0"/>
              <w:left w:val="single" w:color="auto" w:sz="4" w:space="0"/>
              <w:bottom w:val="single" w:color="auto" w:sz="4" w:space="0"/>
              <w:right w:val="single" w:color="auto" w:sz="4" w:space="0"/>
            </w:tcBorders>
            <w:noWrap/>
            <w:vAlign w:val="center"/>
          </w:tcPr>
          <w:p w14:paraId="15BEDEF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项目经理到岗承诺</w:t>
            </w:r>
          </w:p>
        </w:tc>
        <w:tc>
          <w:tcPr>
            <w:tcW w:w="3728" w:type="dxa"/>
            <w:tcBorders>
              <w:top w:val="single" w:color="auto" w:sz="4" w:space="0"/>
              <w:left w:val="single" w:color="auto" w:sz="4" w:space="0"/>
              <w:bottom w:val="single" w:color="auto" w:sz="4" w:space="0"/>
              <w:right w:val="single" w:color="auto" w:sz="4" w:space="0"/>
            </w:tcBorders>
            <w:noWrap/>
            <w:vAlign w:val="center"/>
          </w:tcPr>
          <w:p w14:paraId="5CFC2779">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按给定的格式填写盖章</w:t>
            </w:r>
          </w:p>
        </w:tc>
        <w:tc>
          <w:tcPr>
            <w:tcW w:w="4007" w:type="dxa"/>
            <w:tcBorders>
              <w:top w:val="single" w:color="auto" w:sz="4" w:space="0"/>
              <w:left w:val="single" w:color="auto" w:sz="4" w:space="0"/>
              <w:bottom w:val="single" w:color="auto" w:sz="4" w:space="0"/>
              <w:right w:val="single" w:color="auto" w:sz="4" w:space="0"/>
            </w:tcBorders>
            <w:noWrap/>
            <w:vAlign w:val="center"/>
          </w:tcPr>
          <w:p w14:paraId="6F459E4D">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加盖投标单位公章的原件装订在投标文件内</w:t>
            </w:r>
          </w:p>
        </w:tc>
      </w:tr>
      <w:tr w14:paraId="448C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70B226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95" w:type="dxa"/>
            <w:tcBorders>
              <w:top w:val="single" w:color="auto" w:sz="4" w:space="0"/>
              <w:left w:val="single" w:color="auto" w:sz="4" w:space="0"/>
              <w:bottom w:val="single" w:color="auto" w:sz="4" w:space="0"/>
              <w:right w:val="single" w:color="auto" w:sz="4" w:space="0"/>
            </w:tcBorders>
            <w:noWrap/>
            <w:vAlign w:val="center"/>
          </w:tcPr>
          <w:p w14:paraId="38DD8CB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授权委托书、法定代表人身份证明书</w:t>
            </w:r>
          </w:p>
        </w:tc>
        <w:tc>
          <w:tcPr>
            <w:tcW w:w="3728" w:type="dxa"/>
            <w:tcBorders>
              <w:top w:val="single" w:color="auto" w:sz="4" w:space="0"/>
              <w:left w:val="single" w:color="auto" w:sz="4" w:space="0"/>
              <w:bottom w:val="single" w:color="auto" w:sz="4" w:space="0"/>
              <w:right w:val="single" w:color="auto" w:sz="4" w:space="0"/>
            </w:tcBorders>
            <w:noWrap/>
            <w:vAlign w:val="center"/>
          </w:tcPr>
          <w:p w14:paraId="01E3120E">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非法定代表人的，提供授权委托书；法人到场的，无需授权委托书。需按给定的格式填写、盖章</w:t>
            </w:r>
          </w:p>
        </w:tc>
        <w:tc>
          <w:tcPr>
            <w:tcW w:w="4007" w:type="dxa"/>
            <w:tcBorders>
              <w:top w:val="single" w:color="auto" w:sz="4" w:space="0"/>
              <w:left w:val="single" w:color="auto" w:sz="4" w:space="0"/>
              <w:bottom w:val="single" w:color="auto" w:sz="4" w:space="0"/>
              <w:right w:val="single" w:color="auto" w:sz="4" w:space="0"/>
            </w:tcBorders>
            <w:noWrap/>
            <w:vAlign w:val="center"/>
          </w:tcPr>
          <w:p w14:paraId="3BE6713B">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①授权委托书及法定代表人身份证明书加盖投标单位公章的原件装订在投标文件内。</w:t>
            </w:r>
          </w:p>
          <w:p w14:paraId="0E273CE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②被授权人身份证及法定代表人身份证扫描件（复印件）加盖投标单位公章装订在投标文件中。</w:t>
            </w:r>
          </w:p>
        </w:tc>
      </w:tr>
      <w:tr w14:paraId="15BD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B73B85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95" w:type="dxa"/>
            <w:tcBorders>
              <w:top w:val="single" w:color="auto" w:sz="4" w:space="0"/>
              <w:left w:val="single" w:color="auto" w:sz="4" w:space="0"/>
              <w:bottom w:val="single" w:color="auto" w:sz="4" w:space="0"/>
              <w:right w:val="single" w:color="auto" w:sz="4" w:space="0"/>
            </w:tcBorders>
            <w:noWrap/>
            <w:vAlign w:val="center"/>
          </w:tcPr>
          <w:p w14:paraId="737CAAC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中小企业声明函</w:t>
            </w:r>
          </w:p>
        </w:tc>
        <w:tc>
          <w:tcPr>
            <w:tcW w:w="3728" w:type="dxa"/>
            <w:tcBorders>
              <w:top w:val="single" w:color="auto" w:sz="4" w:space="0"/>
              <w:left w:val="single" w:color="auto" w:sz="4" w:space="0"/>
              <w:bottom w:val="single" w:color="auto" w:sz="4" w:space="0"/>
              <w:right w:val="single" w:color="auto" w:sz="4" w:space="0"/>
            </w:tcBorders>
            <w:noWrap/>
            <w:vAlign w:val="center"/>
          </w:tcPr>
          <w:p w14:paraId="644DB4E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按给定的格式填写签章</w:t>
            </w:r>
          </w:p>
        </w:tc>
        <w:tc>
          <w:tcPr>
            <w:tcW w:w="4007" w:type="dxa"/>
            <w:tcBorders>
              <w:top w:val="single" w:color="auto" w:sz="4" w:space="0"/>
              <w:left w:val="single" w:color="auto" w:sz="4" w:space="0"/>
              <w:bottom w:val="single" w:color="auto" w:sz="4" w:space="0"/>
              <w:right w:val="single" w:color="auto" w:sz="4" w:space="0"/>
            </w:tcBorders>
            <w:noWrap/>
            <w:vAlign w:val="center"/>
          </w:tcPr>
          <w:p w14:paraId="03C1A0AB">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color w:val="auto"/>
                <w:kern w:val="0"/>
                <w:sz w:val="24"/>
                <w:szCs w:val="24"/>
                <w:highlight w:val="none"/>
              </w:rPr>
              <w:t>按照格式填写加盖公章放入投标文件中</w:t>
            </w:r>
          </w:p>
        </w:tc>
      </w:tr>
      <w:tr w14:paraId="2C5C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5B6EF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295" w:type="dxa"/>
            <w:tcBorders>
              <w:top w:val="single" w:color="auto" w:sz="4" w:space="0"/>
              <w:left w:val="single" w:color="auto" w:sz="4" w:space="0"/>
              <w:bottom w:val="single" w:color="auto" w:sz="4" w:space="0"/>
              <w:right w:val="single" w:color="auto" w:sz="4" w:space="0"/>
            </w:tcBorders>
            <w:noWrap/>
            <w:vAlign w:val="center"/>
          </w:tcPr>
          <w:p w14:paraId="0E8C128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eastAsia="zh-CN"/>
              </w:rPr>
              <w:t>资质动态核查</w:t>
            </w:r>
          </w:p>
        </w:tc>
        <w:tc>
          <w:tcPr>
            <w:tcW w:w="7735" w:type="dxa"/>
            <w:gridSpan w:val="2"/>
            <w:tcBorders>
              <w:top w:val="single" w:color="auto" w:sz="4" w:space="0"/>
              <w:left w:val="single" w:color="auto" w:sz="4" w:space="0"/>
              <w:bottom w:val="single" w:color="auto" w:sz="4" w:space="0"/>
              <w:right w:val="single" w:color="auto" w:sz="4" w:space="0"/>
            </w:tcBorders>
            <w:noWrap/>
            <w:vAlign w:val="center"/>
          </w:tcPr>
          <w:p w14:paraId="412D8E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根据《关于进一步规范全市建筑市场秩序的通知》（建函〔2024〕69号）要求，投标人的注册建造师必须满足相应建筑业企业资质标准要求，开标当日，由评标委员会对投标人进行查询，并根据开标当日查询结果进行评审，具体要求如下：登录全国建筑市场监管公共服务平台 (https://jzsc.mohurd.gov.cn/home）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号），对关系企业履约能力的建造师数量进行评审，即：</w:t>
            </w:r>
          </w:p>
          <w:p w14:paraId="560B75A5">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 xml:space="preserve"> 1</w:t>
            </w:r>
            <w:r>
              <w:rPr>
                <w:rFonts w:hint="eastAsia" w:ascii="宋体" w:hAnsi="宋体" w:cs="宋体"/>
                <w:b/>
                <w:bCs/>
                <w:color w:val="auto"/>
                <w:sz w:val="24"/>
                <w:highlight w:val="none"/>
              </w:rPr>
              <w:t>、市政公用工程施工总承包：</w:t>
            </w:r>
          </w:p>
          <w:p w14:paraId="7C80AA5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（1）市政公用工程施工总承包特级资质企业：注册一级建造师50人以上。</w:t>
            </w:r>
          </w:p>
          <w:p w14:paraId="592218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（2）市政公用工程施工总承包壹级资质企业：市政公用工程专业一级注册建造师不少于12人。</w:t>
            </w:r>
          </w:p>
          <w:p w14:paraId="2681C17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（3）市政公用工程施工总承包贰级、叁级资质企业：市政公用工程专业注册建造师不少于5人。</w:t>
            </w:r>
          </w:p>
          <w:p w14:paraId="10F269DB">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rPr>
                <w:rFonts w:hint="eastAsia" w:ascii="宋体" w:hAnsi="宋体" w:cs="宋体"/>
                <w:b/>
                <w:bCs/>
                <w:color w:val="auto"/>
                <w:sz w:val="24"/>
                <w:highlight w:val="none"/>
              </w:rPr>
            </w:pPr>
            <w:r>
              <w:rPr>
                <w:rFonts w:hint="eastAsia" w:ascii="宋体" w:hAnsi="宋体" w:cs="宋体"/>
                <w:b/>
                <w:bCs/>
                <w:color w:val="auto"/>
                <w:sz w:val="24"/>
                <w:highlight w:val="none"/>
              </w:rPr>
              <w:t>投标人注册建造师不满足招标文件要求的，投标资格审查不合格。</w:t>
            </w:r>
          </w:p>
          <w:p w14:paraId="7D579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宋体" w:hAnsi="宋体" w:cs="宋体" w:eastAsiaTheme="minorEastAsia"/>
                <w:b/>
                <w:bCs/>
                <w:color w:val="auto"/>
                <w:sz w:val="24"/>
                <w:highlight w:val="none"/>
                <w:lang w:val="en-US" w:eastAsia="zh-CN"/>
              </w:rPr>
              <w:t xml:space="preserve"> </w:t>
            </w:r>
          </w:p>
        </w:tc>
      </w:tr>
    </w:tbl>
    <w:p w14:paraId="5B6DD6BA">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cs="宋体"/>
          <w:color w:val="auto"/>
          <w:sz w:val="24"/>
          <w:szCs w:val="24"/>
          <w:highlight w:val="none"/>
        </w:rPr>
      </w:pPr>
      <w:r>
        <w:rPr>
          <w:rStyle w:val="47"/>
          <w:rFonts w:hint="eastAsia" w:ascii="宋体" w:hAnsi="宋体" w:cs="宋体"/>
          <w:color w:val="auto"/>
          <w:sz w:val="24"/>
          <w:szCs w:val="24"/>
          <w:highlight w:val="none"/>
        </w:rPr>
        <w:t>备注：</w:t>
      </w:r>
    </w:p>
    <w:p w14:paraId="49A38FCB">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cs="宋体"/>
          <w:bCs/>
          <w:color w:val="auto"/>
          <w:sz w:val="24"/>
          <w:szCs w:val="24"/>
          <w:highlight w:val="none"/>
        </w:rPr>
      </w:pPr>
      <w:r>
        <w:rPr>
          <w:rStyle w:val="47"/>
          <w:rFonts w:hint="eastAsia" w:ascii="宋体" w:hAnsi="宋体" w:cs="宋体"/>
          <w:color w:val="auto"/>
          <w:sz w:val="24"/>
          <w:szCs w:val="24"/>
          <w:highlight w:val="none"/>
        </w:rPr>
        <w:t>（1）以上有一项不符合即为不合格。</w:t>
      </w:r>
      <w:r>
        <w:rPr>
          <w:rStyle w:val="47"/>
          <w:rFonts w:hint="eastAsia" w:ascii="宋体" w:hAnsi="宋体" w:cs="宋体"/>
          <w:bCs/>
          <w:color w:val="auto"/>
          <w:sz w:val="24"/>
          <w:szCs w:val="24"/>
          <w:highlight w:val="none"/>
        </w:rPr>
        <w:t>第6项中的授权委托书及法定代表人身份证明书必须提供，身份证扫描件或复印件不作为废标条件，仅用作判定其现场澄清或异议效力的依据。</w:t>
      </w:r>
    </w:p>
    <w:p w14:paraId="25C6A2E6">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（2）各类资质证书、合同、验收报告、营业执照、施工企业及项目负责人资质等级证书、安全生产考核证书等均不要求投标人提供原件。</w:t>
      </w:r>
    </w:p>
    <w:p w14:paraId="2B26243C">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（3）投标文件封面、投标函、投标函附录、工程量清单报价表封面未按招标文件规定的投标文件格式签字或盖章的即为不合格</w:t>
      </w:r>
    </w:p>
    <w:p w14:paraId="537D2A36">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（4）招标文件规定的不得投标、不得推荐为中标候选人的不良行为记录及失信行为均不需投标人提供相关证明材料，只需按投标文件规定格式填写并提交《诚信承诺书》即可。</w:t>
      </w:r>
    </w:p>
    <w:p w14:paraId="20BBC5C7">
      <w:pPr>
        <w:keepNext w:val="0"/>
        <w:keepLines w:val="0"/>
        <w:pageBreakBefore w:val="0"/>
        <w:widowControl w:val="0"/>
        <w:tabs>
          <w:tab w:val="left" w:pos="945"/>
        </w:tabs>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未按规定的格式填写，实质性内容不全或关键字迹模糊、无法辨认的资格评审不合格。</w:t>
      </w:r>
    </w:p>
    <w:p w14:paraId="522D9FD6">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（6）本招标文件中要求提供的社保证明材料，投标人可提供社会保险的任一险种，均予认可。</w:t>
      </w:r>
    </w:p>
    <w:p w14:paraId="26CEFAD3">
      <w:pPr>
        <w:pStyle w:val="26"/>
        <w:keepNext w:val="0"/>
        <w:keepLines w:val="0"/>
        <w:pageBreakBefore w:val="0"/>
        <w:widowControl w:val="0"/>
        <w:tabs>
          <w:tab w:val="left" w:pos="0"/>
          <w:tab w:val="left" w:pos="993"/>
          <w:tab w:val="left" w:pos="1134"/>
        </w:tabs>
        <w:kinsoku/>
        <w:wordWrap/>
        <w:topLinePunct w:val="0"/>
        <w:bidi w:val="0"/>
        <w:adjustRightInd/>
        <w:snapToGrid/>
        <w:spacing w:line="500" w:lineRule="exact"/>
        <w:ind w:left="0" w:leftChars="0" w:firstLine="482"/>
        <w:textAlignment w:val="baseline"/>
        <w:rPr>
          <w:rStyle w:val="47"/>
          <w:rFonts w:hint="eastAsia" w:ascii="宋体" w:hAnsi="宋体" w:cs="宋体"/>
          <w:b/>
          <w:color w:val="auto"/>
          <w:sz w:val="24"/>
          <w:szCs w:val="24"/>
          <w:highlight w:val="none"/>
        </w:rPr>
      </w:pPr>
      <w:r>
        <w:rPr>
          <w:rStyle w:val="47"/>
          <w:rFonts w:hint="eastAsia" w:hAnsi="宋体" w:cs="宋体"/>
          <w:b/>
          <w:color w:val="auto"/>
          <w:sz w:val="24"/>
          <w:szCs w:val="24"/>
          <w:highlight w:val="none"/>
          <w:lang w:val="en-US"/>
        </w:rPr>
        <w:t>4</w:t>
      </w:r>
      <w:r>
        <w:rPr>
          <w:rStyle w:val="47"/>
          <w:rFonts w:hint="eastAsia" w:ascii="宋体" w:hAnsi="宋体" w:cs="宋体"/>
          <w:b/>
          <w:color w:val="auto"/>
          <w:sz w:val="24"/>
          <w:szCs w:val="24"/>
          <w:highlight w:val="none"/>
        </w:rPr>
        <w:t>.2商务部分审查</w:t>
      </w:r>
    </w:p>
    <w:p w14:paraId="44FE3E63">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商务部分审查中发现存在以下重大偏差之一者</w:t>
      </w:r>
      <w:r>
        <w:rPr>
          <w:rStyle w:val="47"/>
          <w:rFonts w:hint="eastAsia" w:ascii="宋体" w:hAnsi="宋体" w:cs="宋体"/>
          <w:color w:val="auto"/>
          <w:sz w:val="24"/>
          <w:szCs w:val="24"/>
          <w:highlight w:val="none"/>
        </w:rPr>
        <w:t xml:space="preserve">，将作为废标处理，即为不通过： </w:t>
      </w:r>
    </w:p>
    <w:p w14:paraId="3DBF6760">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t>投标人投标报价超过最高投标限价的。</w:t>
      </w:r>
    </w:p>
    <w:p w14:paraId="1837E3AA">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②投标文件中填报的工程量清单报价书中的格式、内容及工程量与招标人提供给投标人报价格式、内容及工程量不一致，以致影响评标结果的</w:t>
      </w:r>
      <w:r>
        <w:rPr>
          <w:rStyle w:val="47"/>
          <w:rFonts w:hint="eastAsia" w:ascii="宋体" w:hAnsi="宋体" w:eastAsia="宋体" w:cs="宋体"/>
          <w:color w:val="auto"/>
          <w:sz w:val="24"/>
          <w:szCs w:val="24"/>
          <w:highlight w:val="none"/>
          <w:lang w:eastAsia="zh-CN"/>
        </w:rPr>
        <w:t>。</w:t>
      </w:r>
    </w:p>
    <w:p w14:paraId="07D78EF3">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Style w:val="47"/>
          <w:rFonts w:hint="eastAsia" w:ascii="宋体" w:hAnsi="宋体" w:eastAsia="宋体" w:cs="宋体"/>
          <w:color w:val="auto"/>
          <w:sz w:val="24"/>
          <w:szCs w:val="24"/>
          <w:highlight w:val="none"/>
        </w:rPr>
        <w:t>投标文件中填报的工程量清单报价书中的分项、分部工程项目名称、内容或计量单位及工程量与招标人提供的工程量清单不一致以致影响评标结果的；</w:t>
      </w:r>
    </w:p>
    <w:p w14:paraId="384DE6A5">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④投标人在需评审的主要材料和设备中报价为0，或改变评审表报价顺序造成难以进行数据比对而无法评标的。</w:t>
      </w:r>
    </w:p>
    <w:p w14:paraId="7D80CFCD">
      <w:pPr>
        <w:keepNext w:val="0"/>
        <w:keepLines w:val="0"/>
        <w:pageBreakBefore w:val="0"/>
        <w:widowControl w:val="0"/>
        <w:kinsoku/>
        <w:wordWrap/>
        <w:topLinePunct w:val="0"/>
        <w:bidi w:val="0"/>
        <w:adjustRightInd/>
        <w:snapToGrid/>
        <w:spacing w:line="500" w:lineRule="exact"/>
        <w:ind w:firstLine="480" w:firstLineChars="200"/>
        <w:textAlignment w:val="baseline"/>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⑤</w:t>
      </w:r>
      <w:r>
        <w:rPr>
          <w:rStyle w:val="47"/>
          <w:rFonts w:hint="eastAsia" w:ascii="宋体" w:hAnsi="宋体" w:eastAsia="宋体" w:cs="宋体"/>
          <w:b/>
          <w:bCs/>
          <w:color w:val="auto"/>
          <w:sz w:val="24"/>
          <w:szCs w:val="24"/>
          <w:highlight w:val="none"/>
        </w:rPr>
        <w:t>评标委员会认为投标人的报价明显低于其他投标人的报价，有可能影响工程质量或者不能诚信履约的，将要求其在</w:t>
      </w:r>
      <w:r>
        <w:rPr>
          <w:rStyle w:val="47"/>
          <w:rFonts w:hint="eastAsia" w:ascii="宋体" w:hAnsi="宋体" w:eastAsia="宋体" w:cs="宋体"/>
          <w:b/>
          <w:bCs/>
          <w:color w:val="auto"/>
          <w:sz w:val="24"/>
          <w:szCs w:val="24"/>
          <w:highlight w:val="none"/>
          <w:u w:val="single" w:color="000000"/>
        </w:rPr>
        <w:t>0.5</w:t>
      </w:r>
      <w:r>
        <w:rPr>
          <w:rStyle w:val="47"/>
          <w:rFonts w:hint="eastAsia" w:ascii="宋体" w:hAnsi="宋体" w:eastAsia="宋体" w:cs="宋体"/>
          <w:b/>
          <w:bCs/>
          <w:color w:val="auto"/>
          <w:sz w:val="24"/>
          <w:szCs w:val="24"/>
          <w:highlight w:val="none"/>
        </w:rPr>
        <w:t>小时内（具体时间由评委确定）提供书面说明，必要时提交相</w:t>
      </w:r>
      <w:r>
        <w:rPr>
          <w:rStyle w:val="47"/>
          <w:rFonts w:hint="eastAsia" w:ascii="宋体" w:hAnsi="宋体" w:eastAsia="宋体" w:cs="宋体"/>
          <w:b/>
          <w:color w:val="auto"/>
          <w:sz w:val="24"/>
          <w:szCs w:val="24"/>
          <w:highlight w:val="none"/>
        </w:rPr>
        <w:t>关证明材</w:t>
      </w:r>
      <w:r>
        <w:rPr>
          <w:rStyle w:val="47"/>
          <w:rFonts w:hint="eastAsia" w:ascii="宋体" w:hAnsi="宋体" w:eastAsia="宋体" w:cs="宋体"/>
          <w:b/>
          <w:bCs/>
          <w:color w:val="auto"/>
          <w:sz w:val="24"/>
          <w:szCs w:val="24"/>
          <w:highlight w:val="none"/>
        </w:rPr>
        <w:t>料，评标委员会认定其报价低于成本的将否决其投标，未在规定时间递交说明或证明材料的投标也将被否决</w:t>
      </w:r>
      <w:r>
        <w:rPr>
          <w:rStyle w:val="47"/>
          <w:rFonts w:hint="eastAsia" w:ascii="宋体" w:hAnsi="宋体" w:eastAsia="宋体" w:cs="宋体"/>
          <w:color w:val="auto"/>
          <w:sz w:val="24"/>
          <w:szCs w:val="24"/>
          <w:highlight w:val="none"/>
          <w:lang w:val="en-US"/>
        </w:rPr>
        <w:t>；</w:t>
      </w:r>
    </w:p>
    <w:p w14:paraId="2FE290DC">
      <w:pPr>
        <w:pStyle w:val="15"/>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lang w:eastAsia="zh-CN"/>
        </w:rPr>
      </w:pPr>
      <w:r>
        <w:rPr>
          <w:rStyle w:val="47"/>
          <w:rFonts w:hint="eastAsia" w:ascii="宋体" w:hAnsi="宋体" w:eastAsia="宋体" w:cs="宋体"/>
          <w:color w:val="auto"/>
          <w:sz w:val="24"/>
          <w:szCs w:val="24"/>
          <w:highlight w:val="none"/>
        </w:rPr>
        <w:t>⑥</w:t>
      </w:r>
      <w:r>
        <w:rPr>
          <w:rFonts w:hint="eastAsia" w:hAnsi="宋体" w:eastAsia="宋体" w:cs="宋体"/>
          <w:bCs/>
          <w:color w:val="auto"/>
          <w:sz w:val="24"/>
          <w:szCs w:val="24"/>
          <w:highlight w:val="none"/>
        </w:rPr>
        <w:t>投标报价中变更暂列金额或招标人提供的暂定价格</w:t>
      </w:r>
      <w:r>
        <w:rPr>
          <w:rFonts w:hint="eastAsia" w:hAnsi="宋体" w:eastAsia="宋体" w:cs="宋体"/>
          <w:bCs/>
          <w:color w:val="auto"/>
          <w:sz w:val="24"/>
          <w:szCs w:val="24"/>
          <w:highlight w:val="none"/>
          <w:lang w:eastAsia="zh-CN"/>
        </w:rPr>
        <w:t>。</w:t>
      </w:r>
    </w:p>
    <w:p w14:paraId="0BDF45D6">
      <w:pPr>
        <w:pStyle w:val="15"/>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color w:val="auto"/>
          <w:sz w:val="24"/>
          <w:szCs w:val="24"/>
          <w:highlight w:val="none"/>
        </w:rPr>
      </w:pPr>
      <w:r>
        <w:rPr>
          <w:rStyle w:val="47"/>
          <w:rFonts w:hint="eastAsia" w:ascii="宋体" w:hAnsi="宋体" w:eastAsia="宋体" w:cs="宋体"/>
          <w:color w:val="auto"/>
          <w:sz w:val="24"/>
          <w:szCs w:val="24"/>
          <w:highlight w:val="none"/>
        </w:rPr>
        <w:t>⑦</w:t>
      </w:r>
      <w:r>
        <w:rPr>
          <w:rFonts w:hint="eastAsia" w:hAnsi="宋体" w:eastAsia="宋体" w:cs="宋体"/>
          <w:bCs/>
          <w:color w:val="auto"/>
          <w:sz w:val="24"/>
          <w:szCs w:val="24"/>
          <w:highlight w:val="none"/>
        </w:rPr>
        <w:t>投标人拒不按照要求对投标文件进行澄清、说明、补正的，或评标委员根据招标文件的规定对投标文件的计算错误进行修正后，投标人不接受修正后的投标报价的。</w:t>
      </w:r>
    </w:p>
    <w:p w14:paraId="41478F5B">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rPr>
      </w:pPr>
      <w:r>
        <w:rPr>
          <w:rFonts w:hint="eastAsia" w:ascii="宋体" w:hAnsi="宋体" w:eastAsia="宋体" w:cs="宋体"/>
          <w:bCs/>
          <w:color w:val="auto"/>
          <w:sz w:val="24"/>
          <w:szCs w:val="24"/>
          <w:highlight w:val="none"/>
        </w:rPr>
        <w:t>⑧</w:t>
      </w:r>
      <w:r>
        <w:rPr>
          <w:rFonts w:hint="eastAsia" w:hAnsi="宋体" w:eastAsia="宋体" w:cs="宋体"/>
          <w:bCs/>
          <w:color w:val="auto"/>
          <w:sz w:val="24"/>
          <w:szCs w:val="24"/>
          <w:highlight w:val="none"/>
        </w:rPr>
        <w:t>投标人递交两份或多份内容不同的投标文件，或在一份投标文件中对同一招标项目有两个或多个报价，且未声明哪一个有效的。按招标文件规定提交备选投标方案的除外。</w:t>
      </w:r>
    </w:p>
    <w:p w14:paraId="5081956C">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⑨</w:t>
      </w:r>
      <w:r>
        <w:rPr>
          <w:rFonts w:hint="eastAsia" w:hAnsi="宋体" w:eastAsia="宋体" w:cs="宋体"/>
          <w:bCs/>
          <w:color w:val="auto"/>
          <w:sz w:val="24"/>
          <w:szCs w:val="24"/>
          <w:highlight w:val="none"/>
          <w:u w:val="none"/>
        </w:rPr>
        <w:t>投标文件明显不符合招标文件规定的报价、工期、质量标准或其它实质性要求。</w:t>
      </w:r>
    </w:p>
    <w:p w14:paraId="07736691">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⑩</w:t>
      </w:r>
      <w:r>
        <w:rPr>
          <w:rStyle w:val="47"/>
          <w:rFonts w:hint="eastAsia" w:ascii="宋体" w:hAnsi="宋体" w:eastAsia="宋体" w:cs="宋体"/>
          <w:color w:val="auto"/>
          <w:sz w:val="24"/>
          <w:szCs w:val="24"/>
          <w:highlight w:val="none"/>
        </w:rPr>
        <w:t>有关法律、法规规定的其它废标条件。</w:t>
      </w:r>
    </w:p>
    <w:p w14:paraId="2ABEC1BF">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.3.企业信用评审</w:t>
      </w:r>
    </w:p>
    <w:p w14:paraId="7BF2759C">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评标委员会现场查询投标人诚信承诺书。</w:t>
      </w:r>
    </w:p>
    <w:p w14:paraId="0ECC3E14">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.3.1 行贿犯罪记录</w:t>
      </w:r>
    </w:p>
    <w:p w14:paraId="1B1427FE">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投标人自投标截止之日起前三年有行贿犯罪记录的，信用评审不合格。</w:t>
      </w:r>
    </w:p>
    <w:p w14:paraId="1F49A011">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.3.2 限制投标的行政处罚、限制在本市承揽业务的行政处理</w:t>
      </w:r>
    </w:p>
    <w:p w14:paraId="30CD5BC1">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或项目负责人“受到招投标行政监管部门（或政府行业监管部门）限制投标的行政处罚，受到政府行业监管部门限制在本市承揽业务的行政处理，至投标截止之日仍在处罚、处理期内的”，信用评审不合格。</w:t>
      </w:r>
    </w:p>
    <w:p w14:paraId="0B66FBF0">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.3.3 住建部门“黑名单”</w:t>
      </w:r>
    </w:p>
    <w:p w14:paraId="2DE14BBD">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投标人在市住建局网站“应用平台”栏目下的“铜陵市建筑施工企业和房地产开发企业信用系统”，被列入“黑名单”的信用评审不合格。</w:t>
      </w:r>
    </w:p>
    <w:p w14:paraId="04B2D3EA">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.3.4 人力资源社会保障行政部门“失信名单”</w:t>
      </w:r>
    </w:p>
    <w:p w14:paraId="2C8277FF">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被人力资源社会保障行政部门列入信用铜陵“失信名单”信用评审不合格，此项以信用铜陵（http://</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ytl.tl.gov.cn/）“守信失信名单”栏目为准。</w:t>
      </w:r>
    </w:p>
    <w:p w14:paraId="6A7810E4">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.3.5 联合体投标及其他情形的处理</w:t>
      </w:r>
    </w:p>
    <w:p w14:paraId="5689DA08">
      <w:pPr>
        <w:keepNext w:val="0"/>
        <w:keepLines w:val="0"/>
        <w:pageBreakBefore w:val="0"/>
        <w:widowControl w:val="0"/>
        <w:kinsoku/>
        <w:wordWrap/>
        <w:topLinePunct w:val="0"/>
        <w:bidi w:val="0"/>
        <w:adjustRightInd/>
        <w:snapToGrid/>
        <w:spacing w:line="500" w:lineRule="exact"/>
        <w:ind w:firstLine="480" w:firstLineChars="200"/>
        <w:textAlignment w:val="baseline"/>
        <w:rPr>
          <w:rFonts w:hint="eastAsia" w:ascii="宋体" w:hAnsi="宋体" w:cs="宋体"/>
          <w:bCs/>
          <w:color w:val="auto"/>
          <w:sz w:val="24"/>
          <w:szCs w:val="24"/>
          <w:highlight w:val="none"/>
        </w:rPr>
      </w:pPr>
      <w:r>
        <w:rPr>
          <w:rFonts w:hint="eastAsia" w:ascii="宋体" w:hAnsi="宋体" w:cs="宋体"/>
          <w:color w:val="auto"/>
          <w:sz w:val="24"/>
          <w:szCs w:val="24"/>
          <w:highlight w:val="none"/>
        </w:rPr>
        <w:t>联合体成员单位存在失信被执行人信息、行贿犯罪记录、限制投标（或在本市承揽业务）的行政处罚、住建部门黑名单、拖欠农民工工资失信名单的，视为联合体存在相关情形</w:t>
      </w:r>
      <w:r>
        <w:rPr>
          <w:rFonts w:hint="eastAsia" w:ascii="宋体" w:hAnsi="宋体" w:cs="宋体"/>
          <w:bCs/>
          <w:color w:val="auto"/>
          <w:sz w:val="24"/>
          <w:szCs w:val="24"/>
          <w:highlight w:val="none"/>
        </w:rPr>
        <w:t>。</w:t>
      </w:r>
    </w:p>
    <w:p w14:paraId="20C427E3">
      <w:pPr>
        <w:keepNext w:val="0"/>
        <w:keepLines w:val="0"/>
        <w:pageBreakBefore w:val="0"/>
        <w:widowControl w:val="0"/>
        <w:kinsoku/>
        <w:wordWrap/>
        <w:topLinePunct w:val="0"/>
        <w:bidi w:val="0"/>
        <w:adjustRightInd/>
        <w:snapToGrid/>
        <w:spacing w:line="500" w:lineRule="exact"/>
        <w:ind w:firstLine="482" w:firstLineChars="20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.推荐中标候选人</w:t>
      </w:r>
    </w:p>
    <w:p w14:paraId="06624C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shd w:val="clear" w:color="auto" w:fill="auto"/>
          <w:lang w:val="en-US" w:eastAsia="zh-CN"/>
        </w:rPr>
        <w:t>对通过全部评审的，评标委员会按照投标人综合得分由高到低的顺序，推荐有排序的3名中标候选人。得分相等的，以投标报价与评标基准值差异的绝对值由小到大的顺序排列。差异的绝对值也相等的，由评标委员会</w:t>
      </w:r>
      <w:r>
        <w:rPr>
          <w:rFonts w:hint="eastAsia" w:ascii="宋体" w:hAnsi="宋体" w:eastAsia="宋体" w:cs="宋体"/>
          <w:color w:val="auto"/>
          <w:sz w:val="24"/>
          <w:szCs w:val="24"/>
          <w:highlight w:val="none"/>
          <w:shd w:val="clear" w:color="auto" w:fill="auto"/>
        </w:rPr>
        <w:t>抽签确定排序</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无法推荐招标文件规定数量的，以实际合格的投标人家数为准</w:t>
      </w:r>
      <w:r>
        <w:rPr>
          <w:rFonts w:hint="eastAsia" w:ascii="宋体" w:hAnsi="宋体" w:eastAsia="宋体" w:cs="宋体"/>
          <w:color w:val="auto"/>
          <w:sz w:val="24"/>
          <w:szCs w:val="24"/>
          <w:highlight w:val="none"/>
          <w:lang w:val="en-US" w:eastAsia="zh-CN"/>
        </w:rPr>
        <w:t xml:space="preserve">。 </w:t>
      </w:r>
    </w:p>
    <w:p w14:paraId="3E577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当拟推荐的中标候选人报价存在可能影响合同履行的异常低价的，且投标文件中未附其不属于异常低价的证明材料或材料不足以证明时，评审委员会将要求投标人在30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14:paraId="78CB849D">
      <w:pPr>
        <w:keepNext w:val="0"/>
        <w:keepLines w:val="0"/>
        <w:pageBreakBefore w:val="0"/>
        <w:widowControl w:val="0"/>
        <w:numPr>
          <w:ilvl w:val="0"/>
          <w:numId w:val="0"/>
        </w:numPr>
        <w:kinsoku/>
        <w:wordWrap/>
        <w:topLinePunct w:val="0"/>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u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14:paraId="191DDDCE">
      <w:pPr>
        <w:pStyle w:val="38"/>
        <w:snapToGrid w:val="0"/>
        <w:spacing w:before="0" w:after="0" w:line="480" w:lineRule="exact"/>
        <w:ind w:left="431" w:hanging="431"/>
        <w:jc w:val="center"/>
        <w:rPr>
          <w:rStyle w:val="47"/>
          <w:rFonts w:hint="eastAsia" w:ascii="宋体" w:hAnsi="宋体" w:eastAsia="宋体" w:cs="宋体"/>
          <w:bCs w:val="0"/>
          <w:color w:val="auto"/>
          <w:sz w:val="30"/>
          <w:szCs w:val="30"/>
          <w:highlight w:val="none"/>
        </w:rPr>
      </w:pPr>
    </w:p>
    <w:p w14:paraId="70066D2A">
      <w:pPr>
        <w:pStyle w:val="38"/>
        <w:snapToGrid w:val="0"/>
        <w:spacing w:before="0" w:after="0" w:line="480" w:lineRule="exact"/>
        <w:ind w:left="431" w:hanging="431"/>
        <w:jc w:val="center"/>
        <w:rPr>
          <w:rStyle w:val="47"/>
          <w:rFonts w:hint="eastAsia" w:ascii="宋体" w:hAnsi="宋体" w:eastAsia="宋体" w:cs="宋体"/>
          <w:bCs w:val="0"/>
          <w:color w:val="auto"/>
          <w:sz w:val="30"/>
          <w:szCs w:val="30"/>
          <w:highlight w:val="none"/>
        </w:rPr>
      </w:pPr>
    </w:p>
    <w:p w14:paraId="510CBA0B">
      <w:pPr>
        <w:pStyle w:val="38"/>
        <w:snapToGrid w:val="0"/>
        <w:spacing w:before="0" w:after="0" w:line="480" w:lineRule="exact"/>
        <w:ind w:left="431" w:hanging="431"/>
        <w:jc w:val="center"/>
        <w:rPr>
          <w:rStyle w:val="47"/>
          <w:rFonts w:hint="eastAsia" w:ascii="宋体" w:hAnsi="宋体" w:eastAsia="宋体" w:cs="宋体"/>
          <w:bCs w:val="0"/>
          <w:color w:val="auto"/>
          <w:sz w:val="30"/>
          <w:szCs w:val="30"/>
          <w:highlight w:val="none"/>
        </w:rPr>
      </w:pPr>
    </w:p>
    <w:p w14:paraId="09005391">
      <w:pPr>
        <w:pStyle w:val="38"/>
        <w:snapToGrid w:val="0"/>
        <w:spacing w:before="0" w:after="0" w:line="480" w:lineRule="exact"/>
        <w:ind w:left="431" w:hanging="431"/>
        <w:jc w:val="center"/>
        <w:rPr>
          <w:rStyle w:val="47"/>
          <w:rFonts w:hint="eastAsia" w:ascii="宋体" w:hAnsi="宋体" w:eastAsia="宋体" w:cs="宋体"/>
          <w:bCs w:val="0"/>
          <w:color w:val="auto"/>
          <w:sz w:val="30"/>
          <w:szCs w:val="30"/>
          <w:highlight w:val="none"/>
        </w:rPr>
      </w:pPr>
      <w:r>
        <w:rPr>
          <w:rStyle w:val="47"/>
          <w:rFonts w:hint="eastAsia" w:ascii="宋体" w:hAnsi="宋体" w:eastAsia="宋体" w:cs="宋体"/>
          <w:bCs w:val="0"/>
          <w:color w:val="auto"/>
          <w:sz w:val="30"/>
          <w:szCs w:val="30"/>
          <w:highlight w:val="none"/>
        </w:rPr>
        <w:t>第三章  合 同 通 用 条 款</w:t>
      </w:r>
    </w:p>
    <w:p w14:paraId="342A2A98">
      <w:pPr>
        <w:snapToGrid w:val="0"/>
        <w:spacing w:line="480" w:lineRule="exact"/>
        <w:ind w:firstLine="480" w:firstLineChars="200"/>
        <w:rPr>
          <w:rStyle w:val="47"/>
          <w:rFonts w:hint="eastAsia" w:ascii="宋体" w:hAnsi="宋体" w:eastAsia="宋体" w:cs="宋体"/>
          <w:color w:val="auto"/>
          <w:sz w:val="24"/>
          <w:highlight w:val="none"/>
          <w:u w:val="single" w:color="000000"/>
        </w:rPr>
      </w:pPr>
    </w:p>
    <w:p w14:paraId="14D262BB">
      <w:pPr>
        <w:snapToGrid w:val="0"/>
        <w:spacing w:line="480" w:lineRule="exact"/>
        <w:ind w:firstLine="480" w:firstLineChars="200"/>
        <w:rPr>
          <w:rStyle w:val="47"/>
          <w:rFonts w:hint="eastAsia" w:ascii="宋体" w:hAnsi="宋体" w:eastAsia="宋体" w:cs="宋体"/>
          <w:b/>
          <w:color w:val="auto"/>
          <w:szCs w:val="21"/>
          <w:highlight w:val="none"/>
        </w:rPr>
      </w:pPr>
      <w:r>
        <w:rPr>
          <w:rStyle w:val="47"/>
          <w:rFonts w:hint="eastAsia" w:ascii="宋体" w:hAnsi="宋体" w:eastAsia="宋体" w:cs="宋体"/>
          <w:color w:val="auto"/>
          <w:sz w:val="24"/>
          <w:highlight w:val="none"/>
          <w:u w:val="single" w:color="000000"/>
        </w:rPr>
        <w:t>通用合同主要条款详见（GF—2017—0201）标准工程施工合同范本（2017版本）。</w:t>
      </w:r>
    </w:p>
    <w:p w14:paraId="2B76109A">
      <w:pPr>
        <w:pStyle w:val="37"/>
        <w:rPr>
          <w:rStyle w:val="47"/>
          <w:rFonts w:hint="eastAsia" w:ascii="宋体" w:hAnsi="宋体" w:eastAsia="宋体" w:cs="宋体"/>
          <w:b/>
          <w:color w:val="auto"/>
          <w:sz w:val="32"/>
          <w:szCs w:val="32"/>
          <w:highlight w:val="none"/>
        </w:rPr>
      </w:pPr>
    </w:p>
    <w:p w14:paraId="1BC8EC4A">
      <w:pPr>
        <w:tabs>
          <w:tab w:val="left" w:pos="432"/>
        </w:tabs>
        <w:snapToGrid w:val="0"/>
        <w:spacing w:line="360" w:lineRule="auto"/>
        <w:jc w:val="center"/>
        <w:rPr>
          <w:rStyle w:val="47"/>
          <w:rFonts w:hint="eastAsia" w:ascii="宋体" w:hAnsi="宋体" w:eastAsia="宋体" w:cs="宋体"/>
          <w:b/>
          <w:color w:val="auto"/>
          <w:sz w:val="32"/>
          <w:szCs w:val="32"/>
          <w:highlight w:val="none"/>
        </w:rPr>
      </w:pPr>
    </w:p>
    <w:p w14:paraId="2D77B516">
      <w:pPr>
        <w:tabs>
          <w:tab w:val="left" w:pos="432"/>
        </w:tabs>
        <w:snapToGrid w:val="0"/>
        <w:spacing w:line="360" w:lineRule="auto"/>
        <w:jc w:val="center"/>
        <w:rPr>
          <w:rStyle w:val="47"/>
          <w:rFonts w:hint="eastAsia" w:ascii="宋体" w:hAnsi="宋体" w:eastAsia="宋体" w:cs="宋体"/>
          <w:b/>
          <w:color w:val="auto"/>
          <w:sz w:val="32"/>
          <w:szCs w:val="32"/>
          <w:highlight w:val="none"/>
        </w:rPr>
      </w:pPr>
    </w:p>
    <w:p w14:paraId="3366BF83">
      <w:pPr>
        <w:rPr>
          <w:rStyle w:val="47"/>
          <w:rFonts w:hint="eastAsia" w:ascii="宋体" w:hAnsi="宋体" w:eastAsia="宋体" w:cs="宋体"/>
          <w:b/>
          <w:color w:val="auto"/>
          <w:sz w:val="32"/>
          <w:szCs w:val="32"/>
          <w:highlight w:val="none"/>
        </w:rPr>
      </w:pPr>
      <w:r>
        <w:rPr>
          <w:rStyle w:val="47"/>
          <w:rFonts w:hint="eastAsia" w:ascii="宋体" w:hAnsi="宋体" w:eastAsia="宋体" w:cs="宋体"/>
          <w:b/>
          <w:color w:val="auto"/>
          <w:sz w:val="32"/>
          <w:szCs w:val="32"/>
          <w:highlight w:val="none"/>
        </w:rPr>
        <w:br w:type="page"/>
      </w:r>
    </w:p>
    <w:p w14:paraId="5A98872D">
      <w:pPr>
        <w:tabs>
          <w:tab w:val="left" w:pos="432"/>
        </w:tabs>
        <w:snapToGrid w:val="0"/>
        <w:spacing w:line="360" w:lineRule="auto"/>
        <w:jc w:val="center"/>
        <w:rPr>
          <w:rStyle w:val="47"/>
          <w:rFonts w:hint="eastAsia" w:ascii="宋体" w:hAnsi="宋体" w:eastAsia="宋体" w:cs="宋体"/>
          <w:b/>
          <w:color w:val="auto"/>
          <w:sz w:val="32"/>
          <w:szCs w:val="32"/>
          <w:highlight w:val="none"/>
        </w:rPr>
      </w:pPr>
    </w:p>
    <w:p w14:paraId="67EB01CB">
      <w:pPr>
        <w:tabs>
          <w:tab w:val="left" w:pos="432"/>
        </w:tabs>
        <w:snapToGrid w:val="0"/>
        <w:spacing w:line="360" w:lineRule="auto"/>
        <w:jc w:val="center"/>
        <w:rPr>
          <w:rStyle w:val="47"/>
          <w:rFonts w:hint="eastAsia" w:ascii="宋体" w:hAnsi="宋体" w:eastAsia="宋体" w:cs="宋体"/>
          <w:b/>
          <w:color w:val="auto"/>
          <w:sz w:val="30"/>
          <w:szCs w:val="30"/>
          <w:highlight w:val="none"/>
        </w:rPr>
      </w:pPr>
      <w:r>
        <w:rPr>
          <w:rStyle w:val="47"/>
          <w:rFonts w:hint="eastAsia" w:ascii="宋体" w:hAnsi="宋体" w:eastAsia="宋体" w:cs="宋体"/>
          <w:b/>
          <w:color w:val="auto"/>
          <w:sz w:val="32"/>
          <w:szCs w:val="32"/>
          <w:highlight w:val="none"/>
        </w:rPr>
        <w:t>第四章  投标文件格式</w:t>
      </w:r>
    </w:p>
    <w:p w14:paraId="705ABAAE">
      <w:pPr>
        <w:snapToGrid w:val="0"/>
        <w:rPr>
          <w:rStyle w:val="47"/>
          <w:rFonts w:hint="eastAsia" w:ascii="宋体" w:hAnsi="宋体" w:eastAsia="宋体" w:cs="宋体"/>
          <w:color w:val="auto"/>
          <w:highlight w:val="none"/>
        </w:rPr>
      </w:pPr>
    </w:p>
    <w:p w14:paraId="4A4B10F2">
      <w:pPr>
        <w:pStyle w:val="37"/>
        <w:ind w:firstLine="420"/>
        <w:rPr>
          <w:rFonts w:hint="eastAsia" w:ascii="宋体" w:hAnsi="宋体" w:eastAsia="宋体" w:cs="宋体"/>
          <w:color w:val="auto"/>
          <w:highlight w:val="none"/>
        </w:rPr>
      </w:pPr>
    </w:p>
    <w:p w14:paraId="58129D9E">
      <w:pPr>
        <w:pStyle w:val="73"/>
        <w:snapToGrid w:val="0"/>
        <w:rPr>
          <w:rStyle w:val="47"/>
          <w:rFonts w:hint="eastAsia" w:ascii="宋体" w:hAnsi="宋体" w:eastAsia="宋体" w:cs="宋体"/>
          <w:color w:val="auto"/>
          <w:highlight w:val="none"/>
        </w:rPr>
      </w:pPr>
    </w:p>
    <w:p w14:paraId="36669E5C">
      <w:pPr>
        <w:adjustRightInd w:val="0"/>
        <w:spacing w:before="48" w:beforeLines="20" w:after="48" w:afterLines="20" w:line="360" w:lineRule="auto"/>
        <w:ind w:firstLine="2409" w:firstLineChars="10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工程施工招标</w:t>
      </w:r>
    </w:p>
    <w:p w14:paraId="514BB41C">
      <w:pPr>
        <w:pStyle w:val="10"/>
        <w:adjustRightInd w:val="0"/>
        <w:spacing w:before="48" w:beforeLines="20" w:after="48" w:afterLines="20" w:line="360" w:lineRule="auto"/>
        <w:ind w:left="0" w:leftChars="0"/>
        <w:rPr>
          <w:rFonts w:hint="eastAsia" w:ascii="宋体" w:hAnsi="宋体" w:eastAsia="宋体" w:cs="宋体"/>
          <w:b/>
          <w:color w:val="auto"/>
          <w:sz w:val="24"/>
          <w:highlight w:val="none"/>
        </w:rPr>
      </w:pPr>
    </w:p>
    <w:p w14:paraId="7297A364">
      <w:pPr>
        <w:pStyle w:val="9"/>
        <w:adjustRightInd w:val="0"/>
        <w:spacing w:before="48" w:beforeLines="20" w:after="48" w:afterLines="2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  标  文  件</w:t>
      </w:r>
    </w:p>
    <w:p w14:paraId="564B2AEA">
      <w:pPr>
        <w:pStyle w:val="9"/>
        <w:adjustRightInd w:val="0"/>
        <w:spacing w:before="48" w:beforeLines="20" w:after="48" w:afterLines="2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招标编号：</w:t>
      </w:r>
    </w:p>
    <w:p w14:paraId="7956666C">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27129AA2">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1D0C9660">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34CD5D28">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3E80F8B1">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4C2895B8">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28B61166">
      <w:pPr>
        <w:pStyle w:val="9"/>
        <w:adjustRightInd w:val="0"/>
        <w:spacing w:before="48" w:beforeLines="20" w:after="48" w:afterLines="20" w:line="360" w:lineRule="auto"/>
        <w:jc w:val="center"/>
        <w:rPr>
          <w:rFonts w:hint="eastAsia" w:ascii="宋体" w:hAnsi="宋体" w:eastAsia="宋体" w:cs="宋体"/>
          <w:color w:val="auto"/>
          <w:sz w:val="24"/>
          <w:highlight w:val="none"/>
        </w:rPr>
      </w:pPr>
    </w:p>
    <w:p w14:paraId="4C72BA37">
      <w:pPr>
        <w:pStyle w:val="12"/>
        <w:adjustRightInd w:val="0"/>
        <w:spacing w:before="48" w:beforeLines="20" w:after="48" w:afterLines="20" w:line="360" w:lineRule="auto"/>
        <w:ind w:left="130" w:leftChars="62" w:firstLine="1205" w:firstLineChars="500"/>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u w:val="single"/>
          <w:lang w:val="en-US" w:eastAsia="zh-CN"/>
        </w:rPr>
        <w:t xml:space="preserve">                                                </w:t>
      </w:r>
    </w:p>
    <w:p w14:paraId="6C6E9691">
      <w:pPr>
        <w:pStyle w:val="12"/>
        <w:adjustRightInd w:val="0"/>
        <w:spacing w:before="48" w:beforeLines="20" w:after="48" w:afterLines="20" w:line="360" w:lineRule="auto"/>
        <w:ind w:left="130" w:leftChars="62"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投标文件内容：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 xml:space="preserve">    投标文件</w:t>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 xml:space="preserve">           </w:t>
      </w:r>
    </w:p>
    <w:p w14:paraId="0ED88686">
      <w:pPr>
        <w:pStyle w:val="12"/>
        <w:adjustRightInd w:val="0"/>
        <w:spacing w:before="48" w:beforeLines="20" w:after="48" w:afterLines="20" w:line="360" w:lineRule="auto"/>
        <w:ind w:left="145" w:leftChars="69" w:firstLine="1205" w:firstLineChars="5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 标 人：</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Cs w:val="21"/>
          <w:highlight w:val="none"/>
          <w:u w:val="single"/>
        </w:rPr>
        <w:t xml:space="preserve">（盖公章）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 w:val="24"/>
          <w:highlight w:val="none"/>
        </w:rPr>
        <w:t xml:space="preserve">    </w:t>
      </w:r>
    </w:p>
    <w:p w14:paraId="48611A29">
      <w:pPr>
        <w:pStyle w:val="12"/>
        <w:adjustRightInd w:val="0"/>
        <w:spacing w:before="48" w:beforeLines="20" w:after="48" w:afterLines="20" w:line="360" w:lineRule="auto"/>
        <w:ind w:left="147" w:leftChars="70"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法定代表人或</w:t>
      </w:r>
    </w:p>
    <w:p w14:paraId="1FF372D9">
      <w:pPr>
        <w:pStyle w:val="12"/>
        <w:adjustRightInd w:val="0"/>
        <w:spacing w:before="48" w:beforeLines="20" w:after="48" w:afterLines="20" w:line="360" w:lineRule="auto"/>
        <w:ind w:left="147" w:leftChars="70" w:firstLine="1205" w:firstLineChars="500"/>
        <w:rPr>
          <w:rFonts w:hint="eastAsia" w:ascii="宋体" w:hAnsi="宋体" w:eastAsia="宋体" w:cs="宋体"/>
          <w:b/>
          <w:bCs/>
          <w:color w:val="auto"/>
          <w:szCs w:val="21"/>
          <w:highlight w:val="none"/>
          <w:u w:val="single"/>
        </w:rPr>
      </w:pPr>
      <w:r>
        <w:rPr>
          <w:rFonts w:hint="eastAsia" w:ascii="宋体" w:hAnsi="宋体" w:eastAsia="宋体" w:cs="宋体"/>
          <w:b/>
          <w:bCs/>
          <w:color w:val="auto"/>
          <w:sz w:val="24"/>
          <w:highlight w:val="none"/>
        </w:rPr>
        <w:t>其委托代理人：</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Cs w:val="21"/>
          <w:highlight w:val="none"/>
          <w:u w:val="single"/>
        </w:rPr>
        <w:t xml:space="preserve">（签字或盖章）                        </w:t>
      </w:r>
    </w:p>
    <w:p w14:paraId="201CDB73">
      <w:pPr>
        <w:adjustRightInd w:val="0"/>
        <w:spacing w:before="48" w:beforeLines="20" w:after="48" w:afterLines="20" w:line="360" w:lineRule="auto"/>
        <w:ind w:firstLine="1417" w:firstLineChars="588"/>
        <w:rPr>
          <w:rFonts w:hint="eastAsia" w:ascii="宋体" w:hAnsi="宋体" w:eastAsia="宋体" w:cs="宋体"/>
          <w:b/>
          <w:color w:val="auto"/>
          <w:sz w:val="24"/>
          <w:highlight w:val="none"/>
        </w:rPr>
      </w:pPr>
    </w:p>
    <w:p w14:paraId="6CD5C089">
      <w:pPr>
        <w:adjustRightInd w:val="0"/>
        <w:spacing w:before="48" w:beforeLines="20" w:after="48" w:afterLines="20" w:line="360" w:lineRule="auto"/>
        <w:ind w:firstLine="1417" w:firstLineChars="5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  期：</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月</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日</w:t>
      </w:r>
    </w:p>
    <w:p w14:paraId="69985CD8">
      <w:pPr>
        <w:pStyle w:val="101"/>
        <w:snapToGrid w:val="0"/>
        <w:spacing w:line="360" w:lineRule="auto"/>
        <w:rPr>
          <w:rStyle w:val="47"/>
          <w:rFonts w:hint="eastAsia" w:ascii="宋体" w:hAnsi="宋体" w:eastAsia="宋体" w:cs="宋体"/>
          <w:b/>
          <w:color w:val="auto"/>
          <w:sz w:val="36"/>
          <w:szCs w:val="36"/>
          <w:highlight w:val="none"/>
        </w:rPr>
      </w:pPr>
    </w:p>
    <w:p w14:paraId="2F6B6667">
      <w:pPr>
        <w:pStyle w:val="101"/>
        <w:snapToGrid w:val="0"/>
        <w:spacing w:line="360" w:lineRule="auto"/>
        <w:jc w:val="both"/>
        <w:rPr>
          <w:rStyle w:val="47"/>
          <w:rFonts w:hint="eastAsia" w:ascii="宋体" w:hAnsi="宋体" w:eastAsia="宋体" w:cs="宋体"/>
          <w:b/>
          <w:color w:val="auto"/>
          <w:sz w:val="36"/>
          <w:szCs w:val="36"/>
          <w:highlight w:val="none"/>
        </w:rPr>
      </w:pPr>
    </w:p>
    <w:p w14:paraId="2C6427A8">
      <w:pPr>
        <w:pStyle w:val="101"/>
        <w:snapToGrid w:val="0"/>
        <w:spacing w:line="360" w:lineRule="auto"/>
        <w:jc w:val="both"/>
        <w:rPr>
          <w:rStyle w:val="47"/>
          <w:rFonts w:hint="eastAsia" w:ascii="宋体" w:hAnsi="宋体" w:eastAsia="宋体" w:cs="宋体"/>
          <w:b/>
          <w:color w:val="auto"/>
          <w:sz w:val="36"/>
          <w:szCs w:val="36"/>
          <w:highlight w:val="none"/>
        </w:rPr>
      </w:pPr>
    </w:p>
    <w:p w14:paraId="1A076B21">
      <w:pPr>
        <w:pStyle w:val="101"/>
        <w:snapToGrid w:val="0"/>
        <w:spacing w:line="360" w:lineRule="auto"/>
        <w:jc w:val="center"/>
        <w:rPr>
          <w:rStyle w:val="47"/>
          <w:rFonts w:hint="eastAsia" w:ascii="宋体" w:hAnsi="宋体" w:eastAsia="宋体" w:cs="宋体"/>
          <w:bCs/>
          <w:color w:val="auto"/>
          <w:sz w:val="36"/>
          <w:szCs w:val="36"/>
          <w:highlight w:val="none"/>
        </w:rPr>
      </w:pPr>
      <w:r>
        <w:rPr>
          <w:rStyle w:val="47"/>
          <w:rFonts w:hint="eastAsia" w:ascii="宋体" w:hAnsi="宋体" w:eastAsia="宋体" w:cs="宋体"/>
          <w:b/>
          <w:color w:val="auto"/>
          <w:sz w:val="36"/>
          <w:szCs w:val="36"/>
          <w:highlight w:val="none"/>
        </w:rPr>
        <w:t>目</w:t>
      </w:r>
      <w:r>
        <w:rPr>
          <w:rStyle w:val="47"/>
          <w:rFonts w:hint="eastAsia" w:ascii="宋体" w:hAnsi="宋体" w:eastAsia="宋体" w:cs="宋体"/>
          <w:b/>
          <w:color w:val="auto"/>
          <w:sz w:val="36"/>
          <w:szCs w:val="36"/>
          <w:highlight w:val="none"/>
          <w:lang w:val="en-US"/>
        </w:rPr>
        <w:t xml:space="preserve">  </w:t>
      </w:r>
      <w:r>
        <w:rPr>
          <w:rStyle w:val="47"/>
          <w:rFonts w:hint="eastAsia" w:ascii="宋体" w:hAnsi="宋体" w:eastAsia="宋体" w:cs="宋体"/>
          <w:b/>
          <w:color w:val="auto"/>
          <w:sz w:val="36"/>
          <w:szCs w:val="36"/>
          <w:highlight w:val="none"/>
        </w:rPr>
        <w:t>录</w:t>
      </w:r>
    </w:p>
    <w:p w14:paraId="5BBA760F">
      <w:pPr>
        <w:pStyle w:val="1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一、资格审查部分</w:t>
      </w:r>
    </w:p>
    <w:p w14:paraId="2829AB16">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（一）法定代表人身份证明书</w:t>
      </w:r>
    </w:p>
    <w:p w14:paraId="5E09C01B">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（二）法定代表人身份证复印件或扫描件</w:t>
      </w:r>
    </w:p>
    <w:p w14:paraId="4DEABED7">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（三）授权委托书</w:t>
      </w:r>
    </w:p>
    <w:p w14:paraId="53A984D4">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（四）授权委托人身份证复印件或扫描件</w:t>
      </w:r>
    </w:p>
    <w:p w14:paraId="6B0D330D">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（五）投标人营业执照、企业资质、企业安全生产许可证</w:t>
      </w:r>
      <w:r>
        <w:rPr>
          <w:rFonts w:hint="eastAsia" w:ascii="宋体" w:hAnsi="宋体" w:eastAsia="宋体" w:cs="宋体"/>
          <w:bCs/>
          <w:color w:val="auto"/>
          <w:sz w:val="24"/>
          <w:szCs w:val="24"/>
          <w:highlight w:val="none"/>
        </w:rPr>
        <w:t>复印件或扫描件</w:t>
      </w:r>
    </w:p>
    <w:p w14:paraId="7F1063A1">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（六）项目经理资格证书、安全生产考核B证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社保证明</w:t>
      </w:r>
      <w:r>
        <w:rPr>
          <w:rFonts w:hint="eastAsia" w:ascii="宋体" w:hAnsi="宋体" w:eastAsia="宋体" w:cs="宋体"/>
          <w:bCs/>
          <w:color w:val="auto"/>
          <w:sz w:val="24"/>
          <w:szCs w:val="24"/>
          <w:highlight w:val="none"/>
        </w:rPr>
        <w:t>复印件或扫描件</w:t>
      </w:r>
    </w:p>
    <w:p w14:paraId="5FC42D2B">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（七）诚信承诺书</w:t>
      </w:r>
    </w:p>
    <w:p w14:paraId="5B8E1FAD">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（八）项目经理到岗承诺</w:t>
      </w:r>
    </w:p>
    <w:p w14:paraId="2103B3CA">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hAnsi="宋体" w:cs="宋体"/>
          <w:bCs/>
          <w:color w:val="auto"/>
          <w:sz w:val="24"/>
          <w:highlight w:val="none"/>
          <w:lang w:val="en-US" w:eastAsia="zh-CN"/>
        </w:rPr>
        <w:t>九</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中小企业材料</w:t>
      </w:r>
    </w:p>
    <w:p w14:paraId="21561233">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hAnsi="宋体" w:cs="宋体"/>
          <w:bCs/>
          <w:color w:val="auto"/>
          <w:sz w:val="24"/>
          <w:highlight w:val="non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十</w:t>
      </w:r>
      <w:r>
        <w:rPr>
          <w:rFonts w:hint="eastAsia" w:ascii="宋体" w:hAnsi="宋体" w:eastAsia="宋体" w:cs="宋体"/>
          <w:bCs/>
          <w:color w:val="auto"/>
          <w:sz w:val="24"/>
          <w:highlight w:val="none"/>
        </w:rPr>
        <w:t>）招标文件要求的其他资料</w:t>
      </w:r>
    </w:p>
    <w:p w14:paraId="70A62B61">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w:t>
      </w:r>
      <w:r>
        <w:rPr>
          <w:rFonts w:hint="eastAsia" w:hAnsi="宋体" w:cs="宋体"/>
          <w:bCs/>
          <w:color w:val="auto"/>
          <w:sz w:val="24"/>
          <w:szCs w:val="24"/>
          <w:highlight w:val="none"/>
          <w:lang w:eastAsia="zh-CN"/>
        </w:rPr>
        <w:t>一</w:t>
      </w:r>
      <w:r>
        <w:rPr>
          <w:rFonts w:hint="eastAsia" w:ascii="宋体" w:hAnsi="宋体" w:eastAsia="宋体" w:cs="宋体"/>
          <w:bCs/>
          <w:color w:val="auto"/>
          <w:sz w:val="24"/>
          <w:szCs w:val="24"/>
          <w:highlight w:val="none"/>
        </w:rPr>
        <w:t>）投标人认为需要提交的其他资料</w:t>
      </w:r>
    </w:p>
    <w:p w14:paraId="3EE511FE">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Cs/>
          <w:color w:val="auto"/>
          <w:sz w:val="24"/>
          <w:szCs w:val="24"/>
          <w:highlight w:val="none"/>
        </w:rPr>
      </w:pPr>
    </w:p>
    <w:p w14:paraId="3A70AC5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二、商务部分</w:t>
      </w:r>
    </w:p>
    <w:p w14:paraId="1B5194BA">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（一）</w:t>
      </w:r>
      <w:r>
        <w:rPr>
          <w:rFonts w:hint="eastAsia" w:ascii="宋体" w:hAnsi="宋体" w:eastAsia="宋体" w:cs="宋体"/>
          <w:bCs/>
          <w:color w:val="auto"/>
          <w:sz w:val="24"/>
          <w:highlight w:val="none"/>
        </w:rPr>
        <w:t>投标函</w:t>
      </w:r>
    </w:p>
    <w:p w14:paraId="2C53E9D3">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二</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附录</w:t>
      </w:r>
    </w:p>
    <w:p w14:paraId="6FB78181">
      <w:pPr>
        <w:pStyle w:val="15"/>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三</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投标报价</w:t>
      </w:r>
    </w:p>
    <w:p w14:paraId="2B7FFC35">
      <w:pPr>
        <w:pStyle w:val="101"/>
        <w:snapToGrid w:val="0"/>
        <w:spacing w:line="560" w:lineRule="exact"/>
        <w:ind w:firstLine="480" w:firstLineChars="200"/>
        <w:rPr>
          <w:rStyle w:val="47"/>
          <w:rFonts w:hint="eastAsia" w:ascii="宋体" w:hAnsi="宋体" w:eastAsia="宋体" w:cs="宋体"/>
          <w:bCs/>
          <w:color w:val="auto"/>
          <w:sz w:val="24"/>
          <w:highlight w:val="none"/>
        </w:rPr>
      </w:pPr>
    </w:p>
    <w:p w14:paraId="38D339E1">
      <w:pPr>
        <w:pStyle w:val="101"/>
        <w:snapToGrid w:val="0"/>
        <w:spacing w:line="560" w:lineRule="exact"/>
        <w:ind w:firstLine="480" w:firstLineChars="200"/>
        <w:rPr>
          <w:rStyle w:val="47"/>
          <w:rFonts w:hint="eastAsia" w:ascii="宋体" w:hAnsi="宋体" w:eastAsia="宋体" w:cs="宋体"/>
          <w:bCs/>
          <w:color w:val="auto"/>
          <w:sz w:val="24"/>
          <w:highlight w:val="none"/>
        </w:rPr>
      </w:pPr>
    </w:p>
    <w:p w14:paraId="0A019E09">
      <w:pPr>
        <w:pStyle w:val="101"/>
        <w:snapToGrid w:val="0"/>
        <w:spacing w:line="560" w:lineRule="exact"/>
        <w:ind w:firstLine="480" w:firstLineChars="200"/>
        <w:rPr>
          <w:rStyle w:val="47"/>
          <w:rFonts w:hint="eastAsia" w:ascii="宋体" w:hAnsi="宋体" w:eastAsia="宋体" w:cs="宋体"/>
          <w:bCs/>
          <w:color w:val="auto"/>
          <w:sz w:val="24"/>
          <w:highlight w:val="none"/>
        </w:rPr>
      </w:pPr>
    </w:p>
    <w:p w14:paraId="375B06B1">
      <w:pPr>
        <w:pStyle w:val="101"/>
        <w:snapToGrid w:val="0"/>
        <w:spacing w:line="560" w:lineRule="exact"/>
        <w:ind w:firstLine="480" w:firstLineChars="200"/>
        <w:rPr>
          <w:rStyle w:val="47"/>
          <w:rFonts w:hint="eastAsia" w:ascii="宋体" w:hAnsi="宋体" w:eastAsia="宋体" w:cs="宋体"/>
          <w:bCs/>
          <w:color w:val="auto"/>
          <w:sz w:val="24"/>
          <w:highlight w:val="none"/>
        </w:rPr>
      </w:pPr>
    </w:p>
    <w:p w14:paraId="5A2F09E2">
      <w:pPr>
        <w:pStyle w:val="101"/>
        <w:snapToGrid w:val="0"/>
        <w:spacing w:line="560" w:lineRule="exact"/>
        <w:ind w:firstLine="560" w:firstLineChars="200"/>
        <w:rPr>
          <w:rStyle w:val="47"/>
          <w:rFonts w:hint="eastAsia" w:ascii="宋体" w:hAnsi="宋体" w:eastAsia="宋体" w:cs="宋体"/>
          <w:bCs/>
          <w:color w:val="auto"/>
          <w:sz w:val="28"/>
          <w:szCs w:val="28"/>
          <w:highlight w:val="none"/>
        </w:rPr>
      </w:pPr>
    </w:p>
    <w:p w14:paraId="2C1F96A8">
      <w:pPr>
        <w:pStyle w:val="101"/>
        <w:snapToGrid w:val="0"/>
        <w:spacing w:line="360" w:lineRule="auto"/>
        <w:ind w:left="360"/>
        <w:jc w:val="center"/>
        <w:rPr>
          <w:rFonts w:hint="eastAsia" w:ascii="宋体" w:hAnsi="宋体" w:eastAsia="宋体" w:cs="宋体"/>
          <w:b/>
          <w:color w:val="auto"/>
          <w:sz w:val="28"/>
          <w:szCs w:val="28"/>
          <w:highlight w:val="none"/>
          <w:lang w:val="en-US" w:eastAsia="zh-CN"/>
        </w:rPr>
      </w:pPr>
    </w:p>
    <w:p w14:paraId="1F3393B6">
      <w:pPr>
        <w:pStyle w:val="101"/>
        <w:snapToGrid w:val="0"/>
        <w:spacing w:line="360" w:lineRule="auto"/>
        <w:jc w:val="center"/>
        <w:rPr>
          <w:rStyle w:val="47"/>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一、资格审查部分</w:t>
      </w:r>
    </w:p>
    <w:p w14:paraId="0A3F08D7">
      <w:pPr>
        <w:pStyle w:val="101"/>
        <w:snapToGrid w:val="0"/>
        <w:spacing w:line="360" w:lineRule="auto"/>
        <w:ind w:left="360"/>
        <w:jc w:val="center"/>
        <w:rPr>
          <w:rStyle w:val="47"/>
          <w:rFonts w:hint="eastAsia" w:ascii="宋体" w:hAnsi="宋体" w:eastAsia="宋体" w:cs="宋体"/>
          <w:b/>
          <w:color w:val="auto"/>
          <w:sz w:val="28"/>
          <w:szCs w:val="28"/>
          <w:highlight w:val="none"/>
        </w:rPr>
      </w:pPr>
    </w:p>
    <w:p w14:paraId="48A7FD3C">
      <w:pPr>
        <w:pStyle w:val="101"/>
        <w:snapToGrid w:val="0"/>
        <w:spacing w:line="360" w:lineRule="auto"/>
        <w:jc w:val="center"/>
        <w:rPr>
          <w:rStyle w:val="47"/>
          <w:rFonts w:hint="eastAsia" w:ascii="宋体" w:hAnsi="宋体" w:eastAsia="宋体" w:cs="宋体"/>
          <w:b/>
          <w:color w:val="auto"/>
          <w:sz w:val="28"/>
          <w:szCs w:val="28"/>
          <w:highlight w:val="none"/>
        </w:rPr>
      </w:pPr>
      <w:r>
        <w:rPr>
          <w:rStyle w:val="47"/>
          <w:rFonts w:hint="eastAsia" w:ascii="宋体" w:hAnsi="宋体" w:eastAsia="宋体" w:cs="宋体"/>
          <w:b/>
          <w:color w:val="auto"/>
          <w:sz w:val="28"/>
          <w:szCs w:val="28"/>
          <w:highlight w:val="none"/>
        </w:rPr>
        <w:t>（</w:t>
      </w:r>
      <w:r>
        <w:rPr>
          <w:rStyle w:val="47"/>
          <w:rFonts w:hint="eastAsia" w:ascii="宋体" w:hAnsi="宋体" w:eastAsia="宋体" w:cs="宋体"/>
          <w:b/>
          <w:color w:val="auto"/>
          <w:sz w:val="28"/>
          <w:szCs w:val="28"/>
          <w:highlight w:val="none"/>
          <w:lang w:val="en-US"/>
        </w:rPr>
        <w:t>一</w:t>
      </w:r>
      <w:r>
        <w:rPr>
          <w:rStyle w:val="47"/>
          <w:rFonts w:hint="eastAsia" w:ascii="宋体" w:hAnsi="宋体" w:eastAsia="宋体" w:cs="宋体"/>
          <w:b/>
          <w:color w:val="auto"/>
          <w:sz w:val="28"/>
          <w:szCs w:val="28"/>
          <w:highlight w:val="none"/>
        </w:rPr>
        <w:t>）法定代表人身份证明书</w:t>
      </w:r>
    </w:p>
    <w:p w14:paraId="0471E649">
      <w:pPr>
        <w:snapToGrid w:val="0"/>
        <w:spacing w:before="48" w:after="48" w:line="360" w:lineRule="auto"/>
        <w:ind w:firstLine="610"/>
        <w:rPr>
          <w:rStyle w:val="47"/>
          <w:rFonts w:hint="eastAsia" w:ascii="宋体" w:hAnsi="宋体" w:eastAsia="宋体" w:cs="宋体"/>
          <w:color w:val="auto"/>
          <w:szCs w:val="21"/>
          <w:highlight w:val="none"/>
        </w:rPr>
      </w:pPr>
    </w:p>
    <w:p w14:paraId="5CEAF26F">
      <w:pPr>
        <w:snapToGrid w:val="0"/>
        <w:spacing w:before="48" w:after="48" w:line="360" w:lineRule="auto"/>
        <w:ind w:firstLine="610"/>
        <w:rPr>
          <w:rStyle w:val="47"/>
          <w:rFonts w:hint="eastAsia" w:ascii="宋体" w:hAnsi="宋体" w:eastAsia="宋体" w:cs="宋体"/>
          <w:color w:val="auto"/>
          <w:szCs w:val="21"/>
          <w:highlight w:val="none"/>
        </w:rPr>
      </w:pPr>
    </w:p>
    <w:p w14:paraId="26E25674">
      <w:pPr>
        <w:snapToGrid w:val="0"/>
        <w:spacing w:before="48" w:after="48" w:line="360" w:lineRule="auto"/>
        <w:ind w:firstLine="61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单位名称：</w:t>
      </w:r>
    </w:p>
    <w:p w14:paraId="4C9126A9">
      <w:pPr>
        <w:snapToGrid w:val="0"/>
        <w:spacing w:before="48" w:after="48" w:line="360" w:lineRule="auto"/>
        <w:ind w:firstLine="610"/>
        <w:rPr>
          <w:rStyle w:val="47"/>
          <w:rFonts w:hint="eastAsia" w:ascii="宋体" w:hAnsi="宋体" w:eastAsia="宋体" w:cs="宋体"/>
          <w:color w:val="auto"/>
          <w:szCs w:val="21"/>
          <w:highlight w:val="none"/>
          <w:u w:val="single" w:color="000000"/>
        </w:rPr>
      </w:pPr>
      <w:r>
        <w:rPr>
          <w:rStyle w:val="47"/>
          <w:rFonts w:hint="eastAsia" w:ascii="宋体" w:hAnsi="宋体" w:eastAsia="宋体" w:cs="宋体"/>
          <w:color w:val="auto"/>
          <w:szCs w:val="21"/>
          <w:highlight w:val="none"/>
        </w:rPr>
        <w:t>单位性质：</w:t>
      </w:r>
    </w:p>
    <w:p w14:paraId="393EF4D4">
      <w:pPr>
        <w:snapToGrid w:val="0"/>
        <w:spacing w:before="48" w:after="48" w:line="360" w:lineRule="auto"/>
        <w:ind w:firstLine="61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地    址：</w:t>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r>
        <w:rPr>
          <w:rStyle w:val="47"/>
          <w:rFonts w:hint="eastAsia" w:ascii="宋体" w:hAnsi="宋体" w:eastAsia="宋体" w:cs="宋体"/>
          <w:color w:val="auto"/>
          <w:szCs w:val="21"/>
          <w:highlight w:val="none"/>
          <w:u w:val="single" w:color="000000"/>
        </w:rPr>
        <w:tab/>
      </w:r>
    </w:p>
    <w:p w14:paraId="561071D4">
      <w:pPr>
        <w:snapToGrid w:val="0"/>
        <w:spacing w:before="48" w:after="48" w:line="360" w:lineRule="auto"/>
        <w:ind w:firstLine="61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成立时间： 年 月 日</w:t>
      </w:r>
    </w:p>
    <w:p w14:paraId="7D22860A">
      <w:pPr>
        <w:snapToGrid w:val="0"/>
        <w:spacing w:before="48" w:after="48" w:line="360" w:lineRule="auto"/>
        <w:ind w:firstLine="61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经营期限：</w:t>
      </w:r>
      <w:r>
        <w:rPr>
          <w:rStyle w:val="47"/>
          <w:rFonts w:hint="eastAsia" w:ascii="宋体" w:hAnsi="宋体" w:eastAsia="宋体" w:cs="宋体"/>
          <w:color w:val="auto"/>
          <w:szCs w:val="21"/>
          <w:highlight w:val="none"/>
        </w:rPr>
        <w:tab/>
      </w:r>
    </w:p>
    <w:p w14:paraId="67771348">
      <w:pPr>
        <w:snapToGrid w:val="0"/>
        <w:spacing w:before="48" w:after="48" w:line="360" w:lineRule="auto"/>
        <w:ind w:firstLine="610"/>
        <w:rPr>
          <w:rStyle w:val="47"/>
          <w:rFonts w:hint="eastAsia" w:ascii="宋体" w:hAnsi="宋体" w:eastAsia="宋体" w:cs="宋体"/>
          <w:color w:val="auto"/>
          <w:szCs w:val="21"/>
          <w:highlight w:val="none"/>
          <w:u w:val="single" w:color="000000"/>
        </w:rPr>
      </w:pPr>
      <w:r>
        <w:rPr>
          <w:rStyle w:val="47"/>
          <w:rFonts w:hint="eastAsia" w:ascii="宋体" w:hAnsi="宋体" w:eastAsia="宋体" w:cs="宋体"/>
          <w:color w:val="auto"/>
          <w:szCs w:val="21"/>
          <w:highlight w:val="none"/>
        </w:rPr>
        <w:t>姓    名：   性别：</w:t>
      </w:r>
    </w:p>
    <w:p w14:paraId="34CD000E">
      <w:pPr>
        <w:snapToGrid w:val="0"/>
        <w:spacing w:before="48" w:after="48" w:line="360" w:lineRule="auto"/>
        <w:ind w:firstLine="610"/>
        <w:rPr>
          <w:rStyle w:val="47"/>
          <w:rFonts w:hint="eastAsia" w:ascii="宋体" w:hAnsi="宋体" w:eastAsia="宋体" w:cs="宋体"/>
          <w:color w:val="auto"/>
          <w:szCs w:val="21"/>
          <w:highlight w:val="none"/>
          <w:u w:val="single" w:color="000000"/>
        </w:rPr>
      </w:pPr>
      <w:r>
        <w:rPr>
          <w:rStyle w:val="47"/>
          <w:rFonts w:hint="eastAsia" w:ascii="宋体" w:hAnsi="宋体" w:eastAsia="宋体" w:cs="宋体"/>
          <w:color w:val="auto"/>
          <w:szCs w:val="21"/>
          <w:highlight w:val="none"/>
        </w:rPr>
        <w:t>年    龄：   职务：</w:t>
      </w:r>
      <w:r>
        <w:rPr>
          <w:rStyle w:val="47"/>
          <w:rFonts w:hint="eastAsia" w:ascii="宋体" w:hAnsi="宋体" w:eastAsia="宋体" w:cs="宋体"/>
          <w:color w:val="auto"/>
          <w:szCs w:val="21"/>
          <w:highlight w:val="none"/>
        </w:rPr>
        <w:tab/>
      </w:r>
    </w:p>
    <w:p w14:paraId="62F7994F">
      <w:pPr>
        <w:snapToGrid w:val="0"/>
        <w:spacing w:before="48" w:after="48" w:line="360" w:lineRule="auto"/>
        <w:ind w:firstLine="61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 xml:space="preserve">系  </w:t>
      </w:r>
      <w:r>
        <w:rPr>
          <w:rStyle w:val="47"/>
          <w:rFonts w:hint="eastAsia" w:ascii="宋体" w:hAnsi="宋体" w:eastAsia="宋体" w:cs="宋体"/>
          <w:color w:val="auto"/>
          <w:szCs w:val="21"/>
          <w:highlight w:val="none"/>
          <w:u w:val="single" w:color="000000"/>
        </w:rPr>
        <w:t xml:space="preserve">        （投标人单位名称）        </w:t>
      </w:r>
      <w:r>
        <w:rPr>
          <w:rStyle w:val="47"/>
          <w:rFonts w:hint="eastAsia" w:ascii="宋体" w:hAnsi="宋体" w:eastAsia="宋体" w:cs="宋体"/>
          <w:color w:val="auto"/>
          <w:szCs w:val="21"/>
          <w:highlight w:val="none"/>
        </w:rPr>
        <w:t xml:space="preserve"> 的法定代表人。</w:t>
      </w:r>
    </w:p>
    <w:p w14:paraId="11C59599">
      <w:pPr>
        <w:snapToGrid w:val="0"/>
        <w:spacing w:before="48" w:after="48" w:line="360" w:lineRule="auto"/>
        <w:ind w:firstLine="610"/>
        <w:rPr>
          <w:rStyle w:val="47"/>
          <w:rFonts w:hint="eastAsia" w:ascii="宋体" w:hAnsi="宋体" w:eastAsia="宋体" w:cs="宋体"/>
          <w:color w:val="auto"/>
          <w:szCs w:val="21"/>
          <w:highlight w:val="none"/>
        </w:rPr>
      </w:pPr>
    </w:p>
    <w:p w14:paraId="64520E3E">
      <w:pPr>
        <w:pStyle w:val="35"/>
        <w:snapToGrid w:val="0"/>
        <w:spacing w:before="48" w:after="48" w:line="360" w:lineRule="auto"/>
        <w:ind w:firstLine="210" w:firstLineChars="10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特此证明。</w:t>
      </w:r>
    </w:p>
    <w:p w14:paraId="5E0A6F78">
      <w:pPr>
        <w:pStyle w:val="35"/>
        <w:snapToGrid w:val="0"/>
        <w:spacing w:before="48" w:after="48" w:line="360" w:lineRule="auto"/>
        <w:ind w:firstLine="210" w:firstLineChars="100"/>
        <w:rPr>
          <w:rStyle w:val="47"/>
          <w:rFonts w:hint="eastAsia" w:ascii="宋体" w:hAnsi="宋体" w:eastAsia="宋体" w:cs="宋体"/>
          <w:color w:val="auto"/>
          <w:szCs w:val="21"/>
          <w:highlight w:val="none"/>
        </w:rPr>
      </w:pPr>
    </w:p>
    <w:p w14:paraId="3F881E0F">
      <w:pPr>
        <w:pStyle w:val="35"/>
        <w:snapToGrid w:val="0"/>
        <w:spacing w:before="48" w:after="48" w:line="360" w:lineRule="auto"/>
        <w:ind w:firstLine="210" w:firstLineChars="100"/>
        <w:rPr>
          <w:rStyle w:val="47"/>
          <w:rFonts w:hint="eastAsia" w:ascii="宋体" w:hAnsi="宋体" w:eastAsia="宋体" w:cs="宋体"/>
          <w:color w:val="auto"/>
          <w:szCs w:val="21"/>
          <w:highlight w:val="none"/>
        </w:rPr>
      </w:pPr>
    </w:p>
    <w:p w14:paraId="187B8E0E">
      <w:pPr>
        <w:pStyle w:val="35"/>
        <w:snapToGrid w:val="0"/>
        <w:spacing w:before="48" w:after="48" w:line="360" w:lineRule="auto"/>
        <w:ind w:firstLine="210" w:firstLineChars="100"/>
        <w:rPr>
          <w:rStyle w:val="47"/>
          <w:rFonts w:hint="eastAsia" w:ascii="宋体" w:hAnsi="宋体" w:eastAsia="宋体" w:cs="宋体"/>
          <w:color w:val="auto"/>
          <w:szCs w:val="21"/>
          <w:highlight w:val="none"/>
        </w:rPr>
      </w:pPr>
    </w:p>
    <w:p w14:paraId="66410967">
      <w:pPr>
        <w:tabs>
          <w:tab w:val="left" w:pos="720"/>
          <w:tab w:val="left" w:pos="900"/>
        </w:tabs>
        <w:snapToGrid w:val="0"/>
        <w:spacing w:before="48" w:after="48" w:line="360" w:lineRule="auto"/>
        <w:ind w:firstLine="3360" w:firstLineChars="1600"/>
        <w:rPr>
          <w:rStyle w:val="47"/>
          <w:rFonts w:hint="eastAsia" w:ascii="宋体" w:hAnsi="宋体" w:eastAsia="宋体" w:cs="宋体"/>
          <w:color w:val="auto"/>
          <w:szCs w:val="21"/>
          <w:highlight w:val="none"/>
          <w:u w:val="single" w:color="000000"/>
        </w:rPr>
      </w:pPr>
      <w:r>
        <w:rPr>
          <w:rStyle w:val="47"/>
          <w:rFonts w:hint="eastAsia" w:ascii="宋体" w:hAnsi="宋体" w:eastAsia="宋体" w:cs="宋体"/>
          <w:color w:val="auto"/>
          <w:szCs w:val="21"/>
          <w:highlight w:val="none"/>
        </w:rPr>
        <w:t>投标人：</w:t>
      </w:r>
      <w:r>
        <w:rPr>
          <w:rStyle w:val="47"/>
          <w:rFonts w:hint="eastAsia" w:ascii="宋体" w:hAnsi="宋体" w:eastAsia="宋体" w:cs="宋体"/>
          <w:color w:val="auto"/>
          <w:szCs w:val="21"/>
          <w:highlight w:val="none"/>
          <w:u w:val="single" w:color="000000"/>
        </w:rPr>
        <w:t xml:space="preserve">   （盖公章）</w:t>
      </w:r>
    </w:p>
    <w:p w14:paraId="4F7FDBC2">
      <w:pPr>
        <w:snapToGrid w:val="0"/>
        <w:spacing w:before="48" w:after="48" w:line="360" w:lineRule="auto"/>
        <w:ind w:firstLine="3360" w:firstLineChars="1600"/>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日  期：</w:t>
      </w:r>
      <w:r>
        <w:rPr>
          <w:rStyle w:val="47"/>
          <w:rFonts w:hint="eastAsia" w:ascii="宋体" w:hAnsi="宋体" w:eastAsia="宋体" w:cs="宋体"/>
          <w:color w:val="auto"/>
          <w:szCs w:val="21"/>
          <w:highlight w:val="none"/>
          <w:lang w:val="en-US"/>
        </w:rPr>
        <w:t xml:space="preserve">  </w:t>
      </w:r>
      <w:r>
        <w:rPr>
          <w:rStyle w:val="47"/>
          <w:rFonts w:hint="eastAsia" w:ascii="宋体" w:hAnsi="宋体" w:eastAsia="宋体" w:cs="宋体"/>
          <w:color w:val="auto"/>
          <w:szCs w:val="21"/>
          <w:highlight w:val="none"/>
        </w:rPr>
        <w:t>年</w:t>
      </w:r>
      <w:r>
        <w:rPr>
          <w:rStyle w:val="47"/>
          <w:rFonts w:hint="eastAsia" w:ascii="宋体" w:hAnsi="宋体" w:eastAsia="宋体" w:cs="宋体"/>
          <w:color w:val="auto"/>
          <w:szCs w:val="21"/>
          <w:highlight w:val="none"/>
          <w:lang w:val="en-US"/>
        </w:rPr>
        <w:t xml:space="preserve">   </w:t>
      </w:r>
      <w:r>
        <w:rPr>
          <w:rStyle w:val="47"/>
          <w:rFonts w:hint="eastAsia" w:ascii="宋体" w:hAnsi="宋体" w:eastAsia="宋体" w:cs="宋体"/>
          <w:color w:val="auto"/>
          <w:szCs w:val="21"/>
          <w:highlight w:val="none"/>
        </w:rPr>
        <w:t>月</w:t>
      </w:r>
      <w:r>
        <w:rPr>
          <w:rStyle w:val="47"/>
          <w:rFonts w:hint="eastAsia" w:ascii="宋体" w:hAnsi="宋体" w:eastAsia="宋体" w:cs="宋体"/>
          <w:color w:val="auto"/>
          <w:szCs w:val="21"/>
          <w:highlight w:val="none"/>
          <w:lang w:val="en-US"/>
        </w:rPr>
        <w:t xml:space="preserve">   </w:t>
      </w:r>
      <w:r>
        <w:rPr>
          <w:rStyle w:val="47"/>
          <w:rFonts w:hint="eastAsia" w:ascii="宋体" w:hAnsi="宋体" w:eastAsia="宋体" w:cs="宋体"/>
          <w:color w:val="auto"/>
          <w:szCs w:val="21"/>
          <w:highlight w:val="none"/>
        </w:rPr>
        <w:t>日</w:t>
      </w:r>
    </w:p>
    <w:p w14:paraId="74841BF6">
      <w:pPr>
        <w:pStyle w:val="164"/>
        <w:snapToGrid w:val="0"/>
        <w:ind w:firstLine="420"/>
        <w:rPr>
          <w:rStyle w:val="47"/>
          <w:rFonts w:hint="eastAsia" w:ascii="宋体" w:hAnsi="宋体" w:eastAsia="宋体" w:cs="宋体"/>
          <w:color w:val="auto"/>
          <w:szCs w:val="21"/>
          <w:highlight w:val="none"/>
        </w:rPr>
      </w:pPr>
    </w:p>
    <w:p w14:paraId="22547E66">
      <w:pPr>
        <w:pStyle w:val="164"/>
        <w:snapToGrid w:val="0"/>
        <w:ind w:firstLine="420"/>
        <w:rPr>
          <w:rStyle w:val="47"/>
          <w:rFonts w:hint="eastAsia" w:ascii="宋体" w:hAnsi="宋体" w:eastAsia="宋体" w:cs="宋体"/>
          <w:color w:val="auto"/>
          <w:szCs w:val="21"/>
          <w:highlight w:val="none"/>
        </w:rPr>
      </w:pPr>
    </w:p>
    <w:tbl>
      <w:tblPr>
        <w:tblStyle w:val="27"/>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0"/>
      </w:tblGrid>
      <w:tr w14:paraId="64AC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9240" w:type="dxa"/>
            <w:tcBorders>
              <w:top w:val="single" w:color="000000" w:sz="4" w:space="0"/>
              <w:left w:val="single" w:color="000000" w:sz="4" w:space="0"/>
              <w:bottom w:val="single" w:color="000000" w:sz="4" w:space="0"/>
              <w:right w:val="single" w:color="000000" w:sz="4" w:space="0"/>
            </w:tcBorders>
            <w:vAlign w:val="center"/>
          </w:tcPr>
          <w:p w14:paraId="0A237A3E">
            <w:pPr>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b/>
                <w:color w:val="auto"/>
                <w:sz w:val="36"/>
                <w:szCs w:val="36"/>
                <w:highlight w:val="none"/>
              </w:rPr>
              <w:t>法定代表人身份证复印件或扫描件</w:t>
            </w:r>
          </w:p>
        </w:tc>
      </w:tr>
    </w:tbl>
    <w:p w14:paraId="774D4886">
      <w:pPr>
        <w:pStyle w:val="101"/>
        <w:snapToGrid w:val="0"/>
        <w:spacing w:line="360" w:lineRule="auto"/>
        <w:jc w:val="center"/>
        <w:rPr>
          <w:rStyle w:val="47"/>
          <w:rFonts w:hint="eastAsia" w:ascii="宋体" w:hAnsi="宋体" w:eastAsia="宋体" w:cs="宋体"/>
          <w:b/>
          <w:color w:val="auto"/>
          <w:sz w:val="28"/>
          <w:szCs w:val="28"/>
          <w:highlight w:val="none"/>
        </w:rPr>
      </w:pPr>
    </w:p>
    <w:p w14:paraId="76048E44">
      <w:pPr>
        <w:pStyle w:val="101"/>
        <w:snapToGrid w:val="0"/>
        <w:spacing w:line="360" w:lineRule="auto"/>
        <w:jc w:val="center"/>
        <w:rPr>
          <w:rStyle w:val="47"/>
          <w:rFonts w:hint="eastAsia" w:ascii="宋体" w:hAnsi="宋体" w:eastAsia="宋体" w:cs="宋体"/>
          <w:b/>
          <w:color w:val="auto"/>
          <w:sz w:val="28"/>
          <w:szCs w:val="28"/>
          <w:highlight w:val="none"/>
        </w:rPr>
      </w:pPr>
    </w:p>
    <w:p w14:paraId="51E6AD71">
      <w:pPr>
        <w:pStyle w:val="101"/>
        <w:snapToGrid w:val="0"/>
        <w:spacing w:line="360" w:lineRule="auto"/>
        <w:jc w:val="center"/>
        <w:rPr>
          <w:rStyle w:val="47"/>
          <w:rFonts w:hint="eastAsia" w:ascii="宋体" w:hAnsi="宋体" w:eastAsia="宋体" w:cs="宋体"/>
          <w:b/>
          <w:color w:val="auto"/>
          <w:sz w:val="28"/>
          <w:szCs w:val="28"/>
          <w:highlight w:val="none"/>
        </w:rPr>
      </w:pPr>
    </w:p>
    <w:p w14:paraId="3EED7E59">
      <w:pPr>
        <w:pStyle w:val="101"/>
        <w:snapToGrid w:val="0"/>
        <w:spacing w:line="360" w:lineRule="auto"/>
        <w:jc w:val="center"/>
        <w:rPr>
          <w:rStyle w:val="47"/>
          <w:rFonts w:hint="eastAsia" w:ascii="宋体" w:hAnsi="宋体" w:eastAsia="宋体" w:cs="宋体"/>
          <w:b/>
          <w:color w:val="auto"/>
          <w:sz w:val="28"/>
          <w:szCs w:val="28"/>
          <w:highlight w:val="none"/>
        </w:rPr>
      </w:pPr>
    </w:p>
    <w:p w14:paraId="245FB1AC">
      <w:pPr>
        <w:pStyle w:val="101"/>
        <w:snapToGrid w:val="0"/>
        <w:spacing w:line="360" w:lineRule="auto"/>
        <w:jc w:val="center"/>
        <w:rPr>
          <w:rStyle w:val="47"/>
          <w:rFonts w:hint="eastAsia" w:ascii="宋体" w:hAnsi="宋体" w:eastAsia="宋体" w:cs="宋体"/>
          <w:b/>
          <w:color w:val="auto"/>
          <w:sz w:val="28"/>
          <w:szCs w:val="28"/>
          <w:highlight w:val="none"/>
        </w:rPr>
      </w:pPr>
      <w:r>
        <w:rPr>
          <w:rStyle w:val="47"/>
          <w:rFonts w:hint="eastAsia" w:ascii="宋体" w:hAnsi="宋体" w:eastAsia="宋体" w:cs="宋体"/>
          <w:b/>
          <w:color w:val="auto"/>
          <w:sz w:val="28"/>
          <w:szCs w:val="28"/>
          <w:highlight w:val="none"/>
        </w:rPr>
        <w:t>（三）授权委托书</w:t>
      </w:r>
    </w:p>
    <w:p w14:paraId="0BA24BCB">
      <w:pPr>
        <w:pStyle w:val="93"/>
        <w:snapToGrid w:val="0"/>
        <w:spacing w:before="48" w:after="48" w:line="360" w:lineRule="auto"/>
        <w:ind w:firstLine="420" w:firstLineChars="200"/>
        <w:rPr>
          <w:rStyle w:val="47"/>
          <w:rFonts w:hint="eastAsia" w:ascii="宋体" w:hAnsi="宋体" w:eastAsia="宋体" w:cs="宋体"/>
          <w:color w:val="auto"/>
          <w:szCs w:val="21"/>
          <w:highlight w:val="none"/>
        </w:rPr>
      </w:pPr>
    </w:p>
    <w:p w14:paraId="37370C9A">
      <w:pPr>
        <w:pStyle w:val="93"/>
        <w:snapToGrid w:val="0"/>
        <w:spacing w:before="48" w:after="48" w:line="360" w:lineRule="auto"/>
        <w:ind w:firstLine="480" w:firstLineChars="200"/>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本授权委托书声明：我（姓名）系</w:t>
      </w:r>
      <w:r>
        <w:rPr>
          <w:rStyle w:val="47"/>
          <w:rFonts w:hint="eastAsia" w:ascii="宋体" w:hAnsi="宋体" w:eastAsia="宋体" w:cs="宋体"/>
          <w:color w:val="auto"/>
          <w:sz w:val="24"/>
          <w:szCs w:val="24"/>
          <w:highlight w:val="none"/>
          <w:u w:val="single" w:color="000000"/>
        </w:rPr>
        <w:t xml:space="preserve">   （投 标 人 名 称）</w:t>
      </w:r>
      <w:r>
        <w:rPr>
          <w:rStyle w:val="47"/>
          <w:rFonts w:hint="eastAsia" w:ascii="宋体" w:hAnsi="宋体" w:eastAsia="宋体" w:cs="宋体"/>
          <w:color w:val="auto"/>
          <w:sz w:val="24"/>
          <w:szCs w:val="24"/>
          <w:highlight w:val="none"/>
        </w:rPr>
        <w:t xml:space="preserve">的法定代表人，现授权委托 </w:t>
      </w:r>
      <w:r>
        <w:rPr>
          <w:rStyle w:val="47"/>
          <w:rFonts w:hint="eastAsia" w:ascii="宋体" w:hAnsi="宋体" w:eastAsia="宋体" w:cs="宋体"/>
          <w:color w:val="auto"/>
          <w:sz w:val="24"/>
          <w:szCs w:val="24"/>
          <w:highlight w:val="none"/>
          <w:u w:val="single" w:color="000000"/>
        </w:rPr>
        <w:t xml:space="preserve">    （单位名称）     </w:t>
      </w:r>
      <w:r>
        <w:rPr>
          <w:rStyle w:val="47"/>
          <w:rFonts w:hint="eastAsia" w:ascii="宋体" w:hAnsi="宋体" w:eastAsia="宋体" w:cs="宋体"/>
          <w:color w:val="auto"/>
          <w:sz w:val="24"/>
          <w:szCs w:val="24"/>
          <w:highlight w:val="none"/>
        </w:rPr>
        <w:t xml:space="preserve"> 的 </w:t>
      </w:r>
      <w:r>
        <w:rPr>
          <w:rStyle w:val="47"/>
          <w:rFonts w:hint="eastAsia" w:ascii="宋体" w:hAnsi="宋体" w:eastAsia="宋体" w:cs="宋体"/>
          <w:color w:val="auto"/>
          <w:sz w:val="24"/>
          <w:szCs w:val="24"/>
          <w:highlight w:val="none"/>
          <w:u w:val="single" w:color="000000"/>
        </w:rPr>
        <w:t xml:space="preserve">   （姓名） </w:t>
      </w:r>
      <w:r>
        <w:rPr>
          <w:rStyle w:val="47"/>
          <w:rFonts w:hint="eastAsia" w:ascii="宋体" w:hAnsi="宋体" w:eastAsia="宋体" w:cs="宋体"/>
          <w:color w:val="auto"/>
          <w:sz w:val="24"/>
          <w:szCs w:val="24"/>
          <w:highlight w:val="none"/>
        </w:rPr>
        <w:t>为我公司的合法代理人，就（合同名称）的投标、施工、竣工和保修，以本公司的名义签署投标书，解释投标文件，进行谈判、签署合同和处理与之有关的一切事宜。</w:t>
      </w:r>
    </w:p>
    <w:p w14:paraId="7D472FB0">
      <w:pPr>
        <w:pStyle w:val="35"/>
        <w:snapToGrid w:val="0"/>
        <w:spacing w:before="48" w:after="48" w:line="360" w:lineRule="auto"/>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代理人无转委托权，特此委托。</w:t>
      </w:r>
    </w:p>
    <w:p w14:paraId="5E10EC1A">
      <w:pPr>
        <w:snapToGrid w:val="0"/>
        <w:spacing w:before="48" w:after="48" w:line="500" w:lineRule="exact"/>
        <w:ind w:firstLine="1320" w:firstLineChars="550"/>
        <w:rPr>
          <w:rStyle w:val="47"/>
          <w:rFonts w:hint="eastAsia" w:ascii="宋体" w:hAnsi="宋体" w:eastAsia="宋体" w:cs="宋体"/>
          <w:color w:val="auto"/>
          <w:sz w:val="24"/>
          <w:szCs w:val="24"/>
          <w:highlight w:val="none"/>
        </w:rPr>
      </w:pPr>
    </w:p>
    <w:p w14:paraId="4103BC1C">
      <w:pPr>
        <w:snapToGrid w:val="0"/>
        <w:spacing w:before="48" w:after="48" w:line="500" w:lineRule="exact"/>
        <w:ind w:firstLine="1320" w:firstLineChars="550"/>
        <w:rPr>
          <w:rStyle w:val="47"/>
          <w:rFonts w:hint="eastAsia" w:ascii="宋体" w:hAnsi="宋体" w:eastAsia="宋体" w:cs="宋体"/>
          <w:color w:val="auto"/>
          <w:sz w:val="24"/>
          <w:szCs w:val="24"/>
          <w:highlight w:val="none"/>
        </w:rPr>
      </w:pPr>
    </w:p>
    <w:p w14:paraId="767815CE">
      <w:pPr>
        <w:snapToGrid w:val="0"/>
        <w:spacing w:before="48" w:after="48" w:line="500" w:lineRule="exact"/>
        <w:ind w:firstLine="1200" w:firstLineChars="500"/>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代  理  人：</w:t>
      </w:r>
      <w:r>
        <w:rPr>
          <w:rStyle w:val="47"/>
          <w:rFonts w:hint="eastAsia" w:ascii="宋体" w:hAnsi="宋体" w:eastAsia="宋体" w:cs="宋体"/>
          <w:color w:val="auto"/>
          <w:sz w:val="24"/>
          <w:szCs w:val="24"/>
          <w:highlight w:val="none"/>
          <w:lang w:val="en-US"/>
        </w:rPr>
        <w:t xml:space="preserve">            </w:t>
      </w:r>
      <w:r>
        <w:rPr>
          <w:rStyle w:val="47"/>
          <w:rFonts w:hint="eastAsia" w:ascii="宋体" w:hAnsi="宋体" w:eastAsia="宋体" w:cs="宋体"/>
          <w:color w:val="auto"/>
          <w:sz w:val="24"/>
          <w:szCs w:val="24"/>
          <w:highlight w:val="none"/>
        </w:rPr>
        <w:t>性别 ：</w:t>
      </w:r>
      <w:r>
        <w:rPr>
          <w:rStyle w:val="47"/>
          <w:rFonts w:hint="eastAsia" w:ascii="宋体" w:hAnsi="宋体" w:eastAsia="宋体" w:cs="宋体"/>
          <w:color w:val="auto"/>
          <w:sz w:val="24"/>
          <w:szCs w:val="24"/>
          <w:highlight w:val="none"/>
          <w:lang w:val="en-US"/>
        </w:rPr>
        <w:t xml:space="preserve">          </w:t>
      </w:r>
      <w:r>
        <w:rPr>
          <w:rStyle w:val="47"/>
          <w:rFonts w:hint="eastAsia" w:ascii="宋体" w:hAnsi="宋体" w:eastAsia="宋体" w:cs="宋体"/>
          <w:color w:val="auto"/>
          <w:sz w:val="24"/>
          <w:szCs w:val="24"/>
          <w:highlight w:val="none"/>
        </w:rPr>
        <w:t>年龄：</w:t>
      </w:r>
    </w:p>
    <w:p w14:paraId="1244B5C0">
      <w:pPr>
        <w:snapToGrid w:val="0"/>
        <w:spacing w:before="48" w:after="48"/>
        <w:ind w:left="2699"/>
        <w:rPr>
          <w:rStyle w:val="47"/>
          <w:rFonts w:hint="eastAsia" w:ascii="宋体" w:hAnsi="宋体" w:eastAsia="宋体" w:cs="宋体"/>
          <w:color w:val="auto"/>
          <w:sz w:val="24"/>
          <w:szCs w:val="24"/>
          <w:highlight w:val="none"/>
        </w:rPr>
      </w:pPr>
    </w:p>
    <w:p w14:paraId="3821B902">
      <w:pPr>
        <w:snapToGrid w:val="0"/>
        <w:spacing w:before="48" w:after="48" w:line="500" w:lineRule="exact"/>
        <w:ind w:left="1200"/>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身份证号码：</w:t>
      </w:r>
      <w:r>
        <w:rPr>
          <w:rStyle w:val="47"/>
          <w:rFonts w:hint="eastAsia" w:ascii="宋体" w:hAnsi="宋体" w:eastAsia="宋体" w:cs="宋体"/>
          <w:color w:val="auto"/>
          <w:sz w:val="24"/>
          <w:szCs w:val="24"/>
          <w:highlight w:val="none"/>
          <w:lang w:val="en-US"/>
        </w:rPr>
        <w:t xml:space="preserve">            </w:t>
      </w:r>
      <w:r>
        <w:rPr>
          <w:rStyle w:val="47"/>
          <w:rFonts w:hint="eastAsia" w:ascii="宋体" w:hAnsi="宋体" w:eastAsia="宋体" w:cs="宋体"/>
          <w:color w:val="auto"/>
          <w:sz w:val="24"/>
          <w:szCs w:val="24"/>
          <w:highlight w:val="none"/>
        </w:rPr>
        <w:t>职务：</w:t>
      </w:r>
    </w:p>
    <w:p w14:paraId="7BE8529E">
      <w:pPr>
        <w:snapToGrid w:val="0"/>
        <w:spacing w:before="48" w:after="48"/>
        <w:ind w:left="2699"/>
        <w:rPr>
          <w:rStyle w:val="47"/>
          <w:rFonts w:hint="eastAsia" w:ascii="宋体" w:hAnsi="宋体" w:eastAsia="宋体" w:cs="宋体"/>
          <w:color w:val="auto"/>
          <w:sz w:val="24"/>
          <w:szCs w:val="24"/>
          <w:highlight w:val="none"/>
        </w:rPr>
      </w:pPr>
    </w:p>
    <w:p w14:paraId="1C3B8E5A">
      <w:pPr>
        <w:snapToGrid w:val="0"/>
        <w:spacing w:before="48" w:after="48" w:line="500" w:lineRule="exact"/>
        <w:ind w:left="1200"/>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投  标  人：</w:t>
      </w:r>
      <w:r>
        <w:rPr>
          <w:rStyle w:val="47"/>
          <w:rFonts w:hint="eastAsia" w:ascii="宋体" w:hAnsi="宋体" w:eastAsia="宋体" w:cs="宋体"/>
          <w:color w:val="auto"/>
          <w:sz w:val="24"/>
          <w:szCs w:val="24"/>
          <w:highlight w:val="none"/>
          <w:u w:val="single" w:color="000000"/>
        </w:rPr>
        <w:t xml:space="preserve">                   （盖公章）</w:t>
      </w:r>
    </w:p>
    <w:p w14:paraId="32C74EA2">
      <w:pPr>
        <w:snapToGrid w:val="0"/>
        <w:spacing w:before="48" w:after="48"/>
        <w:ind w:left="2699"/>
        <w:rPr>
          <w:rStyle w:val="47"/>
          <w:rFonts w:hint="eastAsia" w:ascii="宋体" w:hAnsi="宋体" w:eastAsia="宋体" w:cs="宋体"/>
          <w:color w:val="auto"/>
          <w:sz w:val="24"/>
          <w:szCs w:val="24"/>
          <w:highlight w:val="none"/>
        </w:rPr>
      </w:pPr>
    </w:p>
    <w:p w14:paraId="3A812F24">
      <w:pPr>
        <w:snapToGrid w:val="0"/>
        <w:spacing w:before="48" w:after="48" w:line="500" w:lineRule="exact"/>
        <w:ind w:left="1200"/>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t>法定代表人：</w:t>
      </w:r>
      <w:r>
        <w:rPr>
          <w:rStyle w:val="47"/>
          <w:rFonts w:hint="eastAsia" w:ascii="宋体" w:hAnsi="宋体" w:eastAsia="宋体" w:cs="宋体"/>
          <w:color w:val="auto"/>
          <w:sz w:val="24"/>
          <w:szCs w:val="24"/>
          <w:highlight w:val="none"/>
          <w:u w:val="single" w:color="000000"/>
        </w:rPr>
        <w:t xml:space="preserve">                   （签字或盖章）</w:t>
      </w:r>
    </w:p>
    <w:p w14:paraId="3828F5A8">
      <w:pPr>
        <w:snapToGrid w:val="0"/>
        <w:spacing w:before="48" w:after="48" w:line="500" w:lineRule="exact"/>
        <w:ind w:left="1200"/>
        <w:rPr>
          <w:rStyle w:val="47"/>
          <w:rFonts w:hint="eastAsia" w:ascii="宋体" w:hAnsi="宋体" w:eastAsia="宋体" w:cs="宋体"/>
          <w:color w:val="auto"/>
          <w:sz w:val="24"/>
          <w:szCs w:val="24"/>
          <w:highlight w:val="none"/>
          <w:u w:val="single" w:color="000000"/>
        </w:rPr>
      </w:pPr>
      <w:r>
        <w:rPr>
          <w:rStyle w:val="47"/>
          <w:rFonts w:hint="eastAsia" w:ascii="宋体" w:hAnsi="宋体" w:eastAsia="宋体" w:cs="宋体"/>
          <w:color w:val="auto"/>
          <w:sz w:val="24"/>
          <w:szCs w:val="24"/>
          <w:highlight w:val="none"/>
        </w:rPr>
        <w:t>授权委托日期：     年     月     日</w:t>
      </w:r>
    </w:p>
    <w:p w14:paraId="77D776A7">
      <w:pPr>
        <w:tabs>
          <w:tab w:val="left" w:pos="7560"/>
        </w:tabs>
        <w:snapToGrid w:val="0"/>
        <w:spacing w:before="48" w:after="48" w:line="360" w:lineRule="auto"/>
        <w:ind w:firstLine="562" w:firstLineChars="200"/>
        <w:jc w:val="center"/>
        <w:rPr>
          <w:rStyle w:val="47"/>
          <w:rFonts w:hint="eastAsia" w:ascii="宋体" w:hAnsi="宋体" w:eastAsia="宋体" w:cs="宋体"/>
          <w:b/>
          <w:bCs/>
          <w:color w:val="auto"/>
          <w:sz w:val="28"/>
          <w:szCs w:val="28"/>
          <w:highlight w:val="none"/>
        </w:rPr>
      </w:pPr>
    </w:p>
    <w:p w14:paraId="0A2CFFD8">
      <w:pPr>
        <w:tabs>
          <w:tab w:val="left" w:pos="7560"/>
        </w:tabs>
        <w:snapToGrid w:val="0"/>
        <w:spacing w:before="48" w:after="48" w:line="360" w:lineRule="auto"/>
        <w:ind w:firstLine="562" w:firstLineChars="200"/>
        <w:jc w:val="left"/>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t>注：法人签署投标文件并到开标现场则投标文件中无需提供授权委托书，提供法定代表人身份证明书即可。</w:t>
      </w:r>
    </w:p>
    <w:p w14:paraId="47DEF6D1">
      <w:pPr>
        <w:tabs>
          <w:tab w:val="left" w:pos="7560"/>
        </w:tabs>
        <w:snapToGrid w:val="0"/>
        <w:spacing w:before="48" w:after="48" w:line="360" w:lineRule="auto"/>
        <w:ind w:firstLine="562" w:firstLineChars="200"/>
        <w:jc w:val="left"/>
        <w:rPr>
          <w:rStyle w:val="47"/>
          <w:rFonts w:hint="eastAsia" w:ascii="宋体" w:hAnsi="宋体" w:eastAsia="宋体" w:cs="宋体"/>
          <w:b/>
          <w:bCs/>
          <w:color w:val="auto"/>
          <w:sz w:val="28"/>
          <w:szCs w:val="28"/>
          <w:highlight w:val="none"/>
        </w:rPr>
      </w:pPr>
    </w:p>
    <w:tbl>
      <w:tblPr>
        <w:tblStyle w:val="27"/>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0"/>
      </w:tblGrid>
      <w:tr w14:paraId="7739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jc w:val="center"/>
        </w:trPr>
        <w:tc>
          <w:tcPr>
            <w:tcW w:w="9300" w:type="dxa"/>
            <w:tcBorders>
              <w:top w:val="single" w:color="000000" w:sz="4" w:space="0"/>
              <w:left w:val="single" w:color="000000" w:sz="4" w:space="0"/>
              <w:bottom w:val="single" w:color="000000" w:sz="4" w:space="0"/>
              <w:right w:val="single" w:color="000000" w:sz="4" w:space="0"/>
            </w:tcBorders>
          </w:tcPr>
          <w:p w14:paraId="2CF79A88">
            <w:pPr>
              <w:snapToGrid w:val="0"/>
              <w:spacing w:before="48" w:after="48" w:line="360" w:lineRule="auto"/>
              <w:rPr>
                <w:rStyle w:val="47"/>
                <w:rFonts w:hint="eastAsia" w:ascii="宋体" w:hAnsi="宋体" w:eastAsia="宋体" w:cs="宋体"/>
                <w:color w:val="auto"/>
                <w:sz w:val="24"/>
                <w:highlight w:val="none"/>
              </w:rPr>
            </w:pPr>
          </w:p>
          <w:p w14:paraId="43ED9442">
            <w:pPr>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b/>
                <w:color w:val="auto"/>
                <w:sz w:val="36"/>
                <w:szCs w:val="36"/>
                <w:highlight w:val="none"/>
              </w:rPr>
              <w:t>授权委托人身份证复印件或扫描件</w:t>
            </w:r>
          </w:p>
        </w:tc>
      </w:tr>
    </w:tbl>
    <w:p w14:paraId="1638D4BA">
      <w:pPr>
        <w:snapToGrid w:val="0"/>
        <w:rPr>
          <w:rStyle w:val="47"/>
          <w:rFonts w:hint="eastAsia" w:ascii="宋体" w:hAnsi="宋体" w:eastAsia="宋体" w:cs="宋体"/>
          <w:color w:val="auto"/>
          <w:highlight w:val="none"/>
        </w:rPr>
      </w:pPr>
    </w:p>
    <w:p w14:paraId="442C426C">
      <w:pPr>
        <w:pStyle w:val="34"/>
        <w:numPr>
          <w:ilvl w:val="0"/>
          <w:numId w:val="0"/>
        </w:numPr>
        <w:snapToGrid w:val="0"/>
        <w:spacing w:line="480" w:lineRule="auto"/>
        <w:ind w:leftChars="0"/>
        <w:jc w:val="center"/>
        <w:rPr>
          <w:rStyle w:val="47"/>
          <w:rFonts w:hint="eastAsia" w:ascii="宋体" w:hAnsi="宋体" w:eastAsia="宋体" w:cs="宋体"/>
          <w:b/>
          <w:bCs/>
          <w:color w:val="auto"/>
          <w:sz w:val="28"/>
          <w:szCs w:val="28"/>
          <w:highlight w:val="none"/>
        </w:rPr>
      </w:pPr>
    </w:p>
    <w:p w14:paraId="2DB3A417">
      <w:pPr>
        <w:pStyle w:val="34"/>
        <w:numPr>
          <w:ilvl w:val="0"/>
          <w:numId w:val="0"/>
        </w:numPr>
        <w:snapToGrid w:val="0"/>
        <w:spacing w:line="480" w:lineRule="auto"/>
        <w:ind w:leftChars="0"/>
        <w:jc w:val="center"/>
        <w:rPr>
          <w:rStyle w:val="47"/>
          <w:rFonts w:hint="eastAsia" w:ascii="宋体" w:hAnsi="宋体" w:eastAsia="宋体" w:cs="宋体"/>
          <w:b/>
          <w:bCs/>
          <w:color w:val="auto"/>
          <w:sz w:val="28"/>
          <w:szCs w:val="28"/>
          <w:highlight w:val="none"/>
        </w:rPr>
      </w:pPr>
    </w:p>
    <w:p w14:paraId="7778FC69">
      <w:pPr>
        <w:pStyle w:val="34"/>
        <w:numPr>
          <w:ilvl w:val="0"/>
          <w:numId w:val="0"/>
        </w:numPr>
        <w:snapToGrid w:val="0"/>
        <w:spacing w:line="480" w:lineRule="auto"/>
        <w:ind w:leftChars="0"/>
        <w:jc w:val="center"/>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t>（</w:t>
      </w:r>
      <w:r>
        <w:rPr>
          <w:rStyle w:val="47"/>
          <w:rFonts w:hint="eastAsia" w:ascii="宋体" w:hAnsi="宋体" w:eastAsia="宋体" w:cs="宋体"/>
          <w:b/>
          <w:bCs/>
          <w:color w:val="auto"/>
          <w:sz w:val="28"/>
          <w:szCs w:val="28"/>
          <w:highlight w:val="none"/>
          <w:lang w:val="en-US"/>
        </w:rPr>
        <w:t>五</w:t>
      </w:r>
      <w:r>
        <w:rPr>
          <w:rStyle w:val="47"/>
          <w:rFonts w:hint="eastAsia" w:ascii="宋体" w:hAnsi="宋体" w:eastAsia="宋体" w:cs="宋体"/>
          <w:b/>
          <w:bCs/>
          <w:color w:val="auto"/>
          <w:sz w:val="28"/>
          <w:szCs w:val="28"/>
          <w:highlight w:val="none"/>
        </w:rPr>
        <w:t>）投标人营业执照、资质证书、企业安全生产许可证</w:t>
      </w:r>
    </w:p>
    <w:p w14:paraId="6992F2D5">
      <w:pPr>
        <w:pStyle w:val="34"/>
        <w:numPr>
          <w:ilvl w:val="0"/>
          <w:numId w:val="0"/>
        </w:numPr>
        <w:snapToGrid w:val="0"/>
        <w:spacing w:line="480" w:lineRule="auto"/>
        <w:ind w:leftChars="0"/>
        <w:jc w:val="center"/>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t>（六）项目经理资格证书、安全生产考核B证、社保证明复印件或扫描件</w:t>
      </w:r>
    </w:p>
    <w:p w14:paraId="365BD9A0">
      <w:pPr>
        <w:rPr>
          <w:rStyle w:val="47"/>
          <w:rFonts w:hint="eastAsia" w:ascii="宋体" w:hAnsi="宋体" w:eastAsia="宋体" w:cs="宋体"/>
          <w:color w:val="auto"/>
          <w:highlight w:val="none"/>
        </w:rPr>
      </w:pPr>
      <w:r>
        <w:rPr>
          <w:rStyle w:val="47"/>
          <w:rFonts w:hint="eastAsia" w:ascii="宋体" w:hAnsi="宋体" w:eastAsia="宋体" w:cs="宋体"/>
          <w:color w:val="auto"/>
          <w:highlight w:val="none"/>
        </w:rPr>
        <w:br w:type="page"/>
      </w:r>
    </w:p>
    <w:p w14:paraId="7AD97462">
      <w:pPr>
        <w:tabs>
          <w:tab w:val="left" w:pos="7560"/>
        </w:tabs>
        <w:snapToGrid w:val="0"/>
        <w:spacing w:before="48" w:after="48"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b/>
          <w:bCs/>
          <w:color w:val="auto"/>
          <w:sz w:val="28"/>
          <w:szCs w:val="28"/>
          <w:highlight w:val="none"/>
        </w:rPr>
        <w:t>（</w:t>
      </w:r>
      <w:r>
        <w:rPr>
          <w:rStyle w:val="47"/>
          <w:rFonts w:hint="eastAsia" w:ascii="宋体" w:hAnsi="宋体" w:eastAsia="宋体" w:cs="宋体"/>
          <w:b/>
          <w:bCs/>
          <w:color w:val="auto"/>
          <w:sz w:val="28"/>
          <w:szCs w:val="28"/>
          <w:highlight w:val="none"/>
          <w:lang w:val="en-US"/>
        </w:rPr>
        <w:t>七</w:t>
      </w:r>
      <w:r>
        <w:rPr>
          <w:rStyle w:val="47"/>
          <w:rFonts w:hint="eastAsia" w:ascii="宋体" w:hAnsi="宋体" w:eastAsia="宋体" w:cs="宋体"/>
          <w:b/>
          <w:bCs/>
          <w:color w:val="auto"/>
          <w:sz w:val="28"/>
          <w:szCs w:val="28"/>
          <w:highlight w:val="none"/>
        </w:rPr>
        <w:t>）诚信承诺书</w:t>
      </w:r>
    </w:p>
    <w:p w14:paraId="627C2495">
      <w:pPr>
        <w:tabs>
          <w:tab w:val="left" w:pos="7560"/>
        </w:tabs>
        <w:snapToGrid w:val="0"/>
        <w:spacing w:line="360" w:lineRule="auto"/>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 xml:space="preserve">致招标人：                      </w:t>
      </w:r>
    </w:p>
    <w:p w14:paraId="4C66AD77">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我单位在参加项目的交易活动过程中，郑重承诺如下：</w:t>
      </w:r>
    </w:p>
    <w:p w14:paraId="272CCB4E">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一、确保提供的一切材料均为真实、合法和有效。</w:t>
      </w:r>
    </w:p>
    <w:p w14:paraId="30A1B03A">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二、不受让、租借他人资格、资质证书，不以他人名义投标；不以伪造、变造等其他方式弄虚作假，骗取中标。</w:t>
      </w:r>
    </w:p>
    <w:p w14:paraId="45336171">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三、不与招标人、招标代理机构或其他投标人串通投标。</w:t>
      </w:r>
    </w:p>
    <w:p w14:paraId="16B7C682">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四、不以向招标人、评标委员会成员或其他相关人员行贿方式牟取中标。</w:t>
      </w:r>
    </w:p>
    <w:p w14:paraId="38801D15">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五、在行使异议、质疑、投诉权利时，提供真实、合法、充分的材料，不捏造事实、伪造材料或以其他非法手段取得证明材料。</w:t>
      </w:r>
    </w:p>
    <w:p w14:paraId="56008586">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六、中标后，及时办理中标相关手续，并按照交易文件的约定，与招标人依法签订合同。</w:t>
      </w:r>
    </w:p>
    <w:p w14:paraId="4312B5D8">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七、在履约过程中，严格按照交易文件及合同约定履行义务；除法律法规允许外，在价格、质量、工期（供货期）、人员组成等方面不做任何有悖于交易文件实质性内容行为。</w:t>
      </w:r>
    </w:p>
    <w:p w14:paraId="620F9C5E">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八、至投标截止之日，我公司及本项目拟派经理不在招投标行政监管部门（或</w:t>
      </w:r>
      <w:r>
        <w:rPr>
          <w:rStyle w:val="47"/>
          <w:rFonts w:hint="eastAsia" w:ascii="宋体" w:hAnsi="宋体" w:eastAsia="宋体" w:cs="宋体"/>
          <w:b/>
          <w:bCs/>
          <w:color w:val="auto"/>
          <w:sz w:val="24"/>
          <w:highlight w:val="none"/>
        </w:rPr>
        <w:t>政府行业监管部门</w:t>
      </w:r>
      <w:r>
        <w:rPr>
          <w:rStyle w:val="47"/>
          <w:rFonts w:hint="eastAsia" w:ascii="宋体" w:hAnsi="宋体" w:eastAsia="宋体" w:cs="宋体"/>
          <w:color w:val="auto"/>
          <w:sz w:val="24"/>
          <w:highlight w:val="none"/>
        </w:rPr>
        <w:t>）限制投标</w:t>
      </w:r>
      <w:r>
        <w:rPr>
          <w:rStyle w:val="47"/>
          <w:rFonts w:hint="eastAsia" w:ascii="宋体" w:hAnsi="宋体" w:eastAsia="宋体" w:cs="宋体"/>
          <w:b/>
          <w:bCs/>
          <w:color w:val="auto"/>
          <w:sz w:val="24"/>
          <w:highlight w:val="none"/>
        </w:rPr>
        <w:t>（或在本市承揽业务）</w:t>
      </w:r>
      <w:r>
        <w:rPr>
          <w:rStyle w:val="47"/>
          <w:rFonts w:hint="eastAsia" w:ascii="宋体" w:hAnsi="宋体" w:eastAsia="宋体" w:cs="宋体"/>
          <w:color w:val="auto"/>
          <w:sz w:val="24"/>
          <w:highlight w:val="none"/>
        </w:rPr>
        <w:t>处罚期内。</w:t>
      </w:r>
    </w:p>
    <w:p w14:paraId="7A186EF2">
      <w:pPr>
        <w:tabs>
          <w:tab w:val="left" w:pos="7560"/>
        </w:tabs>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九、至投标截止日，我公司及拟派项目经理（项目负责人）未被人民法院列入失信被执行人、未被人力资源社会保障行政部门“失信名单”、我公司近3年内无行贿犯罪记录。</w:t>
      </w:r>
    </w:p>
    <w:p w14:paraId="62EE9F93">
      <w:pPr>
        <w:tabs>
          <w:tab w:val="left" w:pos="7560"/>
        </w:tabs>
        <w:snapToGrid w:val="0"/>
        <w:spacing w:line="360" w:lineRule="auto"/>
        <w:ind w:firstLine="480" w:firstLineChars="200"/>
        <w:jc w:val="left"/>
        <w:rPr>
          <w:rStyle w:val="47"/>
          <w:rFonts w:hint="eastAsia" w:ascii="宋体" w:hAnsi="宋体" w:eastAsia="宋体" w:cs="宋体"/>
          <w:color w:val="auto"/>
          <w:highlight w:val="none"/>
        </w:rPr>
      </w:pPr>
      <w:r>
        <w:rPr>
          <w:rStyle w:val="47"/>
          <w:rFonts w:hint="eastAsia" w:ascii="宋体" w:hAnsi="宋体" w:eastAsia="宋体" w:cs="宋体"/>
          <w:color w:val="auto"/>
          <w:sz w:val="24"/>
          <w:highlight w:val="none"/>
        </w:rPr>
        <w:t>以上内容我单位已仔细阅读，若有违反承诺内容的行为，自愿接受限制投标资格、记入不良行为记录、取消中标资格等处罚或处理；给招标人或其他投标人造成损失的，自愿依法承担赔偿责任。</w:t>
      </w:r>
    </w:p>
    <w:p w14:paraId="12A3B8A2">
      <w:pPr>
        <w:snapToGrid w:val="0"/>
        <w:spacing w:line="760" w:lineRule="exact"/>
        <w:ind w:right="480" w:firstLine="480" w:firstLineChars="200"/>
        <w:jc w:val="righ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投标单位：</w:t>
      </w:r>
      <w:r>
        <w:rPr>
          <w:rStyle w:val="47"/>
          <w:rFonts w:hint="eastAsia" w:ascii="宋体" w:hAnsi="宋体" w:eastAsia="宋体" w:cs="宋体"/>
          <w:color w:val="auto"/>
          <w:sz w:val="24"/>
          <w:highlight w:val="none"/>
          <w:u w:val="single" w:color="000000"/>
        </w:rPr>
        <w:t xml:space="preserve">   （盖章）</w:t>
      </w:r>
    </w:p>
    <w:p w14:paraId="5F219CE4">
      <w:pPr>
        <w:snapToGrid w:val="0"/>
        <w:spacing w:line="760" w:lineRule="exact"/>
        <w:jc w:val="right"/>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法定代表人：</w:t>
      </w:r>
      <w:r>
        <w:rPr>
          <w:rStyle w:val="47"/>
          <w:rFonts w:hint="eastAsia" w:ascii="宋体" w:hAnsi="宋体" w:eastAsia="宋体" w:cs="宋体"/>
          <w:color w:val="auto"/>
          <w:sz w:val="24"/>
          <w:highlight w:val="none"/>
          <w:u w:val="single" w:color="000000"/>
        </w:rPr>
        <w:t xml:space="preserve">   （签字或盖章）</w:t>
      </w:r>
    </w:p>
    <w:p w14:paraId="696F0C29">
      <w:pPr>
        <w:snapToGrid w:val="0"/>
        <w:spacing w:line="760" w:lineRule="exact"/>
        <w:jc w:val="righ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lang w:val="en-US"/>
        </w:rPr>
        <w:t xml:space="preserve">日    期：  </w:t>
      </w:r>
      <w:r>
        <w:rPr>
          <w:rStyle w:val="47"/>
          <w:rFonts w:hint="eastAsia" w:ascii="宋体" w:hAnsi="宋体" w:eastAsia="宋体" w:cs="宋体"/>
          <w:color w:val="auto"/>
          <w:sz w:val="24"/>
          <w:highlight w:val="none"/>
        </w:rPr>
        <w:t>年    月    日</w:t>
      </w:r>
    </w:p>
    <w:p w14:paraId="094CDDDD">
      <w:pPr>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br w:type="page"/>
      </w:r>
    </w:p>
    <w:p w14:paraId="6183A421">
      <w:pPr>
        <w:snapToGrid w:val="0"/>
        <w:jc w:val="center"/>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t>（</w:t>
      </w:r>
      <w:r>
        <w:rPr>
          <w:rStyle w:val="47"/>
          <w:rFonts w:hint="eastAsia" w:ascii="宋体" w:hAnsi="宋体" w:eastAsia="宋体" w:cs="宋体"/>
          <w:b/>
          <w:bCs/>
          <w:color w:val="auto"/>
          <w:sz w:val="28"/>
          <w:szCs w:val="28"/>
          <w:highlight w:val="none"/>
          <w:lang w:val="en-US"/>
        </w:rPr>
        <w:t>八</w:t>
      </w:r>
      <w:r>
        <w:rPr>
          <w:rStyle w:val="47"/>
          <w:rFonts w:hint="eastAsia" w:ascii="宋体" w:hAnsi="宋体" w:eastAsia="宋体" w:cs="宋体"/>
          <w:b/>
          <w:bCs/>
          <w:color w:val="auto"/>
          <w:sz w:val="28"/>
          <w:szCs w:val="28"/>
          <w:highlight w:val="none"/>
        </w:rPr>
        <w:t>）项目经理到岗承诺</w:t>
      </w:r>
    </w:p>
    <w:p w14:paraId="34F58C84">
      <w:pPr>
        <w:snapToGrid w:val="0"/>
        <w:ind w:left="420" w:leftChars="200"/>
        <w:jc w:val="left"/>
        <w:rPr>
          <w:rStyle w:val="47"/>
          <w:rFonts w:hint="eastAsia" w:ascii="宋体" w:hAnsi="宋体" w:eastAsia="宋体" w:cs="宋体"/>
          <w:color w:val="auto"/>
          <w:sz w:val="24"/>
          <w:highlight w:val="none"/>
          <w:u w:val="single" w:color="000000"/>
        </w:rPr>
      </w:pPr>
    </w:p>
    <w:p w14:paraId="7F297482">
      <w:pPr>
        <w:snapToGrid w:val="0"/>
        <w:spacing w:line="360" w:lineRule="auto"/>
        <w:ind w:left="420" w:leftChars="200"/>
        <w:jc w:val="left"/>
        <w:rPr>
          <w:rStyle w:val="47"/>
          <w:rFonts w:hint="eastAsia" w:ascii="宋体" w:hAnsi="宋体" w:eastAsia="宋体" w:cs="宋体"/>
          <w:color w:val="auto"/>
          <w:sz w:val="24"/>
          <w:highlight w:val="none"/>
          <w:u w:val="single" w:color="000000"/>
        </w:rPr>
      </w:pPr>
    </w:p>
    <w:p w14:paraId="0E6BF668">
      <w:pPr>
        <w:snapToGrid w:val="0"/>
        <w:spacing w:line="360" w:lineRule="auto"/>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（招标人名称）：</w:t>
      </w:r>
    </w:p>
    <w:p w14:paraId="09BE338A">
      <w:pPr>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本项目拟派项目经理目前无在岗项目，承诺在本项目中标后能够全面履约。</w:t>
      </w:r>
    </w:p>
    <w:p w14:paraId="42A20FCB">
      <w:pPr>
        <w:snapToGrid w:val="0"/>
        <w:spacing w:line="360" w:lineRule="auto"/>
        <w:ind w:firstLine="480" w:firstLineChars="2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以上承诺如有虚假或未兑现，我单位愿意按照弄虚作假情形承担相应责任。</w:t>
      </w:r>
    </w:p>
    <w:p w14:paraId="2B5B2578">
      <w:pPr>
        <w:snapToGrid w:val="0"/>
        <w:spacing w:line="360" w:lineRule="auto"/>
        <w:jc w:val="left"/>
        <w:rPr>
          <w:rStyle w:val="47"/>
          <w:rFonts w:hint="eastAsia" w:ascii="宋体" w:hAnsi="宋体" w:eastAsia="宋体" w:cs="宋体"/>
          <w:color w:val="auto"/>
          <w:sz w:val="24"/>
          <w:highlight w:val="none"/>
        </w:rPr>
      </w:pPr>
    </w:p>
    <w:p w14:paraId="7F13D5BB">
      <w:pPr>
        <w:snapToGrid w:val="0"/>
        <w:spacing w:line="360" w:lineRule="auto"/>
        <w:jc w:val="left"/>
        <w:rPr>
          <w:rStyle w:val="47"/>
          <w:rFonts w:hint="eastAsia" w:ascii="宋体" w:hAnsi="宋体" w:eastAsia="宋体" w:cs="宋体"/>
          <w:color w:val="auto"/>
          <w:sz w:val="24"/>
          <w:highlight w:val="none"/>
        </w:rPr>
      </w:pPr>
    </w:p>
    <w:p w14:paraId="5FB903A6">
      <w:pPr>
        <w:snapToGrid w:val="0"/>
        <w:spacing w:line="360" w:lineRule="auto"/>
        <w:jc w:val="left"/>
        <w:rPr>
          <w:rStyle w:val="47"/>
          <w:rFonts w:hint="eastAsia" w:ascii="宋体" w:hAnsi="宋体" w:eastAsia="宋体" w:cs="宋体"/>
          <w:color w:val="auto"/>
          <w:sz w:val="24"/>
          <w:highlight w:val="none"/>
        </w:rPr>
      </w:pPr>
    </w:p>
    <w:p w14:paraId="1266C643">
      <w:pPr>
        <w:snapToGrid w:val="0"/>
        <w:spacing w:line="360" w:lineRule="auto"/>
        <w:ind w:firstLine="720" w:firstLineChars="3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投标人名称：（盖单位公章）</w:t>
      </w:r>
    </w:p>
    <w:p w14:paraId="522926EB">
      <w:pPr>
        <w:snapToGrid w:val="0"/>
        <w:spacing w:line="360" w:lineRule="auto"/>
        <w:ind w:firstLine="720" w:firstLineChars="3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法定代表人或其委托代理人：（签字或盖章）</w:t>
      </w:r>
    </w:p>
    <w:p w14:paraId="0B1EFEAC">
      <w:pPr>
        <w:snapToGrid w:val="0"/>
        <w:spacing w:line="360" w:lineRule="auto"/>
        <w:ind w:firstLine="720" w:firstLineChars="3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lang w:val="en-US"/>
        </w:rPr>
        <w:t>日      期：</w:t>
      </w:r>
      <w:r>
        <w:rPr>
          <w:rStyle w:val="47"/>
          <w:rFonts w:hint="eastAsia" w:ascii="宋体" w:hAnsi="宋体" w:eastAsia="宋体" w:cs="宋体"/>
          <w:color w:val="auto"/>
          <w:sz w:val="24"/>
          <w:highlight w:val="none"/>
        </w:rPr>
        <w:t>年     月     日</w:t>
      </w:r>
    </w:p>
    <w:p w14:paraId="1DD0EB83">
      <w:pPr>
        <w:pStyle w:val="34"/>
        <w:snapToGrid w:val="0"/>
        <w:ind w:firstLine="480"/>
        <w:rPr>
          <w:rStyle w:val="47"/>
          <w:rFonts w:hint="eastAsia" w:ascii="宋体" w:hAnsi="宋体" w:eastAsia="宋体" w:cs="宋体"/>
          <w:color w:val="auto"/>
          <w:sz w:val="24"/>
          <w:highlight w:val="none"/>
        </w:rPr>
      </w:pPr>
    </w:p>
    <w:p w14:paraId="73F9F974">
      <w:pPr>
        <w:pStyle w:val="34"/>
        <w:snapToGrid w:val="0"/>
        <w:ind w:firstLine="480"/>
        <w:rPr>
          <w:rStyle w:val="47"/>
          <w:rFonts w:hint="eastAsia" w:ascii="宋体" w:hAnsi="宋体" w:eastAsia="宋体" w:cs="宋体"/>
          <w:color w:val="auto"/>
          <w:sz w:val="24"/>
          <w:highlight w:val="none"/>
        </w:rPr>
      </w:pPr>
    </w:p>
    <w:p w14:paraId="2F29D547">
      <w:pPr>
        <w:pStyle w:val="34"/>
        <w:snapToGrid w:val="0"/>
        <w:ind w:firstLine="480"/>
        <w:rPr>
          <w:rStyle w:val="47"/>
          <w:rFonts w:hint="eastAsia" w:ascii="宋体" w:hAnsi="宋体" w:eastAsia="宋体" w:cs="宋体"/>
          <w:color w:val="auto"/>
          <w:sz w:val="24"/>
          <w:highlight w:val="none"/>
        </w:rPr>
      </w:pPr>
    </w:p>
    <w:p w14:paraId="21771294">
      <w:pPr>
        <w:pStyle w:val="34"/>
        <w:snapToGrid w:val="0"/>
        <w:ind w:firstLine="480"/>
        <w:rPr>
          <w:rStyle w:val="47"/>
          <w:rFonts w:hint="eastAsia" w:ascii="宋体" w:hAnsi="宋体" w:eastAsia="宋体" w:cs="宋体"/>
          <w:color w:val="auto"/>
          <w:sz w:val="24"/>
          <w:highlight w:val="none"/>
        </w:rPr>
      </w:pPr>
    </w:p>
    <w:p w14:paraId="35E0694C">
      <w:pPr>
        <w:pStyle w:val="34"/>
        <w:snapToGrid w:val="0"/>
        <w:ind w:firstLine="480"/>
        <w:rPr>
          <w:rStyle w:val="47"/>
          <w:rFonts w:hint="eastAsia" w:ascii="宋体" w:hAnsi="宋体" w:eastAsia="宋体" w:cs="宋体"/>
          <w:color w:val="auto"/>
          <w:sz w:val="24"/>
          <w:highlight w:val="none"/>
        </w:rPr>
      </w:pPr>
    </w:p>
    <w:p w14:paraId="49C51677">
      <w:pPr>
        <w:jc w:val="center"/>
        <w:rPr>
          <w:rFonts w:hint="eastAsia" w:ascii="宋体" w:hAnsi="宋体" w:eastAsia="宋体" w:cs="仿宋_GB2312"/>
          <w:b/>
          <w:bCs/>
          <w:color w:val="auto"/>
          <w:sz w:val="28"/>
          <w:szCs w:val="28"/>
          <w:highlight w:val="none"/>
        </w:rPr>
      </w:pPr>
    </w:p>
    <w:p w14:paraId="4BA09A9E">
      <w:pPr>
        <w:jc w:val="center"/>
        <w:rPr>
          <w:rFonts w:hint="eastAsia" w:ascii="宋体" w:hAnsi="宋体" w:eastAsia="宋体" w:cs="仿宋_GB2312"/>
          <w:b/>
          <w:bCs/>
          <w:color w:val="auto"/>
          <w:sz w:val="28"/>
          <w:szCs w:val="28"/>
          <w:highlight w:val="none"/>
        </w:rPr>
      </w:pPr>
    </w:p>
    <w:p w14:paraId="38757668">
      <w:pPr>
        <w:jc w:val="center"/>
        <w:rPr>
          <w:rFonts w:hint="eastAsia" w:ascii="宋体" w:hAnsi="宋体" w:eastAsia="宋体" w:cs="仿宋_GB2312"/>
          <w:b/>
          <w:bCs/>
          <w:color w:val="auto"/>
          <w:sz w:val="28"/>
          <w:szCs w:val="28"/>
          <w:highlight w:val="none"/>
        </w:rPr>
      </w:pPr>
    </w:p>
    <w:p w14:paraId="4AF787A5">
      <w:pPr>
        <w:jc w:val="center"/>
        <w:rPr>
          <w:rFonts w:hint="eastAsia" w:ascii="宋体" w:hAnsi="宋体" w:eastAsia="宋体" w:cs="仿宋_GB2312"/>
          <w:b/>
          <w:bCs/>
          <w:color w:val="auto"/>
          <w:sz w:val="28"/>
          <w:szCs w:val="28"/>
          <w:highlight w:val="none"/>
        </w:rPr>
      </w:pPr>
    </w:p>
    <w:p w14:paraId="330F58BF">
      <w:pPr>
        <w:jc w:val="center"/>
        <w:rPr>
          <w:rFonts w:hint="eastAsia" w:ascii="宋体" w:hAnsi="宋体" w:eastAsia="宋体" w:cs="仿宋_GB2312"/>
          <w:b/>
          <w:bCs/>
          <w:color w:val="auto"/>
          <w:sz w:val="28"/>
          <w:szCs w:val="28"/>
          <w:highlight w:val="none"/>
        </w:rPr>
      </w:pPr>
    </w:p>
    <w:p w14:paraId="5CF953A6">
      <w:pPr>
        <w:jc w:val="center"/>
        <w:rPr>
          <w:rFonts w:hint="eastAsia" w:ascii="宋体" w:hAnsi="宋体" w:eastAsia="宋体" w:cs="仿宋_GB2312"/>
          <w:b/>
          <w:bCs/>
          <w:color w:val="auto"/>
          <w:sz w:val="28"/>
          <w:szCs w:val="28"/>
          <w:highlight w:val="none"/>
        </w:rPr>
      </w:pPr>
    </w:p>
    <w:p w14:paraId="063747E2">
      <w:pPr>
        <w:jc w:val="center"/>
        <w:rPr>
          <w:rFonts w:hint="eastAsia" w:ascii="宋体" w:hAnsi="宋体" w:eastAsia="宋体" w:cs="仿宋_GB2312"/>
          <w:b/>
          <w:bCs/>
          <w:color w:val="auto"/>
          <w:sz w:val="28"/>
          <w:szCs w:val="28"/>
          <w:highlight w:val="none"/>
        </w:rPr>
      </w:pPr>
    </w:p>
    <w:p w14:paraId="05643B20">
      <w:pPr>
        <w:jc w:val="center"/>
        <w:rPr>
          <w:rFonts w:hint="eastAsia" w:ascii="宋体" w:hAnsi="宋体" w:eastAsia="宋体" w:cs="仿宋_GB2312"/>
          <w:b/>
          <w:bCs/>
          <w:color w:val="auto"/>
          <w:sz w:val="28"/>
          <w:szCs w:val="28"/>
          <w:highlight w:val="none"/>
        </w:rPr>
      </w:pPr>
    </w:p>
    <w:p w14:paraId="7A6717A8">
      <w:pPr>
        <w:jc w:val="center"/>
        <w:rPr>
          <w:rFonts w:hint="eastAsia" w:ascii="宋体" w:hAnsi="宋体" w:eastAsia="宋体" w:cs="仿宋_GB2312"/>
          <w:b/>
          <w:bCs/>
          <w:color w:val="auto"/>
          <w:sz w:val="28"/>
          <w:szCs w:val="28"/>
          <w:highlight w:val="none"/>
        </w:rPr>
      </w:pPr>
    </w:p>
    <w:p w14:paraId="5BE5450F">
      <w:pPr>
        <w:jc w:val="center"/>
        <w:rPr>
          <w:rFonts w:hint="eastAsia" w:ascii="宋体" w:hAnsi="宋体" w:eastAsia="宋体" w:cs="仿宋_GB2312"/>
          <w:b/>
          <w:bCs/>
          <w:color w:val="auto"/>
          <w:sz w:val="28"/>
          <w:szCs w:val="28"/>
          <w:highlight w:val="none"/>
        </w:rPr>
      </w:pPr>
    </w:p>
    <w:p w14:paraId="606B626A">
      <w:pPr>
        <w:jc w:val="center"/>
        <w:rPr>
          <w:rFonts w:hint="eastAsia" w:ascii="宋体" w:hAnsi="宋体" w:eastAsia="宋体" w:cs="仿宋_GB2312"/>
          <w:b/>
          <w:bCs/>
          <w:color w:val="auto"/>
          <w:sz w:val="28"/>
          <w:szCs w:val="28"/>
          <w:highlight w:val="none"/>
        </w:rPr>
      </w:pPr>
    </w:p>
    <w:p w14:paraId="62E09A3D">
      <w:pPr>
        <w:jc w:val="center"/>
        <w:rPr>
          <w:rFonts w:hint="eastAsia" w:ascii="宋体" w:hAnsi="宋体" w:eastAsia="宋体" w:cs="仿宋_GB2312"/>
          <w:b/>
          <w:bCs/>
          <w:color w:val="auto"/>
          <w:sz w:val="28"/>
          <w:szCs w:val="28"/>
          <w:highlight w:val="none"/>
        </w:rPr>
      </w:pPr>
    </w:p>
    <w:p w14:paraId="256CAD6E">
      <w:pPr>
        <w:jc w:val="center"/>
        <w:rPr>
          <w:rFonts w:hint="eastAsia" w:ascii="宋体" w:hAnsi="宋体" w:eastAsia="宋体" w:cs="仿宋_GB2312"/>
          <w:b/>
          <w:bCs/>
          <w:color w:val="auto"/>
          <w:sz w:val="28"/>
          <w:szCs w:val="28"/>
          <w:highlight w:val="none"/>
        </w:rPr>
      </w:pPr>
    </w:p>
    <w:p w14:paraId="463DFC56">
      <w:pPr>
        <w:jc w:val="center"/>
        <w:rPr>
          <w:rFonts w:hint="eastAsia" w:ascii="宋体" w:hAnsi="宋体" w:eastAsia="宋体" w:cs="仿宋_GB2312"/>
          <w:b/>
          <w:bCs/>
          <w:color w:val="auto"/>
          <w:sz w:val="28"/>
          <w:szCs w:val="28"/>
          <w:highlight w:val="none"/>
        </w:rPr>
      </w:pPr>
    </w:p>
    <w:p w14:paraId="290B877B">
      <w:pPr>
        <w:jc w:val="center"/>
        <w:rPr>
          <w:rFonts w:hint="eastAsia" w:ascii="宋体" w:hAnsi="宋体" w:eastAsia="宋体" w:cs="仿宋_GB2312"/>
          <w:b/>
          <w:bCs/>
          <w:color w:val="auto"/>
          <w:sz w:val="28"/>
          <w:szCs w:val="28"/>
          <w:highlight w:val="none"/>
        </w:rPr>
      </w:pPr>
    </w:p>
    <w:p w14:paraId="01E0AB88">
      <w:pPr>
        <w:jc w:val="center"/>
        <w:rPr>
          <w:rFonts w:hint="eastAsia" w:ascii="宋体" w:hAnsi="宋体" w:eastAsia="宋体" w:cs="仿宋_GB2312"/>
          <w:b/>
          <w:bCs/>
          <w:color w:val="auto"/>
          <w:sz w:val="28"/>
          <w:szCs w:val="28"/>
          <w:highlight w:val="none"/>
        </w:rPr>
      </w:pPr>
    </w:p>
    <w:p w14:paraId="43A65B8B">
      <w:pPr>
        <w:jc w:val="center"/>
        <w:rPr>
          <w:rFonts w:hint="eastAsia" w:ascii="宋体" w:hAnsi="宋体" w:eastAsia="宋体" w:cs="仿宋_GB2312"/>
          <w:b/>
          <w:bCs/>
          <w:color w:val="auto"/>
          <w:sz w:val="28"/>
          <w:szCs w:val="28"/>
          <w:highlight w:val="none"/>
        </w:rPr>
      </w:pPr>
    </w:p>
    <w:p w14:paraId="52F80EB9">
      <w:pPr>
        <w:shd w:val="clear" w:color="auto" w:fill="FFFFFF"/>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）中小企业声明函（工程)</w:t>
      </w:r>
    </w:p>
    <w:p w14:paraId="0896A626">
      <w:pPr>
        <w:pStyle w:val="26"/>
        <w:shd w:val="clear" w:color="auto" w:fill="FFFFFF"/>
        <w:ind w:firstLine="400"/>
        <w:rPr>
          <w:rFonts w:hint="eastAsia" w:ascii="宋体" w:hAnsi="宋体" w:eastAsia="宋体" w:cs="宋体"/>
          <w:color w:val="auto"/>
          <w:highlight w:val="none"/>
        </w:rPr>
      </w:pPr>
    </w:p>
    <w:p w14:paraId="6964BA64">
      <w:pPr>
        <w:shd w:val="clear" w:color="auto" w:fill="FFFFFF"/>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联合体）郑重声明，为贯彻落实《国务院关于印发扎实稳住经济一揽子政策措施的通知》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国发【2022】12号)、《财政部工业和信息化部关于印发〈政府采购促进中小企业发展管理办法&gt;》（财库〔2020]46号)、《安徽省财政厅关于进一步优化政府采购营商环境的通知》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皖财购【2022】556号）和《安徽省住建厅关于切实加强全省房屋建筑和市政基础设施工程招标投标活动管理的通知》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建市函【2022】453号）等文件精神，本公司（联合体)参加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招标活动，提供的服务全部由符合政策要求的中小企业承接。相关企业（含联合体中的中小企业、签订分包意向协议的中小企业)的具体情况如下:</w:t>
      </w:r>
    </w:p>
    <w:p w14:paraId="0E90D05F">
      <w:pPr>
        <w:shd w:val="clear" w:color="auto" w:fill="FFFFFF"/>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建筑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行业；承接企业为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，从业人员___人，营业收入为___万元，资产总额为___万元，属于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EA2797E">
      <w:pPr>
        <w:shd w:val="clear" w:color="auto" w:fill="FFFFFF"/>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18059BD">
      <w:pPr>
        <w:shd w:val="clear" w:color="auto" w:fill="FFFFFF"/>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80FAB11">
      <w:pPr>
        <w:shd w:val="clear" w:color="auto" w:fill="FFFFFF"/>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21F037A1">
      <w:pPr>
        <w:shd w:val="clear" w:color="auto" w:fill="FFFFFF"/>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w:t>
      </w:r>
    </w:p>
    <w:p w14:paraId="1E4FA498">
      <w:pPr>
        <w:pStyle w:val="512"/>
        <w:shd w:val="clear" w:color="auto" w:fill="FFFFFF"/>
        <w:adjustRightInd w:val="0"/>
        <w:snapToGrid w:val="0"/>
        <w:spacing w:line="360" w:lineRule="auto"/>
        <w:ind w:right="964"/>
        <w:jc w:val="righ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企业名称（盖章)：</w:t>
      </w:r>
    </w:p>
    <w:p w14:paraId="5BE2058E">
      <w:pPr>
        <w:pStyle w:val="512"/>
        <w:shd w:val="clear" w:color="auto" w:fill="FFFFFF"/>
        <w:adjustRightInd w:val="0"/>
        <w:snapToGrid w:val="0"/>
        <w:spacing w:line="360" w:lineRule="auto"/>
        <w:ind w:right="964" w:firstLine="5862" w:firstLineChars="2433"/>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日</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期：</w:t>
      </w:r>
    </w:p>
    <w:p w14:paraId="422C149D">
      <w:pPr>
        <w:shd w:val="clear" w:color="auto" w:fill="FFFFFF"/>
        <w:tabs>
          <w:tab w:val="right" w:pos="8730"/>
        </w:tabs>
        <w:adjustRightInd w:val="0"/>
        <w:snapToGrid w:val="0"/>
        <w:spacing w:line="360" w:lineRule="auto"/>
        <w:rPr>
          <w:rFonts w:hint="eastAsia" w:ascii="宋体" w:hAnsi="宋体" w:eastAsia="宋体" w:cs="宋体"/>
          <w:color w:val="auto"/>
          <w:sz w:val="28"/>
          <w:szCs w:val="28"/>
          <w:highlight w:val="none"/>
        </w:rPr>
      </w:pPr>
    </w:p>
    <w:p w14:paraId="019B8C6D">
      <w:pPr>
        <w:pStyle w:val="34"/>
        <w:snapToGrid w:val="0"/>
        <w:ind w:left="0" w:leftChars="0" w:firstLine="0" w:firstLineChars="0"/>
        <w:jc w:val="center"/>
        <w:rPr>
          <w:rStyle w:val="47"/>
          <w:rFonts w:hint="eastAsia" w:ascii="宋体" w:hAnsi="宋体" w:eastAsia="宋体" w:cs="宋体"/>
          <w:color w:val="auto"/>
          <w:sz w:val="22"/>
          <w:szCs w:val="22"/>
          <w:highlight w:val="none"/>
        </w:rPr>
      </w:pPr>
      <w:r>
        <w:rPr>
          <w:rFonts w:hint="eastAsia" w:ascii="宋体" w:hAnsi="宋体" w:eastAsia="宋体" w:cs="宋体"/>
          <w:b/>
          <w:bCs/>
          <w:color w:val="auto"/>
          <w:sz w:val="28"/>
          <w:szCs w:val="28"/>
          <w:highlight w:val="none"/>
        </w:rPr>
        <w:t>从业人员、营业收入、资产总额填报上一年度数据，无上一年度数据的新成立企业可不填报。</w:t>
      </w:r>
    </w:p>
    <w:p w14:paraId="0F63AFCD">
      <w:pPr>
        <w:pStyle w:val="37"/>
        <w:jc w:val="center"/>
        <w:rPr>
          <w:rStyle w:val="47"/>
          <w:rFonts w:hint="eastAsia" w:ascii="宋体" w:hAnsi="宋体" w:eastAsia="宋体" w:cs="宋体"/>
          <w:b/>
          <w:bCs/>
          <w:color w:val="auto"/>
          <w:sz w:val="28"/>
          <w:szCs w:val="28"/>
          <w:highlight w:val="none"/>
        </w:rPr>
      </w:pPr>
    </w:p>
    <w:p w14:paraId="10B5762E">
      <w:pPr>
        <w:pStyle w:val="37"/>
        <w:ind w:firstLine="562"/>
        <w:jc w:val="center"/>
        <w:rPr>
          <w:rStyle w:val="47"/>
          <w:rFonts w:hint="eastAsia" w:ascii="宋体" w:hAnsi="宋体" w:eastAsia="宋体" w:cs="宋体"/>
          <w:color w:val="auto"/>
          <w:sz w:val="28"/>
          <w:szCs w:val="28"/>
          <w:highlight w:val="none"/>
        </w:rPr>
      </w:pPr>
      <w:r>
        <w:rPr>
          <w:rStyle w:val="47"/>
          <w:rFonts w:hint="eastAsia" w:ascii="宋体" w:hAnsi="宋体" w:cs="宋体"/>
          <w:b/>
          <w:bCs/>
          <w:color w:val="auto"/>
          <w:sz w:val="28"/>
          <w:szCs w:val="28"/>
          <w:highlight w:val="none"/>
          <w:lang w:val="en-US"/>
        </w:rPr>
        <w:t xml:space="preserve"> </w:t>
      </w:r>
      <w:r>
        <w:rPr>
          <w:rStyle w:val="47"/>
          <w:rFonts w:hint="eastAsia" w:ascii="宋体" w:hAnsi="宋体" w:eastAsia="宋体" w:cs="宋体"/>
          <w:b/>
          <w:bCs/>
          <w:color w:val="auto"/>
          <w:sz w:val="28"/>
          <w:szCs w:val="28"/>
          <w:highlight w:val="none"/>
        </w:rPr>
        <w:t>（十）招标文件要求的其他资料</w:t>
      </w:r>
    </w:p>
    <w:p w14:paraId="1C836FBF">
      <w:pPr>
        <w:pStyle w:val="37"/>
        <w:ind w:firstLine="560"/>
        <w:rPr>
          <w:rStyle w:val="47"/>
          <w:rFonts w:hint="eastAsia" w:ascii="宋体" w:hAnsi="宋体" w:eastAsia="宋体" w:cs="宋体"/>
          <w:color w:val="auto"/>
          <w:sz w:val="28"/>
          <w:szCs w:val="28"/>
          <w:highlight w:val="none"/>
        </w:rPr>
      </w:pPr>
    </w:p>
    <w:p w14:paraId="3D6B5427">
      <w:pPr>
        <w:pStyle w:val="37"/>
        <w:jc w:val="center"/>
        <w:rPr>
          <w:rStyle w:val="47"/>
          <w:rFonts w:hint="eastAsia" w:ascii="宋体" w:hAnsi="宋体" w:eastAsia="宋体" w:cs="宋体"/>
          <w:color w:val="auto"/>
          <w:sz w:val="28"/>
          <w:szCs w:val="28"/>
          <w:highlight w:val="none"/>
        </w:rPr>
      </w:pPr>
      <w:r>
        <w:rPr>
          <w:rStyle w:val="47"/>
          <w:rFonts w:hint="eastAsia" w:ascii="宋体" w:hAnsi="宋体" w:eastAsia="宋体" w:cs="宋体"/>
          <w:b/>
          <w:bCs/>
          <w:color w:val="auto"/>
          <w:sz w:val="28"/>
          <w:szCs w:val="28"/>
          <w:highlight w:val="none"/>
        </w:rPr>
        <w:t>（十</w:t>
      </w:r>
      <w:r>
        <w:rPr>
          <w:rStyle w:val="47"/>
          <w:rFonts w:hint="eastAsia" w:ascii="宋体" w:hAnsi="宋体" w:cs="宋体"/>
          <w:b/>
          <w:bCs/>
          <w:color w:val="auto"/>
          <w:sz w:val="28"/>
          <w:szCs w:val="28"/>
          <w:highlight w:val="none"/>
        </w:rPr>
        <w:t>一</w:t>
      </w:r>
      <w:r>
        <w:rPr>
          <w:rStyle w:val="47"/>
          <w:rFonts w:hint="eastAsia" w:ascii="宋体" w:hAnsi="宋体" w:eastAsia="宋体" w:cs="宋体"/>
          <w:b/>
          <w:bCs/>
          <w:color w:val="auto"/>
          <w:sz w:val="28"/>
          <w:szCs w:val="28"/>
          <w:highlight w:val="none"/>
        </w:rPr>
        <w:t>）投标人认为需要提交的其他资料</w:t>
      </w:r>
    </w:p>
    <w:p w14:paraId="0829B172">
      <w:pPr>
        <w:pStyle w:val="101"/>
        <w:snapToGrid w:val="0"/>
        <w:spacing w:line="360" w:lineRule="auto"/>
        <w:jc w:val="center"/>
        <w:rPr>
          <w:rStyle w:val="47"/>
          <w:rFonts w:hint="eastAsia" w:ascii="宋体" w:hAnsi="宋体" w:eastAsia="宋体" w:cs="宋体"/>
          <w:b/>
          <w:color w:val="auto"/>
          <w:sz w:val="28"/>
          <w:szCs w:val="28"/>
          <w:highlight w:val="none"/>
        </w:rPr>
      </w:pPr>
    </w:p>
    <w:p w14:paraId="53A571A1">
      <w:pPr>
        <w:pStyle w:val="101"/>
        <w:snapToGrid w:val="0"/>
        <w:spacing w:line="360" w:lineRule="auto"/>
        <w:jc w:val="center"/>
        <w:rPr>
          <w:rStyle w:val="47"/>
          <w:rFonts w:hint="eastAsia" w:ascii="宋体" w:hAnsi="宋体" w:eastAsia="宋体" w:cs="宋体"/>
          <w:color w:val="auto"/>
          <w:sz w:val="24"/>
          <w:highlight w:val="none"/>
        </w:rPr>
      </w:pPr>
      <w:r>
        <w:rPr>
          <w:rStyle w:val="47"/>
          <w:rFonts w:hint="eastAsia" w:ascii="宋体" w:hAnsi="宋体" w:eastAsia="宋体" w:cs="宋体"/>
          <w:b/>
          <w:color w:val="auto"/>
          <w:sz w:val="28"/>
          <w:szCs w:val="28"/>
          <w:highlight w:val="none"/>
        </w:rPr>
        <w:t>二、商务部分</w:t>
      </w:r>
    </w:p>
    <w:p w14:paraId="23C67D21">
      <w:pPr>
        <w:pStyle w:val="101"/>
        <w:snapToGrid w:val="0"/>
        <w:spacing w:line="360" w:lineRule="auto"/>
        <w:jc w:val="center"/>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8"/>
          <w:szCs w:val="28"/>
          <w:highlight w:val="none"/>
        </w:rPr>
        <w:t>投 标 函</w:t>
      </w:r>
    </w:p>
    <w:p w14:paraId="733027CE">
      <w:pPr>
        <w:snapToGrid w:val="0"/>
        <w:spacing w:before="48" w:after="48" w:line="360" w:lineRule="auto"/>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致：</w:t>
      </w:r>
      <w:r>
        <w:rPr>
          <w:rStyle w:val="47"/>
          <w:rFonts w:hint="eastAsia" w:ascii="宋体" w:hAnsi="宋体" w:eastAsia="宋体" w:cs="宋体"/>
          <w:color w:val="auto"/>
          <w:sz w:val="24"/>
          <w:highlight w:val="none"/>
          <w:u w:val="single" w:color="000000"/>
        </w:rPr>
        <w:t xml:space="preserve">   {招标人名称}   </w:t>
      </w:r>
    </w:p>
    <w:p w14:paraId="3A5C86F4">
      <w:pPr>
        <w:keepNext w:val="0"/>
        <w:keepLines w:val="0"/>
        <w:pageBreakBefore w:val="0"/>
        <w:widowControl w:val="0"/>
        <w:tabs>
          <w:tab w:val="left" w:pos="7560"/>
        </w:tabs>
        <w:kinsoku/>
        <w:wordWrap/>
        <w:overflowPunct/>
        <w:topLinePunct w:val="0"/>
        <w:autoSpaceDE/>
        <w:autoSpaceDN/>
        <w:bidi w:val="0"/>
        <w:adjustRightInd/>
        <w:snapToGrid/>
        <w:spacing w:line="360" w:lineRule="auto"/>
        <w:ind w:left="0" w:leftChars="0" w:firstLine="480" w:firstLineChars="200"/>
        <w:textAlignment w:val="baseline"/>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1.根据你方招标工程项目编号为</w:t>
      </w:r>
      <w:r>
        <w:rPr>
          <w:rStyle w:val="47"/>
          <w:rFonts w:hint="eastAsia" w:ascii="宋体" w:hAnsi="宋体" w:eastAsia="宋体" w:cs="宋体"/>
          <w:color w:val="auto"/>
          <w:sz w:val="24"/>
          <w:highlight w:val="none"/>
          <w:u w:val="single" w:color="000000"/>
        </w:rPr>
        <w:t xml:space="preserve">  {项目编号}  </w:t>
      </w:r>
      <w:r>
        <w:rPr>
          <w:rStyle w:val="47"/>
          <w:rFonts w:hint="eastAsia" w:ascii="宋体" w:hAnsi="宋体" w:eastAsia="宋体" w:cs="宋体"/>
          <w:color w:val="auto"/>
          <w:sz w:val="24"/>
          <w:highlight w:val="none"/>
        </w:rPr>
        <w:t>的</w:t>
      </w:r>
      <w:r>
        <w:rPr>
          <w:rStyle w:val="47"/>
          <w:rFonts w:hint="eastAsia" w:ascii="宋体" w:hAnsi="宋体" w:eastAsia="宋体" w:cs="宋体"/>
          <w:color w:val="auto"/>
          <w:sz w:val="24"/>
          <w:highlight w:val="none"/>
          <w:u w:val="single" w:color="000000"/>
        </w:rPr>
        <w:t xml:space="preserve">  {招标工程项目名称}  </w:t>
      </w:r>
      <w:r>
        <w:rPr>
          <w:rStyle w:val="47"/>
          <w:rFonts w:hint="eastAsia" w:ascii="宋体" w:hAnsi="宋体" w:eastAsia="宋体" w:cs="宋体"/>
          <w:color w:val="auto"/>
          <w:sz w:val="24"/>
          <w:highlight w:val="none"/>
        </w:rPr>
        <w:t>工程招标文件，遵照《中华人民共和国招标投标法》等有关规定，经踏勘项目现场和研究上述招标文件的投标须知、合同条款、图纸和工程建设标准和工程量清单及其他有关文件后，我方愿以人民币（大写）</w:t>
      </w:r>
      <w:r>
        <w:rPr>
          <w:rStyle w:val="47"/>
          <w:rFonts w:hint="eastAsia" w:ascii="宋体" w:hAnsi="宋体" w:eastAsia="宋体" w:cs="宋体"/>
          <w:color w:val="auto"/>
          <w:sz w:val="24"/>
          <w:highlight w:val="none"/>
          <w:u w:val="single" w:color="000000"/>
        </w:rPr>
        <w:t>　　　　　　　　</w:t>
      </w:r>
      <w:r>
        <w:rPr>
          <w:rStyle w:val="47"/>
          <w:rFonts w:hint="eastAsia" w:ascii="宋体" w:hAnsi="宋体" w:eastAsia="宋体" w:cs="宋体"/>
          <w:color w:val="auto"/>
          <w:sz w:val="24"/>
          <w:highlight w:val="none"/>
        </w:rPr>
        <w:t>（小写元）</w:t>
      </w:r>
      <w:r>
        <w:rPr>
          <w:rStyle w:val="47"/>
          <w:rFonts w:hint="eastAsia" w:ascii="宋体" w:hAnsi="宋体" w:eastAsia="宋体" w:cs="宋体"/>
          <w:color w:val="auto"/>
          <w:sz w:val="24"/>
          <w:highlight w:val="none"/>
          <w:u w:val="single" w:color="000000"/>
        </w:rPr>
        <w:t>　　　　　　　　</w:t>
      </w:r>
      <w:r>
        <w:rPr>
          <w:rStyle w:val="47"/>
          <w:rFonts w:hint="eastAsia" w:ascii="宋体" w:hAnsi="宋体" w:eastAsia="宋体" w:cs="宋体"/>
          <w:color w:val="auto"/>
          <w:sz w:val="24"/>
          <w:highlight w:val="none"/>
        </w:rPr>
        <w:t>的投标报价并按上述</w:t>
      </w:r>
      <w:r>
        <w:rPr>
          <w:rStyle w:val="47"/>
          <w:rFonts w:hint="eastAsia" w:ascii="宋体" w:hAnsi="宋体" w:eastAsia="宋体" w:cs="宋体"/>
          <w:bCs/>
          <w:color w:val="auto"/>
          <w:sz w:val="24"/>
          <w:highlight w:val="none"/>
        </w:rPr>
        <w:t>图纸、合同条款和工程建设标准的条件要求</w:t>
      </w:r>
      <w:r>
        <w:rPr>
          <w:rStyle w:val="47"/>
          <w:rFonts w:hint="eastAsia" w:ascii="宋体" w:hAnsi="宋体" w:eastAsia="宋体" w:cs="宋体"/>
          <w:color w:val="auto"/>
          <w:sz w:val="24"/>
          <w:highlight w:val="none"/>
        </w:rPr>
        <w:t>承担</w:t>
      </w:r>
      <w:r>
        <w:rPr>
          <w:rStyle w:val="47"/>
          <w:rFonts w:hint="eastAsia" w:ascii="宋体" w:hAnsi="宋体" w:eastAsia="宋体" w:cs="宋体"/>
          <w:bCs/>
          <w:color w:val="auto"/>
          <w:sz w:val="24"/>
          <w:highlight w:val="none"/>
        </w:rPr>
        <w:t>上述工程的施工、竣工，并承担任何质量缺陷保修责任。</w:t>
      </w:r>
    </w:p>
    <w:p w14:paraId="0E49EC22">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2.我方已详细阅读和确认全部招标文件及有关附件。如我方中标，我方拟派项目负责人为</w:t>
      </w:r>
      <w:r>
        <w:rPr>
          <w:rStyle w:val="47"/>
          <w:rFonts w:hint="eastAsia" w:ascii="宋体" w:hAnsi="宋体" w:eastAsia="宋体" w:cs="宋体"/>
          <w:color w:val="auto"/>
          <w:sz w:val="24"/>
          <w:highlight w:val="none"/>
          <w:u w:val="single"/>
          <w:lang w:val="en-US"/>
        </w:rPr>
        <w:t xml:space="preserve">            </w:t>
      </w:r>
      <w:r>
        <w:rPr>
          <w:rStyle w:val="47"/>
          <w:rFonts w:hint="eastAsia" w:ascii="宋体" w:hAnsi="宋体" w:eastAsia="宋体" w:cs="宋体"/>
          <w:color w:val="auto"/>
          <w:sz w:val="24"/>
          <w:highlight w:val="none"/>
        </w:rPr>
        <w:t xml:space="preserve">。       </w:t>
      </w:r>
    </w:p>
    <w:p w14:paraId="259C8458">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3.我方承认附录是我方投标函的组成部分。</w:t>
      </w:r>
    </w:p>
    <w:p w14:paraId="1FB6DE6A">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4. 一旦我方中标，我方保证按</w:t>
      </w:r>
      <w:r>
        <w:rPr>
          <w:rStyle w:val="47"/>
          <w:rFonts w:hint="eastAsia" w:ascii="宋体" w:hAnsi="宋体" w:eastAsia="宋体" w:cs="宋体"/>
          <w:color w:val="auto"/>
          <w:sz w:val="24"/>
          <w:highlight w:val="none"/>
          <w:u w:val="single" w:color="000000"/>
        </w:rPr>
        <w:t>　　　　　　　　</w:t>
      </w:r>
      <w:r>
        <w:rPr>
          <w:rStyle w:val="47"/>
          <w:rFonts w:hint="eastAsia" w:ascii="宋体" w:hAnsi="宋体" w:eastAsia="宋体" w:cs="宋体"/>
          <w:color w:val="auto"/>
          <w:sz w:val="24"/>
          <w:highlight w:val="none"/>
        </w:rPr>
        <w:t>日历天的工期（</w:t>
      </w:r>
      <w:r>
        <w:rPr>
          <w:rStyle w:val="47"/>
          <w:rFonts w:hint="eastAsia" w:ascii="宋体" w:hAnsi="宋体" w:eastAsia="宋体" w:cs="宋体"/>
          <w:b/>
          <w:bCs/>
          <w:color w:val="auto"/>
          <w:sz w:val="24"/>
          <w:highlight w:val="none"/>
        </w:rPr>
        <w:t>施工项目填写工期</w:t>
      </w:r>
      <w:r>
        <w:rPr>
          <w:rStyle w:val="47"/>
          <w:rFonts w:hint="eastAsia" w:ascii="宋体" w:hAnsi="宋体" w:eastAsia="宋体" w:cs="宋体"/>
          <w:color w:val="auto"/>
          <w:sz w:val="24"/>
          <w:highlight w:val="none"/>
        </w:rPr>
        <w:t>）和招标文件或业主开工令的要求如期开工、竣工并移交整个工程。在施工过程中如发现转包、违法分包行为，我方将承担一切后果和经济责任。如填写错误不符合招标文件的要求，自愿做废标处理。</w:t>
      </w:r>
    </w:p>
    <w:p w14:paraId="0422C65D">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5.一旦我方中标，我方保证工程质量达到</w:t>
      </w:r>
      <w:r>
        <w:rPr>
          <w:rStyle w:val="47"/>
          <w:rFonts w:hint="eastAsia" w:ascii="宋体" w:hAnsi="宋体" w:eastAsia="宋体" w:cs="宋体"/>
          <w:color w:val="auto"/>
          <w:sz w:val="24"/>
          <w:highlight w:val="none"/>
          <w:u w:val="single" w:color="000000"/>
        </w:rPr>
        <w:t>　　　　　　　　　　　</w:t>
      </w:r>
      <w:r>
        <w:rPr>
          <w:rStyle w:val="47"/>
          <w:rFonts w:hint="eastAsia" w:ascii="宋体" w:hAnsi="宋体" w:eastAsia="宋体" w:cs="宋体"/>
          <w:color w:val="auto"/>
          <w:sz w:val="24"/>
          <w:highlight w:val="none"/>
        </w:rPr>
        <w:t>标准。</w:t>
      </w:r>
    </w:p>
    <w:p w14:paraId="66FED3D6">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baseline"/>
        <w:rPr>
          <w:rStyle w:val="47"/>
          <w:rFonts w:hint="eastAsia" w:ascii="宋体" w:hAnsi="宋体" w:eastAsia="宋体" w:cs="宋体"/>
          <w:b/>
          <w:bCs/>
          <w:color w:val="auto"/>
          <w:sz w:val="24"/>
          <w:highlight w:val="none"/>
        </w:rPr>
      </w:pPr>
      <w:r>
        <w:rPr>
          <w:rStyle w:val="47"/>
          <w:rFonts w:hint="eastAsia" w:ascii="宋体" w:hAnsi="宋体" w:eastAsia="宋体" w:cs="宋体"/>
          <w:b/>
          <w:bCs/>
          <w:color w:val="auto"/>
          <w:sz w:val="24"/>
          <w:highlight w:val="none"/>
        </w:rPr>
        <w:t>6.一旦我方中标，我方保证投标文件中承诺的项目管理班子及施工机械设备到位，并按投标文件中的施工组织设计组织施工。</w:t>
      </w:r>
    </w:p>
    <w:p w14:paraId="483B6CE8">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7.一旦我方中标，我方保证用于本工程的主要材料、设备，不低于招标文件规定和投标文件承诺的合格产品，并在使用之前经建设单位确认后使用。</w:t>
      </w:r>
    </w:p>
    <w:p w14:paraId="06E95A12">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8.一旦我方中标，我方保证在规定的时间内由我方法定代表人亲自签订合同以及及时进场施工，并认真履行合同和其它各项承诺。</w:t>
      </w:r>
    </w:p>
    <w:p w14:paraId="41DA3FC0">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9.一旦我方中标，我方保证在规定的时间内按招标文件规定的方式、金额向招标人提交履约担保。</w:t>
      </w:r>
    </w:p>
    <w:p w14:paraId="685A5556">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10.我方同意所提交的投标文件在招标文件的投标须知中规定的投标有效期内有效，在此期间内如果中标，我方将受此约束。</w:t>
      </w:r>
    </w:p>
    <w:p w14:paraId="6670683E">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11.除非另外达成协议并生效，你方的中标通知书和本投标文件以及招标文件、招标文件澄清、修改通知、补充文件将成为约束双方的合同文件的组成部分。</w:t>
      </w:r>
    </w:p>
    <w:p w14:paraId="29C40432">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12.我方将与本投标函一起，提交人民币</w:t>
      </w:r>
      <w:r>
        <w:rPr>
          <w:rStyle w:val="47"/>
          <w:rFonts w:hint="eastAsia" w:ascii="宋体" w:hAnsi="宋体" w:eastAsia="宋体" w:cs="宋体"/>
          <w:color w:val="auto"/>
          <w:sz w:val="24"/>
          <w:highlight w:val="none"/>
          <w:u w:val="single"/>
        </w:rPr>
        <w:t xml:space="preserve"> </w:t>
      </w:r>
      <w:r>
        <w:rPr>
          <w:rStyle w:val="47"/>
          <w:rFonts w:hint="eastAsia" w:ascii="宋体" w:hAnsi="宋体" w:eastAsia="宋体" w:cs="宋体"/>
          <w:color w:val="auto"/>
          <w:sz w:val="24"/>
          <w:highlight w:val="none"/>
          <w:u w:val="single"/>
          <w:lang w:val="en-US"/>
        </w:rPr>
        <w:t xml:space="preserve">   </w:t>
      </w:r>
      <w:r>
        <w:rPr>
          <w:rStyle w:val="47"/>
          <w:rFonts w:hint="eastAsia" w:ascii="宋体" w:hAnsi="宋体" w:cs="宋体"/>
          <w:color w:val="auto"/>
          <w:sz w:val="24"/>
          <w:highlight w:val="none"/>
          <w:u w:val="single"/>
          <w:lang w:val="en-US"/>
        </w:rPr>
        <w:t xml:space="preserve"> </w:t>
      </w:r>
      <w:r>
        <w:rPr>
          <w:rStyle w:val="47"/>
          <w:rFonts w:hint="eastAsia" w:ascii="宋体" w:hAnsi="宋体" w:eastAsia="宋体" w:cs="宋体"/>
          <w:color w:val="auto"/>
          <w:sz w:val="24"/>
          <w:highlight w:val="none"/>
          <w:u w:val="single"/>
          <w:lang w:val="en-US"/>
        </w:rPr>
        <w:t xml:space="preserve">  </w:t>
      </w:r>
      <w:r>
        <w:rPr>
          <w:rStyle w:val="47"/>
          <w:rFonts w:hint="eastAsia" w:ascii="宋体" w:hAnsi="宋体" w:eastAsia="宋体" w:cs="宋体"/>
          <w:color w:val="auto"/>
          <w:sz w:val="24"/>
          <w:highlight w:val="none"/>
          <w:u w:val="single"/>
        </w:rPr>
        <w:t>元</w:t>
      </w:r>
      <w:r>
        <w:rPr>
          <w:rStyle w:val="47"/>
          <w:rFonts w:hint="eastAsia" w:ascii="宋体" w:hAnsi="宋体" w:eastAsia="宋体" w:cs="宋体"/>
          <w:color w:val="auto"/>
          <w:sz w:val="24"/>
          <w:highlight w:val="none"/>
        </w:rPr>
        <w:t xml:space="preserve">作为投标保证金。 </w:t>
      </w:r>
    </w:p>
    <w:p w14:paraId="7F47C917">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13.如我方中标，我方将按照规定提交上述合同价款（不含暂定价和甲供材）</w:t>
      </w:r>
      <w:r>
        <w:rPr>
          <w:rStyle w:val="47"/>
          <w:rFonts w:hint="eastAsia" w:ascii="宋体" w:hAnsi="宋体" w:cs="宋体"/>
          <w:color w:val="auto"/>
          <w:sz w:val="24"/>
          <w:highlight w:val="none"/>
          <w:u w:val="single"/>
          <w:lang w:val="en-US"/>
        </w:rPr>
        <w:t xml:space="preserve">    </w:t>
      </w:r>
      <w:r>
        <w:rPr>
          <w:rStyle w:val="47"/>
          <w:rFonts w:hint="eastAsia" w:ascii="宋体" w:hAnsi="宋体" w:eastAsia="宋体" w:cs="宋体"/>
          <w:color w:val="auto"/>
          <w:sz w:val="24"/>
          <w:highlight w:val="none"/>
        </w:rPr>
        <w:t>%作为履约保证金。</w:t>
      </w:r>
    </w:p>
    <w:p w14:paraId="32831B6C">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14.招标文件、投标文件及中标通知书将成为约束双方的合同文件的组成部分。</w:t>
      </w:r>
    </w:p>
    <w:p w14:paraId="52389FFD">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baseline"/>
        <w:rPr>
          <w:rStyle w:val="47"/>
          <w:rFonts w:hint="eastAsia" w:ascii="宋体" w:hAnsi="宋体" w:eastAsia="宋体" w:cs="宋体"/>
          <w:b/>
          <w:color w:val="auto"/>
          <w:sz w:val="24"/>
          <w:highlight w:val="none"/>
        </w:rPr>
      </w:pPr>
      <w:r>
        <w:rPr>
          <w:rStyle w:val="47"/>
          <w:rFonts w:hint="eastAsia" w:ascii="宋体" w:hAnsi="宋体" w:eastAsia="宋体" w:cs="宋体"/>
          <w:b/>
          <w:color w:val="auto"/>
          <w:sz w:val="24"/>
          <w:highlight w:val="none"/>
        </w:rPr>
        <w:t>15.我方承诺：我方拟派项目经理符合投标须知前附表的规定，否则接受招投标行政主管管理部门依法进行的处罚。</w:t>
      </w:r>
    </w:p>
    <w:p w14:paraId="59A66063">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16.其他补充说明：</w:t>
      </w:r>
      <w:r>
        <w:rPr>
          <w:rStyle w:val="47"/>
          <w:rFonts w:hint="eastAsia" w:ascii="宋体" w:hAnsi="宋体" w:eastAsia="宋体" w:cs="宋体"/>
          <w:color w:val="auto"/>
          <w:sz w:val="24"/>
          <w:highlight w:val="none"/>
          <w:u w:val="single" w:color="000000"/>
        </w:rPr>
        <w:t xml:space="preserve"> </w:t>
      </w:r>
      <w:r>
        <w:rPr>
          <w:rStyle w:val="47"/>
          <w:rFonts w:hint="eastAsia" w:ascii="宋体" w:hAnsi="宋体" w:eastAsia="宋体" w:cs="宋体"/>
          <w:b/>
          <w:color w:val="auto"/>
          <w:sz w:val="24"/>
          <w:highlight w:val="none"/>
          <w:u w:val="single"/>
          <w:lang w:val="en-US"/>
        </w:rPr>
        <w:t>。</w:t>
      </w:r>
      <w:r>
        <w:rPr>
          <w:rStyle w:val="47"/>
          <w:rFonts w:hint="eastAsia" w:ascii="宋体" w:hAnsi="宋体" w:eastAsia="宋体" w:cs="宋体"/>
          <w:color w:val="auto"/>
          <w:sz w:val="24"/>
          <w:highlight w:val="none"/>
          <w:u w:val="single" w:color="000000"/>
        </w:rPr>
        <w:t xml:space="preserve">         </w:t>
      </w:r>
    </w:p>
    <w:p w14:paraId="797DA26B">
      <w:pPr>
        <w:snapToGrid w:val="0"/>
        <w:spacing w:before="48" w:after="48" w:line="360" w:lineRule="auto"/>
        <w:rPr>
          <w:rStyle w:val="47"/>
          <w:rFonts w:hint="eastAsia" w:ascii="宋体" w:hAnsi="宋体" w:eastAsia="宋体" w:cs="宋体"/>
          <w:color w:val="auto"/>
          <w:sz w:val="24"/>
          <w:highlight w:val="none"/>
        </w:rPr>
      </w:pPr>
    </w:p>
    <w:p w14:paraId="772B5BB2">
      <w:pPr>
        <w:snapToGrid w:val="0"/>
        <w:spacing w:before="48" w:after="48" w:line="360" w:lineRule="auto"/>
        <w:rPr>
          <w:rStyle w:val="47"/>
          <w:rFonts w:hint="eastAsia" w:ascii="宋体" w:hAnsi="宋体" w:eastAsia="宋体" w:cs="宋体"/>
          <w:color w:val="auto"/>
          <w:sz w:val="24"/>
          <w:highlight w:val="none"/>
        </w:rPr>
      </w:pPr>
    </w:p>
    <w:p w14:paraId="3660929B">
      <w:pPr>
        <w:snapToGrid w:val="0"/>
        <w:spacing w:before="48" w:after="48" w:line="360" w:lineRule="auto"/>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投 标 人：</w:t>
      </w:r>
      <w:r>
        <w:rPr>
          <w:rStyle w:val="47"/>
          <w:rFonts w:hint="eastAsia" w:ascii="宋体" w:hAnsi="宋体" w:eastAsia="宋体" w:cs="宋体"/>
          <w:color w:val="auto"/>
          <w:sz w:val="24"/>
          <w:highlight w:val="none"/>
          <w:u w:val="single" w:color="000000"/>
        </w:rPr>
        <w:t xml:space="preserve">      名称   （盖章） </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p>
    <w:p w14:paraId="3C9D3896">
      <w:pPr>
        <w:pStyle w:val="92"/>
        <w:snapToGrid w:val="0"/>
        <w:spacing w:before="48" w:after="48" w:line="360" w:lineRule="auto"/>
        <w:ind w:left="503" w:leftChars="11" w:hanging="480"/>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单位地址：</w:t>
      </w:r>
      <w:r>
        <w:rPr>
          <w:rStyle w:val="47"/>
          <w:rFonts w:hint="eastAsia" w:ascii="宋体" w:hAnsi="宋体" w:eastAsia="宋体" w:cs="宋体"/>
          <w:color w:val="auto"/>
          <w:sz w:val="24"/>
          <w:highlight w:val="none"/>
        </w:rPr>
        <w:tab/>
      </w:r>
    </w:p>
    <w:p w14:paraId="03B06DAA">
      <w:pPr>
        <w:snapToGrid w:val="0"/>
        <w:spacing w:before="48" w:after="48" w:line="360" w:lineRule="auto"/>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法定代表人或其委托代理人：</w:t>
      </w:r>
      <w:r>
        <w:rPr>
          <w:rStyle w:val="47"/>
          <w:rFonts w:hint="eastAsia" w:ascii="宋体" w:hAnsi="宋体" w:eastAsia="宋体" w:cs="宋体"/>
          <w:color w:val="auto"/>
          <w:sz w:val="24"/>
          <w:highlight w:val="none"/>
          <w:u w:val="single" w:color="000000"/>
        </w:rPr>
        <w:t xml:space="preserve">    （签字或盖章） </w:t>
      </w:r>
    </w:p>
    <w:p w14:paraId="5A4214A4">
      <w:pPr>
        <w:snapToGrid w:val="0"/>
        <w:spacing w:before="48" w:after="48" w:line="360" w:lineRule="auto"/>
        <w:rPr>
          <w:rStyle w:val="47"/>
          <w:rFonts w:hint="eastAsia" w:ascii="宋体" w:hAnsi="宋体" w:eastAsia="宋体" w:cs="宋体"/>
          <w:color w:val="auto"/>
          <w:sz w:val="24"/>
          <w:highlight w:val="none"/>
          <w:u w:val="single"/>
        </w:rPr>
      </w:pPr>
      <w:r>
        <w:rPr>
          <w:rStyle w:val="47"/>
          <w:rFonts w:hint="eastAsia" w:ascii="宋体" w:hAnsi="宋体" w:eastAsia="宋体" w:cs="宋体"/>
          <w:color w:val="auto"/>
          <w:sz w:val="24"/>
          <w:highlight w:val="none"/>
        </w:rPr>
        <w:t>邮政编码：</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rPr>
        <w:t>电话：</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rPr>
        <w:t xml:space="preserve"> 传真：</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p>
    <w:p w14:paraId="470F9292">
      <w:pPr>
        <w:snapToGrid w:val="0"/>
        <w:spacing w:before="48" w:after="48"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开户银行名称：</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rPr>
        <w:t>开户银行账号：</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p>
    <w:p w14:paraId="1A7189E7">
      <w:pPr>
        <w:snapToGrid w:val="0"/>
        <w:spacing w:before="48" w:after="48" w:line="360" w:lineRule="auto"/>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日</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期：</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年</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月</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日</w:t>
      </w:r>
    </w:p>
    <w:p w14:paraId="22921E51">
      <w:pPr>
        <w:pStyle w:val="38"/>
        <w:tabs>
          <w:tab w:val="left" w:pos="432"/>
        </w:tabs>
        <w:snapToGrid w:val="0"/>
        <w:spacing w:line="360" w:lineRule="auto"/>
        <w:ind w:left="432"/>
        <w:rPr>
          <w:rStyle w:val="47"/>
          <w:rFonts w:hint="eastAsia" w:ascii="宋体" w:hAnsi="宋体" w:eastAsia="宋体" w:cs="宋体"/>
          <w:b w:val="0"/>
          <w:color w:val="auto"/>
          <w:sz w:val="30"/>
          <w:szCs w:val="30"/>
          <w:highlight w:val="none"/>
        </w:rPr>
      </w:pPr>
    </w:p>
    <w:p w14:paraId="24870438">
      <w:pPr>
        <w:numPr>
          <w:ilvl w:val="0"/>
          <w:numId w:val="1"/>
        </w:numPr>
        <w:snapToGrid w:val="0"/>
        <w:spacing w:before="48" w:after="48" w:line="360" w:lineRule="auto"/>
        <w:jc w:val="center"/>
        <w:rPr>
          <w:rStyle w:val="47"/>
          <w:rFonts w:hint="eastAsia" w:ascii="宋体" w:hAnsi="宋体" w:eastAsia="宋体" w:cs="宋体"/>
          <w:b/>
          <w:bCs/>
          <w:color w:val="auto"/>
          <w:sz w:val="28"/>
          <w:szCs w:val="28"/>
          <w:highlight w:val="none"/>
        </w:rPr>
      </w:pPr>
    </w:p>
    <w:p w14:paraId="44BE9E6C">
      <w:pPr>
        <w:numPr>
          <w:ilvl w:val="0"/>
          <w:numId w:val="0"/>
        </w:numPr>
        <w:tabs>
          <w:tab w:val="left" w:pos="432"/>
        </w:tabs>
        <w:snapToGrid w:val="0"/>
        <w:spacing w:before="48" w:after="48" w:line="360" w:lineRule="auto"/>
        <w:jc w:val="center"/>
        <w:textAlignment w:val="baseline"/>
        <w:rPr>
          <w:rStyle w:val="47"/>
          <w:rFonts w:hint="eastAsia" w:ascii="宋体" w:hAnsi="宋体" w:eastAsia="宋体" w:cs="宋体"/>
          <w:b/>
          <w:bCs/>
          <w:color w:val="auto"/>
          <w:sz w:val="28"/>
          <w:szCs w:val="28"/>
          <w:highlight w:val="none"/>
        </w:rPr>
      </w:pPr>
    </w:p>
    <w:p w14:paraId="0053D055">
      <w:pPr>
        <w:numPr>
          <w:ilvl w:val="0"/>
          <w:numId w:val="0"/>
        </w:numPr>
        <w:tabs>
          <w:tab w:val="left" w:pos="432"/>
        </w:tabs>
        <w:snapToGrid w:val="0"/>
        <w:spacing w:before="48" w:after="48" w:line="360" w:lineRule="auto"/>
        <w:jc w:val="center"/>
        <w:textAlignment w:val="baseline"/>
        <w:rPr>
          <w:rStyle w:val="47"/>
          <w:rFonts w:hint="eastAsia" w:ascii="宋体" w:hAnsi="宋体" w:eastAsia="宋体" w:cs="宋体"/>
          <w:b/>
          <w:bCs/>
          <w:color w:val="auto"/>
          <w:sz w:val="28"/>
          <w:szCs w:val="28"/>
          <w:highlight w:val="none"/>
        </w:rPr>
      </w:pPr>
    </w:p>
    <w:p w14:paraId="20A207B9">
      <w:pPr>
        <w:numPr>
          <w:ilvl w:val="0"/>
          <w:numId w:val="0"/>
        </w:numPr>
        <w:tabs>
          <w:tab w:val="left" w:pos="432"/>
        </w:tabs>
        <w:snapToGrid w:val="0"/>
        <w:spacing w:before="48" w:after="48" w:line="360" w:lineRule="auto"/>
        <w:jc w:val="center"/>
        <w:textAlignment w:val="baseline"/>
        <w:rPr>
          <w:rStyle w:val="47"/>
          <w:rFonts w:hint="eastAsia" w:ascii="宋体" w:hAnsi="宋体" w:eastAsia="宋体" w:cs="宋体"/>
          <w:b/>
          <w:bCs/>
          <w:color w:val="auto"/>
          <w:sz w:val="28"/>
          <w:szCs w:val="28"/>
          <w:highlight w:val="none"/>
        </w:rPr>
      </w:pPr>
    </w:p>
    <w:p w14:paraId="27661D45">
      <w:pPr>
        <w:snapToGrid w:val="0"/>
        <w:spacing w:line="360" w:lineRule="auto"/>
        <w:jc w:val="center"/>
        <w:rPr>
          <w:rStyle w:val="47"/>
          <w:rFonts w:hint="eastAsia" w:ascii="宋体" w:hAnsi="宋体" w:eastAsia="宋体" w:cs="宋体"/>
          <w:b/>
          <w:bCs/>
          <w:color w:val="auto"/>
          <w:sz w:val="28"/>
          <w:szCs w:val="28"/>
          <w:highlight w:val="none"/>
        </w:rPr>
      </w:pPr>
    </w:p>
    <w:p w14:paraId="569464F0">
      <w:pPr>
        <w:snapToGrid w:val="0"/>
        <w:spacing w:line="360" w:lineRule="auto"/>
        <w:jc w:val="center"/>
        <w:rPr>
          <w:rStyle w:val="47"/>
          <w:rFonts w:hint="eastAsia" w:ascii="宋体" w:hAnsi="宋体" w:eastAsia="宋体" w:cs="宋体"/>
          <w:b/>
          <w:bCs/>
          <w:color w:val="auto"/>
          <w:sz w:val="28"/>
          <w:szCs w:val="28"/>
          <w:highlight w:val="none"/>
        </w:rPr>
      </w:pPr>
      <w:r>
        <w:rPr>
          <w:rStyle w:val="47"/>
          <w:rFonts w:hint="eastAsia" w:ascii="宋体" w:hAnsi="宋体" w:eastAsia="宋体" w:cs="宋体"/>
          <w:b/>
          <w:bCs/>
          <w:color w:val="auto"/>
          <w:sz w:val="28"/>
          <w:szCs w:val="28"/>
          <w:highlight w:val="none"/>
        </w:rPr>
        <w:t>附</w:t>
      </w:r>
      <w:r>
        <w:rPr>
          <w:rStyle w:val="47"/>
          <w:rFonts w:hint="eastAsia" w:ascii="宋体" w:hAnsi="宋体" w:eastAsia="宋体" w:cs="宋体"/>
          <w:b/>
          <w:bCs/>
          <w:color w:val="auto"/>
          <w:sz w:val="28"/>
          <w:szCs w:val="28"/>
          <w:highlight w:val="none"/>
          <w:lang w:val="en-US"/>
        </w:rPr>
        <w:t xml:space="preserve">    </w:t>
      </w:r>
      <w:r>
        <w:rPr>
          <w:rStyle w:val="47"/>
          <w:rFonts w:hint="eastAsia" w:ascii="宋体" w:hAnsi="宋体" w:eastAsia="宋体" w:cs="宋体"/>
          <w:b/>
          <w:bCs/>
          <w:color w:val="auto"/>
          <w:sz w:val="28"/>
          <w:szCs w:val="28"/>
          <w:highlight w:val="none"/>
        </w:rPr>
        <w:t>录</w:t>
      </w:r>
    </w:p>
    <w:tbl>
      <w:tblPr>
        <w:tblStyle w:val="27"/>
        <w:tblW w:w="917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50"/>
        <w:gridCol w:w="2418"/>
        <w:gridCol w:w="1163"/>
        <w:gridCol w:w="4847"/>
      </w:tblGrid>
      <w:tr w14:paraId="617B2A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41"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406B056">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序号</w:t>
            </w:r>
          </w:p>
        </w:tc>
        <w:tc>
          <w:tcPr>
            <w:tcW w:w="2418" w:type="dxa"/>
            <w:tcBorders>
              <w:top w:val="single" w:color="000000" w:sz="4" w:space="0"/>
              <w:left w:val="single" w:color="000000" w:sz="4" w:space="0"/>
              <w:bottom w:val="single" w:color="000000" w:sz="4" w:space="0"/>
              <w:right w:val="single" w:color="000000" w:sz="4" w:space="0"/>
            </w:tcBorders>
            <w:vAlign w:val="center"/>
          </w:tcPr>
          <w:p w14:paraId="114B9BE5">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项 目 内 容</w:t>
            </w:r>
          </w:p>
        </w:tc>
        <w:tc>
          <w:tcPr>
            <w:tcW w:w="1163" w:type="dxa"/>
            <w:tcBorders>
              <w:top w:val="single" w:color="000000" w:sz="4" w:space="0"/>
              <w:left w:val="single" w:color="000000" w:sz="4" w:space="0"/>
              <w:bottom w:val="single" w:color="000000" w:sz="4" w:space="0"/>
              <w:right w:val="single" w:color="000000" w:sz="4" w:space="0"/>
            </w:tcBorders>
            <w:vAlign w:val="center"/>
          </w:tcPr>
          <w:p w14:paraId="12CA554B">
            <w:pPr>
              <w:snapToGrid w:val="0"/>
              <w:spacing w:line="36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合  同</w:t>
            </w:r>
          </w:p>
          <w:p w14:paraId="316384A1">
            <w:pPr>
              <w:snapToGrid w:val="0"/>
              <w:spacing w:line="360" w:lineRule="exact"/>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条款号</w:t>
            </w:r>
          </w:p>
        </w:tc>
        <w:tc>
          <w:tcPr>
            <w:tcW w:w="4847" w:type="dxa"/>
            <w:tcBorders>
              <w:top w:val="single" w:color="000000" w:sz="4" w:space="0"/>
              <w:left w:val="single" w:color="000000" w:sz="4" w:space="0"/>
              <w:bottom w:val="single" w:color="000000" w:sz="4" w:space="0"/>
              <w:right w:val="single" w:color="000000" w:sz="4" w:space="0"/>
            </w:tcBorders>
            <w:vAlign w:val="center"/>
          </w:tcPr>
          <w:p w14:paraId="319DDB9A">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约 定 内 容</w:t>
            </w:r>
          </w:p>
        </w:tc>
      </w:tr>
      <w:tr w14:paraId="33F13F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5BE15F5">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w:t>
            </w:r>
          </w:p>
        </w:tc>
        <w:tc>
          <w:tcPr>
            <w:tcW w:w="2418" w:type="dxa"/>
            <w:tcBorders>
              <w:top w:val="single" w:color="000000" w:sz="4" w:space="0"/>
              <w:left w:val="single" w:color="000000" w:sz="4" w:space="0"/>
              <w:bottom w:val="single" w:color="000000" w:sz="4" w:space="0"/>
              <w:right w:val="single" w:color="000000" w:sz="4" w:space="0"/>
            </w:tcBorders>
            <w:vAlign w:val="center"/>
          </w:tcPr>
          <w:p w14:paraId="6CE97C3A">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履约保证金</w:t>
            </w:r>
          </w:p>
        </w:tc>
        <w:tc>
          <w:tcPr>
            <w:tcW w:w="1163" w:type="dxa"/>
            <w:tcBorders>
              <w:top w:val="single" w:color="000000" w:sz="4" w:space="0"/>
              <w:left w:val="single" w:color="000000" w:sz="4" w:space="0"/>
              <w:bottom w:val="single" w:color="000000" w:sz="4" w:space="0"/>
              <w:right w:val="single" w:color="000000" w:sz="4" w:space="0"/>
            </w:tcBorders>
            <w:vAlign w:val="center"/>
          </w:tcPr>
          <w:p w14:paraId="5B3BC048">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48CABDC0">
            <w:pPr>
              <w:snapToGrid w:val="0"/>
              <w:spacing w:line="360" w:lineRule="exac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按合同价款的</w:t>
            </w:r>
            <w:r>
              <w:rPr>
                <w:rStyle w:val="47"/>
                <w:rFonts w:hint="eastAsia" w:ascii="宋体" w:hAnsi="宋体" w:eastAsia="宋体" w:cs="宋体"/>
                <w:color w:val="auto"/>
                <w:sz w:val="24"/>
                <w:highlight w:val="none"/>
                <w:u w:val="single" w:color="000000"/>
              </w:rPr>
              <w:t xml:space="preserve"> 2 </w:t>
            </w:r>
            <w:r>
              <w:rPr>
                <w:rStyle w:val="47"/>
                <w:rFonts w:hint="eastAsia" w:ascii="宋体" w:hAnsi="宋体" w:eastAsia="宋体" w:cs="宋体"/>
                <w:color w:val="auto"/>
                <w:sz w:val="24"/>
                <w:highlight w:val="none"/>
              </w:rPr>
              <w:t>%</w:t>
            </w:r>
          </w:p>
        </w:tc>
      </w:tr>
      <w:tr w14:paraId="457C5C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054F4C8">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2</w:t>
            </w:r>
          </w:p>
        </w:tc>
        <w:tc>
          <w:tcPr>
            <w:tcW w:w="2418" w:type="dxa"/>
            <w:tcBorders>
              <w:top w:val="single" w:color="000000" w:sz="4" w:space="0"/>
              <w:left w:val="single" w:color="000000" w:sz="4" w:space="0"/>
              <w:bottom w:val="single" w:color="000000" w:sz="4" w:space="0"/>
              <w:right w:val="single" w:color="000000" w:sz="4" w:space="0"/>
            </w:tcBorders>
            <w:vAlign w:val="center"/>
          </w:tcPr>
          <w:p w14:paraId="3209205A">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施工准备时间</w:t>
            </w:r>
          </w:p>
        </w:tc>
        <w:tc>
          <w:tcPr>
            <w:tcW w:w="1163" w:type="dxa"/>
            <w:tcBorders>
              <w:top w:val="single" w:color="000000" w:sz="4" w:space="0"/>
              <w:left w:val="single" w:color="000000" w:sz="4" w:space="0"/>
              <w:bottom w:val="single" w:color="000000" w:sz="4" w:space="0"/>
              <w:right w:val="single" w:color="000000" w:sz="4" w:space="0"/>
            </w:tcBorders>
            <w:vAlign w:val="center"/>
          </w:tcPr>
          <w:p w14:paraId="3A824A1B">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7D301258">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签订合同后</w:t>
            </w:r>
            <w:r>
              <w:rPr>
                <w:rStyle w:val="47"/>
                <w:rFonts w:hint="eastAsia" w:ascii="宋体" w:hAnsi="宋体" w:eastAsia="宋体" w:cs="宋体"/>
                <w:color w:val="auto"/>
                <w:sz w:val="24"/>
                <w:highlight w:val="none"/>
                <w:u w:val="single" w:color="000000"/>
              </w:rPr>
              <w:t xml:space="preserve"> 5 </w:t>
            </w:r>
            <w:r>
              <w:rPr>
                <w:rStyle w:val="47"/>
                <w:rFonts w:hint="eastAsia" w:ascii="宋体" w:hAnsi="宋体" w:eastAsia="宋体" w:cs="宋体"/>
                <w:color w:val="auto"/>
                <w:sz w:val="24"/>
                <w:highlight w:val="none"/>
              </w:rPr>
              <w:t>天内</w:t>
            </w:r>
          </w:p>
        </w:tc>
      </w:tr>
      <w:tr w14:paraId="29A536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5F85738">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3</w:t>
            </w:r>
          </w:p>
        </w:tc>
        <w:tc>
          <w:tcPr>
            <w:tcW w:w="2418" w:type="dxa"/>
            <w:tcBorders>
              <w:top w:val="single" w:color="000000" w:sz="4" w:space="0"/>
              <w:left w:val="single" w:color="000000" w:sz="4" w:space="0"/>
              <w:bottom w:val="single" w:color="000000" w:sz="4" w:space="0"/>
              <w:right w:val="single" w:color="000000" w:sz="4" w:space="0"/>
            </w:tcBorders>
            <w:vAlign w:val="center"/>
          </w:tcPr>
          <w:p w14:paraId="6F6805EA">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误期违约金额</w:t>
            </w:r>
          </w:p>
        </w:tc>
        <w:tc>
          <w:tcPr>
            <w:tcW w:w="1163" w:type="dxa"/>
            <w:tcBorders>
              <w:top w:val="single" w:color="000000" w:sz="4" w:space="0"/>
              <w:left w:val="single" w:color="000000" w:sz="4" w:space="0"/>
              <w:bottom w:val="single" w:color="000000" w:sz="4" w:space="0"/>
              <w:right w:val="single" w:color="000000" w:sz="4" w:space="0"/>
            </w:tcBorders>
            <w:vAlign w:val="center"/>
          </w:tcPr>
          <w:p w14:paraId="7C98EAE6">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5003CABD">
            <w:pPr>
              <w:snapToGrid w:val="0"/>
              <w:spacing w:line="360" w:lineRule="exac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详见上篇合同专用条款内容</w:t>
            </w:r>
          </w:p>
        </w:tc>
      </w:tr>
      <w:tr w14:paraId="533881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BD0F57E">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4</w:t>
            </w:r>
          </w:p>
        </w:tc>
        <w:tc>
          <w:tcPr>
            <w:tcW w:w="2418" w:type="dxa"/>
            <w:tcBorders>
              <w:top w:val="single" w:color="000000" w:sz="4" w:space="0"/>
              <w:left w:val="single" w:color="000000" w:sz="4" w:space="0"/>
              <w:bottom w:val="single" w:color="000000" w:sz="4" w:space="0"/>
              <w:right w:val="single" w:color="000000" w:sz="4" w:space="0"/>
            </w:tcBorders>
            <w:vAlign w:val="center"/>
          </w:tcPr>
          <w:p w14:paraId="2189BC04">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误期赔偿费</w:t>
            </w:r>
          </w:p>
        </w:tc>
        <w:tc>
          <w:tcPr>
            <w:tcW w:w="1163" w:type="dxa"/>
            <w:tcBorders>
              <w:top w:val="single" w:color="000000" w:sz="4" w:space="0"/>
              <w:left w:val="single" w:color="000000" w:sz="4" w:space="0"/>
              <w:bottom w:val="single" w:color="000000" w:sz="4" w:space="0"/>
              <w:right w:val="single" w:color="000000" w:sz="4" w:space="0"/>
            </w:tcBorders>
            <w:vAlign w:val="center"/>
          </w:tcPr>
          <w:p w14:paraId="601AF49A">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2B29804F">
            <w:pPr>
              <w:snapToGrid w:val="0"/>
              <w:spacing w:line="360" w:lineRule="exac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详见上篇合同专用条款内容</w:t>
            </w:r>
          </w:p>
        </w:tc>
      </w:tr>
      <w:tr w14:paraId="407024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34476C5">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5</w:t>
            </w:r>
          </w:p>
        </w:tc>
        <w:tc>
          <w:tcPr>
            <w:tcW w:w="2418" w:type="dxa"/>
            <w:tcBorders>
              <w:top w:val="single" w:color="000000" w:sz="4" w:space="0"/>
              <w:left w:val="single" w:color="000000" w:sz="4" w:space="0"/>
              <w:bottom w:val="single" w:color="000000" w:sz="4" w:space="0"/>
              <w:right w:val="single" w:color="000000" w:sz="4" w:space="0"/>
            </w:tcBorders>
            <w:vAlign w:val="center"/>
          </w:tcPr>
          <w:p w14:paraId="266D7E6E">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提前工期奖</w:t>
            </w:r>
          </w:p>
        </w:tc>
        <w:tc>
          <w:tcPr>
            <w:tcW w:w="1163" w:type="dxa"/>
            <w:tcBorders>
              <w:top w:val="single" w:color="000000" w:sz="4" w:space="0"/>
              <w:left w:val="single" w:color="000000" w:sz="4" w:space="0"/>
              <w:bottom w:val="single" w:color="000000" w:sz="4" w:space="0"/>
              <w:right w:val="single" w:color="000000" w:sz="4" w:space="0"/>
            </w:tcBorders>
            <w:vAlign w:val="center"/>
          </w:tcPr>
          <w:p w14:paraId="33695443">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204299F5">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详见上篇合同专用条款内容</w:t>
            </w:r>
          </w:p>
        </w:tc>
      </w:tr>
      <w:tr w14:paraId="655772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93BC453">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6</w:t>
            </w:r>
          </w:p>
        </w:tc>
        <w:tc>
          <w:tcPr>
            <w:tcW w:w="2418" w:type="dxa"/>
            <w:tcBorders>
              <w:top w:val="single" w:color="000000" w:sz="4" w:space="0"/>
              <w:left w:val="single" w:color="000000" w:sz="4" w:space="0"/>
              <w:bottom w:val="single" w:color="000000" w:sz="4" w:space="0"/>
              <w:right w:val="single" w:color="000000" w:sz="4" w:space="0"/>
            </w:tcBorders>
            <w:vAlign w:val="center"/>
          </w:tcPr>
          <w:p w14:paraId="1E1AF054">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施工总工期</w:t>
            </w:r>
          </w:p>
        </w:tc>
        <w:tc>
          <w:tcPr>
            <w:tcW w:w="1163" w:type="dxa"/>
            <w:tcBorders>
              <w:top w:val="single" w:color="000000" w:sz="4" w:space="0"/>
              <w:left w:val="single" w:color="000000" w:sz="4" w:space="0"/>
              <w:bottom w:val="single" w:color="000000" w:sz="4" w:space="0"/>
              <w:right w:val="single" w:color="000000" w:sz="4" w:space="0"/>
            </w:tcBorders>
            <w:vAlign w:val="center"/>
          </w:tcPr>
          <w:p w14:paraId="4AB363A1">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79A7BD84">
            <w:pPr>
              <w:snapToGrid w:val="0"/>
              <w:ind w:firstLine="240" w:firstLineChars="100"/>
              <w:jc w:val="lef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u w:val="single" w:color="000000"/>
              </w:rPr>
              <w:t xml:space="preserve"> </w:t>
            </w:r>
            <w:r>
              <w:rPr>
                <w:rStyle w:val="47"/>
                <w:rFonts w:hint="eastAsia" w:ascii="宋体" w:hAnsi="宋体" w:eastAsia="宋体" w:cs="宋体"/>
                <w:color w:val="auto"/>
                <w:sz w:val="24"/>
                <w:highlight w:val="none"/>
                <w:u w:val="single" w:color="000000"/>
                <w:lang w:val="en-US"/>
              </w:rPr>
              <w:t xml:space="preserve">   </w:t>
            </w:r>
            <w:r>
              <w:rPr>
                <w:rStyle w:val="47"/>
                <w:rFonts w:hint="eastAsia" w:ascii="宋体" w:hAnsi="宋体" w:eastAsia="宋体" w:cs="宋体"/>
                <w:color w:val="auto"/>
                <w:sz w:val="24"/>
                <w:highlight w:val="none"/>
                <w:u w:val="single" w:color="000000"/>
              </w:rPr>
              <w:t xml:space="preserve"> </w:t>
            </w:r>
            <w:r>
              <w:rPr>
                <w:rStyle w:val="47"/>
                <w:rFonts w:hint="eastAsia" w:ascii="宋体" w:hAnsi="宋体" w:eastAsia="宋体" w:cs="宋体"/>
                <w:color w:val="auto"/>
                <w:sz w:val="24"/>
                <w:highlight w:val="none"/>
              </w:rPr>
              <w:t>日历天</w:t>
            </w:r>
          </w:p>
        </w:tc>
      </w:tr>
      <w:tr w14:paraId="184C94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9EC9181">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7</w:t>
            </w:r>
          </w:p>
        </w:tc>
        <w:tc>
          <w:tcPr>
            <w:tcW w:w="2418" w:type="dxa"/>
            <w:tcBorders>
              <w:top w:val="single" w:color="000000" w:sz="4" w:space="0"/>
              <w:left w:val="single" w:color="000000" w:sz="4" w:space="0"/>
              <w:bottom w:val="single" w:color="000000" w:sz="4" w:space="0"/>
              <w:right w:val="single" w:color="000000" w:sz="4" w:space="0"/>
            </w:tcBorders>
            <w:vAlign w:val="center"/>
          </w:tcPr>
          <w:p w14:paraId="02DF9FF4">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质量标准</w:t>
            </w:r>
          </w:p>
        </w:tc>
        <w:tc>
          <w:tcPr>
            <w:tcW w:w="1163" w:type="dxa"/>
            <w:tcBorders>
              <w:top w:val="single" w:color="000000" w:sz="4" w:space="0"/>
              <w:left w:val="single" w:color="000000" w:sz="4" w:space="0"/>
              <w:bottom w:val="single" w:color="000000" w:sz="4" w:space="0"/>
              <w:right w:val="single" w:color="000000" w:sz="4" w:space="0"/>
            </w:tcBorders>
            <w:vAlign w:val="center"/>
          </w:tcPr>
          <w:p w14:paraId="06455D56">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19AB0954">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 xml:space="preserve"> 合格</w:t>
            </w:r>
          </w:p>
        </w:tc>
      </w:tr>
      <w:tr w14:paraId="08E54A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1608915">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8</w:t>
            </w:r>
          </w:p>
        </w:tc>
        <w:tc>
          <w:tcPr>
            <w:tcW w:w="2418" w:type="dxa"/>
            <w:tcBorders>
              <w:top w:val="single" w:color="000000" w:sz="4" w:space="0"/>
              <w:left w:val="single" w:color="000000" w:sz="4" w:space="0"/>
              <w:bottom w:val="single" w:color="000000" w:sz="4" w:space="0"/>
              <w:right w:val="single" w:color="000000" w:sz="4" w:space="0"/>
            </w:tcBorders>
            <w:vAlign w:val="center"/>
          </w:tcPr>
          <w:p w14:paraId="731933C2">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投标总价</w:t>
            </w:r>
          </w:p>
        </w:tc>
        <w:tc>
          <w:tcPr>
            <w:tcW w:w="1163" w:type="dxa"/>
            <w:tcBorders>
              <w:top w:val="single" w:color="000000" w:sz="4" w:space="0"/>
              <w:left w:val="single" w:color="000000" w:sz="4" w:space="0"/>
              <w:bottom w:val="single" w:color="000000" w:sz="4" w:space="0"/>
              <w:right w:val="single" w:color="000000" w:sz="4" w:space="0"/>
            </w:tcBorders>
            <w:vAlign w:val="center"/>
          </w:tcPr>
          <w:p w14:paraId="50F6B44F">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3CCAFA0D">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按商务标中报价</w:t>
            </w:r>
          </w:p>
        </w:tc>
      </w:tr>
      <w:tr w14:paraId="652CFE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DDE573D">
            <w:pPr>
              <w:snapToGrid w:val="0"/>
              <w:jc w:val="center"/>
              <w:rPr>
                <w:rStyle w:val="47"/>
                <w:rFonts w:hint="eastAsia" w:ascii="宋体" w:hAnsi="宋体" w:eastAsia="宋体" w:cs="宋体"/>
                <w:color w:val="auto"/>
                <w:sz w:val="24"/>
                <w:highlight w:val="none"/>
              </w:rPr>
            </w:pPr>
            <w:r>
              <w:rPr>
                <w:rStyle w:val="47"/>
                <w:rFonts w:hint="eastAsia" w:ascii="宋体" w:hAnsi="宋体" w:cs="宋体"/>
                <w:color w:val="auto"/>
                <w:sz w:val="24"/>
                <w:highlight w:val="none"/>
                <w:lang w:val="en-US"/>
              </w:rPr>
              <w:t>9</w:t>
            </w:r>
          </w:p>
        </w:tc>
        <w:tc>
          <w:tcPr>
            <w:tcW w:w="2418" w:type="dxa"/>
            <w:tcBorders>
              <w:top w:val="single" w:color="000000" w:sz="4" w:space="0"/>
              <w:left w:val="single" w:color="000000" w:sz="4" w:space="0"/>
              <w:bottom w:val="single" w:color="000000" w:sz="4" w:space="0"/>
              <w:right w:val="single" w:color="000000" w:sz="4" w:space="0"/>
            </w:tcBorders>
            <w:vAlign w:val="center"/>
          </w:tcPr>
          <w:p w14:paraId="376F8ECF">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预付款金额</w:t>
            </w:r>
          </w:p>
        </w:tc>
        <w:tc>
          <w:tcPr>
            <w:tcW w:w="1163" w:type="dxa"/>
            <w:tcBorders>
              <w:top w:val="single" w:color="000000" w:sz="4" w:space="0"/>
              <w:left w:val="single" w:color="000000" w:sz="4" w:space="0"/>
              <w:bottom w:val="single" w:color="000000" w:sz="4" w:space="0"/>
              <w:right w:val="single" w:color="000000" w:sz="4" w:space="0"/>
            </w:tcBorders>
            <w:vAlign w:val="center"/>
          </w:tcPr>
          <w:p w14:paraId="0AE62A56">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4A0FE9EA">
            <w:pPr>
              <w:snapToGrid w:val="0"/>
              <w:rPr>
                <w:rStyle w:val="47"/>
                <w:rFonts w:hint="eastAsia" w:ascii="宋体" w:hAnsi="宋体" w:eastAsia="宋体" w:cs="宋体"/>
                <w:color w:val="auto"/>
                <w:sz w:val="24"/>
                <w:highlight w:val="none"/>
              </w:rPr>
            </w:pPr>
            <w:r>
              <w:rPr>
                <w:rStyle w:val="47"/>
                <w:rFonts w:hint="default" w:ascii="宋体" w:hAnsi="宋体" w:eastAsia="宋体" w:cs="宋体"/>
                <w:color w:val="auto"/>
                <w:sz w:val="24"/>
                <w:highlight w:val="none"/>
              </w:rPr>
              <w:t>合同签订后支付签约合同价（不含暂列金额）10%工程预付款</w:t>
            </w:r>
          </w:p>
        </w:tc>
      </w:tr>
      <w:tr w14:paraId="10ECEA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6B33271">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w:t>
            </w:r>
            <w:r>
              <w:rPr>
                <w:rStyle w:val="47"/>
                <w:rFonts w:hint="eastAsia" w:ascii="宋体" w:hAnsi="宋体" w:cs="宋体"/>
                <w:color w:val="auto"/>
                <w:sz w:val="24"/>
                <w:highlight w:val="none"/>
                <w:lang w:val="en-US"/>
              </w:rPr>
              <w:t>0</w:t>
            </w:r>
          </w:p>
        </w:tc>
        <w:tc>
          <w:tcPr>
            <w:tcW w:w="2418" w:type="dxa"/>
            <w:tcBorders>
              <w:top w:val="single" w:color="000000" w:sz="4" w:space="0"/>
              <w:left w:val="single" w:color="000000" w:sz="4" w:space="0"/>
              <w:bottom w:val="single" w:color="000000" w:sz="4" w:space="0"/>
              <w:right w:val="single" w:color="000000" w:sz="4" w:space="0"/>
            </w:tcBorders>
            <w:vAlign w:val="center"/>
          </w:tcPr>
          <w:p w14:paraId="1253F686">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进度款付款时间</w:t>
            </w:r>
          </w:p>
        </w:tc>
        <w:tc>
          <w:tcPr>
            <w:tcW w:w="1163" w:type="dxa"/>
            <w:tcBorders>
              <w:top w:val="single" w:color="000000" w:sz="4" w:space="0"/>
              <w:left w:val="single" w:color="000000" w:sz="4" w:space="0"/>
              <w:bottom w:val="single" w:color="000000" w:sz="4" w:space="0"/>
              <w:right w:val="single" w:color="000000" w:sz="4" w:space="0"/>
            </w:tcBorders>
            <w:vAlign w:val="center"/>
          </w:tcPr>
          <w:p w14:paraId="339A9BC3">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57EDDA47">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签发月付款凭证后</w:t>
            </w:r>
            <w:r>
              <w:rPr>
                <w:rStyle w:val="47"/>
                <w:rFonts w:hint="eastAsia" w:ascii="宋体" w:hAnsi="宋体" w:eastAsia="宋体" w:cs="宋体"/>
                <w:color w:val="auto"/>
                <w:sz w:val="24"/>
                <w:highlight w:val="none"/>
                <w:u w:val="single" w:color="000000"/>
              </w:rPr>
              <w:t xml:space="preserve"> 14 </w:t>
            </w:r>
            <w:r>
              <w:rPr>
                <w:rStyle w:val="47"/>
                <w:rFonts w:hint="eastAsia" w:ascii="宋体" w:hAnsi="宋体" w:eastAsia="宋体" w:cs="宋体"/>
                <w:color w:val="auto"/>
                <w:sz w:val="24"/>
                <w:highlight w:val="none"/>
              </w:rPr>
              <w:t>天内</w:t>
            </w:r>
          </w:p>
        </w:tc>
      </w:tr>
      <w:tr w14:paraId="27DA0C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E0F93A2">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w:t>
            </w:r>
            <w:r>
              <w:rPr>
                <w:rStyle w:val="47"/>
                <w:rFonts w:hint="eastAsia" w:ascii="宋体" w:hAnsi="宋体" w:cs="宋体"/>
                <w:color w:val="auto"/>
                <w:sz w:val="24"/>
                <w:highlight w:val="none"/>
                <w:lang w:val="en-US"/>
              </w:rPr>
              <w:t>1</w:t>
            </w:r>
          </w:p>
        </w:tc>
        <w:tc>
          <w:tcPr>
            <w:tcW w:w="2418" w:type="dxa"/>
            <w:tcBorders>
              <w:top w:val="single" w:color="000000" w:sz="4" w:space="0"/>
              <w:left w:val="single" w:color="000000" w:sz="4" w:space="0"/>
              <w:bottom w:val="single" w:color="000000" w:sz="4" w:space="0"/>
              <w:right w:val="single" w:color="000000" w:sz="4" w:space="0"/>
            </w:tcBorders>
            <w:vAlign w:val="center"/>
          </w:tcPr>
          <w:p w14:paraId="46592A6B">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竣工结算款付款时间</w:t>
            </w:r>
          </w:p>
        </w:tc>
        <w:tc>
          <w:tcPr>
            <w:tcW w:w="1163" w:type="dxa"/>
            <w:tcBorders>
              <w:top w:val="single" w:color="000000" w:sz="4" w:space="0"/>
              <w:left w:val="single" w:color="000000" w:sz="4" w:space="0"/>
              <w:bottom w:val="single" w:color="000000" w:sz="4" w:space="0"/>
              <w:right w:val="single" w:color="000000" w:sz="4" w:space="0"/>
            </w:tcBorders>
            <w:vAlign w:val="center"/>
          </w:tcPr>
          <w:p w14:paraId="2DF28D0D">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56C5810A">
            <w:pPr>
              <w:snapToGrid w:val="0"/>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签发竣工结算付款凭证后</w:t>
            </w:r>
            <w:r>
              <w:rPr>
                <w:rStyle w:val="47"/>
                <w:rFonts w:hint="eastAsia" w:ascii="宋体" w:hAnsi="宋体" w:eastAsia="宋体" w:cs="宋体"/>
                <w:color w:val="auto"/>
                <w:sz w:val="24"/>
                <w:highlight w:val="none"/>
                <w:u w:val="single" w:color="000000"/>
              </w:rPr>
              <w:t xml:space="preserve"> 28 </w:t>
            </w:r>
            <w:r>
              <w:rPr>
                <w:rStyle w:val="47"/>
                <w:rFonts w:hint="eastAsia" w:ascii="宋体" w:hAnsi="宋体" w:eastAsia="宋体" w:cs="宋体"/>
                <w:color w:val="auto"/>
                <w:sz w:val="24"/>
                <w:highlight w:val="none"/>
              </w:rPr>
              <w:t>天内</w:t>
            </w:r>
          </w:p>
        </w:tc>
      </w:tr>
      <w:tr w14:paraId="1BE07D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3"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F5FE391">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1</w:t>
            </w:r>
            <w:r>
              <w:rPr>
                <w:rStyle w:val="47"/>
                <w:rFonts w:hint="eastAsia" w:ascii="宋体" w:hAnsi="宋体" w:cs="宋体"/>
                <w:color w:val="auto"/>
                <w:sz w:val="24"/>
                <w:highlight w:val="none"/>
                <w:lang w:val="en-US"/>
              </w:rPr>
              <w:t>2</w:t>
            </w:r>
          </w:p>
        </w:tc>
        <w:tc>
          <w:tcPr>
            <w:tcW w:w="2418" w:type="dxa"/>
            <w:tcBorders>
              <w:top w:val="single" w:color="000000" w:sz="4" w:space="0"/>
              <w:left w:val="single" w:color="000000" w:sz="4" w:space="0"/>
              <w:bottom w:val="single" w:color="000000" w:sz="4" w:space="0"/>
              <w:right w:val="single" w:color="000000" w:sz="4" w:space="0"/>
            </w:tcBorders>
            <w:vAlign w:val="center"/>
          </w:tcPr>
          <w:p w14:paraId="454F53A7">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总包服务费</w:t>
            </w:r>
          </w:p>
        </w:tc>
        <w:tc>
          <w:tcPr>
            <w:tcW w:w="1163" w:type="dxa"/>
            <w:tcBorders>
              <w:top w:val="single" w:color="000000" w:sz="4" w:space="0"/>
              <w:left w:val="single" w:color="000000" w:sz="4" w:space="0"/>
              <w:bottom w:val="single" w:color="000000" w:sz="4" w:space="0"/>
              <w:right w:val="single" w:color="000000" w:sz="4" w:space="0"/>
            </w:tcBorders>
            <w:vAlign w:val="center"/>
          </w:tcPr>
          <w:p w14:paraId="5444878C">
            <w:pPr>
              <w:snapToGrid w:val="0"/>
              <w:jc w:val="center"/>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w:t>
            </w:r>
          </w:p>
        </w:tc>
        <w:tc>
          <w:tcPr>
            <w:tcW w:w="4847" w:type="dxa"/>
            <w:tcBorders>
              <w:top w:val="single" w:color="000000" w:sz="4" w:space="0"/>
              <w:left w:val="single" w:color="000000" w:sz="4" w:space="0"/>
              <w:bottom w:val="single" w:color="000000" w:sz="4" w:space="0"/>
              <w:right w:val="single" w:color="000000" w:sz="4" w:space="0"/>
            </w:tcBorders>
            <w:vAlign w:val="center"/>
          </w:tcPr>
          <w:p w14:paraId="12D1835C">
            <w:pPr>
              <w:snapToGrid w:val="0"/>
              <w:spacing w:line="360" w:lineRule="exact"/>
              <w:rPr>
                <w:rStyle w:val="47"/>
                <w:rFonts w:hint="eastAsia" w:ascii="宋体" w:hAnsi="宋体" w:eastAsia="宋体" w:cs="宋体"/>
                <w:color w:val="auto"/>
                <w:sz w:val="24"/>
                <w:highlight w:val="none"/>
              </w:rPr>
            </w:pPr>
            <w:r>
              <w:rPr>
                <w:rStyle w:val="47"/>
                <w:rFonts w:hint="eastAsia" w:ascii="宋体" w:hAnsi="宋体" w:eastAsia="宋体" w:cs="宋体"/>
                <w:color w:val="auto"/>
                <w:sz w:val="24"/>
                <w:highlight w:val="none"/>
              </w:rPr>
              <w:t>无</w:t>
            </w:r>
          </w:p>
        </w:tc>
      </w:tr>
    </w:tbl>
    <w:p w14:paraId="0A9FC3AE">
      <w:pPr>
        <w:numPr>
          <w:ilvl w:val="0"/>
          <w:numId w:val="1"/>
        </w:numPr>
        <w:snapToGrid w:val="0"/>
        <w:spacing w:before="48" w:after="48" w:line="360" w:lineRule="auto"/>
        <w:rPr>
          <w:rStyle w:val="47"/>
          <w:rFonts w:hint="eastAsia" w:ascii="宋体" w:hAnsi="宋体" w:eastAsia="宋体" w:cs="宋体"/>
          <w:color w:val="auto"/>
          <w:sz w:val="24"/>
          <w:highlight w:val="none"/>
        </w:rPr>
      </w:pPr>
    </w:p>
    <w:p w14:paraId="053CE290">
      <w:pPr>
        <w:numPr>
          <w:ilvl w:val="0"/>
          <w:numId w:val="1"/>
        </w:numPr>
        <w:snapToGrid w:val="0"/>
        <w:spacing w:before="48" w:after="48" w:line="360" w:lineRule="auto"/>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投 标 人：</w:t>
      </w:r>
      <w:r>
        <w:rPr>
          <w:rStyle w:val="47"/>
          <w:rFonts w:hint="eastAsia" w:ascii="宋体" w:hAnsi="宋体" w:eastAsia="宋体" w:cs="宋体"/>
          <w:color w:val="auto"/>
          <w:sz w:val="24"/>
          <w:highlight w:val="none"/>
          <w:u w:val="single" w:color="000000"/>
        </w:rPr>
        <w:t xml:space="preserve">      名称   （盖章） </w:t>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r>
        <w:rPr>
          <w:rStyle w:val="47"/>
          <w:rFonts w:hint="eastAsia" w:ascii="宋体" w:hAnsi="宋体" w:eastAsia="宋体" w:cs="宋体"/>
          <w:color w:val="auto"/>
          <w:sz w:val="24"/>
          <w:highlight w:val="none"/>
          <w:u w:val="single" w:color="000000"/>
        </w:rPr>
        <w:tab/>
      </w:r>
    </w:p>
    <w:p w14:paraId="26505C71">
      <w:pPr>
        <w:numPr>
          <w:ilvl w:val="0"/>
          <w:numId w:val="1"/>
        </w:numPr>
        <w:snapToGrid w:val="0"/>
        <w:spacing w:before="48" w:after="48" w:line="360" w:lineRule="auto"/>
        <w:rPr>
          <w:rStyle w:val="47"/>
          <w:rFonts w:hint="eastAsia" w:ascii="宋体" w:hAnsi="宋体" w:eastAsia="宋体" w:cs="宋体"/>
          <w:color w:val="auto"/>
          <w:sz w:val="24"/>
          <w:highlight w:val="none"/>
          <w:u w:val="single" w:color="000000"/>
        </w:rPr>
      </w:pPr>
      <w:r>
        <w:rPr>
          <w:rStyle w:val="47"/>
          <w:rFonts w:hint="eastAsia" w:ascii="宋体" w:hAnsi="宋体" w:eastAsia="宋体" w:cs="宋体"/>
          <w:color w:val="auto"/>
          <w:sz w:val="24"/>
          <w:highlight w:val="none"/>
        </w:rPr>
        <w:t>法定代表人或其委托代理人：</w:t>
      </w:r>
      <w:r>
        <w:rPr>
          <w:rStyle w:val="47"/>
          <w:rFonts w:hint="eastAsia" w:ascii="宋体" w:hAnsi="宋体" w:eastAsia="宋体" w:cs="宋体"/>
          <w:color w:val="auto"/>
          <w:sz w:val="24"/>
          <w:highlight w:val="none"/>
          <w:u w:val="single" w:color="000000"/>
        </w:rPr>
        <w:t xml:space="preserve">    （签字或盖章） </w:t>
      </w:r>
    </w:p>
    <w:p w14:paraId="1549602C">
      <w:pPr>
        <w:numPr>
          <w:ilvl w:val="0"/>
          <w:numId w:val="1"/>
        </w:numPr>
        <w:tabs>
          <w:tab w:val="left" w:pos="7560"/>
        </w:tabs>
        <w:snapToGrid w:val="0"/>
        <w:spacing w:before="48" w:after="48" w:line="360" w:lineRule="auto"/>
        <w:rPr>
          <w:rStyle w:val="47"/>
          <w:rFonts w:hint="eastAsia" w:ascii="宋体" w:hAnsi="宋体" w:eastAsia="宋体" w:cs="宋体"/>
          <w:b/>
          <w:bCs/>
          <w:color w:val="auto"/>
          <w:sz w:val="28"/>
          <w:szCs w:val="28"/>
          <w:highlight w:val="none"/>
        </w:rPr>
      </w:pPr>
      <w:r>
        <w:rPr>
          <w:rStyle w:val="47"/>
          <w:rFonts w:hint="eastAsia" w:ascii="宋体" w:hAnsi="宋体" w:eastAsia="宋体" w:cs="宋体"/>
          <w:color w:val="auto"/>
          <w:sz w:val="24"/>
          <w:highlight w:val="none"/>
        </w:rPr>
        <w:t>日</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期：</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年</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月</w:t>
      </w:r>
      <w:r>
        <w:rPr>
          <w:rStyle w:val="47"/>
          <w:rFonts w:hint="eastAsia" w:ascii="宋体" w:hAnsi="宋体" w:eastAsia="宋体" w:cs="宋体"/>
          <w:color w:val="auto"/>
          <w:sz w:val="24"/>
          <w:highlight w:val="none"/>
          <w:lang w:val="en-US"/>
        </w:rPr>
        <w:t xml:space="preserve">  </w:t>
      </w:r>
      <w:r>
        <w:rPr>
          <w:rStyle w:val="47"/>
          <w:rFonts w:hint="eastAsia" w:ascii="宋体" w:hAnsi="宋体" w:eastAsia="宋体" w:cs="宋体"/>
          <w:color w:val="auto"/>
          <w:sz w:val="24"/>
          <w:highlight w:val="none"/>
        </w:rPr>
        <w:t>日</w:t>
      </w:r>
    </w:p>
    <w:p w14:paraId="5D453111">
      <w:pPr>
        <w:pStyle w:val="101"/>
        <w:snapToGrid w:val="0"/>
        <w:spacing w:line="360" w:lineRule="auto"/>
        <w:jc w:val="left"/>
        <w:rPr>
          <w:rStyle w:val="47"/>
          <w:rFonts w:hint="eastAsia" w:ascii="宋体" w:hAnsi="宋体" w:eastAsia="宋体" w:cs="宋体"/>
          <w:b/>
          <w:color w:val="auto"/>
          <w:sz w:val="24"/>
          <w:highlight w:val="none"/>
        </w:rPr>
      </w:pPr>
    </w:p>
    <w:p w14:paraId="49E3C990">
      <w:pPr>
        <w:pStyle w:val="101"/>
        <w:snapToGrid w:val="0"/>
        <w:spacing w:line="360" w:lineRule="auto"/>
        <w:jc w:val="left"/>
        <w:rPr>
          <w:rStyle w:val="47"/>
          <w:rFonts w:hint="eastAsia" w:ascii="宋体" w:hAnsi="宋体" w:eastAsia="宋体" w:cs="宋体"/>
          <w:b/>
          <w:color w:val="auto"/>
          <w:sz w:val="24"/>
          <w:highlight w:val="none"/>
        </w:rPr>
      </w:pPr>
    </w:p>
    <w:p w14:paraId="2EB5CEE7">
      <w:pPr>
        <w:snapToGrid w:val="0"/>
        <w:spacing w:before="48" w:after="48" w:line="360" w:lineRule="auto"/>
        <w:rPr>
          <w:rStyle w:val="47"/>
          <w:rFonts w:hint="eastAsia" w:ascii="宋体" w:hAnsi="宋体" w:eastAsia="宋体" w:cs="宋体"/>
          <w:b/>
          <w:color w:val="auto"/>
          <w:sz w:val="28"/>
          <w:szCs w:val="28"/>
          <w:highlight w:val="none"/>
        </w:rPr>
      </w:pPr>
    </w:p>
    <w:tbl>
      <w:tblPr>
        <w:tblStyle w:val="27"/>
        <w:tblW w:w="10373" w:type="dxa"/>
        <w:jc w:val="center"/>
        <w:tblLayout w:type="fixed"/>
        <w:tblCellMar>
          <w:top w:w="0" w:type="dxa"/>
          <w:left w:w="0" w:type="dxa"/>
          <w:bottom w:w="0" w:type="dxa"/>
          <w:right w:w="0" w:type="dxa"/>
        </w:tblCellMar>
      </w:tblPr>
      <w:tblGrid>
        <w:gridCol w:w="903"/>
        <w:gridCol w:w="114"/>
        <w:gridCol w:w="1576"/>
        <w:gridCol w:w="115"/>
        <w:gridCol w:w="115"/>
        <w:gridCol w:w="229"/>
        <w:gridCol w:w="100"/>
        <w:gridCol w:w="1132"/>
        <w:gridCol w:w="3052"/>
        <w:gridCol w:w="1920"/>
        <w:gridCol w:w="115"/>
        <w:gridCol w:w="1002"/>
      </w:tblGrid>
      <w:tr w14:paraId="438BC000">
        <w:tblPrEx>
          <w:tblCellMar>
            <w:top w:w="0" w:type="dxa"/>
            <w:left w:w="0" w:type="dxa"/>
            <w:bottom w:w="0" w:type="dxa"/>
            <w:right w:w="0" w:type="dxa"/>
          </w:tblCellMar>
        </w:tblPrEx>
        <w:trPr>
          <w:trHeight w:val="1017" w:hRule="exact"/>
          <w:jc w:val="center"/>
        </w:trPr>
        <w:tc>
          <w:tcPr>
            <w:tcW w:w="10373" w:type="dxa"/>
            <w:gridSpan w:val="12"/>
            <w:vAlign w:val="center"/>
          </w:tcPr>
          <w:p w14:paraId="1B36BD92">
            <w:pPr>
              <w:snapToGrid w:val="0"/>
              <w:spacing w:line="232" w:lineRule="auto"/>
              <w:jc w:val="center"/>
              <w:rPr>
                <w:rStyle w:val="47"/>
                <w:rFonts w:hint="eastAsia" w:ascii="宋体" w:hAnsi="宋体" w:eastAsia="宋体" w:cs="宋体"/>
                <w:b/>
                <w:color w:val="auto"/>
                <w:spacing w:val="-2"/>
                <w:sz w:val="42"/>
                <w:highlight w:val="none"/>
              </w:rPr>
            </w:pPr>
            <w:r>
              <w:rPr>
                <w:rStyle w:val="47"/>
                <w:rFonts w:hint="eastAsia" w:ascii="宋体" w:hAnsi="宋体" w:eastAsia="宋体" w:cs="宋体"/>
                <w:b/>
                <w:color w:val="auto"/>
                <w:spacing w:val="-2"/>
                <w:sz w:val="42"/>
                <w:highlight w:val="none"/>
              </w:rPr>
              <w:t>投标总价</w:t>
            </w:r>
          </w:p>
        </w:tc>
      </w:tr>
      <w:tr w14:paraId="79C7F987">
        <w:tblPrEx>
          <w:tblCellMar>
            <w:top w:w="0" w:type="dxa"/>
            <w:left w:w="0" w:type="dxa"/>
            <w:bottom w:w="0" w:type="dxa"/>
            <w:right w:w="0" w:type="dxa"/>
          </w:tblCellMar>
        </w:tblPrEx>
        <w:trPr>
          <w:trHeight w:val="574" w:hRule="exact"/>
          <w:jc w:val="center"/>
        </w:trPr>
        <w:tc>
          <w:tcPr>
            <w:tcW w:w="10373" w:type="dxa"/>
            <w:gridSpan w:val="12"/>
          </w:tcPr>
          <w:p w14:paraId="4018707A">
            <w:pPr>
              <w:snapToGrid w:val="0"/>
              <w:rPr>
                <w:rStyle w:val="47"/>
                <w:rFonts w:hint="eastAsia" w:ascii="宋体" w:hAnsi="宋体" w:eastAsia="宋体" w:cs="宋体"/>
                <w:color w:val="auto"/>
                <w:highlight w:val="none"/>
              </w:rPr>
            </w:pPr>
          </w:p>
        </w:tc>
      </w:tr>
      <w:tr w14:paraId="037B2D95">
        <w:tblPrEx>
          <w:tblCellMar>
            <w:top w:w="0" w:type="dxa"/>
            <w:left w:w="0" w:type="dxa"/>
            <w:bottom w:w="0" w:type="dxa"/>
            <w:right w:w="0" w:type="dxa"/>
          </w:tblCellMar>
        </w:tblPrEx>
        <w:trPr>
          <w:trHeight w:val="1002" w:hRule="exact"/>
          <w:jc w:val="center"/>
        </w:trPr>
        <w:tc>
          <w:tcPr>
            <w:tcW w:w="903" w:type="dxa"/>
          </w:tcPr>
          <w:p w14:paraId="4DB98C1D">
            <w:pPr>
              <w:snapToGrid w:val="0"/>
              <w:rPr>
                <w:rStyle w:val="47"/>
                <w:rFonts w:hint="eastAsia" w:ascii="宋体" w:hAnsi="宋体" w:eastAsia="宋体" w:cs="宋体"/>
                <w:color w:val="auto"/>
                <w:highlight w:val="none"/>
              </w:rPr>
            </w:pPr>
          </w:p>
        </w:tc>
        <w:tc>
          <w:tcPr>
            <w:tcW w:w="1690" w:type="dxa"/>
            <w:gridSpan w:val="2"/>
            <w:vAlign w:val="bottom"/>
          </w:tcPr>
          <w:p w14:paraId="76B9BDCD">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招  标  人：</w:t>
            </w:r>
          </w:p>
        </w:tc>
        <w:tc>
          <w:tcPr>
            <w:tcW w:w="115" w:type="dxa"/>
          </w:tcPr>
          <w:p w14:paraId="51CE9A7C">
            <w:pPr>
              <w:snapToGrid w:val="0"/>
              <w:rPr>
                <w:rStyle w:val="47"/>
                <w:rFonts w:hint="eastAsia" w:ascii="宋体" w:hAnsi="宋体" w:eastAsia="宋体" w:cs="宋体"/>
                <w:color w:val="auto"/>
                <w:highlight w:val="none"/>
              </w:rPr>
            </w:pPr>
          </w:p>
        </w:tc>
        <w:tc>
          <w:tcPr>
            <w:tcW w:w="6663" w:type="dxa"/>
            <w:gridSpan w:val="7"/>
            <w:tcBorders>
              <w:bottom w:val="single" w:color="000000" w:sz="4" w:space="0"/>
            </w:tcBorders>
            <w:vAlign w:val="bottom"/>
          </w:tcPr>
          <w:p w14:paraId="68232B20">
            <w:pPr>
              <w:snapToGrid w:val="0"/>
              <w:spacing w:line="232" w:lineRule="auto"/>
              <w:jc w:val="center"/>
              <w:rPr>
                <w:rStyle w:val="47"/>
                <w:rFonts w:hint="eastAsia" w:ascii="宋体" w:hAnsi="宋体" w:eastAsia="宋体" w:cs="宋体"/>
                <w:color w:val="auto"/>
                <w:spacing w:val="-2"/>
                <w:sz w:val="24"/>
                <w:highlight w:val="none"/>
              </w:rPr>
            </w:pPr>
          </w:p>
        </w:tc>
        <w:tc>
          <w:tcPr>
            <w:tcW w:w="1002" w:type="dxa"/>
          </w:tcPr>
          <w:p w14:paraId="1E76A16D">
            <w:pPr>
              <w:snapToGrid w:val="0"/>
              <w:rPr>
                <w:rStyle w:val="47"/>
                <w:rFonts w:hint="eastAsia" w:ascii="宋体" w:hAnsi="宋体" w:eastAsia="宋体" w:cs="宋体"/>
                <w:color w:val="auto"/>
                <w:highlight w:val="none"/>
              </w:rPr>
            </w:pPr>
          </w:p>
        </w:tc>
      </w:tr>
      <w:tr w14:paraId="718E6E81">
        <w:tblPrEx>
          <w:tblCellMar>
            <w:top w:w="0" w:type="dxa"/>
            <w:left w:w="0" w:type="dxa"/>
            <w:bottom w:w="0" w:type="dxa"/>
            <w:right w:w="0" w:type="dxa"/>
          </w:tblCellMar>
        </w:tblPrEx>
        <w:trPr>
          <w:trHeight w:val="230" w:hRule="exact"/>
          <w:jc w:val="center"/>
        </w:trPr>
        <w:tc>
          <w:tcPr>
            <w:tcW w:w="2708" w:type="dxa"/>
            <w:gridSpan w:val="4"/>
          </w:tcPr>
          <w:p w14:paraId="4CAB0C54">
            <w:pPr>
              <w:snapToGrid w:val="0"/>
              <w:rPr>
                <w:rStyle w:val="47"/>
                <w:rFonts w:hint="eastAsia" w:ascii="宋体" w:hAnsi="宋体" w:eastAsia="宋体" w:cs="宋体"/>
                <w:color w:val="auto"/>
                <w:highlight w:val="none"/>
              </w:rPr>
            </w:pPr>
          </w:p>
        </w:tc>
        <w:tc>
          <w:tcPr>
            <w:tcW w:w="6663" w:type="dxa"/>
            <w:gridSpan w:val="7"/>
            <w:tcBorders>
              <w:top w:val="single" w:color="000000" w:sz="4" w:space="0"/>
            </w:tcBorders>
          </w:tcPr>
          <w:p w14:paraId="5832DB83">
            <w:pPr>
              <w:snapToGrid w:val="0"/>
              <w:rPr>
                <w:rStyle w:val="47"/>
                <w:rFonts w:hint="eastAsia" w:ascii="宋体" w:hAnsi="宋体" w:eastAsia="宋体" w:cs="宋体"/>
                <w:color w:val="auto"/>
                <w:highlight w:val="none"/>
              </w:rPr>
            </w:pPr>
          </w:p>
        </w:tc>
        <w:tc>
          <w:tcPr>
            <w:tcW w:w="1002" w:type="dxa"/>
          </w:tcPr>
          <w:p w14:paraId="6453AE93">
            <w:pPr>
              <w:snapToGrid w:val="0"/>
              <w:rPr>
                <w:rStyle w:val="47"/>
                <w:rFonts w:hint="eastAsia" w:ascii="宋体" w:hAnsi="宋体" w:eastAsia="宋体" w:cs="宋体"/>
                <w:color w:val="auto"/>
                <w:highlight w:val="none"/>
              </w:rPr>
            </w:pPr>
          </w:p>
        </w:tc>
      </w:tr>
      <w:tr w14:paraId="2DCB88CD">
        <w:tblPrEx>
          <w:tblCellMar>
            <w:top w:w="0" w:type="dxa"/>
            <w:left w:w="0" w:type="dxa"/>
            <w:bottom w:w="0" w:type="dxa"/>
            <w:right w:w="0" w:type="dxa"/>
          </w:tblCellMar>
        </w:tblPrEx>
        <w:trPr>
          <w:trHeight w:val="1017" w:hRule="exact"/>
          <w:jc w:val="center"/>
        </w:trPr>
        <w:tc>
          <w:tcPr>
            <w:tcW w:w="903" w:type="dxa"/>
          </w:tcPr>
          <w:p w14:paraId="46C9E574">
            <w:pPr>
              <w:snapToGrid w:val="0"/>
              <w:rPr>
                <w:rStyle w:val="47"/>
                <w:rFonts w:hint="eastAsia" w:ascii="宋体" w:hAnsi="宋体" w:eastAsia="宋体" w:cs="宋体"/>
                <w:color w:val="auto"/>
                <w:highlight w:val="none"/>
              </w:rPr>
            </w:pPr>
          </w:p>
        </w:tc>
        <w:tc>
          <w:tcPr>
            <w:tcW w:w="1690" w:type="dxa"/>
            <w:gridSpan w:val="2"/>
            <w:vAlign w:val="bottom"/>
          </w:tcPr>
          <w:p w14:paraId="1C9BF34E">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工 程 名 称：</w:t>
            </w:r>
          </w:p>
        </w:tc>
        <w:tc>
          <w:tcPr>
            <w:tcW w:w="115" w:type="dxa"/>
          </w:tcPr>
          <w:p w14:paraId="338797D1">
            <w:pPr>
              <w:snapToGrid w:val="0"/>
              <w:rPr>
                <w:rStyle w:val="47"/>
                <w:rFonts w:hint="eastAsia" w:ascii="宋体" w:hAnsi="宋体" w:eastAsia="宋体" w:cs="宋体"/>
                <w:color w:val="auto"/>
                <w:highlight w:val="none"/>
              </w:rPr>
            </w:pPr>
          </w:p>
        </w:tc>
        <w:tc>
          <w:tcPr>
            <w:tcW w:w="6663" w:type="dxa"/>
            <w:gridSpan w:val="7"/>
            <w:tcBorders>
              <w:bottom w:val="single" w:color="000000" w:sz="4" w:space="0"/>
            </w:tcBorders>
            <w:vAlign w:val="bottom"/>
          </w:tcPr>
          <w:p w14:paraId="76E17220">
            <w:pPr>
              <w:snapToGrid w:val="0"/>
              <w:spacing w:line="232" w:lineRule="auto"/>
              <w:jc w:val="center"/>
              <w:rPr>
                <w:rStyle w:val="47"/>
                <w:rFonts w:hint="eastAsia" w:ascii="宋体" w:hAnsi="宋体" w:eastAsia="宋体" w:cs="宋体"/>
                <w:color w:val="auto"/>
                <w:spacing w:val="-2"/>
                <w:sz w:val="24"/>
                <w:highlight w:val="none"/>
              </w:rPr>
            </w:pPr>
          </w:p>
        </w:tc>
        <w:tc>
          <w:tcPr>
            <w:tcW w:w="1002" w:type="dxa"/>
          </w:tcPr>
          <w:p w14:paraId="10DE027F">
            <w:pPr>
              <w:snapToGrid w:val="0"/>
              <w:rPr>
                <w:rStyle w:val="47"/>
                <w:rFonts w:hint="eastAsia" w:ascii="宋体" w:hAnsi="宋体" w:eastAsia="宋体" w:cs="宋体"/>
                <w:color w:val="auto"/>
                <w:highlight w:val="none"/>
              </w:rPr>
            </w:pPr>
          </w:p>
        </w:tc>
      </w:tr>
      <w:tr w14:paraId="0F5D6231">
        <w:tblPrEx>
          <w:tblCellMar>
            <w:top w:w="0" w:type="dxa"/>
            <w:left w:w="0" w:type="dxa"/>
            <w:bottom w:w="0" w:type="dxa"/>
            <w:right w:w="0" w:type="dxa"/>
          </w:tblCellMar>
        </w:tblPrEx>
        <w:trPr>
          <w:trHeight w:val="229" w:hRule="exact"/>
          <w:jc w:val="center"/>
        </w:trPr>
        <w:tc>
          <w:tcPr>
            <w:tcW w:w="2708" w:type="dxa"/>
            <w:gridSpan w:val="4"/>
          </w:tcPr>
          <w:p w14:paraId="6139CFEB">
            <w:pPr>
              <w:snapToGrid w:val="0"/>
              <w:rPr>
                <w:rStyle w:val="47"/>
                <w:rFonts w:hint="eastAsia" w:ascii="宋体" w:hAnsi="宋体" w:eastAsia="宋体" w:cs="宋体"/>
                <w:color w:val="auto"/>
                <w:highlight w:val="none"/>
              </w:rPr>
            </w:pPr>
          </w:p>
        </w:tc>
        <w:tc>
          <w:tcPr>
            <w:tcW w:w="6663" w:type="dxa"/>
            <w:gridSpan w:val="7"/>
            <w:tcBorders>
              <w:top w:val="single" w:color="000000" w:sz="4" w:space="0"/>
            </w:tcBorders>
          </w:tcPr>
          <w:p w14:paraId="7C880ACF">
            <w:pPr>
              <w:snapToGrid w:val="0"/>
              <w:rPr>
                <w:rStyle w:val="47"/>
                <w:rFonts w:hint="eastAsia" w:ascii="宋体" w:hAnsi="宋体" w:eastAsia="宋体" w:cs="宋体"/>
                <w:color w:val="auto"/>
                <w:highlight w:val="none"/>
              </w:rPr>
            </w:pPr>
          </w:p>
        </w:tc>
        <w:tc>
          <w:tcPr>
            <w:tcW w:w="1002" w:type="dxa"/>
          </w:tcPr>
          <w:p w14:paraId="55726FA5">
            <w:pPr>
              <w:snapToGrid w:val="0"/>
              <w:rPr>
                <w:rStyle w:val="47"/>
                <w:rFonts w:hint="eastAsia" w:ascii="宋体" w:hAnsi="宋体" w:eastAsia="宋体" w:cs="宋体"/>
                <w:color w:val="auto"/>
                <w:highlight w:val="none"/>
              </w:rPr>
            </w:pPr>
          </w:p>
        </w:tc>
      </w:tr>
      <w:tr w14:paraId="4706B106">
        <w:tblPrEx>
          <w:tblCellMar>
            <w:top w:w="0" w:type="dxa"/>
            <w:left w:w="0" w:type="dxa"/>
            <w:bottom w:w="0" w:type="dxa"/>
            <w:right w:w="0" w:type="dxa"/>
          </w:tblCellMar>
        </w:tblPrEx>
        <w:trPr>
          <w:trHeight w:val="444" w:hRule="exact"/>
          <w:jc w:val="center"/>
        </w:trPr>
        <w:tc>
          <w:tcPr>
            <w:tcW w:w="903" w:type="dxa"/>
          </w:tcPr>
          <w:p w14:paraId="02A38557">
            <w:pPr>
              <w:snapToGrid w:val="0"/>
              <w:rPr>
                <w:rStyle w:val="47"/>
                <w:rFonts w:hint="eastAsia" w:ascii="宋体" w:hAnsi="宋体" w:eastAsia="宋体" w:cs="宋体"/>
                <w:color w:val="auto"/>
                <w:highlight w:val="none"/>
              </w:rPr>
            </w:pPr>
          </w:p>
        </w:tc>
        <w:tc>
          <w:tcPr>
            <w:tcW w:w="2149" w:type="dxa"/>
            <w:gridSpan w:val="5"/>
            <w:vAlign w:val="bottom"/>
          </w:tcPr>
          <w:p w14:paraId="5E804705">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投标总价（小写）：</w:t>
            </w:r>
          </w:p>
        </w:tc>
        <w:tc>
          <w:tcPr>
            <w:tcW w:w="100" w:type="dxa"/>
          </w:tcPr>
          <w:p w14:paraId="4BA8CBD4">
            <w:pPr>
              <w:snapToGrid w:val="0"/>
              <w:rPr>
                <w:rStyle w:val="47"/>
                <w:rFonts w:hint="eastAsia" w:ascii="宋体" w:hAnsi="宋体" w:eastAsia="宋体" w:cs="宋体"/>
                <w:color w:val="auto"/>
                <w:highlight w:val="none"/>
              </w:rPr>
            </w:pPr>
          </w:p>
        </w:tc>
        <w:tc>
          <w:tcPr>
            <w:tcW w:w="6219" w:type="dxa"/>
            <w:gridSpan w:val="4"/>
            <w:tcBorders>
              <w:bottom w:val="single" w:color="000000" w:sz="4" w:space="0"/>
            </w:tcBorders>
            <w:vAlign w:val="center"/>
          </w:tcPr>
          <w:p w14:paraId="2B792049">
            <w:pPr>
              <w:snapToGrid w:val="0"/>
              <w:spacing w:line="232" w:lineRule="auto"/>
              <w:jc w:val="center"/>
              <w:rPr>
                <w:rStyle w:val="47"/>
                <w:rFonts w:hint="eastAsia" w:ascii="宋体" w:hAnsi="宋体" w:eastAsia="宋体" w:cs="宋体"/>
                <w:color w:val="auto"/>
                <w:spacing w:val="-2"/>
                <w:sz w:val="24"/>
                <w:highlight w:val="none"/>
              </w:rPr>
            </w:pPr>
          </w:p>
        </w:tc>
        <w:tc>
          <w:tcPr>
            <w:tcW w:w="1002" w:type="dxa"/>
          </w:tcPr>
          <w:p w14:paraId="176487D2">
            <w:pPr>
              <w:snapToGrid w:val="0"/>
              <w:rPr>
                <w:rStyle w:val="47"/>
                <w:rFonts w:hint="eastAsia" w:ascii="宋体" w:hAnsi="宋体" w:eastAsia="宋体" w:cs="宋体"/>
                <w:color w:val="auto"/>
                <w:highlight w:val="none"/>
              </w:rPr>
            </w:pPr>
          </w:p>
        </w:tc>
      </w:tr>
      <w:tr w14:paraId="3FF83E95">
        <w:tblPrEx>
          <w:tblCellMar>
            <w:top w:w="0" w:type="dxa"/>
            <w:left w:w="0" w:type="dxa"/>
            <w:bottom w:w="0" w:type="dxa"/>
            <w:right w:w="0" w:type="dxa"/>
          </w:tblCellMar>
        </w:tblPrEx>
        <w:trPr>
          <w:trHeight w:val="115" w:hRule="exact"/>
          <w:jc w:val="center"/>
        </w:trPr>
        <w:tc>
          <w:tcPr>
            <w:tcW w:w="3152" w:type="dxa"/>
            <w:gridSpan w:val="7"/>
          </w:tcPr>
          <w:p w14:paraId="19058033">
            <w:pPr>
              <w:snapToGrid w:val="0"/>
              <w:rPr>
                <w:rStyle w:val="47"/>
                <w:rFonts w:hint="eastAsia" w:ascii="宋体" w:hAnsi="宋体" w:eastAsia="宋体" w:cs="宋体"/>
                <w:color w:val="auto"/>
                <w:highlight w:val="none"/>
              </w:rPr>
            </w:pPr>
          </w:p>
        </w:tc>
        <w:tc>
          <w:tcPr>
            <w:tcW w:w="6219" w:type="dxa"/>
            <w:gridSpan w:val="4"/>
            <w:tcBorders>
              <w:top w:val="single" w:color="000000" w:sz="4" w:space="0"/>
            </w:tcBorders>
          </w:tcPr>
          <w:p w14:paraId="6D505CC3">
            <w:pPr>
              <w:snapToGrid w:val="0"/>
              <w:rPr>
                <w:rStyle w:val="47"/>
                <w:rFonts w:hint="eastAsia" w:ascii="宋体" w:hAnsi="宋体" w:eastAsia="宋体" w:cs="宋体"/>
                <w:color w:val="auto"/>
                <w:highlight w:val="none"/>
              </w:rPr>
            </w:pPr>
          </w:p>
        </w:tc>
        <w:tc>
          <w:tcPr>
            <w:tcW w:w="1002" w:type="dxa"/>
          </w:tcPr>
          <w:p w14:paraId="6DA32F13">
            <w:pPr>
              <w:snapToGrid w:val="0"/>
              <w:rPr>
                <w:rStyle w:val="47"/>
                <w:rFonts w:hint="eastAsia" w:ascii="宋体" w:hAnsi="宋体" w:eastAsia="宋体" w:cs="宋体"/>
                <w:color w:val="auto"/>
                <w:highlight w:val="none"/>
              </w:rPr>
            </w:pPr>
          </w:p>
        </w:tc>
      </w:tr>
      <w:tr w14:paraId="13B36969">
        <w:tblPrEx>
          <w:tblCellMar>
            <w:top w:w="0" w:type="dxa"/>
            <w:left w:w="0" w:type="dxa"/>
            <w:bottom w:w="0" w:type="dxa"/>
            <w:right w:w="0" w:type="dxa"/>
          </w:tblCellMar>
        </w:tblPrEx>
        <w:trPr>
          <w:trHeight w:val="459" w:hRule="exact"/>
          <w:jc w:val="center"/>
        </w:trPr>
        <w:tc>
          <w:tcPr>
            <w:tcW w:w="903" w:type="dxa"/>
          </w:tcPr>
          <w:p w14:paraId="55B453C3">
            <w:pPr>
              <w:snapToGrid w:val="0"/>
              <w:rPr>
                <w:rStyle w:val="47"/>
                <w:rFonts w:hint="eastAsia" w:ascii="宋体" w:hAnsi="宋体" w:eastAsia="宋体" w:cs="宋体"/>
                <w:color w:val="auto"/>
                <w:highlight w:val="none"/>
              </w:rPr>
            </w:pPr>
          </w:p>
        </w:tc>
        <w:tc>
          <w:tcPr>
            <w:tcW w:w="2149" w:type="dxa"/>
            <w:gridSpan w:val="5"/>
            <w:vAlign w:val="bottom"/>
          </w:tcPr>
          <w:p w14:paraId="4947AEB7">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 xml:space="preserve">        （大写）：</w:t>
            </w:r>
          </w:p>
        </w:tc>
        <w:tc>
          <w:tcPr>
            <w:tcW w:w="100" w:type="dxa"/>
          </w:tcPr>
          <w:p w14:paraId="29AFD842">
            <w:pPr>
              <w:snapToGrid w:val="0"/>
              <w:rPr>
                <w:rStyle w:val="47"/>
                <w:rFonts w:hint="eastAsia" w:ascii="宋体" w:hAnsi="宋体" w:eastAsia="宋体" w:cs="宋体"/>
                <w:color w:val="auto"/>
                <w:highlight w:val="none"/>
              </w:rPr>
            </w:pPr>
          </w:p>
        </w:tc>
        <w:tc>
          <w:tcPr>
            <w:tcW w:w="6219" w:type="dxa"/>
            <w:gridSpan w:val="4"/>
            <w:tcBorders>
              <w:bottom w:val="single" w:color="000000" w:sz="4" w:space="0"/>
            </w:tcBorders>
            <w:vAlign w:val="center"/>
          </w:tcPr>
          <w:p w14:paraId="1F3E0ED6">
            <w:pPr>
              <w:snapToGrid w:val="0"/>
              <w:spacing w:line="232" w:lineRule="auto"/>
              <w:jc w:val="center"/>
              <w:rPr>
                <w:rStyle w:val="47"/>
                <w:rFonts w:hint="eastAsia" w:ascii="宋体" w:hAnsi="宋体" w:eastAsia="宋体" w:cs="宋体"/>
                <w:color w:val="auto"/>
                <w:spacing w:val="-2"/>
                <w:sz w:val="24"/>
                <w:highlight w:val="none"/>
              </w:rPr>
            </w:pPr>
          </w:p>
        </w:tc>
        <w:tc>
          <w:tcPr>
            <w:tcW w:w="1002" w:type="dxa"/>
          </w:tcPr>
          <w:p w14:paraId="669A1D1C">
            <w:pPr>
              <w:snapToGrid w:val="0"/>
              <w:rPr>
                <w:rStyle w:val="47"/>
                <w:rFonts w:hint="eastAsia" w:ascii="宋体" w:hAnsi="宋体" w:eastAsia="宋体" w:cs="宋体"/>
                <w:color w:val="auto"/>
                <w:highlight w:val="none"/>
              </w:rPr>
            </w:pPr>
          </w:p>
        </w:tc>
      </w:tr>
      <w:tr w14:paraId="5B490C03">
        <w:tblPrEx>
          <w:tblCellMar>
            <w:top w:w="0" w:type="dxa"/>
            <w:left w:w="0" w:type="dxa"/>
            <w:bottom w:w="0" w:type="dxa"/>
            <w:right w:w="0" w:type="dxa"/>
          </w:tblCellMar>
        </w:tblPrEx>
        <w:trPr>
          <w:trHeight w:val="214" w:hRule="exact"/>
          <w:jc w:val="center"/>
        </w:trPr>
        <w:tc>
          <w:tcPr>
            <w:tcW w:w="3152" w:type="dxa"/>
            <w:gridSpan w:val="7"/>
          </w:tcPr>
          <w:p w14:paraId="2379E06A">
            <w:pPr>
              <w:snapToGrid w:val="0"/>
              <w:rPr>
                <w:rStyle w:val="47"/>
                <w:rFonts w:hint="eastAsia" w:ascii="宋体" w:hAnsi="宋体" w:eastAsia="宋体" w:cs="宋体"/>
                <w:color w:val="auto"/>
                <w:highlight w:val="none"/>
              </w:rPr>
            </w:pPr>
          </w:p>
        </w:tc>
        <w:tc>
          <w:tcPr>
            <w:tcW w:w="6219" w:type="dxa"/>
            <w:gridSpan w:val="4"/>
            <w:tcBorders>
              <w:top w:val="single" w:color="000000" w:sz="4" w:space="0"/>
            </w:tcBorders>
          </w:tcPr>
          <w:p w14:paraId="3290B59B">
            <w:pPr>
              <w:snapToGrid w:val="0"/>
              <w:rPr>
                <w:rStyle w:val="47"/>
                <w:rFonts w:hint="eastAsia" w:ascii="宋体" w:hAnsi="宋体" w:eastAsia="宋体" w:cs="宋体"/>
                <w:color w:val="auto"/>
                <w:highlight w:val="none"/>
              </w:rPr>
            </w:pPr>
          </w:p>
        </w:tc>
        <w:tc>
          <w:tcPr>
            <w:tcW w:w="1002" w:type="dxa"/>
          </w:tcPr>
          <w:p w14:paraId="33AED132">
            <w:pPr>
              <w:snapToGrid w:val="0"/>
              <w:rPr>
                <w:rStyle w:val="47"/>
                <w:rFonts w:hint="eastAsia" w:ascii="宋体" w:hAnsi="宋体" w:eastAsia="宋体" w:cs="宋体"/>
                <w:color w:val="auto"/>
                <w:highlight w:val="none"/>
              </w:rPr>
            </w:pPr>
          </w:p>
        </w:tc>
      </w:tr>
      <w:tr w14:paraId="7E8FDAB9">
        <w:tblPrEx>
          <w:tblCellMar>
            <w:top w:w="0" w:type="dxa"/>
            <w:left w:w="0" w:type="dxa"/>
            <w:bottom w:w="0" w:type="dxa"/>
            <w:right w:w="0" w:type="dxa"/>
          </w:tblCellMar>
        </w:tblPrEx>
        <w:trPr>
          <w:trHeight w:val="1018" w:hRule="exact"/>
          <w:jc w:val="center"/>
        </w:trPr>
        <w:tc>
          <w:tcPr>
            <w:tcW w:w="903" w:type="dxa"/>
          </w:tcPr>
          <w:p w14:paraId="6FA547BB">
            <w:pPr>
              <w:snapToGrid w:val="0"/>
              <w:rPr>
                <w:rStyle w:val="47"/>
                <w:rFonts w:hint="eastAsia" w:ascii="宋体" w:hAnsi="宋体" w:eastAsia="宋体" w:cs="宋体"/>
                <w:color w:val="auto"/>
                <w:highlight w:val="none"/>
              </w:rPr>
            </w:pPr>
          </w:p>
        </w:tc>
        <w:tc>
          <w:tcPr>
            <w:tcW w:w="1690" w:type="dxa"/>
            <w:gridSpan w:val="2"/>
            <w:vAlign w:val="bottom"/>
          </w:tcPr>
          <w:p w14:paraId="7EAFD8ED">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投  标  人：</w:t>
            </w:r>
          </w:p>
        </w:tc>
        <w:tc>
          <w:tcPr>
            <w:tcW w:w="115" w:type="dxa"/>
          </w:tcPr>
          <w:p w14:paraId="09797124">
            <w:pPr>
              <w:snapToGrid w:val="0"/>
              <w:rPr>
                <w:rStyle w:val="47"/>
                <w:rFonts w:hint="eastAsia" w:ascii="宋体" w:hAnsi="宋体" w:eastAsia="宋体" w:cs="宋体"/>
                <w:color w:val="auto"/>
                <w:highlight w:val="none"/>
              </w:rPr>
            </w:pPr>
          </w:p>
        </w:tc>
        <w:tc>
          <w:tcPr>
            <w:tcW w:w="6663" w:type="dxa"/>
            <w:gridSpan w:val="7"/>
            <w:tcBorders>
              <w:bottom w:val="single" w:color="000000" w:sz="4" w:space="0"/>
            </w:tcBorders>
            <w:vAlign w:val="bottom"/>
          </w:tcPr>
          <w:p w14:paraId="33F36E28">
            <w:pPr>
              <w:snapToGrid w:val="0"/>
              <w:spacing w:line="232" w:lineRule="auto"/>
              <w:jc w:val="center"/>
              <w:rPr>
                <w:rStyle w:val="47"/>
                <w:rFonts w:hint="eastAsia" w:ascii="宋体" w:hAnsi="宋体" w:eastAsia="宋体" w:cs="宋体"/>
                <w:color w:val="auto"/>
                <w:spacing w:val="-2"/>
                <w:sz w:val="24"/>
                <w:highlight w:val="none"/>
              </w:rPr>
            </w:pPr>
          </w:p>
        </w:tc>
        <w:tc>
          <w:tcPr>
            <w:tcW w:w="1002" w:type="dxa"/>
          </w:tcPr>
          <w:p w14:paraId="2C4A2478">
            <w:pPr>
              <w:snapToGrid w:val="0"/>
              <w:rPr>
                <w:rStyle w:val="47"/>
                <w:rFonts w:hint="eastAsia" w:ascii="宋体" w:hAnsi="宋体" w:eastAsia="宋体" w:cs="宋体"/>
                <w:color w:val="auto"/>
                <w:highlight w:val="none"/>
              </w:rPr>
            </w:pPr>
          </w:p>
        </w:tc>
      </w:tr>
      <w:tr w14:paraId="12076F03">
        <w:tblPrEx>
          <w:tblCellMar>
            <w:top w:w="0" w:type="dxa"/>
            <w:left w:w="0" w:type="dxa"/>
            <w:bottom w:w="0" w:type="dxa"/>
            <w:right w:w="0" w:type="dxa"/>
          </w:tblCellMar>
        </w:tblPrEx>
        <w:trPr>
          <w:trHeight w:val="458" w:hRule="exact"/>
          <w:jc w:val="center"/>
        </w:trPr>
        <w:tc>
          <w:tcPr>
            <w:tcW w:w="2708" w:type="dxa"/>
            <w:gridSpan w:val="4"/>
          </w:tcPr>
          <w:p w14:paraId="0EBD6B7F">
            <w:pPr>
              <w:snapToGrid w:val="0"/>
              <w:rPr>
                <w:rStyle w:val="47"/>
                <w:rFonts w:hint="eastAsia" w:ascii="宋体" w:hAnsi="宋体" w:eastAsia="宋体" w:cs="宋体"/>
                <w:color w:val="auto"/>
                <w:highlight w:val="none"/>
              </w:rPr>
            </w:pPr>
          </w:p>
        </w:tc>
        <w:tc>
          <w:tcPr>
            <w:tcW w:w="1576" w:type="dxa"/>
            <w:gridSpan w:val="4"/>
            <w:tcBorders>
              <w:top w:val="single" w:color="000000" w:sz="4" w:space="0"/>
            </w:tcBorders>
          </w:tcPr>
          <w:p w14:paraId="7B0E4977">
            <w:pPr>
              <w:snapToGrid w:val="0"/>
              <w:rPr>
                <w:rStyle w:val="47"/>
                <w:rFonts w:hint="eastAsia" w:ascii="宋体" w:hAnsi="宋体" w:eastAsia="宋体" w:cs="宋体"/>
                <w:color w:val="auto"/>
                <w:highlight w:val="none"/>
              </w:rPr>
            </w:pPr>
          </w:p>
        </w:tc>
        <w:tc>
          <w:tcPr>
            <w:tcW w:w="3052" w:type="dxa"/>
            <w:tcBorders>
              <w:top w:val="single" w:color="000000" w:sz="4" w:space="0"/>
            </w:tcBorders>
            <w:vAlign w:val="center"/>
          </w:tcPr>
          <w:p w14:paraId="433BEFFF">
            <w:pPr>
              <w:snapToGrid w:val="0"/>
              <w:spacing w:line="232" w:lineRule="auto"/>
              <w:jc w:val="center"/>
              <w:rPr>
                <w:rStyle w:val="47"/>
                <w:rFonts w:hint="eastAsia" w:ascii="宋体" w:hAnsi="宋体" w:eastAsia="宋体" w:cs="宋体"/>
                <w:color w:val="auto"/>
                <w:spacing w:val="-2"/>
                <w:sz w:val="20"/>
                <w:highlight w:val="none"/>
              </w:rPr>
            </w:pPr>
            <w:r>
              <w:rPr>
                <w:rStyle w:val="47"/>
                <w:rFonts w:hint="eastAsia" w:ascii="宋体" w:hAnsi="宋体" w:eastAsia="宋体" w:cs="宋体"/>
                <w:color w:val="auto"/>
                <w:spacing w:val="-2"/>
                <w:sz w:val="20"/>
                <w:highlight w:val="none"/>
              </w:rPr>
              <w:t>（单位盖章）</w:t>
            </w:r>
          </w:p>
        </w:tc>
        <w:tc>
          <w:tcPr>
            <w:tcW w:w="2035" w:type="dxa"/>
            <w:gridSpan w:val="2"/>
            <w:tcBorders>
              <w:top w:val="single" w:color="000000" w:sz="4" w:space="0"/>
            </w:tcBorders>
          </w:tcPr>
          <w:p w14:paraId="321693D6">
            <w:pPr>
              <w:snapToGrid w:val="0"/>
              <w:rPr>
                <w:rStyle w:val="47"/>
                <w:rFonts w:hint="eastAsia" w:ascii="宋体" w:hAnsi="宋体" w:eastAsia="宋体" w:cs="宋体"/>
                <w:color w:val="auto"/>
                <w:highlight w:val="none"/>
              </w:rPr>
            </w:pPr>
          </w:p>
        </w:tc>
        <w:tc>
          <w:tcPr>
            <w:tcW w:w="1002" w:type="dxa"/>
          </w:tcPr>
          <w:p w14:paraId="1D1BAE7C">
            <w:pPr>
              <w:snapToGrid w:val="0"/>
              <w:rPr>
                <w:rStyle w:val="47"/>
                <w:rFonts w:hint="eastAsia" w:ascii="宋体" w:hAnsi="宋体" w:eastAsia="宋体" w:cs="宋体"/>
                <w:color w:val="auto"/>
                <w:highlight w:val="none"/>
              </w:rPr>
            </w:pPr>
          </w:p>
        </w:tc>
      </w:tr>
      <w:tr w14:paraId="3FC3AB81">
        <w:tblPrEx>
          <w:tblCellMar>
            <w:top w:w="0" w:type="dxa"/>
            <w:left w:w="0" w:type="dxa"/>
            <w:bottom w:w="0" w:type="dxa"/>
            <w:right w:w="0" w:type="dxa"/>
          </w:tblCellMar>
        </w:tblPrEx>
        <w:trPr>
          <w:trHeight w:val="674" w:hRule="exact"/>
          <w:jc w:val="center"/>
        </w:trPr>
        <w:tc>
          <w:tcPr>
            <w:tcW w:w="10373" w:type="dxa"/>
            <w:gridSpan w:val="12"/>
          </w:tcPr>
          <w:p w14:paraId="0EAE2F6B">
            <w:pPr>
              <w:snapToGrid w:val="0"/>
              <w:rPr>
                <w:rStyle w:val="47"/>
                <w:rFonts w:hint="eastAsia" w:ascii="宋体" w:hAnsi="宋体" w:eastAsia="宋体" w:cs="宋体"/>
                <w:color w:val="auto"/>
                <w:highlight w:val="none"/>
              </w:rPr>
            </w:pPr>
          </w:p>
        </w:tc>
      </w:tr>
      <w:tr w14:paraId="2BC68878">
        <w:tblPrEx>
          <w:tblCellMar>
            <w:top w:w="0" w:type="dxa"/>
            <w:left w:w="0" w:type="dxa"/>
            <w:bottom w:w="0" w:type="dxa"/>
            <w:right w:w="0" w:type="dxa"/>
          </w:tblCellMar>
        </w:tblPrEx>
        <w:trPr>
          <w:trHeight w:val="1132" w:hRule="exact"/>
          <w:jc w:val="center"/>
        </w:trPr>
        <w:tc>
          <w:tcPr>
            <w:tcW w:w="1017" w:type="dxa"/>
            <w:gridSpan w:val="2"/>
          </w:tcPr>
          <w:p w14:paraId="7081FF2F">
            <w:pPr>
              <w:snapToGrid w:val="0"/>
              <w:rPr>
                <w:rStyle w:val="47"/>
                <w:rFonts w:hint="eastAsia" w:ascii="宋体" w:hAnsi="宋体" w:eastAsia="宋体" w:cs="宋体"/>
                <w:color w:val="auto"/>
                <w:highlight w:val="none"/>
              </w:rPr>
            </w:pPr>
          </w:p>
        </w:tc>
        <w:tc>
          <w:tcPr>
            <w:tcW w:w="1691" w:type="dxa"/>
            <w:gridSpan w:val="2"/>
            <w:vAlign w:val="bottom"/>
          </w:tcPr>
          <w:p w14:paraId="557ADBB8">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法定代表人</w:t>
            </w:r>
          </w:p>
          <w:p w14:paraId="3B37DC79">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或其授权人：</w:t>
            </w:r>
          </w:p>
        </w:tc>
        <w:tc>
          <w:tcPr>
            <w:tcW w:w="115" w:type="dxa"/>
          </w:tcPr>
          <w:p w14:paraId="665D4815">
            <w:pPr>
              <w:snapToGrid w:val="0"/>
              <w:rPr>
                <w:rStyle w:val="47"/>
                <w:rFonts w:hint="eastAsia" w:ascii="宋体" w:hAnsi="宋体" w:eastAsia="宋体" w:cs="宋体"/>
                <w:color w:val="auto"/>
                <w:highlight w:val="none"/>
              </w:rPr>
            </w:pPr>
          </w:p>
        </w:tc>
        <w:tc>
          <w:tcPr>
            <w:tcW w:w="6433" w:type="dxa"/>
            <w:gridSpan w:val="5"/>
            <w:tcBorders>
              <w:bottom w:val="single" w:color="000000" w:sz="4" w:space="0"/>
            </w:tcBorders>
            <w:vAlign w:val="bottom"/>
          </w:tcPr>
          <w:p w14:paraId="7290C489">
            <w:pPr>
              <w:snapToGrid w:val="0"/>
              <w:spacing w:line="232" w:lineRule="auto"/>
              <w:jc w:val="center"/>
              <w:rPr>
                <w:rStyle w:val="47"/>
                <w:rFonts w:hint="eastAsia" w:ascii="宋体" w:hAnsi="宋体" w:eastAsia="宋体" w:cs="宋体"/>
                <w:color w:val="auto"/>
                <w:spacing w:val="-2"/>
                <w:sz w:val="24"/>
                <w:highlight w:val="none"/>
              </w:rPr>
            </w:pPr>
          </w:p>
        </w:tc>
        <w:tc>
          <w:tcPr>
            <w:tcW w:w="1117" w:type="dxa"/>
            <w:gridSpan w:val="2"/>
          </w:tcPr>
          <w:p w14:paraId="2B2CB32C">
            <w:pPr>
              <w:snapToGrid w:val="0"/>
              <w:rPr>
                <w:rStyle w:val="47"/>
                <w:rFonts w:hint="eastAsia" w:ascii="宋体" w:hAnsi="宋体" w:eastAsia="宋体" w:cs="宋体"/>
                <w:color w:val="auto"/>
                <w:highlight w:val="none"/>
              </w:rPr>
            </w:pPr>
          </w:p>
        </w:tc>
      </w:tr>
      <w:tr w14:paraId="33AFAEC1">
        <w:tblPrEx>
          <w:tblCellMar>
            <w:top w:w="0" w:type="dxa"/>
            <w:left w:w="0" w:type="dxa"/>
            <w:bottom w:w="0" w:type="dxa"/>
            <w:right w:w="0" w:type="dxa"/>
          </w:tblCellMar>
        </w:tblPrEx>
        <w:trPr>
          <w:trHeight w:val="444" w:hRule="exact"/>
          <w:jc w:val="center"/>
        </w:trPr>
        <w:tc>
          <w:tcPr>
            <w:tcW w:w="2823" w:type="dxa"/>
            <w:gridSpan w:val="5"/>
          </w:tcPr>
          <w:p w14:paraId="55D6DDC2">
            <w:pPr>
              <w:snapToGrid w:val="0"/>
              <w:rPr>
                <w:rStyle w:val="47"/>
                <w:rFonts w:hint="eastAsia" w:ascii="宋体" w:hAnsi="宋体" w:eastAsia="宋体" w:cs="宋体"/>
                <w:color w:val="auto"/>
                <w:highlight w:val="none"/>
              </w:rPr>
            </w:pPr>
          </w:p>
        </w:tc>
        <w:tc>
          <w:tcPr>
            <w:tcW w:w="1461" w:type="dxa"/>
            <w:gridSpan w:val="3"/>
            <w:tcBorders>
              <w:top w:val="single" w:color="000000" w:sz="4" w:space="0"/>
            </w:tcBorders>
          </w:tcPr>
          <w:p w14:paraId="77EC2EA1">
            <w:pPr>
              <w:snapToGrid w:val="0"/>
              <w:rPr>
                <w:rStyle w:val="47"/>
                <w:rFonts w:hint="eastAsia" w:ascii="宋体" w:hAnsi="宋体" w:eastAsia="宋体" w:cs="宋体"/>
                <w:color w:val="auto"/>
                <w:highlight w:val="none"/>
              </w:rPr>
            </w:pPr>
          </w:p>
        </w:tc>
        <w:tc>
          <w:tcPr>
            <w:tcW w:w="3052" w:type="dxa"/>
            <w:tcBorders>
              <w:top w:val="single" w:color="000000" w:sz="4" w:space="0"/>
            </w:tcBorders>
            <w:vAlign w:val="center"/>
          </w:tcPr>
          <w:p w14:paraId="79AA4BAE">
            <w:pPr>
              <w:snapToGrid w:val="0"/>
              <w:spacing w:line="232" w:lineRule="auto"/>
              <w:jc w:val="center"/>
              <w:rPr>
                <w:rStyle w:val="47"/>
                <w:rFonts w:hint="eastAsia" w:ascii="宋体" w:hAnsi="宋体" w:eastAsia="宋体" w:cs="宋体"/>
                <w:color w:val="auto"/>
                <w:spacing w:val="-2"/>
                <w:sz w:val="20"/>
                <w:highlight w:val="none"/>
              </w:rPr>
            </w:pPr>
            <w:r>
              <w:rPr>
                <w:rStyle w:val="47"/>
                <w:rFonts w:hint="eastAsia" w:ascii="宋体" w:hAnsi="宋体" w:eastAsia="宋体" w:cs="宋体"/>
                <w:color w:val="auto"/>
                <w:spacing w:val="-2"/>
                <w:sz w:val="20"/>
                <w:highlight w:val="none"/>
              </w:rPr>
              <w:t>（签字或盖章）</w:t>
            </w:r>
          </w:p>
        </w:tc>
        <w:tc>
          <w:tcPr>
            <w:tcW w:w="1920" w:type="dxa"/>
            <w:tcBorders>
              <w:top w:val="single" w:color="000000" w:sz="4" w:space="0"/>
            </w:tcBorders>
          </w:tcPr>
          <w:p w14:paraId="51EB8AAE">
            <w:pPr>
              <w:snapToGrid w:val="0"/>
              <w:rPr>
                <w:rStyle w:val="47"/>
                <w:rFonts w:hint="eastAsia" w:ascii="宋体" w:hAnsi="宋体" w:eastAsia="宋体" w:cs="宋体"/>
                <w:color w:val="auto"/>
                <w:highlight w:val="none"/>
              </w:rPr>
            </w:pPr>
          </w:p>
        </w:tc>
        <w:tc>
          <w:tcPr>
            <w:tcW w:w="1117" w:type="dxa"/>
            <w:gridSpan w:val="2"/>
          </w:tcPr>
          <w:p w14:paraId="78219858">
            <w:pPr>
              <w:snapToGrid w:val="0"/>
              <w:rPr>
                <w:rStyle w:val="47"/>
                <w:rFonts w:hint="eastAsia" w:ascii="宋体" w:hAnsi="宋体" w:eastAsia="宋体" w:cs="宋体"/>
                <w:color w:val="auto"/>
                <w:highlight w:val="none"/>
              </w:rPr>
            </w:pPr>
          </w:p>
        </w:tc>
      </w:tr>
      <w:tr w14:paraId="374C5341">
        <w:tblPrEx>
          <w:tblCellMar>
            <w:top w:w="0" w:type="dxa"/>
            <w:left w:w="0" w:type="dxa"/>
            <w:bottom w:w="0" w:type="dxa"/>
            <w:right w:w="0" w:type="dxa"/>
          </w:tblCellMar>
        </w:tblPrEx>
        <w:trPr>
          <w:trHeight w:val="573" w:hRule="exact"/>
          <w:jc w:val="center"/>
        </w:trPr>
        <w:tc>
          <w:tcPr>
            <w:tcW w:w="10373" w:type="dxa"/>
            <w:gridSpan w:val="12"/>
          </w:tcPr>
          <w:p w14:paraId="025C8779">
            <w:pPr>
              <w:snapToGrid w:val="0"/>
              <w:rPr>
                <w:rStyle w:val="47"/>
                <w:rFonts w:hint="eastAsia" w:ascii="宋体" w:hAnsi="宋体" w:eastAsia="宋体" w:cs="宋体"/>
                <w:color w:val="auto"/>
                <w:highlight w:val="none"/>
              </w:rPr>
            </w:pPr>
          </w:p>
        </w:tc>
      </w:tr>
      <w:tr w14:paraId="0B24F30A">
        <w:tblPrEx>
          <w:tblCellMar>
            <w:top w:w="0" w:type="dxa"/>
            <w:left w:w="0" w:type="dxa"/>
            <w:bottom w:w="0" w:type="dxa"/>
            <w:right w:w="0" w:type="dxa"/>
          </w:tblCellMar>
        </w:tblPrEx>
        <w:trPr>
          <w:trHeight w:val="673" w:hRule="exact"/>
          <w:jc w:val="center"/>
        </w:trPr>
        <w:tc>
          <w:tcPr>
            <w:tcW w:w="1017" w:type="dxa"/>
            <w:gridSpan w:val="2"/>
          </w:tcPr>
          <w:p w14:paraId="746399BB">
            <w:pPr>
              <w:snapToGrid w:val="0"/>
              <w:rPr>
                <w:rStyle w:val="47"/>
                <w:rFonts w:hint="eastAsia" w:ascii="宋体" w:hAnsi="宋体" w:eastAsia="宋体" w:cs="宋体"/>
                <w:color w:val="auto"/>
                <w:highlight w:val="none"/>
              </w:rPr>
            </w:pPr>
          </w:p>
        </w:tc>
        <w:tc>
          <w:tcPr>
            <w:tcW w:w="1691" w:type="dxa"/>
            <w:gridSpan w:val="2"/>
            <w:vAlign w:val="bottom"/>
          </w:tcPr>
          <w:p w14:paraId="6541510C">
            <w:pPr>
              <w:snapToGrid w:val="0"/>
              <w:spacing w:line="232" w:lineRule="auto"/>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编  制  人：</w:t>
            </w:r>
          </w:p>
        </w:tc>
        <w:tc>
          <w:tcPr>
            <w:tcW w:w="6548" w:type="dxa"/>
            <w:gridSpan w:val="6"/>
            <w:tcBorders>
              <w:bottom w:val="single" w:color="000000" w:sz="4" w:space="0"/>
            </w:tcBorders>
            <w:vAlign w:val="bottom"/>
          </w:tcPr>
          <w:p w14:paraId="33AD4A0B">
            <w:pPr>
              <w:snapToGrid w:val="0"/>
              <w:spacing w:line="232" w:lineRule="auto"/>
              <w:jc w:val="center"/>
              <w:rPr>
                <w:rStyle w:val="47"/>
                <w:rFonts w:hint="eastAsia" w:ascii="宋体" w:hAnsi="宋体" w:eastAsia="宋体" w:cs="宋体"/>
                <w:color w:val="auto"/>
                <w:spacing w:val="-2"/>
                <w:sz w:val="24"/>
                <w:highlight w:val="none"/>
              </w:rPr>
            </w:pPr>
          </w:p>
        </w:tc>
        <w:tc>
          <w:tcPr>
            <w:tcW w:w="1117" w:type="dxa"/>
            <w:gridSpan w:val="2"/>
          </w:tcPr>
          <w:p w14:paraId="0EE56D9F">
            <w:pPr>
              <w:snapToGrid w:val="0"/>
              <w:rPr>
                <w:rStyle w:val="47"/>
                <w:rFonts w:hint="eastAsia" w:ascii="宋体" w:hAnsi="宋体" w:eastAsia="宋体" w:cs="宋体"/>
                <w:color w:val="auto"/>
                <w:highlight w:val="none"/>
              </w:rPr>
            </w:pPr>
          </w:p>
        </w:tc>
      </w:tr>
      <w:tr w14:paraId="019BC165">
        <w:tblPrEx>
          <w:tblCellMar>
            <w:top w:w="0" w:type="dxa"/>
            <w:left w:w="0" w:type="dxa"/>
            <w:bottom w:w="0" w:type="dxa"/>
            <w:right w:w="0" w:type="dxa"/>
          </w:tblCellMar>
        </w:tblPrEx>
        <w:trPr>
          <w:trHeight w:val="444" w:hRule="exact"/>
          <w:jc w:val="center"/>
        </w:trPr>
        <w:tc>
          <w:tcPr>
            <w:tcW w:w="2708" w:type="dxa"/>
            <w:gridSpan w:val="4"/>
          </w:tcPr>
          <w:p w14:paraId="16275D5B">
            <w:pPr>
              <w:snapToGrid w:val="0"/>
              <w:rPr>
                <w:rStyle w:val="47"/>
                <w:rFonts w:hint="eastAsia" w:ascii="宋体" w:hAnsi="宋体" w:eastAsia="宋体" w:cs="宋体"/>
                <w:color w:val="auto"/>
                <w:highlight w:val="none"/>
              </w:rPr>
            </w:pPr>
          </w:p>
        </w:tc>
        <w:tc>
          <w:tcPr>
            <w:tcW w:w="1576" w:type="dxa"/>
            <w:gridSpan w:val="4"/>
            <w:tcBorders>
              <w:top w:val="single" w:color="000000" w:sz="4" w:space="0"/>
            </w:tcBorders>
          </w:tcPr>
          <w:p w14:paraId="74C4B4F6">
            <w:pPr>
              <w:snapToGrid w:val="0"/>
              <w:rPr>
                <w:rStyle w:val="47"/>
                <w:rFonts w:hint="eastAsia" w:ascii="宋体" w:hAnsi="宋体" w:eastAsia="宋体" w:cs="宋体"/>
                <w:color w:val="auto"/>
                <w:highlight w:val="none"/>
              </w:rPr>
            </w:pPr>
          </w:p>
        </w:tc>
        <w:tc>
          <w:tcPr>
            <w:tcW w:w="3052" w:type="dxa"/>
            <w:tcBorders>
              <w:top w:val="single" w:color="000000" w:sz="4" w:space="0"/>
            </w:tcBorders>
            <w:vAlign w:val="center"/>
          </w:tcPr>
          <w:p w14:paraId="4BAE2D50">
            <w:pPr>
              <w:snapToGrid w:val="0"/>
              <w:spacing w:line="232" w:lineRule="auto"/>
              <w:jc w:val="center"/>
              <w:rPr>
                <w:rStyle w:val="47"/>
                <w:rFonts w:hint="eastAsia" w:ascii="宋体" w:hAnsi="宋体" w:eastAsia="宋体" w:cs="宋体"/>
                <w:color w:val="auto"/>
                <w:spacing w:val="-2"/>
                <w:sz w:val="20"/>
                <w:highlight w:val="none"/>
              </w:rPr>
            </w:pPr>
          </w:p>
        </w:tc>
        <w:tc>
          <w:tcPr>
            <w:tcW w:w="1920" w:type="dxa"/>
            <w:tcBorders>
              <w:top w:val="single" w:color="000000" w:sz="4" w:space="0"/>
            </w:tcBorders>
          </w:tcPr>
          <w:p w14:paraId="4FBBCF25">
            <w:pPr>
              <w:snapToGrid w:val="0"/>
              <w:rPr>
                <w:rStyle w:val="47"/>
                <w:rFonts w:hint="eastAsia" w:ascii="宋体" w:hAnsi="宋体" w:eastAsia="宋体" w:cs="宋体"/>
                <w:color w:val="auto"/>
                <w:highlight w:val="none"/>
              </w:rPr>
            </w:pPr>
          </w:p>
        </w:tc>
        <w:tc>
          <w:tcPr>
            <w:tcW w:w="1117" w:type="dxa"/>
            <w:gridSpan w:val="2"/>
          </w:tcPr>
          <w:p w14:paraId="53CF7EAE">
            <w:pPr>
              <w:snapToGrid w:val="0"/>
              <w:rPr>
                <w:rStyle w:val="47"/>
                <w:rFonts w:hint="eastAsia" w:ascii="宋体" w:hAnsi="宋体" w:eastAsia="宋体" w:cs="宋体"/>
                <w:color w:val="auto"/>
                <w:highlight w:val="none"/>
              </w:rPr>
            </w:pPr>
          </w:p>
        </w:tc>
      </w:tr>
    </w:tbl>
    <w:p w14:paraId="6C2B2FF3">
      <w:pPr>
        <w:snapToGrid w:val="0"/>
        <w:spacing w:before="48" w:after="48" w:line="360" w:lineRule="auto"/>
        <w:rPr>
          <w:rStyle w:val="47"/>
          <w:rFonts w:hint="eastAsia" w:ascii="宋体" w:hAnsi="宋体" w:eastAsia="宋体" w:cs="宋体"/>
          <w:color w:val="auto"/>
          <w:sz w:val="24"/>
          <w:highlight w:val="none"/>
        </w:rPr>
      </w:pPr>
    </w:p>
    <w:p w14:paraId="7B3B6701">
      <w:pPr>
        <w:snapToGrid w:val="0"/>
        <w:spacing w:before="48" w:after="48" w:line="360" w:lineRule="auto"/>
        <w:ind w:firstLine="1062" w:firstLineChars="450"/>
        <w:rPr>
          <w:rStyle w:val="47"/>
          <w:rFonts w:hint="eastAsia" w:ascii="宋体" w:hAnsi="宋体" w:eastAsia="宋体" w:cs="宋体"/>
          <w:color w:val="auto"/>
          <w:spacing w:val="-2"/>
          <w:sz w:val="24"/>
          <w:highlight w:val="none"/>
          <w:u w:val="single" w:color="000000"/>
        </w:rPr>
      </w:pPr>
      <w:r>
        <w:rPr>
          <w:rStyle w:val="47"/>
          <w:rFonts w:hint="eastAsia" w:ascii="宋体" w:hAnsi="宋体" w:eastAsia="宋体" w:cs="宋体"/>
          <w:color w:val="auto"/>
          <w:spacing w:val="-2"/>
          <w:sz w:val="24"/>
          <w:highlight w:val="none"/>
        </w:rPr>
        <w:t xml:space="preserve">编 制 时 间： </w:t>
      </w:r>
    </w:p>
    <w:p w14:paraId="26EF7065">
      <w:pPr>
        <w:snapToGrid w:val="0"/>
        <w:spacing w:before="48" w:after="48" w:line="360" w:lineRule="auto"/>
        <w:rPr>
          <w:rStyle w:val="47"/>
          <w:rFonts w:hint="eastAsia" w:ascii="宋体" w:hAnsi="宋体" w:eastAsia="宋体" w:cs="宋体"/>
          <w:color w:val="auto"/>
          <w:sz w:val="24"/>
          <w:highlight w:val="none"/>
        </w:rPr>
      </w:pPr>
    </w:p>
    <w:p w14:paraId="7E062082">
      <w:pPr>
        <w:pStyle w:val="89"/>
        <w:snapToGrid w:val="0"/>
        <w:rPr>
          <w:rStyle w:val="47"/>
          <w:rFonts w:hint="eastAsia" w:ascii="宋体" w:hAnsi="宋体" w:eastAsia="宋体" w:cs="宋体"/>
          <w:color w:val="auto"/>
          <w:highlight w:val="none"/>
        </w:rPr>
      </w:pPr>
    </w:p>
    <w:p w14:paraId="5995DD37">
      <w:pPr>
        <w:snapToGrid w:val="0"/>
        <w:spacing w:line="371" w:lineRule="exact"/>
        <w:jc w:val="center"/>
        <w:rPr>
          <w:rStyle w:val="47"/>
          <w:rFonts w:hint="eastAsia" w:ascii="宋体" w:hAnsi="宋体" w:eastAsia="宋体" w:cs="宋体"/>
          <w:color w:val="auto"/>
          <w:spacing w:val="-2"/>
          <w:sz w:val="30"/>
          <w:szCs w:val="30"/>
          <w:highlight w:val="none"/>
        </w:rPr>
      </w:pPr>
      <w:r>
        <w:rPr>
          <w:rStyle w:val="47"/>
          <w:rFonts w:hint="eastAsia" w:ascii="宋体" w:hAnsi="宋体" w:eastAsia="宋体" w:cs="宋体"/>
          <w:color w:val="auto"/>
          <w:spacing w:val="-2"/>
          <w:sz w:val="30"/>
          <w:szCs w:val="30"/>
          <w:highlight w:val="none"/>
        </w:rPr>
        <w:t>投标报价说明</w:t>
      </w:r>
    </w:p>
    <w:p w14:paraId="7B5E700C">
      <w:pPr>
        <w:pStyle w:val="89"/>
        <w:snapToGrid w:val="0"/>
        <w:rPr>
          <w:rStyle w:val="47"/>
          <w:rFonts w:hint="eastAsia" w:ascii="宋体" w:hAnsi="宋体" w:eastAsia="宋体" w:cs="宋体"/>
          <w:color w:val="auto"/>
          <w:spacing w:val="-2"/>
          <w:sz w:val="24"/>
          <w:highlight w:val="none"/>
        </w:rPr>
      </w:pPr>
    </w:p>
    <w:p w14:paraId="6E80EF7F">
      <w:pPr>
        <w:keepNext w:val="0"/>
        <w:keepLines w:val="0"/>
        <w:pageBreakBefore w:val="0"/>
        <w:widowControl/>
        <w:kinsoku/>
        <w:wordWrap/>
        <w:overflowPunct/>
        <w:topLinePunct w:val="0"/>
        <w:autoSpaceDE/>
        <w:autoSpaceDN/>
        <w:bidi w:val="0"/>
        <w:adjustRightInd/>
        <w:snapToGrid w:val="0"/>
        <w:spacing w:before="1" w:line="360" w:lineRule="auto"/>
        <w:textAlignment w:val="baseline"/>
        <w:rPr>
          <w:rStyle w:val="47"/>
          <w:rFonts w:hint="eastAsia" w:ascii="宋体" w:hAnsi="宋体" w:eastAsia="宋体" w:cs="宋体"/>
          <w:b/>
          <w:bCs/>
          <w:color w:val="auto"/>
          <w:spacing w:val="-2"/>
          <w:sz w:val="24"/>
          <w:highlight w:val="none"/>
        </w:rPr>
      </w:pPr>
      <w:r>
        <w:rPr>
          <w:rStyle w:val="47"/>
          <w:rFonts w:hint="eastAsia" w:ascii="宋体" w:hAnsi="宋体" w:eastAsia="宋体" w:cs="宋体"/>
          <w:b/>
          <w:bCs/>
          <w:color w:val="auto"/>
          <w:spacing w:val="-2"/>
          <w:sz w:val="24"/>
          <w:highlight w:val="none"/>
        </w:rPr>
        <w:t>一、工程概况</w:t>
      </w:r>
    </w:p>
    <w:p w14:paraId="1E02F1D2">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工程地点：</w:t>
      </w:r>
      <w:r>
        <w:rPr>
          <w:rStyle w:val="47"/>
          <w:rFonts w:hint="eastAsia" w:ascii="宋体" w:hAnsi="宋体" w:cs="宋体"/>
          <w:color w:val="auto"/>
          <w:spacing w:val="-2"/>
          <w:sz w:val="24"/>
          <w:highlight w:val="none"/>
        </w:rPr>
        <w:t>铜陵国家农业科技园区</w:t>
      </w:r>
    </w:p>
    <w:p w14:paraId="23B47802">
      <w:pPr>
        <w:keepNext w:val="0"/>
        <w:keepLines w:val="0"/>
        <w:pageBreakBefore w:val="0"/>
        <w:widowControl/>
        <w:kinsoku/>
        <w:wordWrap/>
        <w:overflowPunct/>
        <w:topLinePunct w:val="0"/>
        <w:autoSpaceDE/>
        <w:autoSpaceDN/>
        <w:bidi w:val="0"/>
        <w:adjustRightInd/>
        <w:snapToGrid w:val="0"/>
        <w:spacing w:before="1" w:line="360" w:lineRule="auto"/>
        <w:textAlignment w:val="baseline"/>
        <w:rPr>
          <w:rStyle w:val="47"/>
          <w:rFonts w:hint="eastAsia" w:ascii="宋体" w:hAnsi="宋体" w:eastAsia="宋体" w:cs="宋体"/>
          <w:b/>
          <w:bCs/>
          <w:color w:val="auto"/>
          <w:spacing w:val="-2"/>
          <w:sz w:val="24"/>
          <w:highlight w:val="none"/>
        </w:rPr>
      </w:pPr>
      <w:r>
        <w:rPr>
          <w:rStyle w:val="47"/>
          <w:rFonts w:hint="eastAsia" w:ascii="宋体" w:hAnsi="宋体" w:cs="宋体"/>
          <w:color w:val="auto"/>
          <w:spacing w:val="-2"/>
          <w:sz w:val="24"/>
          <w:highlight w:val="none"/>
          <w:lang w:val="en-US"/>
        </w:rPr>
        <w:t xml:space="preserve"> </w:t>
      </w:r>
      <w:r>
        <w:rPr>
          <w:rStyle w:val="47"/>
          <w:rFonts w:hint="eastAsia" w:ascii="宋体" w:hAnsi="宋体" w:eastAsia="宋体" w:cs="宋体"/>
          <w:b/>
          <w:bCs/>
          <w:color w:val="auto"/>
          <w:spacing w:val="-2"/>
          <w:sz w:val="24"/>
          <w:highlight w:val="none"/>
        </w:rPr>
        <w:t>二、招标范围</w:t>
      </w:r>
    </w:p>
    <w:p w14:paraId="51EEFFE6">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本次招标的范围：详见招标文件、招标工程量清单等。</w:t>
      </w:r>
    </w:p>
    <w:p w14:paraId="62CDFA70">
      <w:pPr>
        <w:keepNext w:val="0"/>
        <w:keepLines w:val="0"/>
        <w:pageBreakBefore w:val="0"/>
        <w:widowControl/>
        <w:kinsoku/>
        <w:wordWrap/>
        <w:overflowPunct/>
        <w:topLinePunct w:val="0"/>
        <w:autoSpaceDE/>
        <w:autoSpaceDN/>
        <w:bidi w:val="0"/>
        <w:adjustRightInd/>
        <w:snapToGrid w:val="0"/>
        <w:spacing w:before="1" w:line="360" w:lineRule="auto"/>
        <w:textAlignment w:val="baseline"/>
        <w:rPr>
          <w:rStyle w:val="47"/>
          <w:rFonts w:hint="eastAsia" w:ascii="宋体" w:hAnsi="宋体" w:eastAsia="宋体" w:cs="宋体"/>
          <w:b/>
          <w:bCs/>
          <w:color w:val="auto"/>
          <w:spacing w:val="-2"/>
          <w:sz w:val="24"/>
          <w:highlight w:val="none"/>
        </w:rPr>
      </w:pPr>
      <w:r>
        <w:rPr>
          <w:rStyle w:val="47"/>
          <w:rFonts w:hint="eastAsia" w:ascii="宋体" w:hAnsi="宋体" w:eastAsia="宋体" w:cs="宋体"/>
          <w:b/>
          <w:bCs/>
          <w:color w:val="auto"/>
          <w:spacing w:val="-2"/>
          <w:sz w:val="24"/>
          <w:highlight w:val="none"/>
        </w:rPr>
        <w:t>三、编制依据</w:t>
      </w:r>
    </w:p>
    <w:p w14:paraId="45B8A3E5">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1、</w:t>
      </w:r>
      <w:r>
        <w:rPr>
          <w:rStyle w:val="47"/>
          <w:rFonts w:hint="eastAsia" w:ascii="宋体" w:hAnsi="宋体" w:cs="宋体"/>
          <w:color w:val="auto"/>
          <w:spacing w:val="-2"/>
          <w:sz w:val="24"/>
          <w:highlight w:val="none"/>
        </w:rPr>
        <w:t>铜陵国家农业科技园区流转土地清表翻耕项目</w:t>
      </w:r>
      <w:r>
        <w:rPr>
          <w:rStyle w:val="47"/>
          <w:rFonts w:hint="eastAsia" w:ascii="宋体" w:hAnsi="宋体" w:eastAsia="宋体" w:cs="宋体"/>
          <w:color w:val="auto"/>
          <w:spacing w:val="-2"/>
          <w:sz w:val="24"/>
          <w:highlight w:val="none"/>
        </w:rPr>
        <w:t>招标文件；</w:t>
      </w:r>
    </w:p>
    <w:p w14:paraId="49DABC51">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2、建设单位提供的图纸及工程量；</w:t>
      </w:r>
    </w:p>
    <w:p w14:paraId="55365995">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3、工程量清单计价编制是全费用综合单价。</w:t>
      </w:r>
    </w:p>
    <w:p w14:paraId="7AC6F0A6">
      <w:pPr>
        <w:keepNext w:val="0"/>
        <w:keepLines w:val="0"/>
        <w:pageBreakBefore w:val="0"/>
        <w:widowControl/>
        <w:kinsoku/>
        <w:wordWrap/>
        <w:overflowPunct/>
        <w:topLinePunct w:val="0"/>
        <w:autoSpaceDE/>
        <w:autoSpaceDN/>
        <w:bidi w:val="0"/>
        <w:adjustRightInd/>
        <w:snapToGrid w:val="0"/>
        <w:spacing w:before="1" w:line="360" w:lineRule="auto"/>
        <w:textAlignment w:val="baseline"/>
        <w:rPr>
          <w:rStyle w:val="47"/>
          <w:rFonts w:hint="eastAsia" w:ascii="宋体" w:hAnsi="宋体" w:eastAsia="宋体" w:cs="宋体"/>
          <w:b/>
          <w:bCs/>
          <w:color w:val="auto"/>
          <w:spacing w:val="-2"/>
          <w:sz w:val="24"/>
          <w:highlight w:val="none"/>
        </w:rPr>
      </w:pPr>
      <w:r>
        <w:rPr>
          <w:rStyle w:val="47"/>
          <w:rFonts w:hint="eastAsia" w:ascii="宋体" w:hAnsi="宋体" w:eastAsia="宋体" w:cs="宋体"/>
          <w:b/>
          <w:bCs/>
          <w:color w:val="auto"/>
          <w:spacing w:val="-2"/>
          <w:sz w:val="24"/>
          <w:highlight w:val="none"/>
        </w:rPr>
        <w:t>四、编制说明</w:t>
      </w:r>
    </w:p>
    <w:p w14:paraId="39EBB4B2">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1、工程量清单列出的每个子目已包括涉及与该细目有关的全部工程内容，投标人应将工程量清单与招标文件、合同通用条款、专用条款以及技术规范一起对照阅读。</w:t>
      </w:r>
    </w:p>
    <w:p w14:paraId="7587EE62">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2、除非合同另有规定，工程量清单中每一项单价均应已包括完成相应该项目的工程内容所需的所有人工、设备、材料和其他伴随服务所发生的所有费用。</w:t>
      </w:r>
    </w:p>
    <w:p w14:paraId="0B5B3722">
      <w:pPr>
        <w:keepNext w:val="0"/>
        <w:keepLines w:val="0"/>
        <w:pageBreakBefore w:val="0"/>
        <w:widowControl/>
        <w:kinsoku/>
        <w:wordWrap/>
        <w:overflowPunct/>
        <w:topLinePunct w:val="0"/>
        <w:autoSpaceDE/>
        <w:autoSpaceDN/>
        <w:bidi w:val="0"/>
        <w:adjustRightInd/>
        <w:snapToGrid w:val="0"/>
        <w:spacing w:before="1" w:line="360" w:lineRule="auto"/>
        <w:textAlignment w:val="baseline"/>
        <w:rPr>
          <w:rStyle w:val="47"/>
          <w:rFonts w:hint="eastAsia" w:ascii="宋体" w:hAnsi="宋体" w:eastAsia="宋体" w:cs="宋体"/>
          <w:b/>
          <w:bCs/>
          <w:color w:val="auto"/>
          <w:spacing w:val="-2"/>
          <w:sz w:val="24"/>
          <w:highlight w:val="none"/>
        </w:rPr>
      </w:pPr>
      <w:r>
        <w:rPr>
          <w:rStyle w:val="47"/>
          <w:rFonts w:hint="eastAsia" w:ascii="宋体" w:hAnsi="宋体" w:eastAsia="宋体" w:cs="宋体"/>
          <w:b/>
          <w:bCs/>
          <w:color w:val="auto"/>
          <w:spacing w:val="-2"/>
          <w:sz w:val="24"/>
          <w:highlight w:val="none"/>
        </w:rPr>
        <w:t>五、其它说明：</w:t>
      </w:r>
    </w:p>
    <w:p w14:paraId="68ED90B9">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1、本项目设置</w:t>
      </w:r>
      <w:r>
        <w:rPr>
          <w:rStyle w:val="47"/>
          <w:rFonts w:hint="eastAsia" w:ascii="宋体" w:hAnsi="宋体" w:cs="宋体"/>
          <w:color w:val="auto"/>
          <w:spacing w:val="-2"/>
          <w:sz w:val="24"/>
          <w:highlight w:val="none"/>
        </w:rPr>
        <w:t>暂列金额2.0万元整</w:t>
      </w:r>
      <w:r>
        <w:rPr>
          <w:rStyle w:val="47"/>
          <w:rFonts w:hint="eastAsia" w:ascii="宋体" w:hAnsi="宋体" w:eastAsia="宋体" w:cs="宋体"/>
          <w:color w:val="auto"/>
          <w:spacing w:val="-2"/>
          <w:sz w:val="24"/>
          <w:highlight w:val="none"/>
        </w:rPr>
        <w:t>（不计取税金）；</w:t>
      </w:r>
    </w:p>
    <w:p w14:paraId="2FC5F8A4">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2、金额（价格）均以人民币表示。</w:t>
      </w:r>
    </w:p>
    <w:p w14:paraId="6730046A">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3、投标人必须注意，投标时所报的综合单价须是包含完成清单分项工程的所有工作内容及所需采取相应技术措施、施工方案等费用的报价。</w:t>
      </w:r>
    </w:p>
    <w:p w14:paraId="0F37BC91">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4、投标人应填写工程量清单中所有工程细目的价格，凡技术规范和图纸中注明的工程内容，如在清单中未列项，均应视为包含在其他其它相关项目中。</w:t>
      </w:r>
    </w:p>
    <w:p w14:paraId="050439AF">
      <w:pPr>
        <w:keepNext w:val="0"/>
        <w:keepLines w:val="0"/>
        <w:pageBreakBefore w:val="0"/>
        <w:widowControl/>
        <w:kinsoku/>
        <w:wordWrap/>
        <w:overflowPunct/>
        <w:topLinePunct w:val="0"/>
        <w:autoSpaceDE/>
        <w:autoSpaceDN/>
        <w:bidi w:val="0"/>
        <w:adjustRightInd/>
        <w:snapToGrid w:val="0"/>
        <w:spacing w:before="1" w:line="360" w:lineRule="auto"/>
        <w:ind w:firstLine="472" w:firstLineChars="200"/>
        <w:textAlignment w:val="baseline"/>
        <w:rPr>
          <w:rStyle w:val="47"/>
          <w:rFonts w:hint="eastAsia" w:ascii="宋体" w:hAnsi="宋体" w:eastAsia="宋体" w:cs="宋体"/>
          <w:color w:val="auto"/>
          <w:spacing w:val="-2"/>
          <w:sz w:val="24"/>
          <w:highlight w:val="none"/>
        </w:rPr>
      </w:pPr>
      <w:r>
        <w:rPr>
          <w:rStyle w:val="47"/>
          <w:rFonts w:hint="eastAsia" w:ascii="宋体" w:hAnsi="宋体" w:eastAsia="宋体" w:cs="宋体"/>
          <w:color w:val="auto"/>
          <w:spacing w:val="-2"/>
          <w:sz w:val="24"/>
          <w:highlight w:val="none"/>
        </w:rPr>
        <w:t>5、投标人须认真阅读与项目有关的招标文件、设计图纸等，并通过现场勘查，考虑周边环境及施工期间可能出现的事宜，确定其各项可能产生的费用，均应包含在投标报价中，工程结算时不再调整该部分的费用。</w:t>
      </w:r>
    </w:p>
    <w:p w14:paraId="3994E304">
      <w:pPr>
        <w:pStyle w:val="89"/>
        <w:snapToGrid w:val="0"/>
        <w:spacing w:before="2"/>
        <w:rPr>
          <w:rStyle w:val="47"/>
          <w:rFonts w:hint="eastAsia" w:ascii="宋体" w:hAnsi="宋体" w:eastAsia="宋体" w:cs="宋体"/>
          <w:color w:val="auto"/>
          <w:spacing w:val="-2"/>
          <w:sz w:val="24"/>
          <w:highlight w:val="none"/>
        </w:rPr>
      </w:pPr>
    </w:p>
    <w:p w14:paraId="77DB6832">
      <w:pPr>
        <w:pStyle w:val="89"/>
        <w:snapToGrid w:val="0"/>
        <w:spacing w:before="2"/>
        <w:rPr>
          <w:rStyle w:val="47"/>
          <w:rFonts w:hint="eastAsia" w:ascii="宋体" w:hAnsi="宋体" w:eastAsia="宋体" w:cs="宋体"/>
          <w:color w:val="auto"/>
          <w:spacing w:val="-2"/>
          <w:sz w:val="24"/>
          <w:highlight w:val="none"/>
        </w:rPr>
      </w:pPr>
    </w:p>
    <w:p w14:paraId="77986F3E">
      <w:pPr>
        <w:pStyle w:val="89"/>
        <w:snapToGrid w:val="0"/>
        <w:spacing w:before="2"/>
        <w:rPr>
          <w:rStyle w:val="47"/>
          <w:rFonts w:hint="eastAsia" w:ascii="宋体" w:hAnsi="宋体" w:eastAsia="宋体" w:cs="宋体"/>
          <w:color w:val="auto"/>
          <w:spacing w:val="-2"/>
          <w:sz w:val="24"/>
          <w:highlight w:val="none"/>
        </w:rPr>
      </w:pPr>
    </w:p>
    <w:p w14:paraId="240426E4">
      <w:pPr>
        <w:pStyle w:val="89"/>
        <w:snapToGrid w:val="0"/>
        <w:spacing w:before="4"/>
        <w:jc w:val="center"/>
        <w:rPr>
          <w:rStyle w:val="47"/>
          <w:rFonts w:hint="eastAsia" w:ascii="宋体" w:hAnsi="宋体" w:eastAsia="宋体" w:cs="宋体"/>
          <w:color w:val="auto"/>
          <w:spacing w:val="-2"/>
          <w:sz w:val="24"/>
          <w:highlight w:val="none"/>
        </w:rPr>
      </w:pPr>
      <w:r>
        <w:rPr>
          <w:rStyle w:val="47"/>
          <w:rFonts w:hint="eastAsia" w:ascii="宋体" w:hAnsi="宋体" w:cs="宋体"/>
          <w:b/>
          <w:color w:val="auto"/>
          <w:spacing w:val="-2"/>
          <w:sz w:val="32"/>
          <w:highlight w:val="none"/>
        </w:rPr>
        <w:t>工程量清单计价表</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947"/>
        <w:gridCol w:w="4083"/>
        <w:gridCol w:w="536"/>
        <w:gridCol w:w="1086"/>
        <w:gridCol w:w="803"/>
        <w:gridCol w:w="656"/>
        <w:gridCol w:w="476"/>
      </w:tblGrid>
      <w:tr w14:paraId="1811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243" w:type="dxa"/>
            <w:gridSpan w:val="8"/>
            <w:tcBorders>
              <w:top w:val="nil"/>
              <w:left w:val="nil"/>
              <w:bottom w:val="nil"/>
              <w:right w:val="nil"/>
            </w:tcBorders>
            <w:shd w:val="clear" w:color="auto" w:fill="auto"/>
            <w:noWrap/>
            <w:vAlign w:val="center"/>
          </w:tcPr>
          <w:p w14:paraId="0EA9E5BB">
            <w:pPr>
              <w:keepNext w:val="0"/>
              <w:keepLines w:val="0"/>
              <w:widowControl/>
              <w:suppressLineNumbers w:val="0"/>
              <w:jc w:val="left"/>
              <w:textAlignment w:val="center"/>
              <w:rPr>
                <w:rFonts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工程名称:  铜陵国家农业科技园区流转土地清表翻耕项目</w:t>
            </w:r>
          </w:p>
        </w:tc>
      </w:tr>
      <w:tr w14:paraId="037B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82CB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27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631D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BDA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398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0BC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金 额(元)</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C6F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备注</w:t>
            </w:r>
          </w:p>
        </w:tc>
      </w:tr>
      <w:tr w14:paraId="30FE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20D9">
            <w:pPr>
              <w:jc w:val="center"/>
              <w:rPr>
                <w:rFonts w:hint="eastAsia" w:ascii="微软雅黑" w:hAnsi="微软雅黑" w:eastAsia="微软雅黑" w:cs="微软雅黑"/>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5EB1">
            <w:pPr>
              <w:jc w:val="center"/>
              <w:rPr>
                <w:rFonts w:hint="eastAsia" w:ascii="微软雅黑" w:hAnsi="微软雅黑" w:eastAsia="微软雅黑" w:cs="微软雅黑"/>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C29A">
            <w:pPr>
              <w:jc w:val="center"/>
              <w:rPr>
                <w:rFonts w:hint="eastAsia" w:ascii="微软雅黑" w:hAnsi="微软雅黑" w:eastAsia="微软雅黑" w:cs="微软雅黑"/>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9FFA">
            <w:pPr>
              <w:jc w:val="center"/>
              <w:rPr>
                <w:rFonts w:hint="eastAsia" w:ascii="微软雅黑" w:hAnsi="微软雅黑" w:eastAsia="微软雅黑" w:cs="微软雅黑"/>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5F77">
            <w:pPr>
              <w:jc w:val="center"/>
              <w:rPr>
                <w:rFonts w:hint="eastAsia" w:ascii="微软雅黑" w:hAnsi="微软雅黑" w:eastAsia="微软雅黑" w:cs="微软雅黑"/>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C49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全费用综合单价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AD4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合价</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6113">
            <w:pPr>
              <w:jc w:val="center"/>
              <w:rPr>
                <w:rFonts w:hint="eastAsia" w:ascii="微软雅黑" w:hAnsi="微软雅黑" w:eastAsia="微软雅黑" w:cs="微软雅黑"/>
                <w:b/>
                <w:bCs/>
                <w:i w:val="0"/>
                <w:iCs w:val="0"/>
                <w:color w:val="000000"/>
                <w:sz w:val="22"/>
                <w:szCs w:val="22"/>
                <w:highlight w:val="none"/>
                <w:u w:val="none"/>
              </w:rPr>
            </w:pPr>
          </w:p>
        </w:tc>
      </w:tr>
      <w:tr w14:paraId="713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6C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E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场地清表（非水塘区域）</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E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1.土壤类别：杂草、</w:t>
            </w:r>
            <w:r>
              <w:rPr>
                <w:rFonts w:hint="eastAsia" w:ascii="宋体" w:hAnsi="宋体" w:cs="宋体"/>
                <w:i w:val="0"/>
                <w:iCs w:val="0"/>
                <w:color w:val="FF0000"/>
                <w:kern w:val="0"/>
                <w:sz w:val="22"/>
                <w:szCs w:val="22"/>
                <w:u w:val="none"/>
                <w:lang w:val="en-US" w:eastAsia="zh-CN" w:bidi="ar"/>
              </w:rPr>
              <w:t>零星蔬菜、</w:t>
            </w:r>
            <w:r>
              <w:rPr>
                <w:rFonts w:hint="eastAsia" w:ascii="宋体" w:hAnsi="宋体" w:eastAsia="宋体" w:cs="宋体"/>
                <w:i w:val="0"/>
                <w:iCs w:val="0"/>
                <w:color w:val="000000"/>
                <w:kern w:val="0"/>
                <w:sz w:val="22"/>
                <w:szCs w:val="22"/>
                <w:u w:val="none"/>
                <w:lang w:val="en-US" w:eastAsia="zh-CN" w:bidi="ar"/>
              </w:rPr>
              <w:t>灌木、乱石、建筑垃圾、残桩、废弃地膜、杂物及拆除的建筑垃圾等；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2.工作内容：场地内植被、树根、腐土、杂土、杂物等开挖外运，拆除的建构筑物及建筑垃圾等一切不符合回填要求的杂物清理、外运等；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3.运距：运距由施工单位自行考虑；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4.清表方式：自行考虑；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5.清理内部排水沟，同时结合地形地貌及业主要求挖填土质排水沟，确保施工区域内雨水外排通畅；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6.需做好冲洗设施、防尘设施及临时便道等，满足安全文明施工的有关规定以及环保要求的有关规定；施工场地清洁卫生符合安徽省及各地市对施工场地文明施工和清洁卫生的有关规定；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7.车辆出场必须对清洗效果进行检查，对达不到效果的车辆不得放行；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8.土方工程必须符合铜陵市相关条例和管理办法，施工中所使用的运输车必须执行铜陵市人民政府办公室办[2017]174号《铜陵市推广使用全密闭新型绿色环保运输车实施方案的通知》。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8.工程量暂定，据实结算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B1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CD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221351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B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3ED">
            <w:pPr>
              <w:jc w:val="center"/>
              <w:rPr>
                <w:rFonts w:hint="eastAsia" w:ascii="微软雅黑" w:hAnsi="微软雅黑" w:eastAsia="微软雅黑" w:cs="微软雅黑"/>
                <w:i w:val="0"/>
                <w:iCs w:val="0"/>
                <w:color w:val="000000"/>
                <w:sz w:val="20"/>
                <w:szCs w:val="20"/>
                <w:highlight w:val="none"/>
                <w:u w:val="none"/>
              </w:rPr>
            </w:pPr>
          </w:p>
        </w:tc>
      </w:tr>
      <w:tr w14:paraId="1199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660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BC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土壤翻耕（非水塘区域）</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4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1.翻耕疏松土壤；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2.翻耕方式：自行考虑，翻耕平均深度需达到0.5米，翻耕后要求土地平整、土壤松软、有利于作物生长；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3.工程量暂定，据实结算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2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1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221351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F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02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8FD5">
            <w:pPr>
              <w:jc w:val="center"/>
              <w:rPr>
                <w:rFonts w:hint="eastAsia" w:ascii="微软雅黑" w:hAnsi="微软雅黑" w:eastAsia="微软雅黑" w:cs="微软雅黑"/>
                <w:i w:val="0"/>
                <w:iCs w:val="0"/>
                <w:color w:val="000000"/>
                <w:sz w:val="20"/>
                <w:szCs w:val="20"/>
                <w:highlight w:val="none"/>
                <w:u w:val="none"/>
              </w:rPr>
            </w:pPr>
          </w:p>
        </w:tc>
      </w:tr>
      <w:tr w14:paraId="32CF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68C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BD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混凝土管道铺设（人机配合下管）</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B7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1.管道类型、管道材质：雨水管、采用Ⅱ级钢筋混凝土承插管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2.连接方式：承插柔性胶圈、水泥砂浆接口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3.管径：DN800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4.100厚碎石垫层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5.工程量暂定，据实结算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9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C5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9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FF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CEF">
            <w:pPr>
              <w:jc w:val="center"/>
              <w:rPr>
                <w:rFonts w:hint="eastAsia" w:ascii="微软雅黑" w:hAnsi="微软雅黑" w:eastAsia="微软雅黑" w:cs="微软雅黑"/>
                <w:i w:val="0"/>
                <w:iCs w:val="0"/>
                <w:color w:val="000000"/>
                <w:sz w:val="20"/>
                <w:szCs w:val="20"/>
                <w:highlight w:val="none"/>
                <w:u w:val="none"/>
              </w:rPr>
            </w:pPr>
          </w:p>
        </w:tc>
      </w:tr>
      <w:tr w14:paraId="45E1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D6A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E3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原道路拆除及原样恢复</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C2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1.原道路拆除及原样恢复                                                           2.工程量暂定，据实结算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E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B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A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9E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B4A6">
            <w:pPr>
              <w:jc w:val="center"/>
              <w:rPr>
                <w:rFonts w:hint="eastAsia" w:ascii="微软雅黑" w:hAnsi="微软雅黑" w:eastAsia="微软雅黑" w:cs="微软雅黑"/>
                <w:i w:val="0"/>
                <w:iCs w:val="0"/>
                <w:color w:val="000000"/>
                <w:sz w:val="20"/>
                <w:szCs w:val="20"/>
                <w:highlight w:val="none"/>
                <w:u w:val="none"/>
              </w:rPr>
            </w:pPr>
          </w:p>
        </w:tc>
      </w:tr>
      <w:tr w14:paraId="00D3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106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B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暂列金额</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29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1.暂列金额2万元（不计税金）；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2.此费用为不可竞争费，投标人不得修改，中标后由招标人支配。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2"/>
                <w:szCs w:val="22"/>
                <w:u w:val="none"/>
                <w:lang w:val="en-US" w:eastAsia="zh-CN" w:bidi="ar"/>
              </w:rPr>
              <w:t>项</w:t>
            </w:r>
          </w:p>
        </w:tc>
        <w:tc>
          <w:tcPr>
            <w:tcW w:w="1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5D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D23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20000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4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AD8">
            <w:pPr>
              <w:jc w:val="left"/>
              <w:rPr>
                <w:rFonts w:hint="eastAsia" w:ascii="微软雅黑" w:hAnsi="微软雅黑" w:eastAsia="微软雅黑" w:cs="微软雅黑"/>
                <w:i w:val="0"/>
                <w:iCs w:val="0"/>
                <w:color w:val="000000"/>
                <w:sz w:val="20"/>
                <w:szCs w:val="20"/>
                <w:highlight w:val="none"/>
                <w:u w:val="none"/>
              </w:rPr>
            </w:pPr>
          </w:p>
        </w:tc>
      </w:tr>
      <w:tr w14:paraId="7E96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AEDE0">
            <w:pPr>
              <w:jc w:val="center"/>
              <w:rPr>
                <w:rFonts w:hint="eastAsia" w:ascii="微软雅黑" w:hAnsi="微软雅黑" w:eastAsia="微软雅黑" w:cs="微软雅黑"/>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C8A0">
            <w:pPr>
              <w:jc w:val="center"/>
              <w:rPr>
                <w:rFonts w:hint="eastAsia" w:ascii="微软雅黑" w:hAnsi="微软雅黑" w:eastAsia="微软雅黑" w:cs="微软雅黑"/>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69103">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highlight w:val="none"/>
                <w:u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A042C">
            <w:pPr>
              <w:jc w:val="center"/>
              <w:rPr>
                <w:rFonts w:hint="eastAsia" w:ascii="微软雅黑" w:hAnsi="微软雅黑" w:eastAsia="微软雅黑" w:cs="微软雅黑"/>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1AD6">
            <w:pPr>
              <w:jc w:val="center"/>
              <w:rPr>
                <w:rFonts w:hint="eastAsia" w:ascii="微软雅黑" w:hAnsi="微软雅黑" w:eastAsia="微软雅黑" w:cs="微软雅黑"/>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7CEB">
            <w:pPr>
              <w:jc w:val="center"/>
              <w:rPr>
                <w:rFonts w:hint="eastAsia" w:ascii="微软雅黑" w:hAnsi="微软雅黑" w:eastAsia="微软雅黑" w:cs="微软雅黑"/>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5E6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 xml:space="preserve">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45F">
            <w:pPr>
              <w:jc w:val="center"/>
              <w:rPr>
                <w:rFonts w:hint="eastAsia" w:ascii="微软雅黑" w:hAnsi="微软雅黑" w:eastAsia="微软雅黑" w:cs="微软雅黑"/>
                <w:i w:val="0"/>
                <w:iCs w:val="0"/>
                <w:color w:val="000000"/>
                <w:sz w:val="20"/>
                <w:szCs w:val="20"/>
                <w:highlight w:val="none"/>
                <w:u w:val="none"/>
              </w:rPr>
            </w:pPr>
          </w:p>
        </w:tc>
      </w:tr>
    </w:tbl>
    <w:p w14:paraId="34ADE576">
      <w:pPr>
        <w:pStyle w:val="34"/>
        <w:ind w:left="0" w:leftChars="0" w:firstLine="0" w:firstLineChars="0"/>
        <w:rPr>
          <w:rStyle w:val="47"/>
          <w:rFonts w:hint="eastAsia" w:ascii="宋体" w:hAnsi="宋体" w:cs="宋体"/>
          <w:b/>
          <w:color w:val="auto"/>
          <w:sz w:val="10"/>
          <w:szCs w:val="10"/>
          <w:highlight w:val="none"/>
        </w:rPr>
      </w:pPr>
    </w:p>
    <w:sectPr>
      <w:footerReference r:id="rId5" w:type="default"/>
      <w:pgSz w:w="11907" w:h="16840"/>
      <w:pgMar w:top="1803" w:right="1440" w:bottom="1803" w:left="1440" w:header="801" w:footer="1587" w:gutter="0"/>
      <w:cols w:space="0" w:num="1"/>
      <w:rtlGutter w:val="0"/>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6C91">
    <w:pPr>
      <w:pStyle w:val="89"/>
      <w:spacing w:line="14" w:lineRule="auto"/>
      <w:rPr>
        <w:rStyle w:val="4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6EED">
    <w:pPr>
      <w:pStyle w:val="89"/>
      <w:spacing w:line="14" w:lineRule="auto"/>
      <w:rPr>
        <w:rStyle w:val="47"/>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71F8F">
                          <w:pPr>
                            <w:pStyle w:val="17"/>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wjeckBAACZ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zCN5yQEAAJkDAAAOAAAAAAAAAAEAIAAAAB4BAABkcnMvZTJvRG9j&#10;LnhtbFBLBQYAAAAABgAGAFkBAABZBQAAAAA=&#10;">
              <v:fill on="f" focussize="0,0"/>
              <v:stroke on="f"/>
              <v:imagedata o:title=""/>
              <o:lock v:ext="edit" aspectratio="f"/>
              <v:textbox inset="0mm,0mm,0mm,0mm" style="mso-fit-shape-to-text:t;">
                <w:txbxContent>
                  <w:p w14:paraId="00A71F8F">
                    <w:pPr>
                      <w:pStyle w:val="17"/>
                    </w:pPr>
                    <w:r>
                      <w:fldChar w:fldCharType="begin"/>
                    </w:r>
                    <w:r>
                      <w:instrText xml:space="preserve"> PAGE  \* MERGEFORMAT </w:instrText>
                    </w:r>
                    <w:r>
                      <w:fldChar w:fldCharType="separate"/>
                    </w:r>
                    <w:r>
                      <w:t>33</w:t>
                    </w:r>
                    <w:r>
                      <w:fldChar w:fldCharType="end"/>
                    </w:r>
                  </w:p>
                </w:txbxContent>
              </v:textbox>
            </v:shape>
          </w:pict>
        </mc:Fallback>
      </mc:AlternateContent>
    </w:r>
    <w:r>
      <w:rPr>
        <w:rStyle w:val="4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9975215</wp:posOffset>
              </wp:positionV>
              <wp:extent cx="16637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825A939">
                          <w:pPr>
                            <w:spacing w:line="200" w:lineRule="exact"/>
                            <w:ind w:left="40"/>
                            <w:rPr>
                              <w:rStyle w:val="47"/>
                              <w:sz w:val="18"/>
                            </w:rPr>
                          </w:pPr>
                        </w:p>
                        <w:p w14:paraId="101E61B6">
                          <w:pPr>
                            <w:pStyle w:val="412"/>
                            <w:spacing w:line="400" w:lineRule="exact"/>
                            <w:jc w:val="both"/>
                            <w:rPr>
                              <w:rStyle w:val="47"/>
                            </w:rPr>
                          </w:pPr>
                        </w:p>
                      </w:txbxContent>
                    </wps:txbx>
                    <wps:bodyPr lIns="0" tIns="0" rIns="0" bIns="0" upright="1"/>
                  </wps:wsp>
                </a:graphicData>
              </a:graphic>
            </wp:anchor>
          </w:drawing>
        </mc:Choice>
        <mc:Fallback>
          <w:pict>
            <v:shape id="文本框 1" o:spid="_x0000_s1026" o:spt="202" type="#_x0000_t202" style="position:absolute;left:0pt;margin-top:785.45pt;height:11pt;width:13.1pt;mso-position-horizontal:right;mso-position-horizontal-relative:margin;mso-position-vertical-relative:page;z-index:251659264;mso-width-relative:page;mso-height-relative:page;" filled="f" stroked="f" coordsize="21600,21600" o:gfxdata="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NAh1wAAAAkBAAAPAAAAAAAAAAEAIAAAACIAAABkcnMvZG93bnJldi54bWxQSwECFAAU&#10;AAAACACHTuJAYiy6SbkBAABxAwAADgAAAAAAAAABACAAAAAmAQAAZHJzL2Uyb0RvYy54bWxQSwUG&#10;AAAAAAYABgBZAQAAUQUAAAAA&#10;">
              <v:fill on="f" focussize="0,0"/>
              <v:stroke on="f"/>
              <v:imagedata o:title=""/>
              <o:lock v:ext="edit" aspectratio="f"/>
              <v:textbox inset="0mm,0mm,0mm,0mm">
                <w:txbxContent>
                  <w:p w14:paraId="3825A939">
                    <w:pPr>
                      <w:spacing w:line="200" w:lineRule="exact"/>
                      <w:ind w:left="40"/>
                      <w:rPr>
                        <w:rStyle w:val="47"/>
                        <w:sz w:val="18"/>
                      </w:rPr>
                    </w:pPr>
                  </w:p>
                  <w:p w14:paraId="101E61B6">
                    <w:pPr>
                      <w:pStyle w:val="412"/>
                      <w:spacing w:line="400" w:lineRule="exact"/>
                      <w:jc w:val="both"/>
                      <w:rPr>
                        <w:rStyle w:val="47"/>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782D">
    <w:pPr>
      <w:pStyle w:val="18"/>
      <w:pBdr>
        <w:bottom w:val="none" w:color="auto" w:sz="0" w:space="0"/>
      </w:pBdr>
      <w:rPr>
        <w:rStyle w:val="4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pStyle w:val="491"/>
      <w:lvlText w:val="第%1章"/>
      <w:lvlJc w:val="left"/>
      <w:pPr>
        <w:tabs>
          <w:tab w:val="left" w:pos="4860"/>
        </w:tabs>
        <w:ind w:left="4860" w:hanging="1080"/>
        <w:textAlignment w:val="baseline"/>
      </w:pPr>
    </w:lvl>
    <w:lvl w:ilvl="1" w:tentative="0">
      <w:start w:val="1"/>
      <w:numFmt w:val="japaneseCounting"/>
      <w:lvlText w:val="%1、"/>
      <w:lvlJc w:val="left"/>
      <w:pPr>
        <w:tabs>
          <w:tab w:val="left" w:pos="4920"/>
        </w:tabs>
        <w:ind w:left="4920" w:hanging="720"/>
        <w:textAlignment w:val="baseline"/>
      </w:pPr>
    </w:lvl>
    <w:lvl w:ilvl="2" w:tentative="0">
      <w:start w:val="1"/>
      <w:numFmt w:val="lowerRoman"/>
      <w:lvlText w:val="%1."/>
      <w:lvlJc w:val="right"/>
      <w:pPr>
        <w:tabs>
          <w:tab w:val="left" w:pos="5040"/>
        </w:tabs>
        <w:ind w:left="5040" w:hanging="420"/>
        <w:textAlignment w:val="baseline"/>
      </w:pPr>
    </w:lvl>
    <w:lvl w:ilvl="3" w:tentative="0">
      <w:start w:val="1"/>
      <w:numFmt w:val="decimal"/>
      <w:lvlText w:val="%1."/>
      <w:lvlJc w:val="left"/>
      <w:pPr>
        <w:tabs>
          <w:tab w:val="left" w:pos="5460"/>
        </w:tabs>
        <w:ind w:left="5460" w:hanging="420"/>
        <w:textAlignment w:val="baseline"/>
      </w:pPr>
    </w:lvl>
    <w:lvl w:ilvl="4" w:tentative="0">
      <w:start w:val="1"/>
      <w:numFmt w:val="lowerLetter"/>
      <w:lvlText w:val="%1)"/>
      <w:lvlJc w:val="left"/>
      <w:pPr>
        <w:tabs>
          <w:tab w:val="left" w:pos="5880"/>
        </w:tabs>
        <w:ind w:left="5880" w:hanging="420"/>
        <w:textAlignment w:val="baseline"/>
      </w:pPr>
    </w:lvl>
    <w:lvl w:ilvl="5" w:tentative="0">
      <w:start w:val="1"/>
      <w:numFmt w:val="lowerRoman"/>
      <w:lvlText w:val="%1."/>
      <w:lvlJc w:val="right"/>
      <w:pPr>
        <w:tabs>
          <w:tab w:val="left" w:pos="6300"/>
        </w:tabs>
        <w:ind w:left="6300" w:hanging="420"/>
        <w:textAlignment w:val="baseline"/>
      </w:pPr>
    </w:lvl>
    <w:lvl w:ilvl="6" w:tentative="0">
      <w:start w:val="1"/>
      <w:numFmt w:val="decimal"/>
      <w:lvlText w:val="%1."/>
      <w:lvlJc w:val="left"/>
      <w:pPr>
        <w:tabs>
          <w:tab w:val="left" w:pos="6720"/>
        </w:tabs>
        <w:ind w:left="6720" w:hanging="420"/>
        <w:textAlignment w:val="baseline"/>
      </w:pPr>
    </w:lvl>
    <w:lvl w:ilvl="7" w:tentative="0">
      <w:start w:val="1"/>
      <w:numFmt w:val="lowerLetter"/>
      <w:lvlText w:val="%1)"/>
      <w:lvlJc w:val="left"/>
      <w:pPr>
        <w:tabs>
          <w:tab w:val="left" w:pos="7140"/>
        </w:tabs>
        <w:ind w:left="7140" w:hanging="420"/>
        <w:textAlignment w:val="baseline"/>
      </w:pPr>
    </w:lvl>
    <w:lvl w:ilvl="8" w:tentative="0">
      <w:start w:val="1"/>
      <w:numFmt w:val="lowerRoman"/>
      <w:lvlText w:val="%1."/>
      <w:lvlJc w:val="right"/>
      <w:pPr>
        <w:tabs>
          <w:tab w:val="left" w:pos="7560"/>
        </w:tabs>
        <w:ind w:left="7560" w:hanging="420"/>
        <w:textAlignment w:val="baseline"/>
      </w:pPr>
    </w:lvl>
  </w:abstractNum>
  <w:abstractNum w:abstractNumId="1">
    <w:nsid w:val="5C9D47E0"/>
    <w:multiLevelType w:val="multilevel"/>
    <w:tmpl w:val="5C9D47E0"/>
    <w:lvl w:ilvl="0" w:tentative="0">
      <w:start w:val="1"/>
      <w:numFmt w:val="japaneseCounting"/>
      <w:lvlText w:val="第%1章"/>
      <w:lvlJc w:val="left"/>
      <w:pPr>
        <w:tabs>
          <w:tab w:val="left" w:pos="1275"/>
        </w:tabs>
        <w:ind w:left="1275" w:hanging="1275"/>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2">
    <w:nsid w:val="60AE39CC"/>
    <w:multiLevelType w:val="multilevel"/>
    <w:tmpl w:val="60AE39CC"/>
    <w:lvl w:ilvl="0" w:tentative="0">
      <w:start w:val="1"/>
      <w:numFmt w:val="decimal"/>
      <w:pStyle w:val="3"/>
      <w:lvlText w:val=""/>
      <w:lvlJc w:val="left"/>
      <w:pPr>
        <w:tabs>
          <w:tab w:val="left" w:pos="432"/>
        </w:tabs>
        <w:ind w:left="432" w:hanging="432"/>
        <w:textAlignment w:val="baseline"/>
      </w:pPr>
    </w:lvl>
    <w:lvl w:ilvl="1" w:tentative="0">
      <w:start w:val="1"/>
      <w:numFmt w:val="decimal"/>
      <w:lvlText w:val=" "/>
      <w:lvlJc w:val="left"/>
      <w:pPr>
        <w:tabs>
          <w:tab w:val="left" w:pos="576"/>
        </w:tabs>
        <w:ind w:left="576" w:hanging="576"/>
        <w:textAlignment w:val="baseline"/>
      </w:pPr>
    </w:lvl>
    <w:lvl w:ilvl="2" w:tentative="0">
      <w:start w:val="1"/>
      <w:numFmt w:val="decimal"/>
      <w:lvlText w:val=""/>
      <w:lvlJc w:val="left"/>
      <w:pPr>
        <w:tabs>
          <w:tab w:val="left" w:pos="720"/>
        </w:tabs>
        <w:ind w:left="720" w:hanging="720"/>
        <w:textAlignment w:val="baseline"/>
      </w:pPr>
    </w:lvl>
    <w:lvl w:ilvl="3" w:tentative="0">
      <w:start w:val="1"/>
      <w:numFmt w:val="decimal"/>
      <w:lvlText w:val="    "/>
      <w:lvlJc w:val="left"/>
      <w:pPr>
        <w:tabs>
          <w:tab w:val="left" w:pos="864"/>
        </w:tabs>
        <w:ind w:left="864" w:hanging="864"/>
        <w:textAlignment w:val="baseline"/>
      </w:pPr>
    </w:lvl>
    <w:lvl w:ilvl="4" w:tentative="0">
      <w:start w:val="1"/>
      <w:numFmt w:val="decimal"/>
      <w:lvlText w:val="      "/>
      <w:lvlJc w:val="left"/>
      <w:pPr>
        <w:tabs>
          <w:tab w:val="left" w:pos="1008"/>
        </w:tabs>
        <w:ind w:left="1008" w:hanging="1008"/>
        <w:textAlignment w:val="baseline"/>
      </w:pPr>
    </w:lvl>
    <w:lvl w:ilvl="5" w:tentative="0">
      <w:start w:val="1"/>
      <w:numFmt w:val="decimal"/>
      <w:lvlText w:val="           "/>
      <w:lvlJc w:val="left"/>
      <w:pPr>
        <w:tabs>
          <w:tab w:val="left" w:pos="1440"/>
        </w:tabs>
        <w:ind w:left="1152" w:hanging="1152"/>
        <w:textAlignment w:val="baseline"/>
      </w:pPr>
    </w:lvl>
    <w:lvl w:ilvl="6" w:tentative="0">
      <w:start w:val="1"/>
      <w:numFmt w:val="decimal"/>
      <w:lvlText w:val="%1.%2.%3.%4.%5.%6.%7"/>
      <w:lvlJc w:val="left"/>
      <w:pPr>
        <w:tabs>
          <w:tab w:val="left" w:pos="2520"/>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F01AAD"/>
    <w:rsid w:val="000A785A"/>
    <w:rsid w:val="001918B6"/>
    <w:rsid w:val="0020392F"/>
    <w:rsid w:val="00227511"/>
    <w:rsid w:val="00330682"/>
    <w:rsid w:val="003A469B"/>
    <w:rsid w:val="003C69CA"/>
    <w:rsid w:val="0041765B"/>
    <w:rsid w:val="00605384"/>
    <w:rsid w:val="00647E09"/>
    <w:rsid w:val="00721826"/>
    <w:rsid w:val="007D114A"/>
    <w:rsid w:val="0094381D"/>
    <w:rsid w:val="009D1290"/>
    <w:rsid w:val="00AB5025"/>
    <w:rsid w:val="00B13D0A"/>
    <w:rsid w:val="00F01AAD"/>
    <w:rsid w:val="00F81161"/>
    <w:rsid w:val="011949CD"/>
    <w:rsid w:val="016F3C4C"/>
    <w:rsid w:val="01BF157B"/>
    <w:rsid w:val="01D65DA3"/>
    <w:rsid w:val="02240524"/>
    <w:rsid w:val="02330F97"/>
    <w:rsid w:val="023575E5"/>
    <w:rsid w:val="024141DC"/>
    <w:rsid w:val="034963CF"/>
    <w:rsid w:val="034C23CE"/>
    <w:rsid w:val="034D2C11"/>
    <w:rsid w:val="03603A58"/>
    <w:rsid w:val="03617A65"/>
    <w:rsid w:val="03DA323D"/>
    <w:rsid w:val="03E72B61"/>
    <w:rsid w:val="03E8016B"/>
    <w:rsid w:val="03EF4705"/>
    <w:rsid w:val="04045936"/>
    <w:rsid w:val="04153818"/>
    <w:rsid w:val="04227EBC"/>
    <w:rsid w:val="042B3093"/>
    <w:rsid w:val="043B0935"/>
    <w:rsid w:val="04E35622"/>
    <w:rsid w:val="05056C6C"/>
    <w:rsid w:val="05320192"/>
    <w:rsid w:val="056D4C48"/>
    <w:rsid w:val="057D2E23"/>
    <w:rsid w:val="058A40EC"/>
    <w:rsid w:val="060318FF"/>
    <w:rsid w:val="06102A88"/>
    <w:rsid w:val="0671740D"/>
    <w:rsid w:val="068805F3"/>
    <w:rsid w:val="0699185A"/>
    <w:rsid w:val="06B34F7C"/>
    <w:rsid w:val="06D27AF8"/>
    <w:rsid w:val="06DE0F82"/>
    <w:rsid w:val="06E33EC6"/>
    <w:rsid w:val="06E5189A"/>
    <w:rsid w:val="07331367"/>
    <w:rsid w:val="07764128"/>
    <w:rsid w:val="07A9067B"/>
    <w:rsid w:val="07A944C4"/>
    <w:rsid w:val="07BB4284"/>
    <w:rsid w:val="080A0CF4"/>
    <w:rsid w:val="080D4667"/>
    <w:rsid w:val="080F6B2A"/>
    <w:rsid w:val="08343DC8"/>
    <w:rsid w:val="084F33CB"/>
    <w:rsid w:val="086C2435"/>
    <w:rsid w:val="089A6FEF"/>
    <w:rsid w:val="08AB1DC7"/>
    <w:rsid w:val="08DD0A69"/>
    <w:rsid w:val="097208CF"/>
    <w:rsid w:val="097573A5"/>
    <w:rsid w:val="09842C00"/>
    <w:rsid w:val="09981614"/>
    <w:rsid w:val="09A41B0A"/>
    <w:rsid w:val="09A50C99"/>
    <w:rsid w:val="09C7280D"/>
    <w:rsid w:val="09E609C3"/>
    <w:rsid w:val="0A1D5F6F"/>
    <w:rsid w:val="0A3B0DA5"/>
    <w:rsid w:val="0A495311"/>
    <w:rsid w:val="0A7D421F"/>
    <w:rsid w:val="0A9670EF"/>
    <w:rsid w:val="0ADB2048"/>
    <w:rsid w:val="0ADF1425"/>
    <w:rsid w:val="0AF461A1"/>
    <w:rsid w:val="0AF659E5"/>
    <w:rsid w:val="0B5546C9"/>
    <w:rsid w:val="0B5A2279"/>
    <w:rsid w:val="0B940011"/>
    <w:rsid w:val="0BBF25E7"/>
    <w:rsid w:val="0C1C1817"/>
    <w:rsid w:val="0C5D2F94"/>
    <w:rsid w:val="0C601702"/>
    <w:rsid w:val="0CC003F3"/>
    <w:rsid w:val="0CDA0FC0"/>
    <w:rsid w:val="0D0205AC"/>
    <w:rsid w:val="0D162E90"/>
    <w:rsid w:val="0DA42F8A"/>
    <w:rsid w:val="0DBA3094"/>
    <w:rsid w:val="0DC15531"/>
    <w:rsid w:val="0DFE31EC"/>
    <w:rsid w:val="0E1E3623"/>
    <w:rsid w:val="0E28320E"/>
    <w:rsid w:val="0E2A4FAD"/>
    <w:rsid w:val="0E383970"/>
    <w:rsid w:val="0E3C619F"/>
    <w:rsid w:val="0E4740E7"/>
    <w:rsid w:val="0E8405A4"/>
    <w:rsid w:val="0EB221D6"/>
    <w:rsid w:val="0EBC73F5"/>
    <w:rsid w:val="0F3D0103"/>
    <w:rsid w:val="0F457E1A"/>
    <w:rsid w:val="0F95759F"/>
    <w:rsid w:val="0FA15583"/>
    <w:rsid w:val="0FAC6635"/>
    <w:rsid w:val="0FDD4059"/>
    <w:rsid w:val="10112F2D"/>
    <w:rsid w:val="105E064F"/>
    <w:rsid w:val="10614D20"/>
    <w:rsid w:val="107E1BE2"/>
    <w:rsid w:val="10852964"/>
    <w:rsid w:val="10B1077E"/>
    <w:rsid w:val="10C2666B"/>
    <w:rsid w:val="10DE52EC"/>
    <w:rsid w:val="110034B4"/>
    <w:rsid w:val="111156C1"/>
    <w:rsid w:val="111470A5"/>
    <w:rsid w:val="11194576"/>
    <w:rsid w:val="111E4C42"/>
    <w:rsid w:val="11692E07"/>
    <w:rsid w:val="11D000E9"/>
    <w:rsid w:val="13234267"/>
    <w:rsid w:val="132A0CBC"/>
    <w:rsid w:val="13354332"/>
    <w:rsid w:val="13D11B65"/>
    <w:rsid w:val="13FD2C9E"/>
    <w:rsid w:val="143860A5"/>
    <w:rsid w:val="14791270"/>
    <w:rsid w:val="14EB17BB"/>
    <w:rsid w:val="14EF637E"/>
    <w:rsid w:val="15AC2438"/>
    <w:rsid w:val="15B3103D"/>
    <w:rsid w:val="15F9646A"/>
    <w:rsid w:val="16697E9B"/>
    <w:rsid w:val="16841530"/>
    <w:rsid w:val="16A42B33"/>
    <w:rsid w:val="16BB2A8E"/>
    <w:rsid w:val="16BE6582"/>
    <w:rsid w:val="172B52CB"/>
    <w:rsid w:val="173914CE"/>
    <w:rsid w:val="17397720"/>
    <w:rsid w:val="17864F1B"/>
    <w:rsid w:val="17896F0F"/>
    <w:rsid w:val="17BB0FE8"/>
    <w:rsid w:val="17F12F10"/>
    <w:rsid w:val="184639D8"/>
    <w:rsid w:val="186B1B5B"/>
    <w:rsid w:val="189450C6"/>
    <w:rsid w:val="18FF6842"/>
    <w:rsid w:val="19031E58"/>
    <w:rsid w:val="19163ABA"/>
    <w:rsid w:val="194E032F"/>
    <w:rsid w:val="196716F8"/>
    <w:rsid w:val="197D4D53"/>
    <w:rsid w:val="19956C86"/>
    <w:rsid w:val="19D92745"/>
    <w:rsid w:val="1A491A28"/>
    <w:rsid w:val="1A7D7923"/>
    <w:rsid w:val="1AE3195D"/>
    <w:rsid w:val="1AF02510"/>
    <w:rsid w:val="1B303C0D"/>
    <w:rsid w:val="1B58580D"/>
    <w:rsid w:val="1B754A9E"/>
    <w:rsid w:val="1B9A7942"/>
    <w:rsid w:val="1BDB0DA5"/>
    <w:rsid w:val="1C131CBE"/>
    <w:rsid w:val="1C160E0F"/>
    <w:rsid w:val="1C313837"/>
    <w:rsid w:val="1C4526C3"/>
    <w:rsid w:val="1C485C35"/>
    <w:rsid w:val="1C9E6488"/>
    <w:rsid w:val="1D000398"/>
    <w:rsid w:val="1D0A1702"/>
    <w:rsid w:val="1D116C77"/>
    <w:rsid w:val="1D2150B6"/>
    <w:rsid w:val="1D23548E"/>
    <w:rsid w:val="1D343151"/>
    <w:rsid w:val="1D3E60E8"/>
    <w:rsid w:val="1D9134D8"/>
    <w:rsid w:val="1DA4058B"/>
    <w:rsid w:val="1DA942B0"/>
    <w:rsid w:val="1DDB3525"/>
    <w:rsid w:val="1DDB4F4E"/>
    <w:rsid w:val="1DE33BE3"/>
    <w:rsid w:val="1DF27FB0"/>
    <w:rsid w:val="1E0D186C"/>
    <w:rsid w:val="1E380731"/>
    <w:rsid w:val="1E4E494F"/>
    <w:rsid w:val="1E9274FF"/>
    <w:rsid w:val="1E9D67E6"/>
    <w:rsid w:val="1EE44415"/>
    <w:rsid w:val="1EF078D8"/>
    <w:rsid w:val="1F196CBA"/>
    <w:rsid w:val="1F3E5460"/>
    <w:rsid w:val="1F602534"/>
    <w:rsid w:val="1F9537EA"/>
    <w:rsid w:val="1FAA6E36"/>
    <w:rsid w:val="1FDC6EB6"/>
    <w:rsid w:val="1FF83F65"/>
    <w:rsid w:val="205431F9"/>
    <w:rsid w:val="20E029BA"/>
    <w:rsid w:val="20F8421E"/>
    <w:rsid w:val="21087334"/>
    <w:rsid w:val="21224D81"/>
    <w:rsid w:val="213A5FD8"/>
    <w:rsid w:val="214555DB"/>
    <w:rsid w:val="214A3E89"/>
    <w:rsid w:val="21636086"/>
    <w:rsid w:val="219D695E"/>
    <w:rsid w:val="21D415D4"/>
    <w:rsid w:val="221F24DF"/>
    <w:rsid w:val="2223696E"/>
    <w:rsid w:val="22317971"/>
    <w:rsid w:val="226120F3"/>
    <w:rsid w:val="22667B96"/>
    <w:rsid w:val="226F69F0"/>
    <w:rsid w:val="228F6446"/>
    <w:rsid w:val="22D622C7"/>
    <w:rsid w:val="23133355"/>
    <w:rsid w:val="235F3707"/>
    <w:rsid w:val="237273B3"/>
    <w:rsid w:val="23775858"/>
    <w:rsid w:val="241B59A5"/>
    <w:rsid w:val="24390573"/>
    <w:rsid w:val="248C70E1"/>
    <w:rsid w:val="24D70AA7"/>
    <w:rsid w:val="25484BD4"/>
    <w:rsid w:val="255641C8"/>
    <w:rsid w:val="255A3542"/>
    <w:rsid w:val="25BA26B4"/>
    <w:rsid w:val="25D07BEE"/>
    <w:rsid w:val="260333D3"/>
    <w:rsid w:val="26316456"/>
    <w:rsid w:val="26321F3E"/>
    <w:rsid w:val="265C548E"/>
    <w:rsid w:val="26D057A2"/>
    <w:rsid w:val="27392E24"/>
    <w:rsid w:val="27794FF2"/>
    <w:rsid w:val="279A57BB"/>
    <w:rsid w:val="27BF05A9"/>
    <w:rsid w:val="27F435F3"/>
    <w:rsid w:val="28333597"/>
    <w:rsid w:val="283F446A"/>
    <w:rsid w:val="28B82C9C"/>
    <w:rsid w:val="28F26ABD"/>
    <w:rsid w:val="2905755A"/>
    <w:rsid w:val="2908698F"/>
    <w:rsid w:val="298C7B83"/>
    <w:rsid w:val="29B77F23"/>
    <w:rsid w:val="29BC77FC"/>
    <w:rsid w:val="2A3D0E7D"/>
    <w:rsid w:val="2A4C4C29"/>
    <w:rsid w:val="2A4E4E38"/>
    <w:rsid w:val="2A6138AF"/>
    <w:rsid w:val="2AA8491C"/>
    <w:rsid w:val="2AC24354"/>
    <w:rsid w:val="2AC36AB2"/>
    <w:rsid w:val="2B404D1C"/>
    <w:rsid w:val="2BA45AD6"/>
    <w:rsid w:val="2C011261"/>
    <w:rsid w:val="2C322FCB"/>
    <w:rsid w:val="2C800591"/>
    <w:rsid w:val="2C816B03"/>
    <w:rsid w:val="2C943CFC"/>
    <w:rsid w:val="2CA174A1"/>
    <w:rsid w:val="2CC12840"/>
    <w:rsid w:val="2CC83BDC"/>
    <w:rsid w:val="2CC918A6"/>
    <w:rsid w:val="2CE455E0"/>
    <w:rsid w:val="2D3C7B30"/>
    <w:rsid w:val="2D4212CB"/>
    <w:rsid w:val="2D602242"/>
    <w:rsid w:val="2D8C7758"/>
    <w:rsid w:val="2E056CF0"/>
    <w:rsid w:val="2E1D6FFC"/>
    <w:rsid w:val="2E3D3379"/>
    <w:rsid w:val="2E6065AA"/>
    <w:rsid w:val="2E7A444E"/>
    <w:rsid w:val="2E893FCC"/>
    <w:rsid w:val="2E942BC8"/>
    <w:rsid w:val="2E9D1EEA"/>
    <w:rsid w:val="2EC13C7B"/>
    <w:rsid w:val="2EC228F9"/>
    <w:rsid w:val="2ECD6C74"/>
    <w:rsid w:val="2EE63891"/>
    <w:rsid w:val="2F074470"/>
    <w:rsid w:val="2F240AA3"/>
    <w:rsid w:val="2F3F79E3"/>
    <w:rsid w:val="2F6B46AC"/>
    <w:rsid w:val="2F7D049E"/>
    <w:rsid w:val="2F834843"/>
    <w:rsid w:val="2FBA126B"/>
    <w:rsid w:val="2FC747EF"/>
    <w:rsid w:val="30093CDB"/>
    <w:rsid w:val="303C1E2F"/>
    <w:rsid w:val="306B34EF"/>
    <w:rsid w:val="306F584B"/>
    <w:rsid w:val="30AB6B41"/>
    <w:rsid w:val="30B648E9"/>
    <w:rsid w:val="30BD0622"/>
    <w:rsid w:val="30C52221"/>
    <w:rsid w:val="30E84EEC"/>
    <w:rsid w:val="310C2BB7"/>
    <w:rsid w:val="3137745E"/>
    <w:rsid w:val="31905300"/>
    <w:rsid w:val="319D01C1"/>
    <w:rsid w:val="31B50ACB"/>
    <w:rsid w:val="31CF737B"/>
    <w:rsid w:val="31DC5D9C"/>
    <w:rsid w:val="32044820"/>
    <w:rsid w:val="322C0542"/>
    <w:rsid w:val="325546FE"/>
    <w:rsid w:val="328D4B00"/>
    <w:rsid w:val="32974757"/>
    <w:rsid w:val="32A84ABF"/>
    <w:rsid w:val="336E7CDB"/>
    <w:rsid w:val="33704529"/>
    <w:rsid w:val="338D077F"/>
    <w:rsid w:val="33A3711C"/>
    <w:rsid w:val="33BA709B"/>
    <w:rsid w:val="33BF7445"/>
    <w:rsid w:val="340259F8"/>
    <w:rsid w:val="340E21D8"/>
    <w:rsid w:val="34244FA8"/>
    <w:rsid w:val="34342658"/>
    <w:rsid w:val="3465335F"/>
    <w:rsid w:val="34751000"/>
    <w:rsid w:val="34B8089F"/>
    <w:rsid w:val="34C22F14"/>
    <w:rsid w:val="35377A2D"/>
    <w:rsid w:val="35391937"/>
    <w:rsid w:val="353A32B2"/>
    <w:rsid w:val="35973B37"/>
    <w:rsid w:val="367236FC"/>
    <w:rsid w:val="36913F4D"/>
    <w:rsid w:val="36977335"/>
    <w:rsid w:val="36AB6F38"/>
    <w:rsid w:val="36F9612C"/>
    <w:rsid w:val="3701395E"/>
    <w:rsid w:val="372431B4"/>
    <w:rsid w:val="37764688"/>
    <w:rsid w:val="37887BDC"/>
    <w:rsid w:val="37AB5A23"/>
    <w:rsid w:val="37BD32F1"/>
    <w:rsid w:val="37F738AD"/>
    <w:rsid w:val="381623A2"/>
    <w:rsid w:val="38635317"/>
    <w:rsid w:val="38975BFC"/>
    <w:rsid w:val="38A109B2"/>
    <w:rsid w:val="38BA7EA9"/>
    <w:rsid w:val="38C003CB"/>
    <w:rsid w:val="391C4C1C"/>
    <w:rsid w:val="392A6E87"/>
    <w:rsid w:val="39333B77"/>
    <w:rsid w:val="39553AED"/>
    <w:rsid w:val="398C3287"/>
    <w:rsid w:val="39987E7E"/>
    <w:rsid w:val="39DF53D4"/>
    <w:rsid w:val="39E37174"/>
    <w:rsid w:val="3A0948D8"/>
    <w:rsid w:val="3A146617"/>
    <w:rsid w:val="3A372F24"/>
    <w:rsid w:val="3AA87B3E"/>
    <w:rsid w:val="3AD038A9"/>
    <w:rsid w:val="3B011008"/>
    <w:rsid w:val="3B1F3B20"/>
    <w:rsid w:val="3B247C1B"/>
    <w:rsid w:val="3B393E4F"/>
    <w:rsid w:val="3B4162DA"/>
    <w:rsid w:val="3B4E6A46"/>
    <w:rsid w:val="3B954675"/>
    <w:rsid w:val="3BC013AD"/>
    <w:rsid w:val="3BC96014"/>
    <w:rsid w:val="3BFC5EF5"/>
    <w:rsid w:val="3C196835"/>
    <w:rsid w:val="3C33410D"/>
    <w:rsid w:val="3C535179"/>
    <w:rsid w:val="3CA628B2"/>
    <w:rsid w:val="3D0A229A"/>
    <w:rsid w:val="3D176706"/>
    <w:rsid w:val="3D495A71"/>
    <w:rsid w:val="3DAA63EE"/>
    <w:rsid w:val="3DBA00D5"/>
    <w:rsid w:val="3DD1570D"/>
    <w:rsid w:val="3E612F34"/>
    <w:rsid w:val="3EB72B54"/>
    <w:rsid w:val="3EF943D8"/>
    <w:rsid w:val="3F581721"/>
    <w:rsid w:val="3F827606"/>
    <w:rsid w:val="3FC16E3E"/>
    <w:rsid w:val="3FC92B3F"/>
    <w:rsid w:val="3FE77469"/>
    <w:rsid w:val="401B0A60"/>
    <w:rsid w:val="40227C45"/>
    <w:rsid w:val="407744BB"/>
    <w:rsid w:val="407F0314"/>
    <w:rsid w:val="40C435CD"/>
    <w:rsid w:val="40E65973"/>
    <w:rsid w:val="410F0A26"/>
    <w:rsid w:val="411E7113"/>
    <w:rsid w:val="4140254C"/>
    <w:rsid w:val="41B077F8"/>
    <w:rsid w:val="41D43A1D"/>
    <w:rsid w:val="41E76807"/>
    <w:rsid w:val="41FA570F"/>
    <w:rsid w:val="42102B0B"/>
    <w:rsid w:val="421F113C"/>
    <w:rsid w:val="42381D17"/>
    <w:rsid w:val="425923E3"/>
    <w:rsid w:val="42D25CA3"/>
    <w:rsid w:val="42E82FD3"/>
    <w:rsid w:val="430D5748"/>
    <w:rsid w:val="431E31A2"/>
    <w:rsid w:val="437744BA"/>
    <w:rsid w:val="437E02C8"/>
    <w:rsid w:val="43924E7F"/>
    <w:rsid w:val="43A10A30"/>
    <w:rsid w:val="43A24A91"/>
    <w:rsid w:val="43AB527D"/>
    <w:rsid w:val="43D7259E"/>
    <w:rsid w:val="44033BC9"/>
    <w:rsid w:val="44093D0A"/>
    <w:rsid w:val="441D78FE"/>
    <w:rsid w:val="44534B0A"/>
    <w:rsid w:val="44E93C84"/>
    <w:rsid w:val="45076DD7"/>
    <w:rsid w:val="453A628D"/>
    <w:rsid w:val="456726AF"/>
    <w:rsid w:val="45AE2F45"/>
    <w:rsid w:val="45B85991"/>
    <w:rsid w:val="45C36283"/>
    <w:rsid w:val="45EC7454"/>
    <w:rsid w:val="46237025"/>
    <w:rsid w:val="464949DA"/>
    <w:rsid w:val="467A703C"/>
    <w:rsid w:val="46D52711"/>
    <w:rsid w:val="46E91D19"/>
    <w:rsid w:val="46F433E2"/>
    <w:rsid w:val="4703102D"/>
    <w:rsid w:val="471F398D"/>
    <w:rsid w:val="47843C0A"/>
    <w:rsid w:val="47C63E08"/>
    <w:rsid w:val="47CD6BD8"/>
    <w:rsid w:val="47E0504E"/>
    <w:rsid w:val="47F40975"/>
    <w:rsid w:val="4803505C"/>
    <w:rsid w:val="487C5999"/>
    <w:rsid w:val="48BD2DF5"/>
    <w:rsid w:val="48EA32C1"/>
    <w:rsid w:val="48F0738F"/>
    <w:rsid w:val="49956188"/>
    <w:rsid w:val="49BB5BEF"/>
    <w:rsid w:val="49DC38F2"/>
    <w:rsid w:val="49E257DC"/>
    <w:rsid w:val="4A11580F"/>
    <w:rsid w:val="4A23362D"/>
    <w:rsid w:val="4A631DE2"/>
    <w:rsid w:val="4A6F2225"/>
    <w:rsid w:val="4A8E3303"/>
    <w:rsid w:val="4AAA4E39"/>
    <w:rsid w:val="4AC138E3"/>
    <w:rsid w:val="4AE83E32"/>
    <w:rsid w:val="4B3B14E3"/>
    <w:rsid w:val="4B524A28"/>
    <w:rsid w:val="4B537687"/>
    <w:rsid w:val="4B864AB7"/>
    <w:rsid w:val="4BB679E9"/>
    <w:rsid w:val="4C3457E4"/>
    <w:rsid w:val="4C793EEC"/>
    <w:rsid w:val="4C9140AC"/>
    <w:rsid w:val="4CB132D9"/>
    <w:rsid w:val="4CB2309C"/>
    <w:rsid w:val="4CBB63B4"/>
    <w:rsid w:val="4CED443F"/>
    <w:rsid w:val="4D466E13"/>
    <w:rsid w:val="4D5E3945"/>
    <w:rsid w:val="4D846537"/>
    <w:rsid w:val="4D876232"/>
    <w:rsid w:val="4DDF79D2"/>
    <w:rsid w:val="4DFD3FFD"/>
    <w:rsid w:val="4E440D3E"/>
    <w:rsid w:val="4E52302E"/>
    <w:rsid w:val="4E604FB7"/>
    <w:rsid w:val="4E6A5E44"/>
    <w:rsid w:val="4EBE7F2F"/>
    <w:rsid w:val="4ED0458E"/>
    <w:rsid w:val="4EE259CC"/>
    <w:rsid w:val="4F156E1B"/>
    <w:rsid w:val="4F801100"/>
    <w:rsid w:val="4FAF4359"/>
    <w:rsid w:val="4FE44F22"/>
    <w:rsid w:val="5009267D"/>
    <w:rsid w:val="502F4C40"/>
    <w:rsid w:val="5046005F"/>
    <w:rsid w:val="50517375"/>
    <w:rsid w:val="50723ECC"/>
    <w:rsid w:val="50846819"/>
    <w:rsid w:val="510E69A0"/>
    <w:rsid w:val="514951D3"/>
    <w:rsid w:val="514F32C7"/>
    <w:rsid w:val="527159D7"/>
    <w:rsid w:val="529F5A78"/>
    <w:rsid w:val="52D85D27"/>
    <w:rsid w:val="52DF0B37"/>
    <w:rsid w:val="533B38FC"/>
    <w:rsid w:val="53595CAB"/>
    <w:rsid w:val="537E21FB"/>
    <w:rsid w:val="53980F25"/>
    <w:rsid w:val="53E47AF0"/>
    <w:rsid w:val="542D636C"/>
    <w:rsid w:val="544C2740"/>
    <w:rsid w:val="544E100F"/>
    <w:rsid w:val="549E5F97"/>
    <w:rsid w:val="54AB7028"/>
    <w:rsid w:val="54AC3C44"/>
    <w:rsid w:val="54B20484"/>
    <w:rsid w:val="54E05C10"/>
    <w:rsid w:val="555608A7"/>
    <w:rsid w:val="55CE406D"/>
    <w:rsid w:val="55E21D41"/>
    <w:rsid w:val="562F6DF0"/>
    <w:rsid w:val="56596676"/>
    <w:rsid w:val="56751593"/>
    <w:rsid w:val="56885D18"/>
    <w:rsid w:val="56DE116E"/>
    <w:rsid w:val="56E03A17"/>
    <w:rsid w:val="56F97D56"/>
    <w:rsid w:val="579966B2"/>
    <w:rsid w:val="57AC7B41"/>
    <w:rsid w:val="57E427B4"/>
    <w:rsid w:val="57F4175C"/>
    <w:rsid w:val="57FB7AFE"/>
    <w:rsid w:val="583567B9"/>
    <w:rsid w:val="58382F0D"/>
    <w:rsid w:val="583F79EB"/>
    <w:rsid w:val="589544B2"/>
    <w:rsid w:val="58A75590"/>
    <w:rsid w:val="58BC6A45"/>
    <w:rsid w:val="58C2457A"/>
    <w:rsid w:val="58DC226C"/>
    <w:rsid w:val="590458AB"/>
    <w:rsid w:val="59336F74"/>
    <w:rsid w:val="594343E1"/>
    <w:rsid w:val="59547C53"/>
    <w:rsid w:val="597D0D8E"/>
    <w:rsid w:val="599B15FA"/>
    <w:rsid w:val="59B826C1"/>
    <w:rsid w:val="5A094754"/>
    <w:rsid w:val="5A192C9C"/>
    <w:rsid w:val="5B0A6362"/>
    <w:rsid w:val="5B1B2F70"/>
    <w:rsid w:val="5B40608C"/>
    <w:rsid w:val="5B4517BC"/>
    <w:rsid w:val="5BAF6C35"/>
    <w:rsid w:val="5C143B5D"/>
    <w:rsid w:val="5C447CC6"/>
    <w:rsid w:val="5C615D97"/>
    <w:rsid w:val="5C92748F"/>
    <w:rsid w:val="5CA73C53"/>
    <w:rsid w:val="5CCB2F90"/>
    <w:rsid w:val="5CE20D9E"/>
    <w:rsid w:val="5CF93792"/>
    <w:rsid w:val="5D094BAD"/>
    <w:rsid w:val="5D333965"/>
    <w:rsid w:val="5D5C4B9B"/>
    <w:rsid w:val="5D6E668B"/>
    <w:rsid w:val="5D8A795A"/>
    <w:rsid w:val="5DA82FE8"/>
    <w:rsid w:val="5DAF5336"/>
    <w:rsid w:val="5E132963"/>
    <w:rsid w:val="5E1611EE"/>
    <w:rsid w:val="5E2E4E0D"/>
    <w:rsid w:val="5E2E6837"/>
    <w:rsid w:val="5E7FE102"/>
    <w:rsid w:val="5E850121"/>
    <w:rsid w:val="5EDF5A84"/>
    <w:rsid w:val="5EED762D"/>
    <w:rsid w:val="5EF52F05"/>
    <w:rsid w:val="5EF86B45"/>
    <w:rsid w:val="5EFB27FA"/>
    <w:rsid w:val="5F0F017D"/>
    <w:rsid w:val="5F5A0436"/>
    <w:rsid w:val="5F6E628F"/>
    <w:rsid w:val="5F724855"/>
    <w:rsid w:val="5F7F3C3F"/>
    <w:rsid w:val="5FF300F3"/>
    <w:rsid w:val="600F5EED"/>
    <w:rsid w:val="603718EF"/>
    <w:rsid w:val="6074208F"/>
    <w:rsid w:val="607B1D38"/>
    <w:rsid w:val="60B44CEE"/>
    <w:rsid w:val="60C96BA8"/>
    <w:rsid w:val="60CA3E6A"/>
    <w:rsid w:val="60E1047C"/>
    <w:rsid w:val="61104196"/>
    <w:rsid w:val="61131A15"/>
    <w:rsid w:val="6175447D"/>
    <w:rsid w:val="61872B16"/>
    <w:rsid w:val="61997E92"/>
    <w:rsid w:val="619E703C"/>
    <w:rsid w:val="619F6D82"/>
    <w:rsid w:val="61AE0FAA"/>
    <w:rsid w:val="61B53C9A"/>
    <w:rsid w:val="61BF6821"/>
    <w:rsid w:val="61C20E57"/>
    <w:rsid w:val="61EE4C7C"/>
    <w:rsid w:val="6208709F"/>
    <w:rsid w:val="624D2A3E"/>
    <w:rsid w:val="6269433C"/>
    <w:rsid w:val="629D4416"/>
    <w:rsid w:val="63205363"/>
    <w:rsid w:val="632D5787"/>
    <w:rsid w:val="633D3268"/>
    <w:rsid w:val="63446B70"/>
    <w:rsid w:val="63697345"/>
    <w:rsid w:val="63E92F01"/>
    <w:rsid w:val="64110720"/>
    <w:rsid w:val="641A5F05"/>
    <w:rsid w:val="643F1DD1"/>
    <w:rsid w:val="645C1690"/>
    <w:rsid w:val="64786E73"/>
    <w:rsid w:val="6492186F"/>
    <w:rsid w:val="64925826"/>
    <w:rsid w:val="649A3C7C"/>
    <w:rsid w:val="649B0972"/>
    <w:rsid w:val="64A831B5"/>
    <w:rsid w:val="64B33C3A"/>
    <w:rsid w:val="64B7062A"/>
    <w:rsid w:val="64EA6A26"/>
    <w:rsid w:val="650755D0"/>
    <w:rsid w:val="656B4C28"/>
    <w:rsid w:val="65705687"/>
    <w:rsid w:val="65CA4715"/>
    <w:rsid w:val="65F31E15"/>
    <w:rsid w:val="660D1128"/>
    <w:rsid w:val="66AA0C02"/>
    <w:rsid w:val="66AE0408"/>
    <w:rsid w:val="66B21CD0"/>
    <w:rsid w:val="670308CC"/>
    <w:rsid w:val="67340937"/>
    <w:rsid w:val="676A5052"/>
    <w:rsid w:val="6773313C"/>
    <w:rsid w:val="67984BEF"/>
    <w:rsid w:val="67A64F33"/>
    <w:rsid w:val="67AE70C2"/>
    <w:rsid w:val="67CB0711"/>
    <w:rsid w:val="67E33188"/>
    <w:rsid w:val="67E6745B"/>
    <w:rsid w:val="68702EA7"/>
    <w:rsid w:val="68890DEB"/>
    <w:rsid w:val="688F483C"/>
    <w:rsid w:val="68AB58FF"/>
    <w:rsid w:val="68C24E58"/>
    <w:rsid w:val="68C27CB6"/>
    <w:rsid w:val="68E87C2B"/>
    <w:rsid w:val="69294508"/>
    <w:rsid w:val="69BA3ACA"/>
    <w:rsid w:val="69FD44F8"/>
    <w:rsid w:val="6A6E6993"/>
    <w:rsid w:val="6AAF2002"/>
    <w:rsid w:val="6B077D22"/>
    <w:rsid w:val="6B0C56BF"/>
    <w:rsid w:val="6B1E1665"/>
    <w:rsid w:val="6B7B177C"/>
    <w:rsid w:val="6B8F25DF"/>
    <w:rsid w:val="6BDB0F5C"/>
    <w:rsid w:val="6C470EB9"/>
    <w:rsid w:val="6C8D5649"/>
    <w:rsid w:val="6CA428C6"/>
    <w:rsid w:val="6CA62E0A"/>
    <w:rsid w:val="6CB9638A"/>
    <w:rsid w:val="6CC15A8B"/>
    <w:rsid w:val="6CC534F3"/>
    <w:rsid w:val="6CE24345"/>
    <w:rsid w:val="6D582B5E"/>
    <w:rsid w:val="6D6261FE"/>
    <w:rsid w:val="6D9B3548"/>
    <w:rsid w:val="6D9F6AC5"/>
    <w:rsid w:val="6DBF2D8A"/>
    <w:rsid w:val="6DF45878"/>
    <w:rsid w:val="6E0459CE"/>
    <w:rsid w:val="6E0E77CD"/>
    <w:rsid w:val="6E4A088E"/>
    <w:rsid w:val="6E6C0A78"/>
    <w:rsid w:val="6E82467D"/>
    <w:rsid w:val="6EA33289"/>
    <w:rsid w:val="6EA563D0"/>
    <w:rsid w:val="6EA862CB"/>
    <w:rsid w:val="6EAF0CB1"/>
    <w:rsid w:val="6EC11137"/>
    <w:rsid w:val="6EF05F56"/>
    <w:rsid w:val="6EF106CD"/>
    <w:rsid w:val="6EFF2EAA"/>
    <w:rsid w:val="6F1F1ECC"/>
    <w:rsid w:val="6F225B20"/>
    <w:rsid w:val="6F234E7C"/>
    <w:rsid w:val="6F29102D"/>
    <w:rsid w:val="6F362E9E"/>
    <w:rsid w:val="6F3C70AC"/>
    <w:rsid w:val="6FC560EF"/>
    <w:rsid w:val="6FD66A2F"/>
    <w:rsid w:val="707D50FC"/>
    <w:rsid w:val="70A97482"/>
    <w:rsid w:val="70D71467"/>
    <w:rsid w:val="70D90EB2"/>
    <w:rsid w:val="71116553"/>
    <w:rsid w:val="718B4378"/>
    <w:rsid w:val="71B30F06"/>
    <w:rsid w:val="71C224FB"/>
    <w:rsid w:val="71CB3F0D"/>
    <w:rsid w:val="71DB527A"/>
    <w:rsid w:val="71E26813"/>
    <w:rsid w:val="72231CD3"/>
    <w:rsid w:val="7265245B"/>
    <w:rsid w:val="72705CBE"/>
    <w:rsid w:val="72711B62"/>
    <w:rsid w:val="72AC67BD"/>
    <w:rsid w:val="72C55C32"/>
    <w:rsid w:val="73264BD7"/>
    <w:rsid w:val="7327625C"/>
    <w:rsid w:val="73337CF4"/>
    <w:rsid w:val="73AD02C4"/>
    <w:rsid w:val="73B643BB"/>
    <w:rsid w:val="73B928EF"/>
    <w:rsid w:val="73E358C7"/>
    <w:rsid w:val="73ED7645"/>
    <w:rsid w:val="73F22222"/>
    <w:rsid w:val="744C3764"/>
    <w:rsid w:val="745D31A8"/>
    <w:rsid w:val="746D7236"/>
    <w:rsid w:val="749C1137"/>
    <w:rsid w:val="74D15A17"/>
    <w:rsid w:val="74ED238A"/>
    <w:rsid w:val="752B5767"/>
    <w:rsid w:val="758E1BE9"/>
    <w:rsid w:val="75C80F9A"/>
    <w:rsid w:val="75EA3234"/>
    <w:rsid w:val="76116A13"/>
    <w:rsid w:val="763F3184"/>
    <w:rsid w:val="76863FA9"/>
    <w:rsid w:val="768C0CA4"/>
    <w:rsid w:val="76AB5097"/>
    <w:rsid w:val="76B422CA"/>
    <w:rsid w:val="7724364C"/>
    <w:rsid w:val="774920AD"/>
    <w:rsid w:val="775708E9"/>
    <w:rsid w:val="77584C68"/>
    <w:rsid w:val="77753C60"/>
    <w:rsid w:val="77AD002E"/>
    <w:rsid w:val="77C27899"/>
    <w:rsid w:val="780427CA"/>
    <w:rsid w:val="78123764"/>
    <w:rsid w:val="782457D5"/>
    <w:rsid w:val="784C0892"/>
    <w:rsid w:val="785A7582"/>
    <w:rsid w:val="78886D34"/>
    <w:rsid w:val="7893218B"/>
    <w:rsid w:val="78E33D36"/>
    <w:rsid w:val="7973153B"/>
    <w:rsid w:val="79C766DD"/>
    <w:rsid w:val="7A30335A"/>
    <w:rsid w:val="7A523156"/>
    <w:rsid w:val="7A5326D0"/>
    <w:rsid w:val="7A643D4D"/>
    <w:rsid w:val="7A6F1DB1"/>
    <w:rsid w:val="7A747570"/>
    <w:rsid w:val="7A7F565E"/>
    <w:rsid w:val="7A85119A"/>
    <w:rsid w:val="7AD9673C"/>
    <w:rsid w:val="7B5A41AA"/>
    <w:rsid w:val="7BB00C9D"/>
    <w:rsid w:val="7BFA371C"/>
    <w:rsid w:val="7C2D18C4"/>
    <w:rsid w:val="7C436416"/>
    <w:rsid w:val="7C9D5523"/>
    <w:rsid w:val="7CBE1A14"/>
    <w:rsid w:val="7CDB5685"/>
    <w:rsid w:val="7D276B1C"/>
    <w:rsid w:val="7D6134ED"/>
    <w:rsid w:val="7D933DF3"/>
    <w:rsid w:val="7DB303AF"/>
    <w:rsid w:val="7DB34C72"/>
    <w:rsid w:val="7DDD4202"/>
    <w:rsid w:val="7E063F45"/>
    <w:rsid w:val="7E0E14A5"/>
    <w:rsid w:val="7E6D0B87"/>
    <w:rsid w:val="7EAD12A3"/>
    <w:rsid w:val="7EB30231"/>
    <w:rsid w:val="7F0569E9"/>
    <w:rsid w:val="7FCA31D7"/>
    <w:rsid w:val="7FD44418"/>
    <w:rsid w:val="7FF72562"/>
    <w:rsid w:val="FBFFC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7"/>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autoRedefine/>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autoRedefine/>
    <w:qFormat/>
    <w:uiPriority w:val="0"/>
    <w:pPr>
      <w:keepNext/>
      <w:keepLines/>
      <w:spacing w:line="415" w:lineRule="auto"/>
      <w:jc w:val="center"/>
      <w:outlineLvl w:val="1"/>
    </w:pPr>
    <w:rPr>
      <w:rFonts w:ascii="Arial" w:hAnsi="Arial" w:eastAsia="黑体" w:cs="Times New Roman"/>
      <w:b/>
      <w:bCs/>
      <w:sz w:val="32"/>
      <w:szCs w:val="32"/>
    </w:rPr>
  </w:style>
  <w:style w:type="paragraph" w:styleId="5">
    <w:name w:val="heading 4"/>
    <w:basedOn w:val="1"/>
    <w:next w:val="1"/>
    <w:autoRedefine/>
    <w:semiHidden/>
    <w:unhideWhenUsed/>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8">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macro"/>
    <w:link w:val="52"/>
    <w:autoRedefine/>
    <w:qFormat/>
    <w:uiPriority w:val="0"/>
    <w:pPr>
      <w:tabs>
        <w:tab w:val="left" w:pos="480"/>
        <w:tab w:val="left" w:pos="960"/>
        <w:tab w:val="left" w:pos="1440"/>
        <w:tab w:val="left" w:pos="1920"/>
        <w:tab w:val="left" w:pos="2400"/>
        <w:tab w:val="left" w:pos="2880"/>
        <w:tab w:val="left" w:pos="3360"/>
        <w:tab w:val="left" w:pos="3840"/>
        <w:tab w:val="left" w:pos="4320"/>
      </w:tabs>
      <w:snapToGrid w:val="0"/>
      <w:textAlignment w:val="baseline"/>
    </w:pPr>
    <w:rPr>
      <w:rFonts w:ascii="Courier New" w:hAnsi="Courier New" w:eastAsia="宋体" w:cstheme="minorBidi"/>
      <w:kern w:val="2"/>
      <w:sz w:val="24"/>
      <w:szCs w:val="24"/>
      <w:lang w:val="en-US" w:eastAsia="zh-CN" w:bidi="ar-SA"/>
    </w:rPr>
  </w:style>
  <w:style w:type="paragraph" w:styleId="6">
    <w:name w:val="caption"/>
    <w:basedOn w:val="1"/>
    <w:next w:val="1"/>
    <w:autoRedefine/>
    <w:qFormat/>
    <w:uiPriority w:val="0"/>
    <w:rPr>
      <w:rFonts w:ascii="Cambria" w:hAnsi="Cambria" w:eastAsia="黑体"/>
      <w:sz w:val="20"/>
      <w:szCs w:val="20"/>
    </w:rPr>
  </w:style>
  <w:style w:type="paragraph" w:styleId="7">
    <w:name w:val="Salutation"/>
    <w:basedOn w:val="1"/>
    <w:next w:val="1"/>
    <w:link w:val="84"/>
    <w:autoRedefine/>
    <w:qFormat/>
    <w:uiPriority w:val="0"/>
    <w:rPr>
      <w:kern w:val="0"/>
      <w:sz w:val="20"/>
    </w:rPr>
  </w:style>
  <w:style w:type="paragraph" w:styleId="8">
    <w:name w:val="Closing"/>
    <w:basedOn w:val="1"/>
    <w:link w:val="87"/>
    <w:autoRedefine/>
    <w:qFormat/>
    <w:uiPriority w:val="0"/>
    <w:pPr>
      <w:ind w:left="100" w:leftChars="2100"/>
    </w:pPr>
    <w:rPr>
      <w:kern w:val="0"/>
      <w:sz w:val="20"/>
    </w:rPr>
  </w:style>
  <w:style w:type="paragraph" w:styleId="9">
    <w:name w:val="Body Text"/>
    <w:basedOn w:val="1"/>
    <w:autoRedefine/>
    <w:qFormat/>
    <w:uiPriority w:val="0"/>
    <w:rPr>
      <w:rFonts w:hint="eastAsia" w:ascii="Calibri" w:hAnsi="Calibri"/>
      <w:sz w:val="22"/>
    </w:rPr>
  </w:style>
  <w:style w:type="paragraph" w:styleId="10">
    <w:name w:val="Body Text Indent"/>
    <w:basedOn w:val="1"/>
    <w:next w:val="11"/>
    <w:autoRedefine/>
    <w:qFormat/>
    <w:uiPriority w:val="0"/>
    <w:pPr>
      <w:overflowPunct w:val="0"/>
      <w:autoSpaceDE w:val="0"/>
      <w:autoSpaceDN w:val="0"/>
      <w:adjustRightInd w:val="0"/>
      <w:spacing w:line="360" w:lineRule="auto"/>
      <w:ind w:firstLine="540"/>
    </w:pPr>
    <w:rPr>
      <w:rFonts w:ascii="宋体" w:hAnsi="MS Sans Serif"/>
      <w:spacing w:val="12"/>
      <w:sz w:val="24"/>
    </w:rPr>
  </w:style>
  <w:style w:type="paragraph" w:styleId="11">
    <w:name w:val="envelope return"/>
    <w:basedOn w:val="1"/>
    <w:autoRedefine/>
    <w:qFormat/>
    <w:uiPriority w:val="0"/>
    <w:pPr>
      <w:snapToGrid w:val="0"/>
    </w:pPr>
    <w:rPr>
      <w:rFonts w:ascii="Arial" w:hAnsi="Arial"/>
    </w:rPr>
  </w:style>
  <w:style w:type="paragraph" w:styleId="12">
    <w:name w:val="List 2"/>
    <w:basedOn w:val="1"/>
    <w:qFormat/>
    <w:uiPriority w:val="0"/>
    <w:pPr>
      <w:ind w:left="100" w:leftChars="200" w:hanging="200" w:hangingChars="200"/>
    </w:pPr>
  </w:style>
  <w:style w:type="paragraph" w:styleId="13">
    <w:name w:val="Block Text"/>
    <w:basedOn w:val="1"/>
    <w:autoRedefine/>
    <w:qFormat/>
    <w:uiPriority w:val="0"/>
    <w:pPr>
      <w:spacing w:after="120" w:afterLines="0"/>
      <w:ind w:left="1440" w:leftChars="700" w:right="1440" w:rightChars="700"/>
    </w:pPr>
  </w:style>
  <w:style w:type="paragraph" w:styleId="14">
    <w:name w:val="toc 5"/>
    <w:basedOn w:val="1"/>
    <w:next w:val="1"/>
    <w:unhideWhenUsed/>
    <w:qFormat/>
    <w:uiPriority w:val="39"/>
    <w:pPr>
      <w:ind w:left="840"/>
      <w:jc w:val="left"/>
    </w:pPr>
    <w:rPr>
      <w:rFonts w:ascii="Calibri" w:hAnsi="Calibri" w:cs="Calibri"/>
      <w:sz w:val="18"/>
      <w:szCs w:val="18"/>
    </w:r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link w:val="107"/>
    <w:autoRedefine/>
    <w:qFormat/>
    <w:uiPriority w:val="0"/>
    <w:rPr>
      <w:rFonts w:ascii="Calibri" w:hAnsi="Calibri"/>
      <w:kern w:val="0"/>
      <w:sz w:val="24"/>
      <w:szCs w:val="20"/>
    </w:rPr>
  </w:style>
  <w:style w:type="paragraph" w:styleId="17">
    <w:name w:val="footer"/>
    <w:basedOn w:val="1"/>
    <w:link w:val="115"/>
    <w:autoRedefine/>
    <w:qFormat/>
    <w:uiPriority w:val="0"/>
    <w:pPr>
      <w:tabs>
        <w:tab w:val="center" w:pos="4153"/>
        <w:tab w:val="right" w:pos="8306"/>
      </w:tabs>
      <w:snapToGrid w:val="0"/>
      <w:jc w:val="left"/>
    </w:pPr>
    <w:rPr>
      <w:rFonts w:ascii="Calibri" w:hAnsi="Calibri"/>
      <w:kern w:val="0"/>
      <w:sz w:val="18"/>
      <w:szCs w:val="18"/>
    </w:rPr>
  </w:style>
  <w:style w:type="paragraph" w:styleId="18">
    <w:name w:val="header"/>
    <w:basedOn w:val="1"/>
    <w:next w:val="1"/>
    <w:link w:val="116"/>
    <w:autoRedefine/>
    <w:qFormat/>
    <w:uiPriority w:val="0"/>
    <w:pPr>
      <w:pBdr>
        <w:bottom w:val="single" w:color="000000" w:sz="6" w:space="1"/>
      </w:pBdr>
      <w:tabs>
        <w:tab w:val="center" w:pos="4153"/>
        <w:tab w:val="right" w:pos="8306"/>
      </w:tabs>
      <w:snapToGrid w:val="0"/>
      <w:jc w:val="center"/>
    </w:pPr>
    <w:rPr>
      <w:rFonts w:ascii="Calibri" w:hAnsi="Calibri"/>
      <w:kern w:val="0"/>
      <w:sz w:val="18"/>
      <w:szCs w:val="18"/>
    </w:rPr>
  </w:style>
  <w:style w:type="paragraph" w:styleId="19">
    <w:name w:val="Signature"/>
    <w:basedOn w:val="1"/>
    <w:link w:val="117"/>
    <w:autoRedefine/>
    <w:qFormat/>
    <w:uiPriority w:val="0"/>
    <w:pPr>
      <w:ind w:left="100" w:leftChars="2100"/>
    </w:pPr>
    <w:rPr>
      <w:kern w:val="0"/>
      <w:sz w:val="20"/>
    </w:rPr>
  </w:style>
  <w:style w:type="paragraph" w:styleId="20">
    <w:name w:val="Subtitle"/>
    <w:basedOn w:val="1"/>
    <w:next w:val="1"/>
    <w:link w:val="123"/>
    <w:autoRedefine/>
    <w:qFormat/>
    <w:uiPriority w:val="0"/>
    <w:pPr>
      <w:spacing w:before="240" w:after="60" w:line="312" w:lineRule="auto"/>
      <w:jc w:val="center"/>
    </w:pPr>
    <w:rPr>
      <w:rFonts w:ascii="Cambria" w:hAnsi="Cambria" w:cs="Calibri"/>
      <w:b/>
      <w:bCs/>
      <w:kern w:val="28"/>
      <w:sz w:val="32"/>
      <w:szCs w:val="32"/>
    </w:rPr>
  </w:style>
  <w:style w:type="paragraph" w:styleId="21">
    <w:name w:val="List"/>
    <w:basedOn w:val="1"/>
    <w:autoRedefine/>
    <w:qFormat/>
    <w:uiPriority w:val="0"/>
    <w:pPr>
      <w:ind w:left="200" w:hanging="200" w:hangingChars="200"/>
    </w:pPr>
  </w:style>
  <w:style w:type="paragraph" w:styleId="22">
    <w:name w:val="Body Text Indent 3"/>
    <w:basedOn w:val="1"/>
    <w:next w:val="1"/>
    <w:autoRedefine/>
    <w:qFormat/>
    <w:uiPriority w:val="0"/>
    <w:pPr>
      <w:spacing w:after="120"/>
      <w:ind w:left="420" w:leftChars="200"/>
    </w:pPr>
    <w:rPr>
      <w:kern w:val="0"/>
      <w:sz w:val="16"/>
      <w:szCs w:val="16"/>
    </w:rPr>
  </w:style>
  <w:style w:type="paragraph" w:styleId="23">
    <w:name w:val="Normal (Web)"/>
    <w:basedOn w:val="1"/>
    <w:autoRedefine/>
    <w:qFormat/>
    <w:uiPriority w:val="0"/>
    <w:pPr>
      <w:jc w:val="left"/>
    </w:pPr>
    <w:rPr>
      <w:rFonts w:cs="Times New Roman"/>
      <w:kern w:val="0"/>
      <w:sz w:val="24"/>
    </w:rPr>
  </w:style>
  <w:style w:type="paragraph" w:styleId="24">
    <w:name w:val="index 1"/>
    <w:basedOn w:val="1"/>
    <w:next w:val="1"/>
    <w:autoRedefine/>
    <w:qFormat/>
    <w:uiPriority w:val="0"/>
    <w:rPr>
      <w:rFonts w:ascii="宋体" w:hAnsi="宋体" w:cs="Times New Roman"/>
      <w:b/>
      <w:bCs/>
    </w:rPr>
  </w:style>
  <w:style w:type="paragraph" w:styleId="25">
    <w:name w:val="Title"/>
    <w:basedOn w:val="1"/>
    <w:link w:val="147"/>
    <w:autoRedefine/>
    <w:qFormat/>
    <w:uiPriority w:val="0"/>
    <w:pPr>
      <w:spacing w:before="240" w:after="60" w:line="420" w:lineRule="atLeast"/>
      <w:jc w:val="center"/>
    </w:pPr>
    <w:rPr>
      <w:rFonts w:ascii="Arial" w:hAnsi="Arial"/>
      <w:b/>
      <w:kern w:val="0"/>
      <w:sz w:val="32"/>
      <w:szCs w:val="20"/>
    </w:rPr>
  </w:style>
  <w:style w:type="paragraph" w:styleId="26">
    <w:name w:val="Body Text First Indent 2"/>
    <w:basedOn w:val="10"/>
    <w:next w:val="1"/>
    <w:autoRedefine/>
    <w:unhideWhenUsed/>
    <w:qFormat/>
    <w:uiPriority w:val="99"/>
    <w:pPr>
      <w:ind w:firstLine="420" w:firstLineChars="200"/>
    </w:pPr>
  </w:style>
  <w:style w:type="character" w:styleId="29">
    <w:name w:val="Strong"/>
    <w:autoRedefine/>
    <w:qFormat/>
    <w:uiPriority w:val="0"/>
    <w:rPr>
      <w:rFonts w:cs="Calibri"/>
      <w:b/>
      <w:bCs/>
    </w:rPr>
  </w:style>
  <w:style w:type="character" w:styleId="30">
    <w:name w:val="page number"/>
    <w:basedOn w:val="28"/>
    <w:autoRedefine/>
    <w:qFormat/>
    <w:uiPriority w:val="0"/>
  </w:style>
  <w:style w:type="character" w:styleId="31">
    <w:name w:val="FollowedHyperlink"/>
    <w:autoRedefine/>
    <w:qFormat/>
    <w:uiPriority w:val="0"/>
    <w:rPr>
      <w:color w:val="800080"/>
      <w:u w:val="single"/>
    </w:rPr>
  </w:style>
  <w:style w:type="character" w:styleId="32">
    <w:name w:val="Emphasis"/>
    <w:autoRedefine/>
    <w:qFormat/>
    <w:uiPriority w:val="0"/>
    <w:rPr>
      <w:i/>
      <w:iCs/>
    </w:rPr>
  </w:style>
  <w:style w:type="character" w:styleId="33">
    <w:name w:val="Hyperlink"/>
    <w:autoRedefine/>
    <w:qFormat/>
    <w:uiPriority w:val="0"/>
    <w:rPr>
      <w:color w:val="0000FF"/>
      <w:u w:val="single"/>
    </w:rPr>
  </w:style>
  <w:style w:type="paragraph" w:customStyle="1" w:styleId="34">
    <w:name w:val="BodyText1I2"/>
    <w:basedOn w:val="35"/>
    <w:link w:val="50"/>
    <w:autoRedefine/>
    <w:qFormat/>
    <w:uiPriority w:val="0"/>
    <w:pPr>
      <w:ind w:firstLine="420" w:firstLineChars="200"/>
    </w:pPr>
  </w:style>
  <w:style w:type="paragraph" w:customStyle="1" w:styleId="35">
    <w:name w:val="BodyTextIndent"/>
    <w:basedOn w:val="1"/>
    <w:next w:val="36"/>
    <w:link w:val="49"/>
    <w:autoRedefine/>
    <w:qFormat/>
    <w:uiPriority w:val="0"/>
    <w:pPr>
      <w:spacing w:after="120"/>
      <w:ind w:left="420" w:leftChars="200"/>
    </w:pPr>
    <w:rPr>
      <w:rFonts w:ascii="Calibri" w:hAnsi="Calibri"/>
      <w:kern w:val="0"/>
      <w:sz w:val="20"/>
    </w:rPr>
  </w:style>
  <w:style w:type="paragraph" w:customStyle="1" w:styleId="36">
    <w:name w:val="EnvelopeReturn"/>
    <w:basedOn w:val="1"/>
    <w:autoRedefine/>
    <w:qFormat/>
    <w:uiPriority w:val="0"/>
    <w:pPr>
      <w:snapToGrid w:val="0"/>
    </w:pPr>
    <w:rPr>
      <w:rFonts w:ascii="Arial" w:hAnsi="Arial"/>
    </w:rPr>
  </w:style>
  <w:style w:type="paragraph" w:customStyle="1" w:styleId="37">
    <w:name w:val="样式 ！正文 + 首行缩进:  2 字符"/>
    <w:basedOn w:val="1"/>
    <w:next w:val="1"/>
    <w:autoRedefine/>
    <w:qFormat/>
    <w:uiPriority w:val="0"/>
    <w:pPr>
      <w:ind w:firstLine="480" w:firstLineChars="200"/>
    </w:pPr>
    <w:rPr>
      <w:rFonts w:hint="eastAsia" w:ascii="Arial" w:hAnsi="Arial" w:cs="宋体"/>
    </w:rPr>
  </w:style>
  <w:style w:type="paragraph" w:customStyle="1" w:styleId="38">
    <w:name w:val="Heading1"/>
    <w:basedOn w:val="1"/>
    <w:next w:val="1"/>
    <w:link w:val="53"/>
    <w:autoRedefine/>
    <w:qFormat/>
    <w:uiPriority w:val="0"/>
    <w:pPr>
      <w:keepNext/>
      <w:keepLines/>
      <w:spacing w:before="340" w:after="330" w:line="578" w:lineRule="auto"/>
    </w:pPr>
    <w:rPr>
      <w:rFonts w:cs="Calibri"/>
      <w:b/>
      <w:bCs/>
      <w:kern w:val="44"/>
      <w:sz w:val="44"/>
      <w:szCs w:val="44"/>
    </w:rPr>
  </w:style>
  <w:style w:type="paragraph" w:customStyle="1" w:styleId="39">
    <w:name w:val="Heading2"/>
    <w:basedOn w:val="1"/>
    <w:next w:val="1"/>
    <w:link w:val="54"/>
    <w:autoRedefine/>
    <w:qFormat/>
    <w:uiPriority w:val="0"/>
    <w:pPr>
      <w:keepNext/>
      <w:keepLines/>
      <w:spacing w:before="260" w:after="260" w:line="416" w:lineRule="auto"/>
    </w:pPr>
    <w:rPr>
      <w:rFonts w:ascii="Arial" w:hAnsi="Arial" w:eastAsia="黑体" w:cs="Calibri"/>
      <w:b/>
      <w:bCs/>
      <w:kern w:val="0"/>
      <w:sz w:val="32"/>
      <w:szCs w:val="32"/>
    </w:rPr>
  </w:style>
  <w:style w:type="paragraph" w:customStyle="1" w:styleId="40">
    <w:name w:val="Heading3"/>
    <w:basedOn w:val="1"/>
    <w:next w:val="1"/>
    <w:link w:val="55"/>
    <w:autoRedefine/>
    <w:qFormat/>
    <w:uiPriority w:val="0"/>
    <w:pPr>
      <w:keepNext/>
      <w:keepLines/>
      <w:spacing w:before="260" w:after="260" w:line="416" w:lineRule="auto"/>
    </w:pPr>
    <w:rPr>
      <w:rFonts w:cs="Calibri"/>
      <w:b/>
      <w:bCs/>
      <w:kern w:val="0"/>
      <w:sz w:val="32"/>
      <w:szCs w:val="32"/>
    </w:rPr>
  </w:style>
  <w:style w:type="paragraph" w:customStyle="1" w:styleId="41">
    <w:name w:val="Heading4"/>
    <w:basedOn w:val="1"/>
    <w:next w:val="1"/>
    <w:link w:val="56"/>
    <w:autoRedefine/>
    <w:qFormat/>
    <w:uiPriority w:val="0"/>
    <w:pPr>
      <w:keepNext/>
      <w:keepLines/>
      <w:spacing w:before="280" w:after="290" w:line="376" w:lineRule="auto"/>
    </w:pPr>
    <w:rPr>
      <w:rFonts w:ascii="Arial" w:hAnsi="Arial" w:eastAsia="黑体" w:cs="Calibri"/>
      <w:b/>
      <w:bCs/>
      <w:kern w:val="0"/>
      <w:sz w:val="28"/>
      <w:szCs w:val="28"/>
    </w:rPr>
  </w:style>
  <w:style w:type="paragraph" w:customStyle="1" w:styleId="42">
    <w:name w:val="Heading5"/>
    <w:basedOn w:val="1"/>
    <w:next w:val="1"/>
    <w:link w:val="57"/>
    <w:autoRedefine/>
    <w:qFormat/>
    <w:uiPriority w:val="0"/>
    <w:pPr>
      <w:keepNext/>
      <w:keepLines/>
      <w:spacing w:before="280" w:after="290" w:line="376" w:lineRule="auto"/>
    </w:pPr>
    <w:rPr>
      <w:rFonts w:cs="Calibri"/>
      <w:b/>
      <w:bCs/>
      <w:kern w:val="0"/>
      <w:sz w:val="28"/>
      <w:szCs w:val="28"/>
    </w:rPr>
  </w:style>
  <w:style w:type="paragraph" w:customStyle="1" w:styleId="43">
    <w:name w:val="Heading6"/>
    <w:basedOn w:val="1"/>
    <w:next w:val="1"/>
    <w:link w:val="58"/>
    <w:autoRedefine/>
    <w:qFormat/>
    <w:uiPriority w:val="0"/>
    <w:pPr>
      <w:keepNext/>
      <w:keepLines/>
      <w:tabs>
        <w:tab w:val="left" w:pos="1440"/>
      </w:tabs>
      <w:spacing w:before="240" w:after="64" w:line="320" w:lineRule="auto"/>
      <w:ind w:left="1152" w:hanging="1152"/>
      <w:jc w:val="left"/>
    </w:pPr>
    <w:rPr>
      <w:rFonts w:ascii="Arial" w:hAnsi="Arial" w:eastAsia="黑体" w:cs="Calibri"/>
      <w:b/>
      <w:bCs/>
      <w:kern w:val="0"/>
      <w:sz w:val="24"/>
    </w:rPr>
  </w:style>
  <w:style w:type="paragraph" w:customStyle="1" w:styleId="44">
    <w:name w:val="Heading7"/>
    <w:basedOn w:val="1"/>
    <w:next w:val="1"/>
    <w:link w:val="59"/>
    <w:autoRedefine/>
    <w:qFormat/>
    <w:uiPriority w:val="0"/>
    <w:pPr>
      <w:keepNext/>
      <w:keepLines/>
      <w:tabs>
        <w:tab w:val="left" w:pos="2520"/>
      </w:tabs>
      <w:spacing w:before="240" w:after="64" w:line="320" w:lineRule="auto"/>
      <w:ind w:left="1296" w:hanging="1296"/>
      <w:jc w:val="left"/>
    </w:pPr>
    <w:rPr>
      <w:rFonts w:cs="Calibri"/>
      <w:b/>
      <w:bCs/>
      <w:kern w:val="0"/>
      <w:sz w:val="24"/>
    </w:rPr>
  </w:style>
  <w:style w:type="paragraph" w:customStyle="1" w:styleId="45">
    <w:name w:val="Heading8"/>
    <w:basedOn w:val="1"/>
    <w:next w:val="1"/>
    <w:link w:val="60"/>
    <w:autoRedefine/>
    <w:qFormat/>
    <w:uiPriority w:val="0"/>
    <w:pPr>
      <w:keepNext/>
      <w:keepLines/>
      <w:tabs>
        <w:tab w:val="left" w:pos="1440"/>
      </w:tabs>
      <w:spacing w:before="240" w:after="64" w:line="320" w:lineRule="auto"/>
      <w:ind w:left="1440" w:hanging="1440"/>
      <w:jc w:val="left"/>
    </w:pPr>
    <w:rPr>
      <w:rFonts w:ascii="Arial" w:hAnsi="Arial" w:eastAsia="黑体"/>
      <w:kern w:val="0"/>
      <w:sz w:val="24"/>
    </w:rPr>
  </w:style>
  <w:style w:type="paragraph" w:customStyle="1" w:styleId="46">
    <w:name w:val="Heading9"/>
    <w:basedOn w:val="1"/>
    <w:next w:val="1"/>
    <w:link w:val="61"/>
    <w:autoRedefine/>
    <w:qFormat/>
    <w:uiPriority w:val="0"/>
    <w:pPr>
      <w:keepNext/>
      <w:keepLines/>
      <w:tabs>
        <w:tab w:val="left" w:pos="1584"/>
      </w:tabs>
      <w:spacing w:before="240" w:after="64" w:line="320" w:lineRule="auto"/>
      <w:ind w:left="1584" w:hanging="1584"/>
      <w:jc w:val="left"/>
    </w:pPr>
    <w:rPr>
      <w:rFonts w:ascii="Arial" w:hAnsi="Arial" w:eastAsia="黑体"/>
      <w:kern w:val="0"/>
      <w:sz w:val="20"/>
      <w:szCs w:val="21"/>
    </w:rPr>
  </w:style>
  <w:style w:type="character" w:customStyle="1" w:styleId="47">
    <w:name w:val="NormalCharacter"/>
    <w:link w:val="1"/>
    <w:autoRedefine/>
    <w:qFormat/>
    <w:uiPriority w:val="0"/>
    <w:rPr>
      <w:rFonts w:ascii="Times New Roman" w:hAnsi="Times New Roman" w:eastAsia="宋体" w:cstheme="minorBidi"/>
      <w:kern w:val="2"/>
      <w:sz w:val="21"/>
      <w:szCs w:val="24"/>
      <w:lang w:val="en-US" w:eastAsia="zh-CN" w:bidi="ar-SA"/>
    </w:rPr>
  </w:style>
  <w:style w:type="table" w:customStyle="1" w:styleId="48">
    <w:name w:val="TableNormal"/>
    <w:autoRedefine/>
    <w:qFormat/>
    <w:uiPriority w:val="0"/>
    <w:tblPr>
      <w:tblCellMar>
        <w:top w:w="0" w:type="dxa"/>
        <w:left w:w="0" w:type="dxa"/>
        <w:bottom w:w="0" w:type="dxa"/>
        <w:right w:w="0" w:type="dxa"/>
      </w:tblCellMar>
    </w:tblPr>
  </w:style>
  <w:style w:type="character" w:customStyle="1" w:styleId="49">
    <w:name w:val="UserStyle_0"/>
    <w:link w:val="35"/>
    <w:autoRedefine/>
    <w:qFormat/>
    <w:uiPriority w:val="0"/>
    <w:rPr>
      <w:szCs w:val="24"/>
    </w:rPr>
  </w:style>
  <w:style w:type="character" w:customStyle="1" w:styleId="50">
    <w:name w:val="UserStyle_1"/>
    <w:basedOn w:val="51"/>
    <w:link w:val="34"/>
    <w:autoRedefine/>
    <w:qFormat/>
    <w:uiPriority w:val="0"/>
    <w:rPr>
      <w:rFonts w:ascii="Times New Roman" w:hAnsi="Times New Roman" w:eastAsia="宋体"/>
      <w:szCs w:val="24"/>
    </w:rPr>
  </w:style>
  <w:style w:type="character" w:customStyle="1" w:styleId="51">
    <w:name w:val="UserStyle_2"/>
    <w:autoRedefine/>
    <w:qFormat/>
    <w:uiPriority w:val="0"/>
    <w:rPr>
      <w:rFonts w:ascii="Times New Roman" w:hAnsi="Times New Roman" w:eastAsia="宋体"/>
      <w:szCs w:val="24"/>
    </w:rPr>
  </w:style>
  <w:style w:type="character" w:customStyle="1" w:styleId="52">
    <w:name w:val="宏文本 Char"/>
    <w:link w:val="2"/>
    <w:autoRedefine/>
    <w:qFormat/>
    <w:uiPriority w:val="0"/>
    <w:rPr>
      <w:rFonts w:ascii="Courier New" w:hAnsi="Courier New"/>
      <w:kern w:val="2"/>
      <w:sz w:val="24"/>
      <w:szCs w:val="24"/>
      <w:lang w:val="en-US" w:eastAsia="zh-CN" w:bidi="ar-SA"/>
    </w:rPr>
  </w:style>
  <w:style w:type="character" w:customStyle="1" w:styleId="53">
    <w:name w:val="UserStyle_4"/>
    <w:link w:val="38"/>
    <w:autoRedefine/>
    <w:qFormat/>
    <w:uiPriority w:val="0"/>
    <w:rPr>
      <w:rFonts w:ascii="Times New Roman" w:hAnsi="Times New Roman" w:eastAsia="宋体" w:cs="Times New Roman"/>
      <w:b/>
      <w:bCs/>
      <w:kern w:val="44"/>
      <w:sz w:val="44"/>
      <w:szCs w:val="44"/>
    </w:rPr>
  </w:style>
  <w:style w:type="character" w:customStyle="1" w:styleId="54">
    <w:name w:val="UserStyle_5"/>
    <w:link w:val="39"/>
    <w:autoRedefine/>
    <w:qFormat/>
    <w:uiPriority w:val="0"/>
    <w:rPr>
      <w:rFonts w:ascii="Arial" w:hAnsi="Arial" w:eastAsia="黑体" w:cs="Times New Roman"/>
      <w:b/>
      <w:bCs/>
      <w:sz w:val="32"/>
      <w:szCs w:val="32"/>
    </w:rPr>
  </w:style>
  <w:style w:type="character" w:customStyle="1" w:styleId="55">
    <w:name w:val="UserStyle_6"/>
    <w:link w:val="40"/>
    <w:autoRedefine/>
    <w:qFormat/>
    <w:uiPriority w:val="0"/>
    <w:rPr>
      <w:rFonts w:ascii="Times New Roman" w:hAnsi="Times New Roman" w:eastAsia="宋体" w:cs="Times New Roman"/>
      <w:b/>
      <w:bCs/>
      <w:sz w:val="32"/>
      <w:szCs w:val="32"/>
    </w:rPr>
  </w:style>
  <w:style w:type="character" w:customStyle="1" w:styleId="56">
    <w:name w:val="UserStyle_7"/>
    <w:link w:val="41"/>
    <w:autoRedefine/>
    <w:qFormat/>
    <w:uiPriority w:val="0"/>
    <w:rPr>
      <w:rFonts w:ascii="Arial" w:hAnsi="Arial" w:eastAsia="黑体" w:cs="Times New Roman"/>
      <w:b/>
      <w:bCs/>
      <w:sz w:val="28"/>
      <w:szCs w:val="28"/>
    </w:rPr>
  </w:style>
  <w:style w:type="character" w:customStyle="1" w:styleId="57">
    <w:name w:val="UserStyle_8"/>
    <w:link w:val="42"/>
    <w:autoRedefine/>
    <w:qFormat/>
    <w:uiPriority w:val="0"/>
    <w:rPr>
      <w:rFonts w:ascii="Times New Roman" w:hAnsi="Times New Roman" w:eastAsia="宋体" w:cs="Times New Roman"/>
      <w:b/>
      <w:bCs/>
      <w:sz w:val="28"/>
      <w:szCs w:val="28"/>
    </w:rPr>
  </w:style>
  <w:style w:type="character" w:customStyle="1" w:styleId="58">
    <w:name w:val="UserStyle_9"/>
    <w:link w:val="43"/>
    <w:autoRedefine/>
    <w:qFormat/>
    <w:uiPriority w:val="0"/>
    <w:rPr>
      <w:rFonts w:ascii="Arial" w:hAnsi="Arial" w:eastAsia="黑体" w:cs="Times New Roman"/>
      <w:b/>
      <w:bCs/>
      <w:kern w:val="0"/>
      <w:sz w:val="24"/>
      <w:szCs w:val="24"/>
    </w:rPr>
  </w:style>
  <w:style w:type="character" w:customStyle="1" w:styleId="59">
    <w:name w:val="UserStyle_10"/>
    <w:link w:val="44"/>
    <w:autoRedefine/>
    <w:qFormat/>
    <w:uiPriority w:val="0"/>
    <w:rPr>
      <w:rFonts w:ascii="Times New Roman" w:hAnsi="Times New Roman" w:eastAsia="宋体" w:cs="Times New Roman"/>
      <w:b/>
      <w:bCs/>
      <w:kern w:val="0"/>
      <w:sz w:val="24"/>
      <w:szCs w:val="24"/>
    </w:rPr>
  </w:style>
  <w:style w:type="character" w:customStyle="1" w:styleId="60">
    <w:name w:val="UserStyle_11"/>
    <w:link w:val="45"/>
    <w:autoRedefine/>
    <w:qFormat/>
    <w:uiPriority w:val="0"/>
    <w:rPr>
      <w:rFonts w:ascii="Arial" w:hAnsi="Arial" w:eastAsia="黑体"/>
      <w:kern w:val="0"/>
      <w:sz w:val="24"/>
      <w:szCs w:val="24"/>
    </w:rPr>
  </w:style>
  <w:style w:type="character" w:customStyle="1" w:styleId="61">
    <w:name w:val="UserStyle_12"/>
    <w:link w:val="46"/>
    <w:autoRedefine/>
    <w:qFormat/>
    <w:uiPriority w:val="0"/>
    <w:rPr>
      <w:rFonts w:ascii="Arial" w:hAnsi="Arial" w:eastAsia="黑体"/>
      <w:kern w:val="0"/>
      <w:szCs w:val="21"/>
    </w:rPr>
  </w:style>
  <w:style w:type="paragraph" w:customStyle="1" w:styleId="62">
    <w:name w:val="List3"/>
    <w:basedOn w:val="1"/>
    <w:autoRedefine/>
    <w:qFormat/>
    <w:uiPriority w:val="0"/>
    <w:pPr>
      <w:ind w:left="100" w:leftChars="400" w:hanging="200" w:hangingChars="200"/>
    </w:pPr>
  </w:style>
  <w:style w:type="paragraph" w:customStyle="1" w:styleId="63">
    <w:name w:val="TOC7"/>
    <w:basedOn w:val="1"/>
    <w:next w:val="1"/>
    <w:autoRedefine/>
    <w:qFormat/>
    <w:uiPriority w:val="0"/>
    <w:pPr>
      <w:ind w:left="2520" w:leftChars="1200"/>
    </w:pPr>
    <w:rPr>
      <w:rFonts w:ascii="Calibri" w:hAnsi="Calibri"/>
      <w:szCs w:val="22"/>
    </w:rPr>
  </w:style>
  <w:style w:type="paragraph" w:customStyle="1" w:styleId="64">
    <w:name w:val="ListNumber2"/>
    <w:basedOn w:val="1"/>
    <w:autoRedefine/>
    <w:qFormat/>
    <w:uiPriority w:val="0"/>
    <w:pPr>
      <w:tabs>
        <w:tab w:val="left" w:pos="780"/>
      </w:tabs>
      <w:ind w:left="780" w:hanging="360"/>
    </w:pPr>
  </w:style>
  <w:style w:type="paragraph" w:customStyle="1" w:styleId="65">
    <w:name w:val="TableOfAuthoring"/>
    <w:basedOn w:val="1"/>
    <w:next w:val="1"/>
    <w:autoRedefine/>
    <w:qFormat/>
    <w:uiPriority w:val="0"/>
    <w:pPr>
      <w:ind w:left="420" w:leftChars="200"/>
    </w:pPr>
  </w:style>
  <w:style w:type="paragraph" w:customStyle="1" w:styleId="66">
    <w:name w:val="NoteHeading"/>
    <w:basedOn w:val="1"/>
    <w:next w:val="1"/>
    <w:link w:val="67"/>
    <w:autoRedefine/>
    <w:qFormat/>
    <w:uiPriority w:val="0"/>
    <w:pPr>
      <w:jc w:val="center"/>
    </w:pPr>
    <w:rPr>
      <w:kern w:val="0"/>
      <w:sz w:val="20"/>
    </w:rPr>
  </w:style>
  <w:style w:type="character" w:customStyle="1" w:styleId="67">
    <w:name w:val="UserStyle_13"/>
    <w:link w:val="66"/>
    <w:autoRedefine/>
    <w:qFormat/>
    <w:uiPriority w:val="0"/>
    <w:rPr>
      <w:rFonts w:ascii="Times New Roman" w:hAnsi="Times New Roman" w:eastAsia="宋体"/>
      <w:szCs w:val="24"/>
    </w:rPr>
  </w:style>
  <w:style w:type="paragraph" w:customStyle="1" w:styleId="68">
    <w:name w:val="ListBullet4"/>
    <w:basedOn w:val="1"/>
    <w:autoRedefine/>
    <w:qFormat/>
    <w:uiPriority w:val="0"/>
    <w:pPr>
      <w:tabs>
        <w:tab w:val="left" w:pos="1620"/>
      </w:tabs>
      <w:ind w:left="1620" w:hanging="360"/>
    </w:pPr>
  </w:style>
  <w:style w:type="paragraph" w:customStyle="1" w:styleId="69">
    <w:name w:val="Index8"/>
    <w:basedOn w:val="1"/>
    <w:next w:val="1"/>
    <w:autoRedefine/>
    <w:qFormat/>
    <w:uiPriority w:val="0"/>
    <w:pPr>
      <w:ind w:left="1400" w:leftChars="1400"/>
    </w:pPr>
  </w:style>
  <w:style w:type="paragraph" w:customStyle="1" w:styleId="70">
    <w:name w:val="AutoSignature"/>
    <w:basedOn w:val="1"/>
    <w:link w:val="71"/>
    <w:autoRedefine/>
    <w:qFormat/>
    <w:uiPriority w:val="0"/>
    <w:rPr>
      <w:kern w:val="0"/>
      <w:sz w:val="20"/>
    </w:rPr>
  </w:style>
  <w:style w:type="character" w:customStyle="1" w:styleId="71">
    <w:name w:val="UserStyle_14"/>
    <w:link w:val="70"/>
    <w:autoRedefine/>
    <w:qFormat/>
    <w:uiPriority w:val="0"/>
    <w:rPr>
      <w:rFonts w:ascii="Times New Roman" w:hAnsi="Times New Roman" w:eastAsia="宋体"/>
      <w:szCs w:val="24"/>
    </w:rPr>
  </w:style>
  <w:style w:type="paragraph" w:customStyle="1" w:styleId="72">
    <w:name w:val="ListNumber"/>
    <w:basedOn w:val="1"/>
    <w:autoRedefine/>
    <w:qFormat/>
    <w:uiPriority w:val="0"/>
    <w:pPr>
      <w:tabs>
        <w:tab w:val="left" w:pos="360"/>
      </w:tabs>
      <w:ind w:left="360" w:hanging="360"/>
    </w:pPr>
  </w:style>
  <w:style w:type="paragraph" w:customStyle="1" w:styleId="73">
    <w:name w:val="NormalIndent"/>
    <w:basedOn w:val="1"/>
    <w:link w:val="74"/>
    <w:autoRedefine/>
    <w:qFormat/>
    <w:uiPriority w:val="0"/>
    <w:pPr>
      <w:ind w:firstLine="420" w:firstLineChars="200"/>
    </w:pPr>
    <w:rPr>
      <w:kern w:val="0"/>
      <w:sz w:val="20"/>
    </w:rPr>
  </w:style>
  <w:style w:type="character" w:customStyle="1" w:styleId="74">
    <w:name w:val="UserStyle_15"/>
    <w:link w:val="73"/>
    <w:autoRedefine/>
    <w:qFormat/>
    <w:locked/>
    <w:uiPriority w:val="0"/>
    <w:rPr>
      <w:rFonts w:ascii="Times New Roman" w:hAnsi="Times New Roman" w:eastAsia="宋体"/>
      <w:szCs w:val="24"/>
    </w:rPr>
  </w:style>
  <w:style w:type="paragraph" w:customStyle="1" w:styleId="75">
    <w:name w:val="Index5"/>
    <w:basedOn w:val="1"/>
    <w:next w:val="1"/>
    <w:autoRedefine/>
    <w:qFormat/>
    <w:uiPriority w:val="0"/>
    <w:pPr>
      <w:ind w:left="800" w:leftChars="800"/>
    </w:pPr>
  </w:style>
  <w:style w:type="paragraph" w:customStyle="1" w:styleId="76">
    <w:name w:val="ListBullet"/>
    <w:basedOn w:val="1"/>
    <w:autoRedefine/>
    <w:qFormat/>
    <w:uiPriority w:val="0"/>
    <w:pPr>
      <w:tabs>
        <w:tab w:val="left" w:pos="360"/>
      </w:tabs>
      <w:ind w:left="360" w:hanging="360"/>
    </w:pPr>
  </w:style>
  <w:style w:type="paragraph" w:customStyle="1" w:styleId="77">
    <w:name w:val="EnvelopeAddress"/>
    <w:basedOn w:val="1"/>
    <w:autoRedefine/>
    <w:qFormat/>
    <w:uiPriority w:val="0"/>
    <w:pPr>
      <w:snapToGrid w:val="0"/>
      <w:ind w:left="100" w:leftChars="1400"/>
    </w:pPr>
    <w:rPr>
      <w:rFonts w:ascii="Arial" w:hAnsi="Arial"/>
      <w:sz w:val="24"/>
    </w:rPr>
  </w:style>
  <w:style w:type="paragraph" w:customStyle="1" w:styleId="78">
    <w:name w:val="NavPane"/>
    <w:basedOn w:val="1"/>
    <w:link w:val="79"/>
    <w:autoRedefine/>
    <w:qFormat/>
    <w:uiPriority w:val="0"/>
    <w:pPr>
      <w:shd w:val="clear" w:color="auto" w:fill="000080"/>
    </w:pPr>
    <w:rPr>
      <w:rFonts w:ascii="Calibri" w:hAnsi="Calibri"/>
      <w:kern w:val="0"/>
      <w:sz w:val="20"/>
    </w:rPr>
  </w:style>
  <w:style w:type="character" w:customStyle="1" w:styleId="79">
    <w:name w:val="UserStyle_16"/>
    <w:link w:val="78"/>
    <w:autoRedefine/>
    <w:qFormat/>
    <w:uiPriority w:val="0"/>
    <w:rPr>
      <w:szCs w:val="24"/>
      <w:shd w:val="clear" w:color="auto" w:fill="000080"/>
    </w:rPr>
  </w:style>
  <w:style w:type="paragraph" w:customStyle="1" w:styleId="80">
    <w:name w:val="TOAHeading"/>
    <w:basedOn w:val="1"/>
    <w:next w:val="1"/>
    <w:autoRedefine/>
    <w:qFormat/>
    <w:uiPriority w:val="0"/>
    <w:pPr>
      <w:spacing w:before="120"/>
    </w:pPr>
    <w:rPr>
      <w:rFonts w:ascii="Arial" w:hAnsi="Arial"/>
      <w:sz w:val="24"/>
    </w:rPr>
  </w:style>
  <w:style w:type="paragraph" w:customStyle="1" w:styleId="81">
    <w:name w:val="AnnotationText"/>
    <w:basedOn w:val="1"/>
    <w:link w:val="82"/>
    <w:autoRedefine/>
    <w:qFormat/>
    <w:uiPriority w:val="0"/>
    <w:pPr>
      <w:jc w:val="left"/>
    </w:pPr>
    <w:rPr>
      <w:rFonts w:ascii="Calibri" w:hAnsi="Calibri"/>
      <w:kern w:val="0"/>
      <w:sz w:val="20"/>
    </w:rPr>
  </w:style>
  <w:style w:type="character" w:customStyle="1" w:styleId="82">
    <w:name w:val="UserStyle_17"/>
    <w:link w:val="81"/>
    <w:autoRedefine/>
    <w:qFormat/>
    <w:uiPriority w:val="0"/>
    <w:rPr>
      <w:rFonts w:eastAsia="宋体"/>
      <w:szCs w:val="24"/>
    </w:rPr>
  </w:style>
  <w:style w:type="paragraph" w:customStyle="1" w:styleId="83">
    <w:name w:val="Index6"/>
    <w:basedOn w:val="1"/>
    <w:next w:val="1"/>
    <w:autoRedefine/>
    <w:qFormat/>
    <w:uiPriority w:val="0"/>
    <w:pPr>
      <w:ind w:left="1000" w:leftChars="1000"/>
    </w:pPr>
  </w:style>
  <w:style w:type="character" w:customStyle="1" w:styleId="84">
    <w:name w:val="称呼 Char"/>
    <w:link w:val="7"/>
    <w:autoRedefine/>
    <w:qFormat/>
    <w:uiPriority w:val="0"/>
    <w:rPr>
      <w:rFonts w:ascii="Times New Roman" w:hAnsi="Times New Roman" w:eastAsia="宋体"/>
      <w:szCs w:val="24"/>
    </w:rPr>
  </w:style>
  <w:style w:type="paragraph" w:customStyle="1" w:styleId="85">
    <w:name w:val="BodyText3"/>
    <w:basedOn w:val="1"/>
    <w:link w:val="86"/>
    <w:autoRedefine/>
    <w:qFormat/>
    <w:uiPriority w:val="0"/>
    <w:rPr>
      <w:rFonts w:ascii="宋体" w:hAnsi="Calibri"/>
      <w:kern w:val="0"/>
      <w:sz w:val="24"/>
      <w:szCs w:val="20"/>
    </w:rPr>
  </w:style>
  <w:style w:type="character" w:customStyle="1" w:styleId="86">
    <w:name w:val="UserStyle_19"/>
    <w:link w:val="85"/>
    <w:autoRedefine/>
    <w:qFormat/>
    <w:uiPriority w:val="0"/>
    <w:rPr>
      <w:rFonts w:ascii="宋体" w:eastAsia="宋体"/>
      <w:sz w:val="24"/>
    </w:rPr>
  </w:style>
  <w:style w:type="character" w:customStyle="1" w:styleId="87">
    <w:name w:val="结束语 Char"/>
    <w:link w:val="8"/>
    <w:autoRedefine/>
    <w:qFormat/>
    <w:uiPriority w:val="0"/>
    <w:rPr>
      <w:rFonts w:ascii="Times New Roman" w:hAnsi="Times New Roman" w:eastAsia="宋体"/>
      <w:szCs w:val="24"/>
    </w:rPr>
  </w:style>
  <w:style w:type="paragraph" w:customStyle="1" w:styleId="88">
    <w:name w:val="ListBullet3"/>
    <w:basedOn w:val="1"/>
    <w:autoRedefine/>
    <w:qFormat/>
    <w:uiPriority w:val="0"/>
    <w:pPr>
      <w:tabs>
        <w:tab w:val="left" w:pos="1200"/>
      </w:tabs>
      <w:ind w:left="1200" w:hanging="360"/>
    </w:pPr>
  </w:style>
  <w:style w:type="paragraph" w:customStyle="1" w:styleId="89">
    <w:name w:val="BodyText"/>
    <w:basedOn w:val="1"/>
    <w:link w:val="90"/>
    <w:autoRedefine/>
    <w:qFormat/>
    <w:uiPriority w:val="0"/>
    <w:pPr>
      <w:spacing w:after="120"/>
    </w:pPr>
    <w:rPr>
      <w:rFonts w:ascii="Calibri" w:hAnsi="Calibri"/>
      <w:kern w:val="0"/>
      <w:sz w:val="20"/>
    </w:rPr>
  </w:style>
  <w:style w:type="character" w:customStyle="1" w:styleId="90">
    <w:name w:val="UserStyle_21"/>
    <w:link w:val="89"/>
    <w:autoRedefine/>
    <w:qFormat/>
    <w:uiPriority w:val="0"/>
    <w:rPr>
      <w:szCs w:val="24"/>
    </w:rPr>
  </w:style>
  <w:style w:type="paragraph" w:customStyle="1" w:styleId="91">
    <w:name w:val="ListNumber3"/>
    <w:basedOn w:val="1"/>
    <w:autoRedefine/>
    <w:qFormat/>
    <w:uiPriority w:val="0"/>
    <w:pPr>
      <w:tabs>
        <w:tab w:val="left" w:pos="1200"/>
      </w:tabs>
      <w:ind w:left="1200" w:hanging="360"/>
    </w:pPr>
  </w:style>
  <w:style w:type="paragraph" w:customStyle="1" w:styleId="92">
    <w:name w:val="List2"/>
    <w:basedOn w:val="1"/>
    <w:autoRedefine/>
    <w:qFormat/>
    <w:uiPriority w:val="0"/>
    <w:pPr>
      <w:ind w:left="100" w:leftChars="200" w:hanging="200" w:hangingChars="200"/>
    </w:pPr>
  </w:style>
  <w:style w:type="paragraph" w:customStyle="1" w:styleId="93">
    <w:name w:val="ListContinue"/>
    <w:basedOn w:val="1"/>
    <w:autoRedefine/>
    <w:qFormat/>
    <w:uiPriority w:val="0"/>
    <w:pPr>
      <w:spacing w:after="120"/>
      <w:ind w:left="420" w:leftChars="200"/>
    </w:pPr>
  </w:style>
  <w:style w:type="paragraph" w:customStyle="1" w:styleId="94">
    <w:name w:val="BlockQuote"/>
    <w:basedOn w:val="1"/>
    <w:autoRedefine/>
    <w:qFormat/>
    <w:uiPriority w:val="0"/>
    <w:pPr>
      <w:spacing w:after="120"/>
      <w:ind w:left="1440" w:leftChars="700" w:right="1440" w:rightChars="700"/>
    </w:pPr>
  </w:style>
  <w:style w:type="paragraph" w:customStyle="1" w:styleId="95">
    <w:name w:val="ListBullet2"/>
    <w:basedOn w:val="1"/>
    <w:autoRedefine/>
    <w:qFormat/>
    <w:uiPriority w:val="0"/>
    <w:pPr>
      <w:tabs>
        <w:tab w:val="left" w:pos="780"/>
      </w:tabs>
      <w:ind w:left="780" w:hanging="360"/>
    </w:pPr>
  </w:style>
  <w:style w:type="paragraph" w:customStyle="1" w:styleId="96">
    <w:name w:val="HtmlAddress"/>
    <w:basedOn w:val="1"/>
    <w:link w:val="97"/>
    <w:autoRedefine/>
    <w:qFormat/>
    <w:uiPriority w:val="0"/>
    <w:rPr>
      <w:i/>
      <w:iCs/>
      <w:kern w:val="0"/>
      <w:sz w:val="20"/>
    </w:rPr>
  </w:style>
  <w:style w:type="character" w:customStyle="1" w:styleId="97">
    <w:name w:val="UserStyle_22"/>
    <w:link w:val="96"/>
    <w:autoRedefine/>
    <w:qFormat/>
    <w:uiPriority w:val="0"/>
    <w:rPr>
      <w:rFonts w:ascii="Times New Roman" w:hAnsi="Times New Roman" w:eastAsia="宋体"/>
      <w:i/>
      <w:iCs/>
      <w:szCs w:val="24"/>
    </w:rPr>
  </w:style>
  <w:style w:type="paragraph" w:customStyle="1" w:styleId="98">
    <w:name w:val="Index4"/>
    <w:basedOn w:val="1"/>
    <w:next w:val="1"/>
    <w:autoRedefine/>
    <w:qFormat/>
    <w:uiPriority w:val="0"/>
    <w:pPr>
      <w:ind w:left="600" w:leftChars="600"/>
    </w:pPr>
  </w:style>
  <w:style w:type="paragraph" w:customStyle="1" w:styleId="99">
    <w:name w:val="TOC5"/>
    <w:basedOn w:val="1"/>
    <w:next w:val="1"/>
    <w:autoRedefine/>
    <w:qFormat/>
    <w:uiPriority w:val="0"/>
    <w:pPr>
      <w:ind w:left="1680" w:leftChars="800"/>
    </w:pPr>
    <w:rPr>
      <w:rFonts w:ascii="Calibri" w:hAnsi="Calibri"/>
      <w:szCs w:val="22"/>
    </w:rPr>
  </w:style>
  <w:style w:type="paragraph" w:customStyle="1" w:styleId="100">
    <w:name w:val="TOC3"/>
    <w:basedOn w:val="1"/>
    <w:next w:val="1"/>
    <w:autoRedefine/>
    <w:qFormat/>
    <w:uiPriority w:val="0"/>
    <w:pPr>
      <w:tabs>
        <w:tab w:val="left" w:pos="1260"/>
        <w:tab w:val="right" w:leader="dot" w:pos="8296"/>
      </w:tabs>
      <w:ind w:left="840" w:leftChars="400"/>
    </w:pPr>
  </w:style>
  <w:style w:type="paragraph" w:customStyle="1" w:styleId="101">
    <w:name w:val="PlainText"/>
    <w:basedOn w:val="1"/>
    <w:link w:val="102"/>
    <w:autoRedefine/>
    <w:qFormat/>
    <w:uiPriority w:val="0"/>
    <w:rPr>
      <w:rFonts w:ascii="宋体" w:hAnsi="Courier New"/>
      <w:kern w:val="0"/>
      <w:sz w:val="20"/>
      <w:szCs w:val="20"/>
    </w:rPr>
  </w:style>
  <w:style w:type="character" w:customStyle="1" w:styleId="102">
    <w:name w:val="UserStyle_23"/>
    <w:link w:val="101"/>
    <w:autoRedefine/>
    <w:qFormat/>
    <w:uiPriority w:val="0"/>
    <w:rPr>
      <w:rFonts w:ascii="宋体" w:hAnsi="Courier New" w:eastAsia="宋体"/>
    </w:rPr>
  </w:style>
  <w:style w:type="paragraph" w:customStyle="1" w:styleId="103">
    <w:name w:val="ListBullet5"/>
    <w:basedOn w:val="1"/>
    <w:autoRedefine/>
    <w:qFormat/>
    <w:uiPriority w:val="0"/>
    <w:pPr>
      <w:tabs>
        <w:tab w:val="left" w:pos="2040"/>
      </w:tabs>
      <w:ind w:left="2040" w:hanging="360"/>
    </w:pPr>
  </w:style>
  <w:style w:type="paragraph" w:customStyle="1" w:styleId="104">
    <w:name w:val="ListNumber4"/>
    <w:basedOn w:val="1"/>
    <w:autoRedefine/>
    <w:qFormat/>
    <w:uiPriority w:val="0"/>
    <w:pPr>
      <w:tabs>
        <w:tab w:val="left" w:pos="1620"/>
      </w:tabs>
      <w:ind w:left="1620" w:hanging="360"/>
    </w:pPr>
  </w:style>
  <w:style w:type="paragraph" w:customStyle="1" w:styleId="105">
    <w:name w:val="TOC8"/>
    <w:basedOn w:val="1"/>
    <w:next w:val="1"/>
    <w:autoRedefine/>
    <w:qFormat/>
    <w:uiPriority w:val="0"/>
    <w:pPr>
      <w:ind w:left="2940" w:leftChars="1400"/>
    </w:pPr>
    <w:rPr>
      <w:rFonts w:ascii="Calibri" w:hAnsi="Calibri"/>
      <w:szCs w:val="22"/>
    </w:rPr>
  </w:style>
  <w:style w:type="paragraph" w:customStyle="1" w:styleId="106">
    <w:name w:val="Index3"/>
    <w:basedOn w:val="1"/>
    <w:next w:val="1"/>
    <w:autoRedefine/>
    <w:qFormat/>
    <w:uiPriority w:val="0"/>
    <w:pPr>
      <w:ind w:left="400" w:leftChars="400"/>
    </w:pPr>
  </w:style>
  <w:style w:type="character" w:customStyle="1" w:styleId="107">
    <w:name w:val="日期 Char"/>
    <w:link w:val="16"/>
    <w:autoRedefine/>
    <w:qFormat/>
    <w:uiPriority w:val="0"/>
    <w:rPr>
      <w:sz w:val="24"/>
    </w:rPr>
  </w:style>
  <w:style w:type="paragraph" w:customStyle="1" w:styleId="108">
    <w:name w:val="BodyTextIndent2"/>
    <w:basedOn w:val="1"/>
    <w:link w:val="109"/>
    <w:autoRedefine/>
    <w:qFormat/>
    <w:uiPriority w:val="0"/>
    <w:pPr>
      <w:spacing w:after="120" w:line="480" w:lineRule="auto"/>
      <w:ind w:left="420" w:leftChars="200"/>
    </w:pPr>
    <w:rPr>
      <w:rFonts w:ascii="Calibri" w:hAnsi="Calibri"/>
      <w:kern w:val="0"/>
      <w:sz w:val="20"/>
    </w:rPr>
  </w:style>
  <w:style w:type="character" w:customStyle="1" w:styleId="109">
    <w:name w:val="UserStyle_25"/>
    <w:link w:val="108"/>
    <w:autoRedefine/>
    <w:qFormat/>
    <w:uiPriority w:val="0"/>
    <w:rPr>
      <w:szCs w:val="24"/>
    </w:rPr>
  </w:style>
  <w:style w:type="paragraph" w:customStyle="1" w:styleId="110">
    <w:name w:val="EndnoteText"/>
    <w:basedOn w:val="1"/>
    <w:link w:val="111"/>
    <w:autoRedefine/>
    <w:qFormat/>
    <w:uiPriority w:val="0"/>
    <w:pPr>
      <w:snapToGrid w:val="0"/>
      <w:jc w:val="left"/>
    </w:pPr>
    <w:rPr>
      <w:rFonts w:ascii="Calibri" w:hAnsi="Calibri"/>
      <w:kern w:val="0"/>
      <w:sz w:val="20"/>
    </w:rPr>
  </w:style>
  <w:style w:type="character" w:customStyle="1" w:styleId="111">
    <w:name w:val="UserStyle_26"/>
    <w:link w:val="110"/>
    <w:autoRedefine/>
    <w:qFormat/>
    <w:uiPriority w:val="0"/>
    <w:rPr>
      <w:szCs w:val="24"/>
    </w:rPr>
  </w:style>
  <w:style w:type="paragraph" w:customStyle="1" w:styleId="112">
    <w:name w:val="ListContinue5"/>
    <w:basedOn w:val="1"/>
    <w:autoRedefine/>
    <w:qFormat/>
    <w:uiPriority w:val="0"/>
    <w:pPr>
      <w:spacing w:after="120"/>
      <w:ind w:left="2100" w:leftChars="1000"/>
    </w:pPr>
  </w:style>
  <w:style w:type="paragraph" w:customStyle="1" w:styleId="113">
    <w:name w:val="Acetate"/>
    <w:basedOn w:val="1"/>
    <w:link w:val="114"/>
    <w:autoRedefine/>
    <w:qFormat/>
    <w:uiPriority w:val="0"/>
    <w:rPr>
      <w:rFonts w:ascii="Calibri" w:hAnsi="Calibri"/>
      <w:kern w:val="0"/>
      <w:sz w:val="18"/>
      <w:szCs w:val="18"/>
    </w:rPr>
  </w:style>
  <w:style w:type="character" w:customStyle="1" w:styleId="114">
    <w:name w:val="UserStyle_27"/>
    <w:link w:val="113"/>
    <w:autoRedefine/>
    <w:qFormat/>
    <w:uiPriority w:val="0"/>
    <w:rPr>
      <w:sz w:val="18"/>
      <w:szCs w:val="18"/>
    </w:rPr>
  </w:style>
  <w:style w:type="character" w:customStyle="1" w:styleId="115">
    <w:name w:val="页脚 Char"/>
    <w:link w:val="17"/>
    <w:autoRedefine/>
    <w:qFormat/>
    <w:uiPriority w:val="0"/>
    <w:rPr>
      <w:sz w:val="18"/>
      <w:szCs w:val="18"/>
    </w:rPr>
  </w:style>
  <w:style w:type="character" w:customStyle="1" w:styleId="116">
    <w:name w:val="页眉 Char"/>
    <w:link w:val="18"/>
    <w:autoRedefine/>
    <w:qFormat/>
    <w:uiPriority w:val="0"/>
    <w:rPr>
      <w:sz w:val="18"/>
      <w:szCs w:val="18"/>
    </w:rPr>
  </w:style>
  <w:style w:type="character" w:customStyle="1" w:styleId="117">
    <w:name w:val="签名 Char"/>
    <w:link w:val="19"/>
    <w:autoRedefine/>
    <w:qFormat/>
    <w:uiPriority w:val="0"/>
    <w:rPr>
      <w:rFonts w:ascii="Times New Roman" w:hAnsi="Times New Roman" w:eastAsia="宋体"/>
      <w:szCs w:val="24"/>
    </w:rPr>
  </w:style>
  <w:style w:type="paragraph" w:customStyle="1" w:styleId="118">
    <w:name w:val="TOC1"/>
    <w:basedOn w:val="1"/>
    <w:next w:val="1"/>
    <w:autoRedefine/>
    <w:qFormat/>
    <w:uiPriority w:val="0"/>
    <w:pPr>
      <w:spacing w:line="440" w:lineRule="exact"/>
      <w:jc w:val="center"/>
    </w:pPr>
  </w:style>
  <w:style w:type="paragraph" w:customStyle="1" w:styleId="119">
    <w:name w:val="ListContinue4"/>
    <w:basedOn w:val="1"/>
    <w:autoRedefine/>
    <w:qFormat/>
    <w:uiPriority w:val="0"/>
    <w:pPr>
      <w:spacing w:after="120"/>
      <w:ind w:left="1680" w:leftChars="800"/>
    </w:pPr>
  </w:style>
  <w:style w:type="paragraph" w:customStyle="1" w:styleId="120">
    <w:name w:val="TOC4"/>
    <w:basedOn w:val="1"/>
    <w:next w:val="1"/>
    <w:autoRedefine/>
    <w:qFormat/>
    <w:uiPriority w:val="0"/>
    <w:pPr>
      <w:ind w:left="1260" w:leftChars="600"/>
    </w:pPr>
    <w:rPr>
      <w:rFonts w:ascii="Calibri" w:hAnsi="Calibri"/>
      <w:szCs w:val="22"/>
    </w:rPr>
  </w:style>
  <w:style w:type="paragraph" w:customStyle="1" w:styleId="121">
    <w:name w:val="IndexHeading"/>
    <w:basedOn w:val="1"/>
    <w:next w:val="122"/>
    <w:autoRedefine/>
    <w:qFormat/>
    <w:uiPriority w:val="0"/>
    <w:rPr>
      <w:rFonts w:ascii="Arial" w:hAnsi="Arial" w:cs="Arial"/>
      <w:b/>
      <w:bCs/>
    </w:rPr>
  </w:style>
  <w:style w:type="paragraph" w:customStyle="1" w:styleId="122">
    <w:name w:val="Index1"/>
    <w:basedOn w:val="1"/>
    <w:next w:val="1"/>
    <w:autoRedefine/>
    <w:qFormat/>
    <w:uiPriority w:val="0"/>
    <w:pPr>
      <w:spacing w:line="220" w:lineRule="exact"/>
      <w:jc w:val="center"/>
    </w:pPr>
    <w:rPr>
      <w:rFonts w:ascii="仿宋_GB2312" w:eastAsia="仿宋_GB2312"/>
      <w:szCs w:val="21"/>
    </w:rPr>
  </w:style>
  <w:style w:type="character" w:customStyle="1" w:styleId="123">
    <w:name w:val="副标题 Char"/>
    <w:link w:val="20"/>
    <w:autoRedefine/>
    <w:qFormat/>
    <w:uiPriority w:val="0"/>
    <w:rPr>
      <w:rFonts w:ascii="Cambria" w:hAnsi="Cambria" w:cs="Calibri"/>
      <w:b/>
      <w:bCs/>
      <w:kern w:val="28"/>
      <w:sz w:val="32"/>
      <w:szCs w:val="32"/>
    </w:rPr>
  </w:style>
  <w:style w:type="paragraph" w:customStyle="1" w:styleId="124">
    <w:name w:val="ListNumber5"/>
    <w:basedOn w:val="1"/>
    <w:autoRedefine/>
    <w:qFormat/>
    <w:uiPriority w:val="0"/>
    <w:pPr>
      <w:tabs>
        <w:tab w:val="left" w:pos="2040"/>
      </w:tabs>
      <w:ind w:left="2040" w:hanging="360"/>
    </w:pPr>
  </w:style>
  <w:style w:type="paragraph" w:customStyle="1" w:styleId="125">
    <w:name w:val="FootnoteText"/>
    <w:basedOn w:val="1"/>
    <w:link w:val="126"/>
    <w:autoRedefine/>
    <w:qFormat/>
    <w:uiPriority w:val="0"/>
    <w:pPr>
      <w:snapToGrid w:val="0"/>
      <w:jc w:val="left"/>
    </w:pPr>
    <w:rPr>
      <w:rFonts w:ascii="Calibri" w:hAnsi="Calibri"/>
      <w:kern w:val="0"/>
      <w:sz w:val="18"/>
      <w:szCs w:val="18"/>
    </w:rPr>
  </w:style>
  <w:style w:type="character" w:customStyle="1" w:styleId="126">
    <w:name w:val="UserStyle_32"/>
    <w:link w:val="125"/>
    <w:autoRedefine/>
    <w:qFormat/>
    <w:uiPriority w:val="0"/>
    <w:rPr>
      <w:rFonts w:eastAsia="宋体"/>
      <w:sz w:val="18"/>
      <w:szCs w:val="18"/>
    </w:rPr>
  </w:style>
  <w:style w:type="paragraph" w:customStyle="1" w:styleId="127">
    <w:name w:val="TOC6"/>
    <w:basedOn w:val="1"/>
    <w:next w:val="1"/>
    <w:autoRedefine/>
    <w:qFormat/>
    <w:uiPriority w:val="0"/>
    <w:pPr>
      <w:ind w:left="2100" w:leftChars="1000"/>
    </w:pPr>
    <w:rPr>
      <w:rFonts w:ascii="Calibri" w:hAnsi="Calibri"/>
      <w:szCs w:val="22"/>
    </w:rPr>
  </w:style>
  <w:style w:type="paragraph" w:customStyle="1" w:styleId="128">
    <w:name w:val="List5"/>
    <w:basedOn w:val="1"/>
    <w:autoRedefine/>
    <w:qFormat/>
    <w:uiPriority w:val="0"/>
    <w:pPr>
      <w:ind w:left="100" w:leftChars="800" w:hanging="200" w:hangingChars="200"/>
    </w:pPr>
  </w:style>
  <w:style w:type="paragraph" w:customStyle="1" w:styleId="129">
    <w:name w:val="BodyTextIndent3"/>
    <w:basedOn w:val="1"/>
    <w:link w:val="130"/>
    <w:autoRedefine/>
    <w:qFormat/>
    <w:uiPriority w:val="0"/>
    <w:pPr>
      <w:spacing w:after="120"/>
      <w:ind w:left="420" w:leftChars="200"/>
    </w:pPr>
    <w:rPr>
      <w:rFonts w:ascii="Calibri" w:hAnsi="Calibri"/>
      <w:kern w:val="0"/>
      <w:sz w:val="16"/>
      <w:szCs w:val="16"/>
    </w:rPr>
  </w:style>
  <w:style w:type="character" w:customStyle="1" w:styleId="130">
    <w:name w:val="UserStyle_33"/>
    <w:link w:val="129"/>
    <w:autoRedefine/>
    <w:qFormat/>
    <w:uiPriority w:val="0"/>
    <w:rPr>
      <w:sz w:val="16"/>
      <w:szCs w:val="16"/>
    </w:rPr>
  </w:style>
  <w:style w:type="paragraph" w:customStyle="1" w:styleId="131">
    <w:name w:val="Index7"/>
    <w:basedOn w:val="1"/>
    <w:next w:val="1"/>
    <w:autoRedefine/>
    <w:qFormat/>
    <w:uiPriority w:val="0"/>
    <w:pPr>
      <w:ind w:left="1200" w:leftChars="1200"/>
    </w:pPr>
  </w:style>
  <w:style w:type="paragraph" w:customStyle="1" w:styleId="132">
    <w:name w:val="Index9"/>
    <w:basedOn w:val="1"/>
    <w:next w:val="1"/>
    <w:autoRedefine/>
    <w:qFormat/>
    <w:uiPriority w:val="0"/>
    <w:pPr>
      <w:ind w:left="1600" w:leftChars="1600"/>
    </w:pPr>
  </w:style>
  <w:style w:type="paragraph" w:customStyle="1" w:styleId="133">
    <w:name w:val="ToCaption"/>
    <w:basedOn w:val="1"/>
    <w:next w:val="1"/>
    <w:autoRedefine/>
    <w:qFormat/>
    <w:uiPriority w:val="0"/>
    <w:pPr>
      <w:ind w:left="200" w:leftChars="200" w:hanging="200" w:hangingChars="200"/>
    </w:pPr>
  </w:style>
  <w:style w:type="paragraph" w:customStyle="1" w:styleId="134">
    <w:name w:val="TOC2"/>
    <w:basedOn w:val="1"/>
    <w:next w:val="1"/>
    <w:autoRedefine/>
    <w:qFormat/>
    <w:uiPriority w:val="0"/>
    <w:pPr>
      <w:ind w:left="420" w:leftChars="200"/>
    </w:pPr>
  </w:style>
  <w:style w:type="paragraph" w:customStyle="1" w:styleId="135">
    <w:name w:val="TOC9"/>
    <w:basedOn w:val="1"/>
    <w:next w:val="1"/>
    <w:autoRedefine/>
    <w:qFormat/>
    <w:uiPriority w:val="0"/>
    <w:pPr>
      <w:ind w:left="3360" w:leftChars="1600"/>
    </w:pPr>
    <w:rPr>
      <w:rFonts w:ascii="Calibri" w:hAnsi="Calibri"/>
      <w:szCs w:val="22"/>
    </w:rPr>
  </w:style>
  <w:style w:type="paragraph" w:customStyle="1" w:styleId="136">
    <w:name w:val="BodyText2"/>
    <w:basedOn w:val="1"/>
    <w:link w:val="137"/>
    <w:autoRedefine/>
    <w:qFormat/>
    <w:uiPriority w:val="0"/>
    <w:rPr>
      <w:rFonts w:ascii="Arial" w:hAnsi="Arial"/>
      <w:kern w:val="0"/>
      <w:sz w:val="22"/>
      <w:szCs w:val="20"/>
      <w:lang w:eastAsia="en-US"/>
    </w:rPr>
  </w:style>
  <w:style w:type="character" w:customStyle="1" w:styleId="137">
    <w:name w:val="UserStyle_34"/>
    <w:link w:val="136"/>
    <w:autoRedefine/>
    <w:qFormat/>
    <w:uiPriority w:val="0"/>
    <w:rPr>
      <w:rFonts w:ascii="Arial" w:hAnsi="Arial"/>
      <w:sz w:val="22"/>
      <w:lang w:eastAsia="en-US"/>
    </w:rPr>
  </w:style>
  <w:style w:type="paragraph" w:customStyle="1" w:styleId="138">
    <w:name w:val="List4"/>
    <w:basedOn w:val="1"/>
    <w:autoRedefine/>
    <w:qFormat/>
    <w:uiPriority w:val="0"/>
    <w:pPr>
      <w:ind w:left="100" w:leftChars="600" w:hanging="200" w:hangingChars="200"/>
    </w:pPr>
  </w:style>
  <w:style w:type="paragraph" w:customStyle="1" w:styleId="139">
    <w:name w:val="ListContinue2"/>
    <w:basedOn w:val="1"/>
    <w:autoRedefine/>
    <w:qFormat/>
    <w:uiPriority w:val="0"/>
    <w:pPr>
      <w:spacing w:after="120"/>
      <w:ind w:left="840" w:leftChars="400"/>
    </w:pPr>
  </w:style>
  <w:style w:type="paragraph" w:customStyle="1" w:styleId="140">
    <w:name w:val="MessageHeader"/>
    <w:basedOn w:val="1"/>
    <w:link w:val="14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Arial" w:hAnsi="Arial"/>
      <w:kern w:val="0"/>
      <w:sz w:val="24"/>
    </w:rPr>
  </w:style>
  <w:style w:type="character" w:customStyle="1" w:styleId="141">
    <w:name w:val="UserStyle_35"/>
    <w:link w:val="140"/>
    <w:autoRedefine/>
    <w:qFormat/>
    <w:uiPriority w:val="0"/>
    <w:rPr>
      <w:rFonts w:ascii="Arial" w:hAnsi="Arial" w:eastAsia="宋体"/>
      <w:sz w:val="24"/>
      <w:szCs w:val="24"/>
    </w:rPr>
  </w:style>
  <w:style w:type="paragraph" w:customStyle="1" w:styleId="142">
    <w:name w:val="HtmlPre"/>
    <w:basedOn w:val="1"/>
    <w:link w:val="14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alibri" w:eastAsia="黑体"/>
      <w:kern w:val="0"/>
      <w:sz w:val="20"/>
    </w:rPr>
  </w:style>
  <w:style w:type="character" w:customStyle="1" w:styleId="143">
    <w:name w:val="UserStyle_36"/>
    <w:link w:val="142"/>
    <w:autoRedefine/>
    <w:qFormat/>
    <w:uiPriority w:val="0"/>
    <w:rPr>
      <w:rFonts w:ascii="黑体" w:eastAsia="黑体"/>
      <w:szCs w:val="24"/>
    </w:rPr>
  </w:style>
  <w:style w:type="paragraph" w:customStyle="1" w:styleId="144">
    <w:name w:val="HtmlNormal"/>
    <w:basedOn w:val="1"/>
    <w:autoRedefine/>
    <w:qFormat/>
    <w:uiPriority w:val="0"/>
    <w:pPr>
      <w:spacing w:before="100" w:beforeAutospacing="1" w:after="100" w:afterAutospacing="1"/>
      <w:jc w:val="left"/>
    </w:pPr>
    <w:rPr>
      <w:rFonts w:ascii="宋体" w:hAnsi="宋体"/>
      <w:kern w:val="0"/>
      <w:sz w:val="24"/>
      <w:szCs w:val="22"/>
    </w:rPr>
  </w:style>
  <w:style w:type="paragraph" w:customStyle="1" w:styleId="145">
    <w:name w:val="ListContinue3"/>
    <w:basedOn w:val="1"/>
    <w:autoRedefine/>
    <w:qFormat/>
    <w:uiPriority w:val="0"/>
    <w:pPr>
      <w:spacing w:after="120"/>
      <w:ind w:left="1260" w:leftChars="600"/>
    </w:pPr>
  </w:style>
  <w:style w:type="paragraph" w:customStyle="1" w:styleId="146">
    <w:name w:val="Index2"/>
    <w:basedOn w:val="1"/>
    <w:next w:val="1"/>
    <w:autoRedefine/>
    <w:qFormat/>
    <w:uiPriority w:val="0"/>
    <w:pPr>
      <w:ind w:left="200" w:leftChars="200"/>
    </w:pPr>
  </w:style>
  <w:style w:type="character" w:customStyle="1" w:styleId="147">
    <w:name w:val="标题 Char"/>
    <w:link w:val="25"/>
    <w:autoRedefine/>
    <w:qFormat/>
    <w:uiPriority w:val="0"/>
    <w:rPr>
      <w:rFonts w:ascii="Arial" w:hAnsi="Arial" w:eastAsia="宋体"/>
      <w:b/>
      <w:sz w:val="32"/>
    </w:rPr>
  </w:style>
  <w:style w:type="paragraph" w:customStyle="1" w:styleId="148">
    <w:name w:val="AnnotationSubject"/>
    <w:basedOn w:val="81"/>
    <w:next w:val="81"/>
    <w:link w:val="149"/>
    <w:autoRedefine/>
    <w:qFormat/>
    <w:uiPriority w:val="0"/>
    <w:rPr>
      <w:rFonts w:cs="Calibri"/>
      <w:b/>
      <w:bCs/>
    </w:rPr>
  </w:style>
  <w:style w:type="character" w:customStyle="1" w:styleId="149">
    <w:name w:val="UserStyle_38"/>
    <w:link w:val="148"/>
    <w:autoRedefine/>
    <w:qFormat/>
    <w:uiPriority w:val="0"/>
    <w:rPr>
      <w:rFonts w:eastAsia="宋体" w:cs="Calibri"/>
      <w:b/>
      <w:bCs/>
      <w:szCs w:val="24"/>
    </w:rPr>
  </w:style>
  <w:style w:type="paragraph" w:customStyle="1" w:styleId="150">
    <w:name w:val="BodyText1I"/>
    <w:basedOn w:val="89"/>
    <w:link w:val="151"/>
    <w:autoRedefine/>
    <w:qFormat/>
    <w:uiPriority w:val="0"/>
    <w:pPr>
      <w:ind w:firstLine="420"/>
      <w:jc w:val="left"/>
    </w:pPr>
    <w:rPr>
      <w:rFonts w:ascii="宋体" w:hAnsi="Times New Roman"/>
      <w:sz w:val="34"/>
    </w:rPr>
  </w:style>
  <w:style w:type="character" w:customStyle="1" w:styleId="151">
    <w:name w:val="UserStyle_39"/>
    <w:link w:val="150"/>
    <w:autoRedefine/>
    <w:qFormat/>
    <w:uiPriority w:val="0"/>
    <w:rPr>
      <w:rFonts w:ascii="宋体" w:hAnsi="Times New Roman" w:eastAsia="宋体"/>
      <w:sz w:val="34"/>
      <w:szCs w:val="24"/>
    </w:rPr>
  </w:style>
  <w:style w:type="table" w:customStyle="1" w:styleId="152">
    <w:name w:val="TableGrid"/>
    <w:basedOn w:val="48"/>
    <w:autoRedefine/>
    <w:qFormat/>
    <w:uiPriority w:val="0"/>
    <w:tblPr>
      <w:tblCellMar>
        <w:top w:w="0" w:type="dxa"/>
        <w:left w:w="0" w:type="dxa"/>
        <w:bottom w:w="0" w:type="dxa"/>
        <w:right w:w="0" w:type="dxa"/>
      </w:tblCellMar>
    </w:tblPr>
  </w:style>
  <w:style w:type="character" w:customStyle="1" w:styleId="153">
    <w:name w:val="EndnoteReference"/>
    <w:autoRedefine/>
    <w:qFormat/>
    <w:uiPriority w:val="0"/>
    <w:rPr>
      <w:vertAlign w:val="superscript"/>
    </w:rPr>
  </w:style>
  <w:style w:type="character" w:customStyle="1" w:styleId="154">
    <w:name w:val="PageNumber"/>
    <w:basedOn w:val="47"/>
    <w:autoRedefine/>
    <w:qFormat/>
    <w:uiPriority w:val="0"/>
  </w:style>
  <w:style w:type="character" w:customStyle="1" w:styleId="155">
    <w:name w:val="HtmlDfn"/>
    <w:autoRedefine/>
    <w:qFormat/>
    <w:uiPriority w:val="0"/>
  </w:style>
  <w:style w:type="character" w:customStyle="1" w:styleId="156">
    <w:name w:val="HtmlAcronym"/>
    <w:basedOn w:val="47"/>
    <w:autoRedefine/>
    <w:qFormat/>
    <w:uiPriority w:val="0"/>
  </w:style>
  <w:style w:type="character" w:customStyle="1" w:styleId="157">
    <w:name w:val="HtmlVar"/>
    <w:autoRedefine/>
    <w:qFormat/>
    <w:uiPriority w:val="0"/>
  </w:style>
  <w:style w:type="character" w:customStyle="1" w:styleId="158">
    <w:name w:val="HtmlCode"/>
    <w:autoRedefine/>
    <w:qFormat/>
    <w:uiPriority w:val="0"/>
    <w:rPr>
      <w:rFonts w:ascii="Courier New" w:hAnsi="Courier New" w:eastAsia="Courier New"/>
      <w:sz w:val="20"/>
    </w:rPr>
  </w:style>
  <w:style w:type="character" w:customStyle="1" w:styleId="159">
    <w:name w:val="AnnotationReference"/>
    <w:autoRedefine/>
    <w:qFormat/>
    <w:uiPriority w:val="0"/>
    <w:rPr>
      <w:sz w:val="21"/>
      <w:szCs w:val="21"/>
    </w:rPr>
  </w:style>
  <w:style w:type="character" w:customStyle="1" w:styleId="160">
    <w:name w:val="HtmlCite"/>
    <w:autoRedefine/>
    <w:qFormat/>
    <w:uiPriority w:val="0"/>
  </w:style>
  <w:style w:type="character" w:customStyle="1" w:styleId="161">
    <w:name w:val="FootnoteReference"/>
    <w:autoRedefine/>
    <w:qFormat/>
    <w:uiPriority w:val="0"/>
    <w:rPr>
      <w:vertAlign w:val="superscript"/>
    </w:rPr>
  </w:style>
  <w:style w:type="character" w:customStyle="1" w:styleId="162">
    <w:name w:val="HtmlKbd"/>
    <w:autoRedefine/>
    <w:qFormat/>
    <w:uiPriority w:val="0"/>
    <w:rPr>
      <w:rFonts w:ascii="Courier New" w:hAnsi="Courier New" w:eastAsia="Courier New"/>
      <w:sz w:val="20"/>
    </w:rPr>
  </w:style>
  <w:style w:type="character" w:customStyle="1" w:styleId="163">
    <w:name w:val="htmlSamp"/>
    <w:autoRedefine/>
    <w:qFormat/>
    <w:uiPriority w:val="0"/>
    <w:rPr>
      <w:rFonts w:ascii="Courier New" w:hAnsi="Courier New" w:eastAsia="Courier New"/>
    </w:rPr>
  </w:style>
  <w:style w:type="paragraph" w:customStyle="1" w:styleId="164">
    <w:name w:val="UserStyle_40"/>
    <w:basedOn w:val="1"/>
    <w:autoRedefine/>
    <w:qFormat/>
    <w:uiPriority w:val="0"/>
    <w:pPr>
      <w:spacing w:line="360" w:lineRule="atLeast"/>
      <w:ind w:firstLine="480" w:firstLineChars="200"/>
    </w:pPr>
    <w:rPr>
      <w:rFonts w:ascii="Arial" w:hAnsi="Arial"/>
      <w:kern w:val="0"/>
      <w:sz w:val="20"/>
      <w:szCs w:val="20"/>
    </w:rPr>
  </w:style>
  <w:style w:type="character" w:customStyle="1" w:styleId="165">
    <w:name w:val="UserStyle_41"/>
    <w:autoRedefine/>
    <w:qFormat/>
    <w:uiPriority w:val="0"/>
    <w:rPr>
      <w:rFonts w:ascii="宋体" w:hAnsi="Courier New"/>
      <w:kern w:val="2"/>
      <w:sz w:val="21"/>
      <w:szCs w:val="21"/>
    </w:rPr>
  </w:style>
  <w:style w:type="character" w:customStyle="1" w:styleId="166">
    <w:name w:val="UserStyle_42"/>
    <w:autoRedefine/>
    <w:qFormat/>
    <w:uiPriority w:val="0"/>
    <w:rPr>
      <w:kern w:val="2"/>
      <w:sz w:val="21"/>
      <w:szCs w:val="22"/>
    </w:rPr>
  </w:style>
  <w:style w:type="character" w:customStyle="1" w:styleId="167">
    <w:name w:val="UserStyle_43"/>
    <w:autoRedefine/>
    <w:qFormat/>
    <w:uiPriority w:val="0"/>
    <w:rPr>
      <w:b/>
      <w:szCs w:val="24"/>
      <w:lang w:val="en-US" w:eastAsia="zh-CN"/>
    </w:rPr>
  </w:style>
  <w:style w:type="character" w:customStyle="1" w:styleId="168">
    <w:name w:val="UserStyle_44"/>
    <w:autoRedefine/>
    <w:qFormat/>
    <w:locked/>
    <w:uiPriority w:val="0"/>
    <w:rPr>
      <w:rFonts w:ascii="Calibri" w:hAnsi="Calibri" w:eastAsia="宋体"/>
      <w:kern w:val="2"/>
      <w:sz w:val="21"/>
      <w:szCs w:val="22"/>
    </w:rPr>
  </w:style>
  <w:style w:type="character" w:customStyle="1" w:styleId="169">
    <w:name w:val="UserStyle_45"/>
    <w:autoRedefine/>
    <w:qFormat/>
    <w:uiPriority w:val="0"/>
    <w:rPr>
      <w:rFonts w:ascii="Times New Roman" w:hAnsi="Times New Roman" w:eastAsia="宋体"/>
      <w:szCs w:val="24"/>
    </w:rPr>
  </w:style>
  <w:style w:type="character" w:customStyle="1" w:styleId="170">
    <w:name w:val="UserStyle_46"/>
    <w:autoRedefine/>
    <w:qFormat/>
    <w:uiPriority w:val="0"/>
    <w:rPr>
      <w:rFonts w:ascii="Cambria" w:hAnsi="Cambria" w:eastAsia="宋体"/>
      <w:sz w:val="24"/>
      <w:szCs w:val="24"/>
    </w:rPr>
  </w:style>
  <w:style w:type="character" w:customStyle="1" w:styleId="171">
    <w:name w:val="UserStyle_47"/>
    <w:autoRedefine/>
    <w:qFormat/>
    <w:uiPriority w:val="0"/>
  </w:style>
  <w:style w:type="character" w:customStyle="1" w:styleId="172">
    <w:name w:val="UserStyle_48"/>
    <w:autoRedefine/>
    <w:qFormat/>
    <w:uiPriority w:val="0"/>
    <w:rPr>
      <w:rFonts w:ascii="Times New Roman" w:hAnsi="Times New Roman" w:eastAsia="宋体" w:cs="Times New Roman"/>
      <w:b/>
      <w:bCs/>
      <w:sz w:val="24"/>
      <w:szCs w:val="24"/>
    </w:rPr>
  </w:style>
  <w:style w:type="character" w:customStyle="1" w:styleId="173">
    <w:name w:val="UserStyle_49"/>
    <w:autoRedefine/>
    <w:qFormat/>
    <w:uiPriority w:val="0"/>
    <w:rPr>
      <w:sz w:val="20"/>
      <w:szCs w:val="20"/>
    </w:rPr>
  </w:style>
  <w:style w:type="character" w:customStyle="1" w:styleId="174">
    <w:name w:val="263"/>
    <w:autoRedefine/>
    <w:qFormat/>
    <w:uiPriority w:val="0"/>
    <w:rPr>
      <w:rFonts w:cs="Calibri"/>
      <w:b/>
      <w:bCs/>
      <w:smallCaps/>
      <w:color w:val="C0504D"/>
      <w:spacing w:val="5"/>
      <w:u w:val="single"/>
    </w:rPr>
  </w:style>
  <w:style w:type="character" w:customStyle="1" w:styleId="175">
    <w:name w:val="UserStyle_50"/>
    <w:autoRedefine/>
    <w:qFormat/>
    <w:uiPriority w:val="0"/>
    <w:rPr>
      <w:rFonts w:ascii="Times New Roman" w:hAnsi="Times New Roman" w:eastAsia="宋体"/>
      <w:sz w:val="16"/>
      <w:szCs w:val="16"/>
    </w:rPr>
  </w:style>
  <w:style w:type="character" w:customStyle="1" w:styleId="176">
    <w:name w:val="UserStyle_51"/>
    <w:autoRedefine/>
    <w:qFormat/>
    <w:uiPriority w:val="0"/>
    <w:rPr>
      <w:rFonts w:ascii="Calibri" w:hAnsi="Calibri" w:eastAsia="宋体"/>
      <w:i/>
      <w:iCs/>
      <w:color w:val="000000"/>
      <w:kern w:val="2"/>
      <w:sz w:val="21"/>
      <w:szCs w:val="22"/>
    </w:rPr>
  </w:style>
  <w:style w:type="character" w:customStyle="1" w:styleId="177">
    <w:name w:val="UserStyle_52"/>
    <w:link w:val="178"/>
    <w:autoRedefine/>
    <w:qFormat/>
    <w:uiPriority w:val="0"/>
    <w:rPr>
      <w:szCs w:val="24"/>
    </w:rPr>
  </w:style>
  <w:style w:type="paragraph" w:customStyle="1" w:styleId="178">
    <w:name w:val="UserStyle_53"/>
    <w:basedOn w:val="179"/>
    <w:next w:val="179"/>
    <w:link w:val="177"/>
    <w:autoRedefine/>
    <w:qFormat/>
    <w:uiPriority w:val="0"/>
    <w:pPr>
      <w:ind w:left="100" w:leftChars="2500"/>
    </w:pPr>
    <w:rPr>
      <w:rFonts w:ascii="Calibri" w:hAnsi="Calibri"/>
      <w:kern w:val="0"/>
      <w:sz w:val="20"/>
    </w:rPr>
  </w:style>
  <w:style w:type="paragraph" w:customStyle="1" w:styleId="179">
    <w:name w:val="UserStyle_54"/>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180">
    <w:name w:val="UserStyle_55"/>
    <w:autoRedefine/>
    <w:qFormat/>
    <w:uiPriority w:val="0"/>
    <w:rPr>
      <w:rFonts w:ascii="Calibri" w:hAnsi="Calibri" w:eastAsia="宋体"/>
      <w:kern w:val="2"/>
      <w:sz w:val="21"/>
      <w:szCs w:val="22"/>
    </w:rPr>
  </w:style>
  <w:style w:type="character" w:customStyle="1" w:styleId="181">
    <w:name w:val="UserStyle_56"/>
    <w:link w:val="182"/>
    <w:autoRedefine/>
    <w:qFormat/>
    <w:uiPriority w:val="0"/>
    <w:rPr>
      <w:b/>
      <w:sz w:val="32"/>
    </w:rPr>
  </w:style>
  <w:style w:type="paragraph" w:customStyle="1" w:styleId="182">
    <w:name w:val="UserStyle_57"/>
    <w:basedOn w:val="183"/>
    <w:next w:val="183"/>
    <w:link w:val="181"/>
    <w:autoRedefine/>
    <w:qFormat/>
    <w:uiPriority w:val="0"/>
    <w:pPr>
      <w:keepNext/>
      <w:keepLines/>
      <w:spacing w:before="260" w:after="260" w:line="413" w:lineRule="auto"/>
    </w:pPr>
    <w:rPr>
      <w:rFonts w:ascii="Calibri" w:hAnsi="Calibri"/>
      <w:b/>
      <w:kern w:val="0"/>
      <w:sz w:val="32"/>
    </w:rPr>
  </w:style>
  <w:style w:type="paragraph" w:customStyle="1" w:styleId="183">
    <w:name w:val="UserStyle_58"/>
    <w:autoRedefine/>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184">
    <w:name w:val="UserStyle_59"/>
    <w:autoRedefine/>
    <w:qFormat/>
    <w:uiPriority w:val="0"/>
    <w:rPr>
      <w:rFonts w:cs="Calibri"/>
      <w:b/>
      <w:bCs/>
      <w:sz w:val="32"/>
      <w:szCs w:val="32"/>
    </w:rPr>
  </w:style>
  <w:style w:type="character" w:customStyle="1" w:styleId="185">
    <w:name w:val="UserStyle_60"/>
    <w:autoRedefine/>
    <w:qFormat/>
    <w:uiPriority w:val="0"/>
    <w:rPr>
      <w:rFonts w:eastAsia="宋体"/>
      <w:kern w:val="2"/>
      <w:sz w:val="21"/>
      <w:szCs w:val="24"/>
      <w:lang w:val="en-US" w:eastAsia="zh-CN" w:bidi="ar-SA"/>
    </w:rPr>
  </w:style>
  <w:style w:type="character" w:customStyle="1" w:styleId="186">
    <w:name w:val="UserStyle_61"/>
    <w:autoRedefine/>
    <w:qFormat/>
    <w:uiPriority w:val="0"/>
    <w:rPr>
      <w:rFonts w:ascii="Arial" w:hAnsi="Arial" w:eastAsia="黑体" w:cs="Times New Roman"/>
      <w:b/>
      <w:bCs/>
      <w:kern w:val="2"/>
      <w:sz w:val="32"/>
      <w:szCs w:val="32"/>
      <w:lang w:val="en-US" w:eastAsia="zh-CN" w:bidi="ar-SA"/>
    </w:rPr>
  </w:style>
  <w:style w:type="character" w:customStyle="1" w:styleId="187">
    <w:name w:val="UserStyle_62"/>
    <w:autoRedefine/>
    <w:qFormat/>
    <w:uiPriority w:val="0"/>
    <w:rPr>
      <w:kern w:val="2"/>
      <w:sz w:val="18"/>
      <w:szCs w:val="18"/>
    </w:rPr>
  </w:style>
  <w:style w:type="character" w:customStyle="1" w:styleId="188">
    <w:name w:val="UserStyle_63"/>
    <w:autoRedefine/>
    <w:qFormat/>
    <w:uiPriority w:val="0"/>
    <w:rPr>
      <w:rFonts w:ascii="Calibri" w:hAnsi="Calibri" w:eastAsia="宋体" w:cs="Times New Roman"/>
      <w:b/>
      <w:bCs/>
      <w:kern w:val="2"/>
      <w:sz w:val="21"/>
      <w:szCs w:val="22"/>
    </w:rPr>
  </w:style>
  <w:style w:type="character" w:customStyle="1" w:styleId="189">
    <w:name w:val="UserStyle_64"/>
    <w:link w:val="190"/>
    <w:autoRedefine/>
    <w:qFormat/>
    <w:uiPriority w:val="0"/>
    <w:rPr>
      <w:rFonts w:ascii="Arial" w:hAnsi="Times New Roman" w:eastAsia="宋体"/>
      <w:vanish/>
      <w:sz w:val="16"/>
      <w:szCs w:val="24"/>
    </w:rPr>
  </w:style>
  <w:style w:type="paragraph" w:customStyle="1" w:styleId="190">
    <w:name w:val="FormTop"/>
    <w:basedOn w:val="1"/>
    <w:next w:val="1"/>
    <w:link w:val="189"/>
    <w:autoRedefine/>
    <w:qFormat/>
    <w:uiPriority w:val="0"/>
    <w:pPr>
      <w:pBdr>
        <w:bottom w:val="single" w:color="000000" w:sz="6" w:space="1"/>
      </w:pBdr>
      <w:jc w:val="center"/>
    </w:pPr>
    <w:rPr>
      <w:rFonts w:ascii="Arial"/>
      <w:vanish/>
      <w:kern w:val="0"/>
      <w:sz w:val="16"/>
    </w:rPr>
  </w:style>
  <w:style w:type="character" w:customStyle="1" w:styleId="191">
    <w:name w:val="UserStyle_65"/>
    <w:autoRedefine/>
    <w:qFormat/>
    <w:uiPriority w:val="0"/>
    <w:rPr>
      <w:rFonts w:ascii="Calibri" w:hAnsi="Calibri"/>
      <w:sz w:val="20"/>
      <w:szCs w:val="20"/>
    </w:rPr>
  </w:style>
  <w:style w:type="character" w:customStyle="1" w:styleId="192">
    <w:name w:val="UserStyle_66"/>
    <w:autoRedefine/>
    <w:qFormat/>
    <w:uiPriority w:val="0"/>
  </w:style>
  <w:style w:type="character" w:customStyle="1" w:styleId="193">
    <w:name w:val="UserStyle_67"/>
    <w:autoRedefine/>
    <w:qFormat/>
    <w:uiPriority w:val="0"/>
    <w:rPr>
      <w:rFonts w:ascii="Arial" w:hAnsi="Arial" w:eastAsia="黑体" w:cs="Calibri"/>
      <w:b/>
      <w:bCs/>
      <w:sz w:val="24"/>
      <w:szCs w:val="24"/>
      <w:lang w:val="en-US" w:eastAsia="zh-CN" w:bidi="ar-SA"/>
    </w:rPr>
  </w:style>
  <w:style w:type="character" w:customStyle="1" w:styleId="194">
    <w:name w:val="UserStyle_68"/>
    <w:autoRedefine/>
    <w:qFormat/>
    <w:uiPriority w:val="0"/>
    <w:rPr>
      <w:kern w:val="2"/>
      <w:sz w:val="18"/>
      <w:szCs w:val="18"/>
    </w:rPr>
  </w:style>
  <w:style w:type="character" w:customStyle="1" w:styleId="195">
    <w:name w:val="UserStyle_69"/>
    <w:autoRedefine/>
    <w:semiHidden/>
    <w:qFormat/>
    <w:uiPriority w:val="0"/>
    <w:rPr>
      <w:kern w:val="2"/>
      <w:sz w:val="21"/>
      <w:szCs w:val="24"/>
    </w:rPr>
  </w:style>
  <w:style w:type="character" w:customStyle="1" w:styleId="196">
    <w:name w:val="UserStyle_70"/>
    <w:autoRedefine/>
    <w:qFormat/>
    <w:uiPriority w:val="0"/>
    <w:rPr>
      <w:rFonts w:ascii="宋体" w:hAnsi="Courier New"/>
      <w:kern w:val="2"/>
      <w:sz w:val="21"/>
    </w:rPr>
  </w:style>
  <w:style w:type="character" w:customStyle="1" w:styleId="197">
    <w:name w:val="UserStyle_71"/>
    <w:autoRedefine/>
    <w:qFormat/>
    <w:uiPriority w:val="0"/>
    <w:rPr>
      <w:rFonts w:ascii="Times New Roman" w:hAnsi="Times New Roman" w:eastAsia="宋体"/>
      <w:szCs w:val="24"/>
    </w:rPr>
  </w:style>
  <w:style w:type="character" w:customStyle="1" w:styleId="198">
    <w:name w:val="UserStyle_72"/>
    <w:autoRedefine/>
    <w:qFormat/>
    <w:uiPriority w:val="0"/>
    <w:rPr>
      <w:rFonts w:ascii="Cambria" w:hAnsi="Cambria" w:cs="Times New Roman"/>
      <w:b/>
      <w:bCs/>
      <w:kern w:val="28"/>
      <w:sz w:val="32"/>
      <w:szCs w:val="32"/>
    </w:rPr>
  </w:style>
  <w:style w:type="character" w:customStyle="1" w:styleId="199">
    <w:name w:val="UserStyle_73"/>
    <w:link w:val="200"/>
    <w:autoRedefine/>
    <w:qFormat/>
    <w:uiPriority w:val="0"/>
    <w:rPr>
      <w:b/>
      <w:kern w:val="44"/>
      <w:sz w:val="44"/>
    </w:rPr>
  </w:style>
  <w:style w:type="paragraph" w:customStyle="1" w:styleId="200">
    <w:name w:val="UserStyle_74"/>
    <w:basedOn w:val="201"/>
    <w:next w:val="201"/>
    <w:link w:val="199"/>
    <w:autoRedefine/>
    <w:qFormat/>
    <w:uiPriority w:val="0"/>
    <w:pPr>
      <w:keepNext/>
      <w:keepLines/>
      <w:spacing w:before="340" w:after="330" w:line="576" w:lineRule="auto"/>
    </w:pPr>
    <w:rPr>
      <w:rFonts w:ascii="Calibri" w:hAnsi="Calibri"/>
      <w:b/>
      <w:kern w:val="44"/>
      <w:sz w:val="44"/>
    </w:rPr>
  </w:style>
  <w:style w:type="paragraph" w:customStyle="1" w:styleId="201">
    <w:name w:val="UserStyle_75"/>
    <w:autoRedefine/>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02">
    <w:name w:val="UserStyle_76"/>
    <w:autoRedefine/>
    <w:semiHidden/>
    <w:qFormat/>
    <w:uiPriority w:val="0"/>
    <w:rPr>
      <w:rFonts w:ascii="Calibri" w:hAnsi="Calibri" w:eastAsia="宋体"/>
      <w:kern w:val="2"/>
      <w:sz w:val="18"/>
      <w:szCs w:val="18"/>
    </w:rPr>
  </w:style>
  <w:style w:type="character" w:customStyle="1" w:styleId="203">
    <w:name w:val="UserStyle_77"/>
    <w:autoRedefine/>
    <w:semiHidden/>
    <w:qFormat/>
    <w:uiPriority w:val="0"/>
    <w:rPr>
      <w:rFonts w:ascii="Calibri" w:hAnsi="Calibri" w:eastAsia="宋体"/>
      <w:kern w:val="2"/>
      <w:sz w:val="21"/>
      <w:szCs w:val="22"/>
    </w:rPr>
  </w:style>
  <w:style w:type="character" w:customStyle="1" w:styleId="204">
    <w:name w:val="UserStyle_78"/>
    <w:autoRedefine/>
    <w:qFormat/>
    <w:uiPriority w:val="0"/>
    <w:rPr>
      <w:rFonts w:eastAsia="宋体"/>
      <w:sz w:val="24"/>
      <w:lang w:val="en-US" w:eastAsia="zh-CN" w:bidi="ar-SA"/>
    </w:rPr>
  </w:style>
  <w:style w:type="character" w:customStyle="1" w:styleId="205">
    <w:name w:val="UserStyle_79"/>
    <w:autoRedefine/>
    <w:qFormat/>
    <w:uiPriority w:val="0"/>
    <w:rPr>
      <w:i/>
      <w:iCs/>
      <w:color w:val="808080"/>
    </w:rPr>
  </w:style>
  <w:style w:type="character" w:customStyle="1" w:styleId="206">
    <w:name w:val="UserStyle_80"/>
    <w:autoRedefine/>
    <w:qFormat/>
    <w:uiPriority w:val="0"/>
    <w:rPr>
      <w:rFonts w:ascii="Times New Roman" w:hAnsi="Times New Roman" w:eastAsia="宋体"/>
      <w:sz w:val="16"/>
      <w:szCs w:val="16"/>
    </w:rPr>
  </w:style>
  <w:style w:type="character" w:customStyle="1" w:styleId="207">
    <w:name w:val="UserStyle_81"/>
    <w:autoRedefine/>
    <w:qFormat/>
    <w:uiPriority w:val="0"/>
    <w:rPr>
      <w:rFonts w:cs="Calibri"/>
      <w:b/>
      <w:bCs/>
      <w:smallCaps/>
      <w:spacing w:val="5"/>
    </w:rPr>
  </w:style>
  <w:style w:type="character" w:customStyle="1" w:styleId="208">
    <w:name w:val="UserStyle_82"/>
    <w:autoRedefine/>
    <w:qFormat/>
    <w:uiPriority w:val="0"/>
  </w:style>
  <w:style w:type="character" w:customStyle="1" w:styleId="209">
    <w:name w:val="UserStyle_83"/>
    <w:autoRedefine/>
    <w:qFormat/>
    <w:uiPriority w:val="0"/>
    <w:rPr>
      <w:rFonts w:ascii="宋体"/>
      <w:kern w:val="2"/>
      <w:sz w:val="18"/>
      <w:szCs w:val="18"/>
    </w:rPr>
  </w:style>
  <w:style w:type="character" w:customStyle="1" w:styleId="210">
    <w:name w:val="UserStyle_84"/>
    <w:link w:val="211"/>
    <w:autoRedefine/>
    <w:qFormat/>
    <w:uiPriority w:val="0"/>
    <w:rPr>
      <w:rFonts w:eastAsia="楷体_GB2312" w:cs="Calibri"/>
      <w:b/>
      <w:bCs/>
      <w:color w:val="33CCCC"/>
      <w:sz w:val="28"/>
      <w:szCs w:val="28"/>
    </w:rPr>
  </w:style>
  <w:style w:type="paragraph" w:customStyle="1" w:styleId="211">
    <w:name w:val="UserStyle_85"/>
    <w:basedOn w:val="40"/>
    <w:link w:val="210"/>
    <w:autoRedefine/>
    <w:qFormat/>
    <w:uiPriority w:val="0"/>
    <w:pPr>
      <w:spacing w:before="0" w:after="40" w:line="413" w:lineRule="auto"/>
      <w:ind w:left="-2" w:leftChars="-1" w:firstLine="1"/>
    </w:pPr>
    <w:rPr>
      <w:rFonts w:ascii="Calibri" w:hAnsi="Calibri" w:eastAsia="楷体_GB2312"/>
      <w:color w:val="33CCCC"/>
      <w:sz w:val="28"/>
      <w:szCs w:val="28"/>
    </w:rPr>
  </w:style>
  <w:style w:type="character" w:customStyle="1" w:styleId="212">
    <w:name w:val="UserStyle_86"/>
    <w:link w:val="213"/>
    <w:autoRedefine/>
    <w:qFormat/>
    <w:uiPriority w:val="0"/>
    <w:rPr>
      <w:rFonts w:ascii="Arial" w:hAnsi="Times New Roman" w:eastAsia="宋体"/>
      <w:vanish/>
      <w:sz w:val="16"/>
      <w:szCs w:val="24"/>
    </w:rPr>
  </w:style>
  <w:style w:type="paragraph" w:customStyle="1" w:styleId="213">
    <w:name w:val="FormBottom"/>
    <w:basedOn w:val="1"/>
    <w:next w:val="1"/>
    <w:link w:val="212"/>
    <w:autoRedefine/>
    <w:qFormat/>
    <w:uiPriority w:val="0"/>
    <w:pPr>
      <w:pBdr>
        <w:top w:val="single" w:color="000000" w:sz="6" w:space="1"/>
      </w:pBdr>
      <w:jc w:val="center"/>
    </w:pPr>
    <w:rPr>
      <w:rFonts w:ascii="Arial"/>
      <w:vanish/>
      <w:kern w:val="0"/>
      <w:sz w:val="16"/>
    </w:rPr>
  </w:style>
  <w:style w:type="character" w:customStyle="1" w:styleId="214">
    <w:name w:val="UserStyle_87"/>
    <w:link w:val="215"/>
    <w:autoRedefine/>
    <w:qFormat/>
    <w:uiPriority w:val="0"/>
    <w:rPr>
      <w:rFonts w:eastAsia="黑体" w:cs="Calibri"/>
      <w:bCs/>
      <w:kern w:val="44"/>
      <w:sz w:val="24"/>
      <w:szCs w:val="44"/>
    </w:rPr>
  </w:style>
  <w:style w:type="paragraph" w:customStyle="1" w:styleId="215">
    <w:name w:val="UserStyle_88"/>
    <w:basedOn w:val="38"/>
    <w:link w:val="214"/>
    <w:autoRedefine/>
    <w:qFormat/>
    <w:uiPriority w:val="0"/>
    <w:pPr>
      <w:spacing w:before="240" w:after="240" w:line="240" w:lineRule="exact"/>
    </w:pPr>
    <w:rPr>
      <w:rFonts w:ascii="Calibri" w:hAnsi="Calibri" w:eastAsia="黑体"/>
      <w:b w:val="0"/>
      <w:sz w:val="24"/>
    </w:rPr>
  </w:style>
  <w:style w:type="character" w:customStyle="1" w:styleId="216">
    <w:name w:val="UserStyle_89"/>
    <w:link w:val="217"/>
    <w:autoRedefine/>
    <w:qFormat/>
    <w:uiPriority w:val="0"/>
    <w:rPr>
      <w:szCs w:val="24"/>
    </w:rPr>
  </w:style>
  <w:style w:type="paragraph" w:customStyle="1" w:styleId="217">
    <w:name w:val="UserStyle_90"/>
    <w:basedOn w:val="218"/>
    <w:next w:val="218"/>
    <w:link w:val="216"/>
    <w:autoRedefine/>
    <w:qFormat/>
    <w:uiPriority w:val="0"/>
    <w:pPr>
      <w:ind w:left="100" w:leftChars="2500"/>
    </w:pPr>
    <w:rPr>
      <w:rFonts w:ascii="Calibri" w:hAnsi="Calibri"/>
      <w:kern w:val="0"/>
      <w:sz w:val="20"/>
    </w:rPr>
  </w:style>
  <w:style w:type="paragraph" w:customStyle="1" w:styleId="218">
    <w:name w:val="UserStyle_9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19">
    <w:name w:val="UserStyle_92"/>
    <w:autoRedefine/>
    <w:qFormat/>
    <w:uiPriority w:val="0"/>
    <w:rPr>
      <w:color w:val="FF0000"/>
      <w:sz w:val="15"/>
      <w:szCs w:val="15"/>
    </w:rPr>
  </w:style>
  <w:style w:type="character" w:customStyle="1" w:styleId="220">
    <w:name w:val="UserStyle_93"/>
    <w:autoRedefine/>
    <w:qFormat/>
    <w:uiPriority w:val="0"/>
    <w:rPr>
      <w:rFonts w:ascii="Calibri" w:hAnsi="Calibri" w:eastAsia="宋体"/>
      <w:kern w:val="2"/>
      <w:sz w:val="16"/>
      <w:szCs w:val="16"/>
    </w:rPr>
  </w:style>
  <w:style w:type="character" w:customStyle="1" w:styleId="221">
    <w:name w:val="262"/>
    <w:autoRedefine/>
    <w:qFormat/>
    <w:uiPriority w:val="0"/>
    <w:rPr>
      <w:smallCaps/>
      <w:color w:val="C0504D"/>
      <w:u w:val="single"/>
    </w:rPr>
  </w:style>
  <w:style w:type="character" w:customStyle="1" w:styleId="222">
    <w:name w:val="261"/>
    <w:autoRedefine/>
    <w:qFormat/>
    <w:uiPriority w:val="0"/>
    <w:rPr>
      <w:rFonts w:cs="Calibri"/>
      <w:b/>
      <w:bCs/>
      <w:i/>
      <w:iCs/>
      <w:color w:val="4F81BD"/>
    </w:rPr>
  </w:style>
  <w:style w:type="character" w:customStyle="1" w:styleId="223">
    <w:name w:val="UserStyle_94"/>
    <w:autoRedefine/>
    <w:qFormat/>
    <w:uiPriority w:val="0"/>
    <w:rPr>
      <w:rFonts w:ascii="Times New Roman" w:hAnsi="Times New Roman" w:eastAsia="宋体"/>
      <w:szCs w:val="24"/>
    </w:rPr>
  </w:style>
  <w:style w:type="character" w:customStyle="1" w:styleId="224">
    <w:name w:val="UserStyle_95"/>
    <w:autoRedefine/>
    <w:qFormat/>
    <w:uiPriority w:val="0"/>
  </w:style>
  <w:style w:type="character" w:customStyle="1" w:styleId="225">
    <w:name w:val="UserStyle_96"/>
    <w:autoRedefine/>
    <w:qFormat/>
    <w:uiPriority w:val="0"/>
    <w:rPr>
      <w:rFonts w:ascii="宋体" w:hAnsi="Courier New" w:eastAsia="宋体"/>
      <w:kern w:val="2"/>
      <w:sz w:val="21"/>
      <w:szCs w:val="21"/>
      <w:lang w:val="en-US" w:eastAsia="zh-CN" w:bidi="ar-SA"/>
    </w:rPr>
  </w:style>
  <w:style w:type="character" w:customStyle="1" w:styleId="226">
    <w:name w:val="UserStyle_97"/>
    <w:autoRedefine/>
    <w:qFormat/>
    <w:uiPriority w:val="0"/>
    <w:rPr>
      <w:b/>
      <w:color w:val="4371A0"/>
      <w:sz w:val="18"/>
      <w:szCs w:val="18"/>
    </w:rPr>
  </w:style>
  <w:style w:type="character" w:customStyle="1" w:styleId="227">
    <w:name w:val="UserStyle_98"/>
    <w:autoRedefine/>
    <w:qFormat/>
    <w:locked/>
    <w:uiPriority w:val="0"/>
    <w:rPr>
      <w:rFonts w:ascii="宋体" w:hAnsi="Courier New"/>
    </w:rPr>
  </w:style>
  <w:style w:type="character" w:customStyle="1" w:styleId="228">
    <w:name w:val="UserStyle_99"/>
    <w:autoRedefine/>
    <w:semiHidden/>
    <w:qFormat/>
    <w:uiPriority w:val="0"/>
    <w:rPr>
      <w:rFonts w:ascii="Calibri" w:hAnsi="Calibri" w:eastAsia="宋体"/>
      <w:kern w:val="2"/>
      <w:sz w:val="18"/>
      <w:szCs w:val="18"/>
    </w:rPr>
  </w:style>
  <w:style w:type="character" w:customStyle="1" w:styleId="229">
    <w:name w:val="UserStyle_100"/>
    <w:link w:val="230"/>
    <w:autoRedefine/>
    <w:qFormat/>
    <w:uiPriority w:val="0"/>
    <w:rPr>
      <w:b/>
      <w:szCs w:val="24"/>
    </w:rPr>
  </w:style>
  <w:style w:type="paragraph" w:customStyle="1" w:styleId="230">
    <w:name w:val="UserStyle_101"/>
    <w:basedOn w:val="179"/>
    <w:link w:val="229"/>
    <w:autoRedefine/>
    <w:qFormat/>
    <w:uiPriority w:val="0"/>
    <w:pPr>
      <w:ind w:firstLine="210"/>
    </w:pPr>
    <w:rPr>
      <w:rFonts w:ascii="Calibri" w:hAnsi="Calibri"/>
      <w:b/>
      <w:kern w:val="0"/>
      <w:sz w:val="20"/>
    </w:rPr>
  </w:style>
  <w:style w:type="character" w:customStyle="1" w:styleId="231">
    <w:name w:val="UserStyle_102"/>
    <w:autoRedefine/>
    <w:qFormat/>
    <w:uiPriority w:val="0"/>
    <w:rPr>
      <w:kern w:val="2"/>
      <w:sz w:val="18"/>
      <w:szCs w:val="18"/>
    </w:rPr>
  </w:style>
  <w:style w:type="character" w:customStyle="1" w:styleId="232">
    <w:name w:val="UserStyle_103"/>
    <w:link w:val="233"/>
    <w:autoRedefine/>
    <w:qFormat/>
    <w:uiPriority w:val="0"/>
    <w:rPr>
      <w:i/>
      <w:iCs/>
      <w:color w:val="000000"/>
    </w:rPr>
  </w:style>
  <w:style w:type="paragraph" w:customStyle="1" w:styleId="233">
    <w:name w:val="180"/>
    <w:basedOn w:val="1"/>
    <w:next w:val="1"/>
    <w:link w:val="232"/>
    <w:autoRedefine/>
    <w:qFormat/>
    <w:uiPriority w:val="0"/>
    <w:rPr>
      <w:rFonts w:ascii="Calibri" w:hAnsi="Calibri"/>
      <w:i/>
      <w:iCs/>
      <w:color w:val="000000"/>
      <w:kern w:val="0"/>
      <w:sz w:val="20"/>
      <w:szCs w:val="20"/>
    </w:rPr>
  </w:style>
  <w:style w:type="character" w:customStyle="1" w:styleId="234">
    <w:name w:val="UserStyle_104"/>
    <w:autoRedefine/>
    <w:qFormat/>
    <w:uiPriority w:val="0"/>
    <w:rPr>
      <w:rFonts w:ascii="Cambria" w:hAnsi="Cambria" w:eastAsia="宋体" w:cs="Times New Roman"/>
      <w:b/>
      <w:bCs/>
      <w:sz w:val="24"/>
      <w:szCs w:val="24"/>
    </w:rPr>
  </w:style>
  <w:style w:type="character" w:customStyle="1" w:styleId="235">
    <w:name w:val="UserStyle_105"/>
    <w:autoRedefine/>
    <w:qFormat/>
    <w:uiPriority w:val="0"/>
    <w:rPr>
      <w:rFonts w:ascii="Times New Roman" w:hAnsi="Times New Roman" w:eastAsia="宋体"/>
      <w:sz w:val="18"/>
      <w:szCs w:val="18"/>
    </w:rPr>
  </w:style>
  <w:style w:type="character" w:customStyle="1" w:styleId="236">
    <w:name w:val="UserStyle_106"/>
    <w:autoRedefine/>
    <w:qFormat/>
    <w:uiPriority w:val="0"/>
    <w:rPr>
      <w:kern w:val="2"/>
      <w:sz w:val="24"/>
    </w:rPr>
  </w:style>
  <w:style w:type="character" w:customStyle="1" w:styleId="237">
    <w:name w:val="UserStyle_107"/>
    <w:link w:val="238"/>
    <w:autoRedefine/>
    <w:qFormat/>
    <w:uiPriority w:val="0"/>
    <w:rPr>
      <w:b/>
      <w:kern w:val="44"/>
      <w:sz w:val="44"/>
    </w:rPr>
  </w:style>
  <w:style w:type="paragraph" w:customStyle="1" w:styleId="238">
    <w:name w:val="UserStyle_108"/>
    <w:basedOn w:val="239"/>
    <w:next w:val="239"/>
    <w:link w:val="237"/>
    <w:autoRedefine/>
    <w:qFormat/>
    <w:uiPriority w:val="0"/>
    <w:pPr>
      <w:keepNext/>
      <w:keepLines/>
      <w:spacing w:before="340" w:after="330" w:line="576" w:lineRule="auto"/>
    </w:pPr>
    <w:rPr>
      <w:rFonts w:ascii="Calibri" w:hAnsi="Calibri"/>
      <w:b/>
      <w:kern w:val="44"/>
      <w:sz w:val="44"/>
    </w:rPr>
  </w:style>
  <w:style w:type="paragraph" w:customStyle="1" w:styleId="239">
    <w:name w:val="UserStyle_109"/>
    <w:autoRedefine/>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40">
    <w:name w:val="UserStyle_110"/>
    <w:autoRedefine/>
    <w:qFormat/>
    <w:uiPriority w:val="0"/>
    <w:rPr>
      <w:rFonts w:cs="Calibri"/>
      <w:b/>
      <w:bCs/>
      <w:kern w:val="2"/>
      <w:sz w:val="21"/>
      <w:szCs w:val="22"/>
    </w:rPr>
  </w:style>
  <w:style w:type="character" w:customStyle="1" w:styleId="241">
    <w:name w:val="UserStyle_111"/>
    <w:autoRedefine/>
    <w:qFormat/>
    <w:uiPriority w:val="0"/>
    <w:rPr>
      <w:rFonts w:ascii="Cambria" w:hAnsi="Cambria" w:cs="Times New Roman"/>
      <w:b/>
      <w:bCs/>
      <w:kern w:val="2"/>
      <w:sz w:val="32"/>
      <w:szCs w:val="32"/>
    </w:rPr>
  </w:style>
  <w:style w:type="character" w:customStyle="1" w:styleId="242">
    <w:name w:val="UserStyle_112"/>
    <w:link w:val="243"/>
    <w:autoRedefine/>
    <w:qFormat/>
    <w:uiPriority w:val="0"/>
    <w:rPr>
      <w:b/>
      <w:kern w:val="44"/>
      <w:sz w:val="44"/>
    </w:rPr>
  </w:style>
  <w:style w:type="paragraph" w:customStyle="1" w:styleId="243">
    <w:name w:val="UserStyle_113"/>
    <w:basedOn w:val="183"/>
    <w:next w:val="183"/>
    <w:link w:val="242"/>
    <w:autoRedefine/>
    <w:qFormat/>
    <w:uiPriority w:val="0"/>
    <w:pPr>
      <w:keepNext/>
      <w:keepLines/>
      <w:spacing w:before="340" w:after="330" w:line="576" w:lineRule="auto"/>
    </w:pPr>
    <w:rPr>
      <w:rFonts w:ascii="Calibri" w:hAnsi="Calibri"/>
      <w:b/>
      <w:kern w:val="44"/>
      <w:sz w:val="44"/>
    </w:rPr>
  </w:style>
  <w:style w:type="character" w:customStyle="1" w:styleId="244">
    <w:name w:val="UserStyle_114"/>
    <w:autoRedefine/>
    <w:qFormat/>
    <w:uiPriority w:val="0"/>
  </w:style>
  <w:style w:type="character" w:customStyle="1" w:styleId="245">
    <w:name w:val="UserStyle_115"/>
    <w:autoRedefine/>
    <w:qFormat/>
    <w:uiPriority w:val="0"/>
    <w:rPr>
      <w:rFonts w:ascii="宋体" w:hAnsi="Courier New" w:eastAsia="宋体"/>
      <w:kern w:val="2"/>
      <w:sz w:val="21"/>
      <w:szCs w:val="21"/>
      <w:lang w:val="en-US" w:eastAsia="zh-CN" w:bidi="ar-SA"/>
    </w:rPr>
  </w:style>
  <w:style w:type="character" w:customStyle="1" w:styleId="246">
    <w:name w:val="UserStyle_116"/>
    <w:link w:val="247"/>
    <w:autoRedefine/>
    <w:qFormat/>
    <w:uiPriority w:val="0"/>
    <w:rPr>
      <w:b/>
      <w:szCs w:val="24"/>
    </w:rPr>
  </w:style>
  <w:style w:type="paragraph" w:customStyle="1" w:styleId="247">
    <w:name w:val="UserStyle_117"/>
    <w:basedOn w:val="218"/>
    <w:link w:val="246"/>
    <w:autoRedefine/>
    <w:qFormat/>
    <w:uiPriority w:val="0"/>
    <w:pPr>
      <w:ind w:firstLine="210"/>
    </w:pPr>
    <w:rPr>
      <w:rFonts w:ascii="Calibri" w:hAnsi="Calibri"/>
      <w:b/>
      <w:kern w:val="0"/>
      <w:sz w:val="20"/>
    </w:rPr>
  </w:style>
  <w:style w:type="character" w:customStyle="1" w:styleId="248">
    <w:name w:val="UserStyle_118"/>
    <w:autoRedefine/>
    <w:qFormat/>
    <w:uiPriority w:val="0"/>
    <w:rPr>
      <w:rFonts w:eastAsia="宋体"/>
      <w:kern w:val="2"/>
      <w:sz w:val="21"/>
      <w:szCs w:val="24"/>
      <w:lang w:val="en-US" w:eastAsia="zh-CN" w:bidi="ar-SA"/>
    </w:rPr>
  </w:style>
  <w:style w:type="character" w:customStyle="1" w:styleId="249">
    <w:name w:val="UserStyle_119"/>
    <w:autoRedefine/>
    <w:qFormat/>
    <w:uiPriority w:val="0"/>
    <w:rPr>
      <w:rFonts w:ascii="Cambria" w:hAnsi="Cambria" w:eastAsia="宋体" w:cs="Times New Roman"/>
      <w:b/>
      <w:bCs/>
      <w:sz w:val="28"/>
      <w:szCs w:val="28"/>
    </w:rPr>
  </w:style>
  <w:style w:type="character" w:customStyle="1" w:styleId="250">
    <w:name w:val="UserStyle_120"/>
    <w:autoRedefine/>
    <w:qFormat/>
    <w:uiPriority w:val="0"/>
  </w:style>
  <w:style w:type="character" w:customStyle="1" w:styleId="251">
    <w:name w:val="UserStyle_121"/>
    <w:autoRedefine/>
    <w:qFormat/>
    <w:uiPriority w:val="0"/>
    <w:rPr>
      <w:rFonts w:ascii="宋体" w:hAnsi="Courier New" w:eastAsia="宋体"/>
      <w:kern w:val="2"/>
      <w:sz w:val="21"/>
      <w:szCs w:val="21"/>
      <w:lang w:val="en-US" w:eastAsia="zh-CN" w:bidi="ar-SA"/>
    </w:rPr>
  </w:style>
  <w:style w:type="character" w:customStyle="1" w:styleId="252">
    <w:name w:val="UserStyle_122"/>
    <w:autoRedefine/>
    <w:qFormat/>
    <w:uiPriority w:val="0"/>
    <w:rPr>
      <w:rFonts w:eastAsia="宋体"/>
      <w:kern w:val="2"/>
      <w:sz w:val="21"/>
      <w:szCs w:val="24"/>
      <w:lang w:val="en-US" w:eastAsia="zh-CN" w:bidi="ar-SA"/>
    </w:rPr>
  </w:style>
  <w:style w:type="character" w:customStyle="1" w:styleId="253">
    <w:name w:val="UserStyle_123"/>
    <w:autoRedefine/>
    <w:qFormat/>
    <w:uiPriority w:val="0"/>
    <w:rPr>
      <w:b/>
      <w:color w:val="FFFFFF"/>
      <w:shd w:val="clear" w:color="auto" w:fill="249DC6"/>
    </w:rPr>
  </w:style>
  <w:style w:type="character" w:customStyle="1" w:styleId="254">
    <w:name w:val="UserStyle_124"/>
    <w:autoRedefine/>
    <w:semiHidden/>
    <w:qFormat/>
    <w:uiPriority w:val="0"/>
    <w:rPr>
      <w:rFonts w:ascii="Calibri" w:hAnsi="Calibri" w:eastAsia="宋体"/>
      <w:kern w:val="2"/>
      <w:sz w:val="18"/>
      <w:szCs w:val="18"/>
    </w:rPr>
  </w:style>
  <w:style w:type="character" w:customStyle="1" w:styleId="255">
    <w:name w:val="UserStyle_125"/>
    <w:autoRedefine/>
    <w:qFormat/>
    <w:uiPriority w:val="0"/>
    <w:rPr>
      <w:rFonts w:ascii="Cambria" w:hAnsi="Cambria" w:eastAsia="宋体" w:cs="Times New Roman"/>
      <w:b/>
      <w:bCs/>
      <w:sz w:val="32"/>
      <w:szCs w:val="32"/>
    </w:rPr>
  </w:style>
  <w:style w:type="character" w:customStyle="1" w:styleId="256">
    <w:name w:val="UserStyle_126"/>
    <w:autoRedefine/>
    <w:qFormat/>
    <w:uiPriority w:val="0"/>
    <w:rPr>
      <w:szCs w:val="24"/>
      <w:lang w:val="en-US" w:eastAsia="zh-CN"/>
    </w:rPr>
  </w:style>
  <w:style w:type="character" w:customStyle="1" w:styleId="257">
    <w:name w:val="UserStyle_127"/>
    <w:autoRedefine/>
    <w:qFormat/>
    <w:uiPriority w:val="0"/>
    <w:rPr>
      <w:rFonts w:ascii="黑体" w:hAnsi="黑体" w:eastAsia="黑体"/>
      <w:b/>
      <w:sz w:val="21"/>
    </w:rPr>
  </w:style>
  <w:style w:type="character" w:customStyle="1" w:styleId="258">
    <w:name w:val="UserStyle_128"/>
    <w:autoRedefine/>
    <w:qFormat/>
    <w:uiPriority w:val="0"/>
  </w:style>
  <w:style w:type="character" w:customStyle="1" w:styleId="259">
    <w:name w:val="UserStyle_129"/>
    <w:autoRedefine/>
    <w:qFormat/>
    <w:uiPriority w:val="0"/>
    <w:rPr>
      <w:rFonts w:ascii="Times New Roman" w:hAnsi="Times New Roman" w:eastAsia="宋体"/>
      <w:szCs w:val="24"/>
    </w:rPr>
  </w:style>
  <w:style w:type="character" w:customStyle="1" w:styleId="260">
    <w:name w:val="UserStyle_130"/>
    <w:autoRedefine/>
    <w:qFormat/>
    <w:uiPriority w:val="0"/>
    <w:rPr>
      <w:rFonts w:ascii="Times New Roman" w:hAnsi="Times New Roman" w:eastAsia="宋体"/>
      <w:szCs w:val="24"/>
    </w:rPr>
  </w:style>
  <w:style w:type="character" w:customStyle="1" w:styleId="261">
    <w:name w:val="UserStyle_131"/>
    <w:autoRedefine/>
    <w:qFormat/>
    <w:uiPriority w:val="0"/>
    <w:rPr>
      <w:rFonts w:eastAsia="宋体"/>
      <w:kern w:val="2"/>
      <w:sz w:val="18"/>
      <w:szCs w:val="18"/>
      <w:lang w:val="en-US" w:eastAsia="zh-CN" w:bidi="ar-SA"/>
    </w:rPr>
  </w:style>
  <w:style w:type="character" w:customStyle="1" w:styleId="262">
    <w:name w:val="UserStyle_132"/>
    <w:autoRedefine/>
    <w:qFormat/>
    <w:uiPriority w:val="0"/>
    <w:rPr>
      <w:rFonts w:ascii="Times New Roman" w:hAnsi="Times New Roman" w:eastAsia="宋体"/>
      <w:i/>
      <w:iCs/>
      <w:color w:val="000000"/>
      <w:szCs w:val="24"/>
    </w:rPr>
  </w:style>
  <w:style w:type="character" w:customStyle="1" w:styleId="263">
    <w:name w:val="UserStyle_133"/>
    <w:autoRedefine/>
    <w:qFormat/>
    <w:uiPriority w:val="0"/>
    <w:rPr>
      <w:rFonts w:cs="Calibri"/>
      <w:b/>
      <w:bCs/>
      <w:kern w:val="44"/>
      <w:sz w:val="44"/>
      <w:szCs w:val="44"/>
    </w:rPr>
  </w:style>
  <w:style w:type="character" w:customStyle="1" w:styleId="264">
    <w:name w:val="UserStyle_134"/>
    <w:autoRedefine/>
    <w:qFormat/>
    <w:uiPriority w:val="0"/>
    <w:rPr>
      <w:b/>
      <w:kern w:val="44"/>
      <w:sz w:val="44"/>
    </w:rPr>
  </w:style>
  <w:style w:type="character" w:customStyle="1" w:styleId="265">
    <w:name w:val="UserStyle_135"/>
    <w:autoRedefine/>
    <w:qFormat/>
    <w:uiPriority w:val="0"/>
    <w:rPr>
      <w:rFonts w:ascii="Courier New" w:hAnsi="Courier New" w:eastAsia="宋体"/>
      <w:sz w:val="20"/>
      <w:szCs w:val="20"/>
    </w:rPr>
  </w:style>
  <w:style w:type="character" w:customStyle="1" w:styleId="266">
    <w:name w:val="260"/>
    <w:autoRedefine/>
    <w:qFormat/>
    <w:uiPriority w:val="0"/>
    <w:rPr>
      <w:i/>
      <w:iCs/>
      <w:color w:val="808080"/>
    </w:rPr>
  </w:style>
  <w:style w:type="character" w:customStyle="1" w:styleId="267">
    <w:name w:val="UserStyle_136"/>
    <w:autoRedefine/>
    <w:semiHidden/>
    <w:qFormat/>
    <w:uiPriority w:val="0"/>
    <w:rPr>
      <w:rFonts w:ascii="宋体" w:hAnsi="Calibri" w:eastAsia="宋体"/>
      <w:kern w:val="2"/>
      <w:sz w:val="18"/>
      <w:szCs w:val="18"/>
    </w:rPr>
  </w:style>
  <w:style w:type="character" w:customStyle="1" w:styleId="268">
    <w:name w:val="UserStyle_137"/>
    <w:autoRedefine/>
    <w:qFormat/>
    <w:uiPriority w:val="0"/>
    <w:rPr>
      <w:rFonts w:ascii="Times New Roman" w:hAnsi="Times New Roman" w:eastAsia="宋体" w:cs="Times New Roman"/>
      <w:b/>
      <w:bCs/>
      <w:i/>
      <w:iCs/>
      <w:color w:val="4F81BD"/>
      <w:szCs w:val="24"/>
    </w:rPr>
  </w:style>
  <w:style w:type="character" w:customStyle="1" w:styleId="269">
    <w:name w:val="UserStyle_138"/>
    <w:autoRedefine/>
    <w:qFormat/>
    <w:locked/>
    <w:uiPriority w:val="0"/>
    <w:rPr>
      <w:kern w:val="2"/>
      <w:sz w:val="21"/>
      <w:szCs w:val="24"/>
    </w:rPr>
  </w:style>
  <w:style w:type="character" w:customStyle="1" w:styleId="270">
    <w:name w:val="UserStyle_139"/>
    <w:autoRedefine/>
    <w:qFormat/>
    <w:uiPriority w:val="0"/>
    <w:rPr>
      <w:b/>
      <w:color w:val="4371A0"/>
      <w:sz w:val="18"/>
      <w:szCs w:val="18"/>
      <w:bdr w:val="single" w:color="000000" w:sz="178" w:space="0"/>
    </w:rPr>
  </w:style>
  <w:style w:type="character" w:customStyle="1" w:styleId="271">
    <w:name w:val="UserStyle_140"/>
    <w:autoRedefine/>
    <w:qFormat/>
    <w:uiPriority w:val="0"/>
  </w:style>
  <w:style w:type="character" w:customStyle="1" w:styleId="272">
    <w:name w:val="UserStyle_141"/>
    <w:autoRedefine/>
    <w:qFormat/>
    <w:uiPriority w:val="0"/>
    <w:rPr>
      <w:rFonts w:ascii="Cambria" w:hAnsi="Cambria" w:eastAsia="宋体"/>
      <w:szCs w:val="21"/>
    </w:rPr>
  </w:style>
  <w:style w:type="character" w:customStyle="1" w:styleId="273">
    <w:name w:val="UserStyle_142"/>
    <w:autoRedefine/>
    <w:qFormat/>
    <w:uiPriority w:val="0"/>
    <w:rPr>
      <w:smallCaps/>
      <w:color w:val="C0504D"/>
      <w:u w:val="single"/>
    </w:rPr>
  </w:style>
  <w:style w:type="character" w:customStyle="1" w:styleId="274">
    <w:name w:val="UserStyle_143"/>
    <w:autoRedefine/>
    <w:qFormat/>
    <w:uiPriority w:val="0"/>
    <w:rPr>
      <w:kern w:val="2"/>
      <w:sz w:val="18"/>
      <w:szCs w:val="18"/>
    </w:rPr>
  </w:style>
  <w:style w:type="character" w:customStyle="1" w:styleId="275">
    <w:name w:val="UserStyle_144"/>
    <w:autoRedefine/>
    <w:qFormat/>
    <w:uiPriority w:val="0"/>
    <w:rPr>
      <w:rFonts w:ascii="宋体" w:hAnsi="Courier New" w:eastAsia="宋体"/>
      <w:szCs w:val="21"/>
    </w:rPr>
  </w:style>
  <w:style w:type="character" w:customStyle="1" w:styleId="276">
    <w:name w:val="UserStyle_145"/>
    <w:link w:val="277"/>
    <w:autoRedefine/>
    <w:qFormat/>
    <w:uiPriority w:val="0"/>
    <w:rPr>
      <w:kern w:val="2"/>
      <w:sz w:val="22"/>
      <w:szCs w:val="22"/>
      <w:lang w:val="en-US" w:eastAsia="zh-CN" w:bidi="ar-SA"/>
    </w:rPr>
  </w:style>
  <w:style w:type="paragraph" w:customStyle="1" w:styleId="277">
    <w:name w:val="Null"/>
    <w:link w:val="276"/>
    <w:autoRedefine/>
    <w:qFormat/>
    <w:uiPriority w:val="0"/>
    <w:pPr>
      <w:textAlignment w:val="baseline"/>
    </w:pPr>
    <w:rPr>
      <w:rFonts w:ascii="Calibri" w:hAnsi="Calibri" w:eastAsia="宋体" w:cstheme="minorBidi"/>
      <w:kern w:val="2"/>
      <w:sz w:val="22"/>
      <w:szCs w:val="22"/>
      <w:lang w:val="en-US" w:eastAsia="zh-CN" w:bidi="ar-SA"/>
    </w:rPr>
  </w:style>
  <w:style w:type="character" w:customStyle="1" w:styleId="278">
    <w:name w:val="UserStyle_146"/>
    <w:autoRedefine/>
    <w:qFormat/>
    <w:locked/>
    <w:uiPriority w:val="0"/>
    <w:rPr>
      <w:rFonts w:eastAsia="宋体"/>
      <w:sz w:val="24"/>
    </w:rPr>
  </w:style>
  <w:style w:type="character" w:customStyle="1" w:styleId="279">
    <w:name w:val="264"/>
    <w:autoRedefine/>
    <w:qFormat/>
    <w:uiPriority w:val="0"/>
    <w:rPr>
      <w:rFonts w:cs="Calibri"/>
      <w:b/>
      <w:bCs/>
      <w:smallCaps/>
      <w:spacing w:val="5"/>
    </w:rPr>
  </w:style>
  <w:style w:type="character" w:customStyle="1" w:styleId="280">
    <w:name w:val="UserStyle_147"/>
    <w:autoRedefine/>
    <w:qFormat/>
    <w:uiPriority w:val="0"/>
    <w:rPr>
      <w:rFonts w:ascii="宋体" w:hAnsi="Courier New" w:eastAsia="宋体"/>
      <w:szCs w:val="21"/>
    </w:rPr>
  </w:style>
  <w:style w:type="character" w:customStyle="1" w:styleId="281">
    <w:name w:val="UserStyle_148"/>
    <w:autoRedefine/>
    <w:qFormat/>
    <w:uiPriority w:val="0"/>
  </w:style>
  <w:style w:type="character" w:customStyle="1" w:styleId="282">
    <w:name w:val="UserStyle_149"/>
    <w:link w:val="283"/>
    <w:autoRedefine/>
    <w:qFormat/>
    <w:uiPriority w:val="0"/>
    <w:rPr>
      <w:b/>
      <w:kern w:val="44"/>
      <w:sz w:val="44"/>
    </w:rPr>
  </w:style>
  <w:style w:type="paragraph" w:customStyle="1" w:styleId="283">
    <w:name w:val="UserStyle_150"/>
    <w:basedOn w:val="179"/>
    <w:next w:val="179"/>
    <w:link w:val="282"/>
    <w:autoRedefine/>
    <w:qFormat/>
    <w:uiPriority w:val="0"/>
    <w:pPr>
      <w:keepNext/>
      <w:keepLines/>
      <w:spacing w:before="340" w:after="330" w:line="576" w:lineRule="auto"/>
    </w:pPr>
    <w:rPr>
      <w:rFonts w:ascii="Calibri" w:hAnsi="Calibri"/>
      <w:b/>
      <w:kern w:val="44"/>
      <w:sz w:val="44"/>
      <w:szCs w:val="20"/>
    </w:rPr>
  </w:style>
  <w:style w:type="character" w:customStyle="1" w:styleId="284">
    <w:name w:val="UserStyle_151"/>
    <w:autoRedefine/>
    <w:qFormat/>
    <w:uiPriority w:val="0"/>
  </w:style>
  <w:style w:type="character" w:customStyle="1" w:styleId="285">
    <w:name w:val="UserStyle_152"/>
    <w:autoRedefine/>
    <w:qFormat/>
    <w:uiPriority w:val="0"/>
    <w:rPr>
      <w:rFonts w:ascii="Calibri" w:hAnsi="Calibri" w:eastAsia="宋体" w:cs="Times New Roman"/>
      <w:b/>
      <w:bCs/>
      <w:i/>
      <w:iCs/>
      <w:color w:val="4F81BD"/>
      <w:kern w:val="2"/>
      <w:sz w:val="21"/>
      <w:szCs w:val="22"/>
    </w:rPr>
  </w:style>
  <w:style w:type="character" w:customStyle="1" w:styleId="286">
    <w:name w:val="UserStyle_153"/>
    <w:link w:val="287"/>
    <w:autoRedefine/>
    <w:qFormat/>
    <w:uiPriority w:val="0"/>
    <w:rPr>
      <w:b/>
      <w:kern w:val="44"/>
      <w:sz w:val="44"/>
    </w:rPr>
  </w:style>
  <w:style w:type="paragraph" w:customStyle="1" w:styleId="287">
    <w:name w:val="UserStyle_154"/>
    <w:basedOn w:val="288"/>
    <w:next w:val="288"/>
    <w:link w:val="286"/>
    <w:autoRedefine/>
    <w:qFormat/>
    <w:uiPriority w:val="0"/>
    <w:pPr>
      <w:keepNext/>
      <w:keepLines/>
      <w:spacing w:before="340" w:after="330" w:line="576" w:lineRule="auto"/>
    </w:pPr>
    <w:rPr>
      <w:rFonts w:ascii="Calibri" w:hAnsi="Calibri"/>
      <w:b/>
      <w:kern w:val="44"/>
      <w:sz w:val="44"/>
    </w:rPr>
  </w:style>
  <w:style w:type="paragraph" w:customStyle="1" w:styleId="288">
    <w:name w:val="UserStyle_155"/>
    <w:autoRedefine/>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89">
    <w:name w:val="UserStyle_156"/>
    <w:autoRedefine/>
    <w:qFormat/>
    <w:locked/>
    <w:uiPriority w:val="0"/>
    <w:rPr>
      <w:rFonts w:eastAsia="宋体"/>
      <w:kern w:val="2"/>
      <w:sz w:val="24"/>
      <w:lang w:val="en-US" w:eastAsia="zh-CN" w:bidi="ar-SA"/>
    </w:rPr>
  </w:style>
  <w:style w:type="character" w:customStyle="1" w:styleId="290">
    <w:name w:val="UserStyle_157"/>
    <w:autoRedefine/>
    <w:qFormat/>
    <w:uiPriority w:val="0"/>
    <w:rPr>
      <w:rFonts w:ascii="Cambria" w:hAnsi="Cambria" w:eastAsia="宋体" w:cs="Times New Roman"/>
      <w:b/>
      <w:bCs/>
      <w:sz w:val="32"/>
      <w:szCs w:val="32"/>
    </w:rPr>
  </w:style>
  <w:style w:type="character" w:customStyle="1" w:styleId="291">
    <w:name w:val="UserStyle_158"/>
    <w:autoRedefine/>
    <w:qFormat/>
    <w:uiPriority w:val="0"/>
    <w:rPr>
      <w:rFonts w:ascii="Times New Roman" w:hAnsi="Times New Roman" w:eastAsia="宋体"/>
      <w:sz w:val="18"/>
      <w:szCs w:val="18"/>
    </w:rPr>
  </w:style>
  <w:style w:type="character" w:customStyle="1" w:styleId="292">
    <w:name w:val="UserStyle_159"/>
    <w:autoRedefine/>
    <w:qFormat/>
    <w:uiPriority w:val="0"/>
    <w:rPr>
      <w:rFonts w:eastAsia="宋体"/>
      <w:kern w:val="2"/>
      <w:sz w:val="21"/>
      <w:szCs w:val="24"/>
      <w:lang w:val="en-US" w:eastAsia="zh-CN" w:bidi="ar-SA"/>
    </w:rPr>
  </w:style>
  <w:style w:type="character" w:customStyle="1" w:styleId="293">
    <w:name w:val="UserStyle_160"/>
    <w:link w:val="294"/>
    <w:autoRedefine/>
    <w:qFormat/>
    <w:uiPriority w:val="0"/>
    <w:rPr>
      <w:rFonts w:cs="Calibri"/>
      <w:b/>
      <w:bCs/>
      <w:i/>
      <w:iCs/>
      <w:color w:val="4F81BD"/>
    </w:rPr>
  </w:style>
  <w:style w:type="paragraph" w:customStyle="1" w:styleId="294">
    <w:name w:val="181"/>
    <w:basedOn w:val="1"/>
    <w:next w:val="1"/>
    <w:link w:val="293"/>
    <w:autoRedefine/>
    <w:qFormat/>
    <w:uiPriority w:val="0"/>
    <w:pPr>
      <w:pBdr>
        <w:bottom w:val="single" w:color="808080" w:sz="4" w:space="4"/>
      </w:pBdr>
      <w:spacing w:before="200" w:after="280"/>
      <w:ind w:left="936" w:right="936"/>
    </w:pPr>
    <w:rPr>
      <w:rFonts w:ascii="Calibri" w:hAnsi="Calibri" w:cs="Calibri"/>
      <w:b/>
      <w:bCs/>
      <w:i/>
      <w:iCs/>
      <w:color w:val="4F81BD"/>
      <w:kern w:val="0"/>
      <w:sz w:val="20"/>
      <w:szCs w:val="20"/>
    </w:rPr>
  </w:style>
  <w:style w:type="character" w:customStyle="1" w:styleId="295">
    <w:name w:val="UserStyle_161"/>
    <w:autoRedefine/>
    <w:qFormat/>
    <w:uiPriority w:val="0"/>
    <w:rPr>
      <w:rFonts w:ascii="Times New Roman" w:hAnsi="Times New Roman" w:eastAsia="宋体" w:cs="Times New Roman"/>
      <w:b/>
      <w:bCs/>
      <w:kern w:val="44"/>
      <w:sz w:val="44"/>
      <w:szCs w:val="44"/>
    </w:rPr>
  </w:style>
  <w:style w:type="character" w:customStyle="1" w:styleId="296">
    <w:name w:val="UserStyle_162"/>
    <w:autoRedefine/>
    <w:qFormat/>
    <w:uiPriority w:val="0"/>
  </w:style>
  <w:style w:type="character" w:customStyle="1" w:styleId="297">
    <w:name w:val="UserStyle_163"/>
    <w:autoRedefine/>
    <w:qFormat/>
    <w:uiPriority w:val="0"/>
    <w:rPr>
      <w:rFonts w:ascii="宋体" w:hAnsi="Times New Roman" w:eastAsia="宋体"/>
      <w:sz w:val="28"/>
      <w:szCs w:val="20"/>
    </w:rPr>
  </w:style>
  <w:style w:type="character" w:customStyle="1" w:styleId="298">
    <w:name w:val="UserStyle_164"/>
    <w:autoRedefine/>
    <w:qFormat/>
    <w:uiPriority w:val="0"/>
    <w:rPr>
      <w:rFonts w:ascii="Cambria" w:hAnsi="Cambria" w:eastAsia="宋体" w:cs="Times New Roman"/>
      <w:b/>
      <w:bCs/>
      <w:kern w:val="28"/>
      <w:sz w:val="32"/>
      <w:szCs w:val="32"/>
    </w:rPr>
  </w:style>
  <w:style w:type="character" w:customStyle="1" w:styleId="299">
    <w:name w:val="UserStyle_165"/>
    <w:autoRedefine/>
    <w:qFormat/>
    <w:uiPriority w:val="0"/>
    <w:rPr>
      <w:rFonts w:ascii="Times New Roman" w:hAnsi="Times New Roman" w:eastAsia="宋体" w:cs="Times New Roman"/>
      <w:b/>
      <w:bCs/>
      <w:sz w:val="28"/>
      <w:szCs w:val="28"/>
    </w:rPr>
  </w:style>
  <w:style w:type="character" w:customStyle="1" w:styleId="300">
    <w:name w:val="UserStyle_166"/>
    <w:autoRedefine/>
    <w:qFormat/>
    <w:uiPriority w:val="0"/>
    <w:rPr>
      <w:kern w:val="2"/>
      <w:sz w:val="18"/>
      <w:szCs w:val="18"/>
    </w:rPr>
  </w:style>
  <w:style w:type="character" w:customStyle="1" w:styleId="301">
    <w:name w:val="UserStyle_167"/>
    <w:basedOn w:val="47"/>
    <w:autoRedefine/>
    <w:qFormat/>
    <w:uiPriority w:val="0"/>
  </w:style>
  <w:style w:type="character" w:customStyle="1" w:styleId="302">
    <w:name w:val="UserStyle_168"/>
    <w:autoRedefine/>
    <w:qFormat/>
    <w:uiPriority w:val="0"/>
    <w:rPr>
      <w:rFonts w:ascii="Calibri" w:hAnsi="Calibri" w:eastAsia="宋体"/>
      <w:kern w:val="2"/>
      <w:sz w:val="21"/>
      <w:szCs w:val="22"/>
    </w:rPr>
  </w:style>
  <w:style w:type="character" w:customStyle="1" w:styleId="303">
    <w:name w:val="UserStyle_169"/>
    <w:autoRedefine/>
    <w:qFormat/>
    <w:uiPriority w:val="0"/>
    <w:rPr>
      <w:sz w:val="15"/>
      <w:szCs w:val="15"/>
    </w:rPr>
  </w:style>
  <w:style w:type="character" w:customStyle="1" w:styleId="304">
    <w:name w:val="UserStyle_170"/>
    <w:autoRedefine/>
    <w:qFormat/>
    <w:uiPriority w:val="0"/>
    <w:rPr>
      <w:rFonts w:ascii="宋体" w:cs="Calibri"/>
      <w:b/>
      <w:bCs/>
      <w:sz w:val="28"/>
      <w:lang w:bidi="ar-SA"/>
    </w:rPr>
  </w:style>
  <w:style w:type="character" w:customStyle="1" w:styleId="305">
    <w:name w:val="UserStyle_171"/>
    <w:autoRedefine/>
    <w:qFormat/>
    <w:uiPriority w:val="0"/>
    <w:rPr>
      <w:rFonts w:eastAsia="宋体"/>
      <w:kern w:val="2"/>
      <w:sz w:val="21"/>
      <w:szCs w:val="24"/>
      <w:lang w:val="en-US" w:eastAsia="zh-CN" w:bidi="ar-SA"/>
    </w:rPr>
  </w:style>
  <w:style w:type="character" w:customStyle="1" w:styleId="306">
    <w:name w:val="UserStyle_172"/>
    <w:autoRedefine/>
    <w:qFormat/>
    <w:uiPriority w:val="0"/>
    <w:rPr>
      <w:rFonts w:eastAsia="宋体"/>
      <w:kern w:val="2"/>
      <w:sz w:val="18"/>
      <w:szCs w:val="18"/>
      <w:lang w:val="en-US" w:eastAsia="zh-CN" w:bidi="ar-SA"/>
    </w:rPr>
  </w:style>
  <w:style w:type="character" w:customStyle="1" w:styleId="307">
    <w:name w:val="UserStyle_173"/>
    <w:autoRedefine/>
    <w:qFormat/>
    <w:uiPriority w:val="0"/>
    <w:rPr>
      <w:rFonts w:cs="Calibri"/>
      <w:b/>
      <w:bCs/>
      <w:kern w:val="44"/>
      <w:sz w:val="44"/>
      <w:szCs w:val="44"/>
    </w:rPr>
  </w:style>
  <w:style w:type="character" w:customStyle="1" w:styleId="308">
    <w:name w:val="UserStyle_174"/>
    <w:autoRedefine/>
    <w:qFormat/>
    <w:uiPriority w:val="0"/>
    <w:rPr>
      <w:rFonts w:ascii="宋体" w:hAnsi="Times New Roman" w:eastAsia="宋体"/>
      <w:sz w:val="18"/>
      <w:szCs w:val="18"/>
    </w:rPr>
  </w:style>
  <w:style w:type="character" w:customStyle="1" w:styleId="309">
    <w:name w:val="UserStyle_175"/>
    <w:link w:val="310"/>
    <w:autoRedefine/>
    <w:qFormat/>
    <w:uiPriority w:val="0"/>
  </w:style>
  <w:style w:type="paragraph" w:customStyle="1" w:styleId="310">
    <w:name w:val="UserStyle_176"/>
    <w:basedOn w:val="201"/>
    <w:next w:val="201"/>
    <w:link w:val="309"/>
    <w:autoRedefine/>
    <w:qFormat/>
    <w:uiPriority w:val="0"/>
    <w:pPr>
      <w:ind w:left="100" w:leftChars="2500"/>
    </w:pPr>
    <w:rPr>
      <w:rFonts w:ascii="Calibri" w:hAnsi="Calibri"/>
      <w:szCs w:val="22"/>
    </w:rPr>
  </w:style>
  <w:style w:type="character" w:customStyle="1" w:styleId="311">
    <w:name w:val="UserStyle_177"/>
    <w:link w:val="312"/>
    <w:autoRedefine/>
    <w:qFormat/>
    <w:uiPriority w:val="0"/>
    <w:rPr>
      <w:sz w:val="24"/>
    </w:rPr>
  </w:style>
  <w:style w:type="paragraph" w:customStyle="1" w:styleId="312">
    <w:name w:val="UserStyle_178"/>
    <w:basedOn w:val="18"/>
    <w:link w:val="311"/>
    <w:autoRedefine/>
    <w:qFormat/>
    <w:uiPriority w:val="0"/>
    <w:pPr>
      <w:pBdr>
        <w:bottom w:val="none" w:color="auto" w:sz="0" w:space="0"/>
      </w:pBdr>
      <w:spacing w:line="400" w:lineRule="atLeast"/>
    </w:pPr>
    <w:rPr>
      <w:sz w:val="24"/>
      <w:szCs w:val="20"/>
    </w:rPr>
  </w:style>
  <w:style w:type="character" w:customStyle="1" w:styleId="313">
    <w:name w:val="UserStyle_179"/>
    <w:autoRedefine/>
    <w:qFormat/>
    <w:uiPriority w:val="0"/>
    <w:rPr>
      <w:kern w:val="2"/>
      <w:sz w:val="21"/>
      <w:szCs w:val="22"/>
    </w:rPr>
  </w:style>
  <w:style w:type="character" w:customStyle="1" w:styleId="314">
    <w:name w:val="UserStyle_180"/>
    <w:autoRedefine/>
    <w:qFormat/>
    <w:uiPriority w:val="0"/>
    <w:rPr>
      <w:rFonts w:ascii="Times New Roman" w:hAnsi="Times New Roman" w:eastAsia="宋体" w:cs="Times New Roman"/>
      <w:b/>
      <w:bCs/>
      <w:sz w:val="32"/>
      <w:szCs w:val="32"/>
    </w:rPr>
  </w:style>
  <w:style w:type="character" w:customStyle="1" w:styleId="315">
    <w:name w:val="UserStyle_181"/>
    <w:autoRedefine/>
    <w:qFormat/>
    <w:uiPriority w:val="0"/>
    <w:rPr>
      <w:rFonts w:ascii="Times New Roman" w:hAnsi="Times New Roman" w:eastAsia="宋体"/>
      <w:szCs w:val="24"/>
    </w:rPr>
  </w:style>
  <w:style w:type="character" w:customStyle="1" w:styleId="316">
    <w:name w:val="UserStyle_182"/>
    <w:autoRedefine/>
    <w:qFormat/>
    <w:uiPriority w:val="0"/>
    <w:rPr>
      <w:rFonts w:cs="Calibri"/>
      <w:b/>
      <w:bCs/>
      <w:smallCaps/>
      <w:color w:val="C0504D"/>
      <w:spacing w:val="5"/>
      <w:u w:val="single"/>
    </w:rPr>
  </w:style>
  <w:style w:type="character" w:customStyle="1" w:styleId="317">
    <w:name w:val="UserStyle_183"/>
    <w:link w:val="318"/>
    <w:autoRedefine/>
    <w:qFormat/>
    <w:uiPriority w:val="0"/>
    <w:rPr>
      <w:sz w:val="24"/>
    </w:rPr>
  </w:style>
  <w:style w:type="paragraph" w:customStyle="1" w:styleId="318">
    <w:name w:val="UserStyle_184"/>
    <w:basedOn w:val="1"/>
    <w:link w:val="317"/>
    <w:autoRedefine/>
    <w:qFormat/>
    <w:uiPriority w:val="0"/>
    <w:pPr>
      <w:spacing w:before="100" w:after="100"/>
      <w:ind w:left="360" w:right="360"/>
      <w:jc w:val="left"/>
    </w:pPr>
    <w:rPr>
      <w:rFonts w:ascii="Calibri" w:hAnsi="Calibri"/>
      <w:kern w:val="0"/>
      <w:sz w:val="24"/>
      <w:szCs w:val="20"/>
    </w:rPr>
  </w:style>
  <w:style w:type="character" w:customStyle="1" w:styleId="319">
    <w:name w:val="UserStyle_185"/>
    <w:autoRedefine/>
    <w:qFormat/>
    <w:uiPriority w:val="0"/>
  </w:style>
  <w:style w:type="character" w:customStyle="1" w:styleId="320">
    <w:name w:val="UserStyle_186"/>
    <w:autoRedefine/>
    <w:qFormat/>
    <w:uiPriority w:val="0"/>
    <w:rPr>
      <w:rFonts w:cs="Calibri"/>
      <w:b/>
      <w:bCs/>
      <w:i/>
      <w:iCs/>
      <w:color w:val="4F81BD"/>
    </w:rPr>
  </w:style>
  <w:style w:type="character" w:customStyle="1" w:styleId="321">
    <w:name w:val="UserStyle_187"/>
    <w:autoRedefine/>
    <w:qFormat/>
    <w:uiPriority w:val="0"/>
    <w:rPr>
      <w:rFonts w:ascii="Arial" w:hAnsi="Arial" w:eastAsia="黑体"/>
      <w:sz w:val="28"/>
      <w:lang w:val="en-US" w:eastAsia="zh-CN" w:bidi="ar-SA"/>
    </w:rPr>
  </w:style>
  <w:style w:type="character" w:customStyle="1" w:styleId="322">
    <w:name w:val="UserStyle_188"/>
    <w:autoRedefine/>
    <w:qFormat/>
    <w:uiPriority w:val="0"/>
    <w:rPr>
      <w:rFonts w:ascii="Cambria" w:hAnsi="Cambria" w:cs="Times New Roman"/>
      <w:b/>
      <w:bCs/>
      <w:kern w:val="2"/>
      <w:sz w:val="32"/>
      <w:szCs w:val="32"/>
    </w:rPr>
  </w:style>
  <w:style w:type="character" w:customStyle="1" w:styleId="323">
    <w:name w:val="UserStyle_189"/>
    <w:autoRedefine/>
    <w:qFormat/>
    <w:uiPriority w:val="0"/>
    <w:rPr>
      <w:rFonts w:ascii="Times New Roman" w:hAnsi="Times New Roman" w:eastAsia="宋体"/>
      <w:szCs w:val="24"/>
    </w:rPr>
  </w:style>
  <w:style w:type="character" w:customStyle="1" w:styleId="324">
    <w:name w:val="UserStyle_190"/>
    <w:autoRedefine/>
    <w:qFormat/>
    <w:uiPriority w:val="0"/>
    <w:rPr>
      <w:rFonts w:ascii="宋体" w:hAnsi="宋体"/>
      <w:sz w:val="24"/>
      <w:szCs w:val="24"/>
    </w:rPr>
  </w:style>
  <w:style w:type="character" w:customStyle="1" w:styleId="325">
    <w:name w:val="UserStyle_191"/>
    <w:autoRedefine/>
    <w:qFormat/>
    <w:uiPriority w:val="0"/>
    <w:rPr>
      <w:rFonts w:ascii="Calibri" w:hAnsi="Calibri" w:eastAsia="宋体"/>
      <w:kern w:val="2"/>
      <w:sz w:val="21"/>
      <w:szCs w:val="22"/>
    </w:rPr>
  </w:style>
  <w:style w:type="character" w:customStyle="1" w:styleId="326">
    <w:name w:val="UserStyle_192"/>
    <w:link w:val="327"/>
    <w:autoRedefine/>
    <w:qFormat/>
    <w:uiPriority w:val="0"/>
    <w:rPr>
      <w:rFonts w:ascii="Arial" w:hAnsi="Arial" w:cs="Calibri"/>
      <w:b/>
      <w:bCs/>
      <w:sz w:val="24"/>
      <w:szCs w:val="32"/>
      <w:lang w:bidi="ar-SA"/>
    </w:rPr>
  </w:style>
  <w:style w:type="paragraph" w:customStyle="1" w:styleId="327">
    <w:name w:val="UserStyle_193"/>
    <w:basedOn w:val="39"/>
    <w:next w:val="98"/>
    <w:link w:val="326"/>
    <w:autoRedefine/>
    <w:qFormat/>
    <w:uiPriority w:val="0"/>
    <w:pPr>
      <w:spacing w:line="413" w:lineRule="auto"/>
    </w:pPr>
    <w:rPr>
      <w:rFonts w:eastAsia="宋体"/>
      <w:sz w:val="24"/>
    </w:rPr>
  </w:style>
  <w:style w:type="character" w:customStyle="1" w:styleId="328">
    <w:name w:val="UserStyle_194"/>
    <w:link w:val="329"/>
    <w:autoRedefine/>
    <w:qFormat/>
    <w:uiPriority w:val="0"/>
    <w:rPr>
      <w:rFonts w:ascii="Arial" w:hAnsi="Arial" w:cs="Calibri"/>
      <w:b/>
      <w:bCs/>
      <w:sz w:val="24"/>
      <w:szCs w:val="32"/>
    </w:rPr>
  </w:style>
  <w:style w:type="paragraph" w:customStyle="1" w:styleId="329">
    <w:name w:val="UserStyle_195"/>
    <w:basedOn w:val="40"/>
    <w:link w:val="328"/>
    <w:autoRedefine/>
    <w:qFormat/>
    <w:uiPriority w:val="0"/>
    <w:pPr>
      <w:spacing w:line="413" w:lineRule="auto"/>
    </w:pPr>
    <w:rPr>
      <w:rFonts w:ascii="Arial" w:hAnsi="Arial"/>
      <w:sz w:val="24"/>
    </w:rPr>
  </w:style>
  <w:style w:type="character" w:customStyle="1" w:styleId="330">
    <w:name w:val="UserStyle_196"/>
    <w:autoRedefine/>
    <w:qFormat/>
    <w:uiPriority w:val="0"/>
    <w:rPr>
      <w:color w:val="008000"/>
    </w:rPr>
  </w:style>
  <w:style w:type="character" w:customStyle="1" w:styleId="331">
    <w:name w:val="UserStyle_197"/>
    <w:autoRedefine/>
    <w:qFormat/>
    <w:uiPriority w:val="0"/>
    <w:rPr>
      <w:rFonts w:ascii="Times New Roman" w:hAnsi="Times New Roman" w:eastAsia="宋体" w:cs="Times New Roman"/>
      <w:b/>
      <w:bCs/>
      <w:szCs w:val="24"/>
    </w:rPr>
  </w:style>
  <w:style w:type="character" w:customStyle="1" w:styleId="332">
    <w:name w:val="UserStyle_198"/>
    <w:autoRedefine/>
    <w:semiHidden/>
    <w:qFormat/>
    <w:uiPriority w:val="0"/>
    <w:rPr>
      <w:rFonts w:ascii="Calibri" w:hAnsi="Calibri" w:eastAsia="宋体"/>
      <w:kern w:val="2"/>
      <w:sz w:val="21"/>
      <w:szCs w:val="22"/>
    </w:rPr>
  </w:style>
  <w:style w:type="character" w:customStyle="1" w:styleId="333">
    <w:name w:val="UserStyle_199"/>
    <w:autoRedefine/>
    <w:qFormat/>
    <w:uiPriority w:val="0"/>
  </w:style>
  <w:style w:type="paragraph" w:customStyle="1" w:styleId="334">
    <w:name w:val="UserStyle_200"/>
    <w:basedOn w:val="1"/>
    <w:autoRedefine/>
    <w:qFormat/>
    <w:uiPriority w:val="0"/>
    <w:rPr>
      <w:rFonts w:ascii="Calibri" w:hAnsi="Calibri"/>
      <w:szCs w:val="22"/>
    </w:rPr>
  </w:style>
  <w:style w:type="paragraph" w:customStyle="1" w:styleId="335">
    <w:name w:val="UserStyle_201"/>
    <w:basedOn w:val="336"/>
    <w:autoRedefine/>
    <w:qFormat/>
    <w:uiPriority w:val="0"/>
    <w:rPr>
      <w:rFonts w:ascii="宋体" w:hAnsi="宋体"/>
    </w:rPr>
  </w:style>
  <w:style w:type="paragraph" w:customStyle="1" w:styleId="336">
    <w:name w:val="UserStyle_202"/>
    <w:basedOn w:val="1"/>
    <w:autoRedefine/>
    <w:qFormat/>
    <w:uiPriority w:val="0"/>
    <w:pPr>
      <w:jc w:val="center"/>
    </w:pPr>
    <w:rPr>
      <w:rFonts w:ascii="Calibri" w:hAnsi="Calibri"/>
      <w:szCs w:val="22"/>
    </w:rPr>
  </w:style>
  <w:style w:type="paragraph" w:customStyle="1" w:styleId="337">
    <w:name w:val="UserStyle_203"/>
    <w:basedOn w:val="1"/>
    <w:autoRedefine/>
    <w:qFormat/>
    <w:uiPriority w:val="0"/>
    <w:pPr>
      <w:spacing w:before="150" w:after="150"/>
      <w:jc w:val="left"/>
    </w:pPr>
    <w:rPr>
      <w:rFonts w:ascii="宋体" w:hAnsi="宋体"/>
      <w:kern w:val="0"/>
      <w:sz w:val="24"/>
    </w:rPr>
  </w:style>
  <w:style w:type="paragraph" w:customStyle="1" w:styleId="338">
    <w:name w:val="UserStyle_20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39">
    <w:name w:val="UserStyle_205"/>
    <w:basedOn w:val="1"/>
    <w:autoRedefine/>
    <w:qFormat/>
    <w:uiPriority w:val="0"/>
    <w:rPr>
      <w:rFonts w:ascii="Calibri" w:hAnsi="Calibri"/>
      <w:szCs w:val="22"/>
    </w:rPr>
  </w:style>
  <w:style w:type="paragraph" w:customStyle="1" w:styleId="340">
    <w:name w:val="UserStyle_206"/>
    <w:basedOn w:val="1"/>
    <w:autoRedefine/>
    <w:qFormat/>
    <w:uiPriority w:val="0"/>
    <w:pPr>
      <w:spacing w:line="300" w:lineRule="auto"/>
    </w:pPr>
    <w:rPr>
      <w:rFonts w:ascii="Calibri" w:hAnsi="Calibri"/>
    </w:rPr>
  </w:style>
  <w:style w:type="paragraph" w:customStyle="1" w:styleId="341">
    <w:name w:val="UserStyle_207"/>
    <w:basedOn w:val="1"/>
    <w:autoRedefine/>
    <w:qFormat/>
    <w:uiPriority w:val="0"/>
    <w:rPr>
      <w:rFonts w:ascii="仿宋_GB2312" w:eastAsia="仿宋_GB2312"/>
      <w:b/>
      <w:sz w:val="32"/>
      <w:szCs w:val="32"/>
    </w:rPr>
  </w:style>
  <w:style w:type="paragraph" w:customStyle="1" w:styleId="342">
    <w:name w:val="UserStyle_208"/>
    <w:basedOn w:val="1"/>
    <w:autoRedefine/>
    <w:qFormat/>
    <w:uiPriority w:val="0"/>
    <w:pPr>
      <w:spacing w:before="25" w:after="25"/>
      <w:jc w:val="left"/>
    </w:pPr>
    <w:rPr>
      <w:rFonts w:ascii="Calibri" w:hAnsi="Calibri" w:cs="Calibri"/>
      <w:bCs/>
      <w:spacing w:val="10"/>
      <w:kern w:val="0"/>
      <w:sz w:val="24"/>
      <w:szCs w:val="20"/>
    </w:rPr>
  </w:style>
  <w:style w:type="paragraph" w:customStyle="1" w:styleId="343">
    <w:name w:val="UserStyle_20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344">
    <w:name w:val="UserStyle_210"/>
    <w:basedOn w:val="1"/>
    <w:autoRedefine/>
    <w:qFormat/>
    <w:uiPriority w:val="0"/>
    <w:rPr>
      <w:rFonts w:ascii="Calibri" w:hAnsi="Calibri"/>
      <w:szCs w:val="22"/>
    </w:rPr>
  </w:style>
  <w:style w:type="paragraph" w:customStyle="1" w:styleId="345">
    <w:name w:val="UserStyle_211"/>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46">
    <w:name w:val="UserStyle_212"/>
    <w:basedOn w:val="39"/>
    <w:autoRedefine/>
    <w:qFormat/>
    <w:uiPriority w:val="0"/>
    <w:pPr>
      <w:tabs>
        <w:tab w:val="left" w:pos="1440"/>
      </w:tabs>
      <w:spacing w:before="0" w:after="0" w:line="413" w:lineRule="auto"/>
      <w:ind w:left="1440" w:hanging="360"/>
    </w:pPr>
    <w:rPr>
      <w:rFonts w:eastAsia="楷体_GB2312"/>
      <w:color w:val="3366FF"/>
      <w:sz w:val="30"/>
      <w:szCs w:val="30"/>
    </w:rPr>
  </w:style>
  <w:style w:type="paragraph" w:customStyle="1" w:styleId="347">
    <w:name w:val="UserStyle_213"/>
    <w:basedOn w:val="1"/>
    <w:autoRedefine/>
    <w:qFormat/>
    <w:uiPriority w:val="0"/>
    <w:pPr>
      <w:tabs>
        <w:tab w:val="left" w:pos="960"/>
      </w:tabs>
      <w:spacing w:before="200" w:line="320" w:lineRule="atLeast"/>
      <w:ind w:left="960" w:hanging="960"/>
    </w:pPr>
    <w:rPr>
      <w:kern w:val="0"/>
      <w:sz w:val="24"/>
      <w:szCs w:val="20"/>
    </w:rPr>
  </w:style>
  <w:style w:type="paragraph" w:customStyle="1" w:styleId="348">
    <w:name w:val="UserStyle_214"/>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49">
    <w:name w:val="UserStyle_21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kern w:val="0"/>
      <w:sz w:val="24"/>
    </w:rPr>
  </w:style>
  <w:style w:type="paragraph" w:customStyle="1" w:styleId="350">
    <w:name w:val="UserStyle_216"/>
    <w:basedOn w:val="1"/>
    <w:autoRedefine/>
    <w:qFormat/>
    <w:uiPriority w:val="0"/>
    <w:pPr>
      <w:suppressAutoHyphens/>
    </w:pPr>
    <w:rPr>
      <w:rFonts w:ascii="宋体" w:hAnsi="宋体"/>
      <w:szCs w:val="22"/>
      <w:lang w:eastAsia="ar-SA"/>
    </w:rPr>
  </w:style>
  <w:style w:type="paragraph" w:customStyle="1" w:styleId="351">
    <w:name w:val="UserStyle_21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18"/>
      <w:szCs w:val="18"/>
    </w:rPr>
  </w:style>
  <w:style w:type="paragraph" w:customStyle="1" w:styleId="352">
    <w:name w:val="UserStyle_218"/>
    <w:basedOn w:val="1"/>
    <w:autoRedefine/>
    <w:qFormat/>
    <w:uiPriority w:val="0"/>
    <w:rPr>
      <w:rFonts w:ascii="宋体" w:hAnsi="宋体"/>
      <w:sz w:val="30"/>
    </w:rPr>
  </w:style>
  <w:style w:type="paragraph" w:customStyle="1" w:styleId="353">
    <w:name w:val="UserStyle_219"/>
    <w:basedOn w:val="1"/>
    <w:autoRedefine/>
    <w:qFormat/>
    <w:uiPriority w:val="0"/>
    <w:pPr>
      <w:tabs>
        <w:tab w:val="left" w:pos="1535"/>
        <w:tab w:val="left" w:pos="3105"/>
        <w:tab w:val="left" w:pos="4676"/>
        <w:tab w:val="left" w:pos="6247"/>
        <w:tab w:val="left" w:pos="7740"/>
        <w:tab w:val="left" w:pos="9288"/>
      </w:tabs>
      <w:snapToGrid w:val="0"/>
      <w:jc w:val="center"/>
    </w:pPr>
    <w:rPr>
      <w:color w:val="000000"/>
      <w:kern w:val="0"/>
      <w:szCs w:val="16"/>
    </w:rPr>
  </w:style>
  <w:style w:type="paragraph" w:customStyle="1" w:styleId="354">
    <w:name w:val="UserStyle_220"/>
    <w:basedOn w:val="1"/>
    <w:autoRedefine/>
    <w:qFormat/>
    <w:uiPriority w:val="0"/>
    <w:pPr>
      <w:spacing w:before="150" w:after="150"/>
      <w:jc w:val="left"/>
    </w:pPr>
    <w:rPr>
      <w:rFonts w:ascii="宋体" w:hAnsi="宋体"/>
      <w:kern w:val="0"/>
      <w:sz w:val="24"/>
    </w:rPr>
  </w:style>
  <w:style w:type="paragraph" w:customStyle="1" w:styleId="355">
    <w:name w:val="UserStyle_221"/>
    <w:autoRedefine/>
    <w:qFormat/>
    <w:uiPriority w:val="0"/>
    <w:pPr>
      <w:tabs>
        <w:tab w:val="center" w:pos="4320"/>
        <w:tab w:val="right" w:pos="8640"/>
      </w:tabs>
      <w:spacing w:line="315" w:lineRule="atLeast"/>
      <w:jc w:val="both"/>
      <w:textAlignment w:val="baseline"/>
    </w:pPr>
    <w:rPr>
      <w:rFonts w:ascii="宋体" w:hAnsi="Times New Roman" w:eastAsia="宋体" w:cstheme="minorBidi"/>
      <w:sz w:val="21"/>
      <w:lang w:val="en-US" w:eastAsia="zh-CN" w:bidi="ar-SA"/>
    </w:rPr>
  </w:style>
  <w:style w:type="paragraph" w:customStyle="1" w:styleId="356">
    <w:name w:val="UserStyle_222"/>
    <w:basedOn w:val="1"/>
    <w:autoRedefine/>
    <w:qFormat/>
    <w:uiPriority w:val="0"/>
    <w:rPr>
      <w:rFonts w:ascii="Calibri" w:hAnsi="Calibri"/>
      <w:szCs w:val="22"/>
    </w:rPr>
  </w:style>
  <w:style w:type="paragraph" w:customStyle="1" w:styleId="357">
    <w:name w:val="UserStyle_223"/>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58">
    <w:name w:val="UserStyle_224"/>
    <w:basedOn w:val="1"/>
    <w:autoRedefine/>
    <w:qFormat/>
    <w:uiPriority w:val="0"/>
    <w:rPr>
      <w:rFonts w:ascii="Calibri" w:hAnsi="Calibri"/>
      <w:szCs w:val="22"/>
    </w:rPr>
  </w:style>
  <w:style w:type="paragraph" w:customStyle="1" w:styleId="359">
    <w:name w:val="UserStyle_225"/>
    <w:autoRedefine/>
    <w:qFormat/>
    <w:uiPriority w:val="0"/>
    <w:pPr>
      <w:textAlignment w:val="baseline"/>
    </w:pPr>
    <w:rPr>
      <w:rFonts w:ascii="宋体" w:hAnsi="Calibri" w:eastAsia="宋体" w:cstheme="minorBidi"/>
      <w:sz w:val="21"/>
      <w:szCs w:val="22"/>
      <w:lang w:val="en-US" w:eastAsia="zh-CN" w:bidi="ar-SA"/>
    </w:rPr>
  </w:style>
  <w:style w:type="paragraph" w:customStyle="1" w:styleId="360">
    <w:name w:val="UserStyle_226"/>
    <w:basedOn w:val="1"/>
    <w:autoRedefine/>
    <w:qFormat/>
    <w:uiPriority w:val="0"/>
    <w:pPr>
      <w:spacing w:before="150" w:after="150"/>
      <w:jc w:val="left"/>
    </w:pPr>
    <w:rPr>
      <w:rFonts w:ascii="宋体" w:hAnsi="宋体"/>
      <w:kern w:val="0"/>
      <w:sz w:val="24"/>
    </w:rPr>
  </w:style>
  <w:style w:type="paragraph" w:customStyle="1" w:styleId="361">
    <w:name w:val="UserStyle_227"/>
    <w:basedOn w:val="1"/>
    <w:autoRedefine/>
    <w:qFormat/>
    <w:uiPriority w:val="0"/>
    <w:pPr>
      <w:snapToGrid w:val="0"/>
    </w:pPr>
    <w:rPr>
      <w:rFonts w:ascii="楷体_GB2312" w:eastAsia="楷体_GB2312"/>
      <w:sz w:val="30"/>
    </w:rPr>
  </w:style>
  <w:style w:type="paragraph" w:customStyle="1" w:styleId="362">
    <w:name w:val="UserStyle_228"/>
    <w:basedOn w:val="1"/>
    <w:autoRedefine/>
    <w:qFormat/>
    <w:uiPriority w:val="0"/>
    <w:pPr>
      <w:tabs>
        <w:tab w:val="left" w:pos="567"/>
      </w:tabs>
      <w:spacing w:line="360" w:lineRule="auto"/>
      <w:ind w:left="567" w:hanging="567"/>
    </w:pPr>
    <w:rPr>
      <w:rFonts w:ascii="黑体" w:hAnsi="宋体" w:eastAsia="黑体"/>
      <w:sz w:val="32"/>
      <w:szCs w:val="28"/>
    </w:rPr>
  </w:style>
  <w:style w:type="paragraph" w:customStyle="1" w:styleId="363">
    <w:name w:val="UserStyle_229"/>
    <w:basedOn w:val="1"/>
    <w:qFormat/>
    <w:uiPriority w:val="0"/>
  </w:style>
  <w:style w:type="paragraph" w:customStyle="1" w:styleId="364">
    <w:name w:val="UserStyle_23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365">
    <w:name w:val="UserStyle_231"/>
    <w:basedOn w:val="1"/>
    <w:autoRedefine/>
    <w:qFormat/>
    <w:uiPriority w:val="0"/>
    <w:pPr>
      <w:snapToGrid w:val="0"/>
      <w:spacing w:line="320" w:lineRule="exact"/>
      <w:jc w:val="center"/>
    </w:pPr>
    <w:rPr>
      <w:spacing w:val="20"/>
      <w:kern w:val="28"/>
      <w:szCs w:val="20"/>
    </w:rPr>
  </w:style>
  <w:style w:type="paragraph" w:customStyle="1" w:styleId="366">
    <w:name w:val="UserStyle_232"/>
    <w:basedOn w:val="1"/>
    <w:autoRedefine/>
    <w:qFormat/>
    <w:uiPriority w:val="0"/>
    <w:pPr>
      <w:spacing w:line="420" w:lineRule="atLeast"/>
    </w:pPr>
    <w:rPr>
      <w:rFonts w:ascii="Calibri" w:hAnsi="Calibri" w:eastAsia="楷体"/>
      <w:kern w:val="0"/>
      <w:szCs w:val="20"/>
    </w:rPr>
  </w:style>
  <w:style w:type="paragraph" w:customStyle="1" w:styleId="367">
    <w:name w:val="UserStyle_233"/>
    <w:autoRedefine/>
    <w:qFormat/>
    <w:uiPriority w:val="0"/>
    <w:pPr>
      <w:spacing w:line="284" w:lineRule="exact"/>
      <w:jc w:val="right"/>
      <w:textAlignment w:val="baseline"/>
    </w:pPr>
    <w:rPr>
      <w:rFonts w:ascii="Arial" w:hAnsi="Arial" w:eastAsia="宋体" w:cstheme="minorBidi"/>
      <w:sz w:val="13"/>
      <w:lang w:val="en-US" w:eastAsia="en-US" w:bidi="ar-SA"/>
    </w:rPr>
  </w:style>
  <w:style w:type="paragraph" w:customStyle="1" w:styleId="368">
    <w:name w:val="UserStyle_234"/>
    <w:basedOn w:val="1"/>
    <w:autoRedefine/>
    <w:qFormat/>
    <w:uiPriority w:val="0"/>
    <w:pPr>
      <w:spacing w:before="150" w:after="150"/>
      <w:jc w:val="left"/>
    </w:pPr>
    <w:rPr>
      <w:rFonts w:ascii="宋体" w:hAnsi="宋体"/>
      <w:kern w:val="0"/>
      <w:sz w:val="24"/>
    </w:rPr>
  </w:style>
  <w:style w:type="paragraph" w:customStyle="1" w:styleId="369">
    <w:name w:val="UserStyle_235"/>
    <w:basedOn w:val="1"/>
    <w:autoRedefine/>
    <w:qFormat/>
    <w:uiPriority w:val="0"/>
    <w:rPr>
      <w:rFonts w:ascii="Calibri" w:hAnsi="Calibri"/>
      <w:sz w:val="24"/>
      <w:szCs w:val="20"/>
    </w:rPr>
  </w:style>
  <w:style w:type="paragraph" w:customStyle="1" w:styleId="370">
    <w:name w:val="UserStyle_236"/>
    <w:basedOn w:val="1"/>
    <w:autoRedefine/>
    <w:qFormat/>
    <w:uiPriority w:val="0"/>
    <w:rPr>
      <w:rFonts w:ascii="Arial" w:hAnsi="Arial"/>
      <w:sz w:val="20"/>
      <w:szCs w:val="20"/>
    </w:rPr>
  </w:style>
  <w:style w:type="paragraph" w:customStyle="1" w:styleId="371">
    <w:name w:val="UserStyle_237"/>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72">
    <w:name w:val="UserStyle_238"/>
    <w:basedOn w:val="288"/>
    <w:autoRedefine/>
    <w:qFormat/>
    <w:uiPriority w:val="0"/>
    <w:pPr>
      <w:spacing w:before="25" w:after="25"/>
      <w:jc w:val="left"/>
    </w:pPr>
    <w:rPr>
      <w:rFonts w:cs="Calibri"/>
      <w:bCs/>
      <w:spacing w:val="10"/>
      <w:kern w:val="0"/>
      <w:sz w:val="24"/>
    </w:rPr>
  </w:style>
  <w:style w:type="paragraph" w:customStyle="1" w:styleId="373">
    <w:name w:val="UserStyle_239"/>
    <w:basedOn w:val="1"/>
    <w:autoRedefine/>
    <w:qFormat/>
    <w:uiPriority w:val="0"/>
    <w:pPr>
      <w:spacing w:before="100" w:beforeAutospacing="1" w:after="100" w:afterAutospacing="1"/>
      <w:jc w:val="left"/>
    </w:pPr>
    <w:rPr>
      <w:rFonts w:ascii="宋体" w:hAnsi="宋体"/>
      <w:kern w:val="0"/>
      <w:sz w:val="24"/>
    </w:rPr>
  </w:style>
  <w:style w:type="paragraph" w:customStyle="1" w:styleId="374">
    <w:name w:val="UserStyle_240"/>
    <w:basedOn w:val="1"/>
    <w:autoRedefine/>
    <w:qFormat/>
    <w:uiPriority w:val="0"/>
    <w:pPr>
      <w:spacing w:line="360" w:lineRule="atLeast"/>
      <w:jc w:val="center"/>
    </w:pPr>
    <w:rPr>
      <w:kern w:val="0"/>
      <w:szCs w:val="20"/>
    </w:rPr>
  </w:style>
  <w:style w:type="paragraph" w:customStyle="1" w:styleId="375">
    <w:name w:val="UserStyle_241"/>
    <w:basedOn w:val="1"/>
    <w:autoRedefine/>
    <w:qFormat/>
    <w:uiPriority w:val="0"/>
  </w:style>
  <w:style w:type="paragraph" w:customStyle="1" w:styleId="376">
    <w:name w:val="UserStyle_242"/>
    <w:basedOn w:val="1"/>
    <w:autoRedefine/>
    <w:qFormat/>
    <w:uiPriority w:val="0"/>
    <w:pPr>
      <w:spacing w:line="420" w:lineRule="atLeast"/>
      <w:jc w:val="left"/>
    </w:pPr>
    <w:rPr>
      <w:kern w:val="0"/>
      <w:szCs w:val="20"/>
    </w:rPr>
  </w:style>
  <w:style w:type="paragraph" w:customStyle="1" w:styleId="377">
    <w:name w:val="UserStyle_243"/>
    <w:basedOn w:val="1"/>
    <w:autoRedefine/>
    <w:qFormat/>
    <w:uiPriority w:val="0"/>
  </w:style>
  <w:style w:type="paragraph" w:customStyle="1" w:styleId="378">
    <w:name w:val="UserStyle_244"/>
    <w:basedOn w:val="1"/>
    <w:autoRedefine/>
    <w:qFormat/>
    <w:uiPriority w:val="0"/>
    <w:pPr>
      <w:spacing w:line="480" w:lineRule="auto"/>
      <w:jc w:val="left"/>
    </w:pPr>
    <w:rPr>
      <w:rFonts w:ascii="宋体" w:hAnsi="宋体"/>
      <w:kern w:val="0"/>
      <w:sz w:val="24"/>
      <w:szCs w:val="20"/>
    </w:rPr>
  </w:style>
  <w:style w:type="paragraph" w:customStyle="1" w:styleId="379">
    <w:name w:val="UserStyle_245"/>
    <w:basedOn w:val="1"/>
    <w:autoRedefine/>
    <w:qFormat/>
    <w:uiPriority w:val="0"/>
    <w:pPr>
      <w:spacing w:before="100" w:beforeAutospacing="1" w:after="100" w:afterAutospacing="1"/>
      <w:jc w:val="left"/>
    </w:pPr>
    <w:rPr>
      <w:rFonts w:ascii="宋体" w:hAnsi="宋体"/>
      <w:kern w:val="0"/>
      <w:sz w:val="24"/>
    </w:rPr>
  </w:style>
  <w:style w:type="paragraph" w:customStyle="1" w:styleId="380">
    <w:name w:val="UserStyle_246"/>
    <w:basedOn w:val="1"/>
    <w:autoRedefine/>
    <w:qFormat/>
    <w:uiPriority w:val="0"/>
    <w:pPr>
      <w:spacing w:before="100" w:beforeAutospacing="1" w:after="100" w:afterAutospacing="1"/>
      <w:jc w:val="left"/>
      <w:textAlignment w:val="top"/>
    </w:pPr>
    <w:rPr>
      <w:rFonts w:ascii="宋体" w:hAnsi="宋体"/>
      <w:kern w:val="0"/>
      <w:sz w:val="24"/>
    </w:rPr>
  </w:style>
  <w:style w:type="paragraph" w:customStyle="1" w:styleId="381">
    <w:name w:val="UserStyle_247"/>
    <w:basedOn w:val="1"/>
    <w:autoRedefine/>
    <w:qFormat/>
    <w:uiPriority w:val="0"/>
    <w:pPr>
      <w:spacing w:before="100" w:beforeAutospacing="1" w:after="100" w:afterAutospacing="1"/>
      <w:jc w:val="left"/>
    </w:pPr>
    <w:rPr>
      <w:rFonts w:ascii="宋体" w:hAnsi="宋体"/>
      <w:kern w:val="0"/>
      <w:sz w:val="24"/>
      <w:szCs w:val="22"/>
    </w:rPr>
  </w:style>
  <w:style w:type="paragraph" w:customStyle="1" w:styleId="382">
    <w:name w:val="UserStyle_248"/>
    <w:basedOn w:val="1"/>
    <w:autoRedefine/>
    <w:qFormat/>
    <w:uiPriority w:val="0"/>
    <w:pPr>
      <w:tabs>
        <w:tab w:val="left" w:pos="1080"/>
      </w:tabs>
      <w:spacing w:line="360" w:lineRule="auto"/>
      <w:ind w:firstLine="482"/>
    </w:pPr>
    <w:rPr>
      <w:sz w:val="28"/>
      <w:szCs w:val="20"/>
    </w:rPr>
  </w:style>
  <w:style w:type="paragraph" w:customStyle="1" w:styleId="383">
    <w:name w:val="UserStyle_249"/>
    <w:basedOn w:val="1"/>
    <w:autoRedefine/>
    <w:qFormat/>
    <w:uiPriority w:val="0"/>
  </w:style>
  <w:style w:type="paragraph" w:customStyle="1" w:styleId="384">
    <w:name w:val="UserStyle_250"/>
    <w:basedOn w:val="1"/>
    <w:autoRedefine/>
    <w:qFormat/>
    <w:uiPriority w:val="0"/>
    <w:pPr>
      <w:keepNext/>
      <w:keepLines/>
      <w:tabs>
        <w:tab w:val="left" w:pos="851"/>
      </w:tabs>
      <w:spacing w:before="280" w:after="290" w:line="360" w:lineRule="auto"/>
      <w:ind w:left="851" w:hanging="851"/>
    </w:pPr>
    <w:rPr>
      <w:rFonts w:ascii="Calibri" w:hAnsi="Calibri" w:eastAsia="黑体" w:cs="Calibri"/>
      <w:bCs/>
      <w:kern w:val="0"/>
      <w:sz w:val="28"/>
      <w:szCs w:val="28"/>
    </w:rPr>
  </w:style>
  <w:style w:type="paragraph" w:customStyle="1" w:styleId="385">
    <w:name w:val="UserStyle_251"/>
    <w:basedOn w:val="386"/>
    <w:autoRedefine/>
    <w:qFormat/>
    <w:uiPriority w:val="0"/>
    <w:pPr>
      <w:spacing w:before="0" w:after="0" w:line="240" w:lineRule="auto"/>
      <w:jc w:val="center"/>
      <w:textAlignment w:val="auto"/>
    </w:pPr>
    <w:rPr>
      <w:rFonts w:ascii="宋体" w:hAnsi="宋体" w:eastAsia="宋体" w:cs="Calibri"/>
      <w:bCs/>
      <w:kern w:val="2"/>
      <w:szCs w:val="22"/>
    </w:rPr>
  </w:style>
  <w:style w:type="paragraph" w:customStyle="1" w:styleId="386">
    <w:name w:val="UserStyle_252"/>
    <w:basedOn w:val="1"/>
    <w:autoRedefine/>
    <w:qFormat/>
    <w:uiPriority w:val="0"/>
    <w:pPr>
      <w:spacing w:before="60" w:after="60" w:line="420" w:lineRule="atLeast"/>
      <w:jc w:val="left"/>
    </w:pPr>
    <w:rPr>
      <w:rFonts w:ascii="黑体" w:eastAsia="黑体"/>
      <w:b/>
      <w:kern w:val="0"/>
      <w:szCs w:val="20"/>
    </w:rPr>
  </w:style>
  <w:style w:type="paragraph" w:customStyle="1" w:styleId="387">
    <w:name w:val="UserStyle_253"/>
    <w:basedOn w:val="1"/>
    <w:autoRedefine/>
    <w:qFormat/>
    <w:uiPriority w:val="0"/>
  </w:style>
  <w:style w:type="paragraph" w:customStyle="1" w:styleId="388">
    <w:name w:val="UserStyle_254"/>
    <w:basedOn w:val="1"/>
    <w:autoRedefine/>
    <w:qFormat/>
    <w:uiPriority w:val="0"/>
    <w:rPr>
      <w:sz w:val="24"/>
      <w:szCs w:val="20"/>
    </w:rPr>
  </w:style>
  <w:style w:type="paragraph" w:customStyle="1" w:styleId="389">
    <w:name w:val="UserStyle_255"/>
    <w:basedOn w:val="38"/>
    <w:next w:val="1"/>
    <w:autoRedefine/>
    <w:qFormat/>
    <w:uiPriority w:val="0"/>
    <w:pPr>
      <w:tabs>
        <w:tab w:val="left" w:pos="432"/>
      </w:tabs>
      <w:spacing w:line="576" w:lineRule="auto"/>
    </w:pPr>
    <w:rPr>
      <w:rFonts w:ascii="Calibri" w:hAnsi="Calibri"/>
    </w:rPr>
  </w:style>
  <w:style w:type="paragraph" w:customStyle="1" w:styleId="390">
    <w:name w:val="UserStyle_256"/>
    <w:basedOn w:val="129"/>
    <w:autoRedefine/>
    <w:qFormat/>
    <w:uiPriority w:val="0"/>
    <w:pPr>
      <w:tabs>
        <w:tab w:val="left" w:pos="8790"/>
      </w:tabs>
      <w:snapToGrid w:val="0"/>
      <w:spacing w:before="40" w:after="40" w:line="276" w:lineRule="auto"/>
      <w:ind w:left="-37" w:leftChars="0" w:firstLine="667"/>
    </w:pPr>
    <w:rPr>
      <w:rFonts w:ascii="Arial" w:hAnsi="Arial"/>
      <w:color w:val="000000"/>
      <w:spacing w:val="6"/>
      <w:kern w:val="28"/>
      <w:sz w:val="24"/>
      <w:szCs w:val="20"/>
    </w:rPr>
  </w:style>
  <w:style w:type="paragraph" w:customStyle="1" w:styleId="391">
    <w:name w:val="UserStyle_257"/>
    <w:basedOn w:val="1"/>
    <w:next w:val="1"/>
    <w:autoRedefine/>
    <w:qFormat/>
    <w:uiPriority w:val="0"/>
    <w:pPr>
      <w:keepNext/>
      <w:spacing w:before="100" w:after="100"/>
      <w:jc w:val="left"/>
    </w:pPr>
    <w:rPr>
      <w:b/>
      <w:kern w:val="0"/>
      <w:sz w:val="20"/>
      <w:szCs w:val="20"/>
    </w:rPr>
  </w:style>
  <w:style w:type="paragraph" w:customStyle="1" w:styleId="392">
    <w:name w:val="UserStyle_258"/>
    <w:basedOn w:val="39"/>
    <w:autoRedefine/>
    <w:qFormat/>
    <w:uiPriority w:val="0"/>
    <w:pPr>
      <w:spacing w:before="100" w:after="0" w:line="400" w:lineRule="exact"/>
    </w:pPr>
    <w:rPr>
      <w:rFonts w:ascii="Times New Roman" w:hAnsi="Times New Roman"/>
      <w:b w:val="0"/>
      <w:bCs w:val="0"/>
      <w:sz w:val="28"/>
      <w:szCs w:val="20"/>
    </w:rPr>
  </w:style>
  <w:style w:type="paragraph" w:customStyle="1" w:styleId="393">
    <w:name w:val="UserStyle_259"/>
    <w:basedOn w:val="1"/>
    <w:autoRedefine/>
    <w:qFormat/>
    <w:uiPriority w:val="0"/>
    <w:pPr>
      <w:jc w:val="center"/>
      <w:textAlignment w:val="center"/>
    </w:pPr>
    <w:rPr>
      <w:rFonts w:ascii="华文细黑" w:hAnsi="华文细黑"/>
      <w:kern w:val="0"/>
      <w:szCs w:val="20"/>
    </w:rPr>
  </w:style>
  <w:style w:type="paragraph" w:customStyle="1" w:styleId="394">
    <w:name w:val="UserStyle_260"/>
    <w:basedOn w:val="1"/>
    <w:autoRedefine/>
    <w:qFormat/>
    <w:uiPriority w:val="0"/>
    <w:pPr>
      <w:spacing w:line="240" w:lineRule="atLeast"/>
      <w:ind w:left="420" w:firstLine="420"/>
    </w:pPr>
    <w:rPr>
      <w:kern w:val="0"/>
      <w:szCs w:val="21"/>
    </w:rPr>
  </w:style>
  <w:style w:type="paragraph" w:customStyle="1" w:styleId="395">
    <w:name w:val="UserStyle_26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2"/>
      <w:szCs w:val="22"/>
    </w:rPr>
  </w:style>
  <w:style w:type="paragraph" w:customStyle="1" w:styleId="396">
    <w:name w:val="UserStyle_262"/>
    <w:basedOn w:val="1"/>
    <w:autoRedefine/>
    <w:qFormat/>
    <w:uiPriority w:val="0"/>
    <w:rPr>
      <w:rFonts w:ascii="Tahoma" w:hAnsi="Tahoma"/>
      <w:sz w:val="24"/>
      <w:szCs w:val="20"/>
    </w:rPr>
  </w:style>
  <w:style w:type="paragraph" w:customStyle="1" w:styleId="397">
    <w:name w:val="UserStyle_263"/>
    <w:basedOn w:val="78"/>
    <w:autoRedefine/>
    <w:qFormat/>
    <w:uiPriority w:val="0"/>
    <w:pPr>
      <w:spacing w:line="360" w:lineRule="auto"/>
      <w:ind w:firstLine="200" w:firstLineChars="200"/>
    </w:pPr>
    <w:rPr>
      <w:sz w:val="28"/>
      <w:szCs w:val="20"/>
    </w:rPr>
  </w:style>
  <w:style w:type="paragraph" w:customStyle="1" w:styleId="398">
    <w:name w:val="UserStyle_26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kern w:val="0"/>
      <w:sz w:val="18"/>
      <w:szCs w:val="18"/>
    </w:rPr>
  </w:style>
  <w:style w:type="paragraph" w:customStyle="1" w:styleId="399">
    <w:name w:val="UserStyle_265"/>
    <w:basedOn w:val="1"/>
    <w:autoRedefine/>
    <w:qFormat/>
    <w:uiPriority w:val="0"/>
    <w:rPr>
      <w:rFonts w:ascii="Calibri" w:hAnsi="Calibri"/>
      <w:szCs w:val="22"/>
    </w:rPr>
  </w:style>
  <w:style w:type="paragraph" w:customStyle="1" w:styleId="400">
    <w:name w:val="UserStyle_266"/>
    <w:basedOn w:val="1"/>
    <w:autoRedefine/>
    <w:qFormat/>
    <w:uiPriority w:val="0"/>
  </w:style>
  <w:style w:type="paragraph" w:customStyle="1" w:styleId="401">
    <w:name w:val="UserStyle_267"/>
    <w:basedOn w:val="1"/>
    <w:autoRedefine/>
    <w:qFormat/>
    <w:uiPriority w:val="0"/>
    <w:pPr>
      <w:spacing w:before="150" w:after="150"/>
      <w:jc w:val="left"/>
    </w:pPr>
    <w:rPr>
      <w:rFonts w:ascii="宋体" w:hAnsi="宋体"/>
      <w:kern w:val="0"/>
      <w:sz w:val="24"/>
    </w:rPr>
  </w:style>
  <w:style w:type="paragraph" w:customStyle="1" w:styleId="402">
    <w:name w:val="UserStyle_26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kern w:val="0"/>
      <w:sz w:val="24"/>
    </w:rPr>
  </w:style>
  <w:style w:type="paragraph" w:customStyle="1" w:styleId="403">
    <w:name w:val="UserStyle_269"/>
    <w:basedOn w:val="1"/>
    <w:autoRedefine/>
    <w:qFormat/>
    <w:uiPriority w:val="0"/>
    <w:pPr>
      <w:spacing w:line="120" w:lineRule="exact"/>
    </w:pPr>
    <w:rPr>
      <w:rFonts w:eastAsia="仿宋_GB2312"/>
      <w:color w:val="FFFFFF"/>
      <w:kern w:val="0"/>
      <w:sz w:val="30"/>
      <w:szCs w:val="20"/>
    </w:rPr>
  </w:style>
  <w:style w:type="paragraph" w:customStyle="1" w:styleId="404">
    <w:name w:val="UserStyle_270"/>
    <w:basedOn w:val="101"/>
    <w:autoRedefine/>
    <w:qFormat/>
    <w:uiPriority w:val="0"/>
    <w:pPr>
      <w:spacing w:line="240" w:lineRule="atLeast"/>
      <w:ind w:firstLine="200" w:firstLineChars="200"/>
    </w:pPr>
    <w:rPr>
      <w:sz w:val="28"/>
    </w:rPr>
  </w:style>
  <w:style w:type="paragraph" w:customStyle="1" w:styleId="405">
    <w:name w:val="UserStyle_271"/>
    <w:basedOn w:val="1"/>
    <w:autoRedefine/>
    <w:qFormat/>
    <w:uiPriority w:val="0"/>
    <w:pPr>
      <w:spacing w:before="100" w:beforeAutospacing="1" w:after="100" w:afterAutospacing="1"/>
      <w:jc w:val="center"/>
      <w:textAlignment w:val="center"/>
    </w:pPr>
    <w:rPr>
      <w:rFonts w:ascii="宋体" w:hAnsi="宋体" w:cs="Calibri"/>
      <w:b/>
      <w:bCs/>
      <w:kern w:val="0"/>
      <w:sz w:val="32"/>
      <w:szCs w:val="32"/>
    </w:rPr>
  </w:style>
  <w:style w:type="paragraph" w:customStyle="1" w:styleId="406">
    <w:name w:val="UserStyle_272"/>
    <w:basedOn w:val="1"/>
    <w:autoRedefine/>
    <w:qFormat/>
    <w:uiPriority w:val="0"/>
    <w:pPr>
      <w:spacing w:line="360" w:lineRule="auto"/>
      <w:ind w:firstLine="200" w:firstLineChars="200"/>
    </w:pPr>
    <w:rPr>
      <w:rFonts w:ascii="宋体" w:hAnsi="宋体"/>
      <w:sz w:val="24"/>
    </w:rPr>
  </w:style>
  <w:style w:type="paragraph" w:customStyle="1" w:styleId="407">
    <w:name w:val="UserStyle_273"/>
    <w:basedOn w:val="1"/>
    <w:autoRedefine/>
    <w:qFormat/>
    <w:uiPriority w:val="0"/>
    <w:pPr>
      <w:ind w:firstLine="200" w:firstLineChars="200"/>
    </w:pPr>
    <w:rPr>
      <w:rFonts w:ascii="Calibri" w:hAnsi="Calibri"/>
      <w:szCs w:val="21"/>
    </w:rPr>
  </w:style>
  <w:style w:type="paragraph" w:customStyle="1" w:styleId="408">
    <w:name w:val="UserStyle_274"/>
    <w:basedOn w:val="1"/>
    <w:autoRedefine/>
    <w:qFormat/>
    <w:uiPriority w:val="0"/>
    <w:pPr>
      <w:spacing w:before="150" w:after="150"/>
      <w:jc w:val="left"/>
    </w:pPr>
    <w:rPr>
      <w:rFonts w:ascii="宋体" w:hAnsi="宋体"/>
      <w:kern w:val="0"/>
      <w:sz w:val="24"/>
    </w:rPr>
  </w:style>
  <w:style w:type="paragraph" w:customStyle="1" w:styleId="409">
    <w:name w:val="UserStyle_27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kern w:val="0"/>
      <w:sz w:val="24"/>
    </w:rPr>
  </w:style>
  <w:style w:type="paragraph" w:customStyle="1" w:styleId="410">
    <w:name w:val="UserStyle_276"/>
    <w:basedOn w:val="1"/>
    <w:autoRedefine/>
    <w:qFormat/>
    <w:uiPriority w:val="0"/>
    <w:rPr>
      <w:rFonts w:ascii="仿宋_GB2312" w:eastAsia="仿宋_GB2312"/>
      <w:b/>
      <w:sz w:val="32"/>
      <w:szCs w:val="32"/>
    </w:rPr>
  </w:style>
  <w:style w:type="paragraph" w:customStyle="1" w:styleId="411">
    <w:name w:val="UserStyle_277"/>
    <w:basedOn w:val="1"/>
    <w:autoRedefine/>
    <w:qFormat/>
    <w:uiPriority w:val="0"/>
    <w:pPr>
      <w:spacing w:before="150" w:after="150"/>
      <w:jc w:val="left"/>
    </w:pPr>
    <w:rPr>
      <w:rFonts w:ascii="宋体" w:hAnsi="宋体"/>
      <w:kern w:val="0"/>
      <w:sz w:val="24"/>
    </w:rPr>
  </w:style>
  <w:style w:type="paragraph" w:customStyle="1" w:styleId="412">
    <w:name w:val="UserStyle_278"/>
    <w:basedOn w:val="1"/>
    <w:autoRedefine/>
    <w:qFormat/>
    <w:uiPriority w:val="0"/>
    <w:pPr>
      <w:jc w:val="center"/>
    </w:pPr>
    <w:rPr>
      <w:rFonts w:ascii="宋体"/>
      <w:b/>
      <w:kern w:val="0"/>
      <w:sz w:val="36"/>
      <w:szCs w:val="20"/>
    </w:rPr>
  </w:style>
  <w:style w:type="paragraph" w:customStyle="1" w:styleId="413">
    <w:name w:val="UserStyle_279"/>
    <w:next w:val="150"/>
    <w:autoRedefine/>
    <w:qFormat/>
    <w:uiPriority w:val="0"/>
    <w:pPr>
      <w:tabs>
        <w:tab w:val="left" w:pos="360"/>
      </w:tabs>
      <w:spacing w:before="240" w:after="240"/>
      <w:textAlignment w:val="baseline"/>
    </w:pPr>
    <w:rPr>
      <w:rFonts w:ascii="Times New Roman" w:hAnsi="Times New Roman" w:eastAsia="黑体" w:cstheme="minorBidi"/>
      <w:sz w:val="28"/>
      <w:lang w:val="en-US" w:eastAsia="zh-CN" w:bidi="ar-SA"/>
    </w:rPr>
  </w:style>
  <w:style w:type="paragraph" w:customStyle="1" w:styleId="414">
    <w:name w:val="UserStyle_280"/>
    <w:basedOn w:val="1"/>
    <w:autoRedefine/>
    <w:qFormat/>
    <w:uiPriority w:val="0"/>
    <w:pPr>
      <w:spacing w:before="100" w:beforeAutospacing="1" w:after="100" w:afterAutospacing="1"/>
      <w:ind w:firstLine="560"/>
    </w:pPr>
    <w:rPr>
      <w:rFonts w:ascii="宋体" w:hAnsi="宋体"/>
      <w:kern w:val="0"/>
      <w:szCs w:val="22"/>
    </w:rPr>
  </w:style>
  <w:style w:type="paragraph" w:customStyle="1" w:styleId="415">
    <w:name w:val="UserStyle_28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4"/>
    </w:rPr>
  </w:style>
  <w:style w:type="paragraph" w:customStyle="1" w:styleId="416">
    <w:name w:val="UserStyle_282"/>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17">
    <w:name w:val="UserStyle_283"/>
    <w:autoRedefine/>
    <w:semiHidden/>
    <w:qFormat/>
    <w:uiPriority w:val="0"/>
    <w:pPr>
      <w:textAlignment w:val="baseline"/>
    </w:pPr>
    <w:rPr>
      <w:rFonts w:ascii="Calibri" w:hAnsi="Calibri" w:eastAsia="宋体" w:cstheme="minorBidi"/>
      <w:kern w:val="2"/>
      <w:sz w:val="21"/>
      <w:szCs w:val="24"/>
      <w:lang w:val="en-US" w:eastAsia="zh-CN" w:bidi="ar-SA"/>
    </w:rPr>
  </w:style>
  <w:style w:type="paragraph" w:customStyle="1" w:styleId="418">
    <w:name w:val="UserStyle_284"/>
    <w:basedOn w:val="1"/>
    <w:autoRedefine/>
    <w:qFormat/>
    <w:uiPriority w:val="0"/>
    <w:rPr>
      <w:rFonts w:ascii="宋体" w:hAnsi="宋体"/>
      <w:kern w:val="0"/>
      <w:szCs w:val="21"/>
    </w:rPr>
  </w:style>
  <w:style w:type="paragraph" w:customStyle="1" w:styleId="419">
    <w:name w:val="UserStyle_285"/>
    <w:basedOn w:val="1"/>
    <w:autoRedefine/>
    <w:qFormat/>
    <w:uiPriority w:val="0"/>
    <w:rPr>
      <w:rFonts w:ascii="Calibri" w:hAnsi="Calibri"/>
      <w:szCs w:val="22"/>
    </w:rPr>
  </w:style>
  <w:style w:type="paragraph" w:customStyle="1" w:styleId="420">
    <w:name w:val="UserStyle_286"/>
    <w:basedOn w:val="1"/>
    <w:autoRedefine/>
    <w:qFormat/>
    <w:uiPriority w:val="0"/>
    <w:pPr>
      <w:spacing w:before="150" w:after="150"/>
      <w:jc w:val="left"/>
    </w:pPr>
    <w:rPr>
      <w:rFonts w:ascii="宋体" w:hAnsi="宋体"/>
      <w:kern w:val="0"/>
      <w:sz w:val="24"/>
    </w:rPr>
  </w:style>
  <w:style w:type="paragraph" w:customStyle="1" w:styleId="421">
    <w:name w:val="UserStyle_287"/>
    <w:basedOn w:val="1"/>
    <w:autoRedefine/>
    <w:qFormat/>
    <w:uiPriority w:val="0"/>
    <w:rPr>
      <w:rFonts w:ascii="Calibri" w:hAnsi="Calibri"/>
      <w:szCs w:val="22"/>
    </w:rPr>
  </w:style>
  <w:style w:type="paragraph" w:customStyle="1" w:styleId="422">
    <w:name w:val="266"/>
    <w:basedOn w:val="38"/>
    <w:next w:val="1"/>
    <w:autoRedefine/>
    <w:qFormat/>
    <w:uiPriority w:val="0"/>
  </w:style>
  <w:style w:type="paragraph" w:customStyle="1" w:styleId="423">
    <w:name w:val="UserStyle_288"/>
    <w:basedOn w:val="1"/>
    <w:next w:val="1"/>
    <w:autoRedefine/>
    <w:qFormat/>
    <w:uiPriority w:val="0"/>
    <w:pPr>
      <w:spacing w:line="360" w:lineRule="auto"/>
      <w:jc w:val="left"/>
    </w:pPr>
    <w:rPr>
      <w:kern w:val="0"/>
      <w:szCs w:val="20"/>
      <w:lang w:eastAsia="en-US"/>
    </w:rPr>
  </w:style>
  <w:style w:type="paragraph" w:customStyle="1" w:styleId="424">
    <w:name w:val="UserStyle_289"/>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25">
    <w:name w:val="UserStyle_29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18"/>
      <w:szCs w:val="18"/>
    </w:rPr>
  </w:style>
  <w:style w:type="paragraph" w:customStyle="1" w:styleId="426">
    <w:name w:val="UserStyle_29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4"/>
    </w:rPr>
  </w:style>
  <w:style w:type="paragraph" w:customStyle="1" w:styleId="427">
    <w:name w:val="UserStyle_292"/>
    <w:basedOn w:val="1"/>
    <w:autoRedefine/>
    <w:qFormat/>
    <w:uiPriority w:val="0"/>
    <w:rPr>
      <w:rFonts w:ascii="Tahoma" w:hAnsi="Tahoma"/>
      <w:sz w:val="24"/>
      <w:szCs w:val="20"/>
    </w:rPr>
  </w:style>
  <w:style w:type="paragraph" w:customStyle="1" w:styleId="428">
    <w:name w:val="UserStyle_293"/>
    <w:basedOn w:val="1"/>
    <w:autoRedefine/>
    <w:qFormat/>
    <w:uiPriority w:val="0"/>
    <w:pPr>
      <w:ind w:firstLine="200" w:firstLineChars="200"/>
    </w:pPr>
    <w:rPr>
      <w:rFonts w:ascii="Calibri" w:hAnsi="Calibri"/>
      <w:sz w:val="24"/>
    </w:rPr>
  </w:style>
  <w:style w:type="paragraph" w:customStyle="1" w:styleId="429">
    <w:name w:val="UserStyle_294"/>
    <w:basedOn w:val="1"/>
    <w:autoRedefine/>
    <w:qFormat/>
    <w:uiPriority w:val="0"/>
    <w:rPr>
      <w:rFonts w:ascii="Calibri" w:hAnsi="Calibri"/>
      <w:szCs w:val="22"/>
    </w:rPr>
  </w:style>
  <w:style w:type="paragraph" w:customStyle="1" w:styleId="430">
    <w:name w:val="UserStyle_295"/>
    <w:basedOn w:val="1"/>
    <w:autoRedefine/>
    <w:qFormat/>
    <w:uiPriority w:val="0"/>
    <w:pPr>
      <w:spacing w:before="100" w:beforeAutospacing="1" w:after="100" w:afterAutospacing="1"/>
      <w:jc w:val="left"/>
    </w:pPr>
    <w:rPr>
      <w:rFonts w:ascii="宋体" w:hAnsi="宋体"/>
      <w:kern w:val="0"/>
      <w:sz w:val="24"/>
    </w:rPr>
  </w:style>
  <w:style w:type="paragraph" w:customStyle="1" w:styleId="431">
    <w:name w:val="UserStyle_296"/>
    <w:basedOn w:val="1"/>
    <w:autoRedefine/>
    <w:qFormat/>
    <w:uiPriority w:val="0"/>
  </w:style>
  <w:style w:type="paragraph" w:customStyle="1" w:styleId="432">
    <w:name w:val="UserStyle_297"/>
    <w:basedOn w:val="39"/>
    <w:autoRedefine/>
    <w:qFormat/>
    <w:uiPriority w:val="0"/>
    <w:pPr>
      <w:spacing w:line="360" w:lineRule="auto"/>
      <w:jc w:val="center"/>
    </w:pPr>
    <w:rPr>
      <w:rFonts w:eastAsia="宋体" w:cs="宋体"/>
      <w:color w:val="000000"/>
      <w:szCs w:val="20"/>
    </w:rPr>
  </w:style>
  <w:style w:type="paragraph" w:customStyle="1" w:styleId="433">
    <w:name w:val="UserStyle_298"/>
    <w:basedOn w:val="1"/>
    <w:autoRedefine/>
    <w:qFormat/>
    <w:uiPriority w:val="0"/>
    <w:pPr>
      <w:tabs>
        <w:tab w:val="left" w:pos="425"/>
      </w:tabs>
      <w:spacing w:line="360" w:lineRule="auto"/>
      <w:ind w:left="425" w:hanging="425"/>
      <w:jc w:val="center"/>
    </w:pPr>
    <w:rPr>
      <w:rFonts w:ascii="黑体" w:hAnsi="宋体" w:eastAsia="黑体"/>
      <w:sz w:val="44"/>
      <w:szCs w:val="44"/>
    </w:rPr>
  </w:style>
  <w:style w:type="paragraph" w:customStyle="1" w:styleId="434">
    <w:name w:val="UserStyle_299"/>
    <w:basedOn w:val="1"/>
    <w:autoRedefine/>
    <w:qFormat/>
    <w:uiPriority w:val="0"/>
    <w:pPr>
      <w:spacing w:line="360" w:lineRule="auto"/>
      <w:ind w:firstLine="200" w:firstLineChars="200"/>
    </w:pPr>
    <w:rPr>
      <w:rFonts w:ascii="宋体" w:hAnsi="宋体"/>
      <w:sz w:val="24"/>
    </w:rPr>
  </w:style>
  <w:style w:type="paragraph" w:customStyle="1" w:styleId="435">
    <w:name w:val="UserStyle_300"/>
    <w:basedOn w:val="1"/>
    <w:autoRedefine/>
    <w:qFormat/>
    <w:uiPriority w:val="0"/>
    <w:pPr>
      <w:spacing w:before="150" w:after="150"/>
      <w:jc w:val="left"/>
    </w:pPr>
    <w:rPr>
      <w:rFonts w:ascii="宋体" w:hAnsi="宋体"/>
      <w:kern w:val="0"/>
      <w:sz w:val="24"/>
    </w:rPr>
  </w:style>
  <w:style w:type="paragraph" w:customStyle="1" w:styleId="436">
    <w:name w:val="UserStyle_301"/>
    <w:basedOn w:val="1"/>
    <w:autoRedefine/>
    <w:qFormat/>
    <w:uiPriority w:val="0"/>
    <w:pPr>
      <w:spacing w:before="60" w:after="60" w:line="420" w:lineRule="atLeast"/>
      <w:jc w:val="left"/>
    </w:pPr>
    <w:rPr>
      <w:rFonts w:ascii="Calibri" w:hAnsi="Calibri"/>
      <w:kern w:val="0"/>
      <w:szCs w:val="20"/>
    </w:rPr>
  </w:style>
  <w:style w:type="paragraph" w:customStyle="1" w:styleId="437">
    <w:name w:val="UserStyle_302"/>
    <w:basedOn w:val="1"/>
    <w:autoRedefine/>
    <w:qFormat/>
    <w:uiPriority w:val="0"/>
    <w:rPr>
      <w:rFonts w:ascii="Calibri" w:hAnsi="Calibri"/>
      <w:szCs w:val="22"/>
    </w:rPr>
  </w:style>
  <w:style w:type="paragraph" w:customStyle="1" w:styleId="438">
    <w:name w:val="UserStyle_303"/>
    <w:basedOn w:val="1"/>
    <w:next w:val="1"/>
    <w:autoRedefine/>
    <w:qFormat/>
    <w:uiPriority w:val="0"/>
    <w:pPr>
      <w:pBdr>
        <w:top w:val="single" w:color="000000" w:sz="6" w:space="1"/>
      </w:pBdr>
      <w:jc w:val="center"/>
    </w:pPr>
    <w:rPr>
      <w:rFonts w:ascii="Arial"/>
      <w:vanish/>
      <w:sz w:val="16"/>
      <w:lang w:val="zh-CN"/>
    </w:rPr>
  </w:style>
  <w:style w:type="paragraph" w:customStyle="1" w:styleId="439">
    <w:name w:val="UserStyle_304"/>
    <w:basedOn w:val="1"/>
    <w:autoRedefine/>
    <w:qFormat/>
    <w:uiPriority w:val="0"/>
    <w:pPr>
      <w:tabs>
        <w:tab w:val="left" w:pos="851"/>
      </w:tabs>
      <w:spacing w:line="360" w:lineRule="auto"/>
      <w:ind w:firstLine="480" w:firstLineChars="200"/>
    </w:pPr>
    <w:rPr>
      <w:color w:val="000000"/>
      <w:sz w:val="24"/>
    </w:rPr>
  </w:style>
  <w:style w:type="paragraph" w:customStyle="1" w:styleId="440">
    <w:name w:val="UserStyle_305"/>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kern w:val="0"/>
      <w:sz w:val="20"/>
      <w:szCs w:val="20"/>
    </w:rPr>
  </w:style>
  <w:style w:type="paragraph" w:customStyle="1" w:styleId="441">
    <w:name w:val="UserStyle_30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442">
    <w:name w:val="UserStyle_307"/>
    <w:basedOn w:val="1"/>
    <w:autoRedefine/>
    <w:qFormat/>
    <w:uiPriority w:val="0"/>
    <w:rPr>
      <w:sz w:val="28"/>
      <w:szCs w:val="28"/>
    </w:rPr>
  </w:style>
  <w:style w:type="paragraph" w:customStyle="1" w:styleId="443">
    <w:name w:val="UserStyle_308"/>
    <w:basedOn w:val="40"/>
    <w:autoRedefine/>
    <w:qFormat/>
    <w:uiPriority w:val="0"/>
    <w:pPr>
      <w:spacing w:before="0" w:after="0" w:line="400" w:lineRule="exact"/>
    </w:pPr>
    <w:rPr>
      <w:rFonts w:eastAsia="黑体"/>
      <w:b w:val="0"/>
      <w:bCs w:val="0"/>
      <w:sz w:val="24"/>
      <w:szCs w:val="20"/>
    </w:rPr>
  </w:style>
  <w:style w:type="paragraph" w:customStyle="1" w:styleId="444">
    <w:name w:val="UserStyle_309"/>
    <w:basedOn w:val="1"/>
    <w:autoRedefine/>
    <w:qFormat/>
    <w:uiPriority w:val="0"/>
    <w:pPr>
      <w:spacing w:line="380" w:lineRule="atLeast"/>
    </w:pPr>
    <w:rPr>
      <w:rFonts w:ascii="Calibri" w:hAnsi="Calibri"/>
      <w:spacing w:val="10"/>
      <w:kern w:val="0"/>
      <w:sz w:val="24"/>
      <w:szCs w:val="20"/>
    </w:rPr>
  </w:style>
  <w:style w:type="paragraph" w:customStyle="1" w:styleId="445">
    <w:name w:val="UserStyle_310"/>
    <w:basedOn w:val="1"/>
    <w:autoRedefine/>
    <w:qFormat/>
    <w:uiPriority w:val="0"/>
    <w:pPr>
      <w:spacing w:before="100" w:beforeAutospacing="1" w:after="100" w:afterAutospacing="1"/>
      <w:jc w:val="left"/>
    </w:pPr>
    <w:rPr>
      <w:rFonts w:ascii="宋体" w:hAnsi="宋体"/>
      <w:kern w:val="0"/>
      <w:sz w:val="24"/>
    </w:rPr>
  </w:style>
  <w:style w:type="paragraph" w:customStyle="1" w:styleId="446">
    <w:name w:val="UserStyle_311"/>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47">
    <w:name w:val="UserStyle_312"/>
    <w:basedOn w:val="1"/>
    <w:autoRedefine/>
    <w:qFormat/>
    <w:uiPriority w:val="0"/>
  </w:style>
  <w:style w:type="paragraph" w:customStyle="1" w:styleId="448">
    <w:name w:val="UserStyle_31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18"/>
      <w:szCs w:val="18"/>
    </w:rPr>
  </w:style>
  <w:style w:type="paragraph" w:customStyle="1" w:styleId="449">
    <w:name w:val="UserStyle_314"/>
    <w:basedOn w:val="1"/>
    <w:autoRedefine/>
    <w:qFormat/>
    <w:uiPriority w:val="0"/>
    <w:pPr>
      <w:spacing w:before="100" w:beforeAutospacing="1" w:after="100" w:afterAutospacing="1"/>
      <w:jc w:val="left"/>
    </w:pPr>
    <w:rPr>
      <w:rFonts w:ascii="宋体" w:hAnsi="宋体"/>
      <w:kern w:val="0"/>
      <w:sz w:val="24"/>
    </w:rPr>
  </w:style>
  <w:style w:type="paragraph" w:customStyle="1" w:styleId="450">
    <w:name w:val="UserStyle_315"/>
    <w:basedOn w:val="1"/>
    <w:autoRedefine/>
    <w:qFormat/>
    <w:uiPriority w:val="0"/>
    <w:rPr>
      <w:rFonts w:ascii="仿宋_GB2312" w:eastAsia="仿宋_GB2312"/>
      <w:b/>
      <w:sz w:val="32"/>
      <w:szCs w:val="32"/>
    </w:rPr>
  </w:style>
  <w:style w:type="paragraph" w:customStyle="1" w:styleId="451">
    <w:name w:val="UserStyle_316"/>
    <w:next w:val="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52">
    <w:name w:val="UserStyle_317"/>
    <w:basedOn w:val="1"/>
    <w:autoRedefine/>
    <w:qFormat/>
    <w:uiPriority w:val="0"/>
    <w:pPr>
      <w:spacing w:line="420" w:lineRule="atLeast"/>
    </w:pPr>
    <w:rPr>
      <w:rFonts w:eastAsia="黑体"/>
      <w:b/>
      <w:kern w:val="0"/>
      <w:szCs w:val="20"/>
    </w:rPr>
  </w:style>
  <w:style w:type="paragraph" w:customStyle="1" w:styleId="453">
    <w:name w:val="UserStyle_318"/>
    <w:autoRedefine/>
    <w:qFormat/>
    <w:uiPriority w:val="0"/>
    <w:pPr>
      <w:textAlignment w:val="baseline"/>
    </w:pPr>
    <w:rPr>
      <w:rFonts w:ascii="宋体" w:hAnsi="Calibri" w:eastAsia="宋体" w:cstheme="minorBidi"/>
      <w:color w:val="000000"/>
      <w:sz w:val="24"/>
      <w:szCs w:val="24"/>
      <w:lang w:val="en-US" w:eastAsia="zh-CN" w:bidi="ar-SA"/>
    </w:rPr>
  </w:style>
  <w:style w:type="paragraph" w:customStyle="1" w:styleId="454">
    <w:name w:val="UserStyle_319"/>
    <w:basedOn w:val="1"/>
    <w:autoRedefine/>
    <w:qFormat/>
    <w:uiPriority w:val="0"/>
    <w:pPr>
      <w:pBdr>
        <w:left w:val="single" w:color="000000" w:sz="8" w:space="0"/>
        <w:bottom w:val="single" w:color="000000" w:sz="4" w:space="0"/>
        <w:right w:val="single" w:color="000000"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455">
    <w:name w:val="UserStyle_320"/>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56">
    <w:name w:val="UserStyle_321"/>
    <w:basedOn w:val="1"/>
    <w:autoRedefine/>
    <w:qFormat/>
    <w:uiPriority w:val="0"/>
    <w:pPr>
      <w:tabs>
        <w:tab w:val="left" w:pos="0"/>
      </w:tabs>
      <w:spacing w:line="360" w:lineRule="auto"/>
      <w:ind w:firstLine="510"/>
    </w:pPr>
    <w:rPr>
      <w:rFonts w:ascii="Calibri" w:hAnsi="Calibri"/>
      <w:kern w:val="0"/>
      <w:sz w:val="24"/>
      <w:szCs w:val="20"/>
    </w:rPr>
  </w:style>
  <w:style w:type="paragraph" w:customStyle="1" w:styleId="457">
    <w:name w:val="UserStyle_322"/>
    <w:basedOn w:val="1"/>
    <w:autoRedefine/>
    <w:qFormat/>
    <w:uiPriority w:val="0"/>
    <w:pPr>
      <w:tabs>
        <w:tab w:val="left" w:pos="420"/>
      </w:tabs>
      <w:spacing w:line="360" w:lineRule="auto"/>
      <w:ind w:firstLine="420" w:firstLineChars="200"/>
    </w:pPr>
    <w:rPr>
      <w:rFonts w:ascii="Calibri" w:hAnsi="Calibri"/>
    </w:rPr>
  </w:style>
  <w:style w:type="paragraph" w:customStyle="1" w:styleId="458">
    <w:name w:val="UserStyle_323"/>
    <w:basedOn w:val="1"/>
    <w:autoRedefine/>
    <w:qFormat/>
    <w:uiPriority w:val="0"/>
    <w:pPr>
      <w:spacing w:before="100" w:beforeAutospacing="1" w:after="100" w:afterAutospacing="1"/>
      <w:jc w:val="center"/>
      <w:textAlignment w:val="center"/>
    </w:pPr>
    <w:rPr>
      <w:rFonts w:ascii="宋体" w:hAnsi="宋体" w:cs="Calibri"/>
      <w:b/>
      <w:bCs/>
      <w:kern w:val="0"/>
      <w:sz w:val="32"/>
      <w:szCs w:val="32"/>
    </w:rPr>
  </w:style>
  <w:style w:type="paragraph" w:customStyle="1" w:styleId="459">
    <w:name w:val="UserStyle_324"/>
    <w:basedOn w:val="1"/>
    <w:autoRedefine/>
    <w:qFormat/>
    <w:uiPriority w:val="0"/>
    <w:pPr>
      <w:snapToGrid w:val="0"/>
      <w:spacing w:before="62" w:after="62" w:line="540" w:lineRule="exact"/>
      <w:jc w:val="center"/>
    </w:pPr>
    <w:rPr>
      <w:rFonts w:hAnsi="宋体" w:cs="Calibri"/>
      <w:b/>
      <w:bCs/>
      <w:sz w:val="36"/>
    </w:rPr>
  </w:style>
  <w:style w:type="paragraph" w:customStyle="1" w:styleId="460">
    <w:name w:val="UserStyle_325"/>
    <w:basedOn w:val="1"/>
    <w:next w:val="1"/>
    <w:autoRedefine/>
    <w:qFormat/>
    <w:uiPriority w:val="0"/>
    <w:pPr>
      <w:pBdr>
        <w:bottom w:val="single" w:color="000000" w:sz="6" w:space="1"/>
      </w:pBdr>
      <w:jc w:val="center"/>
    </w:pPr>
    <w:rPr>
      <w:rFonts w:ascii="Arial"/>
      <w:vanish/>
      <w:sz w:val="16"/>
      <w:lang w:val="zh-CN"/>
    </w:rPr>
  </w:style>
  <w:style w:type="paragraph" w:customStyle="1" w:styleId="461">
    <w:name w:val="UserStyle_326"/>
    <w:basedOn w:val="1"/>
    <w:autoRedefine/>
    <w:qFormat/>
    <w:uiPriority w:val="0"/>
    <w:rPr>
      <w:kern w:val="0"/>
      <w:sz w:val="20"/>
      <w:szCs w:val="20"/>
    </w:rPr>
  </w:style>
  <w:style w:type="paragraph" w:customStyle="1" w:styleId="462">
    <w:name w:val="UserStyle_327"/>
    <w:basedOn w:val="1"/>
    <w:autoRedefine/>
    <w:qFormat/>
    <w:uiPriority w:val="0"/>
    <w:pPr>
      <w:spacing w:line="360" w:lineRule="auto"/>
      <w:ind w:firstLine="200" w:firstLineChars="200"/>
    </w:pPr>
    <w:rPr>
      <w:rFonts w:ascii="宋体" w:hAnsi="宋体"/>
      <w:sz w:val="24"/>
    </w:rPr>
  </w:style>
  <w:style w:type="paragraph" w:customStyle="1" w:styleId="463">
    <w:name w:val="UserStyle_328"/>
    <w:basedOn w:val="1"/>
    <w:autoRedefine/>
    <w:qFormat/>
    <w:uiPriority w:val="0"/>
    <w:pPr>
      <w:spacing w:line="420" w:lineRule="atLeast"/>
      <w:ind w:left="737"/>
    </w:pPr>
    <w:rPr>
      <w:rFonts w:ascii="宋体"/>
      <w:kern w:val="0"/>
      <w:szCs w:val="20"/>
    </w:rPr>
  </w:style>
  <w:style w:type="paragraph" w:customStyle="1" w:styleId="464">
    <w:name w:val="UserStyle_329"/>
    <w:autoRedefine/>
    <w:qFormat/>
    <w:uiPriority w:val="0"/>
    <w:pPr>
      <w:textAlignment w:val="baseline"/>
    </w:pPr>
    <w:rPr>
      <w:rFonts w:ascii="Times New Roman" w:hAnsi="Times New Roman" w:eastAsia="Times New Roman" w:cstheme="minorBidi"/>
      <w:sz w:val="24"/>
      <w:szCs w:val="24"/>
      <w:lang w:val="en-US" w:eastAsia="zh-CN" w:bidi="ar-SA"/>
    </w:rPr>
  </w:style>
  <w:style w:type="paragraph" w:customStyle="1" w:styleId="465">
    <w:name w:val="UserStyle_330"/>
    <w:basedOn w:val="1"/>
    <w:next w:val="1"/>
    <w:autoRedefine/>
    <w:qFormat/>
    <w:uiPriority w:val="0"/>
    <w:pPr>
      <w:spacing w:before="360" w:after="240" w:line="260" w:lineRule="atLeast"/>
      <w:jc w:val="left"/>
    </w:pPr>
    <w:rPr>
      <w:rFonts w:ascii="Arial" w:hAnsi="Arial"/>
      <w:b/>
      <w:kern w:val="0"/>
      <w:sz w:val="24"/>
      <w:lang w:val="en-AU"/>
    </w:rPr>
  </w:style>
  <w:style w:type="paragraph" w:customStyle="1" w:styleId="466">
    <w:name w:val="UserStyle_331"/>
    <w:basedOn w:val="1"/>
    <w:autoRedefine/>
    <w:qFormat/>
    <w:uiPriority w:val="0"/>
  </w:style>
  <w:style w:type="paragraph" w:customStyle="1" w:styleId="467">
    <w:name w:val="UserStyle_332"/>
    <w:basedOn w:val="1"/>
    <w:autoRedefine/>
    <w:qFormat/>
    <w:uiPriority w:val="0"/>
    <w:rPr>
      <w:rFonts w:ascii="Calibri" w:hAnsi="Calibri"/>
      <w:szCs w:val="22"/>
    </w:rPr>
  </w:style>
  <w:style w:type="paragraph" w:customStyle="1" w:styleId="468">
    <w:name w:val="UserStyle_333"/>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69">
    <w:name w:val="UserStyle_334"/>
    <w:basedOn w:val="1"/>
    <w:autoRedefine/>
    <w:qFormat/>
    <w:uiPriority w:val="0"/>
    <w:pPr>
      <w:spacing w:before="100" w:beforeAutospacing="1" w:after="100" w:afterAutospacing="1"/>
      <w:jc w:val="left"/>
    </w:pPr>
    <w:rPr>
      <w:kern w:val="0"/>
      <w:sz w:val="18"/>
      <w:szCs w:val="18"/>
    </w:rPr>
  </w:style>
  <w:style w:type="paragraph" w:customStyle="1" w:styleId="470">
    <w:name w:val="UserStyle_335"/>
    <w:basedOn w:val="1"/>
    <w:autoRedefine/>
    <w:qFormat/>
    <w:uiPriority w:val="0"/>
    <w:pPr>
      <w:ind w:firstLine="200" w:firstLineChars="200"/>
    </w:pPr>
    <w:rPr>
      <w:rFonts w:ascii="Calibri" w:hAnsi="Calibri"/>
      <w:szCs w:val="21"/>
    </w:rPr>
  </w:style>
  <w:style w:type="paragraph" w:customStyle="1" w:styleId="471">
    <w:name w:val="UserStyle_336"/>
    <w:basedOn w:val="1"/>
    <w:autoRedefine/>
    <w:qFormat/>
    <w:uiPriority w:val="0"/>
  </w:style>
  <w:style w:type="paragraph" w:customStyle="1" w:styleId="472">
    <w:name w:val="UserStyle_337"/>
    <w:basedOn w:val="1"/>
    <w:autoRedefine/>
    <w:qFormat/>
    <w:uiPriority w:val="0"/>
    <w:rPr>
      <w:szCs w:val="21"/>
    </w:rPr>
  </w:style>
  <w:style w:type="paragraph" w:customStyle="1" w:styleId="473">
    <w:name w:val="UserStyle_338"/>
    <w:basedOn w:val="1"/>
    <w:autoRedefine/>
    <w:qFormat/>
    <w:uiPriority w:val="0"/>
    <w:pPr>
      <w:keepNext/>
      <w:spacing w:before="60" w:after="60" w:line="300" w:lineRule="auto"/>
      <w:jc w:val="center"/>
      <w:textAlignment w:val="center"/>
    </w:pPr>
    <w:rPr>
      <w:spacing w:val="20"/>
      <w:kern w:val="0"/>
      <w:sz w:val="24"/>
      <w:szCs w:val="20"/>
    </w:rPr>
  </w:style>
  <w:style w:type="paragraph" w:customStyle="1" w:styleId="474">
    <w:name w:val="UserStyle_339"/>
    <w:basedOn w:val="1"/>
    <w:qFormat/>
    <w:uiPriority w:val="0"/>
    <w:pPr>
      <w:tabs>
        <w:tab w:val="left" w:pos="2340"/>
      </w:tabs>
      <w:spacing w:line="240" w:lineRule="atLeast"/>
      <w:jc w:val="center"/>
    </w:pPr>
    <w:rPr>
      <w:rFonts w:ascii="黑体" w:eastAsia="黑体"/>
      <w:kern w:val="0"/>
      <w:sz w:val="30"/>
      <w:szCs w:val="20"/>
    </w:rPr>
  </w:style>
  <w:style w:type="paragraph" w:customStyle="1" w:styleId="475">
    <w:name w:val="UserStyle_340"/>
    <w:basedOn w:val="362"/>
    <w:autoRedefine/>
    <w:qFormat/>
    <w:uiPriority w:val="0"/>
    <w:rPr>
      <w:sz w:val="28"/>
    </w:rPr>
  </w:style>
  <w:style w:type="paragraph" w:customStyle="1" w:styleId="476">
    <w:name w:val="UserStyle_341"/>
    <w:basedOn w:val="1"/>
    <w:autoRedefine/>
    <w:qFormat/>
    <w:uiPriority w:val="0"/>
    <w:rPr>
      <w:rFonts w:ascii="Calibri" w:hAnsi="Calibri"/>
      <w:szCs w:val="22"/>
    </w:rPr>
  </w:style>
  <w:style w:type="paragraph" w:customStyle="1" w:styleId="477">
    <w:name w:val="UserStyle_342"/>
    <w:basedOn w:val="1"/>
    <w:autoRedefine/>
    <w:qFormat/>
    <w:uiPriority w:val="0"/>
    <w:pPr>
      <w:spacing w:before="320" w:after="160" w:line="360" w:lineRule="atLeast"/>
      <w:jc w:val="center"/>
    </w:pPr>
    <w:rPr>
      <w:rFonts w:ascii="Arial" w:eastAsia="黑体"/>
      <w:kern w:val="0"/>
      <w:sz w:val="30"/>
      <w:szCs w:val="20"/>
    </w:rPr>
  </w:style>
  <w:style w:type="paragraph" w:customStyle="1" w:styleId="478">
    <w:name w:val="UserStyle_343"/>
    <w:basedOn w:val="38"/>
    <w:autoRedefine/>
    <w:qFormat/>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479">
    <w:name w:val="UserStyle_344"/>
    <w:basedOn w:val="1"/>
    <w:next w:val="1"/>
    <w:autoRedefine/>
    <w:qFormat/>
    <w:uiPriority w:val="0"/>
  </w:style>
  <w:style w:type="paragraph" w:customStyle="1" w:styleId="480">
    <w:name w:val="UserStyle_345"/>
    <w:basedOn w:val="1"/>
    <w:autoRedefine/>
    <w:qFormat/>
    <w:uiPriority w:val="0"/>
    <w:pPr>
      <w:spacing w:before="150" w:after="150"/>
      <w:jc w:val="left"/>
    </w:pPr>
    <w:rPr>
      <w:rFonts w:ascii="宋体" w:hAnsi="宋体"/>
      <w:kern w:val="0"/>
      <w:sz w:val="24"/>
    </w:rPr>
  </w:style>
  <w:style w:type="paragraph" w:customStyle="1" w:styleId="481">
    <w:name w:val="UserStyle_346"/>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482">
    <w:name w:val="UserStyle_347"/>
    <w:autoRedefine/>
    <w:qFormat/>
    <w:uiPriority w:val="0"/>
    <w:pPr>
      <w:spacing w:before="100" w:after="100"/>
      <w:textAlignment w:val="baseline"/>
    </w:pPr>
    <w:rPr>
      <w:rFonts w:ascii="宋体" w:hAnsi="Times New Roman" w:eastAsia="宋体" w:cstheme="minorBidi"/>
      <w:sz w:val="24"/>
      <w:lang w:val="en-US" w:eastAsia="zh-CN" w:bidi="ar-SA"/>
    </w:rPr>
  </w:style>
  <w:style w:type="paragraph" w:customStyle="1" w:styleId="483">
    <w:name w:val="UserStyle_348"/>
    <w:basedOn w:val="1"/>
    <w:autoRedefine/>
    <w:qFormat/>
    <w:uiPriority w:val="0"/>
  </w:style>
  <w:style w:type="paragraph" w:customStyle="1" w:styleId="484">
    <w:name w:val="UserStyle_349"/>
    <w:basedOn w:val="1"/>
    <w:autoRedefine/>
    <w:qFormat/>
    <w:uiPriority w:val="0"/>
  </w:style>
  <w:style w:type="paragraph" w:customStyle="1" w:styleId="485">
    <w:name w:val="UserStyle_350"/>
    <w:basedOn w:val="1"/>
    <w:autoRedefine/>
    <w:qFormat/>
    <w:uiPriority w:val="0"/>
    <w:pPr>
      <w:snapToGrid w:val="0"/>
      <w:spacing w:line="300" w:lineRule="auto"/>
      <w:jc w:val="center"/>
    </w:pPr>
    <w:rPr>
      <w:rFonts w:ascii="宋体" w:hAnsi="宋体"/>
      <w:color w:val="FF0000"/>
      <w:szCs w:val="22"/>
    </w:rPr>
  </w:style>
  <w:style w:type="paragraph" w:customStyle="1" w:styleId="486">
    <w:name w:val="UserStyle_35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18"/>
      <w:szCs w:val="18"/>
    </w:rPr>
  </w:style>
  <w:style w:type="paragraph" w:customStyle="1" w:styleId="487">
    <w:name w:val="UserStyle_352"/>
    <w:basedOn w:val="1"/>
    <w:autoRedefine/>
    <w:qFormat/>
    <w:uiPriority w:val="0"/>
  </w:style>
  <w:style w:type="paragraph" w:customStyle="1" w:styleId="488">
    <w:name w:val="UserStyle_353"/>
    <w:autoRedefine/>
    <w:qFormat/>
    <w:uiPriority w:val="0"/>
    <w:pPr>
      <w:spacing w:line="312" w:lineRule="atLeast"/>
      <w:jc w:val="both"/>
      <w:textAlignment w:val="baseline"/>
    </w:pPr>
    <w:rPr>
      <w:rFonts w:ascii="宋体" w:hAnsi="Calibri" w:eastAsia="宋体" w:cstheme="minorBidi"/>
      <w:sz w:val="34"/>
      <w:szCs w:val="22"/>
      <w:lang w:val="en-US" w:eastAsia="zh-CN" w:bidi="ar-SA"/>
    </w:rPr>
  </w:style>
  <w:style w:type="paragraph" w:customStyle="1" w:styleId="489">
    <w:name w:val="UserStyle_354"/>
    <w:basedOn w:val="1"/>
    <w:autoRedefine/>
    <w:qFormat/>
    <w:uiPriority w:val="0"/>
    <w:pPr>
      <w:spacing w:before="100" w:beforeAutospacing="1" w:after="100" w:afterAutospacing="1"/>
      <w:jc w:val="left"/>
    </w:pPr>
    <w:rPr>
      <w:rFonts w:ascii="宋体" w:hAnsi="宋体"/>
      <w:kern w:val="0"/>
      <w:sz w:val="24"/>
    </w:rPr>
  </w:style>
  <w:style w:type="paragraph" w:customStyle="1" w:styleId="490">
    <w:name w:val="UserStyle_355"/>
    <w:basedOn w:val="38"/>
    <w:autoRedefine/>
    <w:qFormat/>
    <w:uiPriority w:val="0"/>
    <w:pPr>
      <w:spacing w:before="120" w:after="120" w:line="400" w:lineRule="exact"/>
      <w:jc w:val="center"/>
    </w:pPr>
    <w:rPr>
      <w:rFonts w:ascii="黑体" w:hAnsi="黑体" w:eastAsia="黑体"/>
      <w:b w:val="0"/>
      <w:bCs w:val="0"/>
      <w:sz w:val="32"/>
      <w:szCs w:val="20"/>
    </w:rPr>
  </w:style>
  <w:style w:type="paragraph" w:customStyle="1" w:styleId="491">
    <w:name w:val="UserStyle_356"/>
    <w:basedOn w:val="1"/>
    <w:autoRedefine/>
    <w:qFormat/>
    <w:uiPriority w:val="0"/>
    <w:pPr>
      <w:numPr>
        <w:ilvl w:val="0"/>
        <w:numId w:val="2"/>
      </w:numPr>
      <w:tabs>
        <w:tab w:val="left" w:pos="1080"/>
      </w:tabs>
      <w:ind w:left="0" w:firstLine="0"/>
      <w:jc w:val="center"/>
    </w:pPr>
    <w:rPr>
      <w:rFonts w:ascii="宋体" w:hAnsi="宋体"/>
      <w:b/>
      <w:sz w:val="30"/>
      <w:szCs w:val="30"/>
    </w:rPr>
  </w:style>
  <w:style w:type="paragraph" w:customStyle="1" w:styleId="492">
    <w:name w:val="178"/>
    <w:autoRedefine/>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493">
    <w:name w:val="UserStyle_357"/>
    <w:basedOn w:val="1"/>
    <w:autoRedefine/>
    <w:qFormat/>
    <w:uiPriority w:val="0"/>
    <w:rPr>
      <w:rFonts w:ascii="Calibri" w:hAnsi="Calibri"/>
      <w:szCs w:val="22"/>
    </w:rPr>
  </w:style>
  <w:style w:type="paragraph" w:customStyle="1" w:styleId="494">
    <w:name w:val="UserStyle_358"/>
    <w:basedOn w:val="1"/>
    <w:autoRedefine/>
    <w:qFormat/>
    <w:uiPriority w:val="0"/>
    <w:pPr>
      <w:tabs>
        <w:tab w:val="left" w:pos="1069"/>
      </w:tabs>
      <w:spacing w:line="360" w:lineRule="auto"/>
      <w:ind w:left="1069" w:hanging="709"/>
    </w:pPr>
    <w:rPr>
      <w:rFonts w:ascii="黑体" w:hAnsi="宋体" w:eastAsia="黑体"/>
      <w:sz w:val="30"/>
      <w:szCs w:val="28"/>
    </w:rPr>
  </w:style>
  <w:style w:type="paragraph" w:customStyle="1" w:styleId="495">
    <w:name w:val="UserStyle_359"/>
    <w:basedOn w:val="1"/>
    <w:autoRedefine/>
    <w:qFormat/>
    <w:uiPriority w:val="0"/>
    <w:pPr>
      <w:spacing w:line="420" w:lineRule="atLeast"/>
      <w:ind w:left="1021"/>
    </w:pPr>
    <w:rPr>
      <w:rFonts w:ascii="Calibri" w:hAnsi="Calibri"/>
      <w:kern w:val="0"/>
      <w:szCs w:val="20"/>
    </w:rPr>
  </w:style>
  <w:style w:type="paragraph" w:customStyle="1" w:styleId="496">
    <w:name w:val="UserStyle_360"/>
    <w:basedOn w:val="1"/>
    <w:autoRedefine/>
    <w:qFormat/>
    <w:uiPriority w:val="0"/>
  </w:style>
  <w:style w:type="paragraph" w:customStyle="1" w:styleId="497">
    <w:name w:val="UserStyle_361"/>
    <w:basedOn w:val="1"/>
    <w:autoRedefine/>
    <w:qFormat/>
    <w:uiPriority w:val="0"/>
    <w:pPr>
      <w:spacing w:line="420" w:lineRule="atLeast"/>
      <w:ind w:left="454"/>
    </w:pPr>
    <w:rPr>
      <w:rFonts w:ascii="Calibri" w:hAnsi="Calibri"/>
      <w:kern w:val="0"/>
      <w:szCs w:val="20"/>
    </w:rPr>
  </w:style>
  <w:style w:type="paragraph" w:customStyle="1" w:styleId="498">
    <w:name w:val="UserStyle_362"/>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99">
    <w:name w:val="UserStyle_363"/>
    <w:basedOn w:val="344"/>
    <w:autoRedefine/>
    <w:qFormat/>
    <w:uiPriority w:val="0"/>
    <w:pPr>
      <w:ind w:left="1021" w:hanging="284"/>
    </w:pPr>
    <w:rPr>
      <w:rFonts w:ascii="宋体"/>
    </w:rPr>
  </w:style>
  <w:style w:type="paragraph" w:customStyle="1" w:styleId="500">
    <w:name w:val="UserStyle_364"/>
    <w:basedOn w:val="1"/>
    <w:autoRedefine/>
    <w:qFormat/>
    <w:uiPriority w:val="0"/>
    <w:pPr>
      <w:pBdr>
        <w:bottom w:val="single" w:color="000000" w:sz="4" w:space="0"/>
        <w:right w:val="single" w:color="000000" w:sz="4" w:space="0"/>
      </w:pBdr>
      <w:spacing w:before="100" w:beforeAutospacing="1" w:after="100" w:afterAutospacing="1"/>
    </w:pPr>
    <w:rPr>
      <w:rFonts w:ascii="宋体" w:hAnsi="宋体" w:cs="Calibri"/>
      <w:b/>
      <w:bCs/>
      <w:kern w:val="0"/>
      <w:sz w:val="24"/>
      <w:szCs w:val="22"/>
    </w:rPr>
  </w:style>
  <w:style w:type="paragraph" w:customStyle="1" w:styleId="501">
    <w:name w:val="UserStyle_36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502">
    <w:name w:val="UserStyle_366"/>
    <w:basedOn w:val="1"/>
    <w:autoRedefine/>
    <w:qFormat/>
    <w:uiPriority w:val="0"/>
    <w:pPr>
      <w:spacing w:before="100" w:beforeAutospacing="1" w:after="100" w:afterAutospacing="1"/>
      <w:jc w:val="left"/>
      <w:textAlignment w:val="top"/>
    </w:pPr>
    <w:rPr>
      <w:rFonts w:ascii="宋体" w:hAnsi="宋体"/>
      <w:kern w:val="0"/>
      <w:sz w:val="24"/>
    </w:rPr>
  </w:style>
  <w:style w:type="paragraph" w:customStyle="1" w:styleId="503">
    <w:name w:val="UserStyle_367"/>
    <w:basedOn w:val="1"/>
    <w:autoRedefine/>
    <w:qFormat/>
    <w:uiPriority w:val="0"/>
    <w:pPr>
      <w:snapToGrid w:val="0"/>
      <w:spacing w:line="312" w:lineRule="auto"/>
      <w:ind w:left="231" w:leftChars="110" w:firstLine="210" w:firstLineChars="100"/>
    </w:pPr>
    <w:rPr>
      <w:rFonts w:ascii="宋体" w:hAnsi="宋体"/>
      <w:kern w:val="0"/>
      <w:szCs w:val="21"/>
    </w:rPr>
  </w:style>
  <w:style w:type="paragraph" w:customStyle="1" w:styleId="504">
    <w:name w:val="UserStyle_368"/>
    <w:basedOn w:val="1"/>
    <w:autoRedefine/>
    <w:qFormat/>
    <w:uiPriority w:val="0"/>
    <w:pPr>
      <w:spacing w:line="300" w:lineRule="auto"/>
      <w:ind w:firstLine="480" w:firstLineChars="200"/>
    </w:pPr>
    <w:rPr>
      <w:rFonts w:ascii="Calibri" w:hAnsi="Calibri"/>
      <w:sz w:val="24"/>
    </w:rPr>
  </w:style>
  <w:style w:type="paragraph" w:customStyle="1" w:styleId="505">
    <w:name w:val="UserStyle_369"/>
    <w:basedOn w:val="1"/>
    <w:autoRedefine/>
    <w:qFormat/>
    <w:uiPriority w:val="0"/>
    <w:pPr>
      <w:ind w:firstLine="200" w:firstLineChars="200"/>
    </w:pPr>
    <w:rPr>
      <w:rFonts w:ascii="Calibri" w:hAnsi="Calibri"/>
      <w:szCs w:val="21"/>
    </w:rPr>
  </w:style>
  <w:style w:type="paragraph" w:customStyle="1" w:styleId="506">
    <w:name w:val="UserStyle_370"/>
    <w:autoRedefine/>
    <w:semiHidden/>
    <w:qFormat/>
    <w:uiPriority w:val="0"/>
    <w:pPr>
      <w:textAlignment w:val="baseline"/>
    </w:pPr>
    <w:rPr>
      <w:rFonts w:ascii="Calibri" w:hAnsi="Calibri" w:eastAsia="宋体" w:cstheme="minorBidi"/>
      <w:kern w:val="2"/>
      <w:sz w:val="21"/>
      <w:szCs w:val="24"/>
      <w:lang w:val="en-US" w:eastAsia="zh-CN" w:bidi="ar-SA"/>
    </w:rPr>
  </w:style>
  <w:style w:type="paragraph" w:customStyle="1" w:styleId="507">
    <w:name w:val="UserStyle_371"/>
    <w:basedOn w:val="1"/>
    <w:autoRedefine/>
    <w:qFormat/>
    <w:uiPriority w:val="0"/>
    <w:pPr>
      <w:spacing w:before="100" w:beforeAutospacing="1" w:after="100" w:afterAutospacing="1"/>
      <w:jc w:val="left"/>
    </w:pPr>
    <w:rPr>
      <w:rFonts w:ascii="宋体" w:hAnsi="宋体"/>
      <w:kern w:val="0"/>
      <w:sz w:val="24"/>
    </w:rPr>
  </w:style>
  <w:style w:type="paragraph" w:customStyle="1" w:styleId="508">
    <w:name w:val="179"/>
    <w:basedOn w:val="1"/>
    <w:autoRedefine/>
    <w:qFormat/>
    <w:uiPriority w:val="0"/>
    <w:pPr>
      <w:ind w:firstLine="200" w:firstLineChars="200"/>
    </w:pPr>
    <w:rPr>
      <w:szCs w:val="22"/>
    </w:rPr>
  </w:style>
  <w:style w:type="paragraph" w:customStyle="1" w:styleId="509">
    <w:name w:val="UserStyle_372"/>
    <w:basedOn w:val="1"/>
    <w:autoRedefine/>
    <w:qFormat/>
    <w:uiPriority w:val="0"/>
    <w:pPr>
      <w:jc w:val="left"/>
    </w:pPr>
    <w:rPr>
      <w:rFonts w:ascii="宋体" w:hAnsi="宋体"/>
      <w:kern w:val="0"/>
      <w:sz w:val="22"/>
      <w:szCs w:val="22"/>
      <w:lang w:eastAsia="en-US"/>
    </w:rPr>
  </w:style>
  <w:style w:type="paragraph" w:customStyle="1" w:styleId="510">
    <w:name w:val="UserStyle_373"/>
    <w:basedOn w:val="1"/>
    <w:autoRedefine/>
    <w:qFormat/>
    <w:uiPriority w:val="0"/>
    <w:pPr>
      <w:jc w:val="center"/>
    </w:pPr>
    <w:rPr>
      <w:rFonts w:ascii="Calibri" w:hAnsi="Calibri"/>
      <w:kern w:val="0"/>
      <w:sz w:val="30"/>
      <w:szCs w:val="20"/>
    </w:rPr>
  </w:style>
  <w:style w:type="paragraph" w:customStyle="1" w:styleId="511">
    <w:name w:val="列出段落2"/>
    <w:basedOn w:val="1"/>
    <w:autoRedefine/>
    <w:qFormat/>
    <w:uiPriority w:val="0"/>
    <w:pPr>
      <w:autoSpaceDE w:val="0"/>
      <w:autoSpaceDN w:val="0"/>
      <w:ind w:left="100"/>
      <w:jc w:val="left"/>
    </w:pPr>
    <w:rPr>
      <w:rFonts w:ascii="宋体" w:hAnsi="宋体" w:cs="宋体"/>
      <w:kern w:val="0"/>
      <w:sz w:val="22"/>
      <w:szCs w:val="22"/>
      <w:lang w:eastAsia="en-US"/>
    </w:rPr>
  </w:style>
  <w:style w:type="paragraph" w:customStyle="1" w:styleId="512">
    <w:name w:val="02标题二"/>
    <w:basedOn w:val="1"/>
    <w:autoRedefine/>
    <w:qFormat/>
    <w:uiPriority w:val="0"/>
    <w:pPr>
      <w:adjustRightInd/>
      <w:ind w:firstLine="562" w:firstLineChars="200"/>
      <w:jc w:val="both"/>
    </w:pPr>
    <w:rPr>
      <w:rFonts w:cs="华文仿宋"/>
      <w:b/>
      <w:bCs/>
      <w:sz w:val="28"/>
      <w:szCs w:val="28"/>
    </w:rPr>
  </w:style>
  <w:style w:type="paragraph" w:customStyle="1" w:styleId="513">
    <w:name w:val="Table Text"/>
    <w:basedOn w:val="1"/>
    <w:autoRedefine/>
    <w:semiHidden/>
    <w:qFormat/>
    <w:uiPriority w:val="0"/>
    <w:rPr>
      <w:rFonts w:ascii="宋体" w:hAnsi="宋体" w:eastAsia="宋体" w:cs="宋体"/>
      <w:sz w:val="23"/>
      <w:szCs w:val="23"/>
      <w:lang w:val="en-US" w:eastAsia="en-US" w:bidi="ar-SA"/>
    </w:rPr>
  </w:style>
  <w:style w:type="table" w:customStyle="1" w:styleId="514">
    <w:name w:val="Table Normal"/>
    <w:autoRedefine/>
    <w:semiHidden/>
    <w:unhideWhenUsed/>
    <w:qFormat/>
    <w:uiPriority w:val="0"/>
    <w:tblPr>
      <w:tblCellMar>
        <w:top w:w="0" w:type="dxa"/>
        <w:left w:w="0" w:type="dxa"/>
        <w:bottom w:w="0" w:type="dxa"/>
        <w:right w:w="0" w:type="dxa"/>
      </w:tblCellMar>
    </w:tblPr>
  </w:style>
  <w:style w:type="paragraph" w:customStyle="1" w:styleId="515">
    <w:name w:val="普通 (Web)"/>
    <w:qFormat/>
    <w:uiPriority w:val="0"/>
    <w:pPr>
      <w:spacing w:before="100" w:after="100"/>
    </w:pPr>
    <w:rPr>
      <w:rFonts w:ascii="宋体" w:hAnsi="Times New Roman" w:eastAsia="宋体" w:cs="Times New Roman"/>
      <w:sz w:val="24"/>
      <w:lang w:val="en-US" w:eastAsia="zh-CN" w:bidi="ar-SA"/>
    </w:rPr>
  </w:style>
  <w:style w:type="character" w:customStyle="1" w:styleId="516">
    <w:name w:val="font01"/>
    <w:basedOn w:val="28"/>
    <w:qFormat/>
    <w:uiPriority w:val="0"/>
    <w:rPr>
      <w:rFonts w:hint="eastAsia" w:ascii="宋体" w:hAnsi="宋体" w:eastAsia="宋体" w:cs="宋体"/>
      <w:color w:val="000000"/>
      <w:sz w:val="22"/>
      <w:szCs w:val="22"/>
      <w:u w:val="none"/>
    </w:rPr>
  </w:style>
  <w:style w:type="character" w:customStyle="1" w:styleId="517">
    <w:name w:val="font31"/>
    <w:basedOn w:val="28"/>
    <w:qFormat/>
    <w:uiPriority w:val="0"/>
    <w:rPr>
      <w:rFonts w:hint="eastAsia" w:ascii="宋体" w:hAnsi="宋体" w:eastAsia="宋体" w:cs="宋体"/>
      <w:color w:val="000000"/>
      <w:sz w:val="22"/>
      <w:szCs w:val="22"/>
      <w:u w:val="none"/>
    </w:rPr>
  </w:style>
  <w:style w:type="character" w:customStyle="1" w:styleId="518">
    <w:name w:val="font51"/>
    <w:basedOn w:val="28"/>
    <w:qFormat/>
    <w:uiPriority w:val="0"/>
    <w:rPr>
      <w:rFonts w:hint="eastAsia" w:ascii="微软雅黑" w:hAnsi="微软雅黑" w:eastAsia="微软雅黑" w:cs="微软雅黑"/>
      <w:color w:val="000000"/>
      <w:sz w:val="20"/>
      <w:szCs w:val="20"/>
      <w:u w:val="none"/>
    </w:rPr>
  </w:style>
  <w:style w:type="character" w:customStyle="1" w:styleId="519">
    <w:name w:val="font21"/>
    <w:basedOn w:val="28"/>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81</Pages>
  <Words>45899</Words>
  <Characters>48009</Characters>
  <Lines>245</Lines>
  <Paragraphs>69</Paragraphs>
  <TotalTime>16</TotalTime>
  <ScaleCrop>false</ScaleCrop>
  <LinksUpToDate>false</LinksUpToDate>
  <CharactersWithSpaces>51987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2021-07-07T16:00:00Z</dcterms:created>
  <dc:creator>Administrator</dc:creator>
  <cp:lastModifiedBy>徐宏伟</cp:lastModifiedBy>
  <cp:lastPrinted>2024-11-30T10:23:00Z</cp:lastPrinted>
  <dcterms:modified xsi:type="dcterms:W3CDTF">2026-07-06T00:40:09Z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0B5AC65510CC4C0BBC34EED9BF5A8DC2_13</vt:lpwstr>
  </property>
  <property fmtid="{D5CDD505-2E9C-101B-9397-08002B2CF9AE}" pid="4" name="KSOTemplateDocerSaveRecord">
    <vt:lpwstr>eyJoZGlkIjoiOWFjMTEyYjA4Y2NkZmZkNjFkMzljNzhjYTVjNjg5NDkiLCJ1c2VySWQiOiI2NjUxOTg1NzQifQ==</vt:lpwstr>
  </property>
</Properties>
</file>