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BE32">
      <w:pPr>
        <w:pStyle w:val="43"/>
        <w:spacing w:line="360" w:lineRule="auto"/>
        <w:jc w:val="left"/>
        <w:rPr>
          <w:rFonts w:hint="eastAsia" w:ascii="宋体" w:hAnsi="宋体" w:eastAsia="宋体" w:cs="宋体"/>
          <w:b/>
          <w:sz w:val="24"/>
          <w:szCs w:val="36"/>
          <w:highlight w:val="none"/>
        </w:rPr>
      </w:pPr>
      <w:r>
        <w:rPr>
          <w:rFonts w:hint="eastAsia" w:ascii="宋体" w:hAnsi="宋体" w:eastAsia="宋体" w:cs="宋体"/>
          <w:b/>
          <w:sz w:val="24"/>
          <w:szCs w:val="36"/>
          <w:highlight w:val="none"/>
        </w:rPr>
        <w:t>项目编号：</w:t>
      </w:r>
      <w:r>
        <w:rPr>
          <w:rFonts w:hint="eastAsia" w:hAnsi="宋体" w:cs="宋体"/>
          <w:b/>
          <w:sz w:val="24"/>
          <w:szCs w:val="36"/>
          <w:highlight w:val="none"/>
          <w:lang w:eastAsia="zh-CN"/>
        </w:rPr>
        <w:t>铜华诚招代</w:t>
      </w:r>
      <w:r>
        <w:rPr>
          <w:rFonts w:hint="eastAsia" w:ascii="宋体" w:hAnsi="宋体" w:eastAsia="宋体" w:cs="宋体"/>
          <w:b/>
          <w:sz w:val="24"/>
          <w:szCs w:val="36"/>
          <w:highlight w:val="none"/>
        </w:rPr>
        <w:t>[20</w:t>
      </w:r>
      <w:r>
        <w:rPr>
          <w:rFonts w:hint="eastAsia" w:hAnsi="宋体" w:cs="宋体"/>
          <w:b/>
          <w:sz w:val="24"/>
          <w:szCs w:val="36"/>
          <w:highlight w:val="none"/>
          <w:lang w:val="en-US" w:eastAsia="zh-CN"/>
        </w:rPr>
        <w:t>25</w:t>
      </w:r>
      <w:r>
        <w:rPr>
          <w:rFonts w:hint="eastAsia" w:ascii="宋体" w:hAnsi="宋体" w:eastAsia="宋体" w:cs="宋体"/>
          <w:b/>
          <w:sz w:val="24"/>
          <w:szCs w:val="36"/>
          <w:highlight w:val="none"/>
        </w:rPr>
        <w:t>]第</w:t>
      </w:r>
      <w:r>
        <w:rPr>
          <w:rFonts w:hint="eastAsia" w:hAnsi="宋体" w:cs="宋体"/>
          <w:b/>
          <w:sz w:val="24"/>
          <w:szCs w:val="36"/>
          <w:highlight w:val="none"/>
          <w:lang w:val="en-US" w:eastAsia="zh-CN"/>
        </w:rPr>
        <w:t>035</w:t>
      </w:r>
      <w:r>
        <w:rPr>
          <w:rFonts w:hint="eastAsia" w:ascii="宋体" w:hAnsi="宋体" w:eastAsia="宋体" w:cs="宋体"/>
          <w:b/>
          <w:sz w:val="24"/>
          <w:szCs w:val="36"/>
          <w:highlight w:val="none"/>
        </w:rPr>
        <w:t>号</w:t>
      </w:r>
    </w:p>
    <w:p w14:paraId="4F3EF46C">
      <w:pPr>
        <w:wordWrap w:val="0"/>
        <w:spacing w:line="360" w:lineRule="auto"/>
        <w:rPr>
          <w:rFonts w:hint="eastAsia" w:ascii="宋体" w:hAnsi="宋体" w:eastAsia="宋体" w:cs="宋体"/>
          <w:b/>
          <w:sz w:val="48"/>
          <w:szCs w:val="48"/>
          <w:highlight w:val="none"/>
        </w:rPr>
      </w:pPr>
    </w:p>
    <w:p w14:paraId="10252E02">
      <w:pPr>
        <w:pStyle w:val="19"/>
        <w:rPr>
          <w:rFonts w:hint="eastAsia"/>
          <w:highlight w:val="none"/>
        </w:rPr>
      </w:pPr>
    </w:p>
    <w:p w14:paraId="325DE8FD">
      <w:pPr>
        <w:wordWrap w:val="0"/>
        <w:spacing w:line="360" w:lineRule="auto"/>
        <w:rPr>
          <w:rFonts w:hint="eastAsia" w:ascii="宋体" w:hAnsi="宋体" w:eastAsia="宋体" w:cs="宋体"/>
          <w:b/>
          <w:sz w:val="52"/>
          <w:szCs w:val="52"/>
          <w:highlight w:val="none"/>
        </w:rPr>
      </w:pPr>
    </w:p>
    <w:p w14:paraId="7745DD0A">
      <w:pPr>
        <w:pStyle w:val="19"/>
        <w:rPr>
          <w:rFonts w:hint="eastAsia"/>
          <w:highlight w:val="none"/>
        </w:rPr>
      </w:pPr>
    </w:p>
    <w:p w14:paraId="033E87F4">
      <w:pPr>
        <w:pStyle w:val="43"/>
        <w:wordWrap w:val="0"/>
        <w:spacing w:line="360" w:lineRule="auto"/>
        <w:jc w:val="center"/>
        <w:rPr>
          <w:rFonts w:hint="eastAsia" w:ascii="宋体" w:hAnsi="宋体" w:eastAsia="宋体" w:cs="宋体"/>
          <w:b/>
          <w:sz w:val="40"/>
          <w:szCs w:val="40"/>
          <w:highlight w:val="none"/>
        </w:rPr>
      </w:pPr>
      <w:r>
        <w:rPr>
          <w:rFonts w:hint="eastAsia" w:hAnsi="宋体" w:cs="宋体"/>
          <w:b/>
          <w:sz w:val="40"/>
          <w:szCs w:val="40"/>
          <w:highlight w:val="none"/>
          <w:lang w:eastAsia="zh-CN"/>
        </w:rPr>
        <w:t>铜陵市公共资源交易中心开标及评标室改造工程</w:t>
      </w:r>
      <w:r>
        <w:rPr>
          <w:rFonts w:hint="eastAsia" w:ascii="宋体" w:hAnsi="宋体" w:eastAsia="宋体" w:cs="宋体"/>
          <w:b/>
          <w:sz w:val="40"/>
          <w:szCs w:val="40"/>
          <w:highlight w:val="none"/>
        </w:rPr>
        <w:t>竞争性磋商文件</w:t>
      </w:r>
    </w:p>
    <w:p w14:paraId="42144E95">
      <w:pPr>
        <w:pStyle w:val="43"/>
        <w:wordWrap w:val="0"/>
        <w:spacing w:line="360" w:lineRule="auto"/>
        <w:jc w:val="center"/>
        <w:rPr>
          <w:rFonts w:hint="eastAsia" w:ascii="宋体" w:hAnsi="宋体" w:eastAsia="宋体" w:cs="宋体"/>
          <w:b/>
          <w:szCs w:val="28"/>
          <w:highlight w:val="none"/>
        </w:rPr>
      </w:pPr>
    </w:p>
    <w:p w14:paraId="458A9229">
      <w:pPr>
        <w:pStyle w:val="43"/>
        <w:wordWrap w:val="0"/>
        <w:spacing w:line="360" w:lineRule="auto"/>
        <w:jc w:val="center"/>
        <w:rPr>
          <w:rFonts w:hint="eastAsia" w:ascii="宋体" w:hAnsi="宋体" w:eastAsia="宋体" w:cs="宋体"/>
          <w:b/>
          <w:szCs w:val="28"/>
          <w:highlight w:val="none"/>
        </w:rPr>
      </w:pPr>
    </w:p>
    <w:p w14:paraId="3273D644">
      <w:pPr>
        <w:pStyle w:val="43"/>
        <w:wordWrap w:val="0"/>
        <w:spacing w:line="360" w:lineRule="auto"/>
        <w:jc w:val="center"/>
        <w:rPr>
          <w:rFonts w:hint="eastAsia" w:ascii="宋体" w:hAnsi="宋体" w:eastAsia="宋体" w:cs="宋体"/>
          <w:b/>
          <w:szCs w:val="28"/>
          <w:highlight w:val="none"/>
        </w:rPr>
      </w:pPr>
    </w:p>
    <w:p w14:paraId="3E488B46">
      <w:pPr>
        <w:pStyle w:val="43"/>
        <w:wordWrap w:val="0"/>
        <w:spacing w:line="360" w:lineRule="auto"/>
        <w:jc w:val="center"/>
        <w:rPr>
          <w:rFonts w:hint="eastAsia" w:ascii="宋体" w:hAnsi="宋体" w:eastAsia="宋体" w:cs="宋体"/>
          <w:b/>
          <w:szCs w:val="28"/>
          <w:highlight w:val="none"/>
        </w:rPr>
      </w:pPr>
    </w:p>
    <w:p w14:paraId="3AB7BF63">
      <w:pPr>
        <w:pStyle w:val="43"/>
        <w:wordWrap w:val="0"/>
        <w:spacing w:line="360" w:lineRule="auto"/>
        <w:jc w:val="center"/>
        <w:rPr>
          <w:rFonts w:hint="eastAsia" w:ascii="宋体" w:hAnsi="宋体" w:eastAsia="宋体" w:cs="宋体"/>
          <w:b/>
          <w:szCs w:val="28"/>
          <w:highlight w:val="none"/>
        </w:rPr>
      </w:pPr>
    </w:p>
    <w:p w14:paraId="5E33FB27">
      <w:pPr>
        <w:pStyle w:val="43"/>
        <w:wordWrap w:val="0"/>
        <w:spacing w:line="360" w:lineRule="auto"/>
        <w:rPr>
          <w:rFonts w:hint="eastAsia" w:ascii="宋体" w:hAnsi="宋体" w:eastAsia="宋体" w:cs="宋体"/>
          <w:b/>
          <w:szCs w:val="28"/>
          <w:highlight w:val="none"/>
        </w:rPr>
      </w:pPr>
    </w:p>
    <w:p w14:paraId="26FF6AD5">
      <w:pPr>
        <w:pStyle w:val="43"/>
        <w:wordWrap w:val="0"/>
        <w:spacing w:line="360" w:lineRule="auto"/>
        <w:jc w:val="center"/>
        <w:rPr>
          <w:rFonts w:hint="eastAsia" w:ascii="宋体" w:hAnsi="宋体" w:eastAsia="宋体" w:cs="宋体"/>
          <w:b/>
          <w:szCs w:val="28"/>
          <w:highlight w:val="none"/>
        </w:rPr>
      </w:pPr>
    </w:p>
    <w:p w14:paraId="60B63525">
      <w:pPr>
        <w:pStyle w:val="43"/>
        <w:wordWrap w:val="0"/>
        <w:spacing w:line="360" w:lineRule="auto"/>
        <w:jc w:val="center"/>
        <w:rPr>
          <w:rFonts w:hint="eastAsia" w:ascii="宋体" w:hAnsi="宋体" w:eastAsia="宋体" w:cs="宋体"/>
          <w:b/>
          <w:szCs w:val="28"/>
          <w:highlight w:val="none"/>
        </w:rPr>
      </w:pPr>
    </w:p>
    <w:p w14:paraId="617A3A1B">
      <w:pPr>
        <w:pStyle w:val="43"/>
        <w:wordWrap w:val="0"/>
        <w:spacing w:line="360" w:lineRule="auto"/>
        <w:jc w:val="center"/>
        <w:rPr>
          <w:rFonts w:hint="eastAsia" w:ascii="宋体" w:hAnsi="宋体" w:eastAsia="宋体" w:cs="宋体"/>
          <w:b/>
          <w:szCs w:val="28"/>
          <w:highlight w:val="none"/>
        </w:rPr>
      </w:pPr>
    </w:p>
    <w:p w14:paraId="45435D22">
      <w:pPr>
        <w:pStyle w:val="43"/>
        <w:wordWrap w:val="0"/>
        <w:spacing w:line="360" w:lineRule="auto"/>
        <w:jc w:val="center"/>
        <w:rPr>
          <w:rFonts w:hint="eastAsia" w:ascii="宋体" w:hAnsi="宋体" w:eastAsia="宋体" w:cs="宋体"/>
          <w:b/>
          <w:szCs w:val="28"/>
          <w:highlight w:val="none"/>
        </w:rPr>
      </w:pPr>
    </w:p>
    <w:tbl>
      <w:tblPr>
        <w:tblStyle w:val="20"/>
        <w:tblW w:w="9599" w:type="dxa"/>
        <w:tblInd w:w="0" w:type="dxa"/>
        <w:tblLayout w:type="fixed"/>
        <w:tblCellMar>
          <w:top w:w="0" w:type="dxa"/>
          <w:left w:w="108" w:type="dxa"/>
          <w:bottom w:w="0" w:type="dxa"/>
          <w:right w:w="108" w:type="dxa"/>
        </w:tblCellMar>
      </w:tblPr>
      <w:tblGrid>
        <w:gridCol w:w="2746"/>
        <w:gridCol w:w="442"/>
        <w:gridCol w:w="6411"/>
      </w:tblGrid>
      <w:tr w14:paraId="38571FFE">
        <w:tblPrEx>
          <w:tblCellMar>
            <w:top w:w="0" w:type="dxa"/>
            <w:left w:w="108" w:type="dxa"/>
            <w:bottom w:w="0" w:type="dxa"/>
            <w:right w:w="108" w:type="dxa"/>
          </w:tblCellMar>
        </w:tblPrEx>
        <w:trPr>
          <w:trHeight w:val="1166" w:hRule="atLeast"/>
        </w:trPr>
        <w:tc>
          <w:tcPr>
            <w:tcW w:w="2746" w:type="dxa"/>
            <w:noWrap w:val="0"/>
            <w:vAlign w:val="center"/>
          </w:tcPr>
          <w:p w14:paraId="1BE39392">
            <w:pPr>
              <w:pStyle w:val="43"/>
              <w:wordWrap w:val="0"/>
              <w:spacing w:line="360" w:lineRule="auto"/>
              <w:rPr>
                <w:rFonts w:hint="eastAsia" w:ascii="宋体" w:hAnsi="宋体" w:eastAsia="宋体" w:cs="宋体"/>
                <w:b/>
                <w:bCs/>
                <w:sz w:val="28"/>
                <w:szCs w:val="40"/>
                <w:highlight w:val="none"/>
              </w:rPr>
            </w:pPr>
            <w:r>
              <w:rPr>
                <w:rFonts w:hint="eastAsia" w:ascii="宋体" w:hAnsi="宋体" w:eastAsia="宋体" w:cs="宋体"/>
                <w:b/>
                <w:bCs/>
                <w:sz w:val="28"/>
                <w:szCs w:val="40"/>
                <w:highlight w:val="none"/>
              </w:rPr>
              <w:t>采</w:t>
            </w:r>
            <w:r>
              <w:rPr>
                <w:rFonts w:hint="eastAsia" w:ascii="宋体" w:hAnsi="宋体" w:eastAsia="宋体" w:cs="宋体"/>
                <w:b/>
                <w:bCs/>
                <w:sz w:val="28"/>
                <w:szCs w:val="40"/>
                <w:highlight w:val="none"/>
                <w:lang w:val="en-US" w:eastAsia="zh-CN"/>
              </w:rPr>
              <w:t xml:space="preserve">     </w:t>
            </w:r>
            <w:r>
              <w:rPr>
                <w:rFonts w:hint="eastAsia" w:ascii="宋体" w:hAnsi="宋体" w:eastAsia="宋体" w:cs="宋体"/>
                <w:b/>
                <w:bCs/>
                <w:sz w:val="28"/>
                <w:szCs w:val="40"/>
                <w:highlight w:val="none"/>
              </w:rPr>
              <w:t>购</w:t>
            </w:r>
            <w:r>
              <w:rPr>
                <w:rFonts w:hint="eastAsia" w:ascii="宋体" w:hAnsi="宋体" w:eastAsia="宋体" w:cs="宋体"/>
                <w:b/>
                <w:bCs/>
                <w:sz w:val="28"/>
                <w:szCs w:val="40"/>
                <w:highlight w:val="none"/>
                <w:lang w:val="en-US" w:eastAsia="zh-CN"/>
              </w:rPr>
              <w:t xml:space="preserve">     </w:t>
            </w:r>
            <w:r>
              <w:rPr>
                <w:rFonts w:hint="eastAsia" w:ascii="宋体" w:hAnsi="宋体" w:eastAsia="宋体" w:cs="宋体"/>
                <w:b/>
                <w:bCs/>
                <w:sz w:val="28"/>
                <w:szCs w:val="40"/>
                <w:highlight w:val="none"/>
              </w:rPr>
              <w:t>人</w:t>
            </w:r>
          </w:p>
        </w:tc>
        <w:tc>
          <w:tcPr>
            <w:tcW w:w="442" w:type="dxa"/>
            <w:noWrap w:val="0"/>
            <w:vAlign w:val="center"/>
          </w:tcPr>
          <w:p w14:paraId="45D51F1D">
            <w:pPr>
              <w:pStyle w:val="43"/>
              <w:wordWrap w:val="0"/>
              <w:spacing w:line="360" w:lineRule="auto"/>
              <w:rPr>
                <w:rFonts w:hint="eastAsia" w:ascii="宋体" w:hAnsi="宋体" w:eastAsia="宋体" w:cs="宋体"/>
                <w:b/>
                <w:bCs/>
                <w:sz w:val="28"/>
                <w:szCs w:val="40"/>
                <w:highlight w:val="none"/>
              </w:rPr>
            </w:pPr>
            <w:r>
              <w:rPr>
                <w:rFonts w:hint="eastAsia" w:ascii="宋体" w:hAnsi="宋体" w:eastAsia="宋体" w:cs="宋体"/>
                <w:b/>
                <w:bCs/>
                <w:sz w:val="28"/>
                <w:szCs w:val="40"/>
                <w:highlight w:val="none"/>
              </w:rPr>
              <w:t>：</w:t>
            </w:r>
          </w:p>
        </w:tc>
        <w:tc>
          <w:tcPr>
            <w:tcW w:w="6411" w:type="dxa"/>
            <w:noWrap w:val="0"/>
            <w:vAlign w:val="center"/>
          </w:tcPr>
          <w:p w14:paraId="3FA21BC2">
            <w:pPr>
              <w:pStyle w:val="43"/>
              <w:wordWrap w:val="0"/>
              <w:spacing w:line="360" w:lineRule="auto"/>
              <w:rPr>
                <w:rFonts w:hint="eastAsia" w:ascii="宋体" w:hAnsi="宋体" w:eastAsia="宋体" w:cs="宋体"/>
                <w:b/>
                <w:bCs/>
                <w:sz w:val="28"/>
                <w:szCs w:val="40"/>
                <w:highlight w:val="none"/>
              </w:rPr>
            </w:pPr>
            <w:r>
              <w:rPr>
                <w:rFonts w:hint="eastAsia" w:hAnsi="宋体" w:cs="宋体"/>
                <w:b/>
                <w:bCs/>
                <w:sz w:val="28"/>
                <w:szCs w:val="40"/>
                <w:highlight w:val="none"/>
                <w:lang w:eastAsia="zh-CN"/>
              </w:rPr>
              <w:t>铜陵市公共资源交易中心</w:t>
            </w:r>
            <w:r>
              <w:rPr>
                <w:rFonts w:hint="eastAsia" w:ascii="宋体" w:hAnsi="宋体" w:eastAsia="宋体" w:cs="宋体"/>
                <w:b/>
                <w:bCs/>
                <w:sz w:val="28"/>
                <w:szCs w:val="40"/>
                <w:highlight w:val="none"/>
              </w:rPr>
              <w:t>（盖章）</w:t>
            </w:r>
          </w:p>
        </w:tc>
      </w:tr>
      <w:tr w14:paraId="090A876A">
        <w:tblPrEx>
          <w:tblCellMar>
            <w:top w:w="0" w:type="dxa"/>
            <w:left w:w="108" w:type="dxa"/>
            <w:bottom w:w="0" w:type="dxa"/>
            <w:right w:w="108" w:type="dxa"/>
          </w:tblCellMar>
        </w:tblPrEx>
        <w:trPr>
          <w:trHeight w:val="1223" w:hRule="atLeast"/>
        </w:trPr>
        <w:tc>
          <w:tcPr>
            <w:tcW w:w="2746" w:type="dxa"/>
            <w:noWrap w:val="0"/>
            <w:vAlign w:val="center"/>
          </w:tcPr>
          <w:p w14:paraId="54D2C5A3">
            <w:pPr>
              <w:pStyle w:val="43"/>
              <w:wordWrap w:val="0"/>
              <w:spacing w:line="360" w:lineRule="auto"/>
              <w:jc w:val="distribute"/>
              <w:rPr>
                <w:rFonts w:hint="eastAsia" w:ascii="宋体" w:hAnsi="宋体" w:eastAsia="宋体" w:cs="宋体"/>
                <w:b/>
                <w:sz w:val="28"/>
                <w:szCs w:val="40"/>
                <w:highlight w:val="none"/>
              </w:rPr>
            </w:pPr>
            <w:r>
              <w:rPr>
                <w:rFonts w:hint="eastAsia" w:ascii="宋体" w:hAnsi="宋体" w:eastAsia="宋体" w:cs="宋体"/>
                <w:b/>
                <w:spacing w:val="60"/>
                <w:sz w:val="28"/>
                <w:szCs w:val="40"/>
                <w:highlight w:val="none"/>
              </w:rPr>
              <w:t>采购代理机构</w:t>
            </w:r>
          </w:p>
        </w:tc>
        <w:tc>
          <w:tcPr>
            <w:tcW w:w="442" w:type="dxa"/>
            <w:noWrap w:val="0"/>
            <w:vAlign w:val="center"/>
          </w:tcPr>
          <w:p w14:paraId="1E86BF0E">
            <w:pPr>
              <w:pStyle w:val="43"/>
              <w:wordWrap w:val="0"/>
              <w:spacing w:line="360" w:lineRule="auto"/>
              <w:jc w:val="center"/>
              <w:rPr>
                <w:rFonts w:hint="eastAsia" w:ascii="宋体" w:hAnsi="宋体" w:eastAsia="宋体" w:cs="宋体"/>
                <w:b/>
                <w:sz w:val="28"/>
                <w:szCs w:val="40"/>
                <w:highlight w:val="none"/>
              </w:rPr>
            </w:pPr>
            <w:r>
              <w:rPr>
                <w:rFonts w:hint="eastAsia" w:ascii="宋体" w:hAnsi="宋体" w:eastAsia="宋体" w:cs="宋体"/>
                <w:b/>
                <w:spacing w:val="-20"/>
                <w:sz w:val="28"/>
                <w:szCs w:val="40"/>
                <w:highlight w:val="none"/>
              </w:rPr>
              <w:t>：</w:t>
            </w:r>
          </w:p>
        </w:tc>
        <w:tc>
          <w:tcPr>
            <w:tcW w:w="6411" w:type="dxa"/>
            <w:noWrap w:val="0"/>
            <w:vAlign w:val="center"/>
          </w:tcPr>
          <w:p w14:paraId="581C17E2">
            <w:pPr>
              <w:pStyle w:val="43"/>
              <w:wordWrap w:val="0"/>
              <w:spacing w:line="360" w:lineRule="auto"/>
              <w:rPr>
                <w:rFonts w:hint="eastAsia" w:ascii="宋体" w:hAnsi="宋体" w:eastAsia="宋体" w:cs="宋体"/>
                <w:b/>
                <w:sz w:val="28"/>
                <w:szCs w:val="40"/>
                <w:highlight w:val="none"/>
              </w:rPr>
            </w:pPr>
            <w:r>
              <w:rPr>
                <w:rFonts w:hint="eastAsia" w:ascii="宋体" w:hAnsi="宋体" w:eastAsia="宋体" w:cs="宋体"/>
                <w:b/>
                <w:bCs/>
                <w:sz w:val="28"/>
                <w:szCs w:val="40"/>
                <w:highlight w:val="none"/>
              </w:rPr>
              <w:t>铜陵华诚工程咨询有限公司</w:t>
            </w:r>
            <w:r>
              <w:rPr>
                <w:rFonts w:hint="eastAsia" w:ascii="宋体" w:hAnsi="宋体" w:eastAsia="宋体" w:cs="宋体"/>
                <w:b/>
                <w:sz w:val="28"/>
                <w:szCs w:val="40"/>
                <w:highlight w:val="none"/>
              </w:rPr>
              <w:t>（盖章）</w:t>
            </w:r>
          </w:p>
        </w:tc>
      </w:tr>
      <w:tr w14:paraId="4ADBBFC8">
        <w:tblPrEx>
          <w:tblCellMar>
            <w:top w:w="0" w:type="dxa"/>
            <w:left w:w="108" w:type="dxa"/>
            <w:bottom w:w="0" w:type="dxa"/>
            <w:right w:w="108" w:type="dxa"/>
          </w:tblCellMar>
        </w:tblPrEx>
        <w:trPr>
          <w:trHeight w:val="1311" w:hRule="atLeast"/>
        </w:trPr>
        <w:tc>
          <w:tcPr>
            <w:tcW w:w="2746" w:type="dxa"/>
            <w:noWrap w:val="0"/>
            <w:vAlign w:val="center"/>
          </w:tcPr>
          <w:p w14:paraId="75FFA78C">
            <w:pPr>
              <w:pStyle w:val="43"/>
              <w:wordWrap w:val="0"/>
              <w:spacing w:line="360" w:lineRule="auto"/>
              <w:jc w:val="distribute"/>
              <w:rPr>
                <w:rFonts w:hint="eastAsia" w:ascii="宋体" w:hAnsi="宋体" w:eastAsia="宋体" w:cs="宋体"/>
                <w:b/>
                <w:spacing w:val="60"/>
                <w:sz w:val="28"/>
                <w:szCs w:val="40"/>
                <w:highlight w:val="none"/>
              </w:rPr>
            </w:pPr>
            <w:r>
              <w:rPr>
                <w:rFonts w:hint="eastAsia" w:ascii="宋体" w:hAnsi="宋体" w:eastAsia="宋体" w:cs="宋体"/>
                <w:b/>
                <w:spacing w:val="60"/>
                <w:sz w:val="28"/>
                <w:szCs w:val="40"/>
                <w:highlight w:val="none"/>
              </w:rPr>
              <w:t>日期</w:t>
            </w:r>
          </w:p>
        </w:tc>
        <w:tc>
          <w:tcPr>
            <w:tcW w:w="442" w:type="dxa"/>
            <w:noWrap w:val="0"/>
            <w:vAlign w:val="center"/>
          </w:tcPr>
          <w:p w14:paraId="108DD295">
            <w:pPr>
              <w:pStyle w:val="43"/>
              <w:wordWrap w:val="0"/>
              <w:spacing w:line="360" w:lineRule="auto"/>
              <w:jc w:val="center"/>
              <w:rPr>
                <w:rFonts w:hint="eastAsia" w:ascii="宋体" w:hAnsi="宋体" w:eastAsia="宋体" w:cs="宋体"/>
                <w:b/>
                <w:spacing w:val="-20"/>
                <w:sz w:val="28"/>
                <w:szCs w:val="40"/>
                <w:highlight w:val="none"/>
              </w:rPr>
            </w:pPr>
            <w:r>
              <w:rPr>
                <w:rFonts w:hint="eastAsia" w:ascii="宋体" w:hAnsi="宋体" w:eastAsia="宋体" w:cs="宋体"/>
                <w:b/>
                <w:spacing w:val="-20"/>
                <w:sz w:val="28"/>
                <w:szCs w:val="40"/>
                <w:highlight w:val="none"/>
              </w:rPr>
              <w:t>：</w:t>
            </w:r>
          </w:p>
        </w:tc>
        <w:tc>
          <w:tcPr>
            <w:tcW w:w="6411" w:type="dxa"/>
            <w:noWrap w:val="0"/>
            <w:vAlign w:val="center"/>
          </w:tcPr>
          <w:p w14:paraId="61984373">
            <w:pPr>
              <w:pStyle w:val="43"/>
              <w:wordWrap w:val="0"/>
              <w:spacing w:line="360" w:lineRule="auto"/>
              <w:rPr>
                <w:rFonts w:hint="eastAsia" w:ascii="宋体" w:hAnsi="宋体" w:eastAsia="宋体" w:cs="宋体"/>
                <w:b/>
                <w:bCs/>
                <w:sz w:val="28"/>
                <w:szCs w:val="40"/>
                <w:highlight w:val="none"/>
              </w:rPr>
            </w:pPr>
            <w:r>
              <w:rPr>
                <w:rFonts w:hint="eastAsia" w:ascii="宋体" w:hAnsi="宋体" w:eastAsia="宋体" w:cs="宋体"/>
                <w:b/>
                <w:bCs/>
                <w:sz w:val="28"/>
                <w:szCs w:val="40"/>
                <w:highlight w:val="none"/>
              </w:rPr>
              <w:t>202</w:t>
            </w:r>
            <w:r>
              <w:rPr>
                <w:rFonts w:hint="eastAsia" w:hAnsi="宋体" w:cs="宋体"/>
                <w:b/>
                <w:bCs/>
                <w:sz w:val="28"/>
                <w:szCs w:val="40"/>
                <w:highlight w:val="none"/>
                <w:lang w:val="en-US" w:eastAsia="zh-CN"/>
              </w:rPr>
              <w:t>5</w:t>
            </w:r>
            <w:r>
              <w:rPr>
                <w:rFonts w:hint="eastAsia" w:ascii="宋体" w:hAnsi="宋体" w:eastAsia="宋体" w:cs="宋体"/>
                <w:b/>
                <w:bCs/>
                <w:sz w:val="28"/>
                <w:szCs w:val="40"/>
                <w:highlight w:val="none"/>
              </w:rPr>
              <w:t>年</w:t>
            </w:r>
            <w:r>
              <w:rPr>
                <w:rFonts w:hint="eastAsia" w:hAnsi="宋体" w:cs="宋体"/>
                <w:b/>
                <w:bCs/>
                <w:sz w:val="28"/>
                <w:szCs w:val="40"/>
                <w:highlight w:val="none"/>
                <w:lang w:val="en-US" w:eastAsia="zh-CN"/>
              </w:rPr>
              <w:t>07</w:t>
            </w:r>
            <w:r>
              <w:rPr>
                <w:rFonts w:hint="eastAsia" w:ascii="宋体" w:hAnsi="宋体" w:eastAsia="宋体" w:cs="宋体"/>
                <w:b/>
                <w:bCs/>
                <w:sz w:val="28"/>
                <w:szCs w:val="40"/>
                <w:highlight w:val="none"/>
              </w:rPr>
              <w:t>月</w:t>
            </w:r>
          </w:p>
        </w:tc>
      </w:tr>
    </w:tbl>
    <w:p w14:paraId="51BB2586">
      <w:pPr>
        <w:pageBreakBefore w:val="0"/>
        <w:kinsoku/>
        <w:wordWrap/>
        <w:overflowPunct w:val="0"/>
        <w:topLinePunct w:val="0"/>
        <w:bidi w:val="0"/>
        <w:spacing w:line="220" w:lineRule="auto"/>
        <w:rPr>
          <w:rFonts w:hint="eastAsia" w:ascii="宋体" w:hAnsi="宋体" w:eastAsia="宋体" w:cs="宋体"/>
          <w:highlight w:val="none"/>
        </w:rPr>
      </w:pPr>
    </w:p>
    <w:p w14:paraId="6F2D0E13">
      <w:pPr>
        <w:pageBreakBefore w:val="0"/>
        <w:kinsoku/>
        <w:wordWrap/>
        <w:overflowPunct w:val="0"/>
        <w:topLinePunct w:val="0"/>
        <w:bidi w:val="0"/>
        <w:spacing w:line="220" w:lineRule="auto"/>
        <w:rPr>
          <w:rFonts w:hint="eastAsia" w:ascii="宋体" w:hAnsi="宋体" w:eastAsia="宋体" w:cs="宋体"/>
          <w:highlight w:val="none"/>
        </w:rPr>
      </w:pPr>
    </w:p>
    <w:p w14:paraId="7039EBE0">
      <w:pPr>
        <w:pageBreakBefore w:val="0"/>
        <w:kinsoku/>
        <w:wordWrap/>
        <w:overflowPunct w:val="0"/>
        <w:topLinePunct w:val="0"/>
        <w:bidi w:val="0"/>
        <w:spacing w:line="220" w:lineRule="auto"/>
        <w:rPr>
          <w:rFonts w:hint="eastAsia" w:ascii="宋体" w:hAnsi="宋体" w:eastAsia="宋体" w:cs="宋体"/>
          <w:highlight w:val="none"/>
        </w:rPr>
      </w:pPr>
    </w:p>
    <w:p w14:paraId="51AC6DCF">
      <w:pPr>
        <w:pageBreakBefore w:val="0"/>
        <w:kinsoku/>
        <w:wordWrap/>
        <w:overflowPunct w:val="0"/>
        <w:topLinePunct w:val="0"/>
        <w:bidi w:val="0"/>
        <w:spacing w:line="220" w:lineRule="auto"/>
        <w:rPr>
          <w:rFonts w:hint="eastAsia" w:ascii="宋体" w:hAnsi="宋体" w:eastAsia="宋体" w:cs="宋体"/>
          <w:highlight w:val="none"/>
        </w:rPr>
      </w:pPr>
    </w:p>
    <w:p w14:paraId="30D78E10">
      <w:pPr>
        <w:pageBreakBefore w:val="0"/>
        <w:kinsoku/>
        <w:wordWrap/>
        <w:overflowPunct w:val="0"/>
        <w:topLinePunct w:val="0"/>
        <w:bidi w:val="0"/>
        <w:spacing w:line="220" w:lineRule="auto"/>
        <w:rPr>
          <w:rFonts w:hint="eastAsia" w:ascii="宋体" w:hAnsi="宋体" w:eastAsia="宋体" w:cs="宋体"/>
          <w:highlight w:val="none"/>
        </w:rPr>
      </w:pPr>
    </w:p>
    <w:p w14:paraId="5F464816">
      <w:pPr>
        <w:pStyle w:val="8"/>
        <w:pageBreakBefore w:val="0"/>
        <w:kinsoku/>
        <w:wordWrap/>
        <w:overflowPunct w:val="0"/>
        <w:topLinePunct w:val="0"/>
        <w:bidi w:val="0"/>
        <w:spacing w:before="308" w:line="222" w:lineRule="auto"/>
        <w:ind w:left="4138"/>
        <w:rPr>
          <w:rFonts w:hint="eastAsia" w:ascii="宋体" w:hAnsi="宋体" w:eastAsia="宋体" w:cs="宋体"/>
          <w:spacing w:val="-16"/>
          <w:highlight w:val="none"/>
        </w:rPr>
      </w:pPr>
    </w:p>
    <w:p w14:paraId="2059BF5D">
      <w:pPr>
        <w:pStyle w:val="8"/>
        <w:pageBreakBefore w:val="0"/>
        <w:kinsoku/>
        <w:wordWrap/>
        <w:overflowPunct w:val="0"/>
        <w:topLinePunct w:val="0"/>
        <w:bidi w:val="0"/>
        <w:spacing w:before="308" w:line="222" w:lineRule="auto"/>
        <w:ind w:left="4138"/>
        <w:rPr>
          <w:rFonts w:hint="eastAsia" w:ascii="宋体" w:hAnsi="宋体" w:eastAsia="宋体" w:cs="宋体"/>
          <w:spacing w:val="-16"/>
          <w:highlight w:val="none"/>
        </w:rPr>
      </w:pPr>
    </w:p>
    <w:p w14:paraId="4D15FB75">
      <w:pPr>
        <w:pStyle w:val="8"/>
        <w:pageBreakBefore w:val="0"/>
        <w:kinsoku/>
        <w:wordWrap/>
        <w:overflowPunct w:val="0"/>
        <w:topLinePunct w:val="0"/>
        <w:bidi w:val="0"/>
        <w:spacing w:before="308" w:line="222" w:lineRule="auto"/>
        <w:ind w:left="4138"/>
        <w:rPr>
          <w:rFonts w:hint="eastAsia" w:ascii="宋体" w:hAnsi="宋体" w:eastAsia="宋体" w:cs="宋体"/>
          <w:spacing w:val="-16"/>
          <w:highlight w:val="none"/>
        </w:rPr>
      </w:pPr>
    </w:p>
    <w:p w14:paraId="3156BAF2">
      <w:pPr>
        <w:pStyle w:val="8"/>
        <w:pageBreakBefore w:val="0"/>
        <w:kinsoku/>
        <w:wordWrap/>
        <w:overflowPunct w:val="0"/>
        <w:topLinePunct w:val="0"/>
        <w:bidi w:val="0"/>
        <w:spacing w:before="308" w:line="222" w:lineRule="auto"/>
        <w:rPr>
          <w:rFonts w:hint="eastAsia" w:ascii="宋体" w:hAnsi="宋体" w:eastAsia="宋体" w:cs="宋体"/>
          <w:spacing w:val="-16"/>
          <w:highlight w:val="none"/>
        </w:rPr>
      </w:pPr>
    </w:p>
    <w:p w14:paraId="3DCDDC1E">
      <w:pPr>
        <w:pStyle w:val="8"/>
        <w:pageBreakBefore w:val="0"/>
        <w:kinsoku/>
        <w:wordWrap/>
        <w:overflowPunct w:val="0"/>
        <w:topLinePunct w:val="0"/>
        <w:bidi w:val="0"/>
        <w:spacing w:before="308" w:line="222" w:lineRule="auto"/>
        <w:jc w:val="both"/>
        <w:rPr>
          <w:rFonts w:hint="eastAsia" w:ascii="宋体" w:hAnsi="宋体" w:eastAsia="宋体" w:cs="宋体"/>
          <w:spacing w:val="-16"/>
          <w:sz w:val="40"/>
          <w:szCs w:val="40"/>
          <w:highlight w:val="none"/>
        </w:rPr>
      </w:pPr>
    </w:p>
    <w:p w14:paraId="4E22F4D1">
      <w:pPr>
        <w:pStyle w:val="8"/>
        <w:pageBreakBefore w:val="0"/>
        <w:kinsoku/>
        <w:wordWrap/>
        <w:overflowPunct w:val="0"/>
        <w:topLinePunct w:val="0"/>
        <w:bidi w:val="0"/>
        <w:spacing w:before="308" w:line="222" w:lineRule="auto"/>
        <w:jc w:val="center"/>
        <w:rPr>
          <w:rFonts w:hint="eastAsia" w:ascii="宋体" w:hAnsi="宋体" w:eastAsia="宋体" w:cs="宋体"/>
          <w:sz w:val="40"/>
          <w:szCs w:val="40"/>
          <w:highlight w:val="none"/>
        </w:rPr>
      </w:pPr>
      <w:r>
        <w:rPr>
          <w:rFonts w:hint="eastAsia" w:ascii="宋体" w:hAnsi="宋体" w:eastAsia="宋体" w:cs="宋体"/>
          <w:spacing w:val="-16"/>
          <w:sz w:val="40"/>
          <w:szCs w:val="40"/>
          <w:highlight w:val="none"/>
        </w:rPr>
        <w:t>目</w:t>
      </w:r>
      <w:r>
        <w:rPr>
          <w:rFonts w:hint="eastAsia" w:ascii="宋体" w:hAnsi="宋体" w:eastAsia="宋体" w:cs="宋体"/>
          <w:spacing w:val="-16"/>
          <w:sz w:val="40"/>
          <w:szCs w:val="40"/>
          <w:highlight w:val="none"/>
          <w:lang w:val="en-US" w:eastAsia="zh-CN"/>
        </w:rPr>
        <w:t xml:space="preserve">   </w:t>
      </w:r>
      <w:r>
        <w:rPr>
          <w:rFonts w:hint="eastAsia" w:ascii="宋体" w:hAnsi="宋体" w:eastAsia="宋体" w:cs="宋体"/>
          <w:spacing w:val="-16"/>
          <w:sz w:val="40"/>
          <w:szCs w:val="40"/>
          <w:highlight w:val="none"/>
        </w:rPr>
        <w:t>录</w:t>
      </w:r>
    </w:p>
    <w:p w14:paraId="63B6EE0B">
      <w:pPr>
        <w:pStyle w:val="15"/>
        <w:pageBreakBefore w:val="0"/>
        <w:kinsoku/>
        <w:wordWrap/>
        <w:overflowPunct w:val="0"/>
        <w:topLinePunct w:val="0"/>
        <w:bidi w:val="0"/>
        <w:spacing w:line="360" w:lineRule="auto"/>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TOC \o "1-1" \h \z \u </w:instrText>
      </w:r>
      <w:r>
        <w:rPr>
          <w:rFonts w:hint="eastAsia" w:ascii="宋体" w:hAnsi="宋体" w:eastAsia="宋体" w:cs="宋体"/>
          <w:b w:val="0"/>
          <w:color w:val="auto"/>
          <w:sz w:val="28"/>
          <w:szCs w:val="28"/>
          <w:highlight w:val="none"/>
        </w:rPr>
        <w:fldChar w:fldCharType="separate"/>
      </w:r>
    </w:p>
    <w:p w14:paraId="3553BAE4">
      <w:pPr>
        <w:pStyle w:val="15"/>
        <w:pageBreakBefore w:val="0"/>
        <w:widowControl w:val="0"/>
        <w:kinsoku/>
        <w:wordWrap/>
        <w:overflowPunct w:val="0"/>
        <w:topLinePunct w:val="0"/>
        <w:bidi w:val="0"/>
        <w:adjustRightInd/>
        <w:spacing w:line="480" w:lineRule="auto"/>
        <w:textAlignment w:val="auto"/>
        <w:rPr>
          <w:rFonts w:hint="eastAsia" w:ascii="宋体" w:hAnsi="宋体" w:eastAsia="宋体" w:cs="宋体"/>
          <w:b w:val="0"/>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"_Toc146803232" </w:instrText>
      </w:r>
      <w:r>
        <w:rPr>
          <w:rFonts w:hint="eastAsia" w:ascii="宋体" w:hAnsi="宋体" w:eastAsia="宋体" w:cs="宋体"/>
          <w:color w:val="auto"/>
          <w:highlight w:val="none"/>
        </w:rPr>
        <w:fldChar w:fldCharType="separate"/>
      </w:r>
      <w:r>
        <w:rPr>
          <w:rStyle w:val="23"/>
          <w:rFonts w:hint="eastAsia" w:ascii="宋体" w:hAnsi="宋体" w:eastAsia="宋体" w:cs="宋体"/>
          <w:color w:val="auto"/>
          <w:sz w:val="32"/>
          <w:szCs w:val="32"/>
          <w:highlight w:val="none"/>
        </w:rPr>
        <w:t xml:space="preserve">第一章   </w:t>
      </w:r>
      <w:r>
        <w:rPr>
          <w:rStyle w:val="23"/>
          <w:rFonts w:hint="eastAsia" w:ascii="宋体" w:hAnsi="宋体" w:eastAsia="宋体" w:cs="宋体"/>
          <w:color w:val="auto"/>
          <w:sz w:val="32"/>
          <w:szCs w:val="32"/>
          <w:highlight w:val="none"/>
          <w:lang w:eastAsia="zh-CN"/>
        </w:rPr>
        <w:t>磋商邀请</w:t>
      </w:r>
      <w:r>
        <w:rPr>
          <w:rStyle w:val="23"/>
          <w:rFonts w:hint="eastAsia" w:ascii="宋体" w:hAnsi="宋体" w:eastAsia="宋体" w:cs="宋体"/>
          <w:color w:val="auto"/>
          <w:sz w:val="32"/>
          <w:szCs w:val="32"/>
          <w:highlight w:val="none"/>
          <w:lang w:eastAsia="zh-CN"/>
        </w:rPr>
        <w:fldChar w:fldCharType="end"/>
      </w:r>
    </w:p>
    <w:p w14:paraId="405C32A8">
      <w:pPr>
        <w:pStyle w:val="15"/>
        <w:pageBreakBefore w:val="0"/>
        <w:widowControl w:val="0"/>
        <w:kinsoku/>
        <w:wordWrap/>
        <w:overflowPunct w:val="0"/>
        <w:topLinePunct w:val="0"/>
        <w:bidi w:val="0"/>
        <w:adjustRightInd/>
        <w:spacing w:line="480" w:lineRule="auto"/>
        <w:textAlignment w:val="auto"/>
        <w:rPr>
          <w:rFonts w:hint="eastAsia" w:ascii="宋体" w:hAnsi="宋体" w:eastAsia="宋体" w:cs="宋体"/>
          <w:b w:val="0"/>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"_Toc146803233" </w:instrText>
      </w:r>
      <w:r>
        <w:rPr>
          <w:rFonts w:hint="eastAsia" w:ascii="宋体" w:hAnsi="宋体" w:eastAsia="宋体" w:cs="宋体"/>
          <w:color w:val="auto"/>
          <w:highlight w:val="none"/>
        </w:rPr>
        <w:fldChar w:fldCharType="separate"/>
      </w:r>
      <w:r>
        <w:rPr>
          <w:rStyle w:val="23"/>
          <w:rFonts w:hint="eastAsia" w:ascii="宋体" w:hAnsi="宋体" w:eastAsia="宋体" w:cs="宋体"/>
          <w:color w:val="auto"/>
          <w:sz w:val="32"/>
          <w:szCs w:val="32"/>
          <w:highlight w:val="none"/>
        </w:rPr>
        <w:t>第二章   供应商须知</w:t>
      </w:r>
      <w:r>
        <w:rPr>
          <w:rStyle w:val="23"/>
          <w:rFonts w:hint="eastAsia" w:ascii="宋体" w:hAnsi="宋体" w:eastAsia="宋体" w:cs="宋体"/>
          <w:color w:val="auto"/>
          <w:sz w:val="32"/>
          <w:szCs w:val="32"/>
          <w:highlight w:val="none"/>
        </w:rPr>
        <w:fldChar w:fldCharType="end"/>
      </w:r>
    </w:p>
    <w:p w14:paraId="33842A7D">
      <w:pPr>
        <w:pStyle w:val="15"/>
        <w:pageBreakBefore w:val="0"/>
        <w:widowControl w:val="0"/>
        <w:kinsoku/>
        <w:wordWrap/>
        <w:overflowPunct w:val="0"/>
        <w:topLinePunct w:val="0"/>
        <w:bidi w:val="0"/>
        <w:adjustRightInd/>
        <w:spacing w:line="480" w:lineRule="auto"/>
        <w:textAlignment w:val="auto"/>
        <w:rPr>
          <w:rFonts w:hint="eastAsia" w:ascii="宋体" w:hAnsi="宋体" w:eastAsia="宋体" w:cs="宋体"/>
          <w:b w:val="0"/>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"_Toc146803234" </w:instrText>
      </w:r>
      <w:r>
        <w:rPr>
          <w:rFonts w:hint="eastAsia" w:ascii="宋体" w:hAnsi="宋体" w:eastAsia="宋体" w:cs="宋体"/>
          <w:color w:val="auto"/>
          <w:highlight w:val="none"/>
        </w:rPr>
        <w:fldChar w:fldCharType="separate"/>
      </w:r>
      <w:r>
        <w:rPr>
          <w:rStyle w:val="23"/>
          <w:rFonts w:hint="eastAsia" w:ascii="宋体" w:hAnsi="宋体" w:eastAsia="宋体" w:cs="宋体"/>
          <w:color w:val="auto"/>
          <w:sz w:val="32"/>
          <w:szCs w:val="32"/>
          <w:highlight w:val="none"/>
        </w:rPr>
        <w:t>第三章   评审方法和评审标准</w:t>
      </w:r>
      <w:r>
        <w:rPr>
          <w:rStyle w:val="23"/>
          <w:rFonts w:hint="eastAsia" w:ascii="宋体" w:hAnsi="宋体" w:eastAsia="宋体" w:cs="宋体"/>
          <w:color w:val="auto"/>
          <w:sz w:val="32"/>
          <w:szCs w:val="32"/>
          <w:highlight w:val="none"/>
        </w:rPr>
        <w:fldChar w:fldCharType="end"/>
      </w:r>
    </w:p>
    <w:p w14:paraId="0179D9BB">
      <w:pPr>
        <w:pStyle w:val="15"/>
        <w:pageBreakBefore w:val="0"/>
        <w:widowControl w:val="0"/>
        <w:kinsoku/>
        <w:wordWrap/>
        <w:overflowPunct w:val="0"/>
        <w:topLinePunct w:val="0"/>
        <w:bidi w:val="0"/>
        <w:adjustRightInd/>
        <w:spacing w:line="480" w:lineRule="auto"/>
        <w:textAlignment w:val="auto"/>
        <w:rPr>
          <w:rFonts w:hint="eastAsia" w:ascii="宋体" w:hAnsi="宋体" w:eastAsia="宋体" w:cs="宋体"/>
          <w:b w:val="0"/>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"_Toc146803235" </w:instrText>
      </w:r>
      <w:r>
        <w:rPr>
          <w:rFonts w:hint="eastAsia" w:ascii="宋体" w:hAnsi="宋体" w:eastAsia="宋体" w:cs="宋体"/>
          <w:color w:val="auto"/>
          <w:highlight w:val="none"/>
        </w:rPr>
        <w:fldChar w:fldCharType="separate"/>
      </w:r>
      <w:r>
        <w:rPr>
          <w:rStyle w:val="23"/>
          <w:rFonts w:hint="eastAsia" w:ascii="宋体" w:hAnsi="宋体" w:eastAsia="宋体" w:cs="宋体"/>
          <w:color w:val="auto"/>
          <w:sz w:val="32"/>
          <w:szCs w:val="32"/>
          <w:highlight w:val="none"/>
        </w:rPr>
        <w:t>第四章   采购需求</w:t>
      </w:r>
      <w:r>
        <w:rPr>
          <w:rStyle w:val="23"/>
          <w:rFonts w:hint="eastAsia" w:ascii="宋体" w:hAnsi="宋体" w:eastAsia="宋体" w:cs="宋体"/>
          <w:color w:val="auto"/>
          <w:sz w:val="32"/>
          <w:szCs w:val="32"/>
          <w:highlight w:val="none"/>
        </w:rPr>
        <w:fldChar w:fldCharType="end"/>
      </w:r>
    </w:p>
    <w:p w14:paraId="7F1D6542">
      <w:pPr>
        <w:pStyle w:val="15"/>
        <w:pageBreakBefore w:val="0"/>
        <w:widowControl w:val="0"/>
        <w:kinsoku/>
        <w:wordWrap/>
        <w:overflowPunct w:val="0"/>
        <w:topLinePunct w:val="0"/>
        <w:bidi w:val="0"/>
        <w:adjustRightInd/>
        <w:spacing w:line="480" w:lineRule="auto"/>
        <w:textAlignment w:val="auto"/>
        <w:rPr>
          <w:rFonts w:hint="eastAsia" w:ascii="宋体" w:hAnsi="宋体" w:eastAsia="宋体" w:cs="宋体"/>
          <w:b w:val="0"/>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"_Toc146803236" </w:instrText>
      </w:r>
      <w:r>
        <w:rPr>
          <w:rFonts w:hint="eastAsia" w:ascii="宋体" w:hAnsi="宋体" w:eastAsia="宋体" w:cs="宋体"/>
          <w:color w:val="auto"/>
          <w:highlight w:val="none"/>
        </w:rPr>
        <w:fldChar w:fldCharType="separate"/>
      </w:r>
      <w:r>
        <w:rPr>
          <w:rStyle w:val="23"/>
          <w:rFonts w:hint="eastAsia" w:ascii="宋体" w:hAnsi="宋体" w:eastAsia="宋体" w:cs="宋体"/>
          <w:color w:val="auto"/>
          <w:sz w:val="32"/>
          <w:szCs w:val="32"/>
          <w:highlight w:val="none"/>
        </w:rPr>
        <w:t xml:space="preserve">第五章   </w:t>
      </w:r>
      <w:r>
        <w:rPr>
          <w:rStyle w:val="23"/>
          <w:rFonts w:hint="eastAsia" w:ascii="宋体" w:hAnsi="宋体" w:eastAsia="宋体" w:cs="宋体"/>
          <w:color w:val="auto"/>
          <w:sz w:val="32"/>
          <w:szCs w:val="32"/>
          <w:highlight w:val="none"/>
          <w:lang w:eastAsia="zh-CN"/>
        </w:rPr>
        <w:t>拟签订的合同文本</w:t>
      </w:r>
      <w:r>
        <w:rPr>
          <w:rStyle w:val="23"/>
          <w:rFonts w:hint="eastAsia" w:ascii="宋体" w:hAnsi="宋体" w:eastAsia="宋体" w:cs="宋体"/>
          <w:color w:val="auto"/>
          <w:sz w:val="32"/>
          <w:szCs w:val="32"/>
          <w:highlight w:val="none"/>
          <w:lang w:eastAsia="zh-CN"/>
        </w:rPr>
        <w:fldChar w:fldCharType="end"/>
      </w:r>
    </w:p>
    <w:p w14:paraId="02C8EE98">
      <w:pPr>
        <w:pStyle w:val="15"/>
        <w:pageBreakBefore w:val="0"/>
        <w:widowControl w:val="0"/>
        <w:kinsoku/>
        <w:wordWrap/>
        <w:overflowPunct w:val="0"/>
        <w:topLinePunct w:val="0"/>
        <w:bidi w:val="0"/>
        <w:adjustRightInd/>
        <w:spacing w:line="480" w:lineRule="auto"/>
        <w:textAlignment w:val="auto"/>
        <w:rPr>
          <w:rFonts w:hint="eastAsia" w:ascii="宋体" w:hAnsi="宋体" w:eastAsia="宋体" w:cs="宋体"/>
          <w:b w:val="0"/>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"_Toc146803237" </w:instrText>
      </w:r>
      <w:r>
        <w:rPr>
          <w:rFonts w:hint="eastAsia" w:ascii="宋体" w:hAnsi="宋体" w:eastAsia="宋体" w:cs="宋体"/>
          <w:color w:val="auto"/>
          <w:highlight w:val="none"/>
        </w:rPr>
        <w:fldChar w:fldCharType="separate"/>
      </w:r>
      <w:r>
        <w:rPr>
          <w:rStyle w:val="23"/>
          <w:rFonts w:hint="eastAsia" w:ascii="宋体" w:hAnsi="宋体" w:eastAsia="宋体" w:cs="宋体"/>
          <w:color w:val="auto"/>
          <w:sz w:val="32"/>
          <w:szCs w:val="32"/>
          <w:highlight w:val="none"/>
        </w:rPr>
        <w:t>第六章   响应文件格式</w:t>
      </w:r>
      <w:r>
        <w:rPr>
          <w:rStyle w:val="23"/>
          <w:rFonts w:hint="eastAsia" w:ascii="宋体" w:hAnsi="宋体" w:eastAsia="宋体" w:cs="宋体"/>
          <w:color w:val="auto"/>
          <w:sz w:val="32"/>
          <w:szCs w:val="32"/>
          <w:highlight w:val="none"/>
        </w:rPr>
        <w:fldChar w:fldCharType="end"/>
      </w:r>
    </w:p>
    <w:p w14:paraId="25BD3398">
      <w:pPr>
        <w:pageBreakBefore w:val="0"/>
        <w:widowControl w:val="0"/>
        <w:kinsoku/>
        <w:wordWrap/>
        <w:overflowPunct w:val="0"/>
        <w:topLinePunct w:val="0"/>
        <w:bidi w:val="0"/>
        <w:adjustRightInd/>
        <w:spacing w:line="480" w:lineRule="auto"/>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28"/>
          <w:szCs w:val="28"/>
          <w:highlight w:val="none"/>
        </w:rPr>
        <w:fldChar w:fldCharType="end"/>
      </w:r>
      <w:r>
        <w:rPr>
          <w:rFonts w:hint="eastAsia" w:ascii="宋体" w:hAnsi="宋体" w:eastAsia="宋体" w:cs="宋体"/>
          <w:b/>
          <w:bCs/>
          <w:snapToGrid w:val="0"/>
          <w:color w:val="auto"/>
          <w:sz w:val="32"/>
          <w:szCs w:val="32"/>
          <w:highlight w:val="none"/>
          <w:lang w:val="en-US" w:eastAsia="zh-CN" w:bidi="ar-SA"/>
        </w:rPr>
        <w:t xml:space="preserve">第七章 </w:t>
      </w:r>
      <w:r>
        <w:rPr>
          <w:rFonts w:hint="eastAsia" w:ascii="宋体" w:hAnsi="宋体" w:eastAsia="宋体" w:cs="宋体"/>
          <w:b/>
          <w:bCs/>
          <w:color w:val="auto"/>
          <w:sz w:val="32"/>
          <w:szCs w:val="32"/>
          <w:highlight w:val="none"/>
          <w:lang w:eastAsia="zh-CN"/>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政府采购供应商质疑函、投诉书范本</w:t>
      </w:r>
    </w:p>
    <w:p w14:paraId="28B2769E">
      <w:pPr>
        <w:pageBreakBefore w:val="0"/>
        <w:numPr>
          <w:ilvl w:val="0"/>
          <w:numId w:val="0"/>
        </w:numPr>
        <w:kinsoku/>
        <w:wordWrap/>
        <w:overflowPunct w:val="0"/>
        <w:topLinePunct w:val="0"/>
        <w:autoSpaceDE w:val="0"/>
        <w:autoSpaceDN w:val="0"/>
        <w:bidi w:val="0"/>
        <w:adjustRightInd w:val="0"/>
        <w:snapToGrid w:val="0"/>
        <w:spacing w:line="218" w:lineRule="auto"/>
        <w:textAlignment w:val="baseline"/>
        <w:rPr>
          <w:rFonts w:hint="eastAsia" w:ascii="宋体" w:hAnsi="宋体" w:eastAsia="宋体" w:cs="宋体"/>
          <w:b/>
          <w:bCs/>
          <w:color w:val="auto"/>
          <w:sz w:val="32"/>
          <w:szCs w:val="32"/>
          <w:highlight w:val="none"/>
          <w:lang w:eastAsia="zh-CN"/>
        </w:rPr>
      </w:pPr>
    </w:p>
    <w:p w14:paraId="4C2FFFB3">
      <w:pPr>
        <w:pageBreakBefore w:val="0"/>
        <w:numPr>
          <w:ilvl w:val="0"/>
          <w:numId w:val="0"/>
        </w:numPr>
        <w:kinsoku/>
        <w:wordWrap/>
        <w:overflowPunct w:val="0"/>
        <w:topLinePunct w:val="0"/>
        <w:autoSpaceDE w:val="0"/>
        <w:autoSpaceDN w:val="0"/>
        <w:bidi w:val="0"/>
        <w:adjustRightInd w:val="0"/>
        <w:snapToGrid w:val="0"/>
        <w:spacing w:line="218" w:lineRule="auto"/>
        <w:textAlignment w:val="baseline"/>
        <w:rPr>
          <w:rFonts w:hint="eastAsia" w:ascii="宋体" w:hAnsi="宋体" w:eastAsia="宋体" w:cs="宋体"/>
          <w:b/>
          <w:bCs/>
          <w:color w:val="auto"/>
          <w:sz w:val="32"/>
          <w:szCs w:val="32"/>
          <w:highlight w:val="none"/>
          <w:lang w:eastAsia="zh-CN"/>
        </w:rPr>
      </w:pPr>
    </w:p>
    <w:p w14:paraId="3BD28E06">
      <w:pPr>
        <w:pageBreakBefore w:val="0"/>
        <w:numPr>
          <w:ilvl w:val="0"/>
          <w:numId w:val="0"/>
        </w:numPr>
        <w:kinsoku/>
        <w:wordWrap/>
        <w:overflowPunct w:val="0"/>
        <w:topLinePunct w:val="0"/>
        <w:autoSpaceDE w:val="0"/>
        <w:autoSpaceDN w:val="0"/>
        <w:bidi w:val="0"/>
        <w:adjustRightInd w:val="0"/>
        <w:snapToGrid w:val="0"/>
        <w:spacing w:line="218" w:lineRule="auto"/>
        <w:textAlignment w:val="baseline"/>
        <w:rPr>
          <w:rFonts w:hint="eastAsia" w:ascii="宋体" w:hAnsi="宋体" w:eastAsia="宋体" w:cs="宋体"/>
          <w:b/>
          <w:bCs/>
          <w:color w:val="auto"/>
          <w:sz w:val="32"/>
          <w:szCs w:val="32"/>
          <w:highlight w:val="none"/>
          <w:lang w:eastAsia="zh-CN"/>
        </w:rPr>
      </w:pPr>
    </w:p>
    <w:p w14:paraId="1D2F31B4">
      <w:pPr>
        <w:pageBreakBefore w:val="0"/>
        <w:numPr>
          <w:ilvl w:val="0"/>
          <w:numId w:val="0"/>
        </w:numPr>
        <w:kinsoku/>
        <w:wordWrap/>
        <w:overflowPunct w:val="0"/>
        <w:topLinePunct w:val="0"/>
        <w:autoSpaceDE w:val="0"/>
        <w:autoSpaceDN w:val="0"/>
        <w:bidi w:val="0"/>
        <w:adjustRightInd w:val="0"/>
        <w:snapToGrid w:val="0"/>
        <w:spacing w:line="218" w:lineRule="auto"/>
        <w:textAlignment w:val="baseline"/>
        <w:rPr>
          <w:rFonts w:hint="eastAsia" w:ascii="宋体" w:hAnsi="宋体" w:eastAsia="宋体" w:cs="宋体"/>
          <w:b/>
          <w:bCs/>
          <w:color w:val="auto"/>
          <w:sz w:val="32"/>
          <w:szCs w:val="32"/>
          <w:highlight w:val="none"/>
          <w:lang w:eastAsia="zh-CN"/>
        </w:rPr>
      </w:pPr>
    </w:p>
    <w:p w14:paraId="2819F402">
      <w:pPr>
        <w:pageBreakBefore w:val="0"/>
        <w:numPr>
          <w:ilvl w:val="0"/>
          <w:numId w:val="0"/>
        </w:numPr>
        <w:kinsoku/>
        <w:wordWrap/>
        <w:overflowPunct w:val="0"/>
        <w:topLinePunct w:val="0"/>
        <w:autoSpaceDE w:val="0"/>
        <w:autoSpaceDN w:val="0"/>
        <w:bidi w:val="0"/>
        <w:adjustRightInd w:val="0"/>
        <w:snapToGrid w:val="0"/>
        <w:spacing w:line="218" w:lineRule="auto"/>
        <w:textAlignment w:val="baseline"/>
        <w:rPr>
          <w:rFonts w:hint="eastAsia" w:ascii="宋体" w:hAnsi="宋体" w:eastAsia="宋体" w:cs="宋体"/>
          <w:b/>
          <w:bCs/>
          <w:color w:val="auto"/>
          <w:sz w:val="32"/>
          <w:szCs w:val="32"/>
          <w:highlight w:val="none"/>
          <w:lang w:eastAsia="zh-CN"/>
        </w:rPr>
      </w:pPr>
    </w:p>
    <w:p w14:paraId="3D30973D">
      <w:pPr>
        <w:pageBreakBefore w:val="0"/>
        <w:numPr>
          <w:ilvl w:val="0"/>
          <w:numId w:val="0"/>
        </w:numPr>
        <w:kinsoku/>
        <w:wordWrap/>
        <w:overflowPunct w:val="0"/>
        <w:topLinePunct w:val="0"/>
        <w:autoSpaceDE w:val="0"/>
        <w:autoSpaceDN w:val="0"/>
        <w:bidi w:val="0"/>
        <w:adjustRightInd w:val="0"/>
        <w:snapToGrid w:val="0"/>
        <w:spacing w:line="218" w:lineRule="auto"/>
        <w:textAlignment w:val="baseline"/>
        <w:rPr>
          <w:rFonts w:hint="eastAsia" w:ascii="宋体" w:hAnsi="宋体" w:eastAsia="宋体" w:cs="宋体"/>
          <w:b/>
          <w:bCs/>
          <w:color w:val="auto"/>
          <w:sz w:val="32"/>
          <w:szCs w:val="32"/>
          <w:highlight w:val="none"/>
          <w:lang w:eastAsia="zh-CN"/>
        </w:rPr>
      </w:pPr>
    </w:p>
    <w:p w14:paraId="44870F00">
      <w:pPr>
        <w:pageBreakBefore w:val="0"/>
        <w:numPr>
          <w:ilvl w:val="0"/>
          <w:numId w:val="0"/>
        </w:numPr>
        <w:kinsoku/>
        <w:wordWrap/>
        <w:overflowPunct w:val="0"/>
        <w:topLinePunct w:val="0"/>
        <w:autoSpaceDE w:val="0"/>
        <w:autoSpaceDN w:val="0"/>
        <w:bidi w:val="0"/>
        <w:adjustRightInd w:val="0"/>
        <w:snapToGrid w:val="0"/>
        <w:spacing w:line="218" w:lineRule="auto"/>
        <w:textAlignment w:val="baseline"/>
        <w:rPr>
          <w:rFonts w:hint="eastAsia" w:ascii="宋体" w:hAnsi="宋体" w:eastAsia="宋体" w:cs="宋体"/>
          <w:b/>
          <w:bCs/>
          <w:color w:val="auto"/>
          <w:sz w:val="32"/>
          <w:szCs w:val="32"/>
          <w:highlight w:val="none"/>
          <w:lang w:eastAsia="zh-CN"/>
        </w:rPr>
      </w:pPr>
    </w:p>
    <w:p w14:paraId="490F09D9">
      <w:pPr>
        <w:pageBreakBefore w:val="0"/>
        <w:numPr>
          <w:ilvl w:val="0"/>
          <w:numId w:val="0"/>
        </w:numPr>
        <w:kinsoku/>
        <w:wordWrap/>
        <w:overflowPunct w:val="0"/>
        <w:topLinePunct w:val="0"/>
        <w:autoSpaceDE w:val="0"/>
        <w:autoSpaceDN w:val="0"/>
        <w:bidi w:val="0"/>
        <w:adjustRightInd w:val="0"/>
        <w:snapToGrid w:val="0"/>
        <w:spacing w:line="218" w:lineRule="auto"/>
        <w:textAlignment w:val="baseline"/>
        <w:rPr>
          <w:rFonts w:hint="eastAsia" w:ascii="宋体" w:hAnsi="宋体" w:eastAsia="宋体" w:cs="宋体"/>
          <w:b/>
          <w:bCs/>
          <w:color w:val="auto"/>
          <w:sz w:val="32"/>
          <w:szCs w:val="32"/>
          <w:highlight w:val="none"/>
          <w:lang w:eastAsia="zh-CN"/>
        </w:rPr>
      </w:pPr>
    </w:p>
    <w:p w14:paraId="2861D786">
      <w:pPr>
        <w:pageBreakBefore w:val="0"/>
        <w:numPr>
          <w:ilvl w:val="0"/>
          <w:numId w:val="0"/>
        </w:numPr>
        <w:kinsoku/>
        <w:wordWrap/>
        <w:overflowPunct w:val="0"/>
        <w:topLinePunct w:val="0"/>
        <w:autoSpaceDE w:val="0"/>
        <w:autoSpaceDN w:val="0"/>
        <w:bidi w:val="0"/>
        <w:adjustRightInd w:val="0"/>
        <w:snapToGrid w:val="0"/>
        <w:spacing w:line="218" w:lineRule="auto"/>
        <w:textAlignment w:val="baseline"/>
        <w:rPr>
          <w:rFonts w:hint="eastAsia" w:ascii="宋体" w:hAnsi="宋体" w:eastAsia="宋体" w:cs="宋体"/>
          <w:b/>
          <w:bCs/>
          <w:color w:val="auto"/>
          <w:sz w:val="32"/>
          <w:szCs w:val="32"/>
          <w:highlight w:val="none"/>
          <w:lang w:eastAsia="zh-CN"/>
        </w:rPr>
      </w:pPr>
    </w:p>
    <w:p w14:paraId="7E51D032">
      <w:pPr>
        <w:pageBreakBefore w:val="0"/>
        <w:kinsoku/>
        <w:wordWrap/>
        <w:overflowPunct w:val="0"/>
        <w:topLinePunct w:val="0"/>
        <w:bidi w:val="0"/>
        <w:spacing w:before="103" w:line="198" w:lineRule="auto"/>
        <w:jc w:val="center"/>
        <w:outlineLvl w:val="0"/>
        <w:rPr>
          <w:rFonts w:hint="eastAsia" w:ascii="宋体" w:hAnsi="宋体" w:eastAsia="宋体" w:cs="宋体"/>
          <w:bCs/>
          <w:color w:val="auto"/>
          <w:kern w:val="44"/>
          <w:sz w:val="40"/>
          <w:szCs w:val="40"/>
          <w:highlight w:val="none"/>
          <w:lang w:eastAsia="zh-CN"/>
        </w:rPr>
      </w:pPr>
      <w:r>
        <w:rPr>
          <w:rFonts w:hint="eastAsia" w:ascii="宋体" w:hAnsi="宋体" w:eastAsia="宋体" w:cs="宋体"/>
          <w:bCs/>
          <w:color w:val="auto"/>
          <w:kern w:val="44"/>
          <w:sz w:val="40"/>
          <w:szCs w:val="40"/>
          <w:highlight w:val="none"/>
          <w:lang w:eastAsia="zh-CN"/>
        </w:rPr>
        <w:t xml:space="preserve">第一章 </w:t>
      </w:r>
      <w:r>
        <w:rPr>
          <w:rFonts w:hint="eastAsia" w:ascii="宋体" w:hAnsi="宋体" w:eastAsia="宋体" w:cs="宋体"/>
          <w:bCs/>
          <w:color w:val="auto"/>
          <w:kern w:val="44"/>
          <w:sz w:val="40"/>
          <w:szCs w:val="40"/>
          <w:highlight w:val="none"/>
          <w:lang w:val="en-US" w:eastAsia="zh-CN"/>
        </w:rPr>
        <w:t xml:space="preserve">  </w:t>
      </w:r>
      <w:r>
        <w:rPr>
          <w:rFonts w:hint="eastAsia" w:ascii="宋体" w:hAnsi="宋体" w:eastAsia="宋体" w:cs="宋体"/>
          <w:bCs/>
          <w:color w:val="auto"/>
          <w:kern w:val="44"/>
          <w:sz w:val="40"/>
          <w:szCs w:val="40"/>
          <w:highlight w:val="none"/>
          <w:lang w:eastAsia="zh-CN"/>
        </w:rPr>
        <w:t>磋商邀请</w:t>
      </w:r>
    </w:p>
    <w:p w14:paraId="5FCD4131">
      <w:pPr>
        <w:pageBreakBefore w:val="0"/>
        <w:kinsoku/>
        <w:wordWrap/>
        <w:overflowPunct w:val="0"/>
        <w:topLinePunct w:val="0"/>
        <w:bidi w:val="0"/>
        <w:spacing w:line="202" w:lineRule="exact"/>
        <w:rPr>
          <w:rFonts w:hint="eastAsia" w:ascii="宋体" w:hAnsi="宋体" w:eastAsia="宋体" w:cs="宋体"/>
          <w:highlight w:val="none"/>
        </w:rPr>
      </w:pPr>
    </w:p>
    <w:tbl>
      <w:tblPr>
        <w:tblStyle w:val="26"/>
        <w:tblW w:w="896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62"/>
      </w:tblGrid>
      <w:tr w14:paraId="466FFF0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35" w:hRule="atLeast"/>
        </w:trPr>
        <w:tc>
          <w:tcPr>
            <w:tcW w:w="8962" w:type="dxa"/>
          </w:tcPr>
          <w:p w14:paraId="79E88A6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lang w:eastAsia="zh-CN"/>
              </w:rPr>
              <w:t>项目概况：</w:t>
            </w:r>
            <w:r>
              <w:rPr>
                <w:rFonts w:hint="eastAsia" w:ascii="宋体" w:hAnsi="宋体" w:eastAsia="宋体" w:cs="宋体"/>
                <w:spacing w:val="-3"/>
                <w:sz w:val="24"/>
                <w:szCs w:val="24"/>
                <w:highlight w:val="none"/>
                <w:u w:val="single"/>
                <w:lang w:eastAsia="zh-CN"/>
              </w:rPr>
              <w:t>铜陵市公共资源交易中心开标及评标室改造工程</w:t>
            </w:r>
            <w:r>
              <w:rPr>
                <w:rFonts w:hint="eastAsia" w:ascii="宋体" w:hAnsi="宋体" w:eastAsia="宋体" w:cs="宋体"/>
                <w:spacing w:val="-3"/>
                <w:sz w:val="24"/>
                <w:szCs w:val="24"/>
                <w:highlight w:val="none"/>
                <w:lang w:eastAsia="zh-CN"/>
              </w:rPr>
              <w:t>的潜在供应商应在全国公共资源交易平台（安徽 铜陵）网站--非进场交易栏自行下载获取采购文件，并于</w:t>
            </w:r>
            <w:r>
              <w:rPr>
                <w:rFonts w:hint="eastAsia" w:ascii="宋体" w:hAnsi="宋体" w:eastAsia="宋体" w:cs="宋体"/>
                <w:spacing w:val="-3"/>
                <w:sz w:val="24"/>
                <w:szCs w:val="24"/>
                <w:highlight w:val="none"/>
                <w:lang w:val="en-US" w:eastAsia="zh-CN"/>
              </w:rPr>
              <w:t>2025年07月28日09点30分</w:t>
            </w:r>
            <w:r>
              <w:rPr>
                <w:rFonts w:hint="eastAsia" w:ascii="宋体" w:hAnsi="宋体" w:eastAsia="宋体" w:cs="宋体"/>
                <w:spacing w:val="-3"/>
                <w:sz w:val="24"/>
                <w:szCs w:val="24"/>
                <w:highlight w:val="none"/>
                <w:lang w:eastAsia="zh-CN"/>
              </w:rPr>
              <w:t>（北京时间）提交响应文件。</w:t>
            </w:r>
          </w:p>
        </w:tc>
      </w:tr>
    </w:tbl>
    <w:p w14:paraId="008181E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一、项目基本情况</w:t>
      </w:r>
    </w:p>
    <w:p w14:paraId="2CA4BDF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8" w:firstLineChars="200"/>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eastAsia="zh-CN"/>
        </w:rPr>
        <w:t>项目编号：铜华诚</w:t>
      </w:r>
      <w:r>
        <w:rPr>
          <w:rFonts w:hint="eastAsia" w:ascii="宋体" w:hAnsi="宋体" w:eastAsia="宋体" w:cs="宋体"/>
          <w:spacing w:val="-3"/>
          <w:sz w:val="24"/>
          <w:szCs w:val="24"/>
          <w:highlight w:val="none"/>
          <w:lang w:val="en-US" w:eastAsia="zh-CN"/>
        </w:rPr>
        <w:t>招代</w:t>
      </w:r>
      <w:r>
        <w:rPr>
          <w:rFonts w:hint="eastAsia" w:ascii="宋体" w:hAnsi="宋体" w:eastAsia="宋体" w:cs="宋体"/>
          <w:spacing w:val="-3"/>
          <w:sz w:val="24"/>
          <w:szCs w:val="24"/>
          <w:highlight w:val="none"/>
          <w:lang w:eastAsia="zh-CN"/>
        </w:rPr>
        <w:t>[202</w:t>
      </w:r>
      <w:r>
        <w:rPr>
          <w:rFonts w:hint="eastAsia" w:ascii="宋体" w:hAnsi="宋体" w:eastAsia="宋体" w:cs="宋体"/>
          <w:spacing w:val="-3"/>
          <w:sz w:val="24"/>
          <w:szCs w:val="24"/>
          <w:highlight w:val="none"/>
          <w:lang w:val="en-US" w:eastAsia="zh-CN"/>
        </w:rPr>
        <w:t>5</w:t>
      </w:r>
      <w:r>
        <w:rPr>
          <w:rFonts w:hint="eastAsia" w:ascii="宋体" w:hAnsi="宋体" w:eastAsia="宋体" w:cs="宋体"/>
          <w:spacing w:val="-3"/>
          <w:sz w:val="24"/>
          <w:szCs w:val="24"/>
          <w:highlight w:val="none"/>
          <w:lang w:eastAsia="zh-CN"/>
        </w:rPr>
        <w:t>]第</w:t>
      </w:r>
      <w:r>
        <w:rPr>
          <w:rFonts w:hint="eastAsia" w:ascii="宋体" w:hAnsi="宋体" w:eastAsia="宋体" w:cs="宋体"/>
          <w:spacing w:val="-3"/>
          <w:sz w:val="24"/>
          <w:szCs w:val="24"/>
          <w:highlight w:val="none"/>
          <w:lang w:val="en-US" w:eastAsia="zh-CN"/>
        </w:rPr>
        <w:t>035</w:t>
      </w:r>
      <w:r>
        <w:rPr>
          <w:rFonts w:hint="eastAsia" w:ascii="宋体" w:hAnsi="宋体" w:eastAsia="宋体" w:cs="宋体"/>
          <w:spacing w:val="-3"/>
          <w:sz w:val="24"/>
          <w:szCs w:val="24"/>
          <w:highlight w:val="none"/>
          <w:lang w:eastAsia="zh-CN"/>
        </w:rPr>
        <w:t>号</w:t>
      </w:r>
    </w:p>
    <w:p w14:paraId="3C3E2E8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8" w:firstLineChars="200"/>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项目名称：铜陵市公共资源交易中心开标及评标室改造工程</w:t>
      </w:r>
    </w:p>
    <w:p w14:paraId="3F393C8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8" w:firstLineChars="200"/>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采购方式：□竞争性谈判</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lang w:eastAsia="zh-CN"/>
        </w:rPr>
        <w:t>☑竞争性磋商</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lang w:eastAsia="zh-CN"/>
        </w:rPr>
        <w:t>□询价</w:t>
      </w:r>
    </w:p>
    <w:p w14:paraId="502083C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8" w:firstLineChars="200"/>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预算金额：584218.74元</w:t>
      </w:r>
    </w:p>
    <w:p w14:paraId="1E98BB4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8" w:firstLineChars="200"/>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最高限价：584218.74元</w:t>
      </w:r>
    </w:p>
    <w:p w14:paraId="019013E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采购需求：铜陵市公共资源交易中心开标及评标室改造工程，主要内容包括三层、五层和六层现有功能区域的整体改造，包括评标室、开标室、代理机构查询室、休息室、过道、卫生间等空间的全面升级。主要施工内容包含两个方面：一是拆除工程，涉及原有部分装修装饰及设施的拆除；二是新建工程，包括室内装饰装修（含墙面、地面、天花板等改造）、水电系统改造、设备更新、功能布局优化调整以及相关家具搬运等工作，具体详见施工图纸、竞争性磋商文件及工程量清单。</w:t>
      </w:r>
    </w:p>
    <w:p w14:paraId="73A045D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合同履行期限：自合同签订之日起，30日历天内完成。</w:t>
      </w:r>
    </w:p>
    <w:p w14:paraId="3D39A15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8" w:firstLineChars="200"/>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本项目不接受联合体响应。</w:t>
      </w:r>
    </w:p>
    <w:p w14:paraId="70BA12B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68" w:firstLineChars="200"/>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二、申请人的资格要求</w:t>
      </w:r>
    </w:p>
    <w:p w14:paraId="3C565C9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1.满足《中华人民共和国政府采购法》第二十二条规</w:t>
      </w:r>
      <w:r>
        <w:rPr>
          <w:rFonts w:hint="eastAsia" w:ascii="宋体" w:hAnsi="宋体" w:eastAsia="宋体" w:cs="宋体"/>
          <w:spacing w:val="-2"/>
          <w:sz w:val="24"/>
          <w:szCs w:val="24"/>
          <w:highlight w:val="none"/>
          <w:lang w:eastAsia="zh-CN"/>
        </w:rPr>
        <w:t>定；</w:t>
      </w:r>
    </w:p>
    <w:p w14:paraId="1593DE0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2.落实政府采购政策需满足的资格要求：按</w:t>
      </w:r>
      <w:r>
        <w:rPr>
          <w:rFonts w:hint="eastAsia" w:ascii="宋体" w:hAnsi="宋体" w:eastAsia="宋体" w:cs="宋体"/>
          <w:spacing w:val="-4"/>
          <w:sz w:val="24"/>
          <w:szCs w:val="24"/>
          <w:highlight w:val="none"/>
          <w:lang w:eastAsia="zh-CN"/>
        </w:rPr>
        <w:t>照财政部、工业和信息化部制定</w:t>
      </w:r>
      <w:r>
        <w:rPr>
          <w:rFonts w:hint="eastAsia" w:ascii="宋体" w:hAnsi="宋体" w:eastAsia="宋体" w:cs="宋体"/>
          <w:spacing w:val="-3"/>
          <w:sz w:val="24"/>
          <w:szCs w:val="24"/>
          <w:highlight w:val="none"/>
          <w:lang w:eastAsia="zh-CN"/>
        </w:rPr>
        <w:t>的《政府采购促进中小企业发展管理办法》，本项目为专门面向中小企业采购项目（专门面向中小企业采购的项目，</w:t>
      </w:r>
      <w:r>
        <w:rPr>
          <w:rFonts w:hint="eastAsia" w:ascii="宋体" w:hAnsi="宋体" w:eastAsia="宋体" w:cs="宋体"/>
          <w:spacing w:val="-3"/>
          <w:sz w:val="24"/>
          <w:szCs w:val="24"/>
          <w:highlight w:val="none"/>
          <w:lang w:val="en-US" w:eastAsia="zh-CN"/>
        </w:rPr>
        <w:t>工程</w:t>
      </w:r>
      <w:r>
        <w:rPr>
          <w:rFonts w:hint="eastAsia" w:ascii="宋体" w:hAnsi="宋体" w:eastAsia="宋体" w:cs="宋体"/>
          <w:spacing w:val="-3"/>
          <w:sz w:val="24"/>
          <w:szCs w:val="24"/>
          <w:highlight w:val="none"/>
          <w:lang w:eastAsia="zh-CN"/>
        </w:rPr>
        <w:t>供应商应为中小微企业、监狱企业、残疾人福利性单位)。企业划型标准按照《关于印发中小企业划型标准规定的通知》（工信部联企业〔2011〕300号规定执行）。</w:t>
      </w:r>
    </w:p>
    <w:p w14:paraId="4661315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3.本项目的特定资格要求：（1）</w:t>
      </w:r>
      <w:r>
        <w:rPr>
          <w:rFonts w:hint="eastAsia" w:ascii="宋体" w:hAnsi="宋体" w:eastAsia="宋体" w:cs="宋体"/>
          <w:spacing w:val="-3"/>
          <w:sz w:val="24"/>
          <w:szCs w:val="24"/>
          <w:highlight w:val="none"/>
          <w:lang w:val="en-US" w:eastAsia="zh-CN"/>
        </w:rPr>
        <w:t>供应商须</w:t>
      </w:r>
      <w:r>
        <w:rPr>
          <w:rFonts w:hint="eastAsia" w:ascii="宋体" w:hAnsi="宋体" w:eastAsia="宋体" w:cs="宋体"/>
          <w:spacing w:val="-3"/>
          <w:sz w:val="24"/>
          <w:szCs w:val="24"/>
          <w:highlight w:val="none"/>
          <w:lang w:eastAsia="zh-CN"/>
        </w:rPr>
        <w:t>具备有效</w:t>
      </w:r>
      <w:r>
        <w:rPr>
          <w:rFonts w:hint="eastAsia" w:ascii="宋体" w:hAnsi="宋体" w:eastAsia="宋体" w:cs="宋体"/>
          <w:spacing w:val="-3"/>
          <w:sz w:val="24"/>
          <w:szCs w:val="24"/>
          <w:highlight w:val="none"/>
          <w:lang w:val="en-US" w:eastAsia="zh-CN"/>
        </w:rPr>
        <w:t>的建筑装修装饰工程专业承包贰级及以上资质，并具备有效的安全生产许可证</w:t>
      </w:r>
      <w:r>
        <w:rPr>
          <w:rFonts w:hint="eastAsia" w:ascii="宋体" w:hAnsi="宋体" w:eastAsia="宋体" w:cs="宋体"/>
          <w:spacing w:val="-3"/>
          <w:sz w:val="24"/>
          <w:szCs w:val="24"/>
          <w:highlight w:val="none"/>
          <w:lang w:eastAsia="zh-CN"/>
        </w:rPr>
        <w:t>。</w:t>
      </w:r>
    </w:p>
    <w:p w14:paraId="153C9A5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2</w:t>
      </w:r>
      <w:r>
        <w:rPr>
          <w:rFonts w:hint="eastAsia" w:ascii="宋体" w:hAnsi="宋体" w:eastAsia="宋体" w:cs="宋体"/>
          <w:spacing w:val="-3"/>
          <w:sz w:val="24"/>
          <w:szCs w:val="24"/>
          <w:highlight w:val="none"/>
          <w:lang w:eastAsia="zh-CN"/>
        </w:rPr>
        <w:t>）供应商拟派项目负责人须具备有效的建筑工程贰级及以上注册建造师资格，具备有效的建造师安全生产考核B证。</w:t>
      </w:r>
    </w:p>
    <w:p w14:paraId="6A14B6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三、获取采购文件</w:t>
      </w:r>
    </w:p>
    <w:p w14:paraId="5B43B5B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时间：起始为公告挂网时间，终止为开标时间。</w:t>
      </w:r>
    </w:p>
    <w:p w14:paraId="360D2DE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left"/>
        <w:textAlignment w:val="baseline"/>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eastAsia="zh-CN"/>
        </w:rPr>
        <w:t>获取方式：潜在投标人查阅招标文件后，如参与投标，可在全国公共资源交易平台（安徽 铜陵）网站--非进场交易栏自行下载招标文件。</w:t>
      </w:r>
    </w:p>
    <w:p w14:paraId="22C60CC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四、响应文件提交</w:t>
      </w:r>
    </w:p>
    <w:p w14:paraId="74BCCA1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1"/>
          <w:sz w:val="24"/>
          <w:szCs w:val="24"/>
          <w:highlight w:val="none"/>
          <w:lang w:val="en-US" w:eastAsia="zh-CN"/>
        </w:rPr>
        <w:t>截止时间</w:t>
      </w:r>
      <w:r>
        <w:rPr>
          <w:rFonts w:hint="eastAsia" w:ascii="宋体" w:hAnsi="宋体" w:eastAsia="宋体" w:cs="宋体"/>
          <w:spacing w:val="-3"/>
          <w:sz w:val="24"/>
          <w:szCs w:val="24"/>
          <w:highlight w:val="none"/>
          <w:lang w:val="en-US" w:eastAsia="zh-CN"/>
        </w:rPr>
        <w:t>：2025年07月28日09点30分（北京时间）</w:t>
      </w:r>
    </w:p>
    <w:p w14:paraId="69ABF2E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1"/>
          <w:sz w:val="24"/>
          <w:szCs w:val="24"/>
          <w:highlight w:val="none"/>
          <w:lang w:val="en-US" w:eastAsia="zh-CN"/>
        </w:rPr>
        <w:t>地点：</w:t>
      </w:r>
      <w:r>
        <w:rPr>
          <w:rFonts w:hint="eastAsia" w:ascii="宋体" w:hAnsi="宋体" w:eastAsia="宋体" w:cs="宋体"/>
          <w:spacing w:val="-3"/>
          <w:sz w:val="24"/>
          <w:szCs w:val="24"/>
          <w:highlight w:val="none"/>
          <w:lang w:val="zh-CN" w:eastAsia="zh-CN"/>
        </w:rPr>
        <w:t>铜陵华诚工程咨询有限公司</w:t>
      </w:r>
      <w:r>
        <w:rPr>
          <w:rFonts w:hint="eastAsia" w:ascii="宋体" w:hAnsi="宋体" w:eastAsia="宋体" w:cs="宋体"/>
          <w:spacing w:val="-3"/>
          <w:sz w:val="24"/>
          <w:szCs w:val="24"/>
          <w:highlight w:val="none"/>
          <w:lang w:val="en-US" w:eastAsia="zh-CN"/>
        </w:rPr>
        <w:t>506开标</w:t>
      </w:r>
      <w:r>
        <w:rPr>
          <w:rFonts w:hint="eastAsia" w:ascii="宋体" w:hAnsi="宋体" w:eastAsia="宋体" w:cs="宋体"/>
          <w:spacing w:val="-3"/>
          <w:sz w:val="24"/>
          <w:szCs w:val="24"/>
          <w:highlight w:val="none"/>
          <w:lang w:val="zh-CN" w:eastAsia="zh-CN"/>
        </w:rPr>
        <w:t>室</w:t>
      </w:r>
    </w:p>
    <w:p w14:paraId="2029009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五、开启</w:t>
      </w:r>
    </w:p>
    <w:p w14:paraId="368110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3"/>
          <w:sz w:val="24"/>
          <w:szCs w:val="24"/>
          <w:highlight w:val="none"/>
          <w:lang w:val="en-US" w:eastAsia="zh-CN"/>
        </w:rPr>
      </w:pPr>
      <w:r>
        <w:rPr>
          <w:rFonts w:hint="eastAsia" w:ascii="宋体" w:hAnsi="宋体" w:eastAsia="宋体" w:cs="宋体"/>
          <w:spacing w:val="1"/>
          <w:sz w:val="24"/>
          <w:szCs w:val="24"/>
          <w:highlight w:val="none"/>
          <w:lang w:val="en-US" w:eastAsia="zh-CN"/>
        </w:rPr>
        <w:t>时</w:t>
      </w:r>
      <w:r>
        <w:rPr>
          <w:rFonts w:hint="eastAsia" w:ascii="宋体" w:hAnsi="宋体" w:eastAsia="宋体" w:cs="宋体"/>
          <w:spacing w:val="-3"/>
          <w:sz w:val="24"/>
          <w:szCs w:val="24"/>
          <w:highlight w:val="none"/>
          <w:lang w:val="en-US" w:eastAsia="zh-CN"/>
        </w:rPr>
        <w:t>间：2025年07月28日09点30分（北京时间）</w:t>
      </w:r>
    </w:p>
    <w:p w14:paraId="3C51ABF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地点：铜陵华诚工程咨询有限公司506开标室</w:t>
      </w:r>
    </w:p>
    <w:p w14:paraId="50356F9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六、公告期限</w:t>
      </w:r>
    </w:p>
    <w:p w14:paraId="49C53D2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自本公告发布之日起3个工作日。</w:t>
      </w:r>
    </w:p>
    <w:p w14:paraId="3941F83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七、其他补充事宜</w:t>
      </w:r>
    </w:p>
    <w:p w14:paraId="15237B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本次竞争性磋商邀请在全国公共资源交易平台（安徽 铜陵）网站--非进场交易栏上发布。</w:t>
      </w:r>
    </w:p>
    <w:p w14:paraId="49D4EC9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八、凡对本次采购提出询问，请按以下方式联系</w:t>
      </w:r>
    </w:p>
    <w:p w14:paraId="1338F02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1.采购人信息</w:t>
      </w:r>
    </w:p>
    <w:p w14:paraId="478F135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名称：铜陵市公共资源交易中心</w:t>
      </w:r>
    </w:p>
    <w:p w14:paraId="29BA9E5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地址：安徽省铜陵市投资大厦（铜井路与铜都大道北段交叉口西北100米）</w:t>
      </w:r>
    </w:p>
    <w:p w14:paraId="519D25E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联系方式：0562-5885818</w:t>
      </w:r>
    </w:p>
    <w:p w14:paraId="2F58A7E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2.采购代理机构信息</w:t>
      </w:r>
    </w:p>
    <w:p w14:paraId="61CB6C1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名称：铜陵华诚工程咨询有限公司</w:t>
      </w:r>
    </w:p>
    <w:p w14:paraId="2482AA9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地址：铜陵市铜井路西段658号</w:t>
      </w:r>
    </w:p>
    <w:p w14:paraId="29D259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联系方式：0562-2825819</w:t>
      </w:r>
    </w:p>
    <w:p w14:paraId="42F143D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3.项目联系方式</w:t>
      </w:r>
    </w:p>
    <w:p w14:paraId="1A6AC5C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项目联系人：古女士</w:t>
      </w:r>
    </w:p>
    <w:p w14:paraId="22E7E56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1"/>
          <w:sz w:val="24"/>
          <w:szCs w:val="24"/>
          <w:highlight w:val="none"/>
          <w:lang w:val="en-US" w:eastAsia="zh-CN"/>
        </w:rPr>
        <w:t>电话：</w:t>
      </w:r>
      <w:r>
        <w:rPr>
          <w:rFonts w:hint="eastAsia" w:ascii="宋体" w:hAnsi="宋体" w:eastAsia="宋体" w:cs="宋体"/>
          <w:kern w:val="0"/>
          <w:sz w:val="24"/>
          <w:szCs w:val="24"/>
          <w:highlight w:val="none"/>
          <w:lang w:val="en-US" w:eastAsia="zh-CN"/>
        </w:rPr>
        <w:t>0562-2825819</w:t>
      </w:r>
    </w:p>
    <w:p w14:paraId="1411528D">
      <w:pPr>
        <w:pageBreakBefore w:val="0"/>
        <w:kinsoku/>
        <w:wordWrap/>
        <w:overflowPunct w:val="0"/>
        <w:topLinePunct w:val="0"/>
        <w:bidi w:val="0"/>
        <w:spacing w:line="349" w:lineRule="auto"/>
        <w:rPr>
          <w:rFonts w:hint="eastAsia" w:ascii="宋体" w:hAnsi="宋体" w:eastAsia="宋体" w:cs="宋体"/>
          <w:highlight w:val="none"/>
          <w:lang w:eastAsia="zh-CN"/>
        </w:rPr>
      </w:pPr>
    </w:p>
    <w:p w14:paraId="7DC2FB5C">
      <w:pPr>
        <w:pageBreakBefore w:val="0"/>
        <w:kinsoku/>
        <w:wordWrap/>
        <w:overflowPunct w:val="0"/>
        <w:topLinePunct w:val="0"/>
        <w:bidi w:val="0"/>
        <w:spacing w:line="349" w:lineRule="auto"/>
        <w:rPr>
          <w:rFonts w:hint="eastAsia" w:ascii="宋体" w:hAnsi="宋体" w:eastAsia="宋体" w:cs="宋体"/>
          <w:highlight w:val="none"/>
          <w:lang w:eastAsia="zh-CN"/>
        </w:rPr>
      </w:pPr>
    </w:p>
    <w:p w14:paraId="54F88AFE">
      <w:pPr>
        <w:pageBreakBefore w:val="0"/>
        <w:kinsoku/>
        <w:wordWrap/>
        <w:overflowPunct w:val="0"/>
        <w:topLinePunct w:val="0"/>
        <w:bidi w:val="0"/>
        <w:spacing w:line="349" w:lineRule="auto"/>
        <w:rPr>
          <w:rFonts w:hint="eastAsia" w:ascii="宋体" w:hAnsi="宋体" w:eastAsia="宋体" w:cs="宋体"/>
          <w:highlight w:val="none"/>
          <w:lang w:eastAsia="zh-CN"/>
        </w:rPr>
      </w:pPr>
    </w:p>
    <w:p w14:paraId="0F84EEAB">
      <w:pPr>
        <w:pStyle w:val="8"/>
        <w:pageBreakBefore w:val="0"/>
        <w:kinsoku/>
        <w:wordWrap/>
        <w:overflowPunct w:val="0"/>
        <w:topLinePunct w:val="0"/>
        <w:bidi w:val="0"/>
        <w:spacing w:before="91" w:line="219" w:lineRule="auto"/>
        <w:jc w:val="center"/>
        <w:outlineLvl w:val="1"/>
        <w:rPr>
          <w:rFonts w:hint="eastAsia" w:ascii="宋体" w:hAnsi="宋体" w:eastAsia="宋体" w:cs="宋体"/>
          <w:highlight w:val="none"/>
          <w:lang w:eastAsia="zh-CN"/>
        </w:rPr>
      </w:pPr>
      <w:r>
        <w:rPr>
          <w:rFonts w:hint="eastAsia" w:ascii="宋体" w:hAnsi="宋体" w:eastAsia="宋体" w:cs="宋体"/>
          <w:highlight w:val="none"/>
          <w:lang w:eastAsia="zh-CN"/>
        </w:rPr>
        <w:t>第二章</w:t>
      </w:r>
      <w:r>
        <w:rPr>
          <w:rFonts w:hint="eastAsia" w:ascii="宋体" w:hAnsi="宋体" w:eastAsia="宋体" w:cs="宋体"/>
          <w:highlight w:val="none"/>
          <w:lang w:val="en-US" w:eastAsia="zh-CN"/>
        </w:rPr>
        <w:t xml:space="preserve"> </w:t>
      </w:r>
      <w:r>
        <w:rPr>
          <w:rFonts w:hint="eastAsia" w:cs="宋体"/>
          <w:highlight w:val="none"/>
          <w:lang w:val="en-US" w:eastAsia="zh-CN"/>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供应商须知</w:t>
      </w:r>
    </w:p>
    <w:p w14:paraId="09054DDF">
      <w:pPr>
        <w:pStyle w:val="8"/>
        <w:pageBreakBefore w:val="0"/>
        <w:kinsoku/>
        <w:wordWrap/>
        <w:overflowPunct w:val="0"/>
        <w:topLinePunct w:val="0"/>
        <w:bidi w:val="0"/>
        <w:spacing w:before="91" w:line="219" w:lineRule="auto"/>
        <w:jc w:val="center"/>
        <w:outlineLvl w:val="1"/>
        <w:rPr>
          <w:rFonts w:hint="eastAsia" w:ascii="宋体" w:hAnsi="宋体" w:eastAsia="宋体" w:cs="宋体"/>
          <w:highlight w:val="none"/>
          <w:lang w:eastAsia="zh-CN"/>
        </w:rPr>
      </w:pPr>
      <w:r>
        <w:rPr>
          <w:rFonts w:hint="eastAsia" w:ascii="宋体" w:hAnsi="宋体" w:eastAsia="宋体" w:cs="宋体"/>
          <w:highlight w:val="none"/>
          <w:lang w:eastAsia="zh-CN"/>
        </w:rPr>
        <w:t>供应商须知前附表</w:t>
      </w:r>
    </w:p>
    <w:p w14:paraId="28DE8C36">
      <w:pPr>
        <w:pageBreakBefore w:val="0"/>
        <w:kinsoku/>
        <w:wordWrap/>
        <w:overflowPunct w:val="0"/>
        <w:topLinePunct w:val="0"/>
        <w:bidi w:val="0"/>
        <w:spacing w:line="119" w:lineRule="exact"/>
        <w:rPr>
          <w:rFonts w:hint="eastAsia" w:ascii="宋体" w:hAnsi="宋体" w:eastAsia="宋体" w:cs="宋体"/>
          <w:highlight w:val="none"/>
          <w:lang w:eastAsia="zh-CN"/>
        </w:rPr>
      </w:pPr>
    </w:p>
    <w:tbl>
      <w:tblPr>
        <w:tblStyle w:val="26"/>
        <w:tblW w:w="10005" w:type="dxa"/>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2496"/>
        <w:gridCol w:w="6684"/>
      </w:tblGrid>
      <w:tr w14:paraId="0624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top w:val="single" w:color="000000" w:sz="10" w:space="0"/>
              <w:left w:val="single" w:color="000000" w:sz="10" w:space="0"/>
            </w:tcBorders>
            <w:vAlign w:val="center"/>
          </w:tcPr>
          <w:p w14:paraId="57339735">
            <w:pPr>
              <w:pStyle w:val="27"/>
              <w:pageBreakBefore w:val="0"/>
              <w:kinsoku/>
              <w:wordWrap/>
              <w:overflowPunct w:val="0"/>
              <w:topLinePunct w:val="0"/>
              <w:bidi w:val="0"/>
              <w:spacing w:before="37" w:line="360" w:lineRule="auto"/>
              <w:ind w:left="149"/>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2496" w:type="dxa"/>
            <w:tcBorders>
              <w:top w:val="single" w:color="000000" w:sz="10" w:space="0"/>
            </w:tcBorders>
          </w:tcPr>
          <w:p w14:paraId="4A9418A4">
            <w:pPr>
              <w:pStyle w:val="27"/>
              <w:pageBreakBefore w:val="0"/>
              <w:kinsoku/>
              <w:wordWrap/>
              <w:overflowPunct w:val="0"/>
              <w:topLinePunct w:val="0"/>
              <w:bidi w:val="0"/>
              <w:spacing w:before="37" w:line="360" w:lineRule="auto"/>
              <w:ind w:left="78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条款名称</w:t>
            </w:r>
          </w:p>
        </w:tc>
        <w:tc>
          <w:tcPr>
            <w:tcW w:w="6684" w:type="dxa"/>
            <w:tcBorders>
              <w:top w:val="single" w:color="000000" w:sz="10" w:space="0"/>
              <w:right w:val="single" w:color="000000" w:sz="10" w:space="0"/>
            </w:tcBorders>
          </w:tcPr>
          <w:p w14:paraId="621D8E8B">
            <w:pPr>
              <w:pStyle w:val="27"/>
              <w:pageBreakBefore w:val="0"/>
              <w:kinsoku/>
              <w:wordWrap/>
              <w:overflowPunct w:val="0"/>
              <w:topLinePunct w:val="0"/>
              <w:bidi w:val="0"/>
              <w:spacing w:before="37" w:line="360" w:lineRule="auto"/>
              <w:ind w:left="266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说明和要求</w:t>
            </w:r>
          </w:p>
        </w:tc>
      </w:tr>
      <w:tr w14:paraId="40A2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6872E420">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w:t>
            </w:r>
          </w:p>
        </w:tc>
        <w:tc>
          <w:tcPr>
            <w:tcW w:w="2496" w:type="dxa"/>
          </w:tcPr>
          <w:p w14:paraId="60B21245">
            <w:pPr>
              <w:pStyle w:val="27"/>
              <w:pageBreakBefore w:val="0"/>
              <w:kinsoku/>
              <w:wordWrap/>
              <w:overflowPunct w:val="0"/>
              <w:topLinePunct w:val="0"/>
              <w:bidi w:val="0"/>
              <w:spacing w:before="44" w:line="360" w:lineRule="auto"/>
              <w:jc w:val="both"/>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最高限价</w:t>
            </w:r>
          </w:p>
        </w:tc>
        <w:tc>
          <w:tcPr>
            <w:tcW w:w="6684" w:type="dxa"/>
            <w:tcBorders>
              <w:right w:val="single" w:color="000000" w:sz="10" w:space="0"/>
            </w:tcBorders>
          </w:tcPr>
          <w:p w14:paraId="090165CB">
            <w:pPr>
              <w:pStyle w:val="27"/>
              <w:pageBreakBefore w:val="0"/>
              <w:kinsoku/>
              <w:wordWrap/>
              <w:overflowPunct w:val="0"/>
              <w:topLinePunct w:val="0"/>
              <w:bidi w:val="0"/>
              <w:spacing w:before="44" w:line="360" w:lineRule="auto"/>
              <w:jc w:val="both"/>
              <w:rPr>
                <w:rFonts w:hint="eastAsia" w:ascii="宋体" w:hAnsi="宋体" w:eastAsia="宋体" w:cs="宋体"/>
                <w:spacing w:val="-2"/>
                <w:sz w:val="24"/>
                <w:szCs w:val="24"/>
                <w:highlight w:val="none"/>
                <w:lang w:val="en-US" w:eastAsia="zh-CN"/>
              </w:rPr>
            </w:pPr>
            <w:r>
              <w:rPr>
                <w:rFonts w:hint="eastAsia" w:cs="宋体"/>
                <w:spacing w:val="-2"/>
                <w:sz w:val="24"/>
                <w:szCs w:val="24"/>
                <w:highlight w:val="none"/>
                <w:lang w:val="en-US" w:eastAsia="zh-CN"/>
              </w:rPr>
              <w:t>584218.74</w:t>
            </w:r>
            <w:r>
              <w:rPr>
                <w:rFonts w:hint="eastAsia" w:ascii="宋体" w:hAnsi="宋体" w:eastAsia="宋体" w:cs="宋体"/>
                <w:spacing w:val="-2"/>
                <w:sz w:val="24"/>
                <w:szCs w:val="24"/>
                <w:highlight w:val="none"/>
                <w:lang w:val="en-US" w:eastAsia="zh-CN"/>
              </w:rPr>
              <w:t>元</w:t>
            </w:r>
          </w:p>
        </w:tc>
      </w:tr>
      <w:tr w14:paraId="6DE98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7C195C56">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w:t>
            </w:r>
          </w:p>
        </w:tc>
        <w:tc>
          <w:tcPr>
            <w:tcW w:w="2496" w:type="dxa"/>
          </w:tcPr>
          <w:p w14:paraId="5F43374A">
            <w:pPr>
              <w:pStyle w:val="27"/>
              <w:pageBreakBefore w:val="0"/>
              <w:kinsoku/>
              <w:wordWrap/>
              <w:overflowPunct w:val="0"/>
              <w:topLinePunct w:val="0"/>
              <w:bidi w:val="0"/>
              <w:spacing w:before="36" w:line="36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供应商资格要求</w:t>
            </w:r>
          </w:p>
        </w:tc>
        <w:tc>
          <w:tcPr>
            <w:tcW w:w="6684" w:type="dxa"/>
            <w:tcBorders>
              <w:right w:val="single" w:color="000000" w:sz="10" w:space="0"/>
            </w:tcBorders>
          </w:tcPr>
          <w:p w14:paraId="2D4B7ED9">
            <w:pPr>
              <w:pStyle w:val="27"/>
              <w:pageBreakBefore w:val="0"/>
              <w:kinsoku/>
              <w:wordWrap/>
              <w:overflowPunct w:val="0"/>
              <w:topLinePunct w:val="0"/>
              <w:bidi w:val="0"/>
              <w:spacing w:before="36" w:line="360" w:lineRule="auto"/>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eastAsia="zh-CN"/>
              </w:rPr>
              <w:t>见磋商邀请</w:t>
            </w:r>
          </w:p>
        </w:tc>
      </w:tr>
      <w:tr w14:paraId="6F7A6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5" w:type="dxa"/>
            <w:tcBorders>
              <w:left w:val="single" w:color="000000" w:sz="10" w:space="0"/>
            </w:tcBorders>
            <w:vAlign w:val="center"/>
          </w:tcPr>
          <w:p w14:paraId="758DF677">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w:t>
            </w:r>
          </w:p>
        </w:tc>
        <w:tc>
          <w:tcPr>
            <w:tcW w:w="2496" w:type="dxa"/>
            <w:vAlign w:val="center"/>
          </w:tcPr>
          <w:p w14:paraId="1BCCA2B5">
            <w:pPr>
              <w:pStyle w:val="27"/>
              <w:pageBreakBefore w:val="0"/>
              <w:kinsoku/>
              <w:wordWrap/>
              <w:overflowPunct w:val="0"/>
              <w:topLinePunct w:val="0"/>
              <w:bidi w:val="0"/>
              <w:spacing w:before="36" w:line="36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项目属性</w:t>
            </w:r>
          </w:p>
        </w:tc>
        <w:tc>
          <w:tcPr>
            <w:tcW w:w="6684" w:type="dxa"/>
            <w:tcBorders>
              <w:right w:val="single" w:color="000000" w:sz="10" w:space="0"/>
            </w:tcBorders>
            <w:vAlign w:val="center"/>
          </w:tcPr>
          <w:p w14:paraId="1423BBF9">
            <w:pPr>
              <w:pStyle w:val="27"/>
              <w:pageBreakBefore w:val="0"/>
              <w:kinsoku/>
              <w:wordWrap/>
              <w:overflowPunct w:val="0"/>
              <w:topLinePunct w:val="0"/>
              <w:bidi w:val="0"/>
              <w:spacing w:before="36" w:line="360"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项目属性：工程</w:t>
            </w:r>
          </w:p>
        </w:tc>
      </w:tr>
      <w:tr w14:paraId="4DA5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7A0AE0ED">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4</w:t>
            </w:r>
          </w:p>
        </w:tc>
        <w:tc>
          <w:tcPr>
            <w:tcW w:w="2496" w:type="dxa"/>
          </w:tcPr>
          <w:p w14:paraId="48109A2C">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采购方式</w:t>
            </w:r>
          </w:p>
        </w:tc>
        <w:tc>
          <w:tcPr>
            <w:tcW w:w="6684" w:type="dxa"/>
            <w:tcBorders>
              <w:right w:val="single" w:color="000000" w:sz="10" w:space="0"/>
            </w:tcBorders>
          </w:tcPr>
          <w:p w14:paraId="423BE24E">
            <w:pPr>
              <w:pStyle w:val="27"/>
              <w:pageBreakBefore w:val="0"/>
              <w:kinsoku/>
              <w:wordWrap/>
              <w:overflowPunct w:val="0"/>
              <w:topLinePunct w:val="0"/>
              <w:bidi w:val="0"/>
              <w:spacing w:before="36" w:line="360"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竞争性磋商</w:t>
            </w:r>
          </w:p>
        </w:tc>
      </w:tr>
      <w:tr w14:paraId="2BB42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66C1A134">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w:t>
            </w:r>
          </w:p>
        </w:tc>
        <w:tc>
          <w:tcPr>
            <w:tcW w:w="2496" w:type="dxa"/>
          </w:tcPr>
          <w:p w14:paraId="042FF13D">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评审方法</w:t>
            </w:r>
          </w:p>
        </w:tc>
        <w:tc>
          <w:tcPr>
            <w:tcW w:w="6684" w:type="dxa"/>
            <w:tcBorders>
              <w:right w:val="single" w:color="000000" w:sz="10" w:space="0"/>
            </w:tcBorders>
          </w:tcPr>
          <w:p w14:paraId="7FDB8D58">
            <w:pPr>
              <w:pStyle w:val="27"/>
              <w:pageBreakBefore w:val="0"/>
              <w:kinsoku/>
              <w:wordWrap/>
              <w:overflowPunct w:val="0"/>
              <w:topLinePunct w:val="0"/>
              <w:bidi w:val="0"/>
              <w:spacing w:before="36" w:line="360"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综合评分法</w:t>
            </w:r>
          </w:p>
        </w:tc>
      </w:tr>
      <w:tr w14:paraId="09F7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16020B6F">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6</w:t>
            </w:r>
          </w:p>
        </w:tc>
        <w:tc>
          <w:tcPr>
            <w:tcW w:w="2496" w:type="dxa"/>
            <w:vAlign w:val="center"/>
          </w:tcPr>
          <w:p w14:paraId="0BAF6F3C">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是否接受联合体磋商响应</w:t>
            </w:r>
          </w:p>
        </w:tc>
        <w:tc>
          <w:tcPr>
            <w:tcW w:w="6684" w:type="dxa"/>
            <w:tcBorders>
              <w:right w:val="single" w:color="000000" w:sz="10" w:space="0"/>
            </w:tcBorders>
            <w:vAlign w:val="center"/>
          </w:tcPr>
          <w:p w14:paraId="4CAFC77B">
            <w:pPr>
              <w:pStyle w:val="27"/>
              <w:pageBreakBefore w:val="0"/>
              <w:kinsoku/>
              <w:wordWrap/>
              <w:overflowPunct w:val="0"/>
              <w:topLinePunct w:val="0"/>
              <w:bidi w:val="0"/>
              <w:spacing w:before="36" w:line="360" w:lineRule="auto"/>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不接受</w:t>
            </w:r>
          </w:p>
        </w:tc>
      </w:tr>
      <w:tr w14:paraId="41F9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4827FC02">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7</w:t>
            </w:r>
          </w:p>
        </w:tc>
        <w:tc>
          <w:tcPr>
            <w:tcW w:w="2496" w:type="dxa"/>
            <w:vAlign w:val="center"/>
          </w:tcPr>
          <w:p w14:paraId="2237354D">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对磋商文件质疑的提出</w:t>
            </w:r>
          </w:p>
        </w:tc>
        <w:tc>
          <w:tcPr>
            <w:tcW w:w="6684" w:type="dxa"/>
            <w:tcBorders>
              <w:right w:val="single" w:color="000000" w:sz="10" w:space="0"/>
            </w:tcBorders>
            <w:vAlign w:val="center"/>
          </w:tcPr>
          <w:p w14:paraId="1E483B37">
            <w:pPr>
              <w:pStyle w:val="27"/>
              <w:pageBreakBefore w:val="0"/>
              <w:kinsoku/>
              <w:wordWrap/>
              <w:overflowPunct w:val="0"/>
              <w:topLinePunct w:val="0"/>
              <w:bidi w:val="0"/>
              <w:spacing w:before="36" w:line="360" w:lineRule="auto"/>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知道或者应知其权益受到损害之日起7个工作日内</w:t>
            </w:r>
          </w:p>
        </w:tc>
      </w:tr>
      <w:tr w14:paraId="1065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43C0215C">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w:t>
            </w:r>
          </w:p>
        </w:tc>
        <w:tc>
          <w:tcPr>
            <w:tcW w:w="2496" w:type="dxa"/>
            <w:vAlign w:val="center"/>
          </w:tcPr>
          <w:p w14:paraId="771DE4B1">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是否接受分包履约</w:t>
            </w:r>
          </w:p>
        </w:tc>
        <w:tc>
          <w:tcPr>
            <w:tcW w:w="6684" w:type="dxa"/>
            <w:tcBorders>
              <w:right w:val="single" w:color="000000" w:sz="10" w:space="0"/>
            </w:tcBorders>
            <w:vAlign w:val="center"/>
          </w:tcPr>
          <w:p w14:paraId="620B35D4">
            <w:pPr>
              <w:pStyle w:val="27"/>
              <w:pageBreakBefore w:val="0"/>
              <w:kinsoku/>
              <w:wordWrap/>
              <w:overflowPunct w:val="0"/>
              <w:topLinePunct w:val="0"/>
              <w:bidi w:val="0"/>
              <w:spacing w:before="36" w:line="360" w:lineRule="auto"/>
              <w:jc w:val="both"/>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eastAsia="zh-CN"/>
              </w:rPr>
              <w:t>本项目的非主体、非关键性工作是否允许分包：</w:t>
            </w:r>
            <w:r>
              <w:rPr>
                <w:rFonts w:hint="eastAsia" w:ascii="宋体" w:hAnsi="宋体" w:eastAsia="宋体" w:cs="宋体"/>
                <w:spacing w:val="-2"/>
                <w:sz w:val="24"/>
                <w:szCs w:val="24"/>
                <w:highlight w:val="none"/>
                <w:lang w:val="en-US" w:eastAsia="zh-CN"/>
              </w:rPr>
              <w:t>不允许</w:t>
            </w:r>
          </w:p>
        </w:tc>
      </w:tr>
      <w:tr w14:paraId="2294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464A2EA1">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9</w:t>
            </w:r>
          </w:p>
        </w:tc>
        <w:tc>
          <w:tcPr>
            <w:tcW w:w="2496" w:type="dxa"/>
          </w:tcPr>
          <w:p w14:paraId="38DC6F42">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标段划分</w:t>
            </w:r>
          </w:p>
        </w:tc>
        <w:tc>
          <w:tcPr>
            <w:tcW w:w="6684" w:type="dxa"/>
            <w:tcBorders>
              <w:right w:val="single" w:color="000000" w:sz="10" w:space="0"/>
            </w:tcBorders>
          </w:tcPr>
          <w:p w14:paraId="28D4A079">
            <w:pPr>
              <w:pStyle w:val="27"/>
              <w:pageBreakBefore w:val="0"/>
              <w:kinsoku/>
              <w:wordWrap/>
              <w:overflowPunct w:val="0"/>
              <w:topLinePunct w:val="0"/>
              <w:bidi w:val="0"/>
              <w:spacing w:before="44" w:line="360" w:lineRule="auto"/>
              <w:ind w:left="11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一个标段</w:t>
            </w:r>
          </w:p>
        </w:tc>
      </w:tr>
      <w:tr w14:paraId="2A4C1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3C93D537">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10</w:t>
            </w:r>
          </w:p>
        </w:tc>
        <w:tc>
          <w:tcPr>
            <w:tcW w:w="2496" w:type="dxa"/>
            <w:vAlign w:val="center"/>
          </w:tcPr>
          <w:p w14:paraId="4339FF27">
            <w:pPr>
              <w:pStyle w:val="27"/>
              <w:pageBreakBefore w:val="0"/>
              <w:kinsoku/>
              <w:wordWrap/>
              <w:overflowPunct w:val="0"/>
              <w:topLinePunct w:val="0"/>
              <w:bidi w:val="0"/>
              <w:spacing w:before="44" w:line="360" w:lineRule="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eastAsia="zh-CN"/>
              </w:rPr>
              <w:t>成交候选供应商的</w:t>
            </w:r>
            <w:r>
              <w:rPr>
                <w:rFonts w:hint="eastAsia" w:ascii="宋体" w:hAnsi="宋体" w:eastAsia="宋体" w:cs="宋体"/>
                <w:spacing w:val="-2"/>
                <w:sz w:val="24"/>
                <w:szCs w:val="24"/>
                <w:highlight w:val="none"/>
                <w:lang w:val="en-US" w:eastAsia="zh-CN"/>
              </w:rPr>
              <w:t>推荐</w:t>
            </w:r>
          </w:p>
        </w:tc>
        <w:tc>
          <w:tcPr>
            <w:tcW w:w="6684" w:type="dxa"/>
            <w:tcBorders>
              <w:right w:val="single" w:color="000000" w:sz="10" w:space="0"/>
            </w:tcBorders>
            <w:vAlign w:val="center"/>
          </w:tcPr>
          <w:p w14:paraId="55337363">
            <w:pPr>
              <w:pStyle w:val="27"/>
              <w:pageBreakBefore w:val="0"/>
              <w:kinsoku/>
              <w:wordWrap/>
              <w:overflowPunct w:val="0"/>
              <w:topLinePunct w:val="0"/>
              <w:bidi w:val="0"/>
              <w:spacing w:before="47" w:line="360" w:lineRule="auto"/>
              <w:ind w:left="111" w:right="99"/>
              <w:jc w:val="both"/>
              <w:rPr>
                <w:rFonts w:hint="eastAsia" w:ascii="宋体" w:hAnsi="宋体" w:eastAsia="宋体" w:cs="宋体"/>
                <w:sz w:val="24"/>
                <w:szCs w:val="24"/>
                <w:highlight w:val="none"/>
                <w:lang w:eastAsia="zh-CN"/>
              </w:rPr>
            </w:pPr>
            <w:r>
              <w:rPr>
                <w:rFonts w:hint="eastAsia" w:ascii="宋体" w:hAnsi="宋体" w:eastAsia="宋体" w:cs="宋体"/>
                <w:bCs/>
                <w:color w:val="auto"/>
                <w:sz w:val="24"/>
                <w:szCs w:val="24"/>
                <w:highlight w:val="none"/>
                <w:lang w:val="en-US" w:eastAsia="zh-CN" w:bidi="ar-SA"/>
              </w:rPr>
              <w:t>磋商小组应当根据综合评分情况，按照评审得分由高到低顺序推荐3名成交候选供应商，并编写评审报告。评审得分相同的，按照最后报价由低到高的顺序推荐。评审得分且最后报价相同的，由磋商小组进行随机抽取。</w:t>
            </w:r>
          </w:p>
        </w:tc>
      </w:tr>
      <w:tr w14:paraId="4F92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0BD4360A">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11</w:t>
            </w:r>
          </w:p>
        </w:tc>
        <w:tc>
          <w:tcPr>
            <w:tcW w:w="2496" w:type="dxa"/>
            <w:vAlign w:val="center"/>
          </w:tcPr>
          <w:p w14:paraId="2B365C46">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确定成交供应商</w:t>
            </w:r>
          </w:p>
        </w:tc>
        <w:tc>
          <w:tcPr>
            <w:tcW w:w="6684" w:type="dxa"/>
            <w:tcBorders>
              <w:right w:val="single" w:color="000000" w:sz="10" w:space="0"/>
            </w:tcBorders>
            <w:vAlign w:val="center"/>
          </w:tcPr>
          <w:p w14:paraId="721C94EC">
            <w:pPr>
              <w:widowControl/>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 w:val="0"/>
                <w:color w:val="auto"/>
                <w:sz w:val="24"/>
                <w:szCs w:val="24"/>
                <w:highlight w:val="none"/>
              </w:rPr>
              <w:t>确定成交供应商：</w:t>
            </w:r>
            <w:r>
              <w:rPr>
                <w:rFonts w:hint="eastAsia" w:ascii="宋体" w:hAnsi="宋体" w:eastAsia="宋体" w:cs="宋体"/>
                <w:b w:val="0"/>
                <w:bCs/>
                <w:color w:val="auto"/>
                <w:sz w:val="24"/>
                <w:szCs w:val="24"/>
                <w:highlight w:val="none"/>
              </w:rPr>
              <w:sym w:font="Wingdings" w:char="00FE"/>
            </w:r>
            <w:r>
              <w:rPr>
                <w:rFonts w:hint="eastAsia" w:ascii="宋体" w:hAnsi="宋体" w:eastAsia="宋体" w:cs="宋体"/>
                <w:b w:val="0"/>
                <w:color w:val="auto"/>
                <w:sz w:val="24"/>
                <w:szCs w:val="24"/>
                <w:highlight w:val="none"/>
              </w:rPr>
              <w:t>采购人委托磋商小组确定  □采购人确定</w:t>
            </w:r>
          </w:p>
        </w:tc>
      </w:tr>
      <w:tr w14:paraId="2647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3F6F7FDE">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12</w:t>
            </w:r>
          </w:p>
        </w:tc>
        <w:tc>
          <w:tcPr>
            <w:tcW w:w="2496" w:type="dxa"/>
            <w:vAlign w:val="center"/>
          </w:tcPr>
          <w:p w14:paraId="2A402A39">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随成交结果公告同时公告的成交供应商的响应文件内容</w:t>
            </w:r>
          </w:p>
        </w:tc>
        <w:tc>
          <w:tcPr>
            <w:tcW w:w="6684" w:type="dxa"/>
            <w:tcBorders>
              <w:right w:val="single" w:color="000000" w:sz="10" w:space="0"/>
            </w:tcBorders>
            <w:vAlign w:val="center"/>
          </w:tcPr>
          <w:p w14:paraId="6425B4EA">
            <w:pPr>
              <w:pageBreakBefore w:val="0"/>
              <w:widowControl w:val="0"/>
              <w:kinsoku/>
              <w:wordWrap/>
              <w:overflowPunct w:val="0"/>
              <w:topLinePunct w:val="0"/>
              <w:bidi w:val="0"/>
              <w:spacing w:line="360" w:lineRule="auto"/>
              <w:jc w:val="both"/>
              <w:textAlignment w:val="auto"/>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lang w:val="en-US" w:eastAsia="zh-CN" w:bidi="ar-SA"/>
              </w:rPr>
              <w:t>（1）业绩一览表；（如有）</w:t>
            </w:r>
          </w:p>
          <w:p w14:paraId="2FE1B176">
            <w:pPr>
              <w:pageBreakBefore w:val="0"/>
              <w:widowControl w:val="0"/>
              <w:kinsoku/>
              <w:wordWrap/>
              <w:overflowPunct w:val="0"/>
              <w:topLinePunct w:val="0"/>
              <w:bidi w:val="0"/>
              <w:spacing w:line="360" w:lineRule="auto"/>
              <w:jc w:val="both"/>
              <w:textAlignment w:val="auto"/>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lang w:val="en-US" w:eastAsia="zh-CN" w:bidi="ar-SA"/>
              </w:rPr>
              <w:t>（2）中小企业声明函；（如有）</w:t>
            </w:r>
          </w:p>
          <w:p w14:paraId="38080BD7">
            <w:pPr>
              <w:pageBreakBefore w:val="0"/>
              <w:widowControl w:val="0"/>
              <w:kinsoku/>
              <w:wordWrap/>
              <w:overflowPunct w:val="0"/>
              <w:topLinePunct w:val="0"/>
              <w:bidi w:val="0"/>
              <w:spacing w:line="360" w:lineRule="auto"/>
              <w:jc w:val="both"/>
              <w:textAlignment w:val="auto"/>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lang w:val="en-US" w:eastAsia="zh-CN" w:bidi="ar-SA"/>
              </w:rPr>
              <w:t>（3）主要标的一览表；</w:t>
            </w:r>
          </w:p>
          <w:p w14:paraId="7548A09F">
            <w:pPr>
              <w:pageBreakBefore w:val="0"/>
              <w:widowControl w:val="0"/>
              <w:kinsoku/>
              <w:wordWrap/>
              <w:overflowPunct w:val="0"/>
              <w:topLinePunct w:val="0"/>
              <w:bidi w:val="0"/>
              <w:spacing w:line="360" w:lineRule="auto"/>
              <w:jc w:val="both"/>
              <w:textAlignment w:val="auto"/>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lang w:val="en-US" w:eastAsia="zh-CN" w:bidi="ar-SA"/>
              </w:rPr>
              <w:t>（4）成交供应商评审总得分表；</w:t>
            </w:r>
          </w:p>
          <w:p w14:paraId="083A518A">
            <w:pPr>
              <w:pageBreakBefore w:val="0"/>
              <w:widowControl w:val="0"/>
              <w:kinsoku/>
              <w:wordWrap/>
              <w:overflowPunct w:val="0"/>
              <w:topLinePunct w:val="0"/>
              <w:bidi w:val="0"/>
              <w:spacing w:line="360" w:lineRule="auto"/>
              <w:jc w:val="both"/>
              <w:textAlignment w:val="auto"/>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lang w:val="en-US" w:eastAsia="zh-CN" w:bidi="ar-SA"/>
              </w:rPr>
              <w:t>（5）竞争性磋商文件中规定进行公示的其他内容。（如有）</w:t>
            </w:r>
          </w:p>
        </w:tc>
      </w:tr>
      <w:tr w14:paraId="03381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7EBFD3A5">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13</w:t>
            </w:r>
          </w:p>
        </w:tc>
        <w:tc>
          <w:tcPr>
            <w:tcW w:w="2496" w:type="dxa"/>
            <w:vAlign w:val="center"/>
          </w:tcPr>
          <w:p w14:paraId="54C21D5F">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磋商响应保证金</w:t>
            </w:r>
          </w:p>
        </w:tc>
        <w:tc>
          <w:tcPr>
            <w:tcW w:w="6684" w:type="dxa"/>
            <w:tcBorders>
              <w:right w:val="single" w:color="000000" w:sz="10" w:space="0"/>
            </w:tcBorders>
            <w:vAlign w:val="center"/>
          </w:tcPr>
          <w:p w14:paraId="5A5E895F">
            <w:pPr>
              <w:pageBreakBefore w:val="0"/>
              <w:widowControl w:val="0"/>
              <w:kinsoku/>
              <w:wordWrap/>
              <w:overflowPunct w:val="0"/>
              <w:topLinePunct w:val="0"/>
              <w:bidi w:val="0"/>
              <w:spacing w:line="360" w:lineRule="auto"/>
              <w:jc w:val="both"/>
              <w:textAlignment w:val="auto"/>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lang w:val="en-US" w:eastAsia="zh-CN" w:bidi="ar-SA"/>
              </w:rPr>
              <w:t>免收</w:t>
            </w:r>
          </w:p>
        </w:tc>
      </w:tr>
      <w:tr w14:paraId="2463E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bottom w:val="single" w:color="000000" w:sz="10" w:space="0"/>
            </w:tcBorders>
            <w:vAlign w:val="center"/>
          </w:tcPr>
          <w:p w14:paraId="7DE5F1A8">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14</w:t>
            </w:r>
          </w:p>
        </w:tc>
        <w:tc>
          <w:tcPr>
            <w:tcW w:w="2496" w:type="dxa"/>
            <w:tcBorders>
              <w:bottom w:val="single" w:color="000000" w:sz="10" w:space="0"/>
            </w:tcBorders>
            <w:vAlign w:val="center"/>
          </w:tcPr>
          <w:p w14:paraId="62F5823A">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履约保证金</w:t>
            </w:r>
          </w:p>
        </w:tc>
        <w:tc>
          <w:tcPr>
            <w:tcW w:w="6684" w:type="dxa"/>
            <w:tcBorders>
              <w:bottom w:val="single" w:color="000000" w:sz="10" w:space="0"/>
              <w:right w:val="single" w:color="000000" w:sz="10" w:space="0"/>
            </w:tcBorders>
            <w:vAlign w:val="center"/>
          </w:tcPr>
          <w:p w14:paraId="2048467E">
            <w:pPr>
              <w:pageBreakBefore w:val="0"/>
              <w:widowControl w:val="0"/>
              <w:kinsoku/>
              <w:wordWrap/>
              <w:overflowPunct w:val="0"/>
              <w:topLinePunct w:val="0"/>
              <w:bidi w:val="0"/>
              <w:spacing w:line="360" w:lineRule="auto"/>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免收</w:t>
            </w:r>
          </w:p>
        </w:tc>
      </w:tr>
      <w:tr w14:paraId="59F5F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45C06A79">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15</w:t>
            </w:r>
          </w:p>
        </w:tc>
        <w:tc>
          <w:tcPr>
            <w:tcW w:w="2496" w:type="dxa"/>
            <w:vAlign w:val="center"/>
          </w:tcPr>
          <w:p w14:paraId="7C31B6B5">
            <w:pPr>
              <w:pStyle w:val="27"/>
              <w:pageBreakBefore w:val="0"/>
              <w:kinsoku/>
              <w:wordWrap/>
              <w:overflowPunct w:val="0"/>
              <w:topLinePunct w:val="0"/>
              <w:bidi w:val="0"/>
              <w:spacing w:before="44" w:line="360" w:lineRule="auto"/>
              <w:jc w:val="both"/>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现场考察</w:t>
            </w:r>
          </w:p>
        </w:tc>
        <w:tc>
          <w:tcPr>
            <w:tcW w:w="6684" w:type="dxa"/>
            <w:tcBorders>
              <w:right w:val="single" w:color="000000" w:sz="10" w:space="0"/>
            </w:tcBorders>
          </w:tcPr>
          <w:p w14:paraId="3292538D">
            <w:pPr>
              <w:pageBreakBefore w:val="0"/>
              <w:kinsoku/>
              <w:wordWrap/>
              <w:overflowPunct w:val="0"/>
              <w:topLinePunct w:val="0"/>
              <w:bidi w:val="0"/>
              <w:spacing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不组织，供应商应自行对供货现场和周围环境进行勘察，以获取编制响应文件和签署合同所需的资料。</w:t>
            </w:r>
          </w:p>
          <w:p w14:paraId="28B1826B">
            <w:pPr>
              <w:pageBreakBefore w:val="0"/>
              <w:kinsoku/>
              <w:wordWrap/>
              <w:overflowPunct w:val="0"/>
              <w:topLinePunct w:val="0"/>
              <w:bidi w:val="0"/>
              <w:spacing w:line="360" w:lineRule="auto"/>
              <w:textAlignment w:val="auto"/>
              <w:rPr>
                <w:rFonts w:hint="default"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eastAsia="zh-CN"/>
              </w:rPr>
              <w:t>勘察现场的地址为：</w:t>
            </w:r>
            <w:r>
              <w:rPr>
                <w:rFonts w:hint="eastAsia" w:ascii="宋体" w:hAnsi="宋体" w:eastAsia="宋体" w:cs="宋体"/>
                <w:color w:val="auto"/>
                <w:kern w:val="2"/>
                <w:sz w:val="24"/>
                <w:szCs w:val="24"/>
                <w:highlight w:val="none"/>
                <w:u w:val="single"/>
                <w:lang w:val="en-US" w:eastAsia="zh-CN"/>
              </w:rPr>
              <w:t>安徽省铜陵市投资大厦（铜井路与铜都大道北段交叉口西北100米）</w:t>
            </w:r>
          </w:p>
          <w:p w14:paraId="6E789632">
            <w:pPr>
              <w:pageBreakBefore w:val="0"/>
              <w:kinsoku/>
              <w:wordWrap/>
              <w:overflowPunct w:val="0"/>
              <w:topLinePunct w:val="0"/>
              <w:bidi w:val="0"/>
              <w:spacing w:line="360" w:lineRule="auto"/>
              <w:textAlignment w:val="auto"/>
              <w:rPr>
                <w:rFonts w:hint="default" w:ascii="宋体" w:hAnsi="宋体" w:eastAsia="宋体" w:cs="宋体"/>
                <w:sz w:val="24"/>
                <w:szCs w:val="24"/>
                <w:highlight w:val="none"/>
                <w:lang w:val="en-US"/>
              </w:rPr>
            </w:pPr>
            <w:r>
              <w:rPr>
                <w:rFonts w:hint="eastAsia" w:ascii="宋体" w:hAnsi="宋体" w:eastAsia="宋体" w:cs="宋体"/>
                <w:color w:val="auto"/>
                <w:kern w:val="2"/>
                <w:sz w:val="24"/>
                <w:szCs w:val="24"/>
                <w:highlight w:val="none"/>
                <w:lang w:eastAsia="zh-CN"/>
              </w:rPr>
              <w:t>联系人及联系方式：</w:t>
            </w:r>
            <w:r>
              <w:rPr>
                <w:rFonts w:hint="eastAsia" w:ascii="宋体" w:hAnsi="宋体" w:eastAsia="宋体" w:cs="宋体"/>
                <w:color w:val="auto"/>
                <w:kern w:val="2"/>
                <w:sz w:val="24"/>
                <w:szCs w:val="24"/>
                <w:highlight w:val="none"/>
                <w:u w:val="single"/>
                <w:lang w:val="en-US" w:eastAsia="zh-CN"/>
              </w:rPr>
              <w:t>肖先生，0562-5885818</w:t>
            </w:r>
          </w:p>
        </w:tc>
      </w:tr>
      <w:tr w14:paraId="1C5E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3D5A1801">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16</w:t>
            </w:r>
          </w:p>
        </w:tc>
        <w:tc>
          <w:tcPr>
            <w:tcW w:w="2496" w:type="dxa"/>
            <w:vAlign w:val="center"/>
          </w:tcPr>
          <w:p w14:paraId="1B545230">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zh-CN" w:eastAsia="zh-CN"/>
              </w:rPr>
            </w:pPr>
            <w:r>
              <w:rPr>
                <w:rFonts w:hint="eastAsia" w:ascii="宋体" w:hAnsi="宋体" w:eastAsia="宋体" w:cs="宋体"/>
                <w:spacing w:val="-2"/>
                <w:sz w:val="24"/>
                <w:szCs w:val="24"/>
                <w:highlight w:val="none"/>
                <w:lang w:val="zh-CN" w:eastAsia="zh-CN"/>
              </w:rPr>
              <w:t>磋商前答疑会</w:t>
            </w:r>
          </w:p>
        </w:tc>
        <w:tc>
          <w:tcPr>
            <w:tcW w:w="6684" w:type="dxa"/>
            <w:tcBorders>
              <w:right w:val="single" w:color="000000" w:sz="10" w:space="0"/>
            </w:tcBorders>
            <w:vAlign w:val="center"/>
          </w:tcPr>
          <w:p w14:paraId="1D7E073B">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zh-CN" w:eastAsia="zh-CN"/>
              </w:rPr>
            </w:pPr>
            <w:r>
              <w:rPr>
                <w:rFonts w:hint="eastAsia" w:ascii="宋体" w:hAnsi="宋体" w:eastAsia="宋体" w:cs="宋体"/>
                <w:spacing w:val="-2"/>
                <w:sz w:val="24"/>
                <w:szCs w:val="24"/>
                <w:highlight w:val="none"/>
                <w:lang w:val="zh-CN" w:eastAsia="zh-CN"/>
              </w:rPr>
              <w:t>不召开</w:t>
            </w:r>
          </w:p>
        </w:tc>
      </w:tr>
      <w:tr w14:paraId="7557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007EB5DB">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17</w:t>
            </w:r>
          </w:p>
        </w:tc>
        <w:tc>
          <w:tcPr>
            <w:tcW w:w="2496" w:type="dxa"/>
            <w:vAlign w:val="center"/>
          </w:tcPr>
          <w:p w14:paraId="61F108A1">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zh-CN" w:eastAsia="zh-CN"/>
              </w:rPr>
              <w:t>构成竞争性磋商文件的其他文件</w:t>
            </w:r>
          </w:p>
        </w:tc>
        <w:tc>
          <w:tcPr>
            <w:tcW w:w="6684" w:type="dxa"/>
            <w:tcBorders>
              <w:right w:val="single" w:color="000000" w:sz="10" w:space="0"/>
            </w:tcBorders>
            <w:vAlign w:val="center"/>
          </w:tcPr>
          <w:p w14:paraId="732D595F">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zh-CN" w:eastAsia="zh-CN"/>
              </w:rPr>
            </w:pPr>
            <w:r>
              <w:rPr>
                <w:rFonts w:hint="eastAsia" w:ascii="宋体" w:hAnsi="宋体" w:eastAsia="宋体" w:cs="宋体"/>
                <w:spacing w:val="-2"/>
                <w:sz w:val="24"/>
                <w:szCs w:val="24"/>
                <w:highlight w:val="none"/>
                <w:lang w:val="zh-CN" w:eastAsia="zh-CN"/>
              </w:rPr>
              <w:t>竞争性磋商文件的澄清、修改及有关补充通知为竞争性磋商文件的有效组成部分</w:t>
            </w:r>
          </w:p>
        </w:tc>
      </w:tr>
      <w:tr w14:paraId="0398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0A91140D">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18</w:t>
            </w:r>
          </w:p>
        </w:tc>
        <w:tc>
          <w:tcPr>
            <w:tcW w:w="2496" w:type="dxa"/>
            <w:vAlign w:val="center"/>
          </w:tcPr>
          <w:p w14:paraId="24E11C94">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zh-CN" w:eastAsia="zh-CN"/>
              </w:rPr>
            </w:pPr>
            <w:r>
              <w:rPr>
                <w:rFonts w:hint="eastAsia" w:ascii="宋体" w:hAnsi="宋体" w:eastAsia="宋体" w:cs="宋体"/>
                <w:spacing w:val="-2"/>
                <w:sz w:val="24"/>
                <w:szCs w:val="24"/>
                <w:highlight w:val="none"/>
                <w:lang w:val="zh-CN" w:eastAsia="zh-CN"/>
              </w:rPr>
              <w:t>磋商响应有效期</w:t>
            </w:r>
          </w:p>
        </w:tc>
        <w:tc>
          <w:tcPr>
            <w:tcW w:w="6684" w:type="dxa"/>
            <w:tcBorders>
              <w:right w:val="single" w:color="000000" w:sz="10" w:space="0"/>
            </w:tcBorders>
            <w:vAlign w:val="center"/>
          </w:tcPr>
          <w:p w14:paraId="155D5E1B">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zh-CN" w:eastAsia="zh-CN"/>
              </w:rPr>
            </w:pPr>
            <w:r>
              <w:rPr>
                <w:rFonts w:hint="eastAsia" w:ascii="宋体" w:hAnsi="宋体" w:eastAsia="宋体" w:cs="宋体"/>
                <w:spacing w:val="-2"/>
                <w:sz w:val="24"/>
                <w:szCs w:val="24"/>
                <w:highlight w:val="none"/>
                <w:lang w:val="zh-CN" w:eastAsia="zh-CN"/>
              </w:rPr>
              <w:t>自响应文件提交截止之日起60日历天</w:t>
            </w:r>
          </w:p>
        </w:tc>
      </w:tr>
      <w:tr w14:paraId="4BFC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10FDC9A9">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19</w:t>
            </w:r>
          </w:p>
        </w:tc>
        <w:tc>
          <w:tcPr>
            <w:tcW w:w="2496" w:type="dxa"/>
            <w:vAlign w:val="center"/>
          </w:tcPr>
          <w:p w14:paraId="4B0BA192">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zh-CN" w:eastAsia="zh-CN"/>
              </w:rPr>
            </w:pPr>
            <w:r>
              <w:rPr>
                <w:rFonts w:hint="eastAsia" w:ascii="宋体" w:hAnsi="宋体" w:eastAsia="宋体" w:cs="宋体"/>
                <w:spacing w:val="-2"/>
                <w:sz w:val="24"/>
                <w:szCs w:val="24"/>
                <w:highlight w:val="none"/>
                <w:lang w:val="zh-CN" w:eastAsia="zh-CN"/>
              </w:rPr>
              <w:t>付款方式</w:t>
            </w:r>
          </w:p>
        </w:tc>
        <w:tc>
          <w:tcPr>
            <w:tcW w:w="6684" w:type="dxa"/>
            <w:tcBorders>
              <w:right w:val="single" w:color="000000" w:sz="10" w:space="0"/>
            </w:tcBorders>
            <w:vAlign w:val="center"/>
          </w:tcPr>
          <w:p w14:paraId="00D64FE2">
            <w:pPr>
              <w:widowControl/>
              <w:shd w:val="clear" w:color="auto" w:fill="auto"/>
              <w:snapToGrid w:val="0"/>
              <w:spacing w:line="360" w:lineRule="auto"/>
              <w:jc w:val="left"/>
              <w:textAlignment w:val="auto"/>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采购人支付本项目合同金额的40%为预付款（提供等额预付款保函）；已完成施工合同约定节点工作内容，工程质量合格或达到合同约定目标的，予以办理施工过程结算竣工结算前全部节点的施工过程结算价款(含工程预付款)支付比例85%；竣工工程结算经审核后付至审定价的100%，在收到供应商发票后7个工作日内一次性付清。</w:t>
            </w:r>
          </w:p>
          <w:p w14:paraId="3774457C">
            <w:pPr>
              <w:widowControl/>
              <w:shd w:val="clear" w:color="auto" w:fill="auto"/>
              <w:snapToGrid w:val="0"/>
              <w:spacing w:line="360" w:lineRule="auto"/>
              <w:jc w:val="left"/>
              <w:textAlignment w:val="auto"/>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质保金为工程结算审核价的3%。(待工程缺陷责任期满无质量问题后一次性返还。不得变相以质保金名义占用合同尾款)。</w:t>
            </w:r>
          </w:p>
          <w:p w14:paraId="39912CE2">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zh-CN" w:eastAsia="zh-CN"/>
              </w:rPr>
            </w:pPr>
            <w:r>
              <w:rPr>
                <w:rFonts w:hint="eastAsia" w:ascii="宋体" w:hAnsi="宋体" w:eastAsia="宋体" w:cs="宋体"/>
                <w:color w:val="auto"/>
                <w:sz w:val="24"/>
                <w:szCs w:val="21"/>
                <w:highlight w:val="none"/>
                <w:lang w:val="en-US" w:eastAsia="zh-CN"/>
              </w:rPr>
              <w:t>供应商可提供相应金额的银行、保险公司、担保公司等金融机构出具的预付款保函或其他担保措施。</w:t>
            </w:r>
          </w:p>
        </w:tc>
      </w:tr>
      <w:tr w14:paraId="12A8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743DF941">
            <w:pPr>
              <w:pStyle w:val="27"/>
              <w:pageBreakBefore w:val="0"/>
              <w:kinsoku/>
              <w:wordWrap/>
              <w:overflowPunct w:val="0"/>
              <w:topLinePunct w:val="0"/>
              <w:bidi w:val="0"/>
              <w:spacing w:before="84" w:line="360" w:lineRule="auto"/>
              <w:ind w:left="19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496" w:type="dxa"/>
          </w:tcPr>
          <w:p w14:paraId="6052FCD4">
            <w:pPr>
              <w:pStyle w:val="27"/>
              <w:pageBreakBefore w:val="0"/>
              <w:kinsoku/>
              <w:wordWrap/>
              <w:overflowPunct w:val="0"/>
              <w:topLinePunct w:val="0"/>
              <w:bidi w:val="0"/>
              <w:spacing w:before="45" w:line="360" w:lineRule="auto"/>
              <w:ind w:left="110"/>
              <w:jc w:val="left"/>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项目实施地点</w:t>
            </w:r>
          </w:p>
        </w:tc>
        <w:tc>
          <w:tcPr>
            <w:tcW w:w="6684" w:type="dxa"/>
            <w:tcBorders>
              <w:right w:val="single" w:color="000000" w:sz="10" w:space="0"/>
            </w:tcBorders>
          </w:tcPr>
          <w:p w14:paraId="37B64886">
            <w:pPr>
              <w:pStyle w:val="27"/>
              <w:pageBreakBefore w:val="0"/>
              <w:kinsoku/>
              <w:wordWrap/>
              <w:overflowPunct w:val="0"/>
              <w:topLinePunct w:val="0"/>
              <w:bidi w:val="0"/>
              <w:spacing w:before="45" w:line="360" w:lineRule="auto"/>
              <w:rPr>
                <w:rFonts w:hint="eastAsia" w:ascii="宋体" w:hAnsi="宋体" w:eastAsia="宋体" w:cs="宋体"/>
                <w:spacing w:val="-2"/>
                <w:sz w:val="24"/>
                <w:szCs w:val="24"/>
                <w:highlight w:val="none"/>
                <w:lang w:eastAsia="zh-CN"/>
              </w:rPr>
            </w:pPr>
            <w:r>
              <w:rPr>
                <w:rFonts w:hint="eastAsia" w:cs="宋体"/>
                <w:snapToGrid w:val="0"/>
                <w:color w:val="auto"/>
                <w:sz w:val="24"/>
                <w:szCs w:val="21"/>
                <w:lang w:val="en-US" w:eastAsia="zh-CN" w:bidi="ar-SA"/>
              </w:rPr>
              <w:t>安徽省铜陵市投资大厦（铜井路与铜都大道北段交叉口西北100米）</w:t>
            </w:r>
          </w:p>
        </w:tc>
      </w:tr>
      <w:tr w14:paraId="594B5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43DEA688">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21</w:t>
            </w:r>
          </w:p>
        </w:tc>
        <w:tc>
          <w:tcPr>
            <w:tcW w:w="2496" w:type="dxa"/>
            <w:vAlign w:val="center"/>
          </w:tcPr>
          <w:p w14:paraId="3EB88C51">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递交磋商响应文件地点及磋商响应文件开启地点</w:t>
            </w:r>
          </w:p>
        </w:tc>
        <w:tc>
          <w:tcPr>
            <w:tcW w:w="6684" w:type="dxa"/>
            <w:tcBorders>
              <w:right w:val="single" w:color="000000" w:sz="10" w:space="0"/>
            </w:tcBorders>
            <w:vAlign w:val="center"/>
          </w:tcPr>
          <w:p w14:paraId="6B194241">
            <w:pPr>
              <w:pageBreakBefore w:val="0"/>
              <w:kinsoku/>
              <w:wordWrap/>
              <w:overflowPunct w:val="0"/>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napToGrid w:val="0"/>
                <w:color w:val="000000"/>
                <w:spacing w:val="-2"/>
                <w:sz w:val="24"/>
                <w:szCs w:val="24"/>
                <w:highlight w:val="none"/>
                <w:lang w:val="en-US" w:eastAsia="zh-CN" w:bidi="ar-SA"/>
              </w:rPr>
              <w:t>见磋商邀请，供应商应当仔细上网查看地点及时间相关发布或变更信息，递交至错误的磋商响应地点将造成标书无法接受。</w:t>
            </w:r>
          </w:p>
        </w:tc>
      </w:tr>
      <w:tr w14:paraId="4AC5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51CABD25">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22</w:t>
            </w:r>
          </w:p>
        </w:tc>
        <w:tc>
          <w:tcPr>
            <w:tcW w:w="2496" w:type="dxa"/>
            <w:vAlign w:val="center"/>
          </w:tcPr>
          <w:p w14:paraId="1FABFCB0">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磋商响应截止时间</w:t>
            </w:r>
          </w:p>
        </w:tc>
        <w:tc>
          <w:tcPr>
            <w:tcW w:w="6684" w:type="dxa"/>
            <w:tcBorders>
              <w:right w:val="single" w:color="000000" w:sz="10" w:space="0"/>
            </w:tcBorders>
            <w:vAlign w:val="center"/>
          </w:tcPr>
          <w:p w14:paraId="34323E85">
            <w:pPr>
              <w:pageBreakBefore w:val="0"/>
              <w:widowControl w:val="0"/>
              <w:kinsoku/>
              <w:wordWrap/>
              <w:overflowPunct w:val="0"/>
              <w:topLinePunct w:val="0"/>
              <w:bidi w:val="0"/>
              <w:adjustRightIn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见磋商邀请，迟于磋商响应截止时间递交的文件将不予接受。</w:t>
            </w:r>
          </w:p>
        </w:tc>
      </w:tr>
      <w:tr w14:paraId="00EC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4A26F3D8">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23</w:t>
            </w:r>
          </w:p>
        </w:tc>
        <w:tc>
          <w:tcPr>
            <w:tcW w:w="2496" w:type="dxa"/>
            <w:vAlign w:val="center"/>
          </w:tcPr>
          <w:p w14:paraId="423DC2D7">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文件澄清、客观分值公示、响应否决等通知</w:t>
            </w:r>
          </w:p>
        </w:tc>
        <w:tc>
          <w:tcPr>
            <w:tcW w:w="6684" w:type="dxa"/>
            <w:tcBorders>
              <w:right w:val="single" w:color="000000" w:sz="10" w:space="0"/>
            </w:tcBorders>
            <w:vAlign w:val="center"/>
          </w:tcPr>
          <w:p w14:paraId="50639092">
            <w:pPr>
              <w:pStyle w:val="30"/>
              <w:adjustRightInd/>
              <w:spacing w:line="400" w:lineRule="exact"/>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供应商应在开标现场关注询标、客观分公示、响应否决、二次（最后）报价等通知消息，在规定的时间内（从磋商小组发起询标等要求起不超过30分钟，逾时视为放弃澄清权力）对该项内容进行回复。逾期未回复的，磋商小组将可能按不利于供应商的内容进行评审，责任由供应商自行承担。</w:t>
            </w:r>
          </w:p>
        </w:tc>
      </w:tr>
      <w:tr w14:paraId="09FF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1160E0D6">
            <w:pPr>
              <w:pStyle w:val="27"/>
              <w:pageBreakBefore w:val="0"/>
              <w:kinsoku/>
              <w:wordWrap/>
              <w:overflowPunct w:val="0"/>
              <w:topLinePunct w:val="0"/>
              <w:bidi w:val="0"/>
              <w:spacing w:before="44" w:line="360" w:lineRule="auto"/>
              <w:jc w:val="center"/>
              <w:rPr>
                <w:rFonts w:hint="eastAsia" w:ascii="宋体" w:hAnsi="宋体" w:eastAsia="宋体" w:cs="宋体"/>
                <w:snapToGrid w:val="0"/>
                <w:color w:val="000000"/>
                <w:spacing w:val="-2"/>
                <w:sz w:val="24"/>
                <w:szCs w:val="24"/>
                <w:highlight w:val="none"/>
                <w:lang w:val="en-US" w:eastAsia="zh-CN" w:bidi="ar-SA"/>
              </w:rPr>
            </w:pPr>
            <w:r>
              <w:rPr>
                <w:rFonts w:hint="eastAsia" w:ascii="宋体" w:hAnsi="宋体" w:eastAsia="宋体" w:cs="宋体"/>
                <w:spacing w:val="-2"/>
                <w:sz w:val="24"/>
                <w:szCs w:val="24"/>
                <w:highlight w:val="none"/>
                <w:lang w:val="en-US" w:eastAsia="zh-CN"/>
              </w:rPr>
              <w:t>24</w:t>
            </w:r>
          </w:p>
        </w:tc>
        <w:tc>
          <w:tcPr>
            <w:tcW w:w="2496" w:type="dxa"/>
            <w:vAlign w:val="center"/>
          </w:tcPr>
          <w:p w14:paraId="38434AA2">
            <w:pPr>
              <w:pStyle w:val="27"/>
              <w:pageBreakBefore w:val="0"/>
              <w:kinsoku/>
              <w:wordWrap/>
              <w:overflowPunct w:val="0"/>
              <w:topLinePunct w:val="0"/>
              <w:bidi w:val="0"/>
              <w:spacing w:before="44" w:line="360" w:lineRule="auto"/>
              <w:jc w:val="both"/>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费用承担</w:t>
            </w:r>
          </w:p>
        </w:tc>
        <w:tc>
          <w:tcPr>
            <w:tcW w:w="6684" w:type="dxa"/>
            <w:tcBorders>
              <w:right w:val="single" w:color="000000" w:sz="10" w:space="0"/>
            </w:tcBorders>
            <w:vAlign w:val="center"/>
          </w:tcPr>
          <w:p w14:paraId="5754212E">
            <w:pPr>
              <w:snapToGrid w:val="0"/>
              <w:spacing w:beforeAutospacing="0" w:afterAutospacing="0" w:line="360" w:lineRule="auto"/>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rPr>
              <w:t>供应商参加磋商响应活动发生的一切费用均自理</w:t>
            </w:r>
            <w:r>
              <w:rPr>
                <w:rFonts w:hint="eastAsia" w:ascii="宋体" w:hAnsi="宋体" w:eastAsia="宋体" w:cs="宋体"/>
                <w:sz w:val="24"/>
                <w:szCs w:val="24"/>
                <w:highlight w:val="none"/>
                <w:lang w:eastAsia="zh-CN"/>
              </w:rPr>
              <w:t>。</w:t>
            </w:r>
          </w:p>
        </w:tc>
      </w:tr>
      <w:tr w14:paraId="427DF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bottom w:val="single" w:color="000000" w:sz="10" w:space="0"/>
            </w:tcBorders>
            <w:vAlign w:val="center"/>
          </w:tcPr>
          <w:p w14:paraId="52EBCFC4">
            <w:pPr>
              <w:pStyle w:val="27"/>
              <w:pageBreakBefore w:val="0"/>
              <w:kinsoku/>
              <w:wordWrap/>
              <w:overflowPunct w:val="0"/>
              <w:topLinePunct w:val="0"/>
              <w:bidi w:val="0"/>
              <w:spacing w:before="44" w:line="360" w:lineRule="auto"/>
              <w:jc w:val="center"/>
              <w:rPr>
                <w:rFonts w:hint="eastAsia" w:ascii="宋体" w:hAnsi="宋体" w:eastAsia="宋体" w:cs="宋体"/>
                <w:snapToGrid w:val="0"/>
                <w:color w:val="000000"/>
                <w:spacing w:val="-2"/>
                <w:sz w:val="24"/>
                <w:szCs w:val="24"/>
                <w:highlight w:val="none"/>
                <w:lang w:val="en-US" w:eastAsia="zh-CN" w:bidi="ar-SA"/>
              </w:rPr>
            </w:pPr>
            <w:r>
              <w:rPr>
                <w:rFonts w:hint="eastAsia" w:ascii="宋体" w:hAnsi="宋体" w:eastAsia="宋体" w:cs="宋体"/>
                <w:spacing w:val="-2"/>
                <w:sz w:val="24"/>
                <w:szCs w:val="24"/>
                <w:highlight w:val="none"/>
                <w:lang w:val="en-US" w:eastAsia="zh-CN"/>
              </w:rPr>
              <w:t>25</w:t>
            </w:r>
          </w:p>
        </w:tc>
        <w:tc>
          <w:tcPr>
            <w:tcW w:w="2496" w:type="dxa"/>
            <w:tcBorders>
              <w:bottom w:val="single" w:color="000000" w:sz="10" w:space="0"/>
            </w:tcBorders>
            <w:vAlign w:val="center"/>
          </w:tcPr>
          <w:p w14:paraId="6A4ECF4F">
            <w:pPr>
              <w:pStyle w:val="27"/>
              <w:pageBreakBefore w:val="0"/>
              <w:kinsoku/>
              <w:wordWrap/>
              <w:overflowPunct w:val="0"/>
              <w:topLinePunct w:val="0"/>
              <w:bidi w:val="0"/>
              <w:spacing w:before="44" w:line="360" w:lineRule="auto"/>
              <w:jc w:val="both"/>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合同签订时间</w:t>
            </w:r>
          </w:p>
        </w:tc>
        <w:tc>
          <w:tcPr>
            <w:tcW w:w="6684" w:type="dxa"/>
            <w:tcBorders>
              <w:bottom w:val="single" w:color="000000" w:sz="10" w:space="0"/>
              <w:right w:val="single" w:color="000000" w:sz="10" w:space="0"/>
            </w:tcBorders>
            <w:vAlign w:val="center"/>
          </w:tcPr>
          <w:p w14:paraId="49B8A417">
            <w:pPr>
              <w:pageBreakBefore w:val="0"/>
              <w:kinsoku/>
              <w:wordWrap/>
              <w:overflowPunct w:val="0"/>
              <w:topLinePunct w:val="0"/>
              <w:bidi w:val="0"/>
              <w:snapToGrid w:val="0"/>
              <w:spacing w:beforeAutospacing="0" w:afterAutospacing="0" w:line="360" w:lineRule="auto"/>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尽量缩短采购合同签订时间，原则上不晚于</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通知书发放之日起7个工作日</w:t>
            </w:r>
            <w:r>
              <w:rPr>
                <w:rFonts w:hint="eastAsia" w:ascii="宋体" w:hAnsi="宋体" w:eastAsia="宋体" w:cs="宋体"/>
                <w:color w:val="auto"/>
                <w:sz w:val="24"/>
                <w:szCs w:val="24"/>
                <w:highlight w:val="none"/>
                <w:lang w:eastAsia="zh-CN"/>
              </w:rPr>
              <w:t>。采购人无正当理由不得拒绝或者拖延签订合同，除不可抗力、质疑投诉等原因导致无法签订的除外。</w:t>
            </w:r>
            <w:r>
              <w:rPr>
                <w:rFonts w:hint="eastAsia" w:ascii="宋体" w:hAnsi="宋体" w:eastAsia="宋体" w:cs="宋体"/>
                <w:color w:val="auto"/>
                <w:sz w:val="24"/>
                <w:szCs w:val="24"/>
                <w:highlight w:val="none"/>
              </w:rPr>
              <w:t>对于无正当理由超过30日不签订合同的，政府采购监管部门</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依法依规处理。</w:t>
            </w:r>
          </w:p>
        </w:tc>
      </w:tr>
      <w:tr w14:paraId="2AF19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158D90A1">
            <w:pPr>
              <w:pStyle w:val="27"/>
              <w:pageBreakBefore w:val="0"/>
              <w:kinsoku/>
              <w:wordWrap/>
              <w:overflowPunct w:val="0"/>
              <w:topLinePunct w:val="0"/>
              <w:bidi w:val="0"/>
              <w:spacing w:before="44" w:line="360" w:lineRule="auto"/>
              <w:jc w:val="center"/>
              <w:rPr>
                <w:rFonts w:hint="eastAsia" w:ascii="宋体" w:hAnsi="宋体" w:eastAsia="宋体" w:cs="宋体"/>
                <w:snapToGrid w:val="0"/>
                <w:color w:val="000000"/>
                <w:spacing w:val="-2"/>
                <w:sz w:val="24"/>
                <w:szCs w:val="24"/>
                <w:highlight w:val="none"/>
                <w:lang w:val="en-US" w:eastAsia="zh-CN" w:bidi="ar-SA"/>
              </w:rPr>
            </w:pPr>
            <w:r>
              <w:rPr>
                <w:rFonts w:hint="eastAsia" w:ascii="宋体" w:hAnsi="宋体" w:eastAsia="宋体" w:cs="宋体"/>
                <w:spacing w:val="-2"/>
                <w:sz w:val="24"/>
                <w:szCs w:val="24"/>
                <w:highlight w:val="none"/>
                <w:lang w:val="en-US" w:eastAsia="zh-CN"/>
              </w:rPr>
              <w:t>26</w:t>
            </w:r>
          </w:p>
        </w:tc>
        <w:tc>
          <w:tcPr>
            <w:tcW w:w="2496" w:type="dxa"/>
            <w:vAlign w:val="center"/>
          </w:tcPr>
          <w:p w14:paraId="0A386C3E">
            <w:pPr>
              <w:pStyle w:val="27"/>
              <w:pageBreakBefore w:val="0"/>
              <w:kinsoku/>
              <w:wordWrap/>
              <w:overflowPunct w:val="0"/>
              <w:topLinePunct w:val="0"/>
              <w:bidi w:val="0"/>
              <w:spacing w:before="44" w:line="360" w:lineRule="auto"/>
              <w:jc w:val="both"/>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政府采购政策</w:t>
            </w:r>
          </w:p>
        </w:tc>
        <w:tc>
          <w:tcPr>
            <w:tcW w:w="6684" w:type="dxa"/>
            <w:tcBorders>
              <w:right w:val="single" w:color="000000" w:sz="10" w:space="0"/>
            </w:tcBorders>
            <w:vAlign w:val="center"/>
          </w:tcPr>
          <w:p w14:paraId="5288FBCD">
            <w:pPr>
              <w:pageBreakBefore w:val="0"/>
              <w:widowControl w:val="0"/>
              <w:kinsoku/>
              <w:wordWrap/>
              <w:overflowPunct w:val="0"/>
              <w:topLinePunct w:val="0"/>
              <w:autoSpaceDE w:val="0"/>
              <w:autoSpaceDN w:val="0"/>
              <w:bidi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一、中小企业</w:t>
            </w:r>
          </w:p>
          <w:p w14:paraId="2EF8DCE0">
            <w:pPr>
              <w:pageBreakBefore w:val="0"/>
              <w:widowControl w:val="0"/>
              <w:kinsoku/>
              <w:wordWrap/>
              <w:overflowPunct w:val="0"/>
              <w:topLinePunct w:val="0"/>
              <w:autoSpaceDE w:val="0"/>
              <w:autoSpaceDN w:val="0"/>
              <w:bidi w:val="0"/>
              <w:adjustRightInd/>
              <w:snapToGrid w:val="0"/>
              <w:spacing w:beforeAutospacing="0" w:afterAutospacing="0" w:line="360" w:lineRule="auto"/>
              <w:ind w:firstLine="480" w:firstLineChars="200"/>
              <w:jc w:val="both"/>
              <w:textAlignment w:val="auto"/>
              <w:rPr>
                <w:rFonts w:hint="eastAsia" w:ascii="宋体" w:hAnsi="宋体" w:eastAsia="宋体" w:cs="宋体"/>
                <w:color w:val="0000FF"/>
                <w:sz w:val="24"/>
                <w:szCs w:val="24"/>
                <w:highlight w:val="none"/>
                <w:lang w:val="en-US" w:eastAsia="zh-CN" w:bidi="ar-SA"/>
              </w:rPr>
            </w:pPr>
            <w:r>
              <w:rPr>
                <w:rFonts w:hint="eastAsia" w:ascii="宋体" w:hAnsi="宋体" w:eastAsia="宋体" w:cs="宋体"/>
                <w:sz w:val="24"/>
                <w:szCs w:val="24"/>
                <w:highlight w:val="none"/>
                <w:lang w:val="en-US" w:eastAsia="zh-CN" w:bidi="ar-SA"/>
              </w:rPr>
              <w:t>依据《政府采购促进中小企业发展管理办法》（财库〔2020〕46号），中小企业参加本次政府采购活动，应当出具《政府采购促进中小企业发展管理办法》规定的《中小企业声明函》，否则不得享受相关中小企业扶持政策。供应商应对其真实性负责。</w:t>
            </w:r>
          </w:p>
          <w:p w14:paraId="3236D891">
            <w:pPr>
              <w:pageBreakBefore w:val="0"/>
              <w:widowControl w:val="0"/>
              <w:kinsoku/>
              <w:wordWrap/>
              <w:overflowPunct w:val="0"/>
              <w:topLinePunct w:val="0"/>
              <w:autoSpaceDE w:val="0"/>
              <w:autoSpaceDN w:val="0"/>
              <w:bidi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二、监狱企业</w:t>
            </w:r>
          </w:p>
          <w:p w14:paraId="6696908F">
            <w:pPr>
              <w:pageBreakBefore w:val="0"/>
              <w:widowControl w:val="0"/>
              <w:kinsoku/>
              <w:wordWrap/>
              <w:overflowPunct w:val="0"/>
              <w:topLinePunct w:val="0"/>
              <w:autoSpaceDE w:val="0"/>
              <w:autoSpaceDN w:val="0"/>
              <w:bidi w:val="0"/>
              <w:adjustRightInd/>
              <w:snapToGrid w:val="0"/>
              <w:spacing w:beforeAutospacing="0" w:afterAutospacing="0"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根据财政部司法部《关于政府采购支持监狱企业发展有关问题的通知》(财库〔2014〕68号)，监狱企业视同小型、微型企业。监狱企业参加政府采购活动时，提供由省级以上监狱管理局、戒毒管理局(含新疆生产建设兵团)出具的属于监狱企业的证明文件，不再提供《中小企业声明函》。</w:t>
            </w:r>
          </w:p>
          <w:p w14:paraId="4D90D7A2">
            <w:pPr>
              <w:pageBreakBefore w:val="0"/>
              <w:widowControl w:val="0"/>
              <w:kinsoku/>
              <w:wordWrap/>
              <w:overflowPunct w:val="0"/>
              <w:topLinePunct w:val="0"/>
              <w:autoSpaceDE w:val="0"/>
              <w:autoSpaceDN w:val="0"/>
              <w:bidi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三、残疾人福利性单位</w:t>
            </w:r>
          </w:p>
          <w:p w14:paraId="3544BCDA">
            <w:pPr>
              <w:pageBreakBefore w:val="0"/>
              <w:widowControl w:val="0"/>
              <w:kinsoku/>
              <w:wordWrap/>
              <w:overflowPunct w:val="0"/>
              <w:topLinePunct w:val="0"/>
              <w:autoSpaceDE w:val="0"/>
              <w:autoSpaceDN w:val="0"/>
              <w:bidi w:val="0"/>
              <w:adjustRightInd/>
              <w:snapToGrid w:val="0"/>
              <w:spacing w:beforeAutospacing="0" w:afterAutospacing="0"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根据财政部民政部《中国残疾人联合会关于促进残疾人就业政府采购政策的通知》（财库〔2017〕141号）的规定，残疾人福利性单位视同小型、微型企业。符合条件的残疾人福利性单位在参加政府采购活动时，提供141号文规定的《残疾人福利性单位声明函》，不再提供《中小企业声明函》。残疾人福利性单位属于小型、微型企业的，不重复享受政策。</w:t>
            </w:r>
          </w:p>
          <w:p w14:paraId="1D3ABB47">
            <w:pPr>
              <w:pageBreakBefore w:val="0"/>
              <w:widowControl w:val="0"/>
              <w:kinsoku/>
              <w:wordWrap/>
              <w:overflowPunct w:val="0"/>
              <w:topLinePunct w:val="0"/>
              <w:autoSpaceDE w:val="0"/>
              <w:autoSpaceDN w:val="0"/>
              <w:bidi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四、“三首”产品</w:t>
            </w:r>
          </w:p>
          <w:p w14:paraId="3556CF45">
            <w:pPr>
              <w:pageBreakBefore w:val="0"/>
              <w:widowControl w:val="0"/>
              <w:kinsoku/>
              <w:wordWrap/>
              <w:overflowPunct w:val="0"/>
              <w:topLinePunct w:val="0"/>
              <w:autoSpaceDE w:val="0"/>
              <w:autoSpaceDN w:val="0"/>
              <w:bidi w:val="0"/>
              <w:adjustRightInd/>
              <w:snapToGrid w:val="0"/>
              <w:spacing w:beforeAutospacing="0" w:afterAutospacing="0" w:line="360" w:lineRule="auto"/>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规范支持“三首”产品政策。具体为：</w:t>
            </w:r>
          </w:p>
          <w:p w14:paraId="56F83F3C">
            <w:pPr>
              <w:pageBreakBefore w:val="0"/>
              <w:widowControl w:val="0"/>
              <w:kinsoku/>
              <w:wordWrap/>
              <w:overflowPunct w:val="0"/>
              <w:topLinePunct w:val="0"/>
              <w:autoSpaceDE w:val="0"/>
              <w:autoSpaceDN w:val="0"/>
              <w:bidi w:val="0"/>
              <w:adjustRightInd/>
              <w:snapToGrid w:val="0"/>
              <w:spacing w:beforeAutospacing="0" w:afterAutospacing="0" w:line="360" w:lineRule="auto"/>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（1）“三首”产品应提供省经信厅公布首台套重大技术装备、首批次新材料、首版次软件产品名单相关文件或省经信厅网站公开的截图，未提供的不享受相关政策。</w:t>
            </w:r>
          </w:p>
          <w:p w14:paraId="19B195F6">
            <w:pPr>
              <w:pageBreakBefore w:val="0"/>
              <w:widowControl w:val="0"/>
              <w:kinsoku/>
              <w:wordWrap/>
              <w:overflowPunct w:val="0"/>
              <w:topLinePunct w:val="0"/>
              <w:autoSpaceDE w:val="0"/>
              <w:autoSpaceDN w:val="0"/>
              <w:bidi w:val="0"/>
              <w:adjustRightInd/>
              <w:snapToGrid w:val="0"/>
              <w:spacing w:beforeAutospacing="0" w:afterAutospacing="0" w:line="360" w:lineRule="auto"/>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（2）“三首”产品自认定之日起2年内，参加政府采购活动时业绩分值为满分。</w:t>
            </w:r>
          </w:p>
          <w:p w14:paraId="159D3394">
            <w:pPr>
              <w:pageBreakBefore w:val="0"/>
              <w:widowControl w:val="0"/>
              <w:kinsoku/>
              <w:wordWrap/>
              <w:overflowPunct w:val="0"/>
              <w:topLinePunct w:val="0"/>
              <w:autoSpaceDE w:val="0"/>
              <w:autoSpaceDN w:val="0"/>
              <w:bidi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五、节能环保产品</w:t>
            </w:r>
          </w:p>
          <w:p w14:paraId="2A8638B8">
            <w:pPr>
              <w:pageBreakBefore w:val="0"/>
              <w:widowControl w:val="0"/>
              <w:kinsoku/>
              <w:wordWrap/>
              <w:overflowPunct w:val="0"/>
              <w:topLinePunct w:val="0"/>
              <w:autoSpaceDE w:val="0"/>
              <w:autoSpaceDN w:val="0"/>
              <w:bidi w:val="0"/>
              <w:adjustRightInd/>
              <w:snapToGrid w:val="0"/>
              <w:spacing w:beforeAutospacing="0" w:afterAutospacing="0"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依据《关于调整优化节能产品、环境标志产品政府采购执行机制的通知》财库〔2019〕9号，采购人拟采购的产品属于政府采购节能产品、环境标志产品品目清单范围的，采购人及其委托的采购代理机构应当依据国家确定的认证机构出具的、处于有效期之内的节能产品、环境标志产品认证证书，对获得证书的产品实施政府优先采购或强制采购。即给予获得证书的相关产品加分或做为不允许偏离的实质性要求。供应商应提供国家确定的认证机构出具的、处于有效期之内的节能产品、环境标志产品认证证书，未提供的不享受加分或作为未实质性响应。对于未列入品目清单的产品类别，采购人综合考虑节能、节水、环保、循环、低碳、再生、有机等因素，参考相关国家标准、行业标准或团体标准，在采购需求中提出相关绿色采购要求，促进绿色产品推广应用。</w:t>
            </w:r>
          </w:p>
          <w:p w14:paraId="3F4E0542">
            <w:pPr>
              <w:pageBreakBefore w:val="0"/>
              <w:widowControl w:val="0"/>
              <w:kinsoku/>
              <w:wordWrap/>
              <w:overflowPunct w:val="0"/>
              <w:topLinePunct w:val="0"/>
              <w:bidi w:val="0"/>
              <w:adjustRightInd/>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bidi="ar-SA"/>
              </w:rPr>
              <w:t>本项目将对排名第一的成交候选人提供的《中小企业声明函》《残疾人福利性单位声明函》、监狱企业证明材料，随成交结果公告一并公告。</w:t>
            </w:r>
          </w:p>
        </w:tc>
      </w:tr>
      <w:tr w14:paraId="71A32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161C3273">
            <w:pPr>
              <w:pStyle w:val="27"/>
              <w:pageBreakBefore w:val="0"/>
              <w:kinsoku/>
              <w:wordWrap/>
              <w:overflowPunct w:val="0"/>
              <w:topLinePunct w:val="0"/>
              <w:bidi w:val="0"/>
              <w:spacing w:before="44" w:line="360" w:lineRule="auto"/>
              <w:jc w:val="center"/>
              <w:rPr>
                <w:rFonts w:hint="eastAsia" w:ascii="宋体" w:hAnsi="宋体" w:eastAsia="宋体" w:cs="宋体"/>
                <w:snapToGrid w:val="0"/>
                <w:color w:val="000000"/>
                <w:spacing w:val="-2"/>
                <w:sz w:val="24"/>
                <w:szCs w:val="24"/>
                <w:highlight w:val="none"/>
                <w:lang w:val="en-US" w:eastAsia="zh-CN" w:bidi="ar-SA"/>
              </w:rPr>
            </w:pPr>
            <w:r>
              <w:rPr>
                <w:rFonts w:hint="eastAsia" w:ascii="宋体" w:hAnsi="宋体" w:eastAsia="宋体" w:cs="宋体"/>
                <w:spacing w:val="-2"/>
                <w:sz w:val="24"/>
                <w:szCs w:val="24"/>
                <w:highlight w:val="none"/>
                <w:lang w:val="en-US" w:eastAsia="zh-CN"/>
              </w:rPr>
              <w:t>27</w:t>
            </w:r>
          </w:p>
        </w:tc>
        <w:tc>
          <w:tcPr>
            <w:tcW w:w="2496" w:type="dxa"/>
            <w:vAlign w:val="center"/>
          </w:tcPr>
          <w:p w14:paraId="18B0B831">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是否允许大中型企业向小微企业分包（非专门面向中小企业采购项目及要求获得采购合同的供应商将采购项目中的一定比例分包给小微企业的项目适用）</w:t>
            </w:r>
          </w:p>
        </w:tc>
        <w:tc>
          <w:tcPr>
            <w:tcW w:w="6684" w:type="dxa"/>
            <w:tcBorders>
              <w:right w:val="single" w:color="000000" w:sz="10" w:space="0"/>
            </w:tcBorders>
            <w:vAlign w:val="center"/>
          </w:tcPr>
          <w:p w14:paraId="5120BBBB">
            <w:pPr>
              <w:pageBreakBefore w:val="0"/>
              <w:widowControl w:val="0"/>
              <w:kinsoku/>
              <w:wordWrap/>
              <w:overflowPunct w:val="0"/>
              <w:topLinePunct w:val="0"/>
              <w:bidi w:val="0"/>
              <w:snapToGrid w:val="0"/>
              <w:spacing w:beforeAutospacing="0" w:afterAutospacing="0" w:line="360" w:lineRule="auto"/>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否</w:t>
            </w:r>
          </w:p>
        </w:tc>
      </w:tr>
      <w:tr w14:paraId="42B7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27F23FD9">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28</w:t>
            </w:r>
          </w:p>
        </w:tc>
        <w:tc>
          <w:tcPr>
            <w:tcW w:w="2496" w:type="dxa"/>
            <w:vAlign w:val="center"/>
          </w:tcPr>
          <w:p w14:paraId="0C42C481">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价格</w:t>
            </w:r>
            <w:r>
              <w:rPr>
                <w:rFonts w:hint="eastAsia" w:ascii="宋体" w:hAnsi="宋体" w:eastAsia="宋体" w:cs="宋体"/>
                <w:spacing w:val="-2"/>
                <w:sz w:val="24"/>
                <w:szCs w:val="24"/>
                <w:highlight w:val="none"/>
                <w:lang w:val="en-US" w:eastAsia="en-US"/>
              </w:rPr>
              <w:t>扣除</w:t>
            </w:r>
          </w:p>
        </w:tc>
        <w:tc>
          <w:tcPr>
            <w:tcW w:w="6684" w:type="dxa"/>
            <w:tcBorders>
              <w:right w:val="single" w:color="000000" w:sz="10" w:space="0"/>
            </w:tcBorders>
            <w:vAlign w:val="center"/>
          </w:tcPr>
          <w:p w14:paraId="0518C1E2">
            <w:pPr>
              <w:pStyle w:val="44"/>
              <w:pageBreakBefore w:val="0"/>
              <w:widowControl w:val="0"/>
              <w:kinsoku/>
              <w:wordWrap/>
              <w:overflowPunct w:val="0"/>
              <w:topLinePunct w:val="0"/>
              <w:bidi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本项目符合下列条件的应按扣除后的价格参加评审：</w:t>
            </w:r>
          </w:p>
          <w:p w14:paraId="2DDE0552">
            <w:pPr>
              <w:pStyle w:val="44"/>
              <w:pageBreakBefore w:val="0"/>
              <w:widowControl w:val="0"/>
              <w:numPr>
                <w:ilvl w:val="0"/>
                <w:numId w:val="0"/>
              </w:numPr>
              <w:shd w:val="clear" w:color="auto" w:fill="auto"/>
              <w:kinsoku/>
              <w:wordWrap/>
              <w:overflowPunct w:val="0"/>
              <w:topLinePunct w:val="0"/>
              <w:bidi w:val="0"/>
              <w:snapToGrid w:val="0"/>
              <w:spacing w:before="0" w:beforeAutospacing="0" w:after="0" w:afterAutospacing="0" w:line="360" w:lineRule="auto"/>
              <w:ind w:left="0" w:leftChars="0" w:right="0" w:rightChars="0"/>
              <w:jc w:val="both"/>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snapToGrid w:val="0"/>
                <w:color w:val="000000"/>
                <w:kern w:val="0"/>
                <w:sz w:val="24"/>
                <w:szCs w:val="24"/>
                <w:lang w:val="en-US" w:eastAsia="zh-CN" w:bidi="ar-SA"/>
              </w:rPr>
              <w:t>（1）</w:t>
            </w:r>
            <w:r>
              <w:rPr>
                <w:rFonts w:hint="eastAsia" w:ascii="宋体" w:hAnsi="宋体" w:eastAsia="宋体" w:cs="宋体"/>
                <w:b w:val="0"/>
                <w:bCs/>
                <w:kern w:val="0"/>
                <w:sz w:val="24"/>
                <w:szCs w:val="24"/>
                <w:highlight w:val="none"/>
                <w:lang w:val="en-US" w:eastAsia="zh-CN"/>
              </w:rPr>
              <w:t>小型和微型企业价格扣除比例：</w:t>
            </w:r>
            <w:r>
              <w:rPr>
                <w:rFonts w:hint="eastAsia" w:ascii="宋体" w:hAnsi="宋体" w:eastAsia="宋体" w:cs="宋体"/>
                <w:b w:val="0"/>
                <w:bCs/>
                <w:kern w:val="0"/>
                <w:sz w:val="24"/>
                <w:szCs w:val="24"/>
                <w:highlight w:val="none"/>
                <w:u w:val="single"/>
                <w:lang w:val="en-US" w:eastAsia="zh-CN"/>
              </w:rPr>
              <w:t xml:space="preserve"> / </w:t>
            </w:r>
            <w:r>
              <w:rPr>
                <w:rFonts w:hint="eastAsia" w:ascii="宋体" w:hAnsi="宋体" w:eastAsia="宋体" w:cs="宋体"/>
                <w:b w:val="0"/>
                <w:bCs/>
                <w:kern w:val="0"/>
                <w:sz w:val="24"/>
                <w:szCs w:val="24"/>
                <w:highlight w:val="none"/>
                <w:lang w:val="en-US" w:eastAsia="zh-CN"/>
              </w:rPr>
              <w:t>%。</w:t>
            </w:r>
          </w:p>
          <w:p w14:paraId="1484816A">
            <w:pPr>
              <w:pStyle w:val="44"/>
              <w:pageBreakBefore w:val="0"/>
              <w:widowControl w:val="0"/>
              <w:numPr>
                <w:ilvl w:val="0"/>
                <w:numId w:val="0"/>
              </w:numPr>
              <w:shd w:val="clear" w:color="auto" w:fill="auto"/>
              <w:kinsoku/>
              <w:wordWrap/>
              <w:overflowPunct w:val="0"/>
              <w:topLinePunct w:val="0"/>
              <w:bidi w:val="0"/>
              <w:snapToGrid w:val="0"/>
              <w:spacing w:before="0" w:beforeAutospacing="0" w:after="0" w:afterAutospacing="0" w:line="360" w:lineRule="auto"/>
              <w:ind w:right="0" w:rightChars="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（2）监狱企业价格扣除：同小型和微型企业</w:t>
            </w:r>
          </w:p>
          <w:p w14:paraId="181F1B4C">
            <w:pPr>
              <w:pStyle w:val="44"/>
              <w:pageBreakBefore w:val="0"/>
              <w:widowControl w:val="0"/>
              <w:shd w:val="clear" w:color="auto" w:fill="auto"/>
              <w:kinsoku/>
              <w:wordWrap/>
              <w:overflowPunct w:val="0"/>
              <w:topLinePunct w:val="0"/>
              <w:bidi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（3）残疾人福利性单位价格扣除：同小型和微型企业</w:t>
            </w:r>
          </w:p>
          <w:p w14:paraId="5B0597E3">
            <w:pPr>
              <w:pStyle w:val="44"/>
              <w:pageBreakBefore w:val="0"/>
              <w:widowControl w:val="0"/>
              <w:shd w:val="clear" w:color="auto" w:fill="auto"/>
              <w:kinsoku/>
              <w:wordWrap/>
              <w:overflowPunct w:val="0"/>
              <w:topLinePunct w:val="0"/>
              <w:bidi w:val="0"/>
              <w:snapToGrid w:val="0"/>
              <w:spacing w:before="0" w:beforeAutospacing="0" w:after="0" w:afterAutospacing="0" w:line="360" w:lineRule="auto"/>
              <w:ind w:left="0" w:right="0"/>
              <w:jc w:val="both"/>
              <w:rPr>
                <w:rFonts w:hint="eastAsia" w:ascii="宋体" w:hAnsi="宋体" w:eastAsia="宋体" w:cs="宋体"/>
                <w:b w:val="0"/>
                <w:bCs/>
                <w:color w:val="auto"/>
                <w:kern w:val="0"/>
                <w:sz w:val="24"/>
                <w:szCs w:val="24"/>
                <w:highlight w:val="none"/>
                <w:shd w:val="clear" w:color="auto" w:fill="auto"/>
                <w:lang w:val="en-US" w:eastAsia="zh-CN"/>
              </w:rPr>
            </w:pPr>
            <w:r>
              <w:rPr>
                <w:rFonts w:hint="eastAsia" w:ascii="宋体" w:hAnsi="宋体" w:eastAsia="宋体" w:cs="宋体"/>
                <w:b w:val="0"/>
                <w:bCs/>
                <w:kern w:val="0"/>
                <w:sz w:val="24"/>
                <w:szCs w:val="24"/>
                <w:highlight w:val="none"/>
                <w:shd w:val="clear" w:color="auto" w:fill="auto"/>
                <w:lang w:val="en-US" w:eastAsia="zh-CN"/>
              </w:rPr>
              <w:t>（4）</w:t>
            </w:r>
            <w:r>
              <w:rPr>
                <w:rFonts w:hint="eastAsia" w:ascii="宋体" w:hAnsi="宋体" w:eastAsia="宋体" w:cs="宋体"/>
                <w:b w:val="0"/>
                <w:color w:val="auto"/>
                <w:sz w:val="24"/>
                <w:szCs w:val="24"/>
                <w:highlight w:val="none"/>
                <w:shd w:val="clear" w:color="auto" w:fill="auto"/>
                <w:lang w:val="en-US" w:eastAsia="zh-CN"/>
              </w:rPr>
              <w:t>符合条件的大中型企业与小微企业组成联合体的，</w:t>
            </w:r>
            <w:r>
              <w:rPr>
                <w:rFonts w:hint="eastAsia" w:ascii="宋体" w:hAnsi="宋体" w:eastAsia="宋体" w:cs="宋体"/>
                <w:sz w:val="24"/>
                <w:szCs w:val="24"/>
                <w:highlight w:val="none"/>
                <w:shd w:val="clear" w:color="auto" w:fill="auto"/>
              </w:rPr>
              <w:t>约定小微企业的合同份额占到合</w:t>
            </w:r>
            <w:r>
              <w:rPr>
                <w:rFonts w:hint="eastAsia" w:ascii="宋体" w:hAnsi="宋体" w:eastAsia="宋体" w:cs="宋体"/>
                <w:color w:val="auto"/>
                <w:sz w:val="24"/>
                <w:szCs w:val="24"/>
                <w:highlight w:val="none"/>
                <w:shd w:val="clear" w:color="auto" w:fill="auto"/>
              </w:rPr>
              <w:t>同总金额 30%以上的，</w:t>
            </w:r>
            <w:r>
              <w:rPr>
                <w:rFonts w:hint="eastAsia" w:ascii="宋体" w:hAnsi="宋体" w:eastAsia="宋体" w:cs="宋体"/>
                <w:b w:val="0"/>
                <w:bCs/>
                <w:i w:val="0"/>
                <w:iCs w:val="0"/>
                <w:color w:val="auto"/>
                <w:kern w:val="0"/>
                <w:sz w:val="24"/>
                <w:szCs w:val="24"/>
                <w:highlight w:val="none"/>
                <w:shd w:val="clear" w:color="auto" w:fill="auto"/>
                <w:lang w:val="en-US" w:eastAsia="zh-CN"/>
              </w:rPr>
              <w:t>给予联合体</w:t>
            </w:r>
            <w:r>
              <w:rPr>
                <w:rFonts w:hint="eastAsia" w:ascii="宋体" w:hAnsi="宋体" w:eastAsia="宋体" w:cs="宋体"/>
                <w:b w:val="0"/>
                <w:color w:val="auto"/>
                <w:sz w:val="24"/>
                <w:szCs w:val="24"/>
                <w:highlight w:val="none"/>
                <w:shd w:val="clear" w:color="auto" w:fill="auto"/>
                <w:lang w:val="en-US" w:eastAsia="zh-CN"/>
              </w:rPr>
              <w:t>价格扣除比例</w:t>
            </w:r>
            <w:r>
              <w:rPr>
                <w:rFonts w:hint="eastAsia" w:ascii="宋体" w:hAnsi="宋体" w:eastAsia="宋体" w:cs="宋体"/>
                <w:b w:val="0"/>
                <w:bCs/>
                <w:color w:val="auto"/>
                <w:kern w:val="0"/>
                <w:sz w:val="24"/>
                <w:szCs w:val="24"/>
                <w:highlight w:val="none"/>
                <w:shd w:val="clear" w:color="auto" w:fill="auto"/>
                <w:lang w:val="en-US" w:eastAsia="zh-CN"/>
              </w:rPr>
              <w:t>：</w:t>
            </w:r>
            <w:r>
              <w:rPr>
                <w:rFonts w:hint="eastAsia" w:ascii="宋体" w:hAnsi="宋体" w:eastAsia="宋体" w:cs="宋体"/>
                <w:b w:val="0"/>
                <w:bCs/>
                <w:color w:val="auto"/>
                <w:kern w:val="0"/>
                <w:sz w:val="24"/>
                <w:szCs w:val="24"/>
                <w:highlight w:val="none"/>
                <w:u w:val="single"/>
                <w:shd w:val="clear" w:color="auto" w:fill="auto"/>
                <w:lang w:val="en-US" w:eastAsia="zh-CN"/>
              </w:rPr>
              <w:t xml:space="preserve"> </w:t>
            </w:r>
            <w:r>
              <w:rPr>
                <w:rFonts w:hint="eastAsia" w:ascii="宋体" w:hAnsi="宋体" w:eastAsia="宋体" w:cs="宋体"/>
                <w:b w:val="0"/>
                <w:bCs/>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shd w:val="clear" w:color="auto" w:fill="auto"/>
                <w:lang w:val="en-US" w:eastAsia="zh-CN"/>
              </w:rPr>
              <w:t xml:space="preserve"> </w:t>
            </w:r>
            <w:r>
              <w:rPr>
                <w:rFonts w:hint="eastAsia" w:ascii="宋体" w:hAnsi="宋体" w:eastAsia="宋体" w:cs="宋体"/>
                <w:b w:val="0"/>
                <w:bCs/>
                <w:color w:val="auto"/>
                <w:kern w:val="0"/>
                <w:sz w:val="24"/>
                <w:szCs w:val="24"/>
                <w:highlight w:val="none"/>
                <w:shd w:val="clear" w:color="auto" w:fill="auto"/>
                <w:lang w:val="en-US" w:eastAsia="zh-CN"/>
              </w:rPr>
              <w:t>%。</w:t>
            </w:r>
          </w:p>
          <w:p w14:paraId="3E135840">
            <w:pPr>
              <w:pStyle w:val="44"/>
              <w:pageBreakBefore w:val="0"/>
              <w:widowControl w:val="0"/>
              <w:shd w:val="clear" w:color="auto" w:fill="auto"/>
              <w:kinsoku/>
              <w:wordWrap/>
              <w:overflowPunct w:val="0"/>
              <w:topLinePunct w:val="0"/>
              <w:bidi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shd w:val="clear" w:color="auto" w:fill="auto"/>
                <w:lang w:val="en-US" w:eastAsia="zh-CN"/>
              </w:rPr>
              <w:t>（5）</w:t>
            </w:r>
            <w:r>
              <w:rPr>
                <w:rFonts w:hint="eastAsia" w:ascii="宋体" w:hAnsi="宋体" w:eastAsia="宋体" w:cs="宋体"/>
                <w:b w:val="0"/>
                <w:color w:val="auto"/>
                <w:sz w:val="24"/>
                <w:szCs w:val="24"/>
                <w:highlight w:val="none"/>
                <w:shd w:val="clear" w:color="auto" w:fill="auto"/>
                <w:lang w:val="en-US" w:eastAsia="zh-CN"/>
              </w:rPr>
              <w:t>符合条件的大中型企业向小微企业分包的，</w:t>
            </w:r>
            <w:r>
              <w:rPr>
                <w:rFonts w:hint="eastAsia" w:ascii="宋体" w:hAnsi="宋体" w:eastAsia="宋体" w:cs="宋体"/>
                <w:b w:val="0"/>
                <w:bCs w:val="0"/>
                <w:color w:val="auto"/>
                <w:kern w:val="0"/>
                <w:sz w:val="24"/>
                <w:szCs w:val="24"/>
                <w:highlight w:val="none"/>
                <w:shd w:val="clear" w:color="auto" w:fill="auto"/>
                <w:lang w:val="en-US" w:eastAsia="zh-CN" w:bidi="ar-SA"/>
              </w:rPr>
              <w:t>约定小微企业的合同份额占到合同总金额 30%以上的，给予</w:t>
            </w:r>
            <w:r>
              <w:rPr>
                <w:rFonts w:hint="eastAsia" w:ascii="宋体" w:hAnsi="宋体" w:eastAsia="宋体" w:cs="宋体"/>
                <w:b w:val="0"/>
                <w:color w:val="auto"/>
                <w:sz w:val="24"/>
                <w:szCs w:val="24"/>
                <w:highlight w:val="none"/>
                <w:shd w:val="clear" w:color="auto" w:fill="auto"/>
                <w:lang w:val="en-US" w:eastAsia="zh-CN"/>
              </w:rPr>
              <w:t>大中型企业价格扣除</w:t>
            </w:r>
            <w:r>
              <w:rPr>
                <w:rFonts w:hint="eastAsia" w:ascii="宋体" w:hAnsi="宋体" w:eastAsia="宋体" w:cs="宋体"/>
                <w:b w:val="0"/>
                <w:bCs/>
                <w:kern w:val="0"/>
                <w:sz w:val="24"/>
                <w:szCs w:val="24"/>
                <w:highlight w:val="none"/>
                <w:shd w:val="clear" w:color="auto" w:fill="auto"/>
                <w:lang w:val="en-US" w:eastAsia="zh-CN"/>
              </w:rPr>
              <w:t>：</w:t>
            </w:r>
            <w:r>
              <w:rPr>
                <w:rFonts w:hint="eastAsia" w:ascii="宋体" w:hAnsi="宋体" w:eastAsia="宋体" w:cs="宋体"/>
                <w:b w:val="0"/>
                <w:bCs/>
                <w:kern w:val="0"/>
                <w:sz w:val="24"/>
                <w:szCs w:val="24"/>
                <w:highlight w:val="none"/>
                <w:u w:val="single"/>
                <w:shd w:val="clear" w:color="auto" w:fill="auto"/>
                <w:lang w:val="en-US" w:eastAsia="zh-CN"/>
              </w:rPr>
              <w:t xml:space="preserve"> </w:t>
            </w:r>
            <w:r>
              <w:rPr>
                <w:rFonts w:hint="eastAsia" w:ascii="宋体" w:hAnsi="宋体" w:eastAsia="宋体" w:cs="宋体"/>
                <w:b w:val="0"/>
                <w:bCs/>
                <w:kern w:val="0"/>
                <w:sz w:val="24"/>
                <w:szCs w:val="24"/>
                <w:highlight w:val="none"/>
                <w:u w:val="single"/>
                <w:lang w:val="en-US" w:eastAsia="zh-CN"/>
              </w:rPr>
              <w:t xml:space="preserve">/ </w:t>
            </w:r>
            <w:r>
              <w:rPr>
                <w:rFonts w:hint="eastAsia" w:ascii="宋体" w:hAnsi="宋体" w:eastAsia="宋体" w:cs="宋体"/>
                <w:b w:val="0"/>
                <w:bCs/>
                <w:kern w:val="0"/>
                <w:sz w:val="24"/>
                <w:szCs w:val="24"/>
                <w:highlight w:val="none"/>
                <w:u w:val="single"/>
                <w:shd w:val="clear" w:color="auto" w:fill="auto"/>
                <w:lang w:val="en-US" w:eastAsia="zh-CN"/>
              </w:rPr>
              <w:t xml:space="preserve"> </w:t>
            </w:r>
            <w:r>
              <w:rPr>
                <w:rFonts w:hint="eastAsia" w:ascii="宋体" w:hAnsi="宋体" w:eastAsia="宋体" w:cs="宋体"/>
                <w:b w:val="0"/>
                <w:bCs/>
                <w:kern w:val="0"/>
                <w:sz w:val="24"/>
                <w:szCs w:val="24"/>
                <w:highlight w:val="none"/>
                <w:shd w:val="clear" w:color="auto" w:fill="auto"/>
                <w:lang w:val="en-US" w:eastAsia="zh-CN"/>
              </w:rPr>
              <w:t>%。</w:t>
            </w:r>
          </w:p>
          <w:p w14:paraId="3CB514C9">
            <w:pPr>
              <w:pStyle w:val="44"/>
              <w:pageBreakBefore w:val="0"/>
              <w:widowControl w:val="0"/>
              <w:kinsoku/>
              <w:wordWrap/>
              <w:overflowPunct w:val="0"/>
              <w:topLinePunct w:val="0"/>
              <w:bidi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注：1.小微企业参加政府采购活动，应当按照磋商文件给定的格式出具《中小企业声明函》，否则不得享受相关中小企业扶持政策；</w:t>
            </w:r>
          </w:p>
          <w:p w14:paraId="35E7DCE0">
            <w:pPr>
              <w:pStyle w:val="44"/>
              <w:pageBreakBefore w:val="0"/>
              <w:widowControl w:val="0"/>
              <w:kinsoku/>
              <w:wordWrap/>
              <w:overflowPunct w:val="0"/>
              <w:topLinePunct w:val="0"/>
              <w:bidi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2.监狱企业提供了由省级以上监狱管理局、戒毒管理局（含新疆生产建设兵团）出具的属于监狱企业的证明文件的，视同小微企业；</w:t>
            </w:r>
          </w:p>
          <w:p w14:paraId="758D6788">
            <w:pPr>
              <w:pStyle w:val="44"/>
              <w:pageBreakBefore w:val="0"/>
              <w:widowControl w:val="0"/>
              <w:kinsoku/>
              <w:wordWrap/>
              <w:overflowPunct w:val="0"/>
              <w:topLinePunct w:val="0"/>
              <w:bidi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3.残疾人福利性单位按磋商文件要求提供《残疾人福利性单位声明函》的，视同小微企业；</w:t>
            </w:r>
          </w:p>
          <w:p w14:paraId="130256B5">
            <w:pPr>
              <w:pageBreakBefore w:val="0"/>
              <w:widowControl w:val="0"/>
              <w:kinsoku/>
              <w:wordWrap/>
              <w:overflowPunct w:val="0"/>
              <w:topLinePunct w:val="0"/>
              <w:bidi w:val="0"/>
              <w:snapToGrid w:val="0"/>
              <w:spacing w:beforeAutospacing="0" w:afterAutospacing="0" w:line="360" w:lineRule="auto"/>
              <w:ind w:left="0" w:leftChars="0" w:right="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4.对于同时属于小微企业、监狱企业或残疾人福利性单位的，不重复进行报价扣除。</w:t>
            </w:r>
          </w:p>
          <w:p w14:paraId="6CB977D3">
            <w:pPr>
              <w:pageBreakBefore w:val="0"/>
              <w:widowControl w:val="0"/>
              <w:kinsoku/>
              <w:wordWrap/>
              <w:overflowPunct w:val="0"/>
              <w:topLinePunct w:val="0"/>
              <w:bidi w:val="0"/>
              <w:snapToGrid w:val="0"/>
              <w:spacing w:beforeAutospacing="0" w:afterAutospacing="0" w:line="360" w:lineRule="auto"/>
              <w:ind w:left="0" w:leftChars="0" w:right="0" w:rightChars="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5.以上所有涉及价格扣除的结果均按四舍五入原则保留两位小数。</w:t>
            </w:r>
          </w:p>
        </w:tc>
      </w:tr>
      <w:tr w14:paraId="0FF0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tcBorders>
            <w:vAlign w:val="center"/>
          </w:tcPr>
          <w:p w14:paraId="0A51A220">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29</w:t>
            </w:r>
          </w:p>
        </w:tc>
        <w:tc>
          <w:tcPr>
            <w:tcW w:w="2496" w:type="dxa"/>
            <w:vAlign w:val="center"/>
          </w:tcPr>
          <w:p w14:paraId="429AC189">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“三首”产品价格扣除</w:t>
            </w:r>
          </w:p>
        </w:tc>
        <w:tc>
          <w:tcPr>
            <w:tcW w:w="6684" w:type="dxa"/>
            <w:tcBorders>
              <w:right w:val="single" w:color="000000" w:sz="10" w:space="0"/>
            </w:tcBorders>
            <w:vAlign w:val="center"/>
          </w:tcPr>
          <w:p w14:paraId="401F041F">
            <w:pPr>
              <w:pageBreakBefore w:val="0"/>
              <w:widowControl w:val="0"/>
              <w:kinsoku/>
              <w:wordWrap/>
              <w:overflowPunct w:val="0"/>
              <w:topLinePunct w:val="0"/>
              <w:bidi w:val="0"/>
              <w:spacing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中小企业生产的“三首”产品价格扣除：</w:t>
            </w:r>
            <w:r>
              <w:rPr>
                <w:rFonts w:hint="eastAsia" w:ascii="宋体" w:hAnsi="宋体" w:eastAsia="宋体" w:cs="宋体"/>
                <w:color w:val="auto"/>
                <w:sz w:val="24"/>
                <w:szCs w:val="24"/>
                <w:highlight w:val="none"/>
                <w:u w:val="single"/>
                <w:lang w:eastAsia="zh-CN"/>
              </w:rPr>
              <w:t>10</w:t>
            </w:r>
            <w:r>
              <w:rPr>
                <w:rFonts w:hint="eastAsia" w:ascii="宋体" w:hAnsi="宋体" w:eastAsia="宋体" w:cs="宋体"/>
                <w:bCs/>
                <w:color w:val="auto"/>
                <w:sz w:val="24"/>
                <w:szCs w:val="24"/>
                <w:highlight w:val="none"/>
                <w:lang w:eastAsia="zh-CN"/>
              </w:rPr>
              <w:t>%</w:t>
            </w:r>
          </w:p>
          <w:p w14:paraId="3A388676">
            <w:pPr>
              <w:pageBreakBefore w:val="0"/>
              <w:widowControl w:val="0"/>
              <w:kinsoku/>
              <w:wordWrap/>
              <w:overflowPunct w:val="0"/>
              <w:topLinePunct w:val="0"/>
              <w:bidi w:val="0"/>
              <w:adjustRightIn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bCs/>
                <w:color w:val="auto"/>
                <w:sz w:val="24"/>
                <w:szCs w:val="24"/>
                <w:highlight w:val="none"/>
                <w:lang w:eastAsia="zh-CN"/>
              </w:rPr>
              <w:t>注：可与小微企业价格扣减的优惠政策叠加。涉及价格扣除的结果按四舍五入原则保留两位小数。</w:t>
            </w:r>
          </w:p>
        </w:tc>
      </w:tr>
      <w:tr w14:paraId="39C55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left w:val="single" w:color="000000" w:sz="10" w:space="0"/>
              <w:bottom w:val="single" w:color="000000" w:sz="10" w:space="0"/>
            </w:tcBorders>
            <w:vAlign w:val="center"/>
          </w:tcPr>
          <w:p w14:paraId="1A0C6853">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30</w:t>
            </w:r>
          </w:p>
        </w:tc>
        <w:tc>
          <w:tcPr>
            <w:tcW w:w="2496" w:type="dxa"/>
            <w:tcBorders>
              <w:bottom w:val="single" w:color="000000" w:sz="10" w:space="0"/>
            </w:tcBorders>
            <w:vAlign w:val="center"/>
          </w:tcPr>
          <w:p w14:paraId="167DBFF2">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采购标的及其对应的中小企业划分标准所属行业</w:t>
            </w:r>
          </w:p>
        </w:tc>
        <w:tc>
          <w:tcPr>
            <w:tcW w:w="6684" w:type="dxa"/>
            <w:tcBorders>
              <w:bottom w:val="single" w:color="000000" w:sz="10" w:space="0"/>
              <w:right w:val="single" w:color="000000" w:sz="10" w:space="0"/>
            </w:tcBorders>
            <w:vAlign w:val="center"/>
          </w:tcPr>
          <w:p w14:paraId="75703D1C">
            <w:pPr>
              <w:pStyle w:val="27"/>
              <w:pageBreakBefore w:val="0"/>
              <w:kinsoku/>
              <w:wordWrap/>
              <w:overflowPunct w:val="0"/>
              <w:topLinePunct w:val="0"/>
              <w:bidi w:val="0"/>
              <w:spacing w:before="1" w:line="360" w:lineRule="auto"/>
              <w:ind w:left="113"/>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工程类：</w:t>
            </w:r>
            <w:r>
              <w:rPr>
                <w:rFonts w:hint="eastAsia" w:ascii="宋体" w:hAnsi="宋体" w:eastAsia="宋体" w:cs="宋体"/>
                <w:spacing w:val="-3"/>
                <w:sz w:val="24"/>
                <w:szCs w:val="24"/>
                <w:highlight w:val="none"/>
                <w:lang w:eastAsia="zh-CN"/>
              </w:rPr>
              <w:t>标的：</w:t>
            </w:r>
            <w:r>
              <w:rPr>
                <w:rFonts w:hint="eastAsia" w:cs="宋体"/>
                <w:spacing w:val="-3"/>
                <w:sz w:val="24"/>
                <w:szCs w:val="24"/>
                <w:highlight w:val="none"/>
                <w:u w:val="single"/>
                <w:lang w:eastAsia="zh-CN"/>
              </w:rPr>
              <w:t>铜陵市公共资源交易中心开标及评标室改造工程</w:t>
            </w:r>
            <w:r>
              <w:rPr>
                <w:rFonts w:hint="eastAsia" w:ascii="宋体" w:hAnsi="宋体" w:eastAsia="宋体" w:cs="宋体"/>
                <w:spacing w:val="-3"/>
                <w:sz w:val="24"/>
                <w:szCs w:val="24"/>
                <w:highlight w:val="none"/>
                <w:lang w:eastAsia="zh-CN"/>
              </w:rPr>
              <w:t>，属于</w:t>
            </w:r>
            <w:r>
              <w:rPr>
                <w:rFonts w:hint="eastAsia" w:ascii="宋体" w:hAnsi="宋体" w:eastAsia="宋体" w:cs="宋体"/>
                <w:spacing w:val="-3"/>
                <w:sz w:val="24"/>
                <w:szCs w:val="24"/>
                <w:highlight w:val="none"/>
                <w:u w:val="single"/>
                <w:lang w:val="en-US" w:eastAsia="zh-CN"/>
              </w:rPr>
              <w:t xml:space="preserve"> </w:t>
            </w:r>
            <w:r>
              <w:rPr>
                <w:rFonts w:hint="eastAsia" w:ascii="宋体" w:hAnsi="宋体" w:eastAsia="宋体" w:cs="宋体"/>
                <w:spacing w:val="-3"/>
                <w:sz w:val="24"/>
                <w:szCs w:val="24"/>
                <w:highlight w:val="none"/>
                <w:u w:val="single"/>
                <w:lang w:eastAsia="zh-CN"/>
              </w:rPr>
              <w:t xml:space="preserve">建筑业 </w:t>
            </w:r>
            <w:r>
              <w:rPr>
                <w:rFonts w:hint="eastAsia" w:ascii="宋体" w:hAnsi="宋体" w:eastAsia="宋体" w:cs="宋体"/>
                <w:spacing w:val="-3"/>
                <w:sz w:val="24"/>
                <w:szCs w:val="24"/>
                <w:highlight w:val="none"/>
                <w:lang w:eastAsia="zh-CN"/>
              </w:rPr>
              <w:t>行业。</w:t>
            </w:r>
          </w:p>
        </w:tc>
      </w:tr>
      <w:tr w14:paraId="511DF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top w:val="single" w:color="000000" w:sz="10" w:space="0"/>
              <w:left w:val="single" w:color="000000" w:sz="10" w:space="0"/>
              <w:bottom w:val="single" w:color="000000" w:sz="10" w:space="0"/>
            </w:tcBorders>
            <w:vAlign w:val="center"/>
          </w:tcPr>
          <w:p w14:paraId="41077D0C">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31</w:t>
            </w:r>
          </w:p>
        </w:tc>
        <w:tc>
          <w:tcPr>
            <w:tcW w:w="2496" w:type="dxa"/>
            <w:tcBorders>
              <w:top w:val="single" w:color="000000" w:sz="10" w:space="0"/>
              <w:bottom w:val="single" w:color="000000" w:sz="10" w:space="0"/>
            </w:tcBorders>
            <w:vAlign w:val="center"/>
          </w:tcPr>
          <w:p w14:paraId="741465F7">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竞争性磋商采购代理服务费</w:t>
            </w:r>
            <w:r>
              <w:rPr>
                <w:rFonts w:hint="eastAsia" w:cs="宋体"/>
                <w:spacing w:val="-2"/>
                <w:sz w:val="24"/>
                <w:szCs w:val="24"/>
                <w:highlight w:val="none"/>
                <w:lang w:val="en-US" w:eastAsia="zh-CN"/>
              </w:rPr>
              <w:t>及工程量清单和最高投标限价编制费</w:t>
            </w:r>
          </w:p>
        </w:tc>
        <w:tc>
          <w:tcPr>
            <w:tcW w:w="6684" w:type="dxa"/>
            <w:tcBorders>
              <w:top w:val="single" w:color="000000" w:sz="10" w:space="0"/>
              <w:bottom w:val="single" w:color="000000" w:sz="10" w:space="0"/>
              <w:right w:val="single" w:color="000000" w:sz="10" w:space="0"/>
            </w:tcBorders>
            <w:vAlign w:val="center"/>
          </w:tcPr>
          <w:p w14:paraId="5036DBB6">
            <w:pPr>
              <w:widowControl w:val="0"/>
              <w:wordWrap/>
              <w:adjustRightInd/>
              <w:snapToGrid/>
              <w:spacing w:before="39"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lang w:val="en-US" w:eastAsia="zh-CN"/>
              </w:rPr>
              <w:t>成交</w:t>
            </w:r>
            <w:r>
              <w:rPr>
                <w:rFonts w:hint="eastAsia" w:ascii="宋体" w:hAnsi="宋体" w:eastAsia="宋体" w:cs="宋体"/>
                <w:spacing w:val="14"/>
                <w:sz w:val="24"/>
                <w:szCs w:val="24"/>
                <w:highlight w:val="none"/>
                <w:lang w:val="en-US" w:eastAsia="zh-CN"/>
              </w:rPr>
              <w:t>供应商</w:t>
            </w:r>
          </w:p>
          <w:p w14:paraId="432D94E9">
            <w:pPr>
              <w:widowControl w:val="0"/>
              <w:wordWrap/>
              <w:adjustRightInd/>
              <w:snapToGrid/>
              <w:spacing w:before="24" w:line="360" w:lineRule="auto"/>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现金或转账支付给代理机构</w:t>
            </w:r>
          </w:p>
          <w:p w14:paraId="71F09200">
            <w:pPr>
              <w:pStyle w:val="30"/>
              <w:adjustRightInd/>
              <w:snapToGrid w:val="0"/>
              <w:spacing w:beforeAutospacing="0" w:afterAutospacing="0" w:line="360" w:lineRule="auto"/>
              <w:jc w:val="both"/>
              <w:textAlignment w:val="auto"/>
              <w:rPr>
                <w:rFonts w:hint="eastAsia" w:ascii="宋体" w:hAnsi="宋体" w:eastAsia="宋体" w:cs="宋体"/>
                <w:sz w:val="24"/>
                <w:szCs w:val="24"/>
                <w:highlight w:val="none"/>
                <w:u w:val="single" w:color="auto"/>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cs="宋体"/>
                <w:sz w:val="24"/>
                <w:szCs w:val="24"/>
                <w:highlight w:val="none"/>
                <w:u w:val="single" w:color="auto"/>
                <w:lang w:val="en-US" w:eastAsia="zh-CN"/>
              </w:rPr>
              <w:t>5</w:t>
            </w:r>
            <w:r>
              <w:rPr>
                <w:rFonts w:hint="eastAsia" w:ascii="宋体" w:hAnsi="宋体" w:eastAsia="宋体" w:cs="宋体"/>
                <w:sz w:val="24"/>
                <w:szCs w:val="24"/>
                <w:highlight w:val="none"/>
                <w:u w:val="single" w:color="auto"/>
                <w:lang w:val="en-US" w:eastAsia="zh-CN"/>
              </w:rPr>
              <w:t>000.00元</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14:paraId="4DEDEABB">
            <w:pPr>
              <w:keepNext w:val="0"/>
              <w:keepLines w:val="0"/>
              <w:pageBreakBefore w:val="0"/>
              <w:widowControl/>
              <w:suppressLineNumbers w:val="0"/>
              <w:kinsoku/>
              <w:wordWrap/>
              <w:overflowPunct/>
              <w:topLinePunct w:val="0"/>
              <w:bidi w:val="0"/>
              <w:adjustRightIn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户名：铜陵华诚工程咨询有限公司</w:t>
            </w:r>
          </w:p>
          <w:p w14:paraId="5402C545">
            <w:pPr>
              <w:keepNext w:val="0"/>
              <w:keepLines w:val="0"/>
              <w:pageBreakBefore w:val="0"/>
              <w:widowControl/>
              <w:suppressLineNumbers w:val="0"/>
              <w:kinsoku/>
              <w:wordWrap/>
              <w:overflowPunct/>
              <w:topLinePunct w:val="0"/>
              <w:bidi w:val="0"/>
              <w:adjustRightIn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开户行：农行铜陵西湖支行</w:t>
            </w:r>
          </w:p>
          <w:p w14:paraId="12E13C7E">
            <w:pPr>
              <w:pStyle w:val="30"/>
              <w:adjustRightInd/>
              <w:snapToGrid w:val="0"/>
              <w:spacing w:beforeAutospacing="0" w:afterAutospacing="0" w:line="360" w:lineRule="auto"/>
              <w:jc w:val="both"/>
              <w:textAlignment w:val="auto"/>
              <w:rPr>
                <w:rFonts w:hint="eastAsia" w:ascii="宋体" w:hAnsi="宋体" w:eastAsia="宋体" w:cs="宋体"/>
                <w:sz w:val="24"/>
                <w:szCs w:val="24"/>
                <w:highlight w:val="none"/>
                <w:u w:val="single" w:color="auto"/>
                <w:lang w:eastAsia="zh-CN"/>
              </w:rPr>
            </w:pPr>
            <w:r>
              <w:rPr>
                <w:rFonts w:hint="eastAsia" w:ascii="宋体" w:hAnsi="宋体" w:eastAsia="宋体" w:cs="宋体"/>
                <w:color w:val="000000"/>
                <w:kern w:val="0"/>
                <w:sz w:val="24"/>
                <w:szCs w:val="24"/>
                <w:highlight w:val="none"/>
                <w:lang w:val="en-US" w:eastAsia="zh-CN" w:bidi="ar"/>
              </w:rPr>
              <w:t>账号:12648001040003978</w:t>
            </w:r>
          </w:p>
          <w:p w14:paraId="5C33E29D">
            <w:pPr>
              <w:pStyle w:val="30"/>
              <w:adjustRightInd/>
              <w:snapToGrid w:val="0"/>
              <w:spacing w:beforeAutospacing="0" w:afterAutospacing="0"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注：此费用应综合进</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单价和总价中，无需单列。</w:t>
            </w:r>
          </w:p>
        </w:tc>
      </w:tr>
      <w:tr w14:paraId="23AD5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top w:val="single" w:color="000000" w:sz="10" w:space="0"/>
              <w:left w:val="single" w:color="000000" w:sz="10" w:space="0"/>
              <w:bottom w:val="single" w:color="000000" w:sz="10" w:space="0"/>
            </w:tcBorders>
            <w:vAlign w:val="center"/>
          </w:tcPr>
          <w:p w14:paraId="6C25BAC4">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32</w:t>
            </w:r>
          </w:p>
        </w:tc>
        <w:tc>
          <w:tcPr>
            <w:tcW w:w="2496" w:type="dxa"/>
            <w:tcBorders>
              <w:top w:val="single" w:color="000000" w:sz="10" w:space="0"/>
              <w:bottom w:val="single" w:color="000000" w:sz="10" w:space="0"/>
            </w:tcBorders>
            <w:vAlign w:val="center"/>
          </w:tcPr>
          <w:p w14:paraId="3CB22EA9">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信用查询</w:t>
            </w:r>
          </w:p>
        </w:tc>
        <w:tc>
          <w:tcPr>
            <w:tcW w:w="6684" w:type="dxa"/>
            <w:tcBorders>
              <w:top w:val="single" w:color="000000" w:sz="10" w:space="0"/>
              <w:bottom w:val="single" w:color="000000" w:sz="10" w:space="0"/>
              <w:right w:val="single" w:color="000000" w:sz="10" w:space="0"/>
            </w:tcBorders>
            <w:vAlign w:val="center"/>
          </w:tcPr>
          <w:p w14:paraId="3F0F8A55">
            <w:pPr>
              <w:pageBreakBefore w:val="0"/>
              <w:kinsoku/>
              <w:wordWrap/>
              <w:overflowPunct w:val="0"/>
              <w:topLinePunct w:val="0"/>
              <w:bidi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详见第三章《评审方法和评审标准》</w:t>
            </w:r>
          </w:p>
        </w:tc>
      </w:tr>
      <w:tr w14:paraId="12FA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top w:val="single" w:color="000000" w:sz="10" w:space="0"/>
              <w:left w:val="single" w:color="000000" w:sz="10" w:space="0"/>
              <w:bottom w:val="single" w:color="000000" w:sz="10" w:space="0"/>
            </w:tcBorders>
            <w:vAlign w:val="center"/>
          </w:tcPr>
          <w:p w14:paraId="137183D8">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33</w:t>
            </w:r>
          </w:p>
        </w:tc>
        <w:tc>
          <w:tcPr>
            <w:tcW w:w="2496" w:type="dxa"/>
            <w:tcBorders>
              <w:top w:val="single" w:color="000000" w:sz="10" w:space="0"/>
              <w:bottom w:val="single" w:color="000000" w:sz="10" w:space="0"/>
            </w:tcBorders>
            <w:vAlign w:val="center"/>
          </w:tcPr>
          <w:p w14:paraId="735A6929">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履约补偿机制</w:t>
            </w:r>
          </w:p>
        </w:tc>
        <w:tc>
          <w:tcPr>
            <w:tcW w:w="6684" w:type="dxa"/>
            <w:tcBorders>
              <w:top w:val="single" w:color="000000" w:sz="10" w:space="0"/>
              <w:bottom w:val="single" w:color="000000" w:sz="10" w:space="0"/>
              <w:right w:val="single" w:color="000000" w:sz="10" w:space="0"/>
            </w:tcBorders>
            <w:vAlign w:val="center"/>
          </w:tcPr>
          <w:p w14:paraId="114B3FFE">
            <w:pPr>
              <w:pageBreakBefore w:val="0"/>
              <w:kinsoku/>
              <w:wordWrap/>
              <w:overflowPunct w:val="0"/>
              <w:topLinePunct w:val="0"/>
              <w:bidi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如</w:t>
            </w:r>
            <w:r>
              <w:rPr>
                <w:rFonts w:hint="eastAsia" w:ascii="宋体" w:hAnsi="宋体" w:eastAsia="宋体" w:cs="宋体"/>
                <w:kern w:val="0"/>
                <w:sz w:val="24"/>
                <w:szCs w:val="24"/>
                <w:highlight w:val="none"/>
              </w:rPr>
              <w:t>有延期返还履约保证金、延期支付合同款项，或因采购人原因导致变更、中止或终止政府采购合同的，应依照合同约定对供应商受到的损失予以赔偿或补偿。对因政策变化等原因不能签订合同，造成企业合法利益受损的情形，采购人应与供应商充分协商，给予合理补偿。</w:t>
            </w:r>
          </w:p>
        </w:tc>
      </w:tr>
      <w:tr w14:paraId="4BBC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top w:val="single" w:color="000000" w:sz="10" w:space="0"/>
              <w:left w:val="single" w:color="000000" w:sz="10" w:space="0"/>
              <w:bottom w:val="single" w:color="000000" w:sz="10" w:space="0"/>
            </w:tcBorders>
            <w:vAlign w:val="center"/>
          </w:tcPr>
          <w:p w14:paraId="09FA5A45">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34</w:t>
            </w:r>
          </w:p>
        </w:tc>
        <w:tc>
          <w:tcPr>
            <w:tcW w:w="2496" w:type="dxa"/>
            <w:tcBorders>
              <w:top w:val="single" w:color="000000" w:sz="10" w:space="0"/>
              <w:bottom w:val="single" w:color="000000" w:sz="10" w:space="0"/>
            </w:tcBorders>
            <w:vAlign w:val="center"/>
          </w:tcPr>
          <w:p w14:paraId="06082425">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本项目提供除电子版磋商文件以外的其他资料</w:t>
            </w:r>
          </w:p>
        </w:tc>
        <w:tc>
          <w:tcPr>
            <w:tcW w:w="6684" w:type="dxa"/>
            <w:tcBorders>
              <w:top w:val="single" w:color="000000" w:sz="10" w:space="0"/>
              <w:bottom w:val="single" w:color="000000" w:sz="10" w:space="0"/>
              <w:right w:val="single" w:color="000000" w:sz="10" w:space="0"/>
            </w:tcBorders>
            <w:vAlign w:val="center"/>
          </w:tcPr>
          <w:p w14:paraId="2EB456F0">
            <w:pPr>
              <w:pageBreakBefore w:val="0"/>
              <w:kinsoku/>
              <w:wordWrap/>
              <w:overflowPunct w:val="0"/>
              <w:topLinePunct w:val="0"/>
              <w:bidi w:val="0"/>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bCs/>
                <w:sz w:val="24"/>
                <w:szCs w:val="24"/>
                <w:highlight w:val="none"/>
                <w:lang w:eastAsia="zh-CN"/>
              </w:rPr>
              <w:t>☑工程量清单</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图纸</w:t>
            </w:r>
          </w:p>
        </w:tc>
      </w:tr>
      <w:tr w14:paraId="36CA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top w:val="single" w:color="000000" w:sz="10" w:space="0"/>
              <w:left w:val="single" w:color="000000" w:sz="10" w:space="0"/>
              <w:bottom w:val="single" w:color="000000" w:sz="10" w:space="0"/>
            </w:tcBorders>
            <w:vAlign w:val="center"/>
          </w:tcPr>
          <w:p w14:paraId="1C00B45F">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35</w:t>
            </w:r>
          </w:p>
        </w:tc>
        <w:tc>
          <w:tcPr>
            <w:tcW w:w="2496" w:type="dxa"/>
            <w:tcBorders>
              <w:top w:val="single" w:color="000000" w:sz="10" w:space="0"/>
              <w:bottom w:val="single" w:color="000000" w:sz="10" w:space="0"/>
            </w:tcBorders>
            <w:vAlign w:val="center"/>
          </w:tcPr>
          <w:p w14:paraId="3452BF46">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竞争性磋商文件的解释权顺序</w:t>
            </w:r>
          </w:p>
        </w:tc>
        <w:tc>
          <w:tcPr>
            <w:tcW w:w="6684" w:type="dxa"/>
            <w:tcBorders>
              <w:top w:val="single" w:color="000000" w:sz="10" w:space="0"/>
              <w:bottom w:val="single" w:color="000000" w:sz="10" w:space="0"/>
              <w:right w:val="single" w:color="000000" w:sz="10" w:space="0"/>
            </w:tcBorders>
            <w:vAlign w:val="center"/>
          </w:tcPr>
          <w:p w14:paraId="1ABD9E85">
            <w:pPr>
              <w:pageBreakBefore w:val="0"/>
              <w:kinsoku/>
              <w:wordWrap/>
              <w:overflowPunct w:val="0"/>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1.构成本竞争性磋商文件的各个组成文件应互为解释，互为说明；</w:t>
            </w:r>
          </w:p>
          <w:p w14:paraId="70361D8E">
            <w:pPr>
              <w:pageBreakBefore w:val="0"/>
              <w:kinsoku/>
              <w:wordWrap/>
              <w:overflowPunct w:val="0"/>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2.除竞争性磋商文件中有特别规定外，仅适用于政府采购阶段的规定，同一组成文件中就同一事项的规定或约定不一致的，按评审方法、采购公告、供应商须知、响应文件格式的优先顺序解释；</w:t>
            </w:r>
          </w:p>
          <w:p w14:paraId="271B1BE0">
            <w:pPr>
              <w:pageBreakBefore w:val="0"/>
              <w:kinsoku/>
              <w:wordWrap/>
              <w:overflowPunct w:val="0"/>
              <w:topLinePunct w:val="0"/>
              <w:bidi w:val="0"/>
              <w:spacing w:line="360" w:lineRule="auto"/>
              <w:textAlignment w:val="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3.按上述规定仍不能形成结论的，由采购人或其委托的采购代理机构负责解释。</w:t>
            </w:r>
          </w:p>
        </w:tc>
      </w:tr>
      <w:tr w14:paraId="74B62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top w:val="single" w:color="000000" w:sz="10" w:space="0"/>
              <w:left w:val="single" w:color="000000" w:sz="10" w:space="0"/>
              <w:bottom w:val="single" w:color="000000" w:sz="10" w:space="0"/>
            </w:tcBorders>
            <w:vAlign w:val="center"/>
          </w:tcPr>
          <w:p w14:paraId="7158FA20">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36</w:t>
            </w:r>
          </w:p>
        </w:tc>
        <w:tc>
          <w:tcPr>
            <w:tcW w:w="2496" w:type="dxa"/>
            <w:tcBorders>
              <w:top w:val="single" w:color="000000" w:sz="10" w:space="0"/>
              <w:bottom w:val="single" w:color="000000" w:sz="10" w:space="0"/>
            </w:tcBorders>
            <w:vAlign w:val="center"/>
          </w:tcPr>
          <w:p w14:paraId="572CCFFD">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其他</w:t>
            </w:r>
          </w:p>
        </w:tc>
        <w:tc>
          <w:tcPr>
            <w:tcW w:w="6684" w:type="dxa"/>
            <w:tcBorders>
              <w:top w:val="single" w:color="000000" w:sz="10" w:space="0"/>
              <w:bottom w:val="single" w:color="000000" w:sz="10" w:space="0"/>
              <w:right w:val="single" w:color="000000" w:sz="10" w:space="0"/>
            </w:tcBorders>
            <w:vAlign w:val="center"/>
          </w:tcPr>
          <w:p w14:paraId="382A4DEB">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“政采贷”融资指引：有融资需求的</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bCs/>
                <w:color w:val="auto"/>
                <w:sz w:val="24"/>
                <w:szCs w:val="24"/>
                <w:highlight w:val="none"/>
              </w:rPr>
              <w:t>在取得政府采购中标或成交通知书后，</w:t>
            </w:r>
            <w:r>
              <w:rPr>
                <w:rFonts w:hint="eastAsia" w:ascii="宋体" w:hAnsi="宋体" w:eastAsia="宋体" w:cs="宋体"/>
                <w:color w:val="auto"/>
                <w:kern w:val="0"/>
                <w:sz w:val="24"/>
                <w:szCs w:val="24"/>
                <w:highlight w:val="none"/>
              </w:rPr>
              <w:t>可访问安徽省政府采购网“政采贷”专栏</w:t>
            </w:r>
            <w:r>
              <w:rPr>
                <w:rFonts w:hint="eastAsia" w:ascii="宋体" w:hAnsi="宋体" w:eastAsia="宋体" w:cs="宋体"/>
                <w:color w:val="auto"/>
                <w:kern w:val="0"/>
                <w:sz w:val="24"/>
                <w:szCs w:val="24"/>
                <w:highlight w:val="none"/>
                <w:lang w:eastAsia="zh-CN"/>
              </w:rPr>
              <w:t>，</w:t>
            </w:r>
            <w:r>
              <w:rPr>
                <w:rFonts w:hint="eastAsia" w:ascii="宋体" w:hAnsi="宋体" w:eastAsia="宋体" w:cs="宋体"/>
                <w:bCs/>
                <w:color w:val="auto"/>
                <w:sz w:val="24"/>
                <w:szCs w:val="24"/>
                <w:highlight w:val="none"/>
              </w:rPr>
              <w:t>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r>
              <w:rPr>
                <w:rFonts w:hint="eastAsia" w:ascii="宋体" w:hAnsi="宋体" w:eastAsia="宋体" w:cs="宋体"/>
                <w:color w:val="auto"/>
                <w:kern w:val="0"/>
                <w:sz w:val="24"/>
                <w:szCs w:val="24"/>
                <w:highlight w:val="none"/>
              </w:rPr>
              <w:t>具体操作</w:t>
            </w:r>
            <w:r>
              <w:rPr>
                <w:rFonts w:hint="eastAsia" w:ascii="宋体" w:hAnsi="宋体" w:eastAsia="宋体" w:cs="宋体"/>
                <w:color w:val="auto"/>
                <w:kern w:val="0"/>
                <w:sz w:val="24"/>
                <w:szCs w:val="24"/>
                <w:highlight w:val="none"/>
                <w:u w:val="none"/>
              </w:rPr>
              <w:t>流程及金融机构联系方式详见</w:t>
            </w:r>
            <w:r>
              <w:rPr>
                <w:rFonts w:hint="eastAsia" w:ascii="宋体" w:hAnsi="宋体" w:eastAsia="宋体" w:cs="宋体"/>
                <w:bCs/>
                <w:color w:val="auto"/>
                <w:sz w:val="24"/>
                <w:szCs w:val="24"/>
                <w:highlight w:val="none"/>
              </w:rPr>
              <w:t>铜陵市公共资源交易中心“金融服务平台”专栏或铜陵市财政局“政府采购营商环境”专栏。</w:t>
            </w:r>
          </w:p>
          <w:p w14:paraId="7866851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en-US" w:eastAsia="zh-CN"/>
              </w:rPr>
              <w:t>2.电子保函业务指引：中标人可访问安徽省政府采购网“融资/保函”专栏进行申请，申请办理电子保函（包括：履约保函、预付款保函），也可在铜陵市公共资源交易金融服务平台（网址：</w:t>
            </w: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"http://60.173.1.248:8181/financeplatform/productservice.html?type=1" \t "https://www.tl.gov.cn/openness/OpennessContent/show/_self"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http://60.173.1.248:8181/financeplatform/productservice.html?type=1</w:t>
            </w:r>
            <w:r>
              <w:rPr>
                <w:rFonts w:hint="eastAsia" w:ascii="宋体" w:hAnsi="宋体" w:eastAsia="宋体" w:cs="宋体"/>
                <w:bCs/>
                <w:color w:val="auto"/>
                <w:sz w:val="24"/>
                <w:szCs w:val="24"/>
                <w:highlight w:val="none"/>
                <w:lang w:val="en-US" w:eastAsia="zh-CN"/>
              </w:rPr>
              <w:fldChar w:fldCharType="end"/>
            </w:r>
            <w:r>
              <w:rPr>
                <w:rFonts w:hint="eastAsia" w:ascii="宋体" w:hAnsi="宋体" w:eastAsia="宋体" w:cs="宋体"/>
                <w:bCs/>
                <w:color w:val="auto"/>
                <w:sz w:val="24"/>
                <w:szCs w:val="24"/>
                <w:highlight w:val="none"/>
                <w:lang w:val="en-US" w:eastAsia="zh-CN"/>
              </w:rPr>
              <w:t>）或其他符合规定的第三方金融机构、担保机构进行申请。</w:t>
            </w:r>
          </w:p>
        </w:tc>
      </w:tr>
      <w:tr w14:paraId="7181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top w:val="single" w:color="000000" w:sz="10" w:space="0"/>
              <w:left w:val="single" w:color="000000" w:sz="10" w:space="0"/>
              <w:bottom w:val="single" w:color="000000" w:sz="10" w:space="0"/>
            </w:tcBorders>
            <w:vAlign w:val="center"/>
          </w:tcPr>
          <w:p w14:paraId="116111F2">
            <w:pPr>
              <w:pStyle w:val="27"/>
              <w:pageBreakBefore w:val="0"/>
              <w:kinsoku/>
              <w:wordWrap/>
              <w:overflowPunct w:val="0"/>
              <w:topLinePunct w:val="0"/>
              <w:bidi w:val="0"/>
              <w:spacing w:before="44"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37</w:t>
            </w:r>
          </w:p>
        </w:tc>
        <w:tc>
          <w:tcPr>
            <w:tcW w:w="2496" w:type="dxa"/>
            <w:tcBorders>
              <w:top w:val="single" w:color="000000" w:sz="10" w:space="0"/>
              <w:bottom w:val="single" w:color="000000" w:sz="10" w:space="0"/>
            </w:tcBorders>
            <w:vAlign w:val="center"/>
          </w:tcPr>
          <w:p w14:paraId="26FCF11E">
            <w:pPr>
              <w:pStyle w:val="27"/>
              <w:pageBreakBefore w:val="0"/>
              <w:kinsoku/>
              <w:wordWrap/>
              <w:overflowPunct w:val="0"/>
              <w:topLinePunct w:val="0"/>
              <w:bidi w:val="0"/>
              <w:spacing w:before="44" w:line="360" w:lineRule="auto"/>
              <w:jc w:val="left"/>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接收询问和质疑的联系方式</w:t>
            </w:r>
          </w:p>
        </w:tc>
        <w:tc>
          <w:tcPr>
            <w:tcW w:w="6684" w:type="dxa"/>
            <w:tcBorders>
              <w:top w:val="single" w:color="000000" w:sz="10" w:space="0"/>
              <w:bottom w:val="single" w:color="000000" w:sz="10" w:space="0"/>
              <w:right w:val="single" w:color="000000" w:sz="10" w:space="0"/>
            </w:tcBorders>
            <w:vAlign w:val="center"/>
          </w:tcPr>
          <w:p w14:paraId="34B80818">
            <w:pPr>
              <w:pageBreakBefore w:val="0"/>
              <w:kinsoku/>
              <w:wordWrap/>
              <w:overflowPunct w:val="0"/>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采购人联系部门：</w:t>
            </w:r>
            <w:r>
              <w:rPr>
                <w:rFonts w:hint="eastAsia" w:ascii="宋体" w:hAnsi="宋体" w:eastAsia="宋体" w:cs="宋体"/>
                <w:sz w:val="24"/>
                <w:szCs w:val="24"/>
                <w:highlight w:val="none"/>
                <w:u w:val="single"/>
                <w:lang w:eastAsia="zh-CN"/>
              </w:rPr>
              <w:t>铜陵市公共资源交易中心</w:t>
            </w:r>
            <w:r>
              <w:rPr>
                <w:rFonts w:hint="eastAsia" w:ascii="宋体" w:hAnsi="宋体" w:eastAsia="宋体" w:cs="宋体"/>
                <w:sz w:val="24"/>
                <w:szCs w:val="24"/>
                <w:highlight w:val="none"/>
                <w:lang w:eastAsia="zh-CN"/>
              </w:rPr>
              <w:t>；</w:t>
            </w:r>
          </w:p>
          <w:p w14:paraId="463B325D">
            <w:pPr>
              <w:pageBreakBefore w:val="0"/>
              <w:kinsoku/>
              <w:wordWrap/>
              <w:overflowPunct w:val="0"/>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w:t>
            </w:r>
            <w:r>
              <w:rPr>
                <w:rFonts w:hint="eastAsia" w:ascii="宋体" w:hAnsi="宋体" w:eastAsia="宋体" w:cs="宋体"/>
                <w:sz w:val="24"/>
                <w:szCs w:val="24"/>
                <w:highlight w:val="none"/>
                <w:u w:val="single"/>
                <w:lang w:val="en-US" w:eastAsia="zh-CN"/>
              </w:rPr>
              <w:t xml:space="preserve">0562-5885818   </w:t>
            </w:r>
            <w:r>
              <w:rPr>
                <w:rFonts w:hint="eastAsia" w:ascii="宋体" w:hAnsi="宋体" w:eastAsia="宋体" w:cs="宋体"/>
                <w:sz w:val="24"/>
                <w:szCs w:val="24"/>
                <w:highlight w:val="none"/>
                <w:lang w:eastAsia="zh-CN"/>
              </w:rPr>
              <w:t>；</w:t>
            </w:r>
          </w:p>
          <w:p w14:paraId="2489FE4A">
            <w:pPr>
              <w:pageBreakBefore w:val="0"/>
              <w:kinsoku/>
              <w:wordWrap/>
              <w:overflowPunct w:val="0"/>
              <w:topLinePunct w:val="0"/>
              <w:bidi w:val="0"/>
              <w:spacing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通讯地址：</w:t>
            </w:r>
            <w:r>
              <w:rPr>
                <w:rFonts w:hint="eastAsia" w:ascii="宋体" w:hAnsi="宋体" w:eastAsia="宋体" w:cs="宋体"/>
                <w:sz w:val="24"/>
                <w:szCs w:val="24"/>
                <w:highlight w:val="none"/>
                <w:u w:val="single"/>
                <w:lang w:eastAsia="zh-CN"/>
              </w:rPr>
              <w:t>安徽省铜陵市投资大厦（铜井路与铜都大道北段交叉口西北100米）</w:t>
            </w:r>
            <w:r>
              <w:rPr>
                <w:rFonts w:hint="eastAsia" w:ascii="宋体" w:hAnsi="宋体" w:eastAsia="宋体" w:cs="宋体"/>
                <w:sz w:val="24"/>
                <w:szCs w:val="24"/>
                <w:highlight w:val="none"/>
                <w:u w:val="single"/>
                <w:lang w:val="en-US" w:eastAsia="zh-CN"/>
              </w:rPr>
              <w:t>；</w:t>
            </w:r>
          </w:p>
          <w:p w14:paraId="7DD053F6">
            <w:pPr>
              <w:pageBreakBefore w:val="0"/>
              <w:kinsoku/>
              <w:wordWrap/>
              <w:overflowPunct w:val="0"/>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代理机构名称：</w:t>
            </w:r>
            <w:r>
              <w:rPr>
                <w:rFonts w:hint="eastAsia" w:ascii="宋体" w:hAnsi="宋体" w:eastAsia="宋体" w:cs="宋体"/>
                <w:sz w:val="24"/>
                <w:szCs w:val="24"/>
                <w:highlight w:val="none"/>
                <w:u w:val="single"/>
                <w:lang w:eastAsia="zh-CN"/>
              </w:rPr>
              <w:t xml:space="preserve">铜陵华诚工程咨询有限公司  </w:t>
            </w:r>
            <w:r>
              <w:rPr>
                <w:rFonts w:hint="eastAsia" w:ascii="宋体" w:hAnsi="宋体" w:eastAsia="宋体" w:cs="宋体"/>
                <w:sz w:val="24"/>
                <w:szCs w:val="24"/>
                <w:highlight w:val="none"/>
                <w:lang w:eastAsia="zh-CN"/>
              </w:rPr>
              <w:t>；</w:t>
            </w:r>
          </w:p>
          <w:p w14:paraId="198B349D">
            <w:pPr>
              <w:pageBreakBefore w:val="0"/>
              <w:kinsoku/>
              <w:wordWrap/>
              <w:overflowPunct w:val="0"/>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w:t>
            </w:r>
            <w:r>
              <w:rPr>
                <w:rFonts w:hint="eastAsia" w:ascii="宋体" w:hAnsi="宋体" w:eastAsia="宋体" w:cs="宋体"/>
                <w:sz w:val="24"/>
                <w:szCs w:val="24"/>
                <w:highlight w:val="none"/>
                <w:u w:val="single"/>
                <w:lang w:val="en-US" w:eastAsia="zh-CN"/>
              </w:rPr>
              <w:t>0562-2825819</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p>
          <w:p w14:paraId="1D09AC75">
            <w:pPr>
              <w:pageBreakBefore w:val="0"/>
              <w:kinsoku/>
              <w:wordWrap/>
              <w:overflowPunct w:val="0"/>
              <w:topLinePunct w:val="0"/>
              <w:bidi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通讯地址：</w:t>
            </w:r>
            <w:r>
              <w:rPr>
                <w:rFonts w:hint="eastAsia" w:ascii="宋体" w:hAnsi="宋体" w:eastAsia="宋体" w:cs="宋体"/>
                <w:sz w:val="24"/>
                <w:szCs w:val="24"/>
                <w:highlight w:val="none"/>
                <w:u w:val="single"/>
                <w:lang w:eastAsia="zh-CN"/>
              </w:rPr>
              <w:t>铜陵市铜井路西段658号。</w:t>
            </w:r>
          </w:p>
        </w:tc>
      </w:tr>
      <w:tr w14:paraId="55A6F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25" w:type="dxa"/>
            <w:tcBorders>
              <w:top w:val="single" w:color="000000" w:sz="10" w:space="0"/>
              <w:left w:val="single" w:color="000000" w:sz="10" w:space="0"/>
              <w:bottom w:val="single" w:color="000000" w:sz="10" w:space="0"/>
            </w:tcBorders>
            <w:vAlign w:val="center"/>
          </w:tcPr>
          <w:p w14:paraId="6E0A1222">
            <w:pPr>
              <w:pStyle w:val="27"/>
              <w:pageBreakBefore w:val="0"/>
              <w:kinsoku/>
              <w:wordWrap/>
              <w:overflowPunct w:val="0"/>
              <w:topLinePunct w:val="0"/>
              <w:bidi w:val="0"/>
              <w:spacing w:before="44" w:line="360" w:lineRule="auto"/>
              <w:jc w:val="center"/>
              <w:rPr>
                <w:rFonts w:hint="default" w:ascii="宋体" w:hAnsi="宋体" w:eastAsia="宋体" w:cs="宋体"/>
                <w:spacing w:val="-2"/>
                <w:sz w:val="24"/>
                <w:szCs w:val="24"/>
                <w:highlight w:val="none"/>
                <w:lang w:val="en-US" w:eastAsia="zh-CN"/>
              </w:rPr>
            </w:pPr>
            <w:r>
              <w:rPr>
                <w:rFonts w:hint="eastAsia" w:cs="宋体"/>
                <w:spacing w:val="-2"/>
                <w:sz w:val="24"/>
                <w:szCs w:val="24"/>
                <w:highlight w:val="none"/>
                <w:lang w:val="en-US" w:eastAsia="zh-CN"/>
              </w:rPr>
              <w:t>38</w:t>
            </w:r>
          </w:p>
        </w:tc>
        <w:tc>
          <w:tcPr>
            <w:tcW w:w="2496" w:type="dxa"/>
            <w:tcBorders>
              <w:top w:val="single" w:color="000000" w:sz="10" w:space="0"/>
              <w:bottom w:val="single" w:color="000000" w:sz="10" w:space="0"/>
            </w:tcBorders>
            <w:vAlign w:val="center"/>
          </w:tcPr>
          <w:p w14:paraId="6335CF1B">
            <w:pPr>
              <w:keepNext w:val="0"/>
              <w:keepLines w:val="0"/>
              <w:pageBreakBefore w:val="0"/>
              <w:widowControl w:val="0"/>
              <w:kinsoku/>
              <w:wordWrap w:val="0"/>
              <w:overflowPunct/>
              <w:topLinePunct w:val="0"/>
              <w:autoSpaceDE w:val="0"/>
              <w:autoSpaceDN w:val="0"/>
              <w:bidi w:val="0"/>
              <w:adjustRightInd/>
              <w:snapToGrid w:val="0"/>
              <w:spacing w:beforeAutospacing="0" w:afterAutospacing="0" w:line="360" w:lineRule="auto"/>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z w:val="24"/>
                <w:szCs w:val="24"/>
                <w:highlight w:val="none"/>
                <w:lang w:val="en-US" w:eastAsia="zh-CN" w:bidi="ar-SA"/>
              </w:rPr>
              <w:t>提交磋商响应文件</w:t>
            </w:r>
          </w:p>
        </w:tc>
        <w:tc>
          <w:tcPr>
            <w:tcW w:w="6684" w:type="dxa"/>
            <w:tcBorders>
              <w:top w:val="single" w:color="000000" w:sz="10" w:space="0"/>
              <w:bottom w:val="single" w:color="000000" w:sz="10" w:space="0"/>
              <w:right w:val="single" w:color="000000" w:sz="10" w:space="0"/>
            </w:tcBorders>
            <w:vAlign w:val="center"/>
          </w:tcPr>
          <w:p w14:paraId="76655005">
            <w:pPr>
              <w:keepNext w:val="0"/>
              <w:keepLines w:val="0"/>
              <w:pageBreakBefore w:val="0"/>
              <w:widowControl w:val="0"/>
              <w:kinsoku/>
              <w:wordWrap w:val="0"/>
              <w:overflowPunct/>
              <w:topLinePunct w:val="0"/>
              <w:autoSpaceDE w:val="0"/>
              <w:autoSpaceDN w:val="0"/>
              <w:bidi w:val="0"/>
              <w:adjustRightInd/>
              <w:snapToGrid w:val="0"/>
              <w:spacing w:beforeAutospacing="0" w:afterAutospacing="0" w:line="360" w:lineRule="auto"/>
              <w:jc w:val="both"/>
              <w:textAlignment w:val="auto"/>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pacing w:val="-2"/>
                <w:kern w:val="0"/>
                <w:sz w:val="24"/>
                <w:szCs w:val="24"/>
                <w:highlight w:val="none"/>
                <w:lang w:val="en-US" w:eastAsia="zh-CN" w:bidi="ar-SA"/>
              </w:rPr>
              <w:t>提供纸质文件一份正本、一份副本、一份电子响应文件。</w:t>
            </w:r>
          </w:p>
        </w:tc>
      </w:tr>
    </w:tbl>
    <w:p w14:paraId="27722DAD">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153865D1">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3039A3C4">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615569D7">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019D3372">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10183AA4">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18EB9ABA">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523205C4">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00B816FF">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158DBAFB">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13158E3C">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47F41974">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p>
    <w:p w14:paraId="55EDF0AB">
      <w:pPr>
        <w:pageBreakBefore w:val="0"/>
        <w:kinsoku/>
        <w:wordWrap/>
        <w:overflowPunct w:val="0"/>
        <w:topLinePunct w:val="0"/>
        <w:bidi w:val="0"/>
        <w:spacing w:beforeLines="100" w:afterLines="100"/>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供应商须知</w:t>
      </w:r>
    </w:p>
    <w:p w14:paraId="310E60A3">
      <w:pPr>
        <w:pStyle w:val="3"/>
        <w:pageBreakBefore w:val="0"/>
        <w:tabs>
          <w:tab w:val="center" w:pos="4592"/>
          <w:tab w:val="left" w:pos="7860"/>
        </w:tabs>
        <w:kinsoku/>
        <w:wordWrap/>
        <w:overflowPunct w:val="0"/>
        <w:topLinePunct w:val="0"/>
        <w:bidi w:val="0"/>
        <w:spacing w:before="0" w:line="360" w:lineRule="auto"/>
        <w:jc w:val="center"/>
        <w:rPr>
          <w:rFonts w:hint="eastAsia" w:ascii="宋体" w:hAnsi="宋体" w:eastAsia="宋体" w:cs="宋体"/>
          <w:sz w:val="28"/>
          <w:highlight w:val="none"/>
          <w:lang w:eastAsia="zh-CN"/>
        </w:rPr>
      </w:pPr>
      <w:bookmarkStart w:id="0" w:name="_Toc150509269"/>
      <w:bookmarkStart w:id="1" w:name="_Toc305158786"/>
      <w:bookmarkStart w:id="2" w:name="_Toc195842883"/>
      <w:bookmarkStart w:id="3" w:name="_Toc265228356"/>
      <w:bookmarkStart w:id="4" w:name="_Toc151190145"/>
      <w:bookmarkStart w:id="5" w:name="_Toc226309762"/>
      <w:bookmarkStart w:id="6" w:name="_Toc226965708"/>
      <w:bookmarkStart w:id="7" w:name="_Toc151193906"/>
      <w:bookmarkStart w:id="8" w:name="_Toc305158860"/>
      <w:bookmarkStart w:id="9" w:name="_Toc151193832"/>
      <w:bookmarkStart w:id="10" w:name="_Toc520356143"/>
      <w:bookmarkStart w:id="11" w:name="_Toc151193688"/>
      <w:bookmarkStart w:id="12" w:name="_Toc150480756"/>
      <w:bookmarkStart w:id="13" w:name="_Toc151193616"/>
      <w:bookmarkStart w:id="14" w:name="_Toc226337214"/>
      <w:bookmarkStart w:id="15" w:name="_Toc150774618"/>
      <w:bookmarkStart w:id="16" w:name="_Toc226965791"/>
      <w:bookmarkStart w:id="17" w:name="_Toc142311020"/>
      <w:bookmarkStart w:id="18" w:name="_Toc127151518"/>
      <w:bookmarkStart w:id="19" w:name="_Toc264969208"/>
      <w:bookmarkStart w:id="20" w:name="_Toc150774723"/>
      <w:bookmarkStart w:id="21" w:name="_Toc151193760"/>
      <w:r>
        <w:rPr>
          <w:rFonts w:hint="eastAsia" w:ascii="宋体" w:hAnsi="宋体" w:eastAsia="宋体" w:cs="宋体"/>
          <w:sz w:val="28"/>
          <w:highlight w:val="none"/>
          <w:lang w:eastAsia="zh-CN"/>
        </w:rPr>
        <w:t>一、说  明</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89FCF40">
      <w:pPr>
        <w:pageBreakBefore w:val="0"/>
        <w:widowControl w:val="0"/>
        <w:kinsoku/>
        <w:wordWrap/>
        <w:overflowPunct w:val="0"/>
        <w:topLinePunct w:val="0"/>
        <w:bidi w:val="0"/>
        <w:spacing w:line="360" w:lineRule="auto"/>
        <w:ind w:firstLine="482" w:firstLineChars="200"/>
        <w:textAlignment w:val="auto"/>
        <w:outlineLvl w:val="1"/>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1.适用范围</w:t>
      </w:r>
    </w:p>
    <w:p w14:paraId="67EFE768">
      <w:pPr>
        <w:keepNext w:val="0"/>
        <w:keepLines w:val="0"/>
        <w:pageBreakBefore w:val="0"/>
        <w:widowControl/>
        <w:tabs>
          <w:tab w:val="left" w:pos="360"/>
        </w:tabs>
        <w:kinsoku/>
        <w:wordWrap/>
        <w:overflowPunct w:val="0"/>
        <w:topLinePunct w:val="0"/>
        <w:autoSpaceDE w:val="0"/>
        <w:autoSpaceDN w:val="0"/>
        <w:bidi w:val="0"/>
        <w:adjustRightInd w:val="0"/>
        <w:snapToGrid w:val="0"/>
        <w:spacing w:line="360" w:lineRule="auto"/>
        <w:ind w:firstLine="480" w:firstLineChars="200"/>
        <w:textAlignment w:val="baseline"/>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本竞争性磋商文件适用于该项目的采购、响应、开启、资格审查、符合性审查及信用信息查询、评审、确定成交、合同、验收等行为（法律、法规另有规定的，从其规定）。</w:t>
      </w:r>
    </w:p>
    <w:p w14:paraId="7065A8CE">
      <w:pPr>
        <w:pageBreakBefore w:val="0"/>
        <w:widowControl w:val="0"/>
        <w:kinsoku/>
        <w:wordWrap/>
        <w:overflowPunct w:val="0"/>
        <w:topLinePunct w:val="0"/>
        <w:bidi w:val="0"/>
        <w:spacing w:line="360" w:lineRule="auto"/>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2.定义</w:t>
      </w:r>
    </w:p>
    <w:p w14:paraId="5E1DBAE0">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bookmarkStart w:id="22" w:name="_Toc305158787"/>
      <w:bookmarkStart w:id="23" w:name="_Toc305158861"/>
      <w:bookmarkStart w:id="24" w:name="_Toc264969209"/>
      <w:bookmarkStart w:id="25" w:name="_Toc265228357"/>
      <w:r>
        <w:rPr>
          <w:rFonts w:hint="eastAsia" w:ascii="宋体" w:hAnsi="宋体" w:eastAsia="宋体" w:cs="宋体"/>
          <w:sz w:val="24"/>
          <w:highlight w:val="none"/>
          <w:lang w:eastAsia="zh-CN"/>
        </w:rPr>
        <w:t>2.采购人、采购代理机构、供应商</w:t>
      </w:r>
      <w:bookmarkEnd w:id="22"/>
      <w:bookmarkEnd w:id="23"/>
      <w:bookmarkEnd w:id="24"/>
      <w:bookmarkEnd w:id="25"/>
      <w:r>
        <w:rPr>
          <w:rFonts w:hint="eastAsia" w:ascii="宋体" w:hAnsi="宋体" w:eastAsia="宋体" w:cs="宋体"/>
          <w:sz w:val="24"/>
          <w:highlight w:val="none"/>
          <w:lang w:eastAsia="zh-CN"/>
        </w:rPr>
        <w:t>、联合体</w:t>
      </w:r>
    </w:p>
    <w:p w14:paraId="50648166">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2.1采购人、采购代理机构：指依法进行政府采购的国家机关、事业单位、团体组织，及其委托的采购代理机构。本项目采购人、采购代理机构见第一章《磋商邀请》。</w:t>
      </w:r>
    </w:p>
    <w:p w14:paraId="01252899">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2.2供应商（也称“申请人”）：指向采购人提供货物、工程或者服务的法人、其他组织或者自然人。</w:t>
      </w:r>
    </w:p>
    <w:p w14:paraId="4DCB7579">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注：申请人的资格要求补充：</w:t>
      </w:r>
    </w:p>
    <w:p w14:paraId="4F83F8A6">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（1）单位负责人为同一人或者存在直接控股、管理关系的不同供应商，不得参加同一包的响应或者未划分包的同一招标项目的响应。</w:t>
      </w:r>
    </w:p>
    <w:p w14:paraId="267B95EE">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1)本条所指单位负责人为同一人指单位法定代表人或者法律、行政法规规定代表单位行使职权的主要负责人。</w:t>
      </w:r>
    </w:p>
    <w:p w14:paraId="0566B064">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2)本条所指控股关系指单位或股东的控股关系。控股股东指:</w:t>
      </w:r>
    </w:p>
    <w:p w14:paraId="6F35B59E">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a.出资额占有限责任公司资本总额百分之五十以上或者其持有的股份占股份有限公司股本总额百分之五十以上的股东；</w:t>
      </w:r>
    </w:p>
    <w:p w14:paraId="5050FB00">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b.出资额或者持有股份的比例不足百分之五十，但其出资额或者持有的股份所享有的表决权已足以对股东会、股东大会的决议产生重大影响的股东。</w:t>
      </w:r>
    </w:p>
    <w:p w14:paraId="57715867">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3)本条所指管理关系指不具有出资持股关系的其他单位之间存在的管理与被管理关系。</w:t>
      </w:r>
    </w:p>
    <w:p w14:paraId="57BD9B2D">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注：本条所指的控股、管理关系仅限于直接控股、直接管理关系，不包括间接控股或管理关系。</w:t>
      </w:r>
    </w:p>
    <w:p w14:paraId="0D0E87DE">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（2）为本采购项目提供过整体设计、规范编制或者项目管理、监理、检测等服务的供应商及其附属机构，不得再参加除整体设计、规范编制和项目管理、监理、检测等服务之外的采购活动。</w:t>
      </w:r>
    </w:p>
    <w:p w14:paraId="7C7689B7">
      <w:pPr>
        <w:pageBreakBefore w:val="0"/>
        <w:tabs>
          <w:tab w:val="left" w:pos="1080"/>
          <w:tab w:val="left" w:pos="1589"/>
          <w:tab w:val="left" w:pos="2014"/>
          <w:tab w:val="left" w:pos="5521"/>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（3）符合法律、行政法规规定的其他要求。</w:t>
      </w:r>
    </w:p>
    <w:p w14:paraId="61A90723">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2.3联合体：指两个以上的自然人、法人或者其他组织组成一个联合体，以一个供应商的身份共同参加政府采购</w:t>
      </w:r>
      <w:r>
        <w:rPr>
          <w:rFonts w:hint="eastAsia" w:ascii="宋体" w:hAnsi="宋体" w:eastAsia="宋体" w:cs="宋体"/>
          <w:kern w:val="2"/>
          <w:sz w:val="24"/>
          <w:szCs w:val="24"/>
          <w:highlight w:val="none"/>
          <w:lang w:eastAsia="zh-CN"/>
        </w:rPr>
        <w:t>，本项目是否接受联合体等要求见《供应商须知前附表》</w:t>
      </w:r>
      <w:r>
        <w:rPr>
          <w:rFonts w:hint="eastAsia" w:ascii="宋体" w:hAnsi="宋体" w:eastAsia="宋体" w:cs="宋体"/>
          <w:color w:val="auto"/>
          <w:kern w:val="2"/>
          <w:sz w:val="24"/>
          <w:szCs w:val="24"/>
          <w:highlight w:val="none"/>
          <w:lang w:eastAsia="zh-CN"/>
        </w:rPr>
        <w:t>和</w:t>
      </w:r>
      <w:r>
        <w:rPr>
          <w:rFonts w:hint="eastAsia" w:ascii="宋体" w:hAnsi="宋体" w:eastAsia="宋体" w:cs="宋体"/>
          <w:kern w:val="2"/>
          <w:sz w:val="24"/>
          <w:szCs w:val="24"/>
          <w:highlight w:val="none"/>
          <w:lang w:eastAsia="zh-CN"/>
        </w:rPr>
        <w:t>第四章《采购需求》。</w:t>
      </w:r>
    </w:p>
    <w:p w14:paraId="12DB010F">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bookmarkStart w:id="26" w:name="_Toc151193690"/>
      <w:bookmarkStart w:id="27" w:name="_Toc150509271"/>
      <w:bookmarkStart w:id="28" w:name="_Toc265228358"/>
      <w:bookmarkStart w:id="29" w:name="_Toc164229215"/>
      <w:bookmarkStart w:id="30" w:name="_Toc164229361"/>
      <w:bookmarkStart w:id="31" w:name="_Toc164608634"/>
      <w:bookmarkStart w:id="32" w:name="_Toc151193834"/>
      <w:bookmarkStart w:id="33" w:name="_Toc150774620"/>
      <w:bookmarkStart w:id="34" w:name="_Toc305158788"/>
      <w:bookmarkStart w:id="35" w:name="_Toc150480758"/>
      <w:bookmarkStart w:id="36" w:name="_Toc127151520"/>
      <w:bookmarkStart w:id="37" w:name="_Toc142311022"/>
      <w:bookmarkStart w:id="38" w:name="_Toc226309764"/>
      <w:bookmarkStart w:id="39" w:name="_Toc151190147"/>
      <w:bookmarkStart w:id="40" w:name="_Toc127161434"/>
      <w:bookmarkStart w:id="41" w:name="_Toc226337216"/>
      <w:bookmarkStart w:id="42" w:name="_Toc164351614"/>
      <w:bookmarkStart w:id="43" w:name="_Toc195842885"/>
      <w:bookmarkStart w:id="44" w:name="_Toc226965793"/>
      <w:bookmarkStart w:id="45" w:name="_Toc127151721"/>
      <w:bookmarkStart w:id="46" w:name="_Toc150774725"/>
      <w:bookmarkStart w:id="47" w:name="_Toc151193762"/>
      <w:bookmarkStart w:id="48" w:name="_Toc264969210"/>
      <w:bookmarkStart w:id="49" w:name="_Toc305158862"/>
      <w:bookmarkStart w:id="50" w:name="_Toc164608789"/>
      <w:bookmarkStart w:id="51" w:name="_Toc149720813"/>
      <w:bookmarkStart w:id="52" w:name="_Toc226965710"/>
      <w:bookmarkStart w:id="53" w:name="_Toc151193908"/>
      <w:bookmarkStart w:id="54" w:name="_Toc151193618"/>
      <w:r>
        <w:rPr>
          <w:rFonts w:hint="eastAsia" w:ascii="宋体" w:hAnsi="宋体" w:eastAsia="宋体" w:cs="宋体"/>
          <w:sz w:val="24"/>
          <w:highlight w:val="none"/>
          <w:lang w:eastAsia="zh-CN"/>
        </w:rPr>
        <w:t>3.资金来源</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kern w:val="2"/>
          <w:sz w:val="24"/>
          <w:szCs w:val="24"/>
          <w:highlight w:val="none"/>
          <w:lang w:eastAsia="zh-CN"/>
        </w:rPr>
        <w:t>、核心产品</w:t>
      </w:r>
    </w:p>
    <w:p w14:paraId="16DCE767">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3.1资金来源为财政性资金和本项目采购中无法与财政性资金分割的非财政性资金。</w:t>
      </w:r>
    </w:p>
    <w:p w14:paraId="5888BC93">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3.2核心产品见《供应商须知前附表》。</w:t>
      </w:r>
    </w:p>
    <w:p w14:paraId="3A5E6C25">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4.现场考察、磋商前答疑会</w:t>
      </w:r>
    </w:p>
    <w:p w14:paraId="137E59A5">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8"/>
          <w:highlight w:val="none"/>
          <w:lang w:eastAsia="zh-CN"/>
        </w:rPr>
      </w:pPr>
      <w:r>
        <w:rPr>
          <w:rFonts w:hint="eastAsia" w:ascii="宋体" w:hAnsi="宋体" w:eastAsia="宋体" w:cs="宋体"/>
          <w:sz w:val="24"/>
          <w:highlight w:val="none"/>
          <w:lang w:eastAsia="zh-CN"/>
        </w:rPr>
        <w:t>4.1若《供应商须知前附表》中规定了组织现场考察、召开磋商前答疑会，则供应商应按要求在规定的时间和地点参加。</w:t>
      </w:r>
      <w:bookmarkStart w:id="55" w:name="_Toc195842887"/>
      <w:bookmarkStart w:id="56" w:name="_Toc226309766"/>
      <w:bookmarkStart w:id="57" w:name="_Toc150509273"/>
      <w:bookmarkStart w:id="58" w:name="_Toc264969212"/>
      <w:bookmarkStart w:id="59" w:name="_Toc142311024"/>
      <w:bookmarkStart w:id="60" w:name="_Toc151193910"/>
      <w:bookmarkStart w:id="61" w:name="_Toc151193836"/>
      <w:bookmarkStart w:id="62" w:name="_Toc520356146"/>
      <w:bookmarkStart w:id="63" w:name="_Toc151190149"/>
      <w:bookmarkStart w:id="64" w:name="_Toc127151522"/>
      <w:bookmarkStart w:id="65" w:name="_Toc151193692"/>
      <w:bookmarkStart w:id="66" w:name="_Toc150774622"/>
      <w:bookmarkStart w:id="67" w:name="_Toc226965712"/>
      <w:bookmarkStart w:id="68" w:name="_Toc305158790"/>
      <w:bookmarkStart w:id="69" w:name="_Toc151193764"/>
      <w:bookmarkStart w:id="70" w:name="_Toc151193620"/>
      <w:bookmarkStart w:id="71" w:name="_Toc226337218"/>
      <w:bookmarkStart w:id="72" w:name="_Toc265228360"/>
      <w:bookmarkStart w:id="73" w:name="_Toc150480760"/>
      <w:bookmarkStart w:id="74" w:name="_Toc150774727"/>
      <w:bookmarkStart w:id="75" w:name="_Toc305158864"/>
      <w:bookmarkStart w:id="76" w:name="_Toc226965795"/>
    </w:p>
    <w:p w14:paraId="1609C27E">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4.2由于未参加现场考察或磋商前答疑会而导致对项目实际情况不了解，影响响应文件编制、报价准确性、综合因素响应不全面等问题的，由供应商自行承担不利评审后果。</w:t>
      </w:r>
    </w:p>
    <w:p w14:paraId="57C0F5FA">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5.样品：相关要求见《供应商须知前附表》。</w:t>
      </w:r>
    </w:p>
    <w:p w14:paraId="72505F85">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6.政府采购政策（包括但不限于下列具体政策要求）</w:t>
      </w:r>
    </w:p>
    <w:p w14:paraId="56554117">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6.1采购本国货物、工程和服务</w:t>
      </w:r>
    </w:p>
    <w:p w14:paraId="4A8B3F72">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6.1.1政府采购应当采购本国货物、工程和服务。但有《中华人民共和国政府采购法》第十条规定情形的除外。</w:t>
      </w:r>
    </w:p>
    <w:p w14:paraId="5E34E27E">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color w:val="auto"/>
          <w:kern w:val="2"/>
          <w:sz w:val="24"/>
          <w:szCs w:val="24"/>
          <w:highlight w:val="none"/>
          <w:lang w:eastAsia="zh-CN"/>
        </w:rPr>
        <w:t>6.1.2</w:t>
      </w:r>
      <w:r>
        <w:rPr>
          <w:rFonts w:hint="eastAsia" w:ascii="宋体" w:hAnsi="宋体" w:eastAsia="宋体" w:cs="宋体"/>
          <w:kern w:val="2"/>
          <w:sz w:val="24"/>
          <w:szCs w:val="24"/>
          <w:highlight w:val="none"/>
          <w:lang w:eastAsia="zh-CN"/>
        </w:rPr>
        <w:t>本项目如接受非本国货物、工程、服务参与响应，则具体要求见《供应商须知前附表》和第四章《采购需求》。</w:t>
      </w:r>
    </w:p>
    <w:p w14:paraId="66A8CE9B">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w:t>
      </w:r>
    </w:p>
    <w:p w14:paraId="07AF2704">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6.2中小企业、监狱企业及残疾人福利性单位</w:t>
      </w:r>
    </w:p>
    <w:p w14:paraId="40A5E09A">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6.2.1中小企业定义：</w:t>
      </w:r>
    </w:p>
    <w:p w14:paraId="42C2F9A0">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2781ADD">
      <w:pPr>
        <w:pStyle w:val="31"/>
        <w:pageBreakBefore w:val="0"/>
        <w:kinsoku/>
        <w:wordWrap/>
        <w:overflowPunct w:val="0"/>
        <w:topLinePunct w:val="0"/>
        <w:bidi w:val="0"/>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中小微企业划分标准</w:t>
      </w:r>
    </w:p>
    <w:p w14:paraId="37072BBF">
      <w:pPr>
        <w:pStyle w:val="31"/>
        <w:pageBreakBefore w:val="0"/>
        <w:kinsoku/>
        <w:wordWrap/>
        <w:overflowPunct w:val="0"/>
        <w:topLinePunct w:val="0"/>
        <w:bidi w:val="0"/>
        <w:jc w:val="center"/>
        <w:rPr>
          <w:rFonts w:hint="eastAsia" w:ascii="宋体" w:hAnsi="宋体" w:eastAsia="宋体" w:cs="宋体"/>
          <w:sz w:val="24"/>
          <w:szCs w:val="24"/>
          <w:highlight w:val="none"/>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236"/>
        <w:gridCol w:w="1039"/>
        <w:gridCol w:w="1221"/>
        <w:gridCol w:w="1561"/>
        <w:gridCol w:w="1389"/>
        <w:gridCol w:w="965"/>
      </w:tblGrid>
      <w:tr w14:paraId="2825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6FA2ADC">
            <w:pPr>
              <w:pageBreakBefore w:val="0"/>
              <w:kinsoku/>
              <w:wordWrap/>
              <w:overflowPunct w:val="0"/>
              <w:topLinePunct w:val="0"/>
              <w:bidi w:val="0"/>
              <w:spacing w:after="113" w:line="180" w:lineRule="atLeas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行业名称</w:t>
            </w:r>
          </w:p>
        </w:tc>
        <w:tc>
          <w:tcPr>
            <w:tcW w:w="1236" w:type="dxa"/>
            <w:vAlign w:val="center"/>
          </w:tcPr>
          <w:p w14:paraId="4BC8886B">
            <w:pPr>
              <w:pageBreakBefore w:val="0"/>
              <w:kinsoku/>
              <w:wordWrap/>
              <w:overflowPunct w:val="0"/>
              <w:topLinePunct w:val="0"/>
              <w:bidi w:val="0"/>
              <w:spacing w:after="113" w:line="180" w:lineRule="atLeas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指标名称</w:t>
            </w:r>
          </w:p>
        </w:tc>
        <w:tc>
          <w:tcPr>
            <w:tcW w:w="1039" w:type="dxa"/>
            <w:vAlign w:val="center"/>
          </w:tcPr>
          <w:p w14:paraId="4006F01F">
            <w:pPr>
              <w:pageBreakBefore w:val="0"/>
              <w:kinsoku/>
              <w:wordWrap/>
              <w:overflowPunct w:val="0"/>
              <w:topLinePunct w:val="0"/>
              <w:bidi w:val="0"/>
              <w:spacing w:after="113" w:line="180" w:lineRule="atLeas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计量单位</w:t>
            </w:r>
          </w:p>
        </w:tc>
        <w:tc>
          <w:tcPr>
            <w:tcW w:w="1221" w:type="dxa"/>
            <w:vAlign w:val="center"/>
          </w:tcPr>
          <w:p w14:paraId="244CC303">
            <w:pPr>
              <w:pageBreakBefore w:val="0"/>
              <w:kinsoku/>
              <w:wordWrap/>
              <w:overflowPunct w:val="0"/>
              <w:topLinePunct w:val="0"/>
              <w:bidi w:val="0"/>
              <w:spacing w:after="113" w:line="180" w:lineRule="atLeast"/>
              <w:ind w:firstLine="42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大型</w:t>
            </w:r>
          </w:p>
        </w:tc>
        <w:tc>
          <w:tcPr>
            <w:tcW w:w="1561" w:type="dxa"/>
            <w:vAlign w:val="center"/>
          </w:tcPr>
          <w:p w14:paraId="17B06320">
            <w:pPr>
              <w:pageBreakBefore w:val="0"/>
              <w:kinsoku/>
              <w:wordWrap/>
              <w:overflowPunct w:val="0"/>
              <w:topLinePunct w:val="0"/>
              <w:bidi w:val="0"/>
              <w:spacing w:after="113" w:line="180" w:lineRule="atLeast"/>
              <w:ind w:firstLine="42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中型</w:t>
            </w:r>
          </w:p>
        </w:tc>
        <w:tc>
          <w:tcPr>
            <w:tcW w:w="1389" w:type="dxa"/>
            <w:vAlign w:val="center"/>
          </w:tcPr>
          <w:p w14:paraId="61EF4669">
            <w:pPr>
              <w:pageBreakBefore w:val="0"/>
              <w:kinsoku/>
              <w:wordWrap/>
              <w:overflowPunct w:val="0"/>
              <w:topLinePunct w:val="0"/>
              <w:bidi w:val="0"/>
              <w:spacing w:after="113" w:line="180" w:lineRule="atLeast"/>
              <w:ind w:firstLine="42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小型</w:t>
            </w:r>
          </w:p>
        </w:tc>
        <w:tc>
          <w:tcPr>
            <w:tcW w:w="965" w:type="dxa"/>
            <w:vAlign w:val="center"/>
          </w:tcPr>
          <w:p w14:paraId="025DF4EA">
            <w:pPr>
              <w:pageBreakBefore w:val="0"/>
              <w:kinsoku/>
              <w:wordWrap/>
              <w:overflowPunct w:val="0"/>
              <w:topLinePunct w:val="0"/>
              <w:bidi w:val="0"/>
              <w:spacing w:after="113" w:line="180" w:lineRule="atLeast"/>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微型</w:t>
            </w:r>
          </w:p>
        </w:tc>
      </w:tr>
      <w:tr w14:paraId="7F20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Align w:val="center"/>
          </w:tcPr>
          <w:p w14:paraId="5B75A4E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236" w:type="dxa"/>
            <w:vAlign w:val="center"/>
          </w:tcPr>
          <w:p w14:paraId="7CE3BFC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156F2AF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405EDDC4">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561" w:type="dxa"/>
            <w:vAlign w:val="center"/>
          </w:tcPr>
          <w:p w14:paraId="1E8C9B14">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500≤Y&lt;20000</w:t>
            </w:r>
          </w:p>
        </w:tc>
        <w:tc>
          <w:tcPr>
            <w:tcW w:w="1389" w:type="dxa"/>
            <w:vAlign w:val="center"/>
          </w:tcPr>
          <w:p w14:paraId="3BB6F9EC">
            <w:pPr>
              <w:pageBreakBefore w:val="0"/>
              <w:kinsoku/>
              <w:wordWrap/>
              <w:overflowPunct w:val="0"/>
              <w:topLinePunct w:val="0"/>
              <w:bidi w:val="0"/>
              <w:spacing w:after="113" w:line="18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50≤Y&lt;500</w:t>
            </w:r>
          </w:p>
        </w:tc>
        <w:tc>
          <w:tcPr>
            <w:tcW w:w="965" w:type="dxa"/>
            <w:vAlign w:val="center"/>
          </w:tcPr>
          <w:p w14:paraId="2B610BE2">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Y&lt;50</w:t>
            </w:r>
          </w:p>
        </w:tc>
      </w:tr>
      <w:tr w14:paraId="3103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1FC31C2A">
            <w:pPr>
              <w:pStyle w:val="31"/>
              <w:pageBreakBefore w:val="0"/>
              <w:kinsoku/>
              <w:wordWrap/>
              <w:overflowPunct w:val="0"/>
              <w:topLinePunct w:val="0"/>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工业★</w:t>
            </w:r>
          </w:p>
        </w:tc>
        <w:tc>
          <w:tcPr>
            <w:tcW w:w="1236" w:type="dxa"/>
            <w:vAlign w:val="center"/>
          </w:tcPr>
          <w:p w14:paraId="0607063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5546E05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39524C3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14:paraId="261F509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14:paraId="451C619D">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14:paraId="57C5786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14:paraId="1628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22A80BAB">
            <w:pPr>
              <w:pStyle w:val="31"/>
              <w:pageBreakBefore w:val="0"/>
              <w:kinsoku/>
              <w:wordWrap/>
              <w:overflowPunct w:val="0"/>
              <w:topLinePunct w:val="0"/>
              <w:bidi w:val="0"/>
              <w:jc w:val="center"/>
              <w:rPr>
                <w:rFonts w:hint="eastAsia" w:ascii="宋体" w:hAnsi="宋体" w:eastAsia="宋体" w:cs="宋体"/>
                <w:sz w:val="18"/>
                <w:szCs w:val="18"/>
                <w:highlight w:val="none"/>
              </w:rPr>
            </w:pPr>
          </w:p>
        </w:tc>
        <w:tc>
          <w:tcPr>
            <w:tcW w:w="1236" w:type="dxa"/>
            <w:vAlign w:val="center"/>
          </w:tcPr>
          <w:p w14:paraId="38C57312">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2D47E5A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41AA3A3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561" w:type="dxa"/>
            <w:vAlign w:val="center"/>
          </w:tcPr>
          <w:p w14:paraId="5D386D2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2000≤Y&lt;40000</w:t>
            </w:r>
          </w:p>
        </w:tc>
        <w:tc>
          <w:tcPr>
            <w:tcW w:w="1389" w:type="dxa"/>
            <w:vAlign w:val="center"/>
          </w:tcPr>
          <w:p w14:paraId="418605B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300≤Y&lt;2000</w:t>
            </w:r>
          </w:p>
        </w:tc>
        <w:tc>
          <w:tcPr>
            <w:tcW w:w="965" w:type="dxa"/>
            <w:vAlign w:val="center"/>
          </w:tcPr>
          <w:p w14:paraId="1448884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Y&lt;300</w:t>
            </w:r>
          </w:p>
        </w:tc>
      </w:tr>
      <w:tr w14:paraId="4029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0E17AB99">
            <w:pPr>
              <w:pStyle w:val="31"/>
              <w:pageBreakBefore w:val="0"/>
              <w:kinsoku/>
              <w:wordWrap/>
              <w:overflowPunct w:val="0"/>
              <w:topLinePunct w:val="0"/>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建筑业</w:t>
            </w:r>
          </w:p>
        </w:tc>
        <w:tc>
          <w:tcPr>
            <w:tcW w:w="1236" w:type="dxa"/>
            <w:vAlign w:val="center"/>
          </w:tcPr>
          <w:p w14:paraId="49BEFA4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795FBC5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31D96AC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561" w:type="dxa"/>
            <w:vAlign w:val="center"/>
          </w:tcPr>
          <w:p w14:paraId="79DBEB8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6000≤Y&lt;80000</w:t>
            </w:r>
          </w:p>
        </w:tc>
        <w:tc>
          <w:tcPr>
            <w:tcW w:w="1389" w:type="dxa"/>
            <w:vAlign w:val="center"/>
          </w:tcPr>
          <w:p w14:paraId="47D21DE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300≤Y&lt;6000</w:t>
            </w:r>
          </w:p>
        </w:tc>
        <w:tc>
          <w:tcPr>
            <w:tcW w:w="965" w:type="dxa"/>
            <w:vAlign w:val="center"/>
          </w:tcPr>
          <w:p w14:paraId="6B2CB00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Y&lt;300</w:t>
            </w:r>
          </w:p>
        </w:tc>
      </w:tr>
      <w:tr w14:paraId="18E9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40827890">
            <w:pPr>
              <w:pStyle w:val="31"/>
              <w:pageBreakBefore w:val="0"/>
              <w:kinsoku/>
              <w:wordWrap/>
              <w:overflowPunct w:val="0"/>
              <w:topLinePunct w:val="0"/>
              <w:bidi w:val="0"/>
              <w:jc w:val="center"/>
              <w:rPr>
                <w:rFonts w:hint="eastAsia" w:ascii="宋体" w:hAnsi="宋体" w:eastAsia="宋体" w:cs="宋体"/>
                <w:sz w:val="18"/>
                <w:szCs w:val="18"/>
                <w:highlight w:val="none"/>
              </w:rPr>
            </w:pPr>
          </w:p>
        </w:tc>
        <w:tc>
          <w:tcPr>
            <w:tcW w:w="1236" w:type="dxa"/>
            <w:vAlign w:val="center"/>
          </w:tcPr>
          <w:p w14:paraId="1E26D7C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39" w:type="dxa"/>
            <w:vAlign w:val="center"/>
          </w:tcPr>
          <w:p w14:paraId="7140A85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542742F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561" w:type="dxa"/>
            <w:vAlign w:val="center"/>
          </w:tcPr>
          <w:p w14:paraId="487A09E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5000≤Z&lt;80000</w:t>
            </w:r>
          </w:p>
        </w:tc>
        <w:tc>
          <w:tcPr>
            <w:tcW w:w="1389" w:type="dxa"/>
            <w:vAlign w:val="center"/>
          </w:tcPr>
          <w:p w14:paraId="0BAA0C1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300≤Z&lt;5000</w:t>
            </w:r>
          </w:p>
        </w:tc>
        <w:tc>
          <w:tcPr>
            <w:tcW w:w="965" w:type="dxa"/>
            <w:vAlign w:val="center"/>
          </w:tcPr>
          <w:p w14:paraId="77ACA93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Z&lt;300</w:t>
            </w:r>
          </w:p>
        </w:tc>
      </w:tr>
      <w:tr w14:paraId="5A67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38E5B8F4">
            <w:pPr>
              <w:pStyle w:val="31"/>
              <w:pageBreakBefore w:val="0"/>
              <w:kinsoku/>
              <w:wordWrap/>
              <w:overflowPunct w:val="0"/>
              <w:topLinePunct w:val="0"/>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批发业</w:t>
            </w:r>
          </w:p>
        </w:tc>
        <w:tc>
          <w:tcPr>
            <w:tcW w:w="1236" w:type="dxa"/>
            <w:vAlign w:val="center"/>
          </w:tcPr>
          <w:p w14:paraId="5607742D">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30EEEBF4">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4698022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561" w:type="dxa"/>
            <w:vAlign w:val="center"/>
          </w:tcPr>
          <w:p w14:paraId="4E50464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20≤X&lt;200</w:t>
            </w:r>
          </w:p>
        </w:tc>
        <w:tc>
          <w:tcPr>
            <w:tcW w:w="1389" w:type="dxa"/>
            <w:vAlign w:val="center"/>
          </w:tcPr>
          <w:p w14:paraId="29904A6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5≤X&lt;20</w:t>
            </w:r>
          </w:p>
        </w:tc>
        <w:tc>
          <w:tcPr>
            <w:tcW w:w="965" w:type="dxa"/>
            <w:vAlign w:val="center"/>
          </w:tcPr>
          <w:p w14:paraId="78FE58D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X&lt;5</w:t>
            </w:r>
          </w:p>
        </w:tc>
      </w:tr>
      <w:tr w14:paraId="141F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177F4A36">
            <w:pPr>
              <w:pStyle w:val="31"/>
              <w:pageBreakBefore w:val="0"/>
              <w:kinsoku/>
              <w:wordWrap/>
              <w:overflowPunct w:val="0"/>
              <w:topLinePunct w:val="0"/>
              <w:bidi w:val="0"/>
              <w:jc w:val="center"/>
              <w:rPr>
                <w:rFonts w:hint="eastAsia" w:ascii="宋体" w:hAnsi="宋体" w:eastAsia="宋体" w:cs="宋体"/>
                <w:sz w:val="18"/>
                <w:szCs w:val="18"/>
                <w:highlight w:val="none"/>
              </w:rPr>
            </w:pPr>
          </w:p>
        </w:tc>
        <w:tc>
          <w:tcPr>
            <w:tcW w:w="1236" w:type="dxa"/>
            <w:vAlign w:val="center"/>
          </w:tcPr>
          <w:p w14:paraId="67559F3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75B421CD">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2AACDE2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561" w:type="dxa"/>
            <w:vAlign w:val="center"/>
          </w:tcPr>
          <w:p w14:paraId="226175CD">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5000≤Y&lt;40000</w:t>
            </w:r>
          </w:p>
        </w:tc>
        <w:tc>
          <w:tcPr>
            <w:tcW w:w="1389" w:type="dxa"/>
            <w:vAlign w:val="center"/>
          </w:tcPr>
          <w:p w14:paraId="56DD9D95">
            <w:pPr>
              <w:pageBreakBefore w:val="0"/>
              <w:kinsoku/>
              <w:wordWrap/>
              <w:overflowPunct w:val="0"/>
              <w:topLinePunct w:val="0"/>
              <w:bidi w:val="0"/>
              <w:spacing w:after="113" w:line="18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1000≤Y&lt;5000</w:t>
            </w:r>
          </w:p>
        </w:tc>
        <w:tc>
          <w:tcPr>
            <w:tcW w:w="965" w:type="dxa"/>
            <w:vAlign w:val="center"/>
          </w:tcPr>
          <w:p w14:paraId="100CB0D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Y&lt;1000</w:t>
            </w:r>
          </w:p>
        </w:tc>
      </w:tr>
      <w:tr w14:paraId="383F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69F07686">
            <w:pPr>
              <w:pStyle w:val="31"/>
              <w:pageBreakBefore w:val="0"/>
              <w:kinsoku/>
              <w:wordWrap/>
              <w:overflowPunct w:val="0"/>
              <w:topLinePunct w:val="0"/>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零售业</w:t>
            </w:r>
          </w:p>
        </w:tc>
        <w:tc>
          <w:tcPr>
            <w:tcW w:w="1236" w:type="dxa"/>
            <w:vAlign w:val="center"/>
          </w:tcPr>
          <w:p w14:paraId="42C1D6D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1C785104">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5B35EE9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69FD8CF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50≤X&lt;300</w:t>
            </w:r>
          </w:p>
        </w:tc>
        <w:tc>
          <w:tcPr>
            <w:tcW w:w="1389" w:type="dxa"/>
            <w:vAlign w:val="center"/>
          </w:tcPr>
          <w:p w14:paraId="1520D01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10≤X&lt;50</w:t>
            </w:r>
          </w:p>
        </w:tc>
        <w:tc>
          <w:tcPr>
            <w:tcW w:w="965" w:type="dxa"/>
            <w:vAlign w:val="center"/>
          </w:tcPr>
          <w:p w14:paraId="43D35CF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5A37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652A0815">
            <w:pPr>
              <w:pStyle w:val="31"/>
              <w:pageBreakBefore w:val="0"/>
              <w:kinsoku/>
              <w:wordWrap/>
              <w:overflowPunct w:val="0"/>
              <w:topLinePunct w:val="0"/>
              <w:bidi w:val="0"/>
              <w:jc w:val="center"/>
              <w:rPr>
                <w:rFonts w:hint="eastAsia" w:ascii="宋体" w:hAnsi="宋体" w:eastAsia="宋体" w:cs="宋体"/>
                <w:sz w:val="18"/>
                <w:szCs w:val="18"/>
                <w:highlight w:val="none"/>
              </w:rPr>
            </w:pPr>
          </w:p>
        </w:tc>
        <w:tc>
          <w:tcPr>
            <w:tcW w:w="1236" w:type="dxa"/>
            <w:vAlign w:val="center"/>
          </w:tcPr>
          <w:p w14:paraId="01B6A6C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39BF400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74812EF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561" w:type="dxa"/>
            <w:vAlign w:val="center"/>
          </w:tcPr>
          <w:p w14:paraId="336BA7A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500≤Y&lt;20000</w:t>
            </w:r>
          </w:p>
        </w:tc>
        <w:tc>
          <w:tcPr>
            <w:tcW w:w="1389" w:type="dxa"/>
            <w:vAlign w:val="center"/>
          </w:tcPr>
          <w:p w14:paraId="3D6C5692">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100≤Y&lt;500</w:t>
            </w:r>
          </w:p>
        </w:tc>
        <w:tc>
          <w:tcPr>
            <w:tcW w:w="965" w:type="dxa"/>
            <w:vAlign w:val="center"/>
          </w:tcPr>
          <w:p w14:paraId="7758654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3EFA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11" w:type="dxa"/>
            <w:vMerge w:val="restart"/>
            <w:vAlign w:val="center"/>
          </w:tcPr>
          <w:p w14:paraId="5746CFF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w:t>
            </w:r>
          </w:p>
        </w:tc>
        <w:tc>
          <w:tcPr>
            <w:tcW w:w="1236" w:type="dxa"/>
            <w:vAlign w:val="center"/>
          </w:tcPr>
          <w:p w14:paraId="4960852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58FD26F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7D20CC4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14:paraId="4F026DC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14:paraId="683D59A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14:paraId="5C18099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14:paraId="1B4F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7B191F4D">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0F1C3E4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46F29D6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1470CD84">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14:paraId="5923E7F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3000≤Y&lt;30000</w:t>
            </w:r>
          </w:p>
        </w:tc>
        <w:tc>
          <w:tcPr>
            <w:tcW w:w="1389" w:type="dxa"/>
            <w:vAlign w:val="center"/>
          </w:tcPr>
          <w:p w14:paraId="2409496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200≤Y&lt;3000</w:t>
            </w:r>
          </w:p>
        </w:tc>
        <w:tc>
          <w:tcPr>
            <w:tcW w:w="965" w:type="dxa"/>
            <w:vAlign w:val="center"/>
          </w:tcPr>
          <w:p w14:paraId="289223A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Y&lt;200</w:t>
            </w:r>
          </w:p>
        </w:tc>
      </w:tr>
      <w:tr w14:paraId="7DFA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56BB9EB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236" w:type="dxa"/>
            <w:vAlign w:val="center"/>
          </w:tcPr>
          <w:p w14:paraId="3821352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3E5B1D8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07EF9E2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561" w:type="dxa"/>
            <w:vAlign w:val="center"/>
          </w:tcPr>
          <w:p w14:paraId="36CF23D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100≤X&lt;200</w:t>
            </w:r>
          </w:p>
        </w:tc>
        <w:tc>
          <w:tcPr>
            <w:tcW w:w="1389" w:type="dxa"/>
            <w:vAlign w:val="center"/>
          </w:tcPr>
          <w:p w14:paraId="227AF25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20≤X&lt;100</w:t>
            </w:r>
          </w:p>
        </w:tc>
        <w:tc>
          <w:tcPr>
            <w:tcW w:w="965" w:type="dxa"/>
            <w:vAlign w:val="center"/>
          </w:tcPr>
          <w:p w14:paraId="3EBD1C8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14:paraId="7C42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388731A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373C7B9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60F23D6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388770D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14:paraId="5CDE142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1000≤Y&lt;30000</w:t>
            </w:r>
          </w:p>
        </w:tc>
        <w:tc>
          <w:tcPr>
            <w:tcW w:w="1389" w:type="dxa"/>
            <w:vAlign w:val="center"/>
          </w:tcPr>
          <w:p w14:paraId="1ECBAA6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14:paraId="1E65241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15AD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257F879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236" w:type="dxa"/>
            <w:vAlign w:val="center"/>
          </w:tcPr>
          <w:p w14:paraId="706B45B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397711D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3066913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14:paraId="7EF966B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14:paraId="1869230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14:paraId="71FC961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14:paraId="3D53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0237B01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767C9292">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3E5C02C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482B0F8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14:paraId="7873820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2000≤Y&lt;30000</w:t>
            </w:r>
          </w:p>
        </w:tc>
        <w:tc>
          <w:tcPr>
            <w:tcW w:w="1389" w:type="dxa"/>
            <w:vAlign w:val="center"/>
          </w:tcPr>
          <w:p w14:paraId="3C5D705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14:paraId="7FD13AD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4FC1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11" w:type="dxa"/>
            <w:vMerge w:val="restart"/>
            <w:vAlign w:val="center"/>
          </w:tcPr>
          <w:p w14:paraId="4179942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236" w:type="dxa"/>
            <w:vAlign w:val="center"/>
          </w:tcPr>
          <w:p w14:paraId="511AF3E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174D790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50FCA414">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6F026744">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6A5F71C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4E1B8D8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54FA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371125E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40C4668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59C5C4D2">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77E1965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14:paraId="21887A7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2000≤Y&lt;10000</w:t>
            </w:r>
          </w:p>
        </w:tc>
        <w:tc>
          <w:tcPr>
            <w:tcW w:w="1389" w:type="dxa"/>
            <w:vAlign w:val="center"/>
          </w:tcPr>
          <w:p w14:paraId="3902959D">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14:paraId="6663445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66D1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1F66C60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236" w:type="dxa"/>
            <w:vAlign w:val="center"/>
          </w:tcPr>
          <w:p w14:paraId="5E6F296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4EDC651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1ADBDE2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7A94A67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6FB2263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177DCDC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5DC8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2D4DBE8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16FC7FED">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3B56630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1346ECF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14:paraId="11303E7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2000≤Y&lt;10000</w:t>
            </w:r>
          </w:p>
        </w:tc>
        <w:tc>
          <w:tcPr>
            <w:tcW w:w="1389" w:type="dxa"/>
            <w:vAlign w:val="center"/>
          </w:tcPr>
          <w:p w14:paraId="555268F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14:paraId="6363761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56DE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5ECB2D3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w:t>
            </w:r>
          </w:p>
        </w:tc>
        <w:tc>
          <w:tcPr>
            <w:tcW w:w="1236" w:type="dxa"/>
            <w:vAlign w:val="center"/>
          </w:tcPr>
          <w:p w14:paraId="4A0EDA2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0B1C9E9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7325D18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561" w:type="dxa"/>
            <w:vAlign w:val="center"/>
          </w:tcPr>
          <w:p w14:paraId="579B4AF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100≤X&lt;2000</w:t>
            </w:r>
          </w:p>
        </w:tc>
        <w:tc>
          <w:tcPr>
            <w:tcW w:w="1389" w:type="dxa"/>
            <w:vAlign w:val="center"/>
          </w:tcPr>
          <w:p w14:paraId="3E06B8E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7EAB86B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6A95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748F3F9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4988AFC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227B4CF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6EDAF2E2">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561" w:type="dxa"/>
            <w:vAlign w:val="center"/>
          </w:tcPr>
          <w:p w14:paraId="73FC76E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1000≤Y&lt;100000</w:t>
            </w:r>
          </w:p>
        </w:tc>
        <w:tc>
          <w:tcPr>
            <w:tcW w:w="1389" w:type="dxa"/>
            <w:vAlign w:val="center"/>
          </w:tcPr>
          <w:p w14:paraId="1A7F667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14:paraId="1698AB1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2533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590A8782">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软件和信息技术服务业</w:t>
            </w:r>
          </w:p>
        </w:tc>
        <w:tc>
          <w:tcPr>
            <w:tcW w:w="1236" w:type="dxa"/>
            <w:vAlign w:val="center"/>
          </w:tcPr>
          <w:p w14:paraId="26678BC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339977C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7377B85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46CDDFB4">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63E232A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77954DF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37DE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463EBC1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18D24D1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353054B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7475A6B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14:paraId="41F9BEB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1000≤Y&lt;10000</w:t>
            </w:r>
          </w:p>
        </w:tc>
        <w:tc>
          <w:tcPr>
            <w:tcW w:w="1389" w:type="dxa"/>
            <w:vAlign w:val="center"/>
          </w:tcPr>
          <w:p w14:paraId="56385C9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50≤Y&lt;1000</w:t>
            </w:r>
          </w:p>
        </w:tc>
        <w:tc>
          <w:tcPr>
            <w:tcW w:w="965" w:type="dxa"/>
            <w:vAlign w:val="center"/>
          </w:tcPr>
          <w:p w14:paraId="7E33520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Y&lt;50</w:t>
            </w:r>
          </w:p>
        </w:tc>
      </w:tr>
      <w:tr w14:paraId="52B4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7E43E3D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236" w:type="dxa"/>
            <w:vAlign w:val="center"/>
          </w:tcPr>
          <w:p w14:paraId="3305D2C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7D08D71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300C95D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561" w:type="dxa"/>
            <w:vAlign w:val="center"/>
          </w:tcPr>
          <w:p w14:paraId="35887C7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1000≤Y&lt;200000</w:t>
            </w:r>
          </w:p>
        </w:tc>
        <w:tc>
          <w:tcPr>
            <w:tcW w:w="1389" w:type="dxa"/>
            <w:vAlign w:val="center"/>
          </w:tcPr>
          <w:p w14:paraId="49604ECD">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14:paraId="09EFFA98">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14:paraId="263B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41CE470D">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124756F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39" w:type="dxa"/>
            <w:vAlign w:val="center"/>
          </w:tcPr>
          <w:p w14:paraId="012B0D0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102C143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561" w:type="dxa"/>
            <w:vAlign w:val="center"/>
          </w:tcPr>
          <w:p w14:paraId="0722C7A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5000≤Z&lt;10000</w:t>
            </w:r>
          </w:p>
        </w:tc>
        <w:tc>
          <w:tcPr>
            <w:tcW w:w="1389" w:type="dxa"/>
            <w:vAlign w:val="center"/>
          </w:tcPr>
          <w:p w14:paraId="10FB705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2000≤Z&lt;5000</w:t>
            </w:r>
          </w:p>
        </w:tc>
        <w:tc>
          <w:tcPr>
            <w:tcW w:w="965" w:type="dxa"/>
            <w:vAlign w:val="center"/>
          </w:tcPr>
          <w:p w14:paraId="6B1FD6C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Z&lt;2000</w:t>
            </w:r>
          </w:p>
        </w:tc>
      </w:tr>
      <w:tr w14:paraId="5F96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0B84962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236" w:type="dxa"/>
            <w:vAlign w:val="center"/>
          </w:tcPr>
          <w:p w14:paraId="2888685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3271CC5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7F7CB65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14:paraId="46D2D5F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14:paraId="6BC6168C">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965" w:type="dxa"/>
            <w:vAlign w:val="center"/>
          </w:tcPr>
          <w:p w14:paraId="1D3EA27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X&lt;100</w:t>
            </w:r>
          </w:p>
        </w:tc>
      </w:tr>
      <w:tr w14:paraId="5CFC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56EA170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73FF443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39" w:type="dxa"/>
            <w:vAlign w:val="center"/>
          </w:tcPr>
          <w:p w14:paraId="1F8042C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57C837C3">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561" w:type="dxa"/>
            <w:vAlign w:val="center"/>
          </w:tcPr>
          <w:p w14:paraId="44B2293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1000≤Y&lt;5000</w:t>
            </w:r>
          </w:p>
        </w:tc>
        <w:tc>
          <w:tcPr>
            <w:tcW w:w="1389" w:type="dxa"/>
            <w:vAlign w:val="center"/>
          </w:tcPr>
          <w:p w14:paraId="1B1D3D2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500≤Y&lt;1000</w:t>
            </w:r>
          </w:p>
        </w:tc>
        <w:tc>
          <w:tcPr>
            <w:tcW w:w="965" w:type="dxa"/>
            <w:vAlign w:val="center"/>
          </w:tcPr>
          <w:p w14:paraId="778F508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Y&lt;500</w:t>
            </w:r>
          </w:p>
        </w:tc>
      </w:tr>
      <w:tr w14:paraId="4918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73993B1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236" w:type="dxa"/>
            <w:vAlign w:val="center"/>
          </w:tcPr>
          <w:p w14:paraId="192FDB6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07D3C2C9">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5838542F">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456BCDD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0C6BBF62">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49DFDC15">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14:paraId="7D43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26386AD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p>
        </w:tc>
        <w:tc>
          <w:tcPr>
            <w:tcW w:w="1236" w:type="dxa"/>
            <w:vAlign w:val="center"/>
          </w:tcPr>
          <w:p w14:paraId="5C720C2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39" w:type="dxa"/>
            <w:vAlign w:val="center"/>
          </w:tcPr>
          <w:p w14:paraId="28B95BB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21" w:type="dxa"/>
            <w:vAlign w:val="center"/>
          </w:tcPr>
          <w:p w14:paraId="063B70C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561" w:type="dxa"/>
            <w:vAlign w:val="center"/>
          </w:tcPr>
          <w:p w14:paraId="4075524A">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8000≤Z&lt;120000</w:t>
            </w:r>
          </w:p>
        </w:tc>
        <w:tc>
          <w:tcPr>
            <w:tcW w:w="1389" w:type="dxa"/>
            <w:vAlign w:val="center"/>
          </w:tcPr>
          <w:p w14:paraId="22DE7E07">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100≤Z&lt;8000</w:t>
            </w:r>
          </w:p>
        </w:tc>
        <w:tc>
          <w:tcPr>
            <w:tcW w:w="965" w:type="dxa"/>
            <w:vAlign w:val="center"/>
          </w:tcPr>
          <w:p w14:paraId="3B51E3B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Z&lt;100</w:t>
            </w:r>
          </w:p>
        </w:tc>
      </w:tr>
      <w:tr w14:paraId="6935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28D4711E">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w:t>
            </w:r>
          </w:p>
        </w:tc>
        <w:tc>
          <w:tcPr>
            <w:tcW w:w="1236" w:type="dxa"/>
            <w:vAlign w:val="center"/>
          </w:tcPr>
          <w:p w14:paraId="5BEF9D6B">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39" w:type="dxa"/>
            <w:vAlign w:val="center"/>
          </w:tcPr>
          <w:p w14:paraId="0C617581">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21" w:type="dxa"/>
            <w:vAlign w:val="center"/>
          </w:tcPr>
          <w:p w14:paraId="56A0AE7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14:paraId="36F6C264">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14:paraId="4DAD93C6">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14:paraId="715DEF90">
            <w:pPr>
              <w:pageBreakBefore w:val="0"/>
              <w:kinsoku/>
              <w:wordWrap/>
              <w:overflowPunct w:val="0"/>
              <w:topLinePunct w:val="0"/>
              <w:bidi w:val="0"/>
              <w:spacing w:after="113" w:line="18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bl>
    <w:p w14:paraId="563A6005">
      <w:pPr>
        <w:pStyle w:val="31"/>
        <w:pageBreakBefore w:val="0"/>
        <w:kinsoku/>
        <w:wordWrap/>
        <w:overflowPunct w:val="0"/>
        <w:topLinePunct w:val="0"/>
        <w:bidi w:val="0"/>
        <w:snapToGrid w:val="0"/>
        <w:spacing w:line="360" w:lineRule="auto"/>
        <w:ind w:firstLine="420" w:firstLineChars="200"/>
        <w:rPr>
          <w:rFonts w:hint="eastAsia" w:ascii="宋体" w:hAnsi="宋体" w:eastAsia="宋体" w:cs="宋体"/>
          <w:szCs w:val="21"/>
          <w:highlight w:val="none"/>
        </w:rPr>
      </w:pPr>
    </w:p>
    <w:p w14:paraId="21EACBEE">
      <w:pPr>
        <w:pStyle w:val="31"/>
        <w:pageBreakBefore w:val="0"/>
        <w:kinsoku/>
        <w:wordWrap/>
        <w:overflowPunct w:val="0"/>
        <w:topLinePunct w:val="0"/>
        <w:bidi w:val="0"/>
        <w:snapToGrid w:val="0"/>
        <w:spacing w:line="360" w:lineRule="auto"/>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中小企业划分标准的说明：</w:t>
      </w:r>
    </w:p>
    <w:p w14:paraId="0975EB36">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1.大型、中型和小型企业须同时满足所列指标的下限，否则下划一档；微型企业只须满足所列指标中的一项即可。</w:t>
      </w:r>
    </w:p>
    <w:p w14:paraId="0F7BD6E7">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2.附表中各行业的范围以《国民经济行业分类》（GB/T 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FF36EEE">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938F163">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6.2.1.2供应商提供的货物、工程或者服务符合下列情形的，享受中小企业扶持政策：</w:t>
      </w:r>
    </w:p>
    <w:p w14:paraId="44381E3D">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（1）在货物采购项目中，货物由中小企业制造，即货物由中小企业生产且使用该中小企业商号或者注册商标；</w:t>
      </w:r>
    </w:p>
    <w:p w14:paraId="6F92EC92">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（2）在工程采购项目中，工程由中小企业承建，即工程施工单位为中小企业；</w:t>
      </w:r>
    </w:p>
    <w:p w14:paraId="42ACE076">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（3）在服务采购项目中，服务由中小企业承接，即提供服务的人员为中小企业依照《中华人民共和国劳动合同法》订立劳动合同的从业人员。</w:t>
      </w:r>
    </w:p>
    <w:p w14:paraId="57057341">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6.2.1.3在货物采购项目中，供应商提供的货物既有中小企业制造货物，也有大型企业制造货物的，不享受中小企业扶持政策。</w:t>
      </w:r>
    </w:p>
    <w:p w14:paraId="366F0DB0">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6.2.1.4以联合体形式参加政府采购活动，联合体各方均为中小企业的，联合体视同中小企业。其中，联合体各方均为小微企业的，联合体视同小微企业。</w:t>
      </w:r>
    </w:p>
    <w:p w14:paraId="796E899A">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6.2.2在政府采购活动中，监狱企业视同小型、微型企业，享受预留份额、评审中价格扣除等政府采购促进中小企业发展的政府采购政策。</w:t>
      </w:r>
    </w:p>
    <w:p w14:paraId="786026F6">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strike/>
          <w:kern w:val="2"/>
          <w:sz w:val="24"/>
          <w:szCs w:val="24"/>
          <w:highlight w:val="none"/>
          <w:lang w:eastAsia="zh-CN"/>
        </w:rPr>
      </w:pPr>
      <w:r>
        <w:rPr>
          <w:rFonts w:hint="eastAsia" w:ascii="宋体" w:hAnsi="宋体" w:eastAsia="宋体" w:cs="宋体"/>
          <w:kern w:val="2"/>
          <w:sz w:val="24"/>
          <w:szCs w:val="24"/>
          <w:highlight w:val="none"/>
          <w:lang w:eastAsia="zh-CN"/>
        </w:rPr>
        <w:t>6.2.3在政府采购活动中，残疾人福利性单位视同小型、微型企业，享受预留份额、评审中价格扣除等促进中小企业发展的政府采购政策。</w:t>
      </w:r>
    </w:p>
    <w:p w14:paraId="20B48B25">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6.2.4本项目是否专门面向中小企业预留采购份额见第一章《磋商邀请》。</w:t>
      </w:r>
    </w:p>
    <w:p w14:paraId="331E7735">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6.2.5采购标的对应的中小企业划分标准所属行业见《供应商须知前附表》。</w:t>
      </w:r>
    </w:p>
    <w:p w14:paraId="76757499">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6.2.6价格扣除比例见《供应商须知前附表》。</w:t>
      </w:r>
    </w:p>
    <w:p w14:paraId="521AB221">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6.3政府采购节能产品、环境标志产品、绿色采购（若有，由采购人在采购清单中明确）。</w:t>
      </w:r>
    </w:p>
    <w:p w14:paraId="1C876309">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1919132">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bookmarkStart w:id="77" w:name="_Hlk107568539"/>
      <w:r>
        <w:rPr>
          <w:rFonts w:hint="eastAsia" w:ascii="宋体" w:hAnsi="宋体" w:eastAsia="宋体" w:cs="宋体"/>
          <w:color w:val="auto"/>
          <w:kern w:val="2"/>
          <w:sz w:val="24"/>
          <w:szCs w:val="24"/>
          <w:highlight w:val="none"/>
          <w:lang w:eastAsia="zh-CN"/>
        </w:rPr>
        <w:t>6.3.2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关于印发环境标志产品政府采购品目清单的通知》（财库〔2019〕18号）、《关于印发节能产品政府采购品目清单的通知》（财库〔2019〕19号）等。</w:t>
      </w:r>
    </w:p>
    <w:p w14:paraId="670F3662">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6.3.3如本项目采购产品属于实施政府强制采购品目清单范围的节能产品，则供应商所报产品必须获得国家确定的认证机构出具的、处于有效期之内的节能产品认证证书，否则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sz w:val="24"/>
          <w:highlight w:val="none"/>
          <w:lang w:eastAsia="zh-CN"/>
        </w:rPr>
        <w:t>响应</w:t>
      </w:r>
      <w:r>
        <w:rPr>
          <w:rFonts w:hint="eastAsia" w:ascii="宋体" w:hAnsi="宋体" w:eastAsia="宋体" w:cs="宋体"/>
          <w:color w:val="auto"/>
          <w:kern w:val="2"/>
          <w:sz w:val="24"/>
          <w:szCs w:val="24"/>
          <w:highlight w:val="none"/>
          <w:lang w:eastAsia="zh-CN"/>
        </w:rPr>
        <w:t>无效；</w:t>
      </w:r>
    </w:p>
    <w:p w14:paraId="29A50480">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6.3.4纳入政府采购管理的建设工程、修缮、装修类项目采购建材的，鼓励采购人将绿色建材性能、指标等作为实质性条件纳入采购文件和合同，具体性能指标要求、参考《政府采购支持绿色建材促进建筑品质提升政策项目实施指南》（财办库〔2023〕52号）、《安徽省财政厅关于贯彻落实政府绿色采购有关政策的通知》（皖财购〔2023〕853号）等相关文件。</w:t>
      </w:r>
    </w:p>
    <w:p w14:paraId="552DC71A">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6.3.5为助力打好污染防治攻坚战，推广使用绿色包装，政府采购货物、工程和服务项目中涉及商品包装和快递包装的，供应商提供产品及相关快递服务的具体包装要求参考《商品包装政府采购需求标准（试行）》《快递包装政府采购需求标准（试行）》。鼓励采购人优先采购秸秆环保板材等资源综合利用产品。鼓励采购人优先采购绿色物流配送服务、提供新能源交通工具的租赁服务。具体要求见第四章《采购需求》。</w:t>
      </w:r>
    </w:p>
    <w:p w14:paraId="18BBA404">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6.3.6为加快数据中心绿色转型，根据财政部生态环境部工业和信息化部关于印发《绿色数据中心政府采购需求标准（试行）》的通知（财库〔2023〕7号），本项目如涉及绿色数据中心，则具体要求见第四章《采购需求》。</w:t>
      </w:r>
    </w:p>
    <w:p w14:paraId="24EE7197">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6.3.7鼓励供应商在参加政府采购过程中开展绿色设计、选择绿色材料、打造绿色制造工艺、开展绿色运输、做好废弃产品回收处理，实现产品全周期的绿色环保。鼓励采购人对其提高预付款比例、免收履约保证金。</w:t>
      </w:r>
      <w:bookmarkEnd w:id="77"/>
    </w:p>
    <w:p w14:paraId="136FB9C8">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7.响应费用</w:t>
      </w:r>
    </w:p>
    <w:p w14:paraId="343CBED9">
      <w:pPr>
        <w:keepNext w:val="0"/>
        <w:keepLines w:val="0"/>
        <w:pageBreakBefore w:val="0"/>
        <w:tabs>
          <w:tab w:val="left" w:pos="1080"/>
          <w:tab w:val="left" w:pos="1589"/>
          <w:tab w:val="left" w:pos="2014"/>
        </w:tabs>
        <w:kinsoku/>
        <w:wordWrap/>
        <w:overflowPunct w:val="0"/>
        <w:topLinePunct w:val="0"/>
        <w:autoSpaceDE w:val="0"/>
        <w:autoSpaceDN w:val="0"/>
        <w:bidi w:val="0"/>
        <w:adjustRightInd w:val="0"/>
        <w:snapToGrid w:val="0"/>
        <w:spacing w:line="360" w:lineRule="auto"/>
        <w:ind w:firstLine="480" w:firstLineChars="200"/>
        <w:rPr>
          <w:rFonts w:hint="eastAsia" w:ascii="宋体" w:hAnsi="宋体" w:eastAsia="宋体" w:cs="宋体"/>
          <w:sz w:val="28"/>
          <w:highlight w:val="none"/>
          <w:lang w:eastAsia="zh-CN"/>
        </w:rPr>
      </w:pPr>
      <w:r>
        <w:rPr>
          <w:rFonts w:hint="eastAsia" w:ascii="宋体" w:hAnsi="宋体" w:eastAsia="宋体" w:cs="宋体"/>
          <w:sz w:val="24"/>
          <w:highlight w:val="none"/>
          <w:lang w:eastAsia="zh-CN"/>
        </w:rPr>
        <w:t>供应商应自行承担所有与准备和参加磋商有关的费用，无论磋商的结果如何，采购人或采购代理机构在任何情况下均无承担这些费用的义务和责任。</w:t>
      </w:r>
      <w:bookmarkStart w:id="78" w:name="_1.8_计量单位"/>
      <w:bookmarkEnd w:id="78"/>
    </w:p>
    <w:p w14:paraId="27FF9BD4">
      <w:pPr>
        <w:pStyle w:val="3"/>
        <w:pageBreakBefore w:val="0"/>
        <w:kinsoku/>
        <w:wordWrap/>
        <w:overflowPunct w:val="0"/>
        <w:topLinePunct w:val="0"/>
        <w:bidi w:val="0"/>
        <w:spacing w:before="0" w:line="360" w:lineRule="auto"/>
        <w:rPr>
          <w:rFonts w:hint="eastAsia" w:ascii="宋体" w:hAnsi="宋体" w:eastAsia="宋体" w:cs="宋体"/>
          <w:sz w:val="28"/>
          <w:highlight w:val="none"/>
          <w:lang w:eastAsia="zh-CN"/>
        </w:rPr>
      </w:pPr>
    </w:p>
    <w:p w14:paraId="37797CB7">
      <w:pPr>
        <w:pStyle w:val="3"/>
        <w:pageBreakBefore w:val="0"/>
        <w:kinsoku/>
        <w:wordWrap/>
        <w:overflowPunct w:val="0"/>
        <w:topLinePunct w:val="0"/>
        <w:bidi w:val="0"/>
        <w:spacing w:before="0" w:line="360" w:lineRule="auto"/>
        <w:rPr>
          <w:rFonts w:hint="eastAsia" w:ascii="宋体" w:hAnsi="宋体" w:eastAsia="宋体" w:cs="宋体"/>
          <w:sz w:val="28"/>
          <w:highlight w:val="none"/>
          <w:lang w:eastAsia="zh-CN"/>
        </w:rPr>
      </w:pPr>
      <w:r>
        <w:rPr>
          <w:rFonts w:hint="eastAsia" w:ascii="宋体" w:hAnsi="宋体" w:eastAsia="宋体" w:cs="宋体"/>
          <w:sz w:val="28"/>
          <w:highlight w:val="none"/>
          <w:lang w:eastAsia="zh-CN"/>
        </w:rPr>
        <w:t>二、竞争性磋商文件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C95195C">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bookmarkStart w:id="79" w:name="_Toc127161437"/>
      <w:bookmarkStart w:id="80" w:name="_Toc151193765"/>
      <w:bookmarkStart w:id="81" w:name="_Toc226965796"/>
      <w:bookmarkStart w:id="82" w:name="_Toc150774728"/>
      <w:bookmarkStart w:id="83" w:name="_Toc265228361"/>
      <w:bookmarkStart w:id="84" w:name="_Toc164608637"/>
      <w:bookmarkStart w:id="85" w:name="_Toc164229218"/>
      <w:bookmarkStart w:id="86" w:name="_Toc127151724"/>
      <w:bookmarkStart w:id="87" w:name="_Toc164351617"/>
      <w:bookmarkStart w:id="88" w:name="_Toc195842888"/>
      <w:bookmarkStart w:id="89" w:name="_Toc164229364"/>
      <w:bookmarkStart w:id="90" w:name="_Toc151193621"/>
      <w:bookmarkStart w:id="91" w:name="_Toc150509274"/>
      <w:bookmarkStart w:id="92" w:name="_Toc142311025"/>
      <w:bookmarkStart w:id="93" w:name="_Toc151193693"/>
      <w:bookmarkStart w:id="94" w:name="_Toc151193911"/>
      <w:bookmarkStart w:id="95" w:name="_Toc151190150"/>
      <w:bookmarkStart w:id="96" w:name="_Toc520356147"/>
      <w:bookmarkStart w:id="97" w:name="_Toc226309767"/>
      <w:bookmarkStart w:id="98" w:name="_Toc149720816"/>
      <w:bookmarkStart w:id="99" w:name="_Toc127151523"/>
      <w:bookmarkStart w:id="100" w:name="_Toc226965713"/>
      <w:bookmarkStart w:id="101" w:name="_Toc151193837"/>
      <w:bookmarkStart w:id="102" w:name="_Toc150480761"/>
      <w:bookmarkStart w:id="103" w:name="_Toc305158865"/>
      <w:bookmarkStart w:id="104" w:name="_Toc264969213"/>
      <w:bookmarkStart w:id="105" w:name="_Toc164608792"/>
      <w:bookmarkStart w:id="106" w:name="_Toc305158791"/>
      <w:bookmarkStart w:id="107" w:name="_Toc226337219"/>
      <w:bookmarkStart w:id="108" w:name="_Toc150774623"/>
      <w:r>
        <w:rPr>
          <w:rFonts w:hint="eastAsia" w:ascii="宋体" w:hAnsi="宋体" w:eastAsia="宋体" w:cs="宋体"/>
          <w:sz w:val="24"/>
          <w:highlight w:val="none"/>
          <w:lang w:eastAsia="zh-CN"/>
        </w:rPr>
        <w:t>8.竞争性磋商文件构</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sz w:val="24"/>
          <w:highlight w:val="none"/>
          <w:lang w:eastAsia="zh-CN"/>
        </w:rPr>
        <w:t>成</w:t>
      </w:r>
    </w:p>
    <w:p w14:paraId="2396269B">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8.1竞争性磋商文件包括以下部分：</w:t>
      </w:r>
    </w:p>
    <w:p w14:paraId="3C177B46">
      <w:pPr>
        <w:pageBreakBefore w:val="0"/>
        <w:tabs>
          <w:tab w:val="left" w:pos="1980"/>
          <w:tab w:val="left" w:pos="252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kern w:val="2"/>
          <w:sz w:val="24"/>
          <w:szCs w:val="24"/>
          <w:highlight w:val="none"/>
          <w:lang w:eastAsia="zh-CN"/>
        </w:rPr>
        <w:t xml:space="preserve">第一章  </w:t>
      </w:r>
      <w:r>
        <w:rPr>
          <w:rFonts w:hint="eastAsia" w:ascii="宋体" w:hAnsi="宋体" w:eastAsia="宋体" w:cs="宋体"/>
          <w:sz w:val="24"/>
          <w:highlight w:val="none"/>
          <w:lang w:eastAsia="zh-CN"/>
        </w:rPr>
        <w:t>磋商邀请</w:t>
      </w:r>
    </w:p>
    <w:p w14:paraId="36F5B761">
      <w:pPr>
        <w:pageBreakBefore w:val="0"/>
        <w:tabs>
          <w:tab w:val="left" w:pos="1980"/>
          <w:tab w:val="left" w:pos="252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kern w:val="2"/>
          <w:sz w:val="24"/>
          <w:szCs w:val="24"/>
          <w:highlight w:val="none"/>
          <w:lang w:eastAsia="zh-CN"/>
        </w:rPr>
        <w:t xml:space="preserve">第二章  </w:t>
      </w:r>
      <w:r>
        <w:rPr>
          <w:rFonts w:hint="eastAsia" w:ascii="宋体" w:hAnsi="宋体" w:eastAsia="宋体" w:cs="宋体"/>
          <w:sz w:val="24"/>
          <w:highlight w:val="none"/>
          <w:lang w:eastAsia="zh-CN"/>
        </w:rPr>
        <w:t>供应商须知</w:t>
      </w:r>
    </w:p>
    <w:p w14:paraId="60EF7707">
      <w:pPr>
        <w:pageBreakBefore w:val="0"/>
        <w:tabs>
          <w:tab w:val="left" w:pos="1980"/>
          <w:tab w:val="left" w:pos="252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kern w:val="2"/>
          <w:sz w:val="24"/>
          <w:szCs w:val="24"/>
          <w:highlight w:val="none"/>
          <w:lang w:eastAsia="zh-CN"/>
        </w:rPr>
        <w:t xml:space="preserve">第三章  </w:t>
      </w:r>
      <w:r>
        <w:rPr>
          <w:rFonts w:hint="eastAsia" w:ascii="宋体" w:hAnsi="宋体" w:eastAsia="宋体" w:cs="宋体"/>
          <w:sz w:val="24"/>
          <w:highlight w:val="none"/>
          <w:lang w:eastAsia="zh-CN"/>
        </w:rPr>
        <w:t>评审方法和评审标准</w:t>
      </w:r>
    </w:p>
    <w:p w14:paraId="3897CC4A">
      <w:pPr>
        <w:pageBreakBefore w:val="0"/>
        <w:tabs>
          <w:tab w:val="left" w:pos="1980"/>
          <w:tab w:val="left" w:pos="252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kern w:val="2"/>
          <w:sz w:val="24"/>
          <w:szCs w:val="24"/>
          <w:highlight w:val="none"/>
          <w:lang w:eastAsia="zh-CN"/>
        </w:rPr>
        <w:t xml:space="preserve">第四章  </w:t>
      </w:r>
      <w:r>
        <w:rPr>
          <w:rFonts w:hint="eastAsia" w:ascii="宋体" w:hAnsi="宋体" w:eastAsia="宋体" w:cs="宋体"/>
          <w:sz w:val="24"/>
          <w:highlight w:val="none"/>
          <w:lang w:eastAsia="zh-CN"/>
        </w:rPr>
        <w:t>采购需求</w:t>
      </w:r>
    </w:p>
    <w:p w14:paraId="2739AF57">
      <w:pPr>
        <w:pageBreakBefore w:val="0"/>
        <w:tabs>
          <w:tab w:val="left" w:pos="1980"/>
          <w:tab w:val="left" w:pos="252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kern w:val="2"/>
          <w:sz w:val="24"/>
          <w:szCs w:val="24"/>
          <w:highlight w:val="none"/>
          <w:lang w:eastAsia="zh-CN"/>
        </w:rPr>
        <w:t xml:space="preserve">第五章  </w:t>
      </w:r>
      <w:r>
        <w:rPr>
          <w:rFonts w:hint="eastAsia" w:ascii="宋体" w:hAnsi="宋体" w:eastAsia="宋体" w:cs="宋体"/>
          <w:sz w:val="24"/>
          <w:highlight w:val="none"/>
          <w:lang w:eastAsia="zh-CN"/>
        </w:rPr>
        <w:t>拟签订的合同文本</w:t>
      </w:r>
    </w:p>
    <w:p w14:paraId="230141A7">
      <w:pPr>
        <w:pageBreakBefore w:val="0"/>
        <w:tabs>
          <w:tab w:val="left" w:pos="1980"/>
          <w:tab w:val="left" w:pos="252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kern w:val="2"/>
          <w:sz w:val="24"/>
          <w:szCs w:val="24"/>
          <w:highlight w:val="none"/>
          <w:lang w:eastAsia="zh-CN"/>
        </w:rPr>
        <w:t xml:space="preserve">第六章  </w:t>
      </w:r>
      <w:r>
        <w:rPr>
          <w:rFonts w:hint="eastAsia" w:ascii="宋体" w:hAnsi="宋体" w:eastAsia="宋体" w:cs="宋体"/>
          <w:sz w:val="24"/>
          <w:highlight w:val="none"/>
          <w:lang w:eastAsia="zh-CN"/>
        </w:rPr>
        <w:t>响应文件格式</w:t>
      </w:r>
    </w:p>
    <w:p w14:paraId="5D07AABB">
      <w:pPr>
        <w:pageBreakBefore w:val="0"/>
        <w:tabs>
          <w:tab w:val="left" w:pos="1980"/>
          <w:tab w:val="left" w:pos="2520"/>
        </w:tabs>
        <w:kinsoku/>
        <w:wordWrap/>
        <w:overflowPunct w:val="0"/>
        <w:topLinePunct w:val="0"/>
        <w:bidi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第七章  政府采购供应商质疑函、投诉书范本</w:t>
      </w:r>
    </w:p>
    <w:p w14:paraId="186F49D3">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8.2竞争性磋商文件的解释权顺序见《供应商须知前附表》</w:t>
      </w:r>
    </w:p>
    <w:p w14:paraId="25839FAE">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8.3供应商应认真阅读竞争性磋商文件的全部内容。供应商应按照竞争性磋商文件要求提交响应文件并保证所提供的全部资料的真实性，并对竞争性磋商文件做出实质性响应，否则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lang w:eastAsia="zh-CN"/>
        </w:rPr>
        <w:t>响应无效</w:t>
      </w:r>
      <w:r>
        <w:rPr>
          <w:rFonts w:hint="eastAsia" w:ascii="宋体" w:hAnsi="宋体" w:eastAsia="宋体" w:cs="宋体"/>
          <w:sz w:val="24"/>
          <w:highlight w:val="none"/>
          <w:lang w:eastAsia="zh-CN"/>
        </w:rPr>
        <w:t>。</w:t>
      </w:r>
    </w:p>
    <w:p w14:paraId="37079460">
      <w:pPr>
        <w:pageBreakBefore w:val="0"/>
        <w:tabs>
          <w:tab w:val="left" w:pos="426"/>
          <w:tab w:val="left" w:pos="1134"/>
          <w:tab w:val="left" w:pos="2014"/>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9.对竞争性磋商文件的澄清或修改</w:t>
      </w:r>
    </w:p>
    <w:p w14:paraId="5D1323D8">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bookmarkStart w:id="109" w:name="_Toc516367020"/>
      <w:bookmarkStart w:id="110" w:name="_Toc226309770"/>
      <w:bookmarkStart w:id="111" w:name="_Toc226965716"/>
      <w:bookmarkStart w:id="112" w:name="_Toc150509277"/>
      <w:bookmarkStart w:id="113" w:name="_Toc226337222"/>
      <w:bookmarkStart w:id="114" w:name="_Toc150480764"/>
      <w:bookmarkStart w:id="115" w:name="_Toc265228364"/>
      <w:bookmarkStart w:id="116" w:name="_Toc305158868"/>
      <w:bookmarkStart w:id="117" w:name="_Toc520356150"/>
      <w:bookmarkStart w:id="118" w:name="_Toc127151526"/>
      <w:bookmarkStart w:id="119" w:name="_Toc151193696"/>
      <w:bookmarkStart w:id="120" w:name="_Toc142311028"/>
      <w:bookmarkStart w:id="121" w:name="_Toc151193914"/>
      <w:bookmarkStart w:id="122" w:name="_Toc305158794"/>
      <w:bookmarkStart w:id="123" w:name="_Toc151190153"/>
      <w:bookmarkStart w:id="124" w:name="_Toc195842891"/>
      <w:bookmarkStart w:id="125" w:name="_Toc150774731"/>
      <w:bookmarkStart w:id="126" w:name="_Toc151193840"/>
      <w:bookmarkStart w:id="127" w:name="_Toc150774626"/>
      <w:bookmarkStart w:id="128" w:name="_Toc151193768"/>
      <w:bookmarkStart w:id="129" w:name="_Toc264969216"/>
      <w:bookmarkStart w:id="130" w:name="_Toc151193624"/>
      <w:bookmarkStart w:id="131" w:name="_Toc226965799"/>
      <w:r>
        <w:rPr>
          <w:rFonts w:hint="eastAsia" w:ascii="宋体" w:hAnsi="宋体" w:eastAsia="宋体" w:cs="宋体"/>
          <w:kern w:val="2"/>
          <w:sz w:val="24"/>
          <w:szCs w:val="24"/>
          <w:highlight w:val="none"/>
          <w:lang w:eastAsia="zh-CN"/>
        </w:rPr>
        <w:t>9.1采购人或采购代理机构对已发出的</w:t>
      </w:r>
      <w:r>
        <w:rPr>
          <w:rFonts w:hint="eastAsia" w:ascii="宋体" w:hAnsi="宋体" w:eastAsia="宋体" w:cs="宋体"/>
          <w:sz w:val="24"/>
          <w:highlight w:val="none"/>
          <w:lang w:eastAsia="zh-CN"/>
        </w:rPr>
        <w:t>竞争性磋商文件</w:t>
      </w:r>
      <w:r>
        <w:rPr>
          <w:rFonts w:hint="eastAsia" w:ascii="宋体" w:hAnsi="宋体" w:eastAsia="宋体" w:cs="宋体"/>
          <w:kern w:val="2"/>
          <w:sz w:val="24"/>
          <w:szCs w:val="24"/>
          <w:highlight w:val="none"/>
          <w:lang w:eastAsia="zh-CN"/>
        </w:rPr>
        <w:t>进行必要澄清或者修改的，将在原公告发布媒体上发布更正公</w:t>
      </w:r>
      <w:r>
        <w:rPr>
          <w:rFonts w:hint="eastAsia" w:ascii="宋体" w:hAnsi="宋体" w:eastAsia="宋体" w:cs="宋体"/>
          <w:color w:val="auto"/>
          <w:kern w:val="2"/>
          <w:sz w:val="24"/>
          <w:szCs w:val="24"/>
          <w:highlight w:val="none"/>
          <w:lang w:eastAsia="zh-CN"/>
        </w:rPr>
        <w:t>告。</w:t>
      </w:r>
    </w:p>
    <w:p w14:paraId="5BC4E677">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sz w:val="28"/>
          <w:highlight w:val="none"/>
          <w:lang w:eastAsia="zh-CN"/>
        </w:rPr>
      </w:pPr>
      <w:r>
        <w:rPr>
          <w:rFonts w:hint="eastAsia" w:ascii="宋体" w:hAnsi="宋体" w:eastAsia="宋体" w:cs="宋体"/>
          <w:kern w:val="2"/>
          <w:sz w:val="24"/>
          <w:szCs w:val="24"/>
          <w:highlight w:val="none"/>
          <w:lang w:eastAsia="zh-CN"/>
        </w:rPr>
        <w:t>9.2澄清或者修改的内容</w:t>
      </w:r>
      <w:r>
        <w:rPr>
          <w:rFonts w:hint="eastAsia" w:ascii="宋体" w:hAnsi="宋体" w:eastAsia="宋体" w:cs="宋体"/>
          <w:color w:val="auto"/>
          <w:kern w:val="2"/>
          <w:sz w:val="24"/>
          <w:szCs w:val="24"/>
          <w:highlight w:val="none"/>
          <w:lang w:eastAsia="zh-CN"/>
        </w:rPr>
        <w:t>为竞争性磋商文件的组成部分，并对所有获取竞争性磋商文件的潜在供应商具有约束力。澄清或者修改的内容可能影响响应文件编制的，采购人、采购代理机构应当在提交首次响应文件截止时间至少5日前，以更</w:t>
      </w:r>
      <w:r>
        <w:rPr>
          <w:rFonts w:hint="eastAsia" w:ascii="宋体" w:hAnsi="宋体" w:eastAsia="宋体" w:cs="宋体"/>
          <w:kern w:val="2"/>
          <w:sz w:val="24"/>
          <w:szCs w:val="24"/>
          <w:highlight w:val="none"/>
          <w:lang w:eastAsia="zh-CN"/>
        </w:rPr>
        <w:t>正公</w:t>
      </w:r>
      <w:r>
        <w:rPr>
          <w:rFonts w:hint="eastAsia" w:ascii="宋体" w:hAnsi="宋体" w:eastAsia="宋体" w:cs="宋体"/>
          <w:color w:val="auto"/>
          <w:kern w:val="2"/>
          <w:sz w:val="24"/>
          <w:szCs w:val="24"/>
          <w:highlight w:val="none"/>
          <w:lang w:eastAsia="zh-CN"/>
        </w:rPr>
        <w:t>告方式</w:t>
      </w:r>
      <w:r>
        <w:rPr>
          <w:rFonts w:hint="eastAsia" w:ascii="宋体" w:hAnsi="宋体" w:eastAsia="宋体" w:cs="宋体"/>
          <w:kern w:val="2"/>
          <w:sz w:val="24"/>
          <w:szCs w:val="24"/>
          <w:highlight w:val="none"/>
          <w:lang w:eastAsia="zh-CN"/>
        </w:rPr>
        <w:t>通知所有获取磋商文件的供应商；不足上述时间的，采购人、采购代理机构应当顺延提交首次响应文件截止时间。</w:t>
      </w:r>
    </w:p>
    <w:p w14:paraId="042C09B6">
      <w:pPr>
        <w:pStyle w:val="3"/>
        <w:pageBreakBefore w:val="0"/>
        <w:kinsoku/>
        <w:wordWrap/>
        <w:overflowPunct w:val="0"/>
        <w:topLinePunct w:val="0"/>
        <w:bidi w:val="0"/>
        <w:spacing w:before="0" w:line="360" w:lineRule="auto"/>
        <w:rPr>
          <w:rFonts w:hint="eastAsia" w:ascii="宋体" w:hAnsi="宋体" w:eastAsia="宋体" w:cs="宋体"/>
          <w:sz w:val="28"/>
          <w:highlight w:val="none"/>
          <w:lang w:eastAsia="zh-CN"/>
        </w:rPr>
      </w:pPr>
    </w:p>
    <w:p w14:paraId="079C226D">
      <w:pPr>
        <w:pStyle w:val="3"/>
        <w:pageBreakBefore w:val="0"/>
        <w:kinsoku/>
        <w:wordWrap/>
        <w:overflowPunct w:val="0"/>
        <w:topLinePunct w:val="0"/>
        <w:bidi w:val="0"/>
        <w:spacing w:before="0" w:line="360" w:lineRule="auto"/>
        <w:rPr>
          <w:rFonts w:hint="eastAsia" w:ascii="宋体" w:hAnsi="宋体" w:eastAsia="宋体" w:cs="宋体"/>
          <w:sz w:val="28"/>
          <w:highlight w:val="none"/>
          <w:lang w:eastAsia="zh-CN"/>
        </w:rPr>
      </w:pPr>
      <w:r>
        <w:rPr>
          <w:rFonts w:hint="eastAsia" w:ascii="宋体" w:hAnsi="宋体" w:eastAsia="宋体" w:cs="宋体"/>
          <w:sz w:val="28"/>
          <w:highlight w:val="none"/>
          <w:lang w:eastAsia="zh-CN"/>
        </w:rPr>
        <w:t>三、响应文件</w:t>
      </w:r>
      <w:bookmarkEnd w:id="109"/>
      <w:r>
        <w:rPr>
          <w:rFonts w:hint="eastAsia" w:ascii="宋体" w:hAnsi="宋体" w:eastAsia="宋体" w:cs="宋体"/>
          <w:sz w:val="28"/>
          <w:highlight w:val="none"/>
          <w:lang w:eastAsia="zh-CN"/>
        </w:rPr>
        <w:t>的编制</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3B32879B">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bookmarkStart w:id="132" w:name="_Toc164229368"/>
      <w:bookmarkStart w:id="133" w:name="_Toc164229222"/>
      <w:bookmarkStart w:id="134" w:name="_Toc516367021"/>
      <w:bookmarkStart w:id="135" w:name="_Toc226965800"/>
      <w:bookmarkStart w:id="136" w:name="_Toc151193697"/>
      <w:bookmarkStart w:id="137" w:name="_Toc127161441"/>
      <w:bookmarkStart w:id="138" w:name="_Toc127151527"/>
      <w:bookmarkStart w:id="139" w:name="_Toc264969217"/>
      <w:bookmarkStart w:id="140" w:name="_Toc150774732"/>
      <w:bookmarkStart w:id="141" w:name="_Toc151193841"/>
      <w:bookmarkStart w:id="142" w:name="_Toc265228365"/>
      <w:bookmarkStart w:id="143" w:name="_Toc151193769"/>
      <w:bookmarkStart w:id="144" w:name="_Toc195842892"/>
      <w:bookmarkStart w:id="145" w:name="_Toc151190154"/>
      <w:bookmarkStart w:id="146" w:name="_Toc226965717"/>
      <w:bookmarkStart w:id="147" w:name="_Toc164608796"/>
      <w:bookmarkStart w:id="148" w:name="_Toc151193915"/>
      <w:bookmarkStart w:id="149" w:name="_Toc151193625"/>
      <w:bookmarkStart w:id="150" w:name="_Toc305158795"/>
      <w:bookmarkStart w:id="151" w:name="_Toc150774627"/>
      <w:bookmarkStart w:id="152" w:name="_Toc305158869"/>
      <w:bookmarkStart w:id="153" w:name="_Toc150480765"/>
      <w:bookmarkStart w:id="154" w:name="_Toc127151728"/>
      <w:bookmarkStart w:id="155" w:name="_Toc226309771"/>
      <w:bookmarkStart w:id="156" w:name="_Toc226337223"/>
      <w:bookmarkStart w:id="157" w:name="_Toc149720820"/>
      <w:bookmarkStart w:id="158" w:name="_Toc520356151"/>
      <w:bookmarkStart w:id="159" w:name="_Toc150509278"/>
      <w:bookmarkStart w:id="160" w:name="_Toc164351621"/>
      <w:bookmarkStart w:id="161" w:name="_Toc164608641"/>
      <w:bookmarkStart w:id="162" w:name="_Toc142311029"/>
      <w:r>
        <w:rPr>
          <w:rFonts w:hint="eastAsia" w:ascii="宋体" w:hAnsi="宋体" w:eastAsia="宋体" w:cs="宋体"/>
          <w:sz w:val="24"/>
          <w:highlight w:val="none"/>
          <w:lang w:eastAsia="zh-CN"/>
        </w:rPr>
        <w:t>10.响应范围、竞争性磋商文件中计量单位的使用</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rFonts w:hint="eastAsia" w:ascii="宋体" w:hAnsi="宋体" w:eastAsia="宋体" w:cs="宋体"/>
          <w:sz w:val="24"/>
          <w:highlight w:val="none"/>
          <w:lang w:eastAsia="zh-CN"/>
        </w:rPr>
        <w:t>及磋商语言</w:t>
      </w:r>
    </w:p>
    <w:p w14:paraId="609BE349">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10.1本项目标段划分见《供应商须知前附表》。供应商应当对所报标段对应第四章《采购需求》所列的全部内容进行响应，不得将一个标段中的内容拆开响应，否则其对该标段</w:t>
      </w:r>
      <w:r>
        <w:rPr>
          <w:rFonts w:hint="eastAsia" w:ascii="宋体" w:hAnsi="宋体" w:eastAsia="宋体" w:cs="宋体"/>
          <w:b/>
          <w:sz w:val="24"/>
          <w:highlight w:val="none"/>
          <w:lang w:eastAsia="zh-CN"/>
        </w:rPr>
        <w:t>响应无效</w:t>
      </w:r>
      <w:r>
        <w:rPr>
          <w:rFonts w:hint="eastAsia" w:ascii="宋体" w:hAnsi="宋体" w:eastAsia="宋体" w:cs="宋体"/>
          <w:sz w:val="24"/>
          <w:highlight w:val="none"/>
          <w:lang w:eastAsia="zh-CN"/>
        </w:rPr>
        <w:t>。</w:t>
      </w:r>
    </w:p>
    <w:p w14:paraId="15F3BD67">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10.2除竞争性磋商文件有特殊要求外，本项目磋商所使用的计量单位，应采用中华人民共和国法定计量单位。</w:t>
      </w:r>
    </w:p>
    <w:p w14:paraId="251DFD36">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163" w:name="_Toc516367022"/>
      <w:bookmarkStart w:id="164" w:name="_Ref467306676"/>
      <w:bookmarkStart w:id="165" w:name="_Ref467306195"/>
      <w:bookmarkStart w:id="166" w:name="_Toc149720821"/>
      <w:bookmarkStart w:id="167" w:name="_Toc127151729"/>
      <w:bookmarkStart w:id="168" w:name="_Toc164351622"/>
      <w:bookmarkStart w:id="169" w:name="_Toc151193842"/>
      <w:bookmarkStart w:id="170" w:name="_Toc151193770"/>
      <w:bookmarkStart w:id="171" w:name="_Toc151193916"/>
      <w:bookmarkStart w:id="172" w:name="_Toc226309772"/>
      <w:bookmarkStart w:id="173" w:name="_Toc264969218"/>
      <w:bookmarkStart w:id="174" w:name="_Toc226337224"/>
      <w:bookmarkStart w:id="175" w:name="_Toc226965801"/>
      <w:bookmarkStart w:id="176" w:name="_Toc150509279"/>
      <w:bookmarkStart w:id="177" w:name="_Toc150774628"/>
      <w:bookmarkStart w:id="178" w:name="_Toc305158870"/>
      <w:bookmarkStart w:id="179" w:name="_Toc520356152"/>
      <w:bookmarkStart w:id="180" w:name="_Toc195842893"/>
      <w:bookmarkStart w:id="181" w:name="_Toc164229369"/>
      <w:bookmarkStart w:id="182" w:name="_Toc150480766"/>
      <w:bookmarkStart w:id="183" w:name="_Toc151193698"/>
      <w:bookmarkStart w:id="184" w:name="_Toc164608797"/>
      <w:bookmarkStart w:id="185" w:name="_Toc142311030"/>
      <w:bookmarkStart w:id="186" w:name="_Toc151190155"/>
      <w:bookmarkStart w:id="187" w:name="_Toc265228366"/>
      <w:bookmarkStart w:id="188" w:name="_Toc305158796"/>
      <w:bookmarkStart w:id="189" w:name="_Toc151193626"/>
      <w:bookmarkStart w:id="190" w:name="_Toc150774733"/>
      <w:bookmarkStart w:id="191" w:name="_Toc127151528"/>
      <w:bookmarkStart w:id="192" w:name="_Toc226965718"/>
      <w:bookmarkStart w:id="193" w:name="_Toc127161442"/>
      <w:bookmarkStart w:id="194" w:name="_Toc164608642"/>
      <w:bookmarkStart w:id="195" w:name="_Toc164229223"/>
    </w:p>
    <w:p w14:paraId="0003C281">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11.响应文件</w:t>
      </w:r>
      <w:bookmarkEnd w:id="163"/>
      <w:bookmarkEnd w:id="164"/>
      <w:bookmarkEnd w:id="165"/>
      <w:r>
        <w:rPr>
          <w:rFonts w:hint="eastAsia" w:ascii="宋体" w:hAnsi="宋体" w:eastAsia="宋体" w:cs="宋体"/>
          <w:sz w:val="24"/>
          <w:highlight w:val="none"/>
          <w:lang w:eastAsia="zh-CN"/>
        </w:rPr>
        <w:t>构成</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5837A2B">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bookmarkStart w:id="196" w:name="_Ref467052588"/>
      <w:r>
        <w:rPr>
          <w:rFonts w:hint="eastAsia" w:ascii="宋体" w:hAnsi="宋体" w:eastAsia="宋体" w:cs="宋体"/>
          <w:sz w:val="24"/>
          <w:highlight w:val="none"/>
          <w:lang w:eastAsia="zh-CN"/>
        </w:rPr>
        <w:t>11.1供应商应当按照竞争性磋商文件的要求编制响应文件，并对其提交的响应文件的真实性、合法性承担法律责任。响应文件的部分格式要求，见第六章《响应文件格式》。</w:t>
      </w:r>
    </w:p>
    <w:p w14:paraId="0A06F0E0">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11.2第三章《评审方法和评审标准》中涉及的证明文件。</w:t>
      </w:r>
    </w:p>
    <w:p w14:paraId="017757F6">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11.3供应商认为应附的其他材料。</w:t>
      </w:r>
      <w:bookmarkEnd w:id="196"/>
    </w:p>
    <w:p w14:paraId="0A48DBD0">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bookmarkStart w:id="197" w:name="_Toc127151731"/>
      <w:bookmarkStart w:id="198" w:name="_Toc150509281"/>
      <w:bookmarkStart w:id="199" w:name="_Toc151190157"/>
      <w:bookmarkStart w:id="200" w:name="_Toc195842895"/>
      <w:bookmarkStart w:id="201" w:name="_Toc164608799"/>
      <w:bookmarkStart w:id="202" w:name="_Toc164351624"/>
      <w:bookmarkStart w:id="203" w:name="_Toc164229371"/>
      <w:bookmarkStart w:id="204" w:name="_Toc127161444"/>
      <w:bookmarkStart w:id="205" w:name="_Toc151193700"/>
      <w:bookmarkStart w:id="206" w:name="_Toc164608644"/>
      <w:bookmarkStart w:id="207" w:name="_Toc151193628"/>
      <w:bookmarkStart w:id="208" w:name="_Toc150774735"/>
      <w:bookmarkStart w:id="209" w:name="_Toc127151530"/>
      <w:bookmarkStart w:id="210" w:name="_Toc142311032"/>
      <w:bookmarkStart w:id="211" w:name="_Toc151193844"/>
      <w:bookmarkStart w:id="212" w:name="_Toc149720823"/>
      <w:bookmarkStart w:id="213" w:name="_Toc151193772"/>
      <w:bookmarkStart w:id="214" w:name="_Toc150774630"/>
      <w:bookmarkStart w:id="215" w:name="_Toc520356155"/>
      <w:bookmarkStart w:id="216" w:name="_Toc150480768"/>
      <w:bookmarkStart w:id="217" w:name="_Toc151193918"/>
      <w:bookmarkStart w:id="218" w:name="_Toc164229225"/>
      <w:r>
        <w:rPr>
          <w:rFonts w:hint="eastAsia" w:ascii="宋体" w:hAnsi="宋体" w:eastAsia="宋体" w:cs="宋体"/>
          <w:sz w:val="24"/>
          <w:highlight w:val="none"/>
          <w:lang w:eastAsia="zh-CN"/>
        </w:rPr>
        <w:t>12.报价</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848214D">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12.1所有响应均以人民币报价。</w:t>
      </w:r>
    </w:p>
    <w:p w14:paraId="0F7797BE">
      <w:pPr>
        <w:pageBreakBefore w:val="0"/>
        <w:tabs>
          <w:tab w:val="left" w:pos="1080"/>
          <w:tab w:val="left" w:pos="1589"/>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12.2供应商的报价应包括为完成本项目所发生的一切费用和税费，采购人将不再支付报价以外的任何费用。供应商的报价应包括但不限于下列内容，《供应商须知前附表》中有特殊规定的，从其规定。</w:t>
      </w:r>
    </w:p>
    <w:p w14:paraId="40849FB9">
      <w:pPr>
        <w:pageBreakBefore w:val="0"/>
        <w:tabs>
          <w:tab w:val="left" w:pos="1080"/>
          <w:tab w:val="left" w:pos="1589"/>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12.2.1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72F47797">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12.2.2按照竞争性磋商文件要求完成本项目的全部相关工程或服务费用。</w:t>
      </w:r>
    </w:p>
    <w:p w14:paraId="487E5B98">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12.3采购人不得向供应商索要或者接受其给予的赠品、回扣或者与采购无关的其他商品、服务。</w:t>
      </w:r>
    </w:p>
    <w:p w14:paraId="40573BE4">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12.4供应商不能提供任何有选择性或可调整的最后报价（竞争性磋商文件另有规定的除外），否则其响应无效。</w:t>
      </w:r>
    </w:p>
    <w:p w14:paraId="56748FA6">
      <w:pPr>
        <w:pageBreakBefore w:val="0"/>
        <w:kinsoku/>
        <w:wordWrap/>
        <w:overflowPunct w:val="0"/>
        <w:topLinePunct w:val="0"/>
        <w:bidi w:val="0"/>
        <w:spacing w:line="360" w:lineRule="auto"/>
        <w:ind w:firstLine="435"/>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13.响应有效期</w:t>
      </w:r>
    </w:p>
    <w:p w14:paraId="41A5EF87">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响应文件应在本竞争性磋商文件《供应商须知前附表》中规定的响应有效期内保持有效。</w:t>
      </w:r>
      <w:bookmarkStart w:id="219" w:name="_Toc150480771"/>
      <w:bookmarkStart w:id="220" w:name="_Toc142311035"/>
      <w:bookmarkStart w:id="221" w:name="_Toc226965806"/>
      <w:bookmarkStart w:id="222" w:name="_Toc127161447"/>
      <w:bookmarkStart w:id="223" w:name="_Toc305158801"/>
      <w:bookmarkStart w:id="224" w:name="_Toc264969223"/>
      <w:bookmarkStart w:id="225" w:name="_Toc226309777"/>
      <w:bookmarkStart w:id="226" w:name="_Toc226965723"/>
      <w:bookmarkStart w:id="227" w:name="_Toc151193631"/>
      <w:bookmarkStart w:id="228" w:name="_Toc151193775"/>
      <w:bookmarkStart w:id="229" w:name="_Toc151193703"/>
      <w:bookmarkStart w:id="230" w:name="_Toc151193847"/>
      <w:bookmarkStart w:id="231" w:name="_Toc151193921"/>
      <w:bookmarkStart w:id="232" w:name="_Toc265228371"/>
      <w:bookmarkStart w:id="233" w:name="_Toc150509284"/>
      <w:bookmarkStart w:id="234" w:name="_Toc164608802"/>
      <w:bookmarkStart w:id="235" w:name="_Toc164229228"/>
      <w:bookmarkStart w:id="236" w:name="_Toc226337229"/>
      <w:bookmarkStart w:id="237" w:name="_Toc164351627"/>
      <w:bookmarkStart w:id="238" w:name="_Toc127151734"/>
      <w:bookmarkStart w:id="239" w:name="_Toc150774738"/>
      <w:bookmarkStart w:id="240" w:name="_Toc195842898"/>
      <w:bookmarkStart w:id="241" w:name="_Toc164608647"/>
      <w:bookmarkStart w:id="242" w:name="_Toc127151533"/>
      <w:bookmarkStart w:id="243" w:name="_Toc520356158"/>
      <w:bookmarkStart w:id="244" w:name="_Toc164229374"/>
      <w:bookmarkStart w:id="245" w:name="_Toc151190160"/>
      <w:bookmarkStart w:id="246" w:name="_Toc305158875"/>
      <w:bookmarkStart w:id="247" w:name="_Toc150774633"/>
      <w:bookmarkStart w:id="248" w:name="_Toc149720826"/>
    </w:p>
    <w:p w14:paraId="3C01D28A">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14.响应文件的签署</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ascii="宋体" w:hAnsi="宋体" w:eastAsia="宋体" w:cs="宋体"/>
          <w:sz w:val="24"/>
          <w:highlight w:val="none"/>
          <w:lang w:eastAsia="zh-CN"/>
        </w:rPr>
        <w:t>、盖章</w:t>
      </w:r>
    </w:p>
    <w:p w14:paraId="3F8EE8CD">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bookmarkStart w:id="249" w:name="_Toc151193922"/>
      <w:bookmarkStart w:id="250" w:name="_Toc305158876"/>
      <w:bookmarkStart w:id="251" w:name="_Toc150480772"/>
      <w:bookmarkStart w:id="252" w:name="_Toc150774634"/>
      <w:bookmarkStart w:id="253" w:name="_Toc151193632"/>
      <w:bookmarkStart w:id="254" w:name="_Toc127151534"/>
      <w:bookmarkStart w:id="255" w:name="_Toc151193848"/>
      <w:bookmarkStart w:id="256" w:name="_Toc226965807"/>
      <w:bookmarkStart w:id="257" w:name="_Toc195842899"/>
      <w:bookmarkStart w:id="258" w:name="_Toc264969224"/>
      <w:bookmarkStart w:id="259" w:name="_Toc151193776"/>
      <w:bookmarkStart w:id="260" w:name="_Toc226309778"/>
      <w:bookmarkStart w:id="261" w:name="_Toc305158802"/>
      <w:bookmarkStart w:id="262" w:name="_Toc150774739"/>
      <w:bookmarkStart w:id="263" w:name="_Toc150509285"/>
      <w:bookmarkStart w:id="264" w:name="_Toc265228372"/>
      <w:bookmarkStart w:id="265" w:name="_Toc226965724"/>
      <w:bookmarkStart w:id="266" w:name="_Toc226337230"/>
      <w:bookmarkStart w:id="267" w:name="_Toc151190161"/>
      <w:bookmarkStart w:id="268" w:name="_Toc520356159"/>
      <w:bookmarkStart w:id="269" w:name="_Toc142311036"/>
      <w:bookmarkStart w:id="270" w:name="_Toc151193704"/>
      <w:r>
        <w:rPr>
          <w:rFonts w:hint="eastAsia" w:ascii="宋体" w:hAnsi="宋体" w:eastAsia="宋体" w:cs="宋体"/>
          <w:kern w:val="2"/>
          <w:sz w:val="24"/>
          <w:szCs w:val="24"/>
          <w:highlight w:val="none"/>
          <w:lang w:eastAsia="zh-CN"/>
        </w:rPr>
        <w:t>14.1竞争性磋商文件要求第三方出具的盖章件原件（如联合体协议书、分包意向协议等），响应文件中应使用原件的电子件。</w:t>
      </w:r>
    </w:p>
    <w:p w14:paraId="2B2B6906">
      <w:pPr>
        <w:pageBreakBefore w:val="0"/>
        <w:widowControl w:val="0"/>
        <w:kinsoku/>
        <w:wordWrap/>
        <w:overflowPunct w:val="0"/>
        <w:topLinePunct w:val="0"/>
        <w:bidi w:val="0"/>
        <w:spacing w:line="360" w:lineRule="auto"/>
        <w:ind w:firstLine="480" w:firstLineChars="200"/>
        <w:jc w:val="both"/>
        <w:textAlignment w:val="auto"/>
        <w:rPr>
          <w:rFonts w:hint="eastAsia" w:ascii="宋体" w:hAnsi="宋体" w:eastAsia="宋体" w:cs="宋体"/>
          <w:highlight w:val="none"/>
          <w:lang w:eastAsia="zh-CN"/>
        </w:rPr>
      </w:pPr>
      <w:r>
        <w:rPr>
          <w:rFonts w:hint="eastAsia" w:ascii="宋体" w:hAnsi="宋体" w:eastAsia="宋体" w:cs="宋体"/>
          <w:kern w:val="2"/>
          <w:sz w:val="24"/>
          <w:szCs w:val="24"/>
          <w:highlight w:val="none"/>
          <w:lang w:eastAsia="zh-CN"/>
        </w:rPr>
        <w:t>14.2竞争性磋商文件要求盖章的内容，一般通过响应文件编制工具加盖</w:t>
      </w:r>
      <w:r>
        <w:rPr>
          <w:rFonts w:hint="eastAsia" w:ascii="宋体" w:hAnsi="宋体" w:eastAsia="宋体" w:cs="宋体"/>
          <w:kern w:val="2"/>
          <w:sz w:val="24"/>
          <w:szCs w:val="24"/>
          <w:highlight w:val="none"/>
          <w:lang w:val="en-US" w:eastAsia="zh-CN"/>
        </w:rPr>
        <w:t>公章</w:t>
      </w:r>
      <w:r>
        <w:rPr>
          <w:rFonts w:hint="eastAsia" w:ascii="宋体" w:hAnsi="宋体" w:eastAsia="宋体" w:cs="宋体"/>
          <w:kern w:val="2"/>
          <w:sz w:val="24"/>
          <w:szCs w:val="24"/>
          <w:highlight w:val="none"/>
          <w:lang w:eastAsia="zh-CN"/>
        </w:rPr>
        <w:t>。</w:t>
      </w:r>
    </w:p>
    <w:p w14:paraId="42D502AF">
      <w:pPr>
        <w:pStyle w:val="3"/>
        <w:pageBreakBefore w:val="0"/>
        <w:kinsoku/>
        <w:wordWrap/>
        <w:overflowPunct w:val="0"/>
        <w:topLinePunct w:val="0"/>
        <w:bidi w:val="0"/>
        <w:spacing w:before="0" w:line="360" w:lineRule="auto"/>
        <w:rPr>
          <w:rFonts w:hint="eastAsia" w:ascii="宋体" w:hAnsi="宋体" w:eastAsia="宋体" w:cs="宋体"/>
          <w:sz w:val="28"/>
          <w:highlight w:val="none"/>
          <w:lang w:eastAsia="zh-CN"/>
        </w:rPr>
      </w:pPr>
    </w:p>
    <w:p w14:paraId="4E421BE5">
      <w:pPr>
        <w:pStyle w:val="3"/>
        <w:pageBreakBefore w:val="0"/>
        <w:kinsoku/>
        <w:wordWrap/>
        <w:overflowPunct w:val="0"/>
        <w:topLinePunct w:val="0"/>
        <w:bidi w:val="0"/>
        <w:spacing w:before="0" w:line="360" w:lineRule="auto"/>
        <w:rPr>
          <w:rFonts w:hint="eastAsia" w:ascii="宋体" w:hAnsi="宋体" w:eastAsia="宋体" w:cs="宋体"/>
          <w:sz w:val="28"/>
          <w:highlight w:val="none"/>
          <w:lang w:eastAsia="zh-CN"/>
        </w:rPr>
      </w:pPr>
      <w:r>
        <w:rPr>
          <w:rFonts w:hint="eastAsia" w:ascii="宋体" w:hAnsi="宋体" w:eastAsia="宋体" w:cs="宋体"/>
          <w:sz w:val="28"/>
          <w:highlight w:val="none"/>
          <w:lang w:eastAsia="zh-CN"/>
        </w:rPr>
        <w:t>四、</w:t>
      </w:r>
      <w:r>
        <w:rPr>
          <w:rFonts w:hint="eastAsia" w:ascii="宋体" w:hAnsi="宋体" w:eastAsia="宋体" w:cs="宋体"/>
          <w:sz w:val="28"/>
          <w:highlight w:val="none"/>
          <w:lang w:val="en-US" w:eastAsia="zh-CN"/>
        </w:rPr>
        <w:t>响</w:t>
      </w:r>
      <w:r>
        <w:rPr>
          <w:rFonts w:hint="eastAsia" w:ascii="宋体" w:hAnsi="宋体" w:eastAsia="宋体" w:cs="宋体"/>
          <w:sz w:val="28"/>
          <w:highlight w:val="none"/>
          <w:lang w:eastAsia="zh-CN"/>
        </w:rPr>
        <w:t>应文件的提交</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148D8BA">
      <w:pPr>
        <w:spacing w:line="360" w:lineRule="auto"/>
        <w:ind w:firstLine="480" w:firstLineChars="200"/>
        <w:rPr>
          <w:rFonts w:hint="eastAsia" w:ascii="宋体" w:hAnsi="宋体" w:eastAsia="宋体" w:cs="宋体"/>
          <w:sz w:val="24"/>
          <w:highlight w:val="none"/>
          <w:lang w:val="en-US" w:eastAsia="zh-CN"/>
        </w:rPr>
      </w:pPr>
      <w:bookmarkStart w:id="271" w:name="_Toc164608650"/>
      <w:bookmarkStart w:id="272" w:name="_Toc150774741"/>
      <w:bookmarkStart w:id="273" w:name="_Toc164229231"/>
      <w:bookmarkStart w:id="274" w:name="_Toc151193850"/>
      <w:bookmarkStart w:id="275" w:name="_Toc520356161"/>
      <w:bookmarkStart w:id="276" w:name="_Toc226965726"/>
      <w:bookmarkStart w:id="277" w:name="_Toc150509287"/>
      <w:bookmarkStart w:id="278" w:name="_Toc127151536"/>
      <w:bookmarkStart w:id="279" w:name="_Toc150480774"/>
      <w:bookmarkStart w:id="280" w:name="_Toc164229377"/>
      <w:bookmarkStart w:id="281" w:name="_Toc305158804"/>
      <w:bookmarkStart w:id="282" w:name="_Toc226337232"/>
      <w:bookmarkStart w:id="283" w:name="_Toc151193778"/>
      <w:bookmarkStart w:id="284" w:name="_Toc305158878"/>
      <w:bookmarkStart w:id="285" w:name="_Toc151193924"/>
      <w:bookmarkStart w:id="286" w:name="_Toc151193634"/>
      <w:bookmarkStart w:id="287" w:name="_Toc150774636"/>
      <w:bookmarkStart w:id="288" w:name="_Toc195842901"/>
      <w:bookmarkStart w:id="289" w:name="_Toc265228374"/>
      <w:bookmarkStart w:id="290" w:name="_Toc264969226"/>
      <w:bookmarkStart w:id="291" w:name="_Toc127161450"/>
      <w:bookmarkStart w:id="292" w:name="_Toc164351630"/>
      <w:bookmarkStart w:id="293" w:name="_Toc149720829"/>
      <w:bookmarkStart w:id="294" w:name="_Toc164608805"/>
      <w:bookmarkStart w:id="295" w:name="_Toc151193706"/>
      <w:bookmarkStart w:id="296" w:name="_Toc226309780"/>
      <w:bookmarkStart w:id="297" w:name="_Toc127151737"/>
      <w:bookmarkStart w:id="298" w:name="_Toc142311038"/>
      <w:bookmarkStart w:id="299" w:name="_Toc151190163"/>
      <w:bookmarkStart w:id="300" w:name="_Toc226965809"/>
      <w:r>
        <w:rPr>
          <w:rFonts w:hint="eastAsia" w:ascii="宋体" w:hAnsi="宋体" w:eastAsia="宋体" w:cs="宋体"/>
          <w:sz w:val="24"/>
          <w:highlight w:val="none"/>
          <w:lang w:val="en-US" w:eastAsia="zh-CN"/>
        </w:rPr>
        <w:t>15、磋商响应文件的递交</w:t>
      </w:r>
    </w:p>
    <w:p w14:paraId="4BE67B46">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15.1磋商响应文件的递交是指供应商在磋商响应截止时间前密封送达指定响应文件的开启地点并递交的。</w:t>
      </w:r>
    </w:p>
    <w:p w14:paraId="632AA96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15.2磋商响应截止时间前，供应商可以修改或撤回已提交的磋商响应文件，以磋商响应截止时间前递交的最后一份为准。</w:t>
      </w:r>
    </w:p>
    <w:p w14:paraId="692BAD86">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15.3采购人推迟磋商时间时，将在网站以“更正公告”的形式通知所有供应商。在这种情况下，磋商双方的权利和义务将受到新的磋商时间的约束。</w:t>
      </w:r>
    </w:p>
    <w:p w14:paraId="38AA36F9">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15.4在磋商文件要求提交磋商响应文件的截止时间之后送达的磋商响应文件，为无效磋商响应文件，将拒绝接收。</w:t>
      </w:r>
    </w:p>
    <w:p w14:paraId="3485EB44">
      <w:pPr>
        <w:pageBreakBefore w:val="0"/>
        <w:widowControl w:val="0"/>
        <w:tabs>
          <w:tab w:val="left" w:pos="360"/>
          <w:tab w:val="left" w:pos="900"/>
        </w:tabs>
        <w:kinsoku/>
        <w:wordWrap/>
        <w:overflowPunct w:val="0"/>
        <w:topLinePunct w:val="0"/>
        <w:bidi w:val="0"/>
        <w:spacing w:line="360" w:lineRule="auto"/>
        <w:ind w:firstLine="480" w:firstLineChars="200"/>
        <w:textAlignment w:val="auto"/>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16.响应文件截止</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Pr>
          <w:rFonts w:hint="eastAsia" w:ascii="宋体" w:hAnsi="宋体" w:eastAsia="宋体" w:cs="宋体"/>
          <w:sz w:val="24"/>
          <w:highlight w:val="none"/>
          <w:lang w:eastAsia="zh-CN"/>
        </w:rPr>
        <w:t>时间</w:t>
      </w:r>
    </w:p>
    <w:p w14:paraId="00A768D5">
      <w:pPr>
        <w:pageBreakBefore w:val="0"/>
        <w:widowControl w:val="0"/>
        <w:kinsoku/>
        <w:wordWrap/>
        <w:overflowPunct w:val="0"/>
        <w:topLinePunct w:val="0"/>
        <w:bidi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16.1供应商应在竞争性磋商文件要求响应文件提交截止时间前，将响应文件</w:t>
      </w:r>
      <w:r>
        <w:rPr>
          <w:rFonts w:hint="eastAsia" w:ascii="宋体" w:hAnsi="宋体" w:eastAsia="宋体" w:cs="宋体"/>
          <w:sz w:val="24"/>
          <w:highlight w:val="none"/>
          <w:lang w:val="en-US" w:eastAsia="zh-CN"/>
        </w:rPr>
        <w:t>送至开标地点</w:t>
      </w:r>
      <w:r>
        <w:rPr>
          <w:rFonts w:hint="eastAsia" w:ascii="宋体" w:hAnsi="宋体" w:eastAsia="宋体" w:cs="宋体"/>
          <w:sz w:val="24"/>
          <w:highlight w:val="none"/>
          <w:lang w:eastAsia="zh-CN"/>
        </w:rPr>
        <w:t>。</w:t>
      </w:r>
    </w:p>
    <w:p w14:paraId="65CFE593">
      <w:pPr>
        <w:pageBreakBefore w:val="0"/>
        <w:widowControl w:val="0"/>
        <w:kinsoku/>
        <w:wordWrap/>
        <w:overflowPunct w:val="0"/>
        <w:topLinePunct w:val="0"/>
        <w:bidi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16.2采购人推迟磋商时间时，将在网站以“更正公告”的形式通知所有供应商。在这种情况下，磋商双方的权利和义务将受到新的磋商时间的约束。</w:t>
      </w:r>
    </w:p>
    <w:p w14:paraId="0080A0E1">
      <w:pPr>
        <w:pageBreakBefore w:val="0"/>
        <w:widowControl w:val="0"/>
        <w:tabs>
          <w:tab w:val="left" w:pos="1589"/>
          <w:tab w:val="left" w:pos="2014"/>
        </w:tabs>
        <w:kinsoku/>
        <w:wordWrap/>
        <w:overflowPunct w:val="0"/>
        <w:topLinePunct w:val="0"/>
        <w:bidi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16.3拒收情形：在本须知规定的响应截止时间后逾期</w:t>
      </w:r>
      <w:r>
        <w:rPr>
          <w:rFonts w:hint="eastAsia" w:ascii="宋体" w:hAnsi="宋体" w:eastAsia="宋体" w:cs="宋体"/>
          <w:sz w:val="24"/>
          <w:highlight w:val="none"/>
          <w:lang w:val="en-US" w:eastAsia="zh-CN"/>
        </w:rPr>
        <w:t>递</w:t>
      </w:r>
      <w:r>
        <w:rPr>
          <w:rFonts w:hint="eastAsia" w:ascii="宋体" w:hAnsi="宋体" w:eastAsia="宋体" w:cs="宋体"/>
          <w:sz w:val="24"/>
          <w:highlight w:val="none"/>
          <w:lang w:eastAsia="zh-CN"/>
        </w:rPr>
        <w:t>交的任何响应文件将被拒绝接收。</w:t>
      </w:r>
    </w:p>
    <w:p w14:paraId="291744E5">
      <w:pPr>
        <w:pageBreakBefore w:val="0"/>
        <w:tabs>
          <w:tab w:val="left" w:pos="360"/>
          <w:tab w:val="left" w:pos="90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bookmarkStart w:id="301" w:name="_Toc127151738"/>
      <w:bookmarkStart w:id="302" w:name="_Toc151193925"/>
      <w:bookmarkStart w:id="303" w:name="_Toc226309781"/>
      <w:bookmarkStart w:id="304" w:name="_Toc195842902"/>
      <w:bookmarkStart w:id="305" w:name="_Toc520356162"/>
      <w:bookmarkStart w:id="306" w:name="_Toc226965727"/>
      <w:bookmarkStart w:id="307" w:name="_Toc151193635"/>
      <w:bookmarkStart w:id="308" w:name="_Toc151193851"/>
      <w:bookmarkStart w:id="309" w:name="_Toc164608806"/>
      <w:bookmarkStart w:id="310" w:name="_Toc149720830"/>
      <w:bookmarkStart w:id="311" w:name="_Toc305158805"/>
      <w:bookmarkStart w:id="312" w:name="_Toc142311039"/>
      <w:bookmarkStart w:id="313" w:name="_Toc150774742"/>
      <w:bookmarkStart w:id="314" w:name="_Toc150480775"/>
      <w:bookmarkStart w:id="315" w:name="_Toc127161451"/>
      <w:bookmarkStart w:id="316" w:name="_Toc305158879"/>
      <w:bookmarkStart w:id="317" w:name="_Toc150774637"/>
      <w:bookmarkStart w:id="318" w:name="_Toc164351631"/>
      <w:bookmarkStart w:id="319" w:name="_Toc265228375"/>
      <w:bookmarkStart w:id="320" w:name="_Toc151193779"/>
      <w:bookmarkStart w:id="321" w:name="_Toc226965810"/>
      <w:bookmarkStart w:id="322" w:name="_Toc164229378"/>
      <w:bookmarkStart w:id="323" w:name="_Toc151190164"/>
      <w:bookmarkStart w:id="324" w:name="_Toc164608651"/>
      <w:bookmarkStart w:id="325" w:name="_Toc226337233"/>
      <w:bookmarkStart w:id="326" w:name="_Toc264969227"/>
      <w:bookmarkStart w:id="327" w:name="_Toc127151537"/>
      <w:bookmarkStart w:id="328" w:name="_Toc164229232"/>
      <w:bookmarkStart w:id="329" w:name="_Toc151193707"/>
      <w:bookmarkStart w:id="330" w:name="_Toc150509288"/>
      <w:r>
        <w:rPr>
          <w:rFonts w:hint="eastAsia" w:ascii="宋体" w:hAnsi="宋体" w:eastAsia="宋体" w:cs="宋体"/>
          <w:sz w:val="24"/>
          <w:highlight w:val="none"/>
          <w:lang w:eastAsia="zh-CN"/>
        </w:rPr>
        <w:t>17.响应文件的修改与撤回</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944E356">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17.</w:t>
      </w:r>
      <w:r>
        <w:rPr>
          <w:rFonts w:hint="eastAsia" w:ascii="宋体" w:hAnsi="宋体" w:eastAsia="宋体" w:cs="宋体"/>
          <w:sz w:val="24"/>
          <w:highlight w:val="none"/>
        </w:rPr>
        <w:t>供应商递交磋商响应书后，可以在规定的磋商响应截止时间前修改或撤回其磋商响应书。但这种修改和撤回，必须以书面形式通知采购单位</w:t>
      </w:r>
      <w:r>
        <w:rPr>
          <w:rFonts w:hint="eastAsia" w:ascii="宋体" w:hAnsi="宋体" w:eastAsia="宋体" w:cs="宋体"/>
          <w:kern w:val="2"/>
          <w:sz w:val="24"/>
          <w:szCs w:val="24"/>
          <w:highlight w:val="none"/>
          <w:lang w:eastAsia="zh-CN"/>
        </w:rPr>
        <w:t>。</w:t>
      </w:r>
    </w:p>
    <w:p w14:paraId="711634BF">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8"/>
          <w:highlight w:val="none"/>
          <w:lang w:eastAsia="zh-CN"/>
        </w:rPr>
      </w:pPr>
      <w:r>
        <w:rPr>
          <w:rFonts w:hint="eastAsia" w:ascii="宋体" w:hAnsi="宋体" w:eastAsia="宋体" w:cs="宋体"/>
          <w:sz w:val="24"/>
          <w:highlight w:val="none"/>
          <w:lang w:eastAsia="zh-CN"/>
        </w:rPr>
        <w:t>17.2供应商对响应文件的补充、修改的内容应当按照竞争性磋商文件要求签署、盖章，作为响应文件的组成部分。补充、修改的内容与响应文件不一致的，以补充、修改的内容为准。</w:t>
      </w:r>
      <w:bookmarkStart w:id="331" w:name="_Toc127151538"/>
      <w:bookmarkStart w:id="332" w:name="_Toc226309782"/>
      <w:bookmarkStart w:id="333" w:name="_Toc195842903"/>
      <w:bookmarkStart w:id="334" w:name="_Toc150774638"/>
      <w:bookmarkStart w:id="335" w:name="_Toc226965811"/>
      <w:bookmarkStart w:id="336" w:name="_Toc305158806"/>
      <w:bookmarkStart w:id="337" w:name="_Toc151193636"/>
      <w:bookmarkStart w:id="338" w:name="_Toc142311040"/>
      <w:bookmarkStart w:id="339" w:name="_Toc150480776"/>
      <w:bookmarkStart w:id="340" w:name="_Toc264969228"/>
      <w:bookmarkStart w:id="341" w:name="_Toc150774743"/>
      <w:bookmarkStart w:id="342" w:name="_Toc151193780"/>
      <w:bookmarkStart w:id="343" w:name="_Toc151190165"/>
      <w:bookmarkStart w:id="344" w:name="_Toc226965728"/>
      <w:bookmarkStart w:id="345" w:name="_Toc520356163"/>
      <w:bookmarkStart w:id="346" w:name="_Toc150509289"/>
      <w:bookmarkStart w:id="347" w:name="_Toc226337234"/>
      <w:bookmarkStart w:id="348" w:name="_Toc151193926"/>
      <w:bookmarkStart w:id="349" w:name="_Toc265228376"/>
      <w:bookmarkStart w:id="350" w:name="_Toc151193852"/>
      <w:bookmarkStart w:id="351" w:name="_Toc305158880"/>
      <w:bookmarkStart w:id="352" w:name="_Toc151193708"/>
    </w:p>
    <w:p w14:paraId="0E43F7B5">
      <w:pPr>
        <w:pStyle w:val="3"/>
        <w:pageBreakBefore w:val="0"/>
        <w:kinsoku/>
        <w:wordWrap/>
        <w:overflowPunct w:val="0"/>
        <w:topLinePunct w:val="0"/>
        <w:bidi w:val="0"/>
        <w:spacing w:before="0" w:line="360" w:lineRule="auto"/>
        <w:rPr>
          <w:rFonts w:hint="eastAsia" w:ascii="宋体" w:hAnsi="宋体" w:eastAsia="宋体" w:cs="宋体"/>
          <w:sz w:val="28"/>
          <w:highlight w:val="none"/>
          <w:lang w:eastAsia="zh-CN"/>
        </w:rPr>
      </w:pPr>
      <w:r>
        <w:rPr>
          <w:rFonts w:hint="eastAsia" w:ascii="宋体" w:hAnsi="宋体" w:eastAsia="宋体" w:cs="宋体"/>
          <w:sz w:val="28"/>
          <w:highlight w:val="none"/>
          <w:lang w:eastAsia="zh-CN"/>
        </w:rPr>
        <w:t>五</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hint="eastAsia" w:ascii="宋体" w:hAnsi="宋体" w:eastAsia="宋体" w:cs="宋体"/>
          <w:sz w:val="28"/>
          <w:highlight w:val="none"/>
          <w:lang w:eastAsia="zh-CN"/>
        </w:rPr>
        <w:t>、评审</w:t>
      </w:r>
    </w:p>
    <w:p w14:paraId="4BFB6118">
      <w:pPr>
        <w:pageBreakBefore w:val="0"/>
        <w:tabs>
          <w:tab w:val="left" w:pos="360"/>
          <w:tab w:val="left" w:pos="90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18.响应文件的开启</w:t>
      </w:r>
    </w:p>
    <w:p w14:paraId="49B52B97">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18.1采购人或采购代理机构将按竞争性磋商文件的规定，在响应文件提交截止时间的同一时间和竞争性磋商文件预先确定的地点开启响应文件。</w:t>
      </w:r>
    </w:p>
    <w:p w14:paraId="661993ED">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18.</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供应商不足3家的，不予</w:t>
      </w:r>
      <w:r>
        <w:rPr>
          <w:rFonts w:hint="eastAsia" w:ascii="宋体" w:hAnsi="宋体" w:eastAsia="宋体" w:cs="宋体"/>
          <w:sz w:val="24"/>
          <w:highlight w:val="none"/>
          <w:lang w:val="en-US" w:eastAsia="zh-CN"/>
        </w:rPr>
        <w:t>开标</w:t>
      </w:r>
      <w:r>
        <w:rPr>
          <w:rFonts w:hint="eastAsia" w:ascii="宋体" w:hAnsi="宋体" w:eastAsia="宋体" w:cs="宋体"/>
          <w:sz w:val="24"/>
          <w:highlight w:val="none"/>
          <w:lang w:eastAsia="zh-CN"/>
        </w:rPr>
        <w:t>。</w:t>
      </w:r>
    </w:p>
    <w:p w14:paraId="363CBC1F">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bookmarkStart w:id="353" w:name="_Toc520356165"/>
      <w:r>
        <w:rPr>
          <w:rFonts w:hint="eastAsia" w:ascii="宋体" w:hAnsi="宋体" w:eastAsia="宋体" w:cs="宋体"/>
          <w:sz w:val="24"/>
          <w:highlight w:val="none"/>
          <w:lang w:eastAsia="zh-CN"/>
        </w:rPr>
        <w:t>18.</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本项目不公开报价。</w:t>
      </w:r>
      <w:bookmarkEnd w:id="353"/>
    </w:p>
    <w:p w14:paraId="17741897">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19.磋商小组</w:t>
      </w:r>
    </w:p>
    <w:p w14:paraId="62B374A4">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磋商小组根据政府采购有关规定和本次采购项目的特点进行组建，并负责具体评审事务，独立履行职责。</w:t>
      </w:r>
      <w:bookmarkStart w:id="354" w:name="_Toc520356169"/>
    </w:p>
    <w:p w14:paraId="31F0FD9F">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20.评审方法和评审标准</w:t>
      </w:r>
    </w:p>
    <w:p w14:paraId="058810A9">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见第三章《评审方法和评审标准》。</w:t>
      </w:r>
      <w:bookmarkStart w:id="355" w:name="_Toc226337241"/>
      <w:bookmarkStart w:id="356" w:name="_Toc150509296"/>
      <w:bookmarkStart w:id="357" w:name="_Toc151193715"/>
      <w:bookmarkStart w:id="358" w:name="_Toc151190172"/>
      <w:bookmarkStart w:id="359" w:name="_Toc226965818"/>
      <w:bookmarkStart w:id="360" w:name="_Toc127151545"/>
      <w:bookmarkStart w:id="361" w:name="_Toc142311047"/>
      <w:bookmarkStart w:id="362" w:name="_Toc150480783"/>
      <w:bookmarkStart w:id="363" w:name="_Toc305158813"/>
      <w:bookmarkStart w:id="364" w:name="_Toc264969235"/>
      <w:bookmarkStart w:id="365" w:name="_Toc151193643"/>
      <w:bookmarkStart w:id="366" w:name="_Toc265228383"/>
      <w:bookmarkStart w:id="367" w:name="_Toc150774645"/>
      <w:bookmarkStart w:id="368" w:name="_Toc305158887"/>
      <w:bookmarkStart w:id="369" w:name="_Toc151193859"/>
      <w:bookmarkStart w:id="370" w:name="_Toc150774750"/>
      <w:bookmarkStart w:id="371" w:name="_Toc151193787"/>
      <w:bookmarkStart w:id="372" w:name="_Toc195842910"/>
      <w:bookmarkStart w:id="373" w:name="_Toc226965735"/>
      <w:bookmarkStart w:id="374" w:name="_Toc226309789"/>
      <w:bookmarkStart w:id="375" w:name="_Toc151193933"/>
    </w:p>
    <w:p w14:paraId="28DD1E5A">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p>
    <w:p w14:paraId="548B9D2C">
      <w:pPr>
        <w:pStyle w:val="3"/>
        <w:pageBreakBefore w:val="0"/>
        <w:kinsoku/>
        <w:wordWrap/>
        <w:overflowPunct w:val="0"/>
        <w:topLinePunct w:val="0"/>
        <w:bidi w:val="0"/>
        <w:spacing w:before="0" w:line="360" w:lineRule="auto"/>
        <w:rPr>
          <w:rFonts w:hint="eastAsia" w:ascii="宋体" w:hAnsi="宋体" w:eastAsia="宋体" w:cs="宋体"/>
          <w:sz w:val="28"/>
          <w:highlight w:val="none"/>
          <w:lang w:eastAsia="zh-CN"/>
        </w:rPr>
      </w:pPr>
      <w:r>
        <w:rPr>
          <w:rFonts w:hint="eastAsia" w:ascii="宋体" w:hAnsi="宋体" w:eastAsia="宋体" w:cs="宋体"/>
          <w:sz w:val="28"/>
          <w:highlight w:val="none"/>
          <w:lang w:eastAsia="zh-CN"/>
        </w:rPr>
        <w:t>六</w:t>
      </w:r>
      <w:bookmarkEnd w:id="354"/>
      <w:r>
        <w:rPr>
          <w:rFonts w:hint="eastAsia" w:ascii="宋体" w:hAnsi="宋体" w:eastAsia="宋体" w:cs="宋体"/>
          <w:sz w:val="28"/>
          <w:highlight w:val="none"/>
          <w:lang w:eastAsia="zh-CN"/>
        </w:rPr>
        <w:t>、确定</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宋体" w:hAnsi="宋体" w:eastAsia="宋体" w:cs="宋体"/>
          <w:sz w:val="28"/>
          <w:highlight w:val="none"/>
          <w:lang w:eastAsia="zh-CN"/>
        </w:rPr>
        <w:t>成交供应商</w:t>
      </w:r>
    </w:p>
    <w:p w14:paraId="5297E0F6">
      <w:pPr>
        <w:keepNext w:val="0"/>
        <w:keepLines w:val="0"/>
        <w:pageBreakBefore w:val="0"/>
        <w:tabs>
          <w:tab w:val="left" w:pos="360"/>
          <w:tab w:val="left" w:pos="900"/>
        </w:tabs>
        <w:kinsoku/>
        <w:wordWrap/>
        <w:overflowPunct w:val="0"/>
        <w:topLinePunct w:val="0"/>
        <w:bidi w:val="0"/>
        <w:snapToGrid w:val="0"/>
        <w:spacing w:line="360" w:lineRule="auto"/>
        <w:ind w:firstLine="480" w:firstLineChars="200"/>
        <w:outlineLvl w:val="1"/>
        <w:rPr>
          <w:rFonts w:hint="eastAsia" w:ascii="宋体" w:hAnsi="宋体" w:eastAsia="宋体" w:cs="宋体"/>
          <w:sz w:val="24"/>
          <w:highlight w:val="none"/>
          <w:lang w:eastAsia="zh-CN"/>
        </w:rPr>
      </w:pPr>
      <w:bookmarkStart w:id="376" w:name="_Toc226965737"/>
      <w:bookmarkStart w:id="377" w:name="_Toc151193861"/>
      <w:bookmarkStart w:id="378" w:name="_Toc305158889"/>
      <w:bookmarkStart w:id="379" w:name="_Toc265228385"/>
      <w:bookmarkStart w:id="380" w:name="_Toc151193789"/>
      <w:bookmarkStart w:id="381" w:name="_Toc226309791"/>
      <w:bookmarkStart w:id="382" w:name="_Toc164608816"/>
      <w:bookmarkStart w:id="383" w:name="_Toc264969237"/>
      <w:bookmarkStart w:id="384" w:name="_Toc127161461"/>
      <w:bookmarkStart w:id="385" w:name="_Toc226337243"/>
      <w:bookmarkStart w:id="386" w:name="_Toc164608661"/>
      <w:bookmarkStart w:id="387" w:name="_Toc226965820"/>
      <w:bookmarkStart w:id="388" w:name="_Toc151190174"/>
      <w:bookmarkStart w:id="389" w:name="_Toc305158815"/>
      <w:bookmarkStart w:id="390" w:name="_Toc151193717"/>
      <w:bookmarkStart w:id="391" w:name="_Toc127151547"/>
      <w:bookmarkStart w:id="392" w:name="_Toc142311049"/>
      <w:bookmarkStart w:id="393" w:name="_Toc150480785"/>
      <w:bookmarkStart w:id="394" w:name="_Toc149720840"/>
      <w:bookmarkStart w:id="395" w:name="_Toc127151748"/>
      <w:bookmarkStart w:id="396" w:name="_Toc164229242"/>
      <w:bookmarkStart w:id="397" w:name="_Toc151193935"/>
      <w:bookmarkStart w:id="398" w:name="_Toc150774647"/>
      <w:bookmarkStart w:id="399" w:name="_Toc150774752"/>
      <w:bookmarkStart w:id="400" w:name="_Toc164229388"/>
      <w:bookmarkStart w:id="401" w:name="_Toc164351641"/>
      <w:bookmarkStart w:id="402" w:name="_Toc150509298"/>
      <w:bookmarkStart w:id="403" w:name="_Toc151193645"/>
      <w:bookmarkStart w:id="404" w:name="_Toc195842912"/>
      <w:r>
        <w:rPr>
          <w:rFonts w:hint="eastAsia" w:ascii="宋体" w:hAnsi="宋体" w:eastAsia="宋体" w:cs="宋体"/>
          <w:sz w:val="24"/>
          <w:highlight w:val="none"/>
          <w:lang w:eastAsia="zh-CN"/>
        </w:rPr>
        <w:t>21.确定成交供应商</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A056879">
      <w:pPr>
        <w:keepNext w:val="0"/>
        <w:keepLines w:val="0"/>
        <w:pageBreakBefore w:val="0"/>
        <w:tabs>
          <w:tab w:val="left" w:pos="1080"/>
          <w:tab w:val="left" w:pos="1589"/>
          <w:tab w:val="left" w:pos="2014"/>
        </w:tabs>
        <w:kinsoku/>
        <w:wordWrap/>
        <w:overflowPunct w:val="0"/>
        <w:topLinePunct w:val="0"/>
        <w:bidi w:val="0"/>
        <w:snapToGrid w:val="0"/>
        <w:spacing w:line="360" w:lineRule="auto"/>
        <w:ind w:firstLine="480" w:firstLineChars="200"/>
        <w:rPr>
          <w:rFonts w:hint="eastAsia" w:ascii="宋体" w:hAnsi="宋体" w:eastAsia="宋体" w:cs="宋体"/>
          <w:b/>
          <w:bCs/>
          <w:strike/>
          <w:sz w:val="24"/>
          <w:highlight w:val="none"/>
          <w:shd w:val="clear" w:color="auto" w:fill="FFFF99"/>
          <w:lang w:eastAsia="zh-CN"/>
        </w:rPr>
      </w:pPr>
      <w:r>
        <w:rPr>
          <w:rFonts w:hint="eastAsia" w:ascii="宋体" w:hAnsi="宋体" w:eastAsia="宋体" w:cs="宋体"/>
          <w:sz w:val="24"/>
          <w:highlight w:val="none"/>
          <w:lang w:eastAsia="zh-CN"/>
        </w:rPr>
        <w:t>采购人将在收到评审报告后，从评审报告提出的成交候选人中，按照排序由高到低的原则确定成交供应商。采购人是否授权磋商小组直接确定成交供应商，见《供应商须知前附表》。</w:t>
      </w:r>
    </w:p>
    <w:p w14:paraId="2C9CC509">
      <w:pPr>
        <w:keepNext w:val="0"/>
        <w:keepLines w:val="0"/>
        <w:pageBreakBefore w:val="0"/>
        <w:tabs>
          <w:tab w:val="left" w:pos="360"/>
          <w:tab w:val="left" w:pos="900"/>
        </w:tabs>
        <w:kinsoku/>
        <w:wordWrap/>
        <w:overflowPunct w:val="0"/>
        <w:topLinePunct w:val="0"/>
        <w:bidi w:val="0"/>
        <w:snapToGrid w:val="0"/>
        <w:spacing w:line="360" w:lineRule="auto"/>
        <w:ind w:firstLine="480" w:firstLineChars="200"/>
        <w:outlineLvl w:val="1"/>
        <w:rPr>
          <w:rFonts w:hint="eastAsia" w:ascii="宋体" w:hAnsi="宋体" w:eastAsia="宋体" w:cs="宋体"/>
          <w:sz w:val="24"/>
          <w:highlight w:val="none"/>
          <w:lang w:eastAsia="zh-CN"/>
        </w:rPr>
      </w:pPr>
      <w:bookmarkStart w:id="405" w:name="_Toc305158817"/>
      <w:bookmarkStart w:id="406" w:name="_Toc305158891"/>
      <w:bookmarkStart w:id="407" w:name="_Toc195842914"/>
      <w:bookmarkStart w:id="408" w:name="_Toc164608663"/>
      <w:bookmarkStart w:id="409" w:name="_Toc164351643"/>
      <w:bookmarkStart w:id="410" w:name="_Toc265228387"/>
      <w:bookmarkStart w:id="411" w:name="_Toc151193937"/>
      <w:bookmarkStart w:id="412" w:name="_Toc226965822"/>
      <w:bookmarkStart w:id="413" w:name="_Toc264969239"/>
      <w:bookmarkStart w:id="414" w:name="_Toc226965739"/>
      <w:bookmarkStart w:id="415" w:name="_Toc151193791"/>
      <w:bookmarkStart w:id="416" w:name="_Toc226337245"/>
      <w:bookmarkStart w:id="417" w:name="_Toc149720842"/>
      <w:bookmarkStart w:id="418" w:name="_Toc150480787"/>
      <w:bookmarkStart w:id="419" w:name="_Toc164229244"/>
      <w:bookmarkStart w:id="420" w:name="_Toc150774649"/>
      <w:bookmarkStart w:id="421" w:name="_Toc142311051"/>
      <w:bookmarkStart w:id="422" w:name="_Toc127151750"/>
      <w:bookmarkStart w:id="423" w:name="_Toc164229390"/>
      <w:bookmarkStart w:id="424" w:name="_Toc151193863"/>
      <w:bookmarkStart w:id="425" w:name="_Toc150774754"/>
      <w:bookmarkStart w:id="426" w:name="_Toc151193719"/>
      <w:bookmarkStart w:id="427" w:name="_Toc226309793"/>
      <w:bookmarkStart w:id="428" w:name="_Toc151193647"/>
      <w:bookmarkStart w:id="429" w:name="_Toc164608818"/>
      <w:bookmarkStart w:id="430" w:name="_Toc127151549"/>
      <w:bookmarkStart w:id="431" w:name="_Toc150509300"/>
      <w:bookmarkStart w:id="432" w:name="_Toc151190176"/>
      <w:bookmarkStart w:id="433" w:name="_Toc127161463"/>
      <w:bookmarkStart w:id="434" w:name="_Ref467306425"/>
      <w:bookmarkStart w:id="435" w:name="_Ref467307090"/>
      <w:bookmarkStart w:id="436" w:name="_Toc520356176"/>
      <w:r>
        <w:rPr>
          <w:rFonts w:hint="eastAsia" w:ascii="宋体" w:hAnsi="宋体" w:eastAsia="宋体" w:cs="宋体"/>
          <w:sz w:val="24"/>
          <w:highlight w:val="none"/>
          <w:lang w:eastAsia="zh-CN"/>
        </w:rPr>
        <w:t>22.成交公告与成交通知书</w:t>
      </w:r>
      <w:bookmarkEnd w:id="405"/>
      <w:bookmarkEnd w:id="406"/>
    </w:p>
    <w:p w14:paraId="77A85F4F">
      <w:pPr>
        <w:keepNext w:val="0"/>
        <w:keepLines w:val="0"/>
        <w:pageBreakBefore w:val="0"/>
        <w:tabs>
          <w:tab w:val="left" w:pos="1080"/>
          <w:tab w:val="left" w:pos="1589"/>
          <w:tab w:val="left" w:pos="2014"/>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22.1采购人或采购代理机构将在成交供应商确定后2个工作日内，在</w:t>
      </w:r>
      <w:r>
        <w:rPr>
          <w:rFonts w:hint="eastAsia" w:ascii="宋体" w:hAnsi="宋体" w:eastAsia="宋体" w:cs="宋体"/>
          <w:kern w:val="2"/>
          <w:sz w:val="24"/>
          <w:szCs w:val="24"/>
          <w:highlight w:val="none"/>
          <w:lang w:val="en-US" w:eastAsia="zh-CN"/>
        </w:rPr>
        <w:t>中国政府采购网、</w:t>
      </w:r>
      <w:r>
        <w:rPr>
          <w:rFonts w:hint="eastAsia" w:ascii="宋体" w:hAnsi="宋体" w:eastAsia="宋体" w:cs="宋体"/>
          <w:color w:val="auto"/>
          <w:spacing w:val="1"/>
          <w:sz w:val="24"/>
          <w:szCs w:val="24"/>
          <w:highlight w:val="none"/>
          <w:lang w:val="en-US" w:eastAsia="zh-CN"/>
        </w:rPr>
        <w:t>铜陵市自然资源和规划局（铜陵市林业局）网、</w:t>
      </w:r>
      <w:r>
        <w:rPr>
          <w:rFonts w:hint="eastAsia" w:ascii="宋体" w:hAnsi="宋体" w:eastAsia="宋体" w:cs="宋体"/>
          <w:kern w:val="2"/>
          <w:sz w:val="24"/>
          <w:szCs w:val="24"/>
          <w:highlight w:val="none"/>
          <w:lang w:val="en-US" w:eastAsia="zh-CN"/>
        </w:rPr>
        <w:t>铜陵华诚工程咨询网上</w:t>
      </w:r>
      <w:r>
        <w:rPr>
          <w:rFonts w:hint="eastAsia" w:ascii="宋体" w:hAnsi="宋体" w:eastAsia="宋体" w:cs="宋体"/>
          <w:sz w:val="24"/>
          <w:highlight w:val="none"/>
          <w:lang w:eastAsia="zh-CN"/>
        </w:rPr>
        <w:t>公告成交结果，同时向成交供应商发出</w:t>
      </w:r>
      <w:r>
        <w:rPr>
          <w:rFonts w:hint="eastAsia" w:ascii="宋体" w:hAnsi="宋体" w:eastAsia="宋体" w:cs="宋体"/>
          <w:color w:val="auto"/>
          <w:sz w:val="24"/>
          <w:highlight w:val="none"/>
          <w:lang w:eastAsia="zh-CN"/>
        </w:rPr>
        <w:t>成交通知书，成交公告期限为1个工作日。</w:t>
      </w:r>
    </w:p>
    <w:p w14:paraId="7B651F38">
      <w:pPr>
        <w:keepNext w:val="0"/>
        <w:keepLines w:val="0"/>
        <w:pageBreakBefore w:val="0"/>
        <w:tabs>
          <w:tab w:val="left" w:pos="1080"/>
          <w:tab w:val="left" w:pos="1589"/>
          <w:tab w:val="left" w:pos="2014"/>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22.2成交通知书对采购人和成交供应商均具有法律效力。成交通知书发出后，采购人改变成交结果的，或者成交供应商放弃成交项目的，应当依法承担法律责任。</w:t>
      </w:r>
    </w:p>
    <w:p w14:paraId="2BD62E3C">
      <w:pPr>
        <w:keepNext w:val="0"/>
        <w:keepLines w:val="0"/>
        <w:pageBreakBefore w:val="0"/>
        <w:tabs>
          <w:tab w:val="left" w:pos="360"/>
          <w:tab w:val="left" w:pos="900"/>
        </w:tabs>
        <w:kinsoku/>
        <w:wordWrap/>
        <w:overflowPunct w:val="0"/>
        <w:topLinePunct w:val="0"/>
        <w:bidi w:val="0"/>
        <w:snapToGrid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23.终止</w:t>
      </w:r>
    </w:p>
    <w:p w14:paraId="57119C81">
      <w:pPr>
        <w:keepNext w:val="0"/>
        <w:keepLines w:val="0"/>
        <w:pageBreakBefore w:val="0"/>
        <w:tabs>
          <w:tab w:val="left" w:pos="1080"/>
          <w:tab w:val="left" w:pos="1276"/>
          <w:tab w:val="left" w:pos="1589"/>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23.1在采购中，出现下列情形之一的，采购人或采购代理机构将终止竞争性磋商采购活动，发布项目终止公告并说明原因，重新开展采购活动：</w:t>
      </w:r>
    </w:p>
    <w:p w14:paraId="2AF5BD66">
      <w:pPr>
        <w:keepNext w:val="0"/>
        <w:keepLines w:val="0"/>
        <w:pageBreakBefore w:val="0"/>
        <w:tabs>
          <w:tab w:val="left" w:pos="1080"/>
          <w:tab w:val="left" w:pos="1276"/>
          <w:tab w:val="left" w:pos="1589"/>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23.1.1因情况变化，不再符合规定的竞争性磋商采购方式适用情形的；</w:t>
      </w:r>
    </w:p>
    <w:p w14:paraId="7EB89B3B">
      <w:pPr>
        <w:keepNext w:val="0"/>
        <w:keepLines w:val="0"/>
        <w:pageBreakBefore w:val="0"/>
        <w:tabs>
          <w:tab w:val="left" w:pos="1980"/>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23.1.2出现影响采购公正的违法、违规行为的；</w:t>
      </w:r>
    </w:p>
    <w:p w14:paraId="601FE209">
      <w:pPr>
        <w:keepNext w:val="0"/>
        <w:keepLines w:val="0"/>
        <w:pageBreakBefore w:val="0"/>
        <w:tabs>
          <w:tab w:val="left" w:pos="1980"/>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23.1.3</w:t>
      </w:r>
      <w:r>
        <w:rPr>
          <w:rFonts w:hint="eastAsia" w:ascii="宋体" w:hAnsi="宋体" w:eastAsia="宋体" w:cs="宋体"/>
          <w:sz w:val="24"/>
          <w:szCs w:val="20"/>
          <w:highlight w:val="none"/>
          <w:lang w:eastAsia="zh-CN"/>
        </w:rPr>
        <w:t>在采购过程中符合要求的供应商或者报价未超过最高限价的供应商不足3家的。</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AA3012B">
      <w:pPr>
        <w:keepNext w:val="0"/>
        <w:keepLines w:val="0"/>
        <w:pageBreakBefore w:val="0"/>
        <w:tabs>
          <w:tab w:val="left" w:pos="1080"/>
          <w:tab w:val="left" w:pos="1589"/>
          <w:tab w:val="left" w:pos="2014"/>
        </w:tabs>
        <w:kinsoku/>
        <w:wordWrap/>
        <w:overflowPunct w:val="0"/>
        <w:topLinePunct w:val="0"/>
        <w:bidi w:val="0"/>
        <w:snapToGrid w:val="0"/>
        <w:spacing w:line="360" w:lineRule="auto"/>
        <w:ind w:firstLine="480" w:firstLineChars="200"/>
        <w:rPr>
          <w:rFonts w:hint="eastAsia" w:ascii="宋体" w:hAnsi="宋体" w:eastAsia="宋体" w:cs="宋体"/>
          <w:kern w:val="2"/>
          <w:sz w:val="24"/>
          <w:szCs w:val="24"/>
          <w:highlight w:val="none"/>
          <w:lang w:eastAsia="zh-CN"/>
        </w:rPr>
      </w:pPr>
      <w:bookmarkStart w:id="437" w:name="_Toc195842915"/>
      <w:bookmarkStart w:id="438" w:name="_Toc151193720"/>
      <w:bookmarkStart w:id="439" w:name="_Ref467306978"/>
      <w:bookmarkStart w:id="440" w:name="_Toc226965740"/>
      <w:bookmarkStart w:id="441" w:name="_Toc164229245"/>
      <w:bookmarkStart w:id="442" w:name="_Toc149720843"/>
      <w:bookmarkStart w:id="443" w:name="_Toc151193864"/>
      <w:bookmarkStart w:id="444" w:name="_Toc151193792"/>
      <w:bookmarkStart w:id="445" w:name="_Toc265228388"/>
      <w:bookmarkStart w:id="446" w:name="_Toc226337246"/>
      <w:bookmarkStart w:id="447" w:name="_Toc150774755"/>
      <w:bookmarkStart w:id="448" w:name="_Ref467307062"/>
      <w:bookmarkStart w:id="449" w:name="_Ref467306377"/>
      <w:bookmarkStart w:id="450" w:name="_Toc127151751"/>
      <w:bookmarkStart w:id="451" w:name="_Toc305158892"/>
      <w:bookmarkStart w:id="452" w:name="_Toc164608664"/>
      <w:bookmarkStart w:id="453" w:name="_Toc127161464"/>
      <w:bookmarkStart w:id="454" w:name="_Toc151190177"/>
      <w:bookmarkStart w:id="455" w:name="_Ref467307204"/>
      <w:bookmarkStart w:id="456" w:name="_Toc520356175"/>
      <w:bookmarkStart w:id="457" w:name="_Toc151193648"/>
      <w:bookmarkStart w:id="458" w:name="_Toc164608819"/>
      <w:bookmarkStart w:id="459" w:name="_Toc305158818"/>
      <w:bookmarkStart w:id="460" w:name="_Toc164229391"/>
      <w:bookmarkStart w:id="461" w:name="_Toc150774650"/>
      <w:bookmarkStart w:id="462" w:name="_Toc127151550"/>
      <w:bookmarkStart w:id="463" w:name="_Toc142311052"/>
      <w:bookmarkStart w:id="464" w:name="_Toc151193938"/>
      <w:bookmarkStart w:id="465" w:name="_Toc264969240"/>
      <w:bookmarkStart w:id="466" w:name="_Toc150509301"/>
      <w:bookmarkStart w:id="467" w:name="_Toc164351644"/>
      <w:bookmarkStart w:id="468" w:name="_Toc150480788"/>
      <w:bookmarkStart w:id="469" w:name="_Toc226965823"/>
      <w:bookmarkStart w:id="470" w:name="_Toc226309794"/>
      <w:r>
        <w:rPr>
          <w:rFonts w:hint="eastAsia" w:ascii="宋体" w:hAnsi="宋体" w:eastAsia="宋体" w:cs="宋体"/>
          <w:sz w:val="24"/>
          <w:highlight w:val="none"/>
          <w:lang w:eastAsia="zh-CN"/>
        </w:rPr>
        <w:t>24.签订合同</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2E649B7">
      <w:pPr>
        <w:keepNext w:val="0"/>
        <w:keepLines w:val="0"/>
        <w:pageBreakBefore w:val="0"/>
        <w:tabs>
          <w:tab w:val="left" w:pos="1080"/>
          <w:tab w:val="left" w:pos="1589"/>
          <w:tab w:val="left" w:pos="2014"/>
        </w:tabs>
        <w:kinsoku/>
        <w:wordWrap/>
        <w:overflowPunct w:val="0"/>
        <w:topLinePunct w:val="0"/>
        <w:bidi w:val="0"/>
        <w:snapToGrid w:val="0"/>
        <w:spacing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24.1合同签订时间见《供应商须知前附表》。采购人应缩减采购合</w:t>
      </w:r>
      <w:r>
        <w:rPr>
          <w:rFonts w:hint="eastAsia" w:ascii="宋体" w:hAnsi="宋体" w:eastAsia="宋体" w:cs="宋体"/>
          <w:sz w:val="24"/>
          <w:szCs w:val="20"/>
          <w:highlight w:val="none"/>
          <w:lang w:eastAsia="zh-CN"/>
        </w:rPr>
        <w:t>同签订时限，除不可抗力等特殊情况外，原则上在成交通知书发出之日起7个工作日内，与成交供应商按照磋商文件确定的合同文本以及采购标的、规格型号、采购金额、采购数量、技术和服务要求等事项签订政府采购合同。并在签订之日起2个工作日内将政府采购合同进行网上公告。</w:t>
      </w:r>
      <w:r>
        <w:rPr>
          <w:rFonts w:hint="eastAsia" w:ascii="宋体" w:hAnsi="宋体" w:eastAsia="宋体" w:cs="宋体"/>
          <w:kern w:val="2"/>
          <w:sz w:val="24"/>
          <w:szCs w:val="24"/>
          <w:highlight w:val="none"/>
          <w:lang w:eastAsia="zh-CN"/>
        </w:rPr>
        <w:t>所签订的合同不得对竞争性磋商文件确定的事项和成交供应商响应文件作实质性修改。</w:t>
      </w:r>
    </w:p>
    <w:p w14:paraId="36D034CF">
      <w:pPr>
        <w:keepNext w:val="0"/>
        <w:keepLines w:val="0"/>
        <w:pageBreakBefore w:val="0"/>
        <w:tabs>
          <w:tab w:val="left" w:pos="1080"/>
          <w:tab w:val="left" w:pos="1589"/>
          <w:tab w:val="left" w:pos="2014"/>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24.2成交供应商拒绝签订政府采购合同的，采购人可以按照评审报告推荐的成交候选人名单排序，确定下一候选人为成交供应商，也可以重新开展采购活动。</w:t>
      </w:r>
    </w:p>
    <w:p w14:paraId="07383D32">
      <w:pPr>
        <w:keepNext w:val="0"/>
        <w:keepLines w:val="0"/>
        <w:pageBreakBefore w:val="0"/>
        <w:tabs>
          <w:tab w:val="left" w:pos="1080"/>
          <w:tab w:val="left" w:pos="1589"/>
          <w:tab w:val="left" w:pos="2014"/>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24.3联合体成交的，联合体各方应当共同与采购人签订合同，就采购合同约定的事项向采购人承担连带责任。</w:t>
      </w:r>
    </w:p>
    <w:p w14:paraId="5EDDC3BB">
      <w:pPr>
        <w:keepNext w:val="0"/>
        <w:keepLines w:val="0"/>
        <w:pageBreakBefore w:val="0"/>
        <w:tabs>
          <w:tab w:val="left" w:pos="1080"/>
          <w:tab w:val="left" w:pos="1589"/>
          <w:tab w:val="left" w:pos="2014"/>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24.4政府采购合同不能转包。</w:t>
      </w:r>
    </w:p>
    <w:p w14:paraId="3F999FD9">
      <w:pPr>
        <w:keepNext w:val="0"/>
        <w:keepLines w:val="0"/>
        <w:pageBreakBefore w:val="0"/>
        <w:tabs>
          <w:tab w:val="left" w:pos="1080"/>
          <w:tab w:val="left" w:pos="1589"/>
          <w:tab w:val="left" w:pos="2014"/>
        </w:tabs>
        <w:kinsoku/>
        <w:wordWrap/>
        <w:overflowPunct w:val="0"/>
        <w:topLinePunct w:val="0"/>
        <w:bidi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24.5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hint="eastAsia" w:ascii="宋体" w:hAnsi="宋体" w:eastAsia="宋体" w:cs="宋体"/>
          <w:b/>
          <w:sz w:val="24"/>
          <w:highlight w:val="none"/>
          <w:lang w:eastAsia="zh-CN"/>
        </w:rPr>
        <w:t>否则响应无效</w:t>
      </w:r>
      <w:r>
        <w:rPr>
          <w:rFonts w:hint="eastAsia" w:ascii="宋体" w:hAnsi="宋体" w:eastAsia="宋体" w:cs="宋体"/>
          <w:sz w:val="24"/>
          <w:highlight w:val="none"/>
          <w:lang w:eastAsia="zh-CN"/>
        </w:rPr>
        <w:t>。成交供应商就采购项目和分包项目向采购人负责，分包供应商就分包项目承担责任。</w:t>
      </w:r>
      <w:bookmarkEnd w:id="434"/>
      <w:bookmarkEnd w:id="435"/>
      <w:bookmarkEnd w:id="436"/>
    </w:p>
    <w:p w14:paraId="13D9E241">
      <w:pPr>
        <w:pStyle w:val="32"/>
        <w:keepNext w:val="0"/>
        <w:keepLines w:val="0"/>
        <w:pageBreakBefore w:val="0"/>
        <w:kinsoku/>
        <w:wordWrap/>
        <w:overflowPunct w:val="0"/>
        <w:topLinePunct w:val="0"/>
        <w:bidi w:val="0"/>
        <w:snapToGrid w:val="0"/>
        <w:spacing w:line="360" w:lineRule="auto"/>
        <w:rPr>
          <w:rFonts w:hint="eastAsia" w:ascii="宋体" w:hAnsi="宋体" w:eastAsia="宋体" w:cs="宋体"/>
          <w:snapToGrid w:val="0"/>
          <w:color w:val="000000"/>
          <w:kern w:val="0"/>
          <w:sz w:val="24"/>
          <w:szCs w:val="21"/>
          <w:highlight w:val="none"/>
          <w:lang w:val="en-US" w:eastAsia="zh-CN" w:bidi="ar-SA"/>
        </w:rPr>
      </w:pPr>
      <w:r>
        <w:rPr>
          <w:rFonts w:hint="eastAsia" w:ascii="宋体" w:hAnsi="宋体" w:eastAsia="宋体" w:cs="宋体"/>
          <w:snapToGrid w:val="0"/>
          <w:color w:val="000000"/>
          <w:kern w:val="0"/>
          <w:sz w:val="24"/>
          <w:szCs w:val="21"/>
          <w:highlight w:val="none"/>
          <w:lang w:val="en-US" w:eastAsia="zh-CN" w:bidi="ar-SA"/>
        </w:rPr>
        <w:t>25.履约保证金</w:t>
      </w:r>
    </w:p>
    <w:p w14:paraId="7F7399E1">
      <w:pPr>
        <w:keepNext w:val="0"/>
        <w:keepLines w:val="0"/>
        <w:pageBreakBefore w:val="0"/>
        <w:tabs>
          <w:tab w:val="left" w:pos="0"/>
        </w:tabs>
        <w:kinsoku/>
        <w:wordWrap/>
        <w:overflowPunct w:val="0"/>
        <w:topLinePunct w:val="0"/>
        <w:bidi w:val="0"/>
        <w:snapToGrid w:val="0"/>
        <w:spacing w:line="360" w:lineRule="auto"/>
        <w:ind w:firstLine="48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25.1拟签订的合同文本要求成交供应商提交履约保证金的，成交供应商应按照《供应商须知前附表》规定缴纳履约保证金。货物和服务履约保证金的数额不得超过政府采购合同金额的2.5%，工程履约保证金的数额不得超过政府采购合同金额的2%，鼓励根据项目特点、供应商诚信等因素免收履约保证金或降低缴纳比例。鼓励和支持供应商以</w:t>
      </w:r>
      <w:r>
        <w:rPr>
          <w:rFonts w:hint="eastAsia" w:ascii="宋体" w:hAnsi="宋体" w:eastAsia="宋体" w:cs="宋体"/>
          <w:bCs/>
          <w:color w:val="auto"/>
          <w:sz w:val="24"/>
          <w:szCs w:val="28"/>
          <w:highlight w:val="none"/>
          <w:lang w:eastAsia="zh-CN"/>
        </w:rPr>
        <w:t>金融机构、担保机构出具的保函、保险公司出具的履约保证保险</w:t>
      </w:r>
      <w:r>
        <w:rPr>
          <w:rFonts w:hint="eastAsia" w:ascii="宋体" w:hAnsi="宋体" w:eastAsia="宋体" w:cs="宋体"/>
          <w:color w:val="auto"/>
          <w:sz w:val="24"/>
          <w:highlight w:val="none"/>
          <w:lang w:eastAsia="zh-CN"/>
        </w:rPr>
        <w:t>形式提供履约保证金。履约验收后按照相关规定及时退还。</w:t>
      </w:r>
    </w:p>
    <w:p w14:paraId="507B4ACB">
      <w:pPr>
        <w:pStyle w:val="34"/>
        <w:keepNext w:val="0"/>
        <w:keepLines w:val="0"/>
        <w:pageBreakBefore w:val="0"/>
        <w:kinsoku/>
        <w:wordWrap/>
        <w:overflowPunct w:val="0"/>
        <w:topLinePunct w:val="0"/>
        <w:bidi w:val="0"/>
        <w:snapToGrid w:val="0"/>
        <w:spacing w:before="0" w:beforeAutospacing="0" w:after="0" w:afterAutospacing="0" w:line="360" w:lineRule="auto"/>
        <w:ind w:firstLine="480" w:firstLineChars="200"/>
        <w:jc w:val="both"/>
        <w:rPr>
          <w:rFonts w:hint="eastAsia" w:ascii="宋体" w:hAnsi="宋体" w:eastAsia="宋体" w:cs="宋体"/>
          <w:szCs w:val="22"/>
          <w:highlight w:val="none"/>
          <w:lang w:eastAsia="zh-CN"/>
        </w:rPr>
      </w:pPr>
      <w:r>
        <w:rPr>
          <w:rFonts w:hint="eastAsia" w:ascii="宋体" w:hAnsi="宋体" w:eastAsia="宋体" w:cs="宋体"/>
          <w:szCs w:val="22"/>
          <w:highlight w:val="none"/>
          <w:lang w:eastAsia="zh-CN"/>
        </w:rPr>
        <w:t>25.2政府采购货物和服务项目不收取质量保证金以及其他没有法律依据的保证金。</w:t>
      </w:r>
    </w:p>
    <w:p w14:paraId="0A661CC6">
      <w:pPr>
        <w:pStyle w:val="34"/>
        <w:keepNext w:val="0"/>
        <w:keepLines w:val="0"/>
        <w:pageBreakBefore w:val="0"/>
        <w:kinsoku/>
        <w:wordWrap/>
        <w:overflowPunct w:val="0"/>
        <w:topLinePunct w:val="0"/>
        <w:bidi w:val="0"/>
        <w:snapToGrid w:val="0"/>
        <w:spacing w:before="0" w:beforeAutospacing="0" w:after="0" w:afterAutospacing="0" w:line="360" w:lineRule="auto"/>
        <w:ind w:firstLine="480" w:firstLineChars="200"/>
        <w:jc w:val="both"/>
        <w:rPr>
          <w:rFonts w:hint="eastAsia" w:ascii="宋体" w:hAnsi="宋体" w:eastAsia="宋体" w:cs="宋体"/>
          <w:szCs w:val="22"/>
          <w:highlight w:val="none"/>
        </w:rPr>
      </w:pPr>
      <w:r>
        <w:rPr>
          <w:rFonts w:hint="eastAsia" w:ascii="宋体" w:hAnsi="宋体" w:eastAsia="宋体" w:cs="宋体"/>
          <w:szCs w:val="22"/>
          <w:highlight w:val="none"/>
        </w:rPr>
        <w:t>26.付款方式</w:t>
      </w:r>
    </w:p>
    <w:p w14:paraId="5F2FB4F6">
      <w:pPr>
        <w:pStyle w:val="34"/>
        <w:keepNext w:val="0"/>
        <w:keepLines w:val="0"/>
        <w:pageBreakBefore w:val="0"/>
        <w:kinsoku/>
        <w:wordWrap/>
        <w:overflowPunct w:val="0"/>
        <w:topLinePunct w:val="0"/>
        <w:bidi w:val="0"/>
        <w:snapToGrid w:val="0"/>
        <w:spacing w:before="0" w:beforeAutospacing="0" w:after="0" w:afterAutospacing="0" w:line="360" w:lineRule="auto"/>
        <w:ind w:firstLine="480" w:firstLineChars="200"/>
        <w:jc w:val="both"/>
        <w:rPr>
          <w:rFonts w:hint="eastAsia" w:ascii="宋体" w:hAnsi="宋体" w:eastAsia="宋体" w:cs="宋体"/>
          <w:szCs w:val="22"/>
          <w:highlight w:val="none"/>
          <w:lang w:eastAsia="zh-CN"/>
        </w:rPr>
      </w:pPr>
      <w:r>
        <w:rPr>
          <w:rFonts w:hint="eastAsia" w:ascii="宋体" w:hAnsi="宋体" w:eastAsia="宋体" w:cs="宋体"/>
          <w:szCs w:val="22"/>
          <w:highlight w:val="none"/>
        </w:rPr>
        <w:t>26.1预付款</w:t>
      </w:r>
    </w:p>
    <w:p w14:paraId="3493AE06">
      <w:pPr>
        <w:pStyle w:val="34"/>
        <w:keepNext w:val="0"/>
        <w:keepLines w:val="0"/>
        <w:pageBreakBefore w:val="0"/>
        <w:kinsoku/>
        <w:wordWrap/>
        <w:overflowPunct w:val="0"/>
        <w:topLinePunct w:val="0"/>
        <w:bidi w:val="0"/>
        <w:snapToGrid w:val="0"/>
        <w:spacing w:before="0" w:beforeAutospacing="0" w:after="0" w:afterAutospacing="0" w:line="360" w:lineRule="auto"/>
        <w:ind w:firstLine="480" w:firstLineChars="200"/>
        <w:jc w:val="both"/>
        <w:rPr>
          <w:rFonts w:hint="eastAsia" w:ascii="宋体" w:hAnsi="宋体" w:eastAsia="宋体" w:cs="宋体"/>
          <w:szCs w:val="22"/>
          <w:highlight w:val="none"/>
        </w:rPr>
      </w:pPr>
      <w:r>
        <w:rPr>
          <w:rFonts w:hint="eastAsia" w:ascii="宋体" w:hAnsi="宋体" w:eastAsia="宋体" w:cs="宋体"/>
          <w:szCs w:val="22"/>
          <w:highlight w:val="none"/>
        </w:rPr>
        <w:t>见《供应商须知前附表》，对资信状况良好、履约能力较强的成交供应商，可适当提高预付款比例，但最高不得超过合同金额的70%。在签订合同时，供应商明确表示无需预付款或者主动要求降低预付款比例的，采购人可不适用前述规定。</w:t>
      </w:r>
    </w:p>
    <w:p w14:paraId="4D8B9477">
      <w:pPr>
        <w:keepNext w:val="0"/>
        <w:keepLines w:val="0"/>
        <w:pageBreakBefore w:val="0"/>
        <w:kinsoku/>
        <w:wordWrap/>
        <w:overflowPunct w:val="0"/>
        <w:topLinePunct w:val="0"/>
        <w:bidi w:val="0"/>
        <w:snapToGrid w:val="0"/>
        <w:spacing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26.2资金支付进度</w:t>
      </w:r>
    </w:p>
    <w:p w14:paraId="25C827EE">
      <w:pPr>
        <w:keepNext w:val="0"/>
        <w:keepLines w:val="0"/>
        <w:pageBreakBefore w:val="0"/>
        <w:kinsoku/>
        <w:wordWrap/>
        <w:overflowPunct w:val="0"/>
        <w:topLinePunct w:val="0"/>
        <w:bidi w:val="0"/>
        <w:snapToGrid w:val="0"/>
        <w:spacing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延迟支付中小企业款项的，供应商可要求采购人按照合同约定支付逾期利息，合同没有约定的，按照同期人民银行LPR支付逾期利息。</w:t>
      </w:r>
    </w:p>
    <w:p w14:paraId="03762A43">
      <w:pPr>
        <w:keepNext w:val="0"/>
        <w:keepLines w:val="0"/>
        <w:pageBreakBefore w:val="0"/>
        <w:kinsoku/>
        <w:wordWrap/>
        <w:overflowPunct w:val="0"/>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27.履行合同</w:t>
      </w:r>
    </w:p>
    <w:p w14:paraId="2302FAB6">
      <w:pPr>
        <w:keepNext w:val="0"/>
        <w:keepLines w:val="0"/>
        <w:pageBreakBefore w:val="0"/>
        <w:kinsoku/>
        <w:wordWrap/>
        <w:overflowPunct w:val="0"/>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27.1成交供应商与采购人签订合同后，合同双方应严格执行合同条款，履行合同规定的义务，保证合同的顺利完成。</w:t>
      </w:r>
    </w:p>
    <w:p w14:paraId="357A20BC">
      <w:pPr>
        <w:keepNext w:val="0"/>
        <w:keepLines w:val="0"/>
        <w:pageBreakBefore w:val="0"/>
        <w:kinsoku/>
        <w:wordWrap/>
        <w:overflowPunct w:val="0"/>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27.2在合同履行过程中，如发生合同纠纷，合同双方应按照《中华人民共和国民法典》的有关规定进行处理。</w:t>
      </w:r>
    </w:p>
    <w:p w14:paraId="01787A28">
      <w:pPr>
        <w:keepNext w:val="0"/>
        <w:keepLines w:val="0"/>
        <w:pageBreakBefore w:val="0"/>
        <w:widowControl w:val="0"/>
        <w:kinsoku/>
        <w:wordWrap/>
        <w:overflowPunct w:val="0"/>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28.验收</w:t>
      </w:r>
    </w:p>
    <w:p w14:paraId="28F0456B">
      <w:pPr>
        <w:keepNext w:val="0"/>
        <w:keepLines w:val="0"/>
        <w:pageBreakBefore w:val="0"/>
        <w:kinsoku/>
        <w:wordWrap/>
        <w:overflowPunct w:val="0"/>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28.1验收工作参照《关于进一步加强政府采购需求和履约验收管理的指导意见》（财库〔2016〕205号）等省、市相关规定执行。</w:t>
      </w:r>
    </w:p>
    <w:p w14:paraId="3D3A75CC">
      <w:pPr>
        <w:keepNext w:val="0"/>
        <w:keepLines w:val="0"/>
        <w:pageBreakBefore w:val="0"/>
        <w:kinsoku/>
        <w:wordWrap/>
        <w:overflowPunct w:val="0"/>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28.2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F911036">
      <w:pPr>
        <w:keepNext w:val="0"/>
        <w:keepLines w:val="0"/>
        <w:pageBreakBefore w:val="0"/>
        <w:kinsoku/>
        <w:wordWrap/>
        <w:overflowPunct w:val="0"/>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28.3采购人可以邀请参加本项目的其他供应商或者委托第三方机构参与验收。参与验收的供应商或者第三方机构的意见作为验收书的参考资料一并存档。</w:t>
      </w:r>
    </w:p>
    <w:p w14:paraId="6916C2CD">
      <w:pPr>
        <w:keepNext w:val="0"/>
        <w:keepLines w:val="0"/>
        <w:pageBreakBefore w:val="0"/>
        <w:kinsoku/>
        <w:wordWrap/>
        <w:overflowPunct w:val="0"/>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28.4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34AACD0">
      <w:pPr>
        <w:keepNext w:val="0"/>
        <w:keepLines w:val="0"/>
        <w:pageBreakBefore w:val="0"/>
        <w:kinsoku/>
        <w:wordWrap/>
        <w:overflowPunct w:val="0"/>
        <w:topLinePunct w:val="0"/>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28.5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14:paraId="359B9C9D">
      <w:pPr>
        <w:keepNext w:val="0"/>
        <w:keepLines w:val="0"/>
        <w:pageBreakBefore w:val="0"/>
        <w:widowControl w:val="0"/>
        <w:kinsoku/>
        <w:wordWrap/>
        <w:overflowPunct w:val="0"/>
        <w:topLinePunct w:val="0"/>
        <w:bidi w:val="0"/>
        <w:snapToGrid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28.6采购项目首次验收发生的检测（检验）费、劳务报酬等费用支出，由采购人承担。因供应商问题验收不合格导致重新组织项目验收的，如采购合同有约定按照约定执行，如无约定，由采购人承担。</w:t>
      </w:r>
    </w:p>
    <w:p w14:paraId="3EC73FE6">
      <w:pPr>
        <w:keepNext w:val="0"/>
        <w:keepLines w:val="0"/>
        <w:pageBreakBefore w:val="0"/>
        <w:widowControl w:val="0"/>
        <w:kinsoku/>
        <w:wordWrap/>
        <w:overflowPunct w:val="0"/>
        <w:topLinePunct w:val="0"/>
        <w:bidi w:val="0"/>
        <w:snapToGrid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29.询问、质疑与投诉</w:t>
      </w:r>
    </w:p>
    <w:p w14:paraId="48D4EE8A">
      <w:pPr>
        <w:keepNext w:val="0"/>
        <w:keepLines w:val="0"/>
        <w:pageBreakBefore w:val="0"/>
        <w:widowControl w:val="0"/>
        <w:kinsoku/>
        <w:wordWrap/>
        <w:overflowPunct w:val="0"/>
        <w:topLinePunct w:val="0"/>
        <w:bidi w:val="0"/>
        <w:snapToGrid w:val="0"/>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29.1询问</w:t>
      </w:r>
    </w:p>
    <w:p w14:paraId="46243C4E">
      <w:pPr>
        <w:keepNext w:val="0"/>
        <w:keepLines w:val="0"/>
        <w:pageBreakBefore w:val="0"/>
        <w:widowControl w:val="0"/>
        <w:kinsoku/>
        <w:wordWrap/>
        <w:overflowPunct w:val="0"/>
        <w:topLinePunct w:val="0"/>
        <w:bidi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29.1.1供应商对政府采购活动事项有疑问的，可向采购人或采购代理机构电话或者书面提出询问。</w:t>
      </w:r>
    </w:p>
    <w:p w14:paraId="0CCB105D">
      <w:pPr>
        <w:keepNext w:val="0"/>
        <w:keepLines w:val="0"/>
        <w:pageBreakBefore w:val="0"/>
        <w:widowControl w:val="0"/>
        <w:kinsoku/>
        <w:wordWrap/>
        <w:overflowPunct w:val="0"/>
        <w:topLinePunct w:val="0"/>
        <w:bidi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29.1.2采购人或采购代理机构对供应商依法提出的询问，在3个工作日内作出答复，但答复的内容不得涉及商业秘密。</w:t>
      </w:r>
    </w:p>
    <w:p w14:paraId="75A270BA">
      <w:pPr>
        <w:keepNext w:val="0"/>
        <w:keepLines w:val="0"/>
        <w:pageBreakBefore w:val="0"/>
        <w:widowControl w:val="0"/>
        <w:kinsoku/>
        <w:wordWrap/>
        <w:overflowPunct w:val="0"/>
        <w:topLinePunct w:val="0"/>
        <w:bidi w:val="0"/>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29.2质疑</w:t>
      </w:r>
    </w:p>
    <w:p w14:paraId="69A6E331">
      <w:pPr>
        <w:pStyle w:val="28"/>
        <w:keepNext w:val="0"/>
        <w:keepLines w:val="0"/>
        <w:pageBreakBefore w:val="0"/>
        <w:widowControl w:val="0"/>
        <w:kinsoku/>
        <w:wordWrap/>
        <w:overflowPunct w:val="0"/>
        <w:topLinePunct w:val="0"/>
        <w:bidi w:val="0"/>
        <w:snapToGrid w:val="0"/>
        <w:spacing w:before="0" w:beforeAutospacing="0" w:after="0" w:afterAutospacing="0" w:line="360" w:lineRule="auto"/>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29.2.1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作出答复。</w:t>
      </w:r>
    </w:p>
    <w:p w14:paraId="3001560A">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highlight w:val="none"/>
          <w:shd w:val="clear" w:color="040000" w:fill="FFFFFF"/>
        </w:rPr>
      </w:pPr>
      <w:r>
        <w:rPr>
          <w:rFonts w:hint="eastAsia" w:ascii="宋体" w:hAnsi="宋体" w:eastAsia="宋体" w:cs="宋体"/>
          <w:color w:val="auto"/>
          <w:highlight w:val="none"/>
          <w:shd w:val="clear" w:color="040000" w:fill="FFFFFF"/>
        </w:rPr>
        <w:t>29.2.2 质疑函须使用财政部制定的范本文件。供应商为自然人的，质疑函应当由本人签字；供应商为法人或者其他组织的，质疑函应当由法定代表人、主要负责人，或者其授权代表签字或者盖章，并加盖公章。</w:t>
      </w:r>
    </w:p>
    <w:p w14:paraId="119ED2DD">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highlight w:val="none"/>
          <w:shd w:val="clear" w:color="040000" w:fill="FFFFFF"/>
        </w:rPr>
      </w:pPr>
      <w:r>
        <w:rPr>
          <w:rFonts w:hint="eastAsia" w:ascii="宋体" w:hAnsi="宋体" w:eastAsia="宋体" w:cs="宋体"/>
          <w:color w:val="auto"/>
          <w:highlight w:val="none"/>
          <w:shd w:val="clear" w:color="040000" w:fill="FFFFFF"/>
        </w:rPr>
        <w:t>29.2.3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BB24ECA">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highlight w:val="none"/>
          <w:shd w:val="clear" w:color="040000" w:fill="FFFFFF"/>
        </w:rPr>
      </w:pPr>
      <w:r>
        <w:rPr>
          <w:rFonts w:hint="eastAsia" w:ascii="宋体" w:hAnsi="宋体" w:eastAsia="宋体" w:cs="宋体"/>
          <w:color w:val="auto"/>
          <w:highlight w:val="none"/>
          <w:shd w:val="clear" w:color="040000" w:fill="FFFFFF"/>
        </w:rPr>
        <w:t>29.2.4供应商应在法定质疑期内一次性提出针对同一采购程序环节的质疑，法定质疑期内针对同一采购程序环节再次提出的质疑，采购人、采购代理机构有权不予答复。</w:t>
      </w:r>
    </w:p>
    <w:p w14:paraId="6CBA9656">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29.2.5质疑函范本详见第</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章  政府采购供应商质疑函、投诉书范本。</w:t>
      </w:r>
    </w:p>
    <w:p w14:paraId="532F72EF">
      <w:pPr>
        <w:keepNext w:val="0"/>
        <w:keepLines w:val="0"/>
        <w:pageBreakBefore w:val="0"/>
        <w:kinsoku/>
        <w:wordWrap/>
        <w:overflowPunct w:val="0"/>
        <w:topLinePunct w:val="0"/>
        <w:bidi w:val="0"/>
        <w:snapToGrid w:val="0"/>
        <w:spacing w:line="360" w:lineRule="auto"/>
        <w:ind w:firstLine="480" w:firstLineChars="200"/>
        <w:contextualSpacing/>
        <w:textAlignment w:val="auto"/>
        <w:rPr>
          <w:rFonts w:hint="eastAsia" w:ascii="宋体" w:hAnsi="宋体" w:eastAsia="宋体" w:cs="宋体"/>
          <w:snapToGrid w:val="0"/>
          <w:color w:val="auto"/>
          <w:sz w:val="24"/>
          <w:szCs w:val="24"/>
          <w:highlight w:val="none"/>
          <w:shd w:val="clear" w:color="040000" w:fill="FFFFFF"/>
          <w:lang w:val="en-US" w:eastAsia="zh-CN" w:bidi="ar-SA"/>
        </w:rPr>
      </w:pPr>
      <w:r>
        <w:rPr>
          <w:rFonts w:hint="eastAsia" w:ascii="宋体" w:hAnsi="宋体" w:eastAsia="宋体" w:cs="宋体"/>
          <w:snapToGrid w:val="0"/>
          <w:color w:val="auto"/>
          <w:sz w:val="24"/>
          <w:szCs w:val="24"/>
          <w:highlight w:val="none"/>
          <w:shd w:val="clear" w:color="040000" w:fill="FFFFFF"/>
          <w:lang w:val="en-US" w:eastAsia="zh-CN" w:bidi="ar-SA"/>
        </w:rPr>
        <w:t>29.3接收询问和质疑的联系部门、联系电话和通讯地址见《供应商须知前附表》。</w:t>
      </w:r>
    </w:p>
    <w:p w14:paraId="710F8C7F">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highlight w:val="none"/>
          <w:shd w:val="clear" w:color="040000" w:fill="FFFFFF"/>
        </w:rPr>
      </w:pPr>
      <w:r>
        <w:rPr>
          <w:rFonts w:hint="eastAsia" w:ascii="宋体" w:hAnsi="宋体" w:eastAsia="宋体" w:cs="宋体"/>
          <w:color w:val="auto"/>
          <w:highlight w:val="none"/>
        </w:rPr>
        <w:t>29.4</w:t>
      </w:r>
      <w:r>
        <w:rPr>
          <w:rFonts w:hint="eastAsia" w:ascii="宋体" w:hAnsi="宋体" w:eastAsia="宋体" w:cs="宋体"/>
          <w:color w:val="auto"/>
          <w:highlight w:val="none"/>
          <w:shd w:val="clear" w:color="040000" w:fill="FFFFFF"/>
        </w:rPr>
        <w:t>投诉</w:t>
      </w:r>
    </w:p>
    <w:p w14:paraId="3E4B9E39">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highlight w:val="none"/>
          <w:shd w:val="clear" w:color="auto" w:fill="FFFFFF"/>
          <w:lang w:eastAsia="zh-CN"/>
        </w:rPr>
      </w:pPr>
      <w:r>
        <w:rPr>
          <w:rFonts w:hint="eastAsia" w:ascii="宋体" w:hAnsi="宋体" w:eastAsia="宋体" w:cs="宋体"/>
          <w:highlight w:val="none"/>
        </w:rPr>
        <w:t>29.4.1</w:t>
      </w:r>
      <w:r>
        <w:rPr>
          <w:rFonts w:hint="eastAsia" w:ascii="宋体" w:hAnsi="宋体" w:eastAsia="宋体" w:cs="宋体"/>
          <w:color w:val="auto"/>
          <w:highlight w:val="none"/>
          <w:shd w:val="clear" w:color="auto" w:fill="FFFFFF"/>
        </w:rPr>
        <w:t>质疑供应商对采购人、采购代理机构的答复不满意，或者采购人、采购代理机构未在规定时间内作出答复的，可以在答复期满后15个工作日内以书面形式向政府采购监管部门提出投诉</w:t>
      </w:r>
      <w:r>
        <w:rPr>
          <w:rFonts w:hint="eastAsia" w:ascii="宋体" w:hAnsi="宋体" w:eastAsia="宋体" w:cs="宋体"/>
          <w:color w:val="auto"/>
          <w:highlight w:val="none"/>
          <w:shd w:val="clear" w:color="auto" w:fill="FFFFFF"/>
          <w:lang w:eastAsia="zh-CN"/>
        </w:rPr>
        <w:t>。</w:t>
      </w:r>
    </w:p>
    <w:p w14:paraId="1E2662FC">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highlight w:val="none"/>
        </w:rPr>
      </w:pPr>
      <w:r>
        <w:rPr>
          <w:rFonts w:hint="eastAsia" w:ascii="宋体" w:hAnsi="宋体" w:eastAsia="宋体" w:cs="宋体"/>
          <w:highlight w:val="none"/>
        </w:rPr>
        <w:t>29.4.2供应商投诉的事项不得超出已质疑事项的范围，基于质疑答复内容提出的投诉事项除外。</w:t>
      </w:r>
    </w:p>
    <w:p w14:paraId="320477BE">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29.4.3供应商投诉应当有明确的请求和必要的证明材料。</w:t>
      </w:r>
    </w:p>
    <w:p w14:paraId="0194F234">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29.4.4投诉书范本详见第</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章  政府采购供应商质疑函、投诉书范本。</w:t>
      </w:r>
    </w:p>
    <w:p w14:paraId="0E2F2E4E">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highlight w:val="none"/>
        </w:rPr>
      </w:pPr>
      <w:r>
        <w:rPr>
          <w:rFonts w:hint="eastAsia" w:ascii="宋体" w:hAnsi="宋体" w:eastAsia="宋体" w:cs="宋体"/>
          <w:highlight w:val="none"/>
        </w:rPr>
        <w:t>30.代理费</w:t>
      </w:r>
    </w:p>
    <w:p w14:paraId="54672DC8">
      <w:pPr>
        <w:pStyle w:val="33"/>
        <w:keepNext w:val="0"/>
        <w:keepLines w:val="0"/>
        <w:pageBreakBefore w:val="0"/>
        <w:shd w:val="clear" w:color="030000" w:fill="FFFFFF"/>
        <w:kinsoku/>
        <w:wordWrap/>
        <w:overflowPunct w:val="0"/>
        <w:topLinePunct w:val="0"/>
        <w:bidi w:val="0"/>
        <w:adjustRightInd w:val="0"/>
        <w:snapToGrid w:val="0"/>
        <w:spacing w:before="0" w:beforeAutospacing="0" w:after="0" w:afterAutospacing="0" w:line="360" w:lineRule="auto"/>
        <w:ind w:firstLine="480" w:firstLineChars="200"/>
        <w:contextualSpacing/>
        <w:textAlignment w:val="auto"/>
        <w:rPr>
          <w:rFonts w:hint="eastAsia" w:ascii="宋体" w:hAnsi="宋体" w:eastAsia="宋体" w:cs="宋体"/>
          <w:highlight w:val="none"/>
        </w:rPr>
      </w:pPr>
      <w:r>
        <w:rPr>
          <w:rFonts w:hint="eastAsia" w:ascii="宋体" w:hAnsi="宋体" w:eastAsia="宋体" w:cs="宋体"/>
          <w:highlight w:val="none"/>
        </w:rPr>
        <w:t>见《供应商须知前附表》。</w:t>
      </w:r>
    </w:p>
    <w:p w14:paraId="573A9BDA">
      <w:pPr>
        <w:pStyle w:val="33"/>
        <w:pageBreakBefore w:val="0"/>
        <w:shd w:val="clear" w:color="030000" w:fill="FFFFFF"/>
        <w:kinsoku/>
        <w:wordWrap/>
        <w:overflowPunct w:val="0"/>
        <w:topLinePunct w:val="0"/>
        <w:bidi w:val="0"/>
        <w:adjustRightInd w:val="0"/>
        <w:spacing w:before="0" w:beforeAutospacing="0" w:after="0" w:afterAutospacing="0" w:line="360" w:lineRule="auto"/>
        <w:ind w:firstLine="480" w:firstLineChars="200"/>
        <w:contextualSpacing/>
        <w:textAlignment w:val="auto"/>
        <w:rPr>
          <w:rFonts w:hint="eastAsia" w:ascii="宋体" w:hAnsi="宋体" w:eastAsia="宋体" w:cs="宋体"/>
          <w:highlight w:val="none"/>
        </w:rPr>
      </w:pPr>
    </w:p>
    <w:p w14:paraId="0A60AB96">
      <w:pPr>
        <w:pageBreakBefore w:val="0"/>
        <w:kinsoku/>
        <w:wordWrap/>
        <w:overflowPunct w:val="0"/>
        <w:topLinePunct w:val="0"/>
        <w:bidi w:val="0"/>
        <w:spacing w:line="360" w:lineRule="auto"/>
        <w:jc w:val="center"/>
        <w:outlineLvl w:val="0"/>
        <w:rPr>
          <w:rFonts w:hint="eastAsia" w:ascii="宋体" w:hAnsi="宋体" w:eastAsia="宋体" w:cs="宋体"/>
          <w:b/>
          <w:sz w:val="36"/>
          <w:szCs w:val="36"/>
          <w:highlight w:val="none"/>
          <w:lang w:eastAsia="zh-CN"/>
        </w:rPr>
      </w:pPr>
      <w:bookmarkStart w:id="471" w:name="_Toc150774759"/>
      <w:bookmarkStart w:id="472" w:name="_Toc305158896"/>
      <w:bookmarkStart w:id="473" w:name="_Toc127151554"/>
      <w:bookmarkStart w:id="474" w:name="_Toc142311056"/>
      <w:bookmarkStart w:id="475" w:name="_Toc150480792"/>
      <w:bookmarkStart w:id="476" w:name="_Toc226337250"/>
      <w:bookmarkStart w:id="477" w:name="_Toc264969244"/>
      <w:bookmarkStart w:id="478" w:name="_Toc226965827"/>
      <w:bookmarkStart w:id="479" w:name="_Toc353873664"/>
      <w:bookmarkStart w:id="480" w:name="_Toc353873934"/>
      <w:bookmarkStart w:id="481" w:name="_Toc305158822"/>
      <w:bookmarkStart w:id="482" w:name="_Toc265228392"/>
      <w:bookmarkStart w:id="483" w:name="_Toc353825544"/>
      <w:bookmarkStart w:id="484" w:name="_Toc146803234"/>
      <w:r>
        <w:rPr>
          <w:rFonts w:hint="eastAsia" w:ascii="宋体" w:hAnsi="宋体" w:eastAsia="宋体" w:cs="宋体"/>
          <w:b/>
          <w:sz w:val="36"/>
          <w:szCs w:val="36"/>
          <w:highlight w:val="none"/>
          <w:lang w:eastAsia="zh-CN"/>
        </w:rPr>
        <w:t xml:space="preserve">第三章   </w:t>
      </w:r>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宋体" w:hAnsi="宋体" w:eastAsia="宋体" w:cs="宋体"/>
          <w:b/>
          <w:sz w:val="36"/>
          <w:szCs w:val="36"/>
          <w:highlight w:val="none"/>
          <w:lang w:eastAsia="zh-CN"/>
        </w:rPr>
        <w:t>评审方法和评审标准</w:t>
      </w:r>
      <w:bookmarkEnd w:id="484"/>
      <w:bookmarkStart w:id="485" w:name="_Toc487900382"/>
    </w:p>
    <w:p w14:paraId="70EA7FE0">
      <w:pPr>
        <w:pStyle w:val="3"/>
        <w:pageBreakBefore w:val="0"/>
        <w:kinsoku/>
        <w:wordWrap/>
        <w:overflowPunct w:val="0"/>
        <w:topLinePunct w:val="0"/>
        <w:bidi w:val="0"/>
        <w:spacing w:before="0" w:line="360" w:lineRule="auto"/>
        <w:rPr>
          <w:rFonts w:hint="eastAsia" w:ascii="宋体" w:hAnsi="宋体" w:eastAsia="宋体" w:cs="宋体"/>
          <w:b/>
          <w:sz w:val="24"/>
          <w:highlight w:val="none"/>
          <w:lang w:eastAsia="zh-CN"/>
        </w:rPr>
      </w:pPr>
      <w:r>
        <w:rPr>
          <w:rFonts w:hint="eastAsia" w:ascii="宋体" w:hAnsi="宋体" w:eastAsia="宋体" w:cs="宋体"/>
          <w:sz w:val="24"/>
          <w:szCs w:val="24"/>
          <w:highlight w:val="none"/>
          <w:lang w:eastAsia="zh-CN"/>
        </w:rPr>
        <w:t>一、资格审查程序</w:t>
      </w:r>
      <w:bookmarkEnd w:id="485"/>
    </w:p>
    <w:p w14:paraId="6D80B23C">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bookmarkStart w:id="486" w:name="_Toc150480779"/>
      <w:bookmarkStart w:id="487" w:name="_Toc150774641"/>
      <w:bookmarkStart w:id="488" w:name="_Toc226965731"/>
      <w:bookmarkStart w:id="489" w:name="_Toc226309785"/>
      <w:bookmarkStart w:id="490" w:name="_Toc127161455"/>
      <w:bookmarkStart w:id="491" w:name="_Toc226337237"/>
      <w:bookmarkStart w:id="492" w:name="_Toc264969231"/>
      <w:bookmarkStart w:id="493" w:name="_Toc164351635"/>
      <w:bookmarkStart w:id="494" w:name="_Toc151193783"/>
      <w:bookmarkStart w:id="495" w:name="_Toc150509292"/>
      <w:bookmarkStart w:id="496" w:name="_Toc149720834"/>
      <w:bookmarkStart w:id="497" w:name="_Toc164608655"/>
      <w:bookmarkStart w:id="498" w:name="_Toc305158809"/>
      <w:bookmarkStart w:id="499" w:name="_Toc265228379"/>
      <w:bookmarkStart w:id="500" w:name="_Toc151193639"/>
      <w:bookmarkStart w:id="501" w:name="_Toc151193711"/>
      <w:bookmarkStart w:id="502" w:name="_Toc151193855"/>
      <w:bookmarkStart w:id="503" w:name="_Toc127151742"/>
      <w:bookmarkStart w:id="504" w:name="_Toc226965814"/>
      <w:bookmarkStart w:id="505" w:name="_Toc127151541"/>
      <w:bookmarkStart w:id="506" w:name="_Toc142311043"/>
      <w:bookmarkStart w:id="507" w:name="_Toc151193929"/>
      <w:bookmarkStart w:id="508" w:name="_Toc305158883"/>
      <w:bookmarkStart w:id="509" w:name="_Toc164229382"/>
      <w:bookmarkStart w:id="510" w:name="_Toc150774746"/>
      <w:bookmarkStart w:id="511" w:name="_Toc151190168"/>
      <w:bookmarkStart w:id="512" w:name="_Toc164608810"/>
      <w:bookmarkStart w:id="513" w:name="_Toc164229236"/>
      <w:bookmarkStart w:id="514" w:name="_Toc195842906"/>
      <w:r>
        <w:rPr>
          <w:rFonts w:hint="eastAsia" w:ascii="宋体" w:hAnsi="宋体" w:eastAsia="宋体" w:cs="宋体"/>
          <w:sz w:val="24"/>
          <w:highlight w:val="none"/>
          <w:lang w:eastAsia="zh-CN"/>
        </w:rPr>
        <w:t>1.响应文件的</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Pr>
          <w:rFonts w:hint="eastAsia" w:ascii="宋体" w:hAnsi="宋体" w:eastAsia="宋体" w:cs="宋体"/>
          <w:sz w:val="24"/>
          <w:highlight w:val="none"/>
          <w:lang w:eastAsia="zh-CN"/>
        </w:rPr>
        <w:t>资格审查和符合性审查</w:t>
      </w:r>
    </w:p>
    <w:p w14:paraId="4D6E7E3D">
      <w:pPr>
        <w:pageBreakBefore w:val="0"/>
        <w:tabs>
          <w:tab w:val="left" w:pos="108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highlight w:val="none"/>
          <w:lang w:eastAsia="zh-CN"/>
        </w:rPr>
        <w:t>无效响应</w:t>
      </w:r>
      <w:r>
        <w:rPr>
          <w:rFonts w:hint="eastAsia" w:ascii="宋体" w:hAnsi="宋体" w:eastAsia="宋体" w:cs="宋体"/>
          <w:sz w:val="24"/>
          <w:highlight w:val="none"/>
          <w:lang w:eastAsia="zh-CN"/>
        </w:rPr>
        <w:t>处理，磋商小组应当告知提交响应文件的供应商。</w:t>
      </w:r>
    </w:p>
    <w:p w14:paraId="105E6BE6">
      <w:pPr>
        <w:pageBreakBefore w:val="0"/>
        <w:tabs>
          <w:tab w:val="left" w:pos="108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1.2《资格审查要求》见下表：</w:t>
      </w:r>
    </w:p>
    <w:p w14:paraId="3D526486">
      <w:pPr>
        <w:pageBreakBefore w:val="0"/>
        <w:tabs>
          <w:tab w:val="left" w:pos="900"/>
          <w:tab w:val="left" w:pos="1080"/>
        </w:tabs>
        <w:kinsoku/>
        <w:wordWrap/>
        <w:overflowPunct w:val="0"/>
        <w:topLinePunct w:val="0"/>
        <w:bidi w:val="0"/>
        <w:spacing w:line="360" w:lineRule="auto"/>
        <w:ind w:left="1077" w:firstLine="2650" w:firstLineChars="1100"/>
        <w:rPr>
          <w:rFonts w:hint="eastAsia" w:ascii="宋体" w:hAnsi="宋体" w:eastAsia="宋体" w:cs="宋体"/>
          <w:b/>
          <w:sz w:val="24"/>
          <w:highlight w:val="none"/>
        </w:rPr>
      </w:pPr>
      <w:r>
        <w:rPr>
          <w:rFonts w:hint="eastAsia" w:ascii="宋体" w:hAnsi="宋体" w:eastAsia="宋体" w:cs="宋体"/>
          <w:b/>
          <w:sz w:val="24"/>
          <w:highlight w:val="none"/>
          <w:lang w:eastAsia="zh-CN"/>
        </w:rPr>
        <w:t>资格审查</w:t>
      </w:r>
      <w:r>
        <w:rPr>
          <w:rFonts w:hint="eastAsia" w:ascii="宋体" w:hAnsi="宋体" w:eastAsia="宋体" w:cs="宋体"/>
          <w:b/>
          <w:sz w:val="24"/>
          <w:highlight w:val="none"/>
        </w:rPr>
        <w:t>要求</w:t>
      </w:r>
    </w:p>
    <w:tbl>
      <w:tblPr>
        <w:tblStyle w:val="20"/>
        <w:tblW w:w="9784"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2289"/>
        <w:gridCol w:w="5136"/>
        <w:gridCol w:w="1639"/>
      </w:tblGrid>
      <w:tr w14:paraId="319B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tcPr>
          <w:p w14:paraId="1945D279">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b/>
                <w:bCs/>
                <w:szCs w:val="24"/>
                <w:highlight w:val="none"/>
              </w:rPr>
            </w:pPr>
            <w:bookmarkStart w:id="515" w:name="_Hlt487972895"/>
            <w:bookmarkEnd w:id="515"/>
            <w:r>
              <w:rPr>
                <w:rFonts w:hint="eastAsia" w:ascii="宋体" w:hAnsi="宋体" w:eastAsia="宋体" w:cs="宋体"/>
                <w:b/>
                <w:bCs/>
                <w:szCs w:val="24"/>
                <w:highlight w:val="none"/>
              </w:rPr>
              <w:t>序号</w:t>
            </w:r>
          </w:p>
        </w:tc>
        <w:tc>
          <w:tcPr>
            <w:tcW w:w="2289" w:type="dxa"/>
          </w:tcPr>
          <w:p w14:paraId="226D3A18">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审查因素</w:t>
            </w:r>
          </w:p>
        </w:tc>
        <w:tc>
          <w:tcPr>
            <w:tcW w:w="5136" w:type="dxa"/>
          </w:tcPr>
          <w:p w14:paraId="72B315DD">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审查内容</w:t>
            </w:r>
          </w:p>
        </w:tc>
        <w:tc>
          <w:tcPr>
            <w:tcW w:w="1639" w:type="dxa"/>
          </w:tcPr>
          <w:p w14:paraId="2B98D903">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格式要求</w:t>
            </w:r>
          </w:p>
        </w:tc>
      </w:tr>
      <w:tr w14:paraId="0D41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20" w:type="dxa"/>
            <w:vAlign w:val="center"/>
          </w:tcPr>
          <w:p w14:paraId="1A8EA24D">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2289" w:type="dxa"/>
            <w:vAlign w:val="center"/>
          </w:tcPr>
          <w:p w14:paraId="65A444AC">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满足《中华人民共和国政府采购法》第二十二条规定</w:t>
            </w:r>
          </w:p>
        </w:tc>
        <w:tc>
          <w:tcPr>
            <w:tcW w:w="5136" w:type="dxa"/>
            <w:vAlign w:val="center"/>
          </w:tcPr>
          <w:p w14:paraId="058E6A13">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具体规定见第一章《</w:t>
            </w:r>
            <w:r>
              <w:rPr>
                <w:rFonts w:hint="eastAsia" w:ascii="宋体" w:hAnsi="宋体" w:eastAsia="宋体" w:cs="宋体"/>
                <w:szCs w:val="24"/>
                <w:highlight w:val="none"/>
                <w:lang w:eastAsia="zh-CN"/>
              </w:rPr>
              <w:t>磋商邀请</w:t>
            </w:r>
            <w:r>
              <w:rPr>
                <w:rFonts w:hint="eastAsia" w:ascii="宋体" w:hAnsi="宋体" w:eastAsia="宋体" w:cs="宋体"/>
                <w:szCs w:val="24"/>
                <w:highlight w:val="none"/>
              </w:rPr>
              <w:t>》</w:t>
            </w:r>
            <w:r>
              <w:rPr>
                <w:rFonts w:hint="eastAsia" w:ascii="宋体" w:hAnsi="宋体" w:eastAsia="宋体" w:cs="宋体"/>
                <w:szCs w:val="24"/>
                <w:highlight w:val="none"/>
                <w:lang w:eastAsia="zh-CN"/>
              </w:rPr>
              <w:t>。</w:t>
            </w:r>
          </w:p>
        </w:tc>
        <w:tc>
          <w:tcPr>
            <w:tcW w:w="1639" w:type="dxa"/>
            <w:vAlign w:val="center"/>
          </w:tcPr>
          <w:p w14:paraId="7F4E2077">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p>
        </w:tc>
      </w:tr>
      <w:tr w14:paraId="7904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center"/>
          </w:tcPr>
          <w:p w14:paraId="5E652DD0">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w:t>
            </w:r>
          </w:p>
        </w:tc>
        <w:tc>
          <w:tcPr>
            <w:tcW w:w="2289" w:type="dxa"/>
            <w:vAlign w:val="center"/>
          </w:tcPr>
          <w:p w14:paraId="67359CF8">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营业执照等证明文件</w:t>
            </w:r>
          </w:p>
        </w:tc>
        <w:tc>
          <w:tcPr>
            <w:tcW w:w="5136" w:type="dxa"/>
            <w:vAlign w:val="center"/>
          </w:tcPr>
          <w:p w14:paraId="5D8F5B71">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供应商为企业（包括合伙企业）的，应提供有效的“营业执照”；</w:t>
            </w:r>
          </w:p>
          <w:p w14:paraId="04D68524">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供应商为事业单位的，应提供有效的“事业单位法人证书”；</w:t>
            </w:r>
          </w:p>
          <w:p w14:paraId="5953860B">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供应商是非企业机构的，应提供有效的“执业许可证”“登记证书”等证明文件；</w:t>
            </w:r>
          </w:p>
          <w:p w14:paraId="373CB88D">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供应商是个体工商户的，应提供有效的“个体工商户营业执照”；</w:t>
            </w:r>
          </w:p>
          <w:p w14:paraId="1B226945">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供应商是自然人的，应提供有效的自然人身份证明。</w:t>
            </w:r>
          </w:p>
          <w:p w14:paraId="3E125210">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对于银行、保险、石油石化、电力、电信等行业的分公司参加响应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639" w:type="dxa"/>
            <w:vAlign w:val="center"/>
          </w:tcPr>
          <w:p w14:paraId="0323E16C">
            <w:pPr>
              <w:pStyle w:val="35"/>
              <w:pageBreakBefore w:val="0"/>
              <w:kinsoku/>
              <w:wordWrap/>
              <w:overflowPunct w:val="0"/>
              <w:topLinePunct w:val="0"/>
              <w:bidi w:val="0"/>
              <w:adjustRightInd w:val="0"/>
              <w:snapToGrid w:val="0"/>
              <w:spacing w:line="360" w:lineRule="auto"/>
              <w:jc w:val="left"/>
              <w:rPr>
                <w:rFonts w:hint="eastAsia" w:ascii="宋体" w:hAnsi="宋体" w:eastAsia="宋体" w:cs="宋体"/>
                <w:szCs w:val="24"/>
                <w:highlight w:val="none"/>
              </w:rPr>
            </w:pPr>
            <w:r>
              <w:rPr>
                <w:rFonts w:hint="eastAsia" w:ascii="宋体" w:hAnsi="宋体" w:eastAsia="宋体" w:cs="宋体"/>
                <w:color w:val="auto"/>
                <w:sz w:val="24"/>
                <w:szCs w:val="24"/>
                <w:highlight w:val="none"/>
              </w:rPr>
              <w:t>提供证明文件的</w:t>
            </w:r>
            <w:r>
              <w:rPr>
                <w:rFonts w:hint="eastAsia" w:ascii="宋体" w:hAnsi="宋体" w:eastAsia="宋体" w:cs="宋体"/>
                <w:color w:val="auto"/>
                <w:sz w:val="24"/>
                <w:szCs w:val="24"/>
                <w:highlight w:val="none"/>
                <w:lang w:val="en-US" w:eastAsia="zh-CN"/>
              </w:rPr>
              <w:t>复印件并加盖公章装订在磋商响应文件内</w:t>
            </w:r>
          </w:p>
        </w:tc>
      </w:tr>
      <w:tr w14:paraId="24B7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center"/>
          </w:tcPr>
          <w:p w14:paraId="4BE9A3AD">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w:t>
            </w:r>
          </w:p>
        </w:tc>
        <w:tc>
          <w:tcPr>
            <w:tcW w:w="2289" w:type="dxa"/>
            <w:vAlign w:val="center"/>
          </w:tcPr>
          <w:p w14:paraId="1FF550E0">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供应商信用</w:t>
            </w:r>
          </w:p>
        </w:tc>
        <w:tc>
          <w:tcPr>
            <w:tcW w:w="5136" w:type="dxa"/>
            <w:vAlign w:val="center"/>
          </w:tcPr>
          <w:p w14:paraId="31DDEB15">
            <w:pPr>
              <w:pageBreakBefore w:val="0"/>
              <w:widowControl w:val="0"/>
              <w:kinsoku/>
              <w:wordWrap/>
              <w:overflowPunct w:val="0"/>
              <w:topLinePunct w:val="0"/>
              <w:bidi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至响应文件提交截止日，供应商均不存在以下情形：</w:t>
            </w:r>
          </w:p>
          <w:p w14:paraId="7B92C827">
            <w:pPr>
              <w:pageBreakBefore w:val="0"/>
              <w:widowControl w:val="0"/>
              <w:kinsoku/>
              <w:wordWrap/>
              <w:overflowPunct w:val="0"/>
              <w:topLinePunct w:val="0"/>
              <w:bidi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（1）被人民法院列入失信被执行人名单的；</w:t>
            </w:r>
          </w:p>
          <w:p w14:paraId="6DDD856F">
            <w:pPr>
              <w:pageBreakBefore w:val="0"/>
              <w:widowControl w:val="0"/>
              <w:kinsoku/>
              <w:wordWrap/>
              <w:overflowPunct w:val="0"/>
              <w:topLinePunct w:val="0"/>
              <w:bidi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（2）被税务机关列入重大税收违法失信主体名单的；</w:t>
            </w:r>
          </w:p>
          <w:p w14:paraId="741E779C">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kern w:val="0"/>
                <w:szCs w:val="24"/>
                <w:highlight w:val="none"/>
              </w:rPr>
              <w:t>（3）被财政部门列入政府采购严重违法失信行为记录名单的。</w:t>
            </w:r>
          </w:p>
        </w:tc>
        <w:tc>
          <w:tcPr>
            <w:tcW w:w="1639" w:type="dxa"/>
            <w:vAlign w:val="center"/>
          </w:tcPr>
          <w:p w14:paraId="398CA4AC">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按磋商响应函格式填写放入响应文件</w:t>
            </w:r>
          </w:p>
        </w:tc>
      </w:tr>
      <w:tr w14:paraId="1C66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720" w:type="dxa"/>
            <w:vAlign w:val="center"/>
          </w:tcPr>
          <w:p w14:paraId="6DD3E0F1">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1-3</w:t>
            </w:r>
          </w:p>
        </w:tc>
        <w:tc>
          <w:tcPr>
            <w:tcW w:w="2289" w:type="dxa"/>
            <w:vAlign w:val="center"/>
          </w:tcPr>
          <w:p w14:paraId="15512B3A">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磋商响应函</w:t>
            </w:r>
          </w:p>
        </w:tc>
        <w:tc>
          <w:tcPr>
            <w:tcW w:w="5136" w:type="dxa"/>
            <w:vAlign w:val="center"/>
          </w:tcPr>
          <w:p w14:paraId="4FD466E8">
            <w:pPr>
              <w:pStyle w:val="35"/>
              <w:pageBreakBefore w:val="0"/>
              <w:kinsoku/>
              <w:wordWrap/>
              <w:overflowPunct w:val="0"/>
              <w:topLinePunct w:val="0"/>
              <w:bidi w:val="0"/>
              <w:adjustRightInd w:val="0"/>
              <w:snapToGrid w:val="0"/>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提供符合竞争性磋商文件要求的《磋商响应函》。</w:t>
            </w:r>
          </w:p>
        </w:tc>
        <w:tc>
          <w:tcPr>
            <w:tcW w:w="1639" w:type="dxa"/>
            <w:vAlign w:val="center"/>
          </w:tcPr>
          <w:p w14:paraId="534548B0">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格式见《响应</w:t>
            </w:r>
          </w:p>
          <w:p w14:paraId="00B956A9">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文件格式》</w:t>
            </w:r>
          </w:p>
        </w:tc>
      </w:tr>
      <w:tr w14:paraId="148D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center"/>
          </w:tcPr>
          <w:p w14:paraId="47D6C3C3">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w:t>
            </w:r>
          </w:p>
        </w:tc>
        <w:tc>
          <w:tcPr>
            <w:tcW w:w="2289" w:type="dxa"/>
            <w:vAlign w:val="center"/>
          </w:tcPr>
          <w:p w14:paraId="6F816CC8">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法律、行政法规规定的其他条件</w:t>
            </w:r>
          </w:p>
        </w:tc>
        <w:tc>
          <w:tcPr>
            <w:tcW w:w="5136" w:type="dxa"/>
            <w:vAlign w:val="center"/>
          </w:tcPr>
          <w:p w14:paraId="6CDB0EA2">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法律、行政法规规定的其他条件</w:t>
            </w:r>
            <w:r>
              <w:rPr>
                <w:rFonts w:hint="eastAsia" w:ascii="宋体" w:hAnsi="宋体" w:eastAsia="宋体" w:cs="宋体"/>
                <w:szCs w:val="24"/>
                <w:highlight w:val="none"/>
                <w:lang w:eastAsia="zh-CN"/>
              </w:rPr>
              <w:t>。</w:t>
            </w:r>
          </w:p>
        </w:tc>
        <w:tc>
          <w:tcPr>
            <w:tcW w:w="1639" w:type="dxa"/>
            <w:vAlign w:val="center"/>
          </w:tcPr>
          <w:p w14:paraId="1AF5ECD4">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w:t>
            </w:r>
          </w:p>
        </w:tc>
      </w:tr>
      <w:tr w14:paraId="4B25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center"/>
          </w:tcPr>
          <w:p w14:paraId="3A9E2147">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2289" w:type="dxa"/>
            <w:vAlign w:val="center"/>
          </w:tcPr>
          <w:p w14:paraId="004BE8C6">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落实政府采购政策需满足的资格要求</w:t>
            </w:r>
          </w:p>
        </w:tc>
        <w:tc>
          <w:tcPr>
            <w:tcW w:w="5136" w:type="dxa"/>
            <w:vAlign w:val="center"/>
          </w:tcPr>
          <w:p w14:paraId="485CDFBE">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具体要求见第一章《磋商</w:t>
            </w:r>
            <w:r>
              <w:rPr>
                <w:rFonts w:hint="eastAsia" w:ascii="宋体" w:hAnsi="宋体" w:eastAsia="宋体" w:cs="宋体"/>
                <w:szCs w:val="24"/>
                <w:highlight w:val="none"/>
                <w:lang w:val="en-US" w:eastAsia="zh-CN"/>
              </w:rPr>
              <w:t>邀请</w:t>
            </w:r>
            <w:r>
              <w:rPr>
                <w:rFonts w:hint="eastAsia" w:ascii="宋体" w:hAnsi="宋体" w:eastAsia="宋体" w:cs="宋体"/>
                <w:szCs w:val="24"/>
                <w:highlight w:val="none"/>
              </w:rPr>
              <w:t>》</w:t>
            </w:r>
            <w:r>
              <w:rPr>
                <w:rFonts w:hint="eastAsia" w:ascii="宋体" w:hAnsi="宋体" w:eastAsia="宋体" w:cs="宋体"/>
                <w:szCs w:val="24"/>
                <w:highlight w:val="none"/>
                <w:lang w:eastAsia="zh-CN"/>
              </w:rPr>
              <w:t>。</w:t>
            </w:r>
          </w:p>
        </w:tc>
        <w:tc>
          <w:tcPr>
            <w:tcW w:w="1639" w:type="dxa"/>
            <w:vAlign w:val="center"/>
          </w:tcPr>
          <w:p w14:paraId="52AD6B5A">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p>
        </w:tc>
      </w:tr>
      <w:tr w14:paraId="275B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center"/>
          </w:tcPr>
          <w:p w14:paraId="24F916D6">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w:t>
            </w:r>
          </w:p>
        </w:tc>
        <w:tc>
          <w:tcPr>
            <w:tcW w:w="2289" w:type="dxa"/>
            <w:vAlign w:val="center"/>
          </w:tcPr>
          <w:p w14:paraId="2C5B225B">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专门面向中小企业采购项目</w:t>
            </w:r>
          </w:p>
        </w:tc>
        <w:tc>
          <w:tcPr>
            <w:tcW w:w="5136" w:type="dxa"/>
            <w:vAlign w:val="center"/>
          </w:tcPr>
          <w:p w14:paraId="2A69C3FF">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具体要求见第一章《</w:t>
            </w:r>
            <w:r>
              <w:rPr>
                <w:rFonts w:hint="eastAsia" w:ascii="宋体" w:hAnsi="宋体" w:eastAsia="宋体" w:cs="宋体"/>
                <w:szCs w:val="24"/>
                <w:highlight w:val="none"/>
                <w:lang w:eastAsia="zh-CN"/>
              </w:rPr>
              <w:t>磋商邀请</w:t>
            </w:r>
            <w:r>
              <w:rPr>
                <w:rFonts w:hint="eastAsia" w:ascii="宋体" w:hAnsi="宋体" w:eastAsia="宋体" w:cs="宋体"/>
                <w:szCs w:val="24"/>
                <w:highlight w:val="none"/>
              </w:rPr>
              <w:t>》</w:t>
            </w:r>
            <w:r>
              <w:rPr>
                <w:rFonts w:hint="eastAsia" w:ascii="宋体" w:hAnsi="宋体" w:eastAsia="宋体" w:cs="宋体"/>
                <w:szCs w:val="24"/>
                <w:highlight w:val="none"/>
                <w:lang w:eastAsia="zh-CN"/>
              </w:rPr>
              <w:t>。</w:t>
            </w:r>
          </w:p>
        </w:tc>
        <w:tc>
          <w:tcPr>
            <w:tcW w:w="1639" w:type="dxa"/>
            <w:vAlign w:val="center"/>
          </w:tcPr>
          <w:p w14:paraId="48090D4D">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p>
        </w:tc>
      </w:tr>
      <w:tr w14:paraId="37C9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center"/>
          </w:tcPr>
          <w:p w14:paraId="72D0CABD">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2289" w:type="dxa"/>
            <w:vAlign w:val="center"/>
          </w:tcPr>
          <w:p w14:paraId="0F079467">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中小企业证明文件</w:t>
            </w:r>
          </w:p>
        </w:tc>
        <w:tc>
          <w:tcPr>
            <w:tcW w:w="5136" w:type="dxa"/>
            <w:vAlign w:val="center"/>
          </w:tcPr>
          <w:p w14:paraId="200882BE">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本项目（标段）涉及</w:t>
            </w:r>
            <w:r>
              <w:rPr>
                <w:rFonts w:hint="eastAsia" w:ascii="宋体" w:hAnsi="宋体" w:eastAsia="宋体" w:cs="宋体"/>
                <w:color w:val="333333"/>
                <w:kern w:val="0"/>
                <w:szCs w:val="24"/>
                <w:highlight w:val="none"/>
                <w:shd w:val="clear" w:color="auto" w:fill="FFFFFF"/>
              </w:rPr>
              <w:t>专门面向中小企业采购</w:t>
            </w:r>
            <w:r>
              <w:rPr>
                <w:rFonts w:hint="eastAsia" w:ascii="宋体" w:hAnsi="宋体" w:eastAsia="宋体" w:cs="宋体"/>
                <w:szCs w:val="24"/>
                <w:highlight w:val="none"/>
              </w:rPr>
              <w:t>。</w:t>
            </w:r>
          </w:p>
          <w:p w14:paraId="5528E99C">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供应商单独响应的，工程类项目供应商</w:t>
            </w:r>
            <w:r>
              <w:rPr>
                <w:rFonts w:hint="eastAsia" w:ascii="宋体" w:hAnsi="宋体" w:eastAsia="宋体" w:cs="宋体"/>
                <w:szCs w:val="24"/>
                <w:highlight w:val="none"/>
                <w:lang w:val="zh-CN"/>
              </w:rPr>
              <w:t>应为中小微企业、监狱企业、残疾人福利性单位。</w:t>
            </w:r>
          </w:p>
        </w:tc>
        <w:tc>
          <w:tcPr>
            <w:tcW w:w="1639" w:type="dxa"/>
            <w:vAlign w:val="center"/>
          </w:tcPr>
          <w:p w14:paraId="5B2AD696">
            <w:pPr>
              <w:pStyle w:val="35"/>
              <w:pageBreakBefore w:val="0"/>
              <w:kinsoku/>
              <w:wordWrap/>
              <w:overflowPunct w:val="0"/>
              <w:topLinePunct w:val="0"/>
              <w:bidi w:val="0"/>
              <w:adjustRightInd w:val="0"/>
              <w:snapToGrid w:val="0"/>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格式见《响应文件格式》</w:t>
            </w:r>
            <w:r>
              <w:rPr>
                <w:rFonts w:hint="eastAsia" w:ascii="宋体" w:hAnsi="宋体" w:cs="宋体"/>
                <w:szCs w:val="24"/>
                <w:highlight w:val="none"/>
                <w:lang w:eastAsia="zh-CN"/>
              </w:rPr>
              <w:t>。</w:t>
            </w:r>
          </w:p>
        </w:tc>
      </w:tr>
      <w:tr w14:paraId="699A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center"/>
          </w:tcPr>
          <w:p w14:paraId="779FED75">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2289" w:type="dxa"/>
            <w:vAlign w:val="center"/>
          </w:tcPr>
          <w:p w14:paraId="663288B0">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本项目的特定资格要求</w:t>
            </w:r>
          </w:p>
        </w:tc>
        <w:tc>
          <w:tcPr>
            <w:tcW w:w="5136" w:type="dxa"/>
            <w:vAlign w:val="center"/>
          </w:tcPr>
          <w:p w14:paraId="11A8851B">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见第一章《</w:t>
            </w:r>
            <w:r>
              <w:rPr>
                <w:rFonts w:hint="eastAsia" w:ascii="宋体" w:hAnsi="宋体" w:eastAsia="宋体" w:cs="宋体"/>
                <w:szCs w:val="24"/>
                <w:highlight w:val="none"/>
                <w:lang w:eastAsia="zh-CN"/>
              </w:rPr>
              <w:t>磋商邀请</w:t>
            </w:r>
            <w:r>
              <w:rPr>
                <w:rFonts w:hint="eastAsia" w:ascii="宋体" w:hAnsi="宋体" w:eastAsia="宋体" w:cs="宋体"/>
                <w:szCs w:val="24"/>
                <w:highlight w:val="none"/>
              </w:rPr>
              <w:t>》</w:t>
            </w:r>
            <w:r>
              <w:rPr>
                <w:rFonts w:hint="eastAsia" w:ascii="宋体" w:hAnsi="宋体" w:eastAsia="宋体" w:cs="宋体"/>
                <w:szCs w:val="24"/>
                <w:highlight w:val="none"/>
                <w:lang w:eastAsia="zh-CN"/>
              </w:rPr>
              <w:t>。</w:t>
            </w:r>
          </w:p>
        </w:tc>
        <w:tc>
          <w:tcPr>
            <w:tcW w:w="1639" w:type="dxa"/>
            <w:vAlign w:val="center"/>
          </w:tcPr>
          <w:p w14:paraId="1835DBFE">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p>
        </w:tc>
      </w:tr>
      <w:tr w14:paraId="2D09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1" w:hRule="atLeast"/>
        </w:trPr>
        <w:tc>
          <w:tcPr>
            <w:tcW w:w="720" w:type="dxa"/>
            <w:vAlign w:val="center"/>
          </w:tcPr>
          <w:p w14:paraId="5F491CA3">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3-1</w:t>
            </w:r>
          </w:p>
        </w:tc>
        <w:tc>
          <w:tcPr>
            <w:tcW w:w="2289" w:type="dxa"/>
            <w:vAlign w:val="center"/>
          </w:tcPr>
          <w:p w14:paraId="2F07924A">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其他特定资格要求</w:t>
            </w:r>
          </w:p>
        </w:tc>
        <w:tc>
          <w:tcPr>
            <w:tcW w:w="5136" w:type="dxa"/>
            <w:vAlign w:val="center"/>
          </w:tcPr>
          <w:p w14:paraId="6EC492B6">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见第一章《</w:t>
            </w:r>
            <w:r>
              <w:rPr>
                <w:rFonts w:hint="eastAsia" w:ascii="宋体" w:hAnsi="宋体" w:eastAsia="宋体" w:cs="宋体"/>
                <w:szCs w:val="24"/>
                <w:highlight w:val="none"/>
                <w:lang w:eastAsia="zh-CN"/>
              </w:rPr>
              <w:t>磋商邀请</w:t>
            </w:r>
            <w:r>
              <w:rPr>
                <w:rFonts w:hint="eastAsia" w:ascii="宋体" w:hAnsi="宋体" w:eastAsia="宋体" w:cs="宋体"/>
                <w:szCs w:val="24"/>
                <w:highlight w:val="none"/>
              </w:rPr>
              <w:t>》</w:t>
            </w:r>
            <w:r>
              <w:rPr>
                <w:rFonts w:hint="eastAsia" w:ascii="宋体" w:hAnsi="宋体" w:eastAsia="宋体" w:cs="宋体"/>
                <w:szCs w:val="24"/>
                <w:highlight w:val="none"/>
                <w:lang w:eastAsia="zh-CN"/>
              </w:rPr>
              <w:t>。</w:t>
            </w:r>
          </w:p>
        </w:tc>
        <w:tc>
          <w:tcPr>
            <w:tcW w:w="1639" w:type="dxa"/>
            <w:vAlign w:val="center"/>
          </w:tcPr>
          <w:p w14:paraId="14E2E029">
            <w:pPr>
              <w:pStyle w:val="35"/>
              <w:pageBreakBefore w:val="0"/>
              <w:kinsoku/>
              <w:wordWrap/>
              <w:overflowPunct w:val="0"/>
              <w:topLinePunct w:val="0"/>
              <w:bidi w:val="0"/>
              <w:adjustRightInd w:val="0"/>
              <w:snapToGrid w:val="0"/>
              <w:spacing w:line="360" w:lineRule="auto"/>
              <w:jc w:val="left"/>
              <w:rPr>
                <w:rFonts w:hint="eastAsia" w:ascii="宋体" w:hAnsi="宋体" w:eastAsia="宋体" w:cs="宋体"/>
                <w:szCs w:val="24"/>
                <w:highlight w:val="none"/>
              </w:rPr>
            </w:pPr>
            <w:r>
              <w:rPr>
                <w:rFonts w:hint="eastAsia" w:ascii="宋体" w:hAnsi="宋体" w:eastAsia="宋体" w:cs="宋体"/>
                <w:color w:val="auto"/>
                <w:sz w:val="24"/>
                <w:szCs w:val="24"/>
                <w:highlight w:val="none"/>
              </w:rPr>
              <w:t>提供证明文件的</w:t>
            </w:r>
            <w:r>
              <w:rPr>
                <w:rFonts w:hint="eastAsia" w:ascii="宋体" w:hAnsi="宋体" w:eastAsia="宋体" w:cs="宋体"/>
                <w:color w:val="auto"/>
                <w:sz w:val="24"/>
                <w:szCs w:val="24"/>
                <w:highlight w:val="none"/>
                <w:lang w:val="en-US" w:eastAsia="zh-CN"/>
              </w:rPr>
              <w:t>复印件并加盖公章装订在磋商响应文件内。</w:t>
            </w:r>
          </w:p>
        </w:tc>
      </w:tr>
    </w:tbl>
    <w:p w14:paraId="72C69399">
      <w:pPr>
        <w:pageBreakBefore w:val="0"/>
        <w:tabs>
          <w:tab w:val="left" w:pos="108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p>
    <w:p w14:paraId="07B55AB9">
      <w:pPr>
        <w:pageBreakBefore w:val="0"/>
        <w:tabs>
          <w:tab w:val="left" w:pos="108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1.3《符合性审查要求》见下表：</w:t>
      </w:r>
    </w:p>
    <w:p w14:paraId="446D727F">
      <w:pPr>
        <w:pageBreakBefore w:val="0"/>
        <w:kinsoku/>
        <w:wordWrap/>
        <w:overflowPunct w:val="0"/>
        <w:topLinePunct w:val="0"/>
        <w:bidi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符合性审查要求</w:t>
      </w:r>
    </w:p>
    <w:tbl>
      <w:tblPr>
        <w:tblStyle w:val="20"/>
        <w:tblW w:w="9288" w:type="dxa"/>
        <w:jc w:val="center"/>
        <w:tblLayout w:type="fixed"/>
        <w:tblCellMar>
          <w:top w:w="0" w:type="dxa"/>
          <w:left w:w="0" w:type="dxa"/>
          <w:bottom w:w="0" w:type="dxa"/>
          <w:right w:w="0" w:type="dxa"/>
        </w:tblCellMar>
      </w:tblPr>
      <w:tblGrid>
        <w:gridCol w:w="750"/>
        <w:gridCol w:w="1813"/>
        <w:gridCol w:w="6725"/>
      </w:tblGrid>
      <w:tr w14:paraId="2E7D60D2">
        <w:tblPrEx>
          <w:tblCellMar>
            <w:top w:w="0" w:type="dxa"/>
            <w:left w:w="0" w:type="dxa"/>
            <w:bottom w:w="0" w:type="dxa"/>
            <w:right w:w="0"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AF1F90F">
            <w:pPr>
              <w:pStyle w:val="37"/>
              <w:pageBreakBefore w:val="0"/>
              <w:widowControl w:val="0"/>
              <w:kinsoku/>
              <w:wordWrap/>
              <w:overflowPunct w:val="0"/>
              <w:topLinePunct w:val="0"/>
              <w:bidi w:val="0"/>
              <w:spacing w:line="360" w:lineRule="auto"/>
              <w:ind w:left="13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0BFE637C">
            <w:pPr>
              <w:pStyle w:val="37"/>
              <w:pageBreakBefore w:val="0"/>
              <w:widowControl w:val="0"/>
              <w:kinsoku/>
              <w:wordWrap/>
              <w:overflowPunct w:val="0"/>
              <w:topLinePunct w:val="0"/>
              <w:bidi w:val="0"/>
              <w:spacing w:line="360" w:lineRule="auto"/>
              <w:ind w:left="421"/>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0AE26762">
            <w:pPr>
              <w:pStyle w:val="37"/>
              <w:pageBreakBefore w:val="0"/>
              <w:widowControl w:val="0"/>
              <w:kinsoku/>
              <w:wordWrap/>
              <w:overflowPunct w:val="0"/>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审查内容</w:t>
            </w:r>
          </w:p>
        </w:tc>
      </w:tr>
      <w:tr w14:paraId="29599E9F">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7E9227D">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5C80DC73">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1C55AC5D">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按竞争性磋商文件要求提供授权委托书</w:t>
            </w:r>
            <w:r>
              <w:rPr>
                <w:rFonts w:hint="eastAsia" w:ascii="宋体" w:hAnsi="宋体" w:eastAsia="宋体" w:cs="宋体"/>
                <w:szCs w:val="24"/>
                <w:highlight w:val="none"/>
                <w:lang w:eastAsia="zh-CN"/>
              </w:rPr>
              <w:t>。</w:t>
            </w:r>
          </w:p>
        </w:tc>
      </w:tr>
      <w:tr w14:paraId="183DBBE8">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40F6F45">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49D149D7">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串通响应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0388211A">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不存在《政府采购货物和服务招标投标管理办法》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r>
              <w:rPr>
                <w:rFonts w:hint="eastAsia" w:ascii="宋体" w:hAnsi="宋体" w:eastAsia="宋体" w:cs="宋体"/>
                <w:szCs w:val="24"/>
                <w:highlight w:val="none"/>
                <w:lang w:eastAsia="zh-CN"/>
              </w:rPr>
              <w:t>。</w:t>
            </w:r>
          </w:p>
        </w:tc>
      </w:tr>
      <w:tr w14:paraId="3CEF0114">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01FE84F">
            <w:pPr>
              <w:pStyle w:val="35"/>
              <w:pageBreakBefore w:val="0"/>
              <w:kinsoku/>
              <w:wordWrap/>
              <w:overflowPunct w:val="0"/>
              <w:topLinePunct w:val="0"/>
              <w:bidi w:val="0"/>
              <w:adjustRightInd w:val="0"/>
              <w:snapToGrid w:val="0"/>
              <w:spacing w:line="360" w:lineRule="auto"/>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26F5A108">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其他无效情形</w:t>
            </w:r>
          </w:p>
        </w:tc>
        <w:tc>
          <w:tcPr>
            <w:tcW w:w="6725" w:type="dxa"/>
            <w:tcBorders>
              <w:top w:val="single" w:color="000000" w:sz="4" w:space="0"/>
              <w:left w:val="single" w:color="000000" w:sz="4" w:space="0"/>
              <w:bottom w:val="single" w:color="000000" w:sz="4" w:space="0"/>
              <w:right w:val="single" w:color="000000" w:sz="4" w:space="0"/>
            </w:tcBorders>
            <w:vAlign w:val="center"/>
          </w:tcPr>
          <w:p w14:paraId="2F34678C">
            <w:pPr>
              <w:pStyle w:val="35"/>
              <w:pageBreakBefore w:val="0"/>
              <w:kinsoku/>
              <w:wordWrap/>
              <w:overflowPunct w:val="0"/>
              <w:topLinePunct w:val="0"/>
              <w:bidi w:val="0"/>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供应商、响应文件不存在不符合法律、法规和竞争性磋商文件规定的其他无效情形。</w:t>
            </w:r>
          </w:p>
        </w:tc>
      </w:tr>
    </w:tbl>
    <w:p w14:paraId="38049006">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p>
    <w:p w14:paraId="19827437">
      <w:pPr>
        <w:pageBreakBefore w:val="0"/>
        <w:numPr>
          <w:ilvl w:val="0"/>
          <w:numId w:val="1"/>
        </w:numPr>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磋商、响应文件有关事项的澄清、说明或者更正和最后报价</w:t>
      </w:r>
    </w:p>
    <w:p w14:paraId="684A33B0">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磋商小组所有成员将集中与单一供应商分别进行磋商，并给予所有参加磋商的供应商平等的磋商机会。</w:t>
      </w:r>
    </w:p>
    <w:p w14:paraId="2AFA1BBE">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在磋商过程中，磋商小组可以根据磋商文件和磋商情况实质性变动采购需求中的技术、服务要求以及拟签订的合同文本，但不得变动磋商文件中的其他内容。实质性变动的内容，须经采购人代表确认。</w:t>
      </w:r>
    </w:p>
    <w:p w14:paraId="7F2DEAAD">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sz w:val="24"/>
          <w:highlight w:val="none"/>
          <w:lang w:eastAsia="zh-CN"/>
        </w:rPr>
        <w:t>2.3</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对磋商文件作出的实质性变动是磋商文件的有效组成部分，磋商小组应</w:t>
      </w:r>
      <w:r>
        <w:rPr>
          <w:rFonts w:hint="eastAsia" w:ascii="宋体" w:hAnsi="宋体" w:eastAsia="宋体" w:cs="宋体"/>
          <w:color w:val="auto"/>
          <w:sz w:val="24"/>
          <w:highlight w:val="none"/>
          <w:lang w:eastAsia="zh-CN"/>
        </w:rPr>
        <w:t>当及时以书面形式同时通知所有参加磋商的供应商。</w:t>
      </w:r>
    </w:p>
    <w:p w14:paraId="27C9657F">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eastAsia="zh-CN"/>
        </w:rPr>
        <w:t>2.4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450997C8">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响应文件的澄清、说明或者更正：</w:t>
      </w:r>
    </w:p>
    <w:p w14:paraId="17B8723A">
      <w:pPr>
        <w:pageBreakBefore w:val="0"/>
        <w:kinsoku/>
        <w:wordWrap/>
        <w:overflowPunct w:val="0"/>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2.5.1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磋商小组在对响应文件的有效性、完整性和响应程度进行审查时，可以要求供应商对响应文件中含义不明确、同类问题表述不一致或者有明显文字和计算错误的内容等作出必要的澄清、说明或者更正。</w:t>
      </w:r>
    </w:p>
    <w:p w14:paraId="619A6345">
      <w:pPr>
        <w:pageBreakBefore w:val="0"/>
        <w:kinsoku/>
        <w:wordWrap/>
        <w:overflowPunct w:val="0"/>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一轮报价须包含竞争性磋商文件全部内容，如分项报价表有缺漏视为已含在其他各项报价中，将不对第一轮报价总价进行调整。磋商小组有权要求供应商在评审现场合理的时间内对此进行书面确认，供应商不确认的，视为将一个标段中的内容拆开响应，其响应无效。</w:t>
      </w:r>
    </w:p>
    <w:p w14:paraId="74201532">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2.5.2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磋商小组对响应文件进行审查，如发现供应商提交的响应文件有任何一项不符合《资格审查要求》和《符合性审查要求》的内容，则供应商响应文件按无效处理。</w:t>
      </w:r>
    </w:p>
    <w:p w14:paraId="3318E780">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2.5.3</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供应商的澄清、说明或者更正不得超出响应文件的范围或者改变响应文件的实质性内容。磋商小组要求供应商澄清、说明或者更正响应文件应当以书面形式作出。供应商的澄清、说明或者更正应当由供应商</w:t>
      </w:r>
      <w:r>
        <w:rPr>
          <w:rFonts w:hint="eastAsia" w:ascii="宋体" w:hAnsi="宋体" w:eastAsia="宋体" w:cs="宋体"/>
          <w:color w:val="auto"/>
          <w:sz w:val="24"/>
          <w:highlight w:val="none"/>
          <w:lang w:val="en-US" w:eastAsia="zh-CN"/>
        </w:rPr>
        <w:t>授权委托人签字或盖公章</w:t>
      </w:r>
      <w:r>
        <w:rPr>
          <w:rFonts w:hint="eastAsia" w:ascii="宋体" w:hAnsi="宋体" w:eastAsia="宋体" w:cs="宋体"/>
          <w:sz w:val="24"/>
          <w:highlight w:val="none"/>
          <w:lang w:eastAsia="zh-CN"/>
        </w:rPr>
        <w:t>。澄清、说明或者更正文件将作为响应文件内容的一部分。</w:t>
      </w:r>
    </w:p>
    <w:p w14:paraId="28263703">
      <w:pPr>
        <w:pStyle w:val="38"/>
        <w:pageBreakBefore w:val="0"/>
        <w:kinsoku/>
        <w:wordWrap/>
        <w:overflowPunct w:val="0"/>
        <w:topLinePunct w:val="0"/>
        <w:bidi w:val="0"/>
        <w:spacing w:before="0"/>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2.5.4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磋商小组认为供应商的报价明显低于其他通过符合性审查供应商的报价，有可能影响服务质量或者不能诚信履约的，应当要求其在合理的时间内提供说明，必要时提交相关证明材料；供应商不能证明其报价合理性的，</w:t>
      </w:r>
      <w:r>
        <w:rPr>
          <w:rFonts w:hint="eastAsia" w:ascii="宋体" w:hAnsi="宋体" w:eastAsia="宋体" w:cs="宋体"/>
          <w:b/>
          <w:bCs/>
          <w:color w:val="auto"/>
          <w:highlight w:val="none"/>
          <w:lang w:eastAsia="zh-CN"/>
        </w:rPr>
        <w:t>其响应无效</w:t>
      </w:r>
      <w:r>
        <w:rPr>
          <w:rFonts w:hint="eastAsia" w:ascii="宋体" w:hAnsi="宋体" w:eastAsia="宋体" w:cs="宋体"/>
          <w:color w:val="auto"/>
          <w:highlight w:val="none"/>
          <w:lang w:eastAsia="zh-CN"/>
        </w:rPr>
        <w:t>。</w:t>
      </w:r>
    </w:p>
    <w:p w14:paraId="45B7D086">
      <w:pPr>
        <w:pStyle w:val="38"/>
        <w:pageBreakBefore w:val="0"/>
        <w:kinsoku/>
        <w:wordWrap/>
        <w:overflowPunct w:val="0"/>
        <w:topLinePunct w:val="0"/>
        <w:bidi w:val="0"/>
        <w:spacing w:before="0"/>
        <w:ind w:firstLine="480"/>
        <w:rPr>
          <w:rFonts w:hint="eastAsia" w:ascii="宋体" w:hAnsi="宋体" w:eastAsia="宋体" w:cs="宋体"/>
          <w:b/>
          <w:bCs/>
          <w:color w:val="auto"/>
          <w:szCs w:val="24"/>
          <w:highlight w:val="none"/>
          <w:lang w:eastAsia="zh-CN"/>
        </w:rPr>
      </w:pPr>
      <w:r>
        <w:rPr>
          <w:rFonts w:hint="eastAsia" w:ascii="宋体" w:hAnsi="宋体" w:eastAsia="宋体" w:cs="宋体"/>
          <w:color w:val="auto"/>
          <w:highlight w:val="none"/>
          <w:lang w:eastAsia="zh-CN"/>
        </w:rPr>
        <w:t>2.6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磋商结束后，磋商小组将要求所有实质性响应的供应商在规定时间内提交最后报价，二次报价或者最后报价由磋商小组发起，供应商通过</w:t>
      </w:r>
      <w:r>
        <w:rPr>
          <w:rFonts w:hint="eastAsia" w:ascii="宋体" w:hAnsi="宋体" w:eastAsia="宋体" w:cs="宋体"/>
          <w:color w:val="auto"/>
          <w:highlight w:val="none"/>
          <w:lang w:val="en-US" w:eastAsia="zh-CN"/>
        </w:rPr>
        <w:t>现场</w:t>
      </w:r>
      <w:r>
        <w:rPr>
          <w:rFonts w:hint="eastAsia" w:ascii="宋体" w:hAnsi="宋体" w:eastAsia="宋体" w:cs="宋体"/>
          <w:color w:val="auto"/>
          <w:highlight w:val="none"/>
          <w:lang w:eastAsia="zh-CN"/>
        </w:rPr>
        <w:t>填报。二次报价或者最后报价时仅报出总价，成交后，其单价部分按最后报价总价下降幅度同比例下降。</w:t>
      </w:r>
      <w:r>
        <w:rPr>
          <w:rFonts w:hint="eastAsia" w:ascii="宋体" w:hAnsi="宋体" w:eastAsia="宋体" w:cs="宋体"/>
          <w:color w:val="auto"/>
          <w:szCs w:val="24"/>
          <w:highlight w:val="none"/>
          <w:lang w:eastAsia="zh-CN"/>
        </w:rPr>
        <w:t>如供应商未按磋商小组的要求在规定的时间内提交最后报价的，视为退出磋商。</w:t>
      </w:r>
    </w:p>
    <w:p w14:paraId="23DD4436">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2A7ECB3">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2.8</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最后报价是供应商响应文件的有效组成部分。</w:t>
      </w:r>
    </w:p>
    <w:p w14:paraId="50AB25BC">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已提交响应文件的供应商，在提交最后报价之前，可以根据磋商情况退出磋商。</w:t>
      </w:r>
    </w:p>
    <w:p w14:paraId="4EC164AA">
      <w:pPr>
        <w:pageBreakBefore w:val="0"/>
        <w:tabs>
          <w:tab w:val="left" w:pos="1080"/>
          <w:tab w:val="left" w:pos="1872"/>
        </w:tabs>
        <w:kinsoku/>
        <w:wordWrap/>
        <w:overflowPunct w:val="0"/>
        <w:topLinePunct w:val="0"/>
        <w:bidi w:val="0"/>
        <w:spacing w:line="360" w:lineRule="auto"/>
        <w:ind w:left="479" w:leftChars="228"/>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最后报价的算术修正及政策调整</w:t>
      </w:r>
    </w:p>
    <w:p w14:paraId="34A6D716">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最后报价出现前后不一致的，按照下列规定修正：</w:t>
      </w:r>
    </w:p>
    <w:p w14:paraId="6CE32B51">
      <w:pPr>
        <w:pageBreakBefore w:val="0"/>
        <w:tabs>
          <w:tab w:val="left" w:pos="2035"/>
          <w:tab w:val="left" w:pos="2114"/>
          <w:tab w:val="left" w:pos="2977"/>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大写金额和小写金额不一致的，以大写金额为准；</w:t>
      </w:r>
    </w:p>
    <w:p w14:paraId="4BC2A3BD">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落实政府采购政策的价格调整：只有符合第二章《供应商须知》规定情形的，可以享受中小企业扶持等政策，用扣除后的价格参加评审；否则，评审时价格不予扣除。扣除比例详见《供应商须知前附表》。</w:t>
      </w:r>
    </w:p>
    <w:p w14:paraId="3AAD84F6">
      <w:pPr>
        <w:pageBreakBefore w:val="0"/>
        <w:tabs>
          <w:tab w:val="left" w:pos="1080"/>
          <w:tab w:val="left" w:pos="1589"/>
          <w:tab w:val="left" w:pos="2014"/>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磋商环节及提交最后报价后如出现以下情况的，供应商的</w:t>
      </w:r>
      <w:r>
        <w:rPr>
          <w:rFonts w:hint="eastAsia" w:ascii="宋体" w:hAnsi="宋体" w:eastAsia="宋体" w:cs="宋体"/>
          <w:b/>
          <w:sz w:val="24"/>
          <w:highlight w:val="none"/>
          <w:lang w:eastAsia="zh-CN"/>
        </w:rPr>
        <w:t>响应文件无效</w:t>
      </w:r>
      <w:r>
        <w:rPr>
          <w:rFonts w:hint="eastAsia" w:ascii="宋体" w:hAnsi="宋体" w:eastAsia="宋体" w:cs="宋体"/>
          <w:sz w:val="24"/>
          <w:highlight w:val="none"/>
          <w:lang w:eastAsia="zh-CN"/>
        </w:rPr>
        <w:t>：</w:t>
      </w:r>
    </w:p>
    <w:p w14:paraId="3A0A5037">
      <w:pPr>
        <w:pageBreakBefore w:val="0"/>
        <w:tabs>
          <w:tab w:val="left" w:pos="108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供应商对实质性变动不予确认的；</w:t>
      </w:r>
    </w:p>
    <w:p w14:paraId="40CA4929">
      <w:pPr>
        <w:pageBreakBefore w:val="0"/>
        <w:tabs>
          <w:tab w:val="left" w:pos="108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不满足磋商文件★号条款或磋商文件技术指标超出磋商文件《采购需求》中主要技术参数允许偏差的最大范围的（如有）；</w:t>
      </w:r>
    </w:p>
    <w:p w14:paraId="19E171D5">
      <w:pPr>
        <w:pageBreakBefore w:val="0"/>
        <w:tabs>
          <w:tab w:val="left" w:pos="108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4.3</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如供应商的最后报价超过竞争性磋商文件中规定的项目/标段最高限价的；</w:t>
      </w:r>
    </w:p>
    <w:p w14:paraId="0F9FEC92">
      <w:pPr>
        <w:pageBreakBefore w:val="0"/>
        <w:tabs>
          <w:tab w:val="left" w:pos="108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4.4</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响应文件中出现可选择性或可调整的报价的（竞争性磋商文件另有规定的除外）；</w:t>
      </w:r>
    </w:p>
    <w:p w14:paraId="0F43643C">
      <w:pPr>
        <w:pageBreakBefore w:val="0"/>
        <w:tabs>
          <w:tab w:val="left" w:pos="1080"/>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4.5</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最后报价出现前后不一致，供应商对修正后的报价不予确认的；</w:t>
      </w:r>
    </w:p>
    <w:p w14:paraId="13BACD23">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评审方法</w:t>
      </w:r>
    </w:p>
    <w:p w14:paraId="1F5CC380">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本项目采用的评审方法为：本项目的评审采用综合评分法。综合评分法，是指响应文件满足磋商文件全部实质性要求且按评审因素的量化指标评审得分最高的供应商为成交候选人的评审方法。</w:t>
      </w:r>
    </w:p>
    <w:p w14:paraId="069E0E5B">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竞争性磋商文件中没有规定的评审标准不得作为评审依据。</w:t>
      </w:r>
    </w:p>
    <w:p w14:paraId="11B16BB9">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确定</w:t>
      </w:r>
      <w:bookmarkStart w:id="516" w:name="_Toc164608660"/>
      <w:bookmarkStart w:id="517" w:name="_Toc195842911"/>
      <w:bookmarkStart w:id="518" w:name="_Toc151193860"/>
      <w:bookmarkStart w:id="519" w:name="_Toc164229241"/>
      <w:bookmarkStart w:id="520" w:name="_Toc151193644"/>
      <w:bookmarkStart w:id="521" w:name="_Ref467307010"/>
      <w:bookmarkStart w:id="522" w:name="_Toc151193716"/>
      <w:bookmarkStart w:id="523" w:name="_Toc305158814"/>
      <w:bookmarkStart w:id="524" w:name="_Toc226337242"/>
      <w:bookmarkStart w:id="525" w:name="_Toc226965736"/>
      <w:bookmarkStart w:id="526" w:name="_Toc127151747"/>
      <w:bookmarkStart w:id="527" w:name="_Toc164229387"/>
      <w:bookmarkStart w:id="528" w:name="_Toc127151546"/>
      <w:bookmarkStart w:id="529" w:name="_Toc150480784"/>
      <w:bookmarkStart w:id="530" w:name="_Toc264969236"/>
      <w:bookmarkStart w:id="531" w:name="_Toc520356170"/>
      <w:bookmarkStart w:id="532" w:name="_Toc226309790"/>
      <w:bookmarkStart w:id="533" w:name="_Toc151193934"/>
      <w:bookmarkStart w:id="534" w:name="_Toc226965819"/>
      <w:bookmarkStart w:id="535" w:name="_Toc164608815"/>
      <w:bookmarkStart w:id="536" w:name="_Toc305158888"/>
      <w:bookmarkStart w:id="537" w:name="_Toc265228384"/>
      <w:bookmarkStart w:id="538" w:name="_Toc127161460"/>
      <w:bookmarkStart w:id="539" w:name="_Toc151190173"/>
      <w:bookmarkStart w:id="540" w:name="_Toc150774646"/>
      <w:bookmarkStart w:id="541" w:name="_Toc142311048"/>
      <w:bookmarkStart w:id="542" w:name="_Toc164351640"/>
      <w:bookmarkStart w:id="543" w:name="_Toc151193788"/>
      <w:bookmarkStart w:id="544" w:name="_Toc150774751"/>
      <w:bookmarkStart w:id="545" w:name="_Toc149720839"/>
      <w:bookmarkStart w:id="546" w:name="_Toc150509297"/>
      <w:r>
        <w:rPr>
          <w:rFonts w:hint="eastAsia" w:ascii="宋体" w:hAnsi="宋体" w:eastAsia="宋体" w:cs="宋体"/>
          <w:sz w:val="24"/>
          <w:highlight w:val="none"/>
          <w:lang w:eastAsia="zh-CN"/>
        </w:rPr>
        <w:t>成交候选人名单</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6F9D9DE4">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磋商小组要对评分汇总情况进行复核，特别是对排名第一的、报价最低的、响应文件被认定为无效的情形进行重点复核。</w:t>
      </w:r>
    </w:p>
    <w:p w14:paraId="2744DDDC">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截至提交响应文件截止时间，供应商存在下列情形之一的，不得推荐为成交候选人，不得确定为成交供应商：</w:t>
      </w:r>
    </w:p>
    <w:p w14:paraId="5AAC818D">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（1）被人民法院列入失信被执行人名单的；</w:t>
      </w:r>
    </w:p>
    <w:p w14:paraId="7A98CF44">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（2）被税务机关列入重大税收违法失信主体名单的；</w:t>
      </w:r>
    </w:p>
    <w:p w14:paraId="255B501A">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（3）被财政部门列入政府采购严重违法失信行为记录名单的。</w:t>
      </w:r>
    </w:p>
    <w:p w14:paraId="6E70879C">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不良信用记录查询渠道如下：</w:t>
      </w:r>
    </w:p>
    <w:p w14:paraId="65A730EE">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（1）失信被执行人：信用中国官网（www.creditchina.gov.cn）</w:t>
      </w:r>
    </w:p>
    <w:p w14:paraId="1AE59345">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（2）重大税收违法案件当事人名单：信用中国官网（www.creditchina.gov.cn）</w:t>
      </w:r>
    </w:p>
    <w:p w14:paraId="3AA67190">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政府采购严重违法失信行为记录名单：中国政府采购网官网（www.ccgp.gov.cn）或其他指定媒介[国家税务总局官网（www.chinatax.gov.cn）、中华人民共和国最高人民法院官网（www.court.gov.cn）、国家企业信用信息公示系统官网（www.gsxt.gov.cn）]。</w:t>
      </w:r>
    </w:p>
    <w:p w14:paraId="0E3C5AEF">
      <w:pPr>
        <w:pageBreakBefore w:val="0"/>
        <w:kinsoku/>
        <w:wordWrap/>
        <w:overflowPunct w:val="0"/>
        <w:topLinePunct w:val="0"/>
        <w:bidi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 w:val="24"/>
          <w:highlight w:val="none"/>
          <w:lang w:eastAsia="zh-CN"/>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14:paraId="15CAE9B0">
      <w:pPr>
        <w:pageBreakBefore w:val="0"/>
        <w:kinsoku/>
        <w:wordWrap/>
        <w:overflowPunct w:val="0"/>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30AC217">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6.3</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磋商小组将根据各供应商的评审排序，依次推荐本项目（各标段）的成交候选人，起草并签署评审报告。</w:t>
      </w:r>
    </w:p>
    <w:p w14:paraId="490329F0">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注：评审结果汇总完成后，除下列情形外，任何人不得修改评审结果：</w:t>
      </w:r>
    </w:p>
    <w:p w14:paraId="6E920CD2">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（1）分值汇总计算错误的；</w:t>
      </w:r>
    </w:p>
    <w:p w14:paraId="798B796C">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（2）分项评分超出评分标准范围的；</w:t>
      </w:r>
    </w:p>
    <w:p w14:paraId="033D58CC">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（3）磋商小组成员对客观评审因素评分不一致的；</w:t>
      </w:r>
    </w:p>
    <w:p w14:paraId="62E02669">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（4）经磋商小组认定评分畸高、畸低的。</w:t>
      </w:r>
    </w:p>
    <w:p w14:paraId="6DCDAE00">
      <w:pPr>
        <w:pageBreakBefore w:val="0"/>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监管部门。</w:t>
      </w:r>
    </w:p>
    <w:p w14:paraId="47BF6222">
      <w:pPr>
        <w:pageBreakBefore w:val="0"/>
        <w:numPr>
          <w:ilvl w:val="0"/>
          <w:numId w:val="2"/>
        </w:numPr>
        <w:tabs>
          <w:tab w:val="left" w:pos="360"/>
        </w:tabs>
        <w:kinsoku/>
        <w:wordWrap/>
        <w:overflowPunct w:val="0"/>
        <w:topLinePunct w:val="0"/>
        <w:bidi w:val="0"/>
        <w:spacing w:line="360" w:lineRule="auto"/>
        <w:ind w:firstLine="480" w:firstLineChars="200"/>
        <w:outlineLvl w:val="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报告违法行为</w:t>
      </w:r>
    </w:p>
    <w:p w14:paraId="7C2518BA">
      <w:pPr>
        <w:pageBreakBefore w:val="0"/>
        <w:tabs>
          <w:tab w:val="left" w:pos="1080"/>
          <w:tab w:val="left" w:pos="1872"/>
        </w:tabs>
        <w:kinsoku/>
        <w:wordWrap/>
        <w:overflowPunct w:val="0"/>
        <w:topLinePunct w:val="0"/>
        <w:bidi w:val="0"/>
        <w:spacing w:line="360" w:lineRule="auto"/>
        <w:ind w:firstLine="480" w:firstLineChars="200"/>
        <w:rPr>
          <w:rFonts w:hint="eastAsia" w:ascii="宋体" w:hAnsi="宋体" w:eastAsia="宋体" w:cs="宋体"/>
          <w:b/>
          <w:sz w:val="24"/>
          <w:highlight w:val="none"/>
          <w:lang w:eastAsia="zh-CN"/>
        </w:rPr>
      </w:pPr>
      <w:r>
        <w:rPr>
          <w:rFonts w:hint="eastAsia" w:ascii="宋体" w:hAnsi="宋体" w:eastAsia="宋体" w:cs="宋体"/>
          <w:sz w:val="24"/>
          <w:highlight w:val="none"/>
          <w:lang w:eastAsia="zh-CN"/>
        </w:rPr>
        <w:t>磋商小组在评审过程中发现供应商有行贿、提供虚假材料或者串通等违法行为时，有向采购人、采购代理机构或者有关部门报告的职责。</w:t>
      </w:r>
    </w:p>
    <w:p w14:paraId="2D6ECCA1">
      <w:pPr>
        <w:pageBreakBefore w:val="0"/>
        <w:numPr>
          <w:ilvl w:val="0"/>
          <w:numId w:val="2"/>
        </w:numPr>
        <w:kinsoku/>
        <w:wordWrap/>
        <w:overflowPunct w:val="0"/>
        <w:topLinePunct w:val="0"/>
        <w:bidi w:val="0"/>
        <w:spacing w:line="360" w:lineRule="auto"/>
        <w:ind w:left="0" w:leftChars="0"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例外情况</w:t>
      </w:r>
    </w:p>
    <w:p w14:paraId="6E89B4CB">
      <w:pPr>
        <w:pageBreakBefore w:val="0"/>
        <w:kinsoku/>
        <w:wordWrap/>
        <w:overflowPunct w:val="0"/>
        <w:topLinePunct w:val="0"/>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磋商文件条款存在含义不清或者相互矛盾的，磋商小组应当按照《供应商须知前附表》解释权顺序作出结论。</w:t>
      </w:r>
    </w:p>
    <w:p w14:paraId="400CFB83">
      <w:pPr>
        <w:pageBreakBefore w:val="0"/>
        <w:kinsoku/>
        <w:wordWrap/>
        <w:overflowPunct w:val="0"/>
        <w:topLinePunct w:val="0"/>
        <w:bidi w:val="0"/>
        <w:spacing w:line="360" w:lineRule="auto"/>
        <w:ind w:firstLine="480" w:firstLineChars="200"/>
        <w:rPr>
          <w:rFonts w:hint="eastAsia" w:ascii="宋体" w:hAnsi="宋体" w:eastAsia="宋体" w:cs="宋体"/>
          <w:spacing w:val="8"/>
          <w:sz w:val="31"/>
          <w:szCs w:val="31"/>
          <w:highlight w:val="none"/>
          <w:lang w:eastAsia="zh-CN"/>
        </w:rPr>
      </w:pPr>
      <w:r>
        <w:rPr>
          <w:rFonts w:hint="eastAsia" w:ascii="宋体" w:hAnsi="宋体" w:eastAsia="宋体" w:cs="宋体"/>
          <w:sz w:val="24"/>
          <w:szCs w:val="24"/>
          <w:highlight w:val="none"/>
          <w:lang w:eastAsia="zh-CN"/>
        </w:rPr>
        <w:t>8.2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小组发现磋商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14:paraId="7C73DB36">
      <w:pPr>
        <w:pStyle w:val="8"/>
        <w:pageBreakBefore w:val="0"/>
        <w:kinsoku/>
        <w:wordWrap/>
        <w:overflowPunct w:val="0"/>
        <w:topLinePunct w:val="0"/>
        <w:bidi w:val="0"/>
        <w:spacing w:before="193" w:line="225" w:lineRule="auto"/>
        <w:jc w:val="center"/>
        <w:rPr>
          <w:rFonts w:hint="eastAsia" w:ascii="宋体" w:hAnsi="宋体" w:eastAsia="宋体" w:cs="宋体"/>
          <w:spacing w:val="8"/>
          <w:sz w:val="31"/>
          <w:szCs w:val="31"/>
          <w:highlight w:val="none"/>
          <w:lang w:eastAsia="zh-CN"/>
        </w:rPr>
      </w:pPr>
      <w:r>
        <w:rPr>
          <w:rFonts w:hint="eastAsia" w:ascii="宋体" w:hAnsi="宋体" w:eastAsia="宋体" w:cs="宋体"/>
          <w:sz w:val="24"/>
          <w:szCs w:val="24"/>
          <w:highlight w:val="none"/>
        </w:rPr>
        <w:t>二、评审标准</w:t>
      </w:r>
      <w:r>
        <w:rPr>
          <w:rFonts w:hint="eastAsia" w:cs="宋体"/>
          <w:sz w:val="24"/>
          <w:szCs w:val="24"/>
          <w:highlight w:val="none"/>
          <w:lang w:eastAsia="zh-CN"/>
        </w:rPr>
        <w:t>（</w:t>
      </w:r>
      <w:r>
        <w:rPr>
          <w:rFonts w:hint="eastAsia" w:cs="宋体"/>
          <w:sz w:val="24"/>
          <w:szCs w:val="24"/>
          <w:highlight w:val="none"/>
          <w:lang w:val="en-US" w:eastAsia="zh-CN"/>
        </w:rPr>
        <w:t>满分100分</w:t>
      </w:r>
      <w:r>
        <w:rPr>
          <w:rFonts w:hint="eastAsia" w:cs="宋体"/>
          <w:sz w:val="24"/>
          <w:szCs w:val="24"/>
          <w:highlight w:val="none"/>
          <w:lang w:eastAsia="zh-CN"/>
        </w:rPr>
        <w:t>）</w:t>
      </w:r>
    </w:p>
    <w:tbl>
      <w:tblPr>
        <w:tblStyle w:val="26"/>
        <w:tblW w:w="9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462"/>
        <w:gridCol w:w="7305"/>
      </w:tblGrid>
      <w:tr w14:paraId="0B396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840" w:type="dxa"/>
            <w:vAlign w:val="center"/>
          </w:tcPr>
          <w:p w14:paraId="41EE6D31">
            <w:pPr>
              <w:pStyle w:val="27"/>
              <w:pageBreakBefore w:val="0"/>
              <w:kinsoku/>
              <w:wordWrap/>
              <w:overflowPunct w:val="0"/>
              <w:topLinePunct w:val="0"/>
              <w:bidi w:val="0"/>
              <w:spacing w:line="209" w:lineRule="auto"/>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序号</w:t>
            </w:r>
          </w:p>
        </w:tc>
        <w:tc>
          <w:tcPr>
            <w:tcW w:w="1462" w:type="dxa"/>
          </w:tcPr>
          <w:p w14:paraId="0932A86F">
            <w:pPr>
              <w:pStyle w:val="27"/>
              <w:pageBreakBefore w:val="0"/>
              <w:kinsoku/>
              <w:wordWrap/>
              <w:overflowPunct w:val="0"/>
              <w:topLinePunct w:val="0"/>
              <w:bidi w:val="0"/>
              <w:spacing w:before="170" w:line="221" w:lineRule="auto"/>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评分因素</w:t>
            </w:r>
          </w:p>
        </w:tc>
        <w:tc>
          <w:tcPr>
            <w:tcW w:w="7305" w:type="dxa"/>
          </w:tcPr>
          <w:p w14:paraId="01DB83F1">
            <w:pPr>
              <w:pStyle w:val="27"/>
              <w:pageBreakBefore w:val="0"/>
              <w:kinsoku/>
              <w:wordWrap/>
              <w:overflowPunct w:val="0"/>
              <w:topLinePunct w:val="0"/>
              <w:bidi w:val="0"/>
              <w:spacing w:before="171" w:line="221" w:lineRule="auto"/>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评审标准</w:t>
            </w:r>
          </w:p>
        </w:tc>
      </w:tr>
      <w:tr w14:paraId="6C99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840" w:type="dxa"/>
            <w:tcBorders>
              <w:left w:val="single" w:color="auto" w:sz="4" w:space="0"/>
            </w:tcBorders>
            <w:vAlign w:val="center"/>
          </w:tcPr>
          <w:p w14:paraId="2CD8A289">
            <w:pPr>
              <w:pStyle w:val="27"/>
              <w:pageBreakBefore w:val="0"/>
              <w:kinsoku/>
              <w:wordWrap/>
              <w:overflowPunct w:val="0"/>
              <w:topLinePunct w:val="0"/>
              <w:bidi w:val="0"/>
              <w:spacing w:before="68" w:line="231" w:lineRule="auto"/>
              <w:ind w:right="179"/>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1</w:t>
            </w:r>
          </w:p>
        </w:tc>
        <w:tc>
          <w:tcPr>
            <w:tcW w:w="1462" w:type="dxa"/>
            <w:vAlign w:val="center"/>
          </w:tcPr>
          <w:p w14:paraId="06835537">
            <w:pPr>
              <w:pStyle w:val="27"/>
              <w:pageBreakBefore w:val="0"/>
              <w:kinsoku/>
              <w:wordWrap/>
              <w:overflowPunct w:val="0"/>
              <w:topLinePunct w:val="0"/>
              <w:bidi w:val="0"/>
              <w:spacing w:before="68" w:line="231" w:lineRule="auto"/>
              <w:ind w:right="179" w:rightChars="0"/>
              <w:jc w:val="center"/>
              <w:rPr>
                <w:rFonts w:hint="eastAsia" w:ascii="宋体" w:hAnsi="宋体" w:eastAsia="宋体"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企业业</w:t>
            </w:r>
            <w:r>
              <w:rPr>
                <w:rFonts w:hint="eastAsia" w:ascii="宋体" w:hAnsi="宋体" w:eastAsia="宋体" w:cs="宋体"/>
                <w:snapToGrid w:val="0"/>
                <w:color w:val="000000"/>
                <w:sz w:val="24"/>
                <w:szCs w:val="24"/>
                <w:highlight w:val="none"/>
                <w:lang w:val="en-US" w:eastAsia="zh-CN" w:bidi="ar-SA"/>
              </w:rPr>
              <w:t>绩</w:t>
            </w:r>
            <w:r>
              <w:rPr>
                <w:rFonts w:hint="eastAsia" w:cs="宋体"/>
                <w:snapToGrid w:val="0"/>
                <w:color w:val="000000"/>
                <w:sz w:val="24"/>
                <w:szCs w:val="24"/>
                <w:highlight w:val="none"/>
                <w:lang w:val="en-US" w:eastAsia="zh-CN" w:bidi="ar-SA"/>
              </w:rPr>
              <w:t>（15分）</w:t>
            </w:r>
          </w:p>
        </w:tc>
        <w:tc>
          <w:tcPr>
            <w:tcW w:w="7305" w:type="dxa"/>
            <w:vAlign w:val="top"/>
          </w:tcPr>
          <w:p w14:paraId="468CDD4E">
            <w:pPr>
              <w:pStyle w:val="27"/>
              <w:pageBreakBefore w:val="0"/>
              <w:kinsoku/>
              <w:wordWrap/>
              <w:overflowPunct w:val="0"/>
              <w:topLinePunct w:val="0"/>
              <w:bidi w:val="0"/>
              <w:spacing w:before="21" w:line="229" w:lineRule="auto"/>
              <w:ind w:left="59" w:right="56"/>
              <w:rPr>
                <w:rFonts w:hint="default" w:ascii="宋体" w:hAnsi="宋体" w:eastAsia="宋体" w:cs="宋体"/>
                <w:snapToGrid w:val="0"/>
                <w:color w:val="auto"/>
                <w:sz w:val="24"/>
                <w:szCs w:val="24"/>
                <w:highlight w:val="none"/>
                <w:lang w:val="en-US" w:eastAsia="zh-CN" w:bidi="ar-SA"/>
              </w:rPr>
            </w:pPr>
            <w:r>
              <w:rPr>
                <w:rFonts w:hint="eastAsia" w:cs="宋体"/>
                <w:snapToGrid w:val="0"/>
                <w:color w:val="auto"/>
                <w:sz w:val="24"/>
                <w:szCs w:val="24"/>
                <w:highlight w:val="none"/>
                <w:lang w:val="en-US" w:eastAsia="zh-CN" w:bidi="ar-SA"/>
              </w:rPr>
              <w:t>2</w:t>
            </w:r>
            <w:r>
              <w:rPr>
                <w:rFonts w:hint="eastAsia" w:ascii="宋体" w:hAnsi="宋体" w:eastAsia="宋体" w:cs="宋体"/>
                <w:snapToGrid w:val="0"/>
                <w:color w:val="auto"/>
                <w:sz w:val="24"/>
                <w:szCs w:val="24"/>
                <w:highlight w:val="none"/>
                <w:lang w:val="en-US" w:eastAsia="zh-CN" w:bidi="ar-SA"/>
              </w:rPr>
              <w:t>02</w:t>
            </w:r>
            <w:r>
              <w:rPr>
                <w:rFonts w:hint="eastAsia" w:cs="宋体"/>
                <w:snapToGrid w:val="0"/>
                <w:color w:val="auto"/>
                <w:sz w:val="24"/>
                <w:szCs w:val="24"/>
                <w:highlight w:val="none"/>
                <w:lang w:val="en-US" w:eastAsia="zh-CN" w:bidi="ar-SA"/>
              </w:rPr>
              <w:t>2</w:t>
            </w:r>
            <w:r>
              <w:rPr>
                <w:rFonts w:hint="eastAsia" w:ascii="宋体" w:hAnsi="宋体" w:eastAsia="宋体" w:cs="宋体"/>
                <w:snapToGrid w:val="0"/>
                <w:color w:val="auto"/>
                <w:sz w:val="24"/>
                <w:szCs w:val="24"/>
                <w:highlight w:val="none"/>
                <w:lang w:val="en-US" w:eastAsia="zh-CN" w:bidi="ar-SA"/>
              </w:rPr>
              <w:t>年1月1日以来（以合同签订时间为准）供应商每承担过一个类似工程施工业绩（类似工程指：建筑维修改造或装饰装修工程）得5分，满分</w:t>
            </w:r>
            <w:r>
              <w:rPr>
                <w:rFonts w:hint="eastAsia" w:cs="宋体"/>
                <w:snapToGrid w:val="0"/>
                <w:color w:val="auto"/>
                <w:sz w:val="24"/>
                <w:szCs w:val="24"/>
                <w:highlight w:val="none"/>
                <w:lang w:val="en-US" w:eastAsia="zh-CN" w:bidi="ar-SA"/>
              </w:rPr>
              <w:t>15</w:t>
            </w:r>
            <w:r>
              <w:rPr>
                <w:rFonts w:hint="eastAsia" w:ascii="宋体" w:hAnsi="宋体" w:eastAsia="宋体" w:cs="宋体"/>
                <w:snapToGrid w:val="0"/>
                <w:color w:val="auto"/>
                <w:sz w:val="24"/>
                <w:szCs w:val="24"/>
                <w:highlight w:val="none"/>
                <w:lang w:val="en-US" w:eastAsia="zh-CN" w:bidi="ar-SA"/>
              </w:rPr>
              <w:t>分</w:t>
            </w:r>
            <w:r>
              <w:rPr>
                <w:rFonts w:hint="eastAsia" w:cs="宋体"/>
                <w:snapToGrid w:val="0"/>
                <w:color w:val="auto"/>
                <w:sz w:val="24"/>
                <w:szCs w:val="24"/>
                <w:highlight w:val="none"/>
                <w:lang w:val="en-US" w:eastAsia="zh-CN" w:bidi="ar-SA"/>
              </w:rPr>
              <w:t>。</w:t>
            </w:r>
          </w:p>
          <w:p w14:paraId="73FD3245">
            <w:pPr>
              <w:pStyle w:val="27"/>
              <w:pageBreakBefore w:val="0"/>
              <w:kinsoku/>
              <w:wordWrap/>
              <w:overflowPunct w:val="0"/>
              <w:topLinePunct w:val="0"/>
              <w:bidi w:val="0"/>
              <w:spacing w:before="21" w:line="229" w:lineRule="auto"/>
              <w:ind w:left="59" w:right="56"/>
              <w:rPr>
                <w:rFonts w:hint="eastAsia" w:ascii="宋体" w:hAnsi="宋体" w:eastAsia="宋体" w:cs="宋体"/>
                <w:snapToGrid w:val="0"/>
                <w:color w:val="auto"/>
                <w:sz w:val="24"/>
                <w:szCs w:val="24"/>
                <w:highlight w:val="none"/>
                <w:lang w:val="en-US" w:eastAsia="zh-CN" w:bidi="ar-SA"/>
              </w:rPr>
            </w:pPr>
          </w:p>
          <w:p w14:paraId="5C370EE7">
            <w:pPr>
              <w:pStyle w:val="27"/>
              <w:pageBreakBefore w:val="0"/>
              <w:kinsoku/>
              <w:wordWrap/>
              <w:overflowPunct w:val="0"/>
              <w:topLinePunct w:val="0"/>
              <w:bidi w:val="0"/>
              <w:spacing w:before="21" w:line="229" w:lineRule="auto"/>
              <w:ind w:left="59" w:right="56"/>
              <w:rPr>
                <w:rFonts w:hint="eastAsia"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注：①业绩须提供施工合同和工程竣工验收材料，竣工验收资料</w:t>
            </w:r>
          </w:p>
          <w:p w14:paraId="4D0E95DD">
            <w:pPr>
              <w:pStyle w:val="27"/>
              <w:pageBreakBefore w:val="0"/>
              <w:kinsoku/>
              <w:wordWrap/>
              <w:overflowPunct w:val="0"/>
              <w:topLinePunct w:val="0"/>
              <w:bidi w:val="0"/>
              <w:spacing w:before="21" w:line="229" w:lineRule="auto"/>
              <w:ind w:left="59" w:right="56"/>
              <w:rPr>
                <w:rFonts w:hint="eastAsia"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指：竣工验收报告或竣工验收单或竣工验收备案表，复印件</w:t>
            </w:r>
            <w:r>
              <w:rPr>
                <w:rFonts w:hint="eastAsia" w:cs="宋体"/>
                <w:b/>
                <w:bCs/>
                <w:snapToGrid w:val="0"/>
                <w:color w:val="auto"/>
                <w:sz w:val="24"/>
                <w:szCs w:val="24"/>
                <w:highlight w:val="none"/>
                <w:lang w:val="en-US" w:eastAsia="zh-CN" w:bidi="ar-SA"/>
              </w:rPr>
              <w:t>装订在磋商</w:t>
            </w:r>
            <w:r>
              <w:rPr>
                <w:rFonts w:hint="eastAsia" w:ascii="宋体" w:hAnsi="宋体" w:eastAsia="宋体" w:cs="宋体"/>
                <w:b/>
                <w:bCs/>
                <w:snapToGrid w:val="0"/>
                <w:color w:val="auto"/>
                <w:sz w:val="24"/>
                <w:szCs w:val="24"/>
                <w:highlight w:val="none"/>
                <w:lang w:val="en-US" w:eastAsia="zh-CN" w:bidi="ar-SA"/>
              </w:rPr>
              <w:t>响应文件</w:t>
            </w:r>
            <w:r>
              <w:rPr>
                <w:rFonts w:hint="eastAsia" w:cs="宋体"/>
                <w:b/>
                <w:bCs/>
                <w:snapToGrid w:val="0"/>
                <w:color w:val="auto"/>
                <w:sz w:val="24"/>
                <w:szCs w:val="24"/>
                <w:highlight w:val="none"/>
                <w:lang w:val="en-US" w:eastAsia="zh-CN" w:bidi="ar-SA"/>
              </w:rPr>
              <w:t>，</w:t>
            </w:r>
            <w:r>
              <w:rPr>
                <w:rFonts w:hint="eastAsia" w:ascii="宋体" w:hAnsi="宋体" w:eastAsia="宋体" w:cs="宋体"/>
                <w:b/>
                <w:bCs/>
                <w:snapToGrid w:val="0"/>
                <w:color w:val="auto"/>
                <w:sz w:val="24"/>
                <w:szCs w:val="24"/>
                <w:highlight w:val="none"/>
                <w:lang w:val="en-US" w:eastAsia="zh-CN" w:bidi="ar-SA"/>
              </w:rPr>
              <w:t>否则不予计分</w:t>
            </w:r>
            <w:r>
              <w:rPr>
                <w:rFonts w:hint="eastAsia" w:cs="宋体"/>
                <w:b/>
                <w:bCs/>
                <w:snapToGrid w:val="0"/>
                <w:color w:val="auto"/>
                <w:sz w:val="24"/>
                <w:szCs w:val="24"/>
                <w:highlight w:val="none"/>
                <w:lang w:val="en-US" w:eastAsia="zh-CN" w:bidi="ar-SA"/>
              </w:rPr>
              <w:t>；</w:t>
            </w:r>
          </w:p>
          <w:p w14:paraId="4808529F">
            <w:pPr>
              <w:pStyle w:val="27"/>
              <w:pageBreakBefore w:val="0"/>
              <w:kinsoku/>
              <w:wordWrap/>
              <w:overflowPunct w:val="0"/>
              <w:topLinePunct w:val="0"/>
              <w:bidi w:val="0"/>
              <w:spacing w:before="21" w:line="229" w:lineRule="auto"/>
              <w:ind w:left="59" w:right="56"/>
              <w:rPr>
                <w:rFonts w:hint="eastAsia"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②响应企业业绩，仅限以磋商响应单位名称的法人（不含子公司）所取得的业绩；</w:t>
            </w:r>
          </w:p>
          <w:p w14:paraId="016982F6">
            <w:pPr>
              <w:pStyle w:val="27"/>
              <w:pageBreakBefore w:val="0"/>
              <w:kinsoku/>
              <w:wordWrap/>
              <w:overflowPunct w:val="0"/>
              <w:topLinePunct w:val="0"/>
              <w:bidi w:val="0"/>
              <w:spacing w:before="21" w:line="229" w:lineRule="auto"/>
              <w:ind w:left="59" w:right="56"/>
              <w:rPr>
                <w:rFonts w:hint="eastAsia"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③若响应单位名称等信息发生过变更，以至于影响到上述业绩评审时，应提供响应企业注册所在地市场监督部门出具的有效证明文件；</w:t>
            </w:r>
          </w:p>
          <w:p w14:paraId="3BBBE861">
            <w:pPr>
              <w:pStyle w:val="27"/>
              <w:pageBreakBefore w:val="0"/>
              <w:kinsoku/>
              <w:wordWrap/>
              <w:overflowPunct w:val="0"/>
              <w:topLinePunct w:val="0"/>
              <w:bidi w:val="0"/>
              <w:spacing w:before="21" w:line="229" w:lineRule="auto"/>
              <w:ind w:left="59" w:right="56"/>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④若合同中未清楚的反映业绩评审因素，响应文件中需提供合同甲方出具的相关证明材料扫描件。出具相关证明材料的单位名称与合同甲方名称一致，且符合以上要求，否则磋商小组不予计分，相关证明材料格式自拟</w:t>
            </w:r>
            <w:r>
              <w:rPr>
                <w:rFonts w:hint="eastAsia" w:cs="宋体"/>
                <w:b/>
                <w:bCs/>
                <w:snapToGrid w:val="0"/>
                <w:color w:val="auto"/>
                <w:sz w:val="24"/>
                <w:szCs w:val="24"/>
                <w:highlight w:val="none"/>
                <w:lang w:val="en-US" w:eastAsia="zh-CN" w:bidi="ar-SA"/>
              </w:rPr>
              <w:t>。</w:t>
            </w:r>
          </w:p>
        </w:tc>
      </w:tr>
      <w:tr w14:paraId="19EC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9" w:hRule="atLeast"/>
          <w:jc w:val="center"/>
        </w:trPr>
        <w:tc>
          <w:tcPr>
            <w:tcW w:w="840" w:type="dxa"/>
            <w:tcBorders>
              <w:left w:val="single" w:color="auto" w:sz="4" w:space="0"/>
            </w:tcBorders>
            <w:vAlign w:val="center"/>
          </w:tcPr>
          <w:p w14:paraId="5279D408">
            <w:pPr>
              <w:pStyle w:val="27"/>
              <w:pageBreakBefore w:val="0"/>
              <w:kinsoku/>
              <w:wordWrap/>
              <w:overflowPunct w:val="0"/>
              <w:topLinePunct w:val="0"/>
              <w:bidi w:val="0"/>
              <w:spacing w:before="68" w:line="231" w:lineRule="auto"/>
              <w:ind w:right="179"/>
              <w:jc w:val="center"/>
              <w:rPr>
                <w:rFonts w:hint="default" w:ascii="宋体" w:hAnsi="宋体" w:eastAsia="宋体"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2</w:t>
            </w:r>
          </w:p>
        </w:tc>
        <w:tc>
          <w:tcPr>
            <w:tcW w:w="1462" w:type="dxa"/>
            <w:vAlign w:val="center"/>
          </w:tcPr>
          <w:p w14:paraId="3491E0ED">
            <w:pPr>
              <w:pStyle w:val="27"/>
              <w:pageBreakBefore w:val="0"/>
              <w:kinsoku/>
              <w:wordWrap/>
              <w:overflowPunct w:val="0"/>
              <w:topLinePunct w:val="0"/>
              <w:bidi w:val="0"/>
              <w:spacing w:before="68" w:line="231" w:lineRule="auto"/>
              <w:ind w:right="179" w:rightChars="0"/>
              <w:jc w:val="center"/>
              <w:rPr>
                <w:rFonts w:hint="eastAsia"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拟派项目经理业绩</w:t>
            </w:r>
          </w:p>
          <w:p w14:paraId="730C3AF7">
            <w:pPr>
              <w:pStyle w:val="27"/>
              <w:pageBreakBefore w:val="0"/>
              <w:kinsoku/>
              <w:wordWrap/>
              <w:overflowPunct w:val="0"/>
              <w:topLinePunct w:val="0"/>
              <w:bidi w:val="0"/>
              <w:spacing w:before="68" w:line="231" w:lineRule="auto"/>
              <w:ind w:right="179" w:rightChars="0"/>
              <w:jc w:val="center"/>
              <w:rPr>
                <w:rFonts w:hint="default"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（10分）</w:t>
            </w:r>
          </w:p>
        </w:tc>
        <w:tc>
          <w:tcPr>
            <w:tcW w:w="7305" w:type="dxa"/>
            <w:vAlign w:val="top"/>
          </w:tcPr>
          <w:p w14:paraId="17A99933">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自202</w:t>
            </w:r>
            <w:r>
              <w:rPr>
                <w:rFonts w:hint="eastAsia"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年1月1日以来（以合同签订时间为准），拟派项目经理具有一个类似工程施工业绩（类似工程指：建筑维修改造或装饰装修工程），</w:t>
            </w:r>
            <w:r>
              <w:rPr>
                <w:rFonts w:hint="eastAsia" w:ascii="宋体" w:hAnsi="宋体" w:eastAsia="宋体" w:cs="宋体"/>
                <w:b w:val="0"/>
                <w:bCs w:val="0"/>
                <w:color w:val="000000"/>
                <w:sz w:val="24"/>
                <w:szCs w:val="24"/>
                <w:highlight w:val="none"/>
                <w:lang w:val="en-US" w:eastAsia="zh-CN"/>
              </w:rPr>
              <w:t>每提供一个得</w:t>
            </w:r>
            <w:r>
              <w:rPr>
                <w:rFonts w:hint="eastAsia" w:ascii="宋体" w:hAnsi="宋体" w:eastAsia="宋体" w:cs="宋体"/>
                <w:b w:val="0"/>
                <w:bCs w:val="0"/>
                <w:color w:val="000000"/>
                <w:sz w:val="24"/>
                <w:szCs w:val="24"/>
                <w:highlight w:val="none"/>
              </w:rPr>
              <w:t>5分，满分</w:t>
            </w:r>
            <w:r>
              <w:rPr>
                <w:rFonts w:hint="eastAsia" w:cs="宋体"/>
                <w:b w:val="0"/>
                <w:bCs w:val="0"/>
                <w:color w:val="000000"/>
                <w:sz w:val="24"/>
                <w:szCs w:val="24"/>
                <w:highlight w:val="none"/>
                <w:lang w:val="en-US" w:eastAsia="zh-CN"/>
              </w:rPr>
              <w:t>10</w:t>
            </w:r>
            <w:r>
              <w:rPr>
                <w:rFonts w:hint="eastAsia" w:ascii="宋体" w:hAnsi="宋体" w:eastAsia="宋体" w:cs="宋体"/>
                <w:b w:val="0"/>
                <w:bCs w:val="0"/>
                <w:color w:val="000000"/>
                <w:sz w:val="24"/>
                <w:szCs w:val="24"/>
                <w:highlight w:val="none"/>
              </w:rPr>
              <w:t>分。</w:t>
            </w:r>
          </w:p>
          <w:p w14:paraId="528D3478">
            <w:pPr>
              <w:pStyle w:val="27"/>
              <w:pageBreakBefore w:val="0"/>
              <w:kinsoku/>
              <w:wordWrap/>
              <w:overflowPunct w:val="0"/>
              <w:topLinePunct w:val="0"/>
              <w:bidi w:val="0"/>
              <w:spacing w:before="21" w:line="229" w:lineRule="auto"/>
              <w:ind w:left="59" w:right="56"/>
              <w:rPr>
                <w:rFonts w:hint="eastAsia" w:ascii="宋体" w:hAnsi="宋体" w:eastAsia="宋体" w:cs="宋体"/>
                <w:b/>
                <w:bCs/>
                <w:color w:val="000000"/>
                <w:sz w:val="24"/>
                <w:szCs w:val="24"/>
                <w:highlight w:val="none"/>
              </w:rPr>
            </w:pPr>
          </w:p>
          <w:p w14:paraId="36A1A551">
            <w:pPr>
              <w:pStyle w:val="27"/>
              <w:pageBreakBefore w:val="0"/>
              <w:kinsoku/>
              <w:wordWrap/>
              <w:overflowPunct w:val="0"/>
              <w:topLinePunct w:val="0"/>
              <w:bidi w:val="0"/>
              <w:spacing w:before="21" w:line="229" w:lineRule="auto"/>
              <w:ind w:left="59" w:right="56"/>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注：①业绩须提供施工合同和工程竣工验收材料，竣工验收资料指：竣工验收报告或竣工验收单或竣工验收备案表，复印件</w:t>
            </w:r>
            <w:r>
              <w:rPr>
                <w:rFonts w:hint="eastAsia" w:ascii="宋体" w:hAnsi="宋体" w:eastAsia="宋体" w:cs="宋体"/>
                <w:b/>
                <w:bCs/>
                <w:color w:val="000000"/>
                <w:sz w:val="24"/>
                <w:szCs w:val="24"/>
                <w:highlight w:val="none"/>
                <w:lang w:val="en-US" w:eastAsia="zh-CN"/>
              </w:rPr>
              <w:t>装订在磋商</w:t>
            </w:r>
            <w:r>
              <w:rPr>
                <w:rFonts w:hint="eastAsia" w:ascii="宋体" w:hAnsi="宋体" w:eastAsia="宋体" w:cs="宋体"/>
                <w:b/>
                <w:bCs/>
                <w:color w:val="000000"/>
                <w:sz w:val="24"/>
                <w:szCs w:val="24"/>
                <w:highlight w:val="none"/>
              </w:rPr>
              <w:t>响应文件</w:t>
            </w:r>
            <w:r>
              <w:rPr>
                <w:rFonts w:hint="eastAsia" w:ascii="宋体" w:hAnsi="宋体" w:eastAsia="宋体" w:cs="宋体"/>
                <w:b/>
                <w:bCs/>
                <w:color w:val="000000"/>
                <w:sz w:val="24"/>
                <w:szCs w:val="24"/>
                <w:highlight w:val="none"/>
                <w:lang w:val="en-US" w:eastAsia="zh-CN"/>
              </w:rPr>
              <w:t>内，</w:t>
            </w:r>
            <w:r>
              <w:rPr>
                <w:rFonts w:hint="eastAsia" w:ascii="宋体" w:hAnsi="宋体" w:eastAsia="宋体" w:cs="宋体"/>
                <w:b/>
                <w:bCs/>
                <w:color w:val="000000"/>
                <w:sz w:val="24"/>
                <w:szCs w:val="24"/>
                <w:highlight w:val="none"/>
              </w:rPr>
              <w:t>否则不予计分。</w:t>
            </w:r>
          </w:p>
          <w:p w14:paraId="3F121BFA">
            <w:pPr>
              <w:pStyle w:val="27"/>
              <w:pageBreakBefore w:val="0"/>
              <w:kinsoku/>
              <w:wordWrap/>
              <w:overflowPunct w:val="0"/>
              <w:topLinePunct w:val="0"/>
              <w:bidi w:val="0"/>
              <w:spacing w:before="21" w:line="229" w:lineRule="auto"/>
              <w:ind w:left="59" w:right="56"/>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②拟派项目经理须与工程完（或交、或竣）工验收资料中注明的项目经理姓名一致。</w:t>
            </w:r>
          </w:p>
          <w:p w14:paraId="046E6D9D">
            <w:pPr>
              <w:pStyle w:val="27"/>
              <w:pageBreakBefore w:val="0"/>
              <w:kinsoku/>
              <w:wordWrap/>
              <w:overflowPunct w:val="0"/>
              <w:topLinePunct w:val="0"/>
              <w:bidi w:val="0"/>
              <w:spacing w:before="21" w:line="229" w:lineRule="auto"/>
              <w:ind w:left="59" w:right="56"/>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③若合同及验收材料中均未清楚的反映业绩评审因素，响应文件中需提供合同甲方出具的相关证明材料扫描件。出具相关证明材料的单位名称与合同甲方名称一致，且符合以上要求，否则磋商小组不予计分，相关证明材料格式自拟。</w:t>
            </w:r>
          </w:p>
          <w:p w14:paraId="44FF425B">
            <w:pPr>
              <w:pStyle w:val="27"/>
              <w:pageBreakBefore w:val="0"/>
              <w:kinsoku/>
              <w:wordWrap/>
              <w:overflowPunct w:val="0"/>
              <w:topLinePunct w:val="0"/>
              <w:bidi w:val="0"/>
              <w:spacing w:before="21" w:line="229" w:lineRule="auto"/>
              <w:ind w:left="59" w:right="56"/>
              <w:rPr>
                <w:rFonts w:hint="eastAsia" w:ascii="宋体" w:hAnsi="宋体" w:eastAsia="宋体" w:cs="宋体"/>
                <w:b/>
                <w:bCs/>
                <w:snapToGrid w:val="0"/>
                <w:color w:val="auto"/>
                <w:sz w:val="24"/>
                <w:szCs w:val="24"/>
                <w:highlight w:val="none"/>
                <w:lang w:val="en-US" w:eastAsia="zh-CN" w:bidi="ar-SA"/>
              </w:rPr>
            </w:pPr>
            <w:r>
              <w:rPr>
                <w:rFonts w:hint="eastAsia" w:ascii="宋体" w:hAnsi="宋体" w:eastAsia="宋体" w:cs="宋体"/>
                <w:b/>
                <w:bCs/>
                <w:color w:val="000000"/>
                <w:sz w:val="24"/>
                <w:szCs w:val="24"/>
                <w:highlight w:val="none"/>
              </w:rPr>
              <w:t>④项目经理业绩与企业业绩可重复</w:t>
            </w:r>
            <w:r>
              <w:rPr>
                <w:rFonts w:hint="eastAsia" w:cs="宋体"/>
                <w:b/>
                <w:bCs/>
                <w:color w:val="000000"/>
                <w:sz w:val="24"/>
                <w:szCs w:val="24"/>
                <w:highlight w:val="none"/>
                <w:lang w:val="en-US" w:eastAsia="zh-CN"/>
              </w:rPr>
              <w:t>计分。</w:t>
            </w:r>
          </w:p>
        </w:tc>
      </w:tr>
      <w:tr w14:paraId="1805B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6" w:hRule="atLeast"/>
          <w:jc w:val="center"/>
        </w:trPr>
        <w:tc>
          <w:tcPr>
            <w:tcW w:w="840" w:type="dxa"/>
            <w:tcBorders>
              <w:left w:val="single" w:color="auto" w:sz="4" w:space="0"/>
            </w:tcBorders>
            <w:vAlign w:val="center"/>
          </w:tcPr>
          <w:p w14:paraId="76F0D4C9">
            <w:pPr>
              <w:pStyle w:val="27"/>
              <w:pageBreakBefore w:val="0"/>
              <w:kinsoku/>
              <w:wordWrap/>
              <w:overflowPunct w:val="0"/>
              <w:topLinePunct w:val="0"/>
              <w:bidi w:val="0"/>
              <w:spacing w:before="68" w:line="231" w:lineRule="auto"/>
              <w:ind w:right="179"/>
              <w:jc w:val="center"/>
              <w:rPr>
                <w:rFonts w:hint="default"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3</w:t>
            </w:r>
          </w:p>
        </w:tc>
        <w:tc>
          <w:tcPr>
            <w:tcW w:w="1462" w:type="dxa"/>
            <w:shd w:val="clear" w:color="auto" w:fill="auto"/>
            <w:vAlign w:val="center"/>
          </w:tcPr>
          <w:p w14:paraId="78062D8F">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企业荣誉</w:t>
            </w:r>
          </w:p>
          <w:p w14:paraId="0627C821">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jc w:val="center"/>
              <w:textAlignment w:val="auto"/>
              <w:rPr>
                <w:rFonts w:hint="eastAsia" w:ascii="宋体" w:hAnsi="宋体" w:eastAsia="宋体" w:cs="宋体"/>
                <w:snapToGrid w:val="0"/>
                <w:color w:val="auto"/>
                <w:sz w:val="24"/>
                <w:szCs w:val="21"/>
                <w:highlight w:val="none"/>
                <w:lang w:val="en-US" w:eastAsia="zh-CN" w:bidi="ar-SA"/>
              </w:rPr>
            </w:pPr>
            <w:r>
              <w:rPr>
                <w:rFonts w:hint="eastAsia" w:ascii="宋体" w:hAnsi="宋体" w:cs="宋体"/>
                <w:color w:val="auto"/>
                <w:sz w:val="24"/>
                <w:highlight w:val="none"/>
                <w:lang w:val="en-US" w:eastAsia="zh-CN"/>
              </w:rPr>
              <w:t>（15分）</w:t>
            </w:r>
          </w:p>
        </w:tc>
        <w:tc>
          <w:tcPr>
            <w:tcW w:w="7305" w:type="dxa"/>
            <w:shd w:val="clear" w:color="auto" w:fill="auto"/>
            <w:vAlign w:val="center"/>
          </w:tcPr>
          <w:p w14:paraId="14178EB4">
            <w:pPr>
              <w:pStyle w:val="27"/>
              <w:keepNext w:val="0"/>
              <w:keepLines w:val="0"/>
              <w:pageBreakBefore w:val="0"/>
              <w:widowControl/>
              <w:kinsoku/>
              <w:wordWrap/>
              <w:overflowPunct w:val="0"/>
              <w:topLinePunct/>
              <w:autoSpaceDE w:val="0"/>
              <w:autoSpaceDN w:val="0"/>
              <w:bidi w:val="0"/>
              <w:adjustRightInd w:val="0"/>
              <w:snapToGrid w:val="0"/>
              <w:spacing w:before="21" w:line="229" w:lineRule="auto"/>
              <w:ind w:left="59" w:right="56"/>
              <w:textAlignment w:val="baseline"/>
              <w:rPr>
                <w:rFonts w:hint="default" w:ascii="宋体" w:hAnsi="宋体" w:eastAsia="宋体" w:cs="宋体"/>
                <w:b w:val="0"/>
                <w:bCs w:val="0"/>
                <w:color w:val="000000"/>
                <w:sz w:val="24"/>
                <w:szCs w:val="24"/>
                <w:highlight w:val="none"/>
                <w:lang w:val="en-US" w:eastAsia="zh-CN"/>
              </w:rPr>
            </w:pPr>
            <w:r>
              <w:rPr>
                <w:rFonts w:hint="default" w:ascii="宋体" w:hAnsi="宋体" w:eastAsia="宋体" w:cs="宋体"/>
                <w:b w:val="0"/>
                <w:bCs w:val="0"/>
                <w:color w:val="000000"/>
                <w:sz w:val="24"/>
                <w:szCs w:val="24"/>
                <w:highlight w:val="none"/>
                <w:lang w:val="en-US" w:eastAsia="zh-CN"/>
              </w:rPr>
              <w:t>自202</w:t>
            </w:r>
            <w:r>
              <w:rPr>
                <w:rFonts w:hint="eastAsia" w:ascii="宋体" w:hAnsi="宋体" w:eastAsia="宋体" w:cs="宋体"/>
                <w:b w:val="0"/>
                <w:bCs w:val="0"/>
                <w:color w:val="000000"/>
                <w:sz w:val="24"/>
                <w:szCs w:val="24"/>
                <w:highlight w:val="none"/>
                <w:lang w:val="en-US" w:eastAsia="zh-CN"/>
              </w:rPr>
              <w:t>2</w:t>
            </w:r>
            <w:r>
              <w:rPr>
                <w:rFonts w:hint="default" w:ascii="宋体" w:hAnsi="宋体" w:eastAsia="宋体" w:cs="宋体"/>
                <w:b w:val="0"/>
                <w:bCs w:val="0"/>
                <w:color w:val="000000"/>
                <w:sz w:val="24"/>
                <w:szCs w:val="24"/>
                <w:highlight w:val="none"/>
                <w:lang w:val="en-US" w:eastAsia="zh-CN"/>
              </w:rPr>
              <w:t>年1月1日以来（以获奖证书(或获奖件)落款(签署)时间为准），供应商获得过</w:t>
            </w:r>
            <w:r>
              <w:rPr>
                <w:rFonts w:hint="eastAsia" w:cs="宋体"/>
                <w:b w:val="0"/>
                <w:bCs w:val="0"/>
                <w:color w:val="000000"/>
                <w:sz w:val="24"/>
                <w:szCs w:val="24"/>
                <w:highlight w:val="none"/>
                <w:lang w:val="en-US" w:eastAsia="zh-CN"/>
              </w:rPr>
              <w:t>行业</w:t>
            </w:r>
            <w:r>
              <w:rPr>
                <w:rFonts w:hint="default" w:ascii="宋体" w:hAnsi="宋体" w:eastAsia="宋体" w:cs="宋体"/>
                <w:b w:val="0"/>
                <w:bCs w:val="0"/>
                <w:color w:val="000000"/>
                <w:sz w:val="24"/>
                <w:szCs w:val="24"/>
                <w:highlight w:val="none"/>
                <w:lang w:val="en-US" w:eastAsia="zh-CN"/>
              </w:rPr>
              <w:t>行政主管部门颁发的企业荣誉称号的，每提供一份证明材料得5分，满分1</w:t>
            </w:r>
            <w:r>
              <w:rPr>
                <w:rFonts w:hint="eastAsia" w:ascii="宋体" w:hAnsi="宋体" w:eastAsia="宋体" w:cs="宋体"/>
                <w:b w:val="0"/>
                <w:bCs w:val="0"/>
                <w:color w:val="000000"/>
                <w:sz w:val="24"/>
                <w:szCs w:val="24"/>
                <w:highlight w:val="none"/>
                <w:lang w:val="en-US" w:eastAsia="zh-CN"/>
              </w:rPr>
              <w:t>5</w:t>
            </w:r>
            <w:r>
              <w:rPr>
                <w:rFonts w:hint="default" w:ascii="宋体" w:hAnsi="宋体" w:eastAsia="宋体" w:cs="宋体"/>
                <w:b w:val="0"/>
                <w:bCs w:val="0"/>
                <w:color w:val="000000"/>
                <w:sz w:val="24"/>
                <w:szCs w:val="24"/>
                <w:highlight w:val="none"/>
                <w:lang w:val="en-US" w:eastAsia="zh-CN"/>
              </w:rPr>
              <w:t>分。</w:t>
            </w:r>
          </w:p>
          <w:p w14:paraId="70A1F6EA">
            <w:pPr>
              <w:pStyle w:val="27"/>
              <w:keepNext w:val="0"/>
              <w:keepLines w:val="0"/>
              <w:pageBreakBefore w:val="0"/>
              <w:widowControl/>
              <w:kinsoku/>
              <w:wordWrap/>
              <w:overflowPunct w:val="0"/>
              <w:topLinePunct/>
              <w:autoSpaceDE w:val="0"/>
              <w:autoSpaceDN w:val="0"/>
              <w:bidi w:val="0"/>
              <w:adjustRightInd w:val="0"/>
              <w:snapToGrid w:val="0"/>
              <w:spacing w:before="21" w:line="229" w:lineRule="auto"/>
              <w:ind w:left="59" w:right="56"/>
              <w:textAlignment w:val="baseline"/>
              <w:rPr>
                <w:rFonts w:hint="default" w:ascii="宋体" w:hAnsi="宋体" w:eastAsia="宋体" w:cs="宋体"/>
                <w:b/>
                <w:bCs/>
                <w:color w:val="000000"/>
                <w:sz w:val="24"/>
                <w:szCs w:val="24"/>
                <w:highlight w:val="none"/>
                <w:lang w:val="en-US" w:eastAsia="zh-CN"/>
              </w:rPr>
            </w:pPr>
          </w:p>
          <w:p w14:paraId="050C39FB">
            <w:pPr>
              <w:pStyle w:val="27"/>
              <w:keepNext w:val="0"/>
              <w:keepLines w:val="0"/>
              <w:pageBreakBefore w:val="0"/>
              <w:widowControl/>
              <w:kinsoku/>
              <w:wordWrap/>
              <w:overflowPunct w:val="0"/>
              <w:topLinePunct/>
              <w:autoSpaceDE w:val="0"/>
              <w:autoSpaceDN w:val="0"/>
              <w:bidi w:val="0"/>
              <w:adjustRightInd w:val="0"/>
              <w:snapToGrid w:val="0"/>
              <w:spacing w:before="21" w:line="229" w:lineRule="auto"/>
              <w:ind w:left="59" w:right="56"/>
              <w:textAlignment w:val="baseline"/>
              <w:rPr>
                <w:rFonts w:hint="eastAsia" w:ascii="宋体" w:hAnsi="宋体" w:eastAsia="宋体" w:cs="宋体"/>
                <w:b/>
                <w:bCs/>
                <w:snapToGrid w:val="0"/>
                <w:color w:val="auto"/>
                <w:sz w:val="24"/>
                <w:szCs w:val="21"/>
                <w:highlight w:val="none"/>
                <w:lang w:val="en-US" w:eastAsia="zh-CN" w:bidi="ar-SA"/>
              </w:rPr>
            </w:pPr>
            <w:r>
              <w:rPr>
                <w:rFonts w:hint="default" w:ascii="宋体" w:hAnsi="宋体" w:eastAsia="宋体" w:cs="宋体"/>
                <w:b/>
                <w:bCs/>
                <w:color w:val="000000"/>
                <w:sz w:val="24"/>
                <w:szCs w:val="24"/>
                <w:highlight w:val="none"/>
                <w:lang w:val="en-US" w:eastAsia="zh-CN"/>
              </w:rPr>
              <w:t>注:①荣誉时间以发证(文)单位落款日期为准；②荣誉证书(或文件)不足以明确显示单位名称时，须同时提供(文)单位证明文件作为附件；③凡所获荣誉称号注明有效期的，超出该有效期的，该项不得分；④若荣誉已评选公示，但暂未发文或发证的，可提供颁奖单位官方网站发布的公示名单截图(截图中必须能明确显示网址、单位名称)。</w:t>
            </w:r>
          </w:p>
        </w:tc>
      </w:tr>
      <w:tr w14:paraId="3398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40" w:type="dxa"/>
            <w:tcBorders>
              <w:left w:val="single" w:color="auto" w:sz="4" w:space="0"/>
            </w:tcBorders>
            <w:vAlign w:val="center"/>
          </w:tcPr>
          <w:p w14:paraId="13E0EE9F">
            <w:pPr>
              <w:pStyle w:val="27"/>
              <w:pageBreakBefore w:val="0"/>
              <w:kinsoku/>
              <w:wordWrap/>
              <w:overflowPunct w:val="0"/>
              <w:topLinePunct w:val="0"/>
              <w:bidi w:val="0"/>
              <w:spacing w:before="68" w:line="231" w:lineRule="auto"/>
              <w:ind w:right="179"/>
              <w:jc w:val="center"/>
              <w:rPr>
                <w:rFonts w:hint="default" w:ascii="宋体" w:hAnsi="宋体" w:eastAsia="宋体"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4</w:t>
            </w:r>
          </w:p>
        </w:tc>
        <w:tc>
          <w:tcPr>
            <w:tcW w:w="1462" w:type="dxa"/>
            <w:vAlign w:val="center"/>
          </w:tcPr>
          <w:p w14:paraId="53EE2C0D">
            <w:pPr>
              <w:pStyle w:val="27"/>
              <w:pageBreakBefore w:val="0"/>
              <w:kinsoku/>
              <w:wordWrap/>
              <w:overflowPunct w:val="0"/>
              <w:topLinePunct w:val="0"/>
              <w:bidi w:val="0"/>
              <w:spacing w:before="68" w:line="231" w:lineRule="auto"/>
              <w:ind w:right="179" w:rightChars="0"/>
              <w:jc w:val="center"/>
              <w:rPr>
                <w:rFonts w:hint="default" w:ascii="宋体" w:hAnsi="宋体" w:eastAsia="宋体" w:cs="宋体"/>
                <w:snapToGrid w:val="0"/>
                <w:color w:val="000000"/>
                <w:sz w:val="24"/>
                <w:szCs w:val="24"/>
                <w:highlight w:val="none"/>
                <w:lang w:val="en-US" w:eastAsia="zh-CN" w:bidi="ar-SA"/>
              </w:rPr>
            </w:pPr>
            <w:r>
              <w:rPr>
                <w:rFonts w:hint="default" w:ascii="宋体" w:hAnsi="宋体" w:eastAsia="宋体" w:cs="宋体"/>
                <w:snapToGrid w:val="0"/>
                <w:color w:val="000000"/>
                <w:sz w:val="24"/>
                <w:szCs w:val="24"/>
                <w:highlight w:val="none"/>
                <w:lang w:val="en-US" w:eastAsia="zh-CN" w:bidi="ar-SA"/>
              </w:rPr>
              <w:t>项目团队人员</w:t>
            </w:r>
            <w:r>
              <w:rPr>
                <w:rFonts w:hint="eastAsia" w:cs="宋体"/>
                <w:snapToGrid w:val="0"/>
                <w:color w:val="000000"/>
                <w:sz w:val="24"/>
                <w:szCs w:val="24"/>
                <w:highlight w:val="none"/>
                <w:lang w:val="en-US" w:eastAsia="zh-CN" w:bidi="ar-SA"/>
              </w:rPr>
              <w:t>（10分）</w:t>
            </w:r>
          </w:p>
        </w:tc>
        <w:tc>
          <w:tcPr>
            <w:tcW w:w="7305" w:type="dxa"/>
            <w:vAlign w:val="top"/>
          </w:tcPr>
          <w:p w14:paraId="04DE0DA4">
            <w:pPr>
              <w:pStyle w:val="27"/>
              <w:keepNext w:val="0"/>
              <w:keepLines w:val="0"/>
              <w:pageBreakBefore w:val="0"/>
              <w:widowControl/>
              <w:kinsoku/>
              <w:wordWrap/>
              <w:overflowPunct w:val="0"/>
              <w:topLinePunct/>
              <w:autoSpaceDE w:val="0"/>
              <w:autoSpaceDN w:val="0"/>
              <w:bidi w:val="0"/>
              <w:adjustRightInd w:val="0"/>
              <w:snapToGrid w:val="0"/>
              <w:spacing w:before="21" w:line="229" w:lineRule="auto"/>
              <w:ind w:left="59" w:right="56"/>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snapToGrid w:val="0"/>
                <w:color w:val="auto"/>
                <w:sz w:val="24"/>
                <w:szCs w:val="24"/>
                <w:highlight w:val="none"/>
                <w:lang w:val="en-US" w:eastAsia="zh-CN" w:bidi="ar-SA"/>
              </w:rPr>
              <w:t>拟</w:t>
            </w:r>
            <w:r>
              <w:rPr>
                <w:rFonts w:hint="eastAsia" w:cs="宋体"/>
                <w:snapToGrid w:val="0"/>
                <w:color w:val="auto"/>
                <w:sz w:val="24"/>
                <w:szCs w:val="24"/>
                <w:highlight w:val="none"/>
                <w:lang w:val="en-US" w:eastAsia="zh-CN" w:bidi="ar-SA"/>
              </w:rPr>
              <w:t>派</w:t>
            </w:r>
            <w:r>
              <w:rPr>
                <w:rFonts w:hint="eastAsia" w:ascii="宋体" w:hAnsi="宋体" w:eastAsia="宋体" w:cs="宋体"/>
                <w:b w:val="0"/>
                <w:bCs w:val="0"/>
                <w:color w:val="000000"/>
                <w:sz w:val="24"/>
                <w:szCs w:val="24"/>
                <w:highlight w:val="none"/>
              </w:rPr>
              <w:t>项目团队人员具有</w:t>
            </w:r>
            <w:r>
              <w:rPr>
                <w:rFonts w:hint="eastAsia" w:ascii="宋体" w:hAnsi="宋体" w:eastAsia="宋体" w:cs="宋体"/>
                <w:b w:val="0"/>
                <w:bCs w:val="0"/>
                <w:color w:val="000000"/>
                <w:sz w:val="24"/>
                <w:szCs w:val="24"/>
                <w:highlight w:val="none"/>
                <w:lang w:val="en-US" w:eastAsia="zh-CN"/>
              </w:rPr>
              <w:t>人力资源和社会保障部门</w:t>
            </w:r>
            <w:r>
              <w:rPr>
                <w:rFonts w:hint="eastAsia" w:ascii="宋体" w:hAnsi="宋体" w:eastAsia="宋体" w:cs="宋体"/>
                <w:b w:val="0"/>
                <w:bCs w:val="0"/>
                <w:color w:val="000000"/>
                <w:sz w:val="24"/>
                <w:szCs w:val="24"/>
                <w:highlight w:val="none"/>
              </w:rPr>
              <w:t>颁发的</w:t>
            </w:r>
            <w:r>
              <w:rPr>
                <w:rFonts w:hint="eastAsia" w:cs="宋体"/>
                <w:b w:val="0"/>
                <w:bCs w:val="0"/>
                <w:color w:val="000000"/>
                <w:sz w:val="24"/>
                <w:szCs w:val="24"/>
                <w:highlight w:val="none"/>
                <w:lang w:val="en-US" w:eastAsia="zh-CN"/>
              </w:rPr>
              <w:t>建筑</w:t>
            </w:r>
            <w:r>
              <w:rPr>
                <w:rFonts w:hint="eastAsia" w:ascii="宋体" w:hAnsi="宋体" w:eastAsia="宋体" w:cs="宋体"/>
                <w:b w:val="0"/>
                <w:bCs w:val="0"/>
                <w:color w:val="000000"/>
                <w:sz w:val="24"/>
                <w:szCs w:val="24"/>
                <w:highlight w:val="none"/>
              </w:rPr>
              <w:t>工程相关专业中级及以上职称证书的，每提供1个得5分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满分</w:t>
            </w:r>
            <w:r>
              <w:rPr>
                <w:rFonts w:hint="eastAsia" w:cs="宋体"/>
                <w:b w:val="0"/>
                <w:bCs w:val="0"/>
                <w:color w:val="000000"/>
                <w:sz w:val="24"/>
                <w:szCs w:val="24"/>
                <w:highlight w:val="none"/>
                <w:lang w:val="en-US" w:eastAsia="zh-CN"/>
              </w:rPr>
              <w:t>10</w:t>
            </w:r>
            <w:r>
              <w:rPr>
                <w:rFonts w:hint="eastAsia" w:ascii="宋体" w:hAnsi="宋体" w:eastAsia="宋体" w:cs="宋体"/>
                <w:b w:val="0"/>
                <w:bCs w:val="0"/>
                <w:color w:val="000000"/>
                <w:sz w:val="24"/>
                <w:szCs w:val="24"/>
                <w:highlight w:val="none"/>
              </w:rPr>
              <w:t>分。</w:t>
            </w:r>
          </w:p>
          <w:p w14:paraId="11B9CF59">
            <w:pPr>
              <w:pStyle w:val="27"/>
              <w:keepNext w:val="0"/>
              <w:keepLines w:val="0"/>
              <w:pageBreakBefore w:val="0"/>
              <w:widowControl/>
              <w:kinsoku/>
              <w:wordWrap/>
              <w:overflowPunct w:val="0"/>
              <w:topLinePunct/>
              <w:autoSpaceDE w:val="0"/>
              <w:autoSpaceDN w:val="0"/>
              <w:bidi w:val="0"/>
              <w:adjustRightInd w:val="0"/>
              <w:snapToGrid w:val="0"/>
              <w:spacing w:before="21" w:line="229" w:lineRule="auto"/>
              <w:ind w:left="59" w:right="56"/>
              <w:textAlignment w:val="baseline"/>
              <w:rPr>
                <w:rFonts w:hint="eastAsia" w:ascii="宋体" w:hAnsi="宋体" w:eastAsia="宋体" w:cs="宋体"/>
                <w:b/>
                <w:bCs/>
                <w:color w:val="000000"/>
                <w:sz w:val="24"/>
                <w:szCs w:val="24"/>
                <w:highlight w:val="none"/>
              </w:rPr>
            </w:pPr>
          </w:p>
          <w:p w14:paraId="096268D8">
            <w:pPr>
              <w:pStyle w:val="27"/>
              <w:keepNext w:val="0"/>
              <w:keepLines w:val="0"/>
              <w:pageBreakBefore w:val="0"/>
              <w:widowControl/>
              <w:kinsoku/>
              <w:wordWrap/>
              <w:overflowPunct w:val="0"/>
              <w:topLinePunct/>
              <w:autoSpaceDE w:val="0"/>
              <w:autoSpaceDN w:val="0"/>
              <w:bidi w:val="0"/>
              <w:adjustRightInd w:val="0"/>
              <w:snapToGrid w:val="0"/>
              <w:spacing w:before="21" w:line="229" w:lineRule="auto"/>
              <w:ind w:left="59" w:right="56"/>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b/>
                <w:bCs/>
                <w:color w:val="000000"/>
                <w:sz w:val="24"/>
                <w:szCs w:val="24"/>
                <w:highlight w:val="none"/>
              </w:rPr>
              <w:t>注:提供有效</w:t>
            </w:r>
            <w:r>
              <w:rPr>
                <w:rFonts w:hint="eastAsia" w:cs="宋体"/>
                <w:b/>
                <w:bCs/>
                <w:color w:val="000000"/>
                <w:sz w:val="24"/>
                <w:szCs w:val="24"/>
                <w:highlight w:val="none"/>
                <w:lang w:val="en-US" w:eastAsia="zh-CN"/>
              </w:rPr>
              <w:t>的</w:t>
            </w:r>
            <w:r>
              <w:rPr>
                <w:rFonts w:hint="eastAsia" w:ascii="宋体" w:hAnsi="宋体" w:eastAsia="宋体" w:cs="宋体"/>
                <w:b/>
                <w:bCs/>
                <w:color w:val="000000"/>
                <w:sz w:val="24"/>
                <w:szCs w:val="24"/>
                <w:highlight w:val="none"/>
              </w:rPr>
              <w:t>证书扫描件和供应商为人员购买社保承诺函</w:t>
            </w:r>
            <w:r>
              <w:rPr>
                <w:rFonts w:hint="eastAsia" w:ascii="宋体" w:hAnsi="宋体" w:eastAsia="宋体" w:cs="宋体"/>
                <w:b/>
                <w:bCs/>
                <w:color w:val="000000"/>
                <w:sz w:val="24"/>
                <w:szCs w:val="24"/>
                <w:highlight w:val="none"/>
                <w:lang w:val="en-US" w:eastAsia="zh-CN"/>
              </w:rPr>
              <w:t>并加盖公章装订在磋商响应</w:t>
            </w:r>
            <w:r>
              <w:rPr>
                <w:rFonts w:hint="eastAsia" w:ascii="宋体" w:hAnsi="宋体" w:eastAsia="宋体" w:cs="宋体"/>
                <w:b/>
                <w:bCs/>
                <w:color w:val="000000"/>
                <w:sz w:val="24"/>
                <w:szCs w:val="24"/>
                <w:highlight w:val="none"/>
              </w:rPr>
              <w:t>文件</w:t>
            </w:r>
            <w:r>
              <w:rPr>
                <w:rFonts w:hint="eastAsia" w:ascii="宋体" w:hAnsi="宋体" w:eastAsia="宋体" w:cs="宋体"/>
                <w:b/>
                <w:bCs/>
                <w:color w:val="000000"/>
                <w:sz w:val="24"/>
                <w:szCs w:val="24"/>
                <w:highlight w:val="none"/>
                <w:lang w:val="en-US" w:eastAsia="zh-CN"/>
              </w:rPr>
              <w:t>内</w:t>
            </w:r>
            <w:r>
              <w:rPr>
                <w:rFonts w:hint="eastAsia" w:ascii="宋体" w:hAnsi="宋体" w:eastAsia="宋体" w:cs="宋体"/>
                <w:b/>
                <w:bCs/>
                <w:color w:val="000000"/>
                <w:sz w:val="24"/>
                <w:szCs w:val="24"/>
                <w:highlight w:val="none"/>
              </w:rPr>
              <w:t>，未提供或不符合要求不得分。</w:t>
            </w:r>
          </w:p>
        </w:tc>
      </w:tr>
      <w:tr w14:paraId="223E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jc w:val="center"/>
        </w:trPr>
        <w:tc>
          <w:tcPr>
            <w:tcW w:w="840" w:type="dxa"/>
            <w:tcBorders>
              <w:left w:val="single" w:color="auto" w:sz="4" w:space="0"/>
            </w:tcBorders>
            <w:vAlign w:val="center"/>
          </w:tcPr>
          <w:p w14:paraId="675BD19F">
            <w:pPr>
              <w:pStyle w:val="27"/>
              <w:pageBreakBefore w:val="0"/>
              <w:kinsoku/>
              <w:wordWrap/>
              <w:overflowPunct w:val="0"/>
              <w:topLinePunct w:val="0"/>
              <w:bidi w:val="0"/>
              <w:spacing w:before="68" w:line="231" w:lineRule="auto"/>
              <w:ind w:right="179"/>
              <w:jc w:val="center"/>
              <w:rPr>
                <w:rFonts w:hint="default" w:ascii="宋体" w:hAnsi="宋体" w:eastAsia="宋体"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5</w:t>
            </w:r>
          </w:p>
        </w:tc>
        <w:tc>
          <w:tcPr>
            <w:tcW w:w="1462" w:type="dxa"/>
            <w:vAlign w:val="center"/>
          </w:tcPr>
          <w:p w14:paraId="52F057FE">
            <w:pPr>
              <w:pStyle w:val="27"/>
              <w:pageBreakBefore w:val="0"/>
              <w:kinsoku/>
              <w:wordWrap/>
              <w:overflowPunct w:val="0"/>
              <w:topLinePunct w:val="0"/>
              <w:bidi w:val="0"/>
              <w:spacing w:before="68" w:line="231" w:lineRule="auto"/>
              <w:ind w:right="179" w:rightChars="0"/>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rPr>
              <w:t>确保工程质量的技术组织措施</w:t>
            </w:r>
            <w:r>
              <w:rPr>
                <w:rFonts w:hint="eastAsia" w:cs="宋体"/>
                <w:b w:val="0"/>
                <w:bCs w:val="0"/>
                <w:color w:val="000000"/>
                <w:sz w:val="24"/>
                <w:szCs w:val="24"/>
                <w:highlight w:val="none"/>
                <w:lang w:eastAsia="zh-CN"/>
              </w:rPr>
              <w:t>（</w:t>
            </w:r>
            <w:r>
              <w:rPr>
                <w:rFonts w:hint="eastAsia" w:cs="宋体"/>
                <w:b w:val="0"/>
                <w:bCs w:val="0"/>
                <w:color w:val="000000"/>
                <w:sz w:val="24"/>
                <w:szCs w:val="24"/>
                <w:highlight w:val="none"/>
                <w:lang w:val="en-US" w:eastAsia="zh-CN"/>
              </w:rPr>
              <w:t>5分</w:t>
            </w:r>
            <w:r>
              <w:rPr>
                <w:rFonts w:hint="eastAsia" w:cs="宋体"/>
                <w:b w:val="0"/>
                <w:bCs w:val="0"/>
                <w:color w:val="000000"/>
                <w:sz w:val="24"/>
                <w:szCs w:val="24"/>
                <w:highlight w:val="none"/>
                <w:lang w:eastAsia="zh-CN"/>
              </w:rPr>
              <w:t>）</w:t>
            </w:r>
          </w:p>
        </w:tc>
        <w:tc>
          <w:tcPr>
            <w:tcW w:w="7305" w:type="dxa"/>
            <w:vAlign w:val="top"/>
          </w:tcPr>
          <w:p w14:paraId="6F1BE732">
            <w:pPr>
              <w:pStyle w:val="27"/>
              <w:keepNext w:val="0"/>
              <w:keepLines w:val="0"/>
              <w:pageBreakBefore w:val="0"/>
              <w:widowControl/>
              <w:kinsoku/>
              <w:wordWrap/>
              <w:overflowPunct w:val="0"/>
              <w:topLinePunct/>
              <w:autoSpaceDE w:val="0"/>
              <w:autoSpaceDN w:val="0"/>
              <w:bidi w:val="0"/>
              <w:adjustRightInd w:val="0"/>
              <w:snapToGrid w:val="0"/>
              <w:spacing w:before="21" w:line="229" w:lineRule="auto"/>
              <w:ind w:left="59" w:right="56"/>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供应商根据本工程的实施地点和工程特点，结合施工现场编写工程质量的技术组织措施情况，由磋商小组进行综合评分：</w:t>
            </w:r>
          </w:p>
          <w:p w14:paraId="37A89540">
            <w:pPr>
              <w:pStyle w:val="27"/>
              <w:keepNext w:val="0"/>
              <w:keepLines w:val="0"/>
              <w:pageBreakBefore w:val="0"/>
              <w:widowControl/>
              <w:kinsoku/>
              <w:wordWrap/>
              <w:overflowPunct w:val="0"/>
              <w:topLinePunct/>
              <w:autoSpaceDE w:val="0"/>
              <w:autoSpaceDN w:val="0"/>
              <w:bidi w:val="0"/>
              <w:adjustRightInd w:val="0"/>
              <w:snapToGrid w:val="0"/>
              <w:spacing w:before="21" w:line="229" w:lineRule="auto"/>
              <w:ind w:left="59" w:right="56"/>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en-US" w:bidi="ar-SA"/>
              </w:rPr>
              <w:t>1</w:t>
            </w:r>
            <w:r>
              <w:rPr>
                <w:rFonts w:hint="eastAsia" w:cs="宋体"/>
                <w:snapToGrid w:val="0"/>
                <w:color w:val="auto"/>
                <w:sz w:val="24"/>
                <w:szCs w:val="24"/>
                <w:highlight w:val="none"/>
                <w:lang w:val="en-US" w:eastAsia="zh-CN" w:bidi="ar-SA"/>
              </w:rPr>
              <w:t>.</w:t>
            </w:r>
            <w:r>
              <w:rPr>
                <w:rFonts w:hint="eastAsia" w:ascii="宋体" w:hAnsi="宋体" w:eastAsia="宋体" w:cs="宋体"/>
                <w:snapToGrid w:val="0"/>
                <w:color w:val="auto"/>
                <w:sz w:val="24"/>
                <w:szCs w:val="24"/>
                <w:highlight w:val="none"/>
                <w:lang w:val="en-US" w:eastAsia="zh-CN" w:bidi="ar-SA"/>
              </w:rPr>
              <w:t>施工项目有专门的质量技术管理班子和制度，且人员配备完善，制度健全，主要工序有质量技术保证措施和手段，自控体系完整，能有效的保证技术质量满足项目施工要求，确保工程质量的得</w:t>
            </w:r>
            <w:r>
              <w:rPr>
                <w:rFonts w:hint="eastAsia" w:cs="宋体"/>
                <w:snapToGrid w:val="0"/>
                <w:color w:val="auto"/>
                <w:sz w:val="24"/>
                <w:szCs w:val="24"/>
                <w:highlight w:val="none"/>
                <w:lang w:val="en-US" w:eastAsia="zh-CN" w:bidi="ar-SA"/>
              </w:rPr>
              <w:t>5</w:t>
            </w:r>
            <w:r>
              <w:rPr>
                <w:rFonts w:hint="eastAsia" w:ascii="宋体" w:hAnsi="宋体" w:eastAsia="宋体" w:cs="宋体"/>
                <w:snapToGrid w:val="0"/>
                <w:color w:val="auto"/>
                <w:sz w:val="24"/>
                <w:szCs w:val="24"/>
                <w:highlight w:val="none"/>
                <w:lang w:val="en-US" w:eastAsia="zh-CN" w:bidi="ar-SA"/>
              </w:rPr>
              <w:t>分；2</w:t>
            </w:r>
            <w:r>
              <w:rPr>
                <w:rFonts w:hint="eastAsia" w:cs="宋体"/>
                <w:snapToGrid w:val="0"/>
                <w:color w:val="auto"/>
                <w:sz w:val="24"/>
                <w:szCs w:val="24"/>
                <w:highlight w:val="none"/>
                <w:lang w:val="en-US" w:eastAsia="zh-CN" w:bidi="ar-SA"/>
              </w:rPr>
              <w:t>.</w:t>
            </w:r>
            <w:r>
              <w:rPr>
                <w:rFonts w:hint="eastAsia" w:ascii="宋体" w:hAnsi="宋体" w:eastAsia="宋体" w:cs="宋体"/>
                <w:snapToGrid w:val="0"/>
                <w:color w:val="auto"/>
                <w:sz w:val="24"/>
                <w:szCs w:val="24"/>
                <w:highlight w:val="none"/>
                <w:lang w:val="en-US" w:eastAsia="zh-CN" w:bidi="ar-SA"/>
              </w:rPr>
              <w:t>施工项目有质量技术管理班子和制度，相关的质量技术保证措施、自控体系能达到设计图纸及采购工程量清单要求标准的得</w:t>
            </w:r>
            <w:r>
              <w:rPr>
                <w:rFonts w:hint="eastAsia" w:cs="宋体"/>
                <w:snapToGrid w:val="0"/>
                <w:color w:val="auto"/>
                <w:sz w:val="24"/>
                <w:szCs w:val="24"/>
                <w:highlight w:val="none"/>
                <w:lang w:val="en-US" w:eastAsia="zh-CN" w:bidi="ar-SA"/>
              </w:rPr>
              <w:t>3</w:t>
            </w:r>
            <w:r>
              <w:rPr>
                <w:rFonts w:hint="eastAsia" w:ascii="宋体" w:hAnsi="宋体" w:eastAsia="宋体" w:cs="宋体"/>
                <w:snapToGrid w:val="0"/>
                <w:color w:val="auto"/>
                <w:sz w:val="24"/>
                <w:szCs w:val="24"/>
                <w:highlight w:val="none"/>
                <w:lang w:val="en-US" w:eastAsia="zh-CN" w:bidi="ar-SA"/>
              </w:rPr>
              <w:t>分；3</w:t>
            </w:r>
            <w:r>
              <w:rPr>
                <w:rFonts w:hint="eastAsia" w:cs="宋体"/>
                <w:snapToGrid w:val="0"/>
                <w:color w:val="auto"/>
                <w:sz w:val="24"/>
                <w:szCs w:val="24"/>
                <w:highlight w:val="none"/>
                <w:lang w:val="en-US" w:eastAsia="zh-CN" w:bidi="ar-SA"/>
              </w:rPr>
              <w:t>.</w:t>
            </w:r>
            <w:r>
              <w:rPr>
                <w:rFonts w:hint="eastAsia" w:ascii="宋体" w:hAnsi="宋体" w:eastAsia="宋体" w:cs="宋体"/>
                <w:snapToGrid w:val="0"/>
                <w:color w:val="auto"/>
                <w:sz w:val="24"/>
                <w:szCs w:val="24"/>
                <w:highlight w:val="none"/>
                <w:lang w:val="en-US" w:eastAsia="zh-CN" w:bidi="ar-SA"/>
              </w:rPr>
              <w:t>施工项目有质量技术管理班子和制度，有人员配备的得1分；</w:t>
            </w:r>
          </w:p>
          <w:p w14:paraId="48599C6B">
            <w:pPr>
              <w:pStyle w:val="27"/>
              <w:keepNext w:val="0"/>
              <w:keepLines w:val="0"/>
              <w:pageBreakBefore w:val="0"/>
              <w:widowControl/>
              <w:kinsoku/>
              <w:wordWrap/>
              <w:overflowPunct w:val="0"/>
              <w:topLinePunct/>
              <w:autoSpaceDE w:val="0"/>
              <w:autoSpaceDN w:val="0"/>
              <w:bidi w:val="0"/>
              <w:adjustRightInd w:val="0"/>
              <w:snapToGrid w:val="0"/>
              <w:spacing w:before="21" w:line="229" w:lineRule="auto"/>
              <w:ind w:left="59" w:right="56"/>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4</w:t>
            </w:r>
            <w:r>
              <w:rPr>
                <w:rFonts w:hint="eastAsia" w:cs="宋体"/>
                <w:snapToGrid w:val="0"/>
                <w:color w:val="auto"/>
                <w:sz w:val="24"/>
                <w:szCs w:val="24"/>
                <w:highlight w:val="none"/>
                <w:lang w:val="en-US" w:eastAsia="zh-CN" w:bidi="ar-SA"/>
              </w:rPr>
              <w:t>.</w:t>
            </w:r>
            <w:r>
              <w:rPr>
                <w:rFonts w:hint="eastAsia" w:ascii="宋体" w:hAnsi="宋体" w:eastAsia="宋体" w:cs="宋体"/>
                <w:snapToGrid w:val="0"/>
                <w:color w:val="auto"/>
                <w:sz w:val="24"/>
                <w:szCs w:val="24"/>
                <w:highlight w:val="none"/>
                <w:lang w:val="en-US" w:eastAsia="zh-CN" w:bidi="ar-SA"/>
              </w:rPr>
              <w:t>未提供的不得分。</w:t>
            </w:r>
          </w:p>
          <w:p w14:paraId="5D230C5F">
            <w:pPr>
              <w:pStyle w:val="27"/>
              <w:pageBreakBefore w:val="0"/>
              <w:numPr>
                <w:ilvl w:val="0"/>
                <w:numId w:val="0"/>
              </w:numPr>
              <w:kinsoku/>
              <w:wordWrap/>
              <w:overflowPunct w:val="0"/>
              <w:topLinePunct w:val="0"/>
              <w:bidi w:val="0"/>
              <w:spacing w:before="21" w:line="229" w:lineRule="auto"/>
              <w:ind w:right="56" w:rightChars="0"/>
              <w:rPr>
                <w:rFonts w:hint="eastAsia" w:cs="宋体"/>
                <w:b/>
                <w:bCs/>
                <w:color w:val="000000"/>
                <w:sz w:val="24"/>
                <w:szCs w:val="24"/>
                <w:highlight w:val="none"/>
                <w:lang w:val="en-US" w:eastAsia="zh-CN"/>
              </w:rPr>
            </w:pPr>
          </w:p>
          <w:p w14:paraId="04D84298">
            <w:pPr>
              <w:pStyle w:val="27"/>
              <w:pageBreakBefore w:val="0"/>
              <w:numPr>
                <w:ilvl w:val="0"/>
                <w:numId w:val="0"/>
              </w:numPr>
              <w:kinsoku/>
              <w:wordWrap/>
              <w:overflowPunct w:val="0"/>
              <w:topLinePunct w:val="0"/>
              <w:bidi w:val="0"/>
              <w:spacing w:before="21" w:line="229" w:lineRule="auto"/>
              <w:ind w:right="56" w:rightChars="0"/>
              <w:rPr>
                <w:rFonts w:hint="eastAsia" w:ascii="宋体" w:hAnsi="宋体" w:eastAsia="宋体" w:cs="宋体"/>
                <w:b w:val="0"/>
                <w:bCs w:val="0"/>
                <w:color w:val="000000"/>
                <w:sz w:val="24"/>
                <w:szCs w:val="24"/>
                <w:highlight w:val="none"/>
                <w:lang w:val="en-US" w:eastAsia="zh-CN"/>
              </w:rPr>
            </w:pPr>
            <w:r>
              <w:rPr>
                <w:rFonts w:hint="eastAsia" w:cs="宋体"/>
                <w:b/>
                <w:bCs/>
                <w:color w:val="000000"/>
                <w:sz w:val="24"/>
                <w:szCs w:val="24"/>
                <w:highlight w:val="none"/>
                <w:lang w:val="en-US" w:eastAsia="zh-CN"/>
              </w:rPr>
              <w:t>注：提供确保工程质量的技术组织措施并加盖公章装订在磋商响应文件内。</w:t>
            </w:r>
          </w:p>
        </w:tc>
      </w:tr>
      <w:tr w14:paraId="66205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jc w:val="center"/>
        </w:trPr>
        <w:tc>
          <w:tcPr>
            <w:tcW w:w="840" w:type="dxa"/>
            <w:tcBorders>
              <w:left w:val="single" w:color="auto" w:sz="4" w:space="0"/>
            </w:tcBorders>
            <w:vAlign w:val="center"/>
          </w:tcPr>
          <w:p w14:paraId="05D9FE6A">
            <w:pPr>
              <w:pStyle w:val="27"/>
              <w:pageBreakBefore w:val="0"/>
              <w:kinsoku/>
              <w:wordWrap/>
              <w:overflowPunct w:val="0"/>
              <w:topLinePunct w:val="0"/>
              <w:bidi w:val="0"/>
              <w:spacing w:before="68" w:line="231" w:lineRule="auto"/>
              <w:ind w:right="179"/>
              <w:jc w:val="center"/>
              <w:rPr>
                <w:rFonts w:hint="default" w:ascii="宋体" w:hAnsi="宋体" w:eastAsia="宋体"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6</w:t>
            </w:r>
          </w:p>
        </w:tc>
        <w:tc>
          <w:tcPr>
            <w:tcW w:w="1462" w:type="dxa"/>
            <w:vAlign w:val="center"/>
          </w:tcPr>
          <w:p w14:paraId="463BC6EC">
            <w:pPr>
              <w:pStyle w:val="27"/>
              <w:pageBreakBefore w:val="0"/>
              <w:kinsoku/>
              <w:wordWrap/>
              <w:overflowPunct w:val="0"/>
              <w:topLinePunct w:val="0"/>
              <w:bidi w:val="0"/>
              <w:spacing w:before="21" w:line="229" w:lineRule="auto"/>
              <w:ind w:left="59" w:right="56"/>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确保工期的技术组织措施</w:t>
            </w:r>
            <w:r>
              <w:rPr>
                <w:rFonts w:hint="eastAsia" w:cs="宋体"/>
                <w:snapToGrid w:val="0"/>
                <w:color w:val="auto"/>
                <w:sz w:val="24"/>
                <w:szCs w:val="24"/>
                <w:highlight w:val="none"/>
                <w:lang w:val="en-US" w:eastAsia="zh-CN" w:bidi="ar-SA"/>
              </w:rPr>
              <w:t>（5分）</w:t>
            </w:r>
          </w:p>
        </w:tc>
        <w:tc>
          <w:tcPr>
            <w:tcW w:w="7305" w:type="dxa"/>
            <w:vAlign w:val="top"/>
          </w:tcPr>
          <w:p w14:paraId="0401679F">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供应商根据本工程的实施地点和工程特点，结合施工现场编写工期的技术组织措施情况，由磋商小组进行综合评分：</w:t>
            </w:r>
          </w:p>
          <w:p w14:paraId="2BEB2AD3">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结合本项目特点，在施工工艺、施工方法、材料选用、劳动力安排、机械设备、技术等方面有保证工期的具体措施且措施全面详实；有详细的人力、设备和材料配置计划，有施工总进度表或施工网络图，各项计划编制完整，施工进度及安排满足本项目施工实际要求的得</w:t>
            </w:r>
            <w:r>
              <w:rPr>
                <w:rFonts w:hint="eastAsia"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lang w:val="en-US" w:eastAsia="zh-CN"/>
              </w:rPr>
              <w:t>分；</w:t>
            </w:r>
          </w:p>
          <w:p w14:paraId="04219BF0">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在施工工艺、施工方法、材料选用、劳动力安排、技术等方面有保证工期的措施；有控制工期的施工进度计划；有施工总进度表或施工网络图，各项计划图表编制不够完善，但是能够满足施工项目实际需求的得</w:t>
            </w:r>
            <w:r>
              <w:rPr>
                <w:rFonts w:hint="eastAsia"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en-US" w:eastAsia="zh-CN"/>
              </w:rPr>
              <w:t>分；</w:t>
            </w:r>
          </w:p>
          <w:p w14:paraId="564EBC9C">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在施工工艺、施工方法、材料选用、劳动力安排、技术等方面有保证工期的措施，有控制工期的施工进度计划的得1分；</w:t>
            </w:r>
          </w:p>
          <w:p w14:paraId="13981331">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未提供的不得分。</w:t>
            </w:r>
          </w:p>
          <w:p w14:paraId="5DB7162A">
            <w:pPr>
              <w:pStyle w:val="27"/>
              <w:pageBreakBefore w:val="0"/>
              <w:kinsoku/>
              <w:wordWrap/>
              <w:overflowPunct w:val="0"/>
              <w:topLinePunct w:val="0"/>
              <w:bidi w:val="0"/>
              <w:spacing w:before="21" w:line="229" w:lineRule="auto"/>
              <w:ind w:left="59" w:right="56"/>
              <w:rPr>
                <w:rFonts w:hint="eastAsia" w:cs="宋体"/>
                <w:b/>
                <w:bCs/>
                <w:color w:val="000000"/>
                <w:sz w:val="24"/>
                <w:szCs w:val="24"/>
                <w:highlight w:val="none"/>
                <w:lang w:val="en-US" w:eastAsia="zh-CN"/>
              </w:rPr>
            </w:pPr>
          </w:p>
          <w:p w14:paraId="77C6D221">
            <w:pPr>
              <w:pStyle w:val="27"/>
              <w:pageBreakBefore w:val="0"/>
              <w:kinsoku/>
              <w:wordWrap/>
              <w:overflowPunct w:val="0"/>
              <w:topLinePunct w:val="0"/>
              <w:bidi w:val="0"/>
              <w:spacing w:before="21" w:line="229" w:lineRule="auto"/>
              <w:ind w:left="59" w:right="56"/>
              <w:rPr>
                <w:rFonts w:hint="eastAsia" w:ascii="宋体" w:hAnsi="宋体" w:eastAsia="宋体" w:cs="宋体"/>
                <w:snapToGrid w:val="0"/>
                <w:color w:val="auto"/>
                <w:sz w:val="24"/>
                <w:szCs w:val="24"/>
                <w:highlight w:val="none"/>
                <w:lang w:val="en-US" w:eastAsia="zh-CN" w:bidi="ar-SA"/>
              </w:rPr>
            </w:pPr>
            <w:r>
              <w:rPr>
                <w:rFonts w:hint="eastAsia" w:cs="宋体"/>
                <w:b/>
                <w:bCs/>
                <w:color w:val="000000"/>
                <w:sz w:val="24"/>
                <w:szCs w:val="24"/>
                <w:highlight w:val="none"/>
                <w:lang w:val="en-US" w:eastAsia="zh-CN"/>
              </w:rPr>
              <w:t>注：提供确保工期的技术组织措施并加盖公章装订在磋商响应文件内。</w:t>
            </w:r>
          </w:p>
        </w:tc>
      </w:tr>
      <w:tr w14:paraId="782A1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jc w:val="center"/>
        </w:trPr>
        <w:tc>
          <w:tcPr>
            <w:tcW w:w="840" w:type="dxa"/>
            <w:tcBorders>
              <w:left w:val="single" w:color="auto" w:sz="4" w:space="0"/>
            </w:tcBorders>
            <w:vAlign w:val="center"/>
          </w:tcPr>
          <w:p w14:paraId="0817E910">
            <w:pPr>
              <w:pStyle w:val="27"/>
              <w:pageBreakBefore w:val="0"/>
              <w:kinsoku/>
              <w:wordWrap/>
              <w:overflowPunct w:val="0"/>
              <w:topLinePunct w:val="0"/>
              <w:bidi w:val="0"/>
              <w:spacing w:before="68" w:line="231" w:lineRule="auto"/>
              <w:ind w:right="179"/>
              <w:jc w:val="center"/>
              <w:rPr>
                <w:rFonts w:hint="default" w:ascii="宋体" w:hAnsi="宋体" w:eastAsia="宋体"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7</w:t>
            </w:r>
          </w:p>
        </w:tc>
        <w:tc>
          <w:tcPr>
            <w:tcW w:w="1462" w:type="dxa"/>
            <w:vAlign w:val="center"/>
          </w:tcPr>
          <w:p w14:paraId="4FE7B279">
            <w:pPr>
              <w:pStyle w:val="27"/>
              <w:pageBreakBefore w:val="0"/>
              <w:kinsoku/>
              <w:wordWrap/>
              <w:overflowPunct w:val="0"/>
              <w:topLinePunct w:val="0"/>
              <w:bidi w:val="0"/>
              <w:spacing w:before="68" w:line="231" w:lineRule="auto"/>
              <w:ind w:right="179" w:rightChars="0"/>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rPr>
              <w:t>确保安全生产的技术组织措施</w:t>
            </w:r>
            <w:r>
              <w:rPr>
                <w:rFonts w:hint="eastAsia" w:cs="宋体"/>
                <w:snapToGrid w:val="0"/>
                <w:color w:val="auto"/>
                <w:sz w:val="24"/>
                <w:szCs w:val="24"/>
                <w:highlight w:val="none"/>
                <w:lang w:val="en-US" w:eastAsia="zh-CN" w:bidi="ar-SA"/>
              </w:rPr>
              <w:t>（5分）</w:t>
            </w:r>
          </w:p>
        </w:tc>
        <w:tc>
          <w:tcPr>
            <w:tcW w:w="7305" w:type="dxa"/>
            <w:vAlign w:val="top"/>
          </w:tcPr>
          <w:p w14:paraId="47FA6C5A">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结合本工程特点，依据供应商提供的安全生产的技术组织措施，由磋商小组进行综合评分：</w:t>
            </w:r>
          </w:p>
          <w:p w14:paraId="238AF219">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施工项目有专门的安全管理班子和制度，且安全管理人员配备合理，制度健全；各道工序安全技术措施内容周全、具体、有效，现场防火、安全防护措施得力，能有效保证安全生产且满足安全技术规范标准的得</w:t>
            </w:r>
            <w:r>
              <w:rPr>
                <w:rFonts w:hint="eastAsia"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lang w:val="en-US" w:eastAsia="zh-CN"/>
              </w:rPr>
              <w:t>分</w:t>
            </w:r>
            <w:r>
              <w:rPr>
                <w:rFonts w:hint="eastAsia" w:cs="宋体"/>
                <w:b w:val="0"/>
                <w:bCs w:val="0"/>
                <w:color w:val="000000"/>
                <w:sz w:val="24"/>
                <w:szCs w:val="24"/>
                <w:highlight w:val="none"/>
                <w:lang w:val="en-US" w:eastAsia="zh-CN"/>
              </w:rPr>
              <w:t>；</w:t>
            </w:r>
          </w:p>
          <w:p w14:paraId="47E92B61">
            <w:pPr>
              <w:pStyle w:val="27"/>
              <w:pageBreakBefore w:val="0"/>
              <w:kinsoku/>
              <w:wordWrap/>
              <w:overflowPunct w:val="0"/>
              <w:topLinePunct w:val="0"/>
              <w:bidi w:val="0"/>
              <w:spacing w:before="21" w:line="229" w:lineRule="auto"/>
              <w:ind w:left="59" w:right="56"/>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施工项目有安全管理班子和制度；有各道工序安全技术措施、有现场防火、安全防护措施内容，符合本项目施工实际情况及有关安全技术要求的得</w:t>
            </w:r>
            <w:r>
              <w:rPr>
                <w:rFonts w:hint="eastAsia"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en-US" w:eastAsia="zh-CN"/>
              </w:rPr>
              <w:t>分</w:t>
            </w:r>
            <w:r>
              <w:rPr>
                <w:rFonts w:hint="eastAsia" w:cs="宋体"/>
                <w:b w:val="0"/>
                <w:bCs w:val="0"/>
                <w:color w:val="000000"/>
                <w:sz w:val="24"/>
                <w:szCs w:val="24"/>
                <w:highlight w:val="none"/>
                <w:lang w:val="en-US" w:eastAsia="zh-CN"/>
              </w:rPr>
              <w:t>；</w:t>
            </w:r>
          </w:p>
          <w:p w14:paraId="1B245387">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施工项目有安全管理班子和制度，安全生产技术措施要点突出不明显，具体细节不完善的得1分；</w:t>
            </w:r>
          </w:p>
          <w:p w14:paraId="477C8FE4">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未提供的不得分。</w:t>
            </w:r>
          </w:p>
          <w:p w14:paraId="6BC4B07A">
            <w:pPr>
              <w:pStyle w:val="27"/>
              <w:pageBreakBefore w:val="0"/>
              <w:kinsoku/>
              <w:wordWrap/>
              <w:overflowPunct w:val="0"/>
              <w:topLinePunct w:val="0"/>
              <w:bidi w:val="0"/>
              <w:spacing w:before="21" w:line="229" w:lineRule="auto"/>
              <w:ind w:left="59" w:right="56"/>
              <w:rPr>
                <w:rFonts w:hint="eastAsia" w:cs="宋体"/>
                <w:b/>
                <w:bCs/>
                <w:color w:val="000000"/>
                <w:sz w:val="24"/>
                <w:szCs w:val="24"/>
                <w:highlight w:val="none"/>
                <w:lang w:val="en-US" w:eastAsia="zh-CN"/>
              </w:rPr>
            </w:pPr>
          </w:p>
          <w:p w14:paraId="3E5E1E18">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cs="宋体"/>
                <w:b/>
                <w:bCs/>
                <w:color w:val="000000"/>
                <w:sz w:val="24"/>
                <w:szCs w:val="24"/>
                <w:highlight w:val="none"/>
                <w:lang w:val="en-US" w:eastAsia="zh-CN"/>
              </w:rPr>
              <w:t>注：提供确保安全生产的技术组织措施并加盖公章装订在磋商响应文件内。</w:t>
            </w:r>
          </w:p>
        </w:tc>
      </w:tr>
      <w:tr w14:paraId="1BD80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840" w:type="dxa"/>
            <w:tcBorders>
              <w:left w:val="single" w:color="auto" w:sz="4" w:space="0"/>
            </w:tcBorders>
            <w:vAlign w:val="center"/>
          </w:tcPr>
          <w:p w14:paraId="27FE5999">
            <w:pPr>
              <w:pStyle w:val="27"/>
              <w:pageBreakBefore w:val="0"/>
              <w:kinsoku/>
              <w:wordWrap/>
              <w:overflowPunct w:val="0"/>
              <w:topLinePunct w:val="0"/>
              <w:bidi w:val="0"/>
              <w:spacing w:before="68" w:line="231" w:lineRule="auto"/>
              <w:ind w:right="179"/>
              <w:jc w:val="center"/>
              <w:rPr>
                <w:rFonts w:hint="default" w:ascii="宋体" w:hAnsi="宋体" w:eastAsia="宋体"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8</w:t>
            </w:r>
          </w:p>
        </w:tc>
        <w:tc>
          <w:tcPr>
            <w:tcW w:w="1462" w:type="dxa"/>
            <w:vAlign w:val="center"/>
          </w:tcPr>
          <w:p w14:paraId="461B49CB">
            <w:pPr>
              <w:pStyle w:val="27"/>
              <w:pageBreakBefore w:val="0"/>
              <w:kinsoku/>
              <w:wordWrap/>
              <w:overflowPunct w:val="0"/>
              <w:topLinePunct w:val="0"/>
              <w:bidi w:val="0"/>
              <w:spacing w:before="68" w:line="231" w:lineRule="auto"/>
              <w:ind w:right="179" w:right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应急预案</w:t>
            </w:r>
            <w:r>
              <w:rPr>
                <w:rFonts w:hint="eastAsia" w:cs="宋体"/>
                <w:snapToGrid w:val="0"/>
                <w:color w:val="auto"/>
                <w:sz w:val="24"/>
                <w:szCs w:val="24"/>
                <w:highlight w:val="none"/>
                <w:lang w:val="en-US" w:eastAsia="zh-CN" w:bidi="ar-SA"/>
              </w:rPr>
              <w:t>（5分）</w:t>
            </w:r>
          </w:p>
        </w:tc>
        <w:tc>
          <w:tcPr>
            <w:tcW w:w="7305" w:type="dxa"/>
            <w:vAlign w:val="top"/>
          </w:tcPr>
          <w:p w14:paraId="631DE01E">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结合本工程的特点，依据供应商提供的应急预案，由磋商小组进行综合评分：</w:t>
            </w:r>
          </w:p>
          <w:p w14:paraId="31027ADA">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本项目有具体详实的应急处理预案，预案内容能清楚描述本项目在实施过程中可能会遇到的各种恶劣天气或施工过程中遇到的各种突发情况（如设备故障、用工安全等），并针对各种恶劣天气或施工过程中遇到的各种突发情况提出完善的处理措施，预案内容描述完整、准确、思路清晰的得</w:t>
            </w:r>
            <w:r>
              <w:rPr>
                <w:rFonts w:hint="eastAsia"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lang w:val="en-US" w:eastAsia="zh-CN"/>
              </w:rPr>
              <w:t>分；</w:t>
            </w:r>
          </w:p>
          <w:p w14:paraId="588F6615">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本项目在实施过程中遇到的突发情况（如设备故障、用工安全等），有对突发情况提出可行的处理措施，措施内容部分切合实际的得</w:t>
            </w:r>
            <w:r>
              <w:rPr>
                <w:rFonts w:hint="eastAsia"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en-US" w:eastAsia="zh-CN"/>
              </w:rPr>
              <w:t>分；</w:t>
            </w:r>
          </w:p>
          <w:p w14:paraId="22423AE5">
            <w:pPr>
              <w:pStyle w:val="27"/>
              <w:pageBreakBefore w:val="0"/>
              <w:kinsoku/>
              <w:wordWrap/>
              <w:overflowPunct w:val="0"/>
              <w:topLinePunct w:val="0"/>
              <w:bidi w:val="0"/>
              <w:spacing w:before="21" w:line="229" w:lineRule="auto"/>
              <w:ind w:left="59" w:right="56"/>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本项目有应急处理预案，但提出的处理措施内容模糊的得1分；</w:t>
            </w:r>
            <w:r>
              <w:rPr>
                <w:rFonts w:hint="eastAsia" w:ascii="宋体" w:hAnsi="宋体" w:eastAsia="宋体" w:cs="宋体"/>
                <w:b w:val="0"/>
                <w:bCs w:val="0"/>
                <w:snapToGrid w:val="0"/>
                <w:color w:val="000000"/>
                <w:sz w:val="24"/>
                <w:szCs w:val="24"/>
                <w:lang w:val="en-US" w:eastAsia="zh-CN" w:bidi="ar-SA"/>
              </w:rPr>
              <w:t>4</w:t>
            </w:r>
            <w:r>
              <w:rPr>
                <w:rFonts w:hint="eastAsia" w:cs="宋体"/>
                <w:b w:val="0"/>
                <w:bCs w:val="0"/>
                <w:snapToGrid w:val="0"/>
                <w:color w:val="000000"/>
                <w:sz w:val="24"/>
                <w:szCs w:val="24"/>
                <w:lang w:val="en-US" w:eastAsia="zh-CN" w:bidi="ar-SA"/>
              </w:rPr>
              <w:t>。</w:t>
            </w:r>
            <w:r>
              <w:rPr>
                <w:rFonts w:hint="eastAsia" w:ascii="宋体" w:hAnsi="宋体" w:eastAsia="宋体" w:cs="宋体"/>
                <w:b w:val="0"/>
                <w:bCs w:val="0"/>
                <w:color w:val="000000"/>
                <w:sz w:val="24"/>
                <w:szCs w:val="24"/>
                <w:highlight w:val="none"/>
                <w:lang w:val="en-US" w:eastAsia="zh-CN"/>
              </w:rPr>
              <w:t>未提供的不得分。</w:t>
            </w:r>
          </w:p>
          <w:p w14:paraId="5937FF89">
            <w:pPr>
              <w:pStyle w:val="27"/>
              <w:pageBreakBefore w:val="0"/>
              <w:numPr>
                <w:ilvl w:val="0"/>
                <w:numId w:val="0"/>
              </w:numPr>
              <w:kinsoku/>
              <w:wordWrap/>
              <w:overflowPunct w:val="0"/>
              <w:topLinePunct w:val="0"/>
              <w:bidi w:val="0"/>
              <w:spacing w:before="21" w:line="229" w:lineRule="auto"/>
              <w:ind w:right="56" w:rightChars="0"/>
              <w:rPr>
                <w:rFonts w:hint="default" w:ascii="宋体" w:hAnsi="宋体" w:eastAsia="宋体" w:cs="宋体"/>
                <w:b w:val="0"/>
                <w:bCs w:val="0"/>
                <w:color w:val="000000"/>
                <w:sz w:val="24"/>
                <w:szCs w:val="24"/>
                <w:highlight w:val="none"/>
                <w:lang w:val="en-US" w:eastAsia="zh-CN"/>
              </w:rPr>
            </w:pPr>
            <w:r>
              <w:rPr>
                <w:rFonts w:hint="eastAsia" w:cs="宋体"/>
                <w:b/>
                <w:bCs/>
                <w:color w:val="000000"/>
                <w:sz w:val="24"/>
                <w:szCs w:val="24"/>
                <w:highlight w:val="none"/>
                <w:lang w:val="en-US" w:eastAsia="zh-CN"/>
              </w:rPr>
              <w:t>注：提供应急预案并加盖公章装订在磋商响应文件内。</w:t>
            </w:r>
          </w:p>
        </w:tc>
      </w:tr>
      <w:tr w14:paraId="1907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jc w:val="center"/>
        </w:trPr>
        <w:tc>
          <w:tcPr>
            <w:tcW w:w="840" w:type="dxa"/>
            <w:tcBorders>
              <w:left w:val="single" w:color="auto" w:sz="4" w:space="0"/>
              <w:bottom w:val="single" w:color="auto" w:sz="4" w:space="0"/>
              <w:right w:val="single" w:color="auto" w:sz="4" w:space="0"/>
            </w:tcBorders>
            <w:vAlign w:val="center"/>
          </w:tcPr>
          <w:p w14:paraId="4D34F861">
            <w:pPr>
              <w:pStyle w:val="27"/>
              <w:pageBreakBefore w:val="0"/>
              <w:kinsoku/>
              <w:wordWrap/>
              <w:overflowPunct w:val="0"/>
              <w:topLinePunct w:val="0"/>
              <w:bidi w:val="0"/>
              <w:spacing w:before="68" w:line="231" w:lineRule="auto"/>
              <w:ind w:right="179"/>
              <w:jc w:val="center"/>
              <w:rPr>
                <w:rFonts w:hint="default" w:ascii="宋体" w:hAnsi="宋体" w:eastAsia="宋体" w:cs="宋体"/>
                <w:snapToGrid w:val="0"/>
                <w:color w:val="000000"/>
                <w:sz w:val="24"/>
                <w:szCs w:val="24"/>
                <w:highlight w:val="none"/>
                <w:lang w:val="en-US" w:eastAsia="zh-CN" w:bidi="ar-SA"/>
              </w:rPr>
            </w:pPr>
            <w:r>
              <w:rPr>
                <w:rFonts w:hint="eastAsia" w:cs="宋体"/>
                <w:snapToGrid w:val="0"/>
                <w:color w:val="000000"/>
                <w:sz w:val="24"/>
                <w:szCs w:val="24"/>
                <w:highlight w:val="none"/>
                <w:lang w:val="en-US" w:eastAsia="zh-CN" w:bidi="ar-SA"/>
              </w:rPr>
              <w:t>9</w:t>
            </w:r>
          </w:p>
        </w:tc>
        <w:tc>
          <w:tcPr>
            <w:tcW w:w="1462" w:type="dxa"/>
            <w:tcBorders>
              <w:left w:val="single" w:color="auto" w:sz="4" w:space="0"/>
              <w:bottom w:val="single" w:color="auto" w:sz="4" w:space="0"/>
              <w:right w:val="single" w:color="auto" w:sz="4" w:space="0"/>
            </w:tcBorders>
            <w:vAlign w:val="center"/>
          </w:tcPr>
          <w:p w14:paraId="4AD7F148">
            <w:pPr>
              <w:pStyle w:val="27"/>
              <w:pageBreakBefore w:val="0"/>
              <w:kinsoku/>
              <w:wordWrap/>
              <w:overflowPunct w:val="0"/>
              <w:topLinePunct w:val="0"/>
              <w:bidi w:val="0"/>
              <w:spacing w:before="68" w:line="231" w:lineRule="auto"/>
              <w:ind w:right="179"/>
              <w:jc w:val="center"/>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最后报价</w:t>
            </w:r>
            <w:r>
              <w:rPr>
                <w:rFonts w:hint="eastAsia" w:cs="宋体"/>
                <w:snapToGrid w:val="0"/>
                <w:color w:val="000000"/>
                <w:sz w:val="24"/>
                <w:szCs w:val="24"/>
                <w:highlight w:val="none"/>
                <w:lang w:val="en-US" w:eastAsia="zh-CN" w:bidi="ar-SA"/>
              </w:rPr>
              <w:t>（30分）</w:t>
            </w:r>
          </w:p>
        </w:tc>
        <w:tc>
          <w:tcPr>
            <w:tcW w:w="7305" w:type="dxa"/>
            <w:tcBorders>
              <w:left w:val="single" w:color="auto" w:sz="4" w:space="0"/>
            </w:tcBorders>
            <w:vAlign w:val="top"/>
          </w:tcPr>
          <w:p w14:paraId="1308F10F">
            <w:pPr>
              <w:pStyle w:val="27"/>
              <w:pageBreakBefore w:val="0"/>
              <w:kinsoku/>
              <w:wordWrap/>
              <w:overflowPunct w:val="0"/>
              <w:topLinePunct w:val="0"/>
              <w:bidi w:val="0"/>
              <w:spacing w:before="21" w:line="229" w:lineRule="auto"/>
              <w:ind w:left="59" w:right="56"/>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满足磋商文件要求且最后报价最低的供应商的价格为磋商基准价，其价格分为满分。其他供应商的价格分统一按照下列公式计算：磋商报价得分=（磋商基准价/最后磋商报价）×</w:t>
            </w:r>
            <w:r>
              <w:rPr>
                <w:rFonts w:hint="eastAsia" w:cs="宋体"/>
                <w:snapToGrid w:val="0"/>
                <w:color w:val="auto"/>
                <w:sz w:val="24"/>
                <w:szCs w:val="24"/>
                <w:highlight w:val="none"/>
                <w:lang w:val="en-US" w:eastAsia="zh-CN" w:bidi="ar-SA"/>
              </w:rPr>
              <w:t>30</w:t>
            </w:r>
            <w:r>
              <w:rPr>
                <w:rFonts w:hint="eastAsia" w:ascii="宋体" w:hAnsi="宋体" w:eastAsia="宋体" w:cs="宋体"/>
                <w:snapToGrid w:val="0"/>
                <w:color w:val="auto"/>
                <w:sz w:val="24"/>
                <w:szCs w:val="24"/>
                <w:highlight w:val="none"/>
                <w:lang w:val="en-US" w:eastAsia="zh-CN" w:bidi="ar-SA"/>
              </w:rPr>
              <w:t>%×100。</w:t>
            </w:r>
          </w:p>
          <w:p w14:paraId="02E348D6">
            <w:pPr>
              <w:pStyle w:val="27"/>
              <w:pageBreakBefore w:val="0"/>
              <w:kinsoku/>
              <w:wordWrap/>
              <w:overflowPunct w:val="0"/>
              <w:topLinePunct w:val="0"/>
              <w:bidi w:val="0"/>
              <w:spacing w:before="21" w:line="229" w:lineRule="auto"/>
              <w:ind w:left="59" w:right="56"/>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注：报价得分小数点后保留两位小数，第三位四舍五入。</w:t>
            </w:r>
          </w:p>
        </w:tc>
      </w:tr>
    </w:tbl>
    <w:p w14:paraId="03F35D06">
      <w:pPr>
        <w:pageBreakBefore w:val="0"/>
        <w:kinsoku/>
        <w:wordWrap/>
        <w:overflowPunct w:val="0"/>
        <w:topLinePunct w:val="0"/>
        <w:bidi w:val="0"/>
        <w:spacing w:line="360" w:lineRule="auto"/>
        <w:ind w:firstLine="480" w:firstLineChars="200"/>
        <w:rPr>
          <w:rStyle w:val="39"/>
          <w:rFonts w:hint="eastAsia" w:ascii="宋体" w:hAnsi="宋体" w:eastAsia="宋体" w:cs="宋体"/>
          <w:sz w:val="24"/>
          <w:highlight w:val="none"/>
          <w:lang w:eastAsia="zh-CN"/>
        </w:rPr>
      </w:pPr>
    </w:p>
    <w:p w14:paraId="4A6C26F1">
      <w:pPr>
        <w:pageBreakBefore w:val="0"/>
        <w:kinsoku/>
        <w:wordWrap/>
        <w:overflowPunct w:val="0"/>
        <w:topLinePunct w:val="0"/>
        <w:bidi w:val="0"/>
        <w:spacing w:line="360" w:lineRule="auto"/>
        <w:rPr>
          <w:rStyle w:val="39"/>
          <w:rFonts w:hint="eastAsia" w:ascii="宋体" w:hAnsi="宋体" w:eastAsia="宋体" w:cs="宋体"/>
          <w:sz w:val="24"/>
          <w:highlight w:val="none"/>
          <w:lang w:eastAsia="zh-CN"/>
        </w:rPr>
      </w:pPr>
      <w:r>
        <w:rPr>
          <w:rStyle w:val="39"/>
          <w:rFonts w:hint="eastAsia" w:ascii="宋体" w:hAnsi="宋体" w:eastAsia="宋体" w:cs="宋体"/>
          <w:sz w:val="24"/>
          <w:highlight w:val="none"/>
          <w:lang w:eastAsia="zh-CN"/>
        </w:rPr>
        <w:t>注：①以上合同、证书等证明资料须提供扫描件放入响应文件中，否则不得分。</w:t>
      </w:r>
    </w:p>
    <w:p w14:paraId="566BE78A">
      <w:pPr>
        <w:pageBreakBefore w:val="0"/>
        <w:kinsoku/>
        <w:wordWrap/>
        <w:overflowPunct w:val="0"/>
        <w:topLinePunct w:val="0"/>
        <w:bidi w:val="0"/>
        <w:spacing w:line="360" w:lineRule="auto"/>
        <w:ind w:firstLine="480" w:firstLineChars="200"/>
        <w:rPr>
          <w:rStyle w:val="39"/>
          <w:rFonts w:hint="eastAsia" w:ascii="宋体" w:hAnsi="宋体" w:eastAsia="宋体" w:cs="宋体"/>
          <w:sz w:val="24"/>
          <w:highlight w:val="none"/>
          <w:lang w:eastAsia="zh-CN"/>
        </w:rPr>
      </w:pPr>
      <w:r>
        <w:rPr>
          <w:rStyle w:val="39"/>
          <w:rFonts w:hint="eastAsia" w:ascii="宋体" w:hAnsi="宋体" w:eastAsia="宋体" w:cs="宋体"/>
          <w:sz w:val="24"/>
          <w:highlight w:val="none"/>
          <w:lang w:eastAsia="zh-CN"/>
        </w:rPr>
        <w:t>②磋商小组成员按照上述评分细则中的每项内容单独评审打分。</w:t>
      </w:r>
    </w:p>
    <w:p w14:paraId="151B15BE">
      <w:pPr>
        <w:pageBreakBefore w:val="0"/>
        <w:kinsoku/>
        <w:wordWrap/>
        <w:overflowPunct w:val="0"/>
        <w:topLinePunct w:val="0"/>
        <w:bidi w:val="0"/>
        <w:spacing w:line="360" w:lineRule="auto"/>
        <w:ind w:firstLine="480" w:firstLineChars="200"/>
        <w:rPr>
          <w:rStyle w:val="39"/>
          <w:rFonts w:hint="eastAsia" w:ascii="宋体" w:hAnsi="宋体" w:eastAsia="宋体" w:cs="宋体"/>
          <w:sz w:val="24"/>
          <w:highlight w:val="none"/>
          <w:lang w:eastAsia="zh-CN"/>
        </w:rPr>
      </w:pPr>
      <w:r>
        <w:rPr>
          <w:rStyle w:val="39"/>
          <w:rFonts w:hint="eastAsia" w:ascii="宋体" w:hAnsi="宋体" w:eastAsia="宋体" w:cs="宋体"/>
          <w:sz w:val="24"/>
          <w:highlight w:val="none"/>
          <w:lang w:eastAsia="zh-CN"/>
        </w:rPr>
        <w:t>③供应商技术标的最后得分计算方法为：取所有磋商小组成员评分的算术平均值为供应商技术标的最后得分，小数点后保留两位小数，第三位四舍五入。</w:t>
      </w:r>
    </w:p>
    <w:p w14:paraId="380E7025">
      <w:pPr>
        <w:pageBreakBefore w:val="0"/>
        <w:kinsoku/>
        <w:wordWrap/>
        <w:overflowPunct w:val="0"/>
        <w:topLinePunct w:val="0"/>
        <w:bidi w:val="0"/>
        <w:spacing w:line="360" w:lineRule="auto"/>
        <w:ind w:firstLine="480" w:firstLineChars="200"/>
        <w:rPr>
          <w:rStyle w:val="39"/>
          <w:rFonts w:hint="eastAsia" w:ascii="宋体" w:hAnsi="宋体" w:eastAsia="宋体" w:cs="宋体"/>
          <w:sz w:val="24"/>
          <w:highlight w:val="none"/>
          <w:lang w:eastAsia="zh-CN"/>
        </w:rPr>
      </w:pPr>
      <w:r>
        <w:rPr>
          <w:rStyle w:val="39"/>
          <w:rFonts w:hint="eastAsia" w:ascii="宋体" w:hAnsi="宋体" w:eastAsia="宋体" w:cs="宋体"/>
          <w:sz w:val="24"/>
          <w:highlight w:val="none"/>
          <w:lang w:eastAsia="zh-CN"/>
        </w:rPr>
        <w:t>④评审所提供的材料，如存在虚假将取消成交资格并依据《中华人民共和国政府采购法》第七十七条追究相关责任。</w:t>
      </w:r>
    </w:p>
    <w:p w14:paraId="0B60D1F2">
      <w:pPr>
        <w:pageBreakBefore w:val="0"/>
        <w:kinsoku/>
        <w:wordWrap/>
        <w:overflowPunct w:val="0"/>
        <w:topLinePunct w:val="0"/>
        <w:bidi w:val="0"/>
        <w:spacing w:line="360" w:lineRule="auto"/>
        <w:ind w:firstLine="480" w:firstLineChars="200"/>
        <w:rPr>
          <w:rStyle w:val="39"/>
          <w:rFonts w:hint="eastAsia" w:ascii="宋体" w:hAnsi="宋体" w:eastAsia="宋体" w:cs="宋体"/>
          <w:sz w:val="24"/>
          <w:highlight w:val="none"/>
          <w:lang w:eastAsia="zh-CN"/>
        </w:rPr>
      </w:pPr>
      <w:r>
        <w:rPr>
          <w:rStyle w:val="39"/>
          <w:rFonts w:hint="eastAsia" w:ascii="宋体" w:hAnsi="宋体" w:eastAsia="宋体" w:cs="宋体"/>
          <w:sz w:val="24"/>
          <w:highlight w:val="none"/>
          <w:lang w:eastAsia="zh-CN"/>
        </w:rPr>
        <w:t>⑤因落实政府采购政策进行价格调整的，以调整后的价格计算磋商基准价和最后磋商报价。</w:t>
      </w:r>
    </w:p>
    <w:p w14:paraId="69B7DC56">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5CB10634">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185404D3">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376B1AF3">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151064E7">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0696472B">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007EB6F6">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15113510">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3C4ED6CF">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512CFD40">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7593044E">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62AA3EC8">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1D87EF9E">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4DD211D9">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60AAF52B">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61598931">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0A689B11">
      <w:pPr>
        <w:pStyle w:val="8"/>
        <w:pageBreakBefore w:val="0"/>
        <w:kinsoku/>
        <w:wordWrap/>
        <w:overflowPunct w:val="0"/>
        <w:topLinePunct w:val="0"/>
        <w:bidi w:val="0"/>
        <w:spacing w:before="100" w:line="224" w:lineRule="auto"/>
        <w:jc w:val="center"/>
        <w:outlineLvl w:val="1"/>
        <w:rPr>
          <w:rFonts w:hint="eastAsia" w:ascii="宋体" w:hAnsi="宋体" w:eastAsia="宋体" w:cs="宋体"/>
          <w:spacing w:val="9"/>
          <w:sz w:val="31"/>
          <w:szCs w:val="31"/>
          <w:highlight w:val="none"/>
          <w:lang w:eastAsia="zh-CN"/>
        </w:rPr>
      </w:pPr>
    </w:p>
    <w:p w14:paraId="5E954849">
      <w:pPr>
        <w:pStyle w:val="8"/>
        <w:pageBreakBefore w:val="0"/>
        <w:kinsoku/>
        <w:wordWrap/>
        <w:overflowPunct w:val="0"/>
        <w:topLinePunct w:val="0"/>
        <w:bidi w:val="0"/>
        <w:spacing w:before="100" w:line="224" w:lineRule="auto"/>
        <w:jc w:val="center"/>
        <w:outlineLvl w:val="1"/>
        <w:rPr>
          <w:rFonts w:hint="eastAsia" w:ascii="宋体" w:hAnsi="宋体" w:eastAsia="宋体" w:cs="宋体"/>
          <w:sz w:val="31"/>
          <w:szCs w:val="31"/>
          <w:highlight w:val="none"/>
          <w:lang w:eastAsia="zh-CN"/>
        </w:rPr>
      </w:pPr>
      <w:r>
        <w:rPr>
          <w:rFonts w:hint="eastAsia" w:ascii="宋体" w:hAnsi="宋体" w:eastAsia="宋体" w:cs="宋体"/>
          <w:spacing w:val="9"/>
          <w:sz w:val="31"/>
          <w:szCs w:val="31"/>
          <w:highlight w:val="none"/>
          <w:lang w:eastAsia="zh-CN"/>
        </w:rPr>
        <w:t xml:space="preserve">第四章 </w:t>
      </w:r>
      <w:r>
        <w:rPr>
          <w:rFonts w:hint="eastAsia" w:ascii="宋体" w:hAnsi="宋体" w:eastAsia="宋体" w:cs="宋体"/>
          <w:spacing w:val="9"/>
          <w:sz w:val="31"/>
          <w:szCs w:val="31"/>
          <w:highlight w:val="none"/>
          <w:lang w:val="en-US" w:eastAsia="zh-CN"/>
        </w:rPr>
        <w:t xml:space="preserve">   </w:t>
      </w:r>
      <w:r>
        <w:rPr>
          <w:rFonts w:hint="eastAsia" w:ascii="宋体" w:hAnsi="宋体" w:eastAsia="宋体" w:cs="宋体"/>
          <w:spacing w:val="9"/>
          <w:sz w:val="31"/>
          <w:szCs w:val="31"/>
          <w:highlight w:val="none"/>
          <w:lang w:eastAsia="zh-CN"/>
        </w:rPr>
        <w:t>采购需求</w:t>
      </w:r>
    </w:p>
    <w:p w14:paraId="53E03993">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textAlignment w:val="baseline"/>
        <w:rPr>
          <w:rFonts w:hint="eastAsia" w:ascii="宋体" w:hAnsi="宋体" w:eastAsia="宋体" w:cs="宋体"/>
          <w:sz w:val="24"/>
          <w:highlight w:val="none"/>
          <w:lang w:eastAsia="zh-CN"/>
        </w:rPr>
      </w:pPr>
    </w:p>
    <w:p w14:paraId="1039FC18">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注：1、如本章内容与其他章节有冲突，以本章内容为准。</w:t>
      </w:r>
    </w:p>
    <w:p w14:paraId="10147932">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2、如本章内容与国家法律法规相冲突的，以相关法律法规为准。</w:t>
      </w:r>
    </w:p>
    <w:p w14:paraId="386CF75C">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3、如本章内容与国家、地方强制标准相冲突的，以强制标准为准。</w:t>
      </w:r>
    </w:p>
    <w:p w14:paraId="629A3D8B">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firstLine="478" w:firstLineChars="200"/>
        <w:textAlignment w:val="baseline"/>
        <w:rPr>
          <w:rFonts w:hint="eastAsia" w:ascii="宋体" w:hAnsi="宋体" w:eastAsia="宋体" w:cs="宋体"/>
          <w:b/>
          <w:bCs/>
          <w:color w:val="auto"/>
          <w:spacing w:val="-1"/>
          <w:sz w:val="24"/>
          <w:szCs w:val="24"/>
          <w:highlight w:val="none"/>
          <w:lang w:val="en-US" w:eastAsia="zh-CN"/>
        </w:rPr>
      </w:pPr>
    </w:p>
    <w:p w14:paraId="4B51C52C">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firstLine="478" w:firstLineChars="200"/>
        <w:textAlignment w:val="baseline"/>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val="en-US" w:eastAsia="zh-CN"/>
        </w:rPr>
        <w:t>一、采购标的</w:t>
      </w:r>
    </w:p>
    <w:p w14:paraId="0551040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80" w:firstLineChars="20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铜陵市公共资源交易中心开标及评标室改造工程，</w:t>
      </w:r>
      <w:r>
        <w:rPr>
          <w:rFonts w:hint="eastAsia" w:ascii="宋体" w:hAnsi="宋体" w:eastAsia="宋体" w:cs="宋体"/>
          <w:spacing w:val="-3"/>
          <w:sz w:val="24"/>
          <w:szCs w:val="24"/>
          <w:highlight w:val="none"/>
          <w:lang w:val="en-US" w:eastAsia="zh-CN"/>
        </w:rPr>
        <w:t>主要内容包括L型边沟硬化、混凝土硬化（路肩冲刷部分）等工程，具体详见竞争性磋商文件及工程量清单。</w:t>
      </w:r>
    </w:p>
    <w:p w14:paraId="57AC8776">
      <w:pPr>
        <w:spacing w:line="360" w:lineRule="auto"/>
        <w:ind w:firstLine="482" w:firstLineChars="200"/>
        <w:jc w:val="both"/>
        <w:outlineLvl w:val="0"/>
        <w:rPr>
          <w:rFonts w:hint="eastAsia" w:ascii="宋体" w:hAnsi="宋体" w:eastAsia="宋体" w:cs="宋体"/>
          <w:b/>
          <w:bCs/>
          <w:sz w:val="24"/>
          <w:highlight w:val="none"/>
        </w:rPr>
      </w:pPr>
      <w:r>
        <w:rPr>
          <w:rFonts w:hint="eastAsia" w:ascii="宋体" w:hAnsi="宋体" w:eastAsia="宋体" w:cs="宋体"/>
          <w:b/>
          <w:bCs/>
          <w:sz w:val="24"/>
          <w:highlight w:val="none"/>
        </w:rPr>
        <w:t>二、商务要求</w:t>
      </w:r>
    </w:p>
    <w:p w14:paraId="371F1212">
      <w:pPr>
        <w:spacing w:line="360" w:lineRule="auto"/>
        <w:ind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rPr>
        <w:t>1.交付（实施）的时间（期限）和地点（范围）</w:t>
      </w:r>
    </w:p>
    <w:p w14:paraId="7351C441">
      <w:pPr>
        <w:spacing w:line="360" w:lineRule="auto"/>
        <w:ind w:firstLine="480" w:firstLineChars="200"/>
        <w:jc w:val="left"/>
        <w:outlineLvl w:val="0"/>
        <w:rPr>
          <w:rFonts w:hint="eastAsia" w:ascii="宋体" w:hAnsi="宋体" w:eastAsia="宋体" w:cs="宋体"/>
          <w:sz w:val="24"/>
          <w:highlight w:val="yellow"/>
        </w:rPr>
      </w:pPr>
      <w:r>
        <w:rPr>
          <w:rFonts w:hint="eastAsia" w:ascii="宋体" w:hAnsi="宋体" w:eastAsia="宋体" w:cs="宋体"/>
          <w:sz w:val="24"/>
          <w:highlight w:val="none"/>
          <w:lang w:val="en-US" w:eastAsia="zh-CN"/>
        </w:rPr>
        <w:t>实施工期：自合同签订之日起，30日历天内完成</w:t>
      </w:r>
    </w:p>
    <w:p w14:paraId="40EA7FE1">
      <w:pPr>
        <w:spacing w:line="360" w:lineRule="auto"/>
        <w:ind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lang w:val="en-US" w:eastAsia="zh-CN"/>
        </w:rPr>
        <w:t>实施地点：安徽省铜陵市投资大厦（铜井路与铜都大道北段交叉口西北100米）</w:t>
      </w:r>
    </w:p>
    <w:p w14:paraId="0CE65E13">
      <w:pPr>
        <w:spacing w:line="360" w:lineRule="auto"/>
        <w:ind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rPr>
        <w:t>2.付款条件</w:t>
      </w:r>
    </w:p>
    <w:p w14:paraId="6A10EDEB">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outlineLvl w:val="0"/>
        <w:rPr>
          <w:rFonts w:hint="eastAsia" w:ascii="宋体" w:hAnsi="宋体" w:eastAsia="宋体" w:cs="宋体"/>
          <w:sz w:val="24"/>
          <w:highlight w:val="none"/>
          <w:lang w:val="en-US" w:eastAsia="en-US"/>
        </w:rPr>
      </w:pPr>
      <w:r>
        <w:rPr>
          <w:rFonts w:hint="eastAsia" w:ascii="宋体" w:hAnsi="宋体" w:eastAsia="宋体" w:cs="宋体"/>
          <w:sz w:val="24"/>
          <w:highlight w:val="none"/>
          <w:lang w:val="en-US" w:eastAsia="en-US"/>
        </w:rPr>
        <w:t>采购人支付本项目合同金额的40%为预付款</w:t>
      </w:r>
      <w:r>
        <w:rPr>
          <w:rFonts w:hint="eastAsia" w:ascii="宋体" w:hAnsi="宋体" w:eastAsia="宋体" w:cs="宋体"/>
          <w:sz w:val="24"/>
          <w:highlight w:val="none"/>
          <w:lang w:val="en-US" w:eastAsia="zh-CN"/>
        </w:rPr>
        <w:t>（提供等额</w:t>
      </w:r>
      <w:r>
        <w:rPr>
          <w:rFonts w:hint="eastAsia" w:ascii="宋体" w:hAnsi="宋体" w:eastAsia="宋体" w:cs="宋体"/>
          <w:sz w:val="24"/>
          <w:highlight w:val="none"/>
          <w:lang w:val="en-US" w:eastAsia="en-US"/>
        </w:rPr>
        <w:t>预付款保函</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val="en-US" w:eastAsia="en-US"/>
        </w:rPr>
        <w:t>；已完成施工合同约定节点工作内容，工程质量合格或达到合同约定目标的，予以办理施工过程结算竣工结算前全部节点的施工过程结算价款(含工程预付款)支付比例85%；竣工工程结算经审核后付至审定价的100%，在收到供应商发票后7个工作日内一次性付清。质保金为工程结算审核价的3%。(待工程缺陷责任期满无质量问题后一次性返还。不得变相以质保金名义占用合同尾款)。</w:t>
      </w:r>
    </w:p>
    <w:p w14:paraId="4D5A5898">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outlineLvl w:val="0"/>
        <w:rPr>
          <w:rFonts w:hint="eastAsia" w:ascii="宋体" w:hAnsi="宋体" w:eastAsia="宋体" w:cs="宋体"/>
          <w:sz w:val="24"/>
          <w:highlight w:val="none"/>
          <w:lang w:val="en-US" w:eastAsia="en-US"/>
        </w:rPr>
      </w:pPr>
      <w:r>
        <w:rPr>
          <w:rFonts w:hint="eastAsia" w:ascii="宋体" w:hAnsi="宋体" w:eastAsia="宋体" w:cs="宋体"/>
          <w:sz w:val="24"/>
          <w:highlight w:val="none"/>
          <w:lang w:val="en-US" w:eastAsia="en-US"/>
        </w:rPr>
        <w:t>供应商可提供相应金额的银行、保险公司、担保公司等金融机构出具的预付款保函或其他担保措施。</w:t>
      </w:r>
    </w:p>
    <w:p w14:paraId="4F9799FA">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outlineLvl w:val="0"/>
        <w:rPr>
          <w:rFonts w:hint="eastAsia" w:ascii="宋体" w:hAnsi="宋体" w:eastAsia="宋体" w:cs="宋体"/>
          <w:sz w:val="24"/>
          <w:highlight w:val="none"/>
        </w:rPr>
      </w:pPr>
      <w:r>
        <w:rPr>
          <w:rFonts w:hint="eastAsia" w:ascii="宋体" w:hAnsi="宋体" w:eastAsia="宋体" w:cs="宋体"/>
          <w:sz w:val="24"/>
          <w:highlight w:val="none"/>
          <w:lang w:val="en-US" w:eastAsia="en-US"/>
        </w:rPr>
        <w:t>3.</w:t>
      </w:r>
      <w:r>
        <w:rPr>
          <w:rFonts w:hint="eastAsia" w:ascii="宋体" w:hAnsi="宋体" w:eastAsia="宋体" w:cs="宋体"/>
          <w:sz w:val="24"/>
          <w:highlight w:val="none"/>
        </w:rPr>
        <w:t>包装和运输</w:t>
      </w:r>
    </w:p>
    <w:p w14:paraId="541AB1AC">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outlineLvl w:val="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项目施工材料的</w:t>
      </w:r>
      <w:r>
        <w:rPr>
          <w:rFonts w:hint="eastAsia" w:ascii="宋体" w:hAnsi="宋体" w:eastAsia="宋体" w:cs="宋体"/>
          <w:sz w:val="24"/>
          <w:highlight w:val="none"/>
        </w:rPr>
        <w:t>包装和</w:t>
      </w:r>
      <w:r>
        <w:rPr>
          <w:rFonts w:hint="eastAsia" w:ascii="宋体" w:hAnsi="宋体" w:eastAsia="宋体" w:cs="宋体"/>
          <w:sz w:val="24"/>
          <w:highlight w:val="none"/>
          <w:lang w:val="en-US" w:eastAsia="zh-CN"/>
        </w:rPr>
        <w:t>运输</w:t>
      </w:r>
      <w:r>
        <w:rPr>
          <w:rFonts w:hint="eastAsia" w:ascii="宋体" w:hAnsi="宋体" w:eastAsia="宋体" w:cs="宋体"/>
          <w:sz w:val="24"/>
          <w:highlight w:val="none"/>
        </w:rPr>
        <w:t>须满足《关于印发〈商品包装政府采购需求标准（试行）〉〈快递包装政府采购需求标准（试行）〉的通知》（财办库﹝2020﹞123号））</w:t>
      </w:r>
      <w:r>
        <w:rPr>
          <w:rFonts w:hint="eastAsia" w:ascii="宋体" w:hAnsi="宋体" w:eastAsia="宋体" w:cs="宋体"/>
          <w:sz w:val="24"/>
          <w:highlight w:val="none"/>
          <w:lang w:eastAsia="zh-CN"/>
        </w:rPr>
        <w:t>。</w:t>
      </w:r>
    </w:p>
    <w:p w14:paraId="73D381DD">
      <w:pPr>
        <w:spacing w:line="360" w:lineRule="auto"/>
        <w:ind w:firstLine="482" w:firstLineChars="200"/>
        <w:jc w:val="left"/>
        <w:outlineLvl w:val="0"/>
        <w:rPr>
          <w:rFonts w:hint="eastAsia" w:ascii="宋体" w:hAnsi="宋体" w:eastAsia="宋体" w:cs="宋体"/>
          <w:b/>
          <w:bCs/>
          <w:sz w:val="24"/>
          <w:highlight w:val="none"/>
        </w:rPr>
      </w:pPr>
      <w:r>
        <w:rPr>
          <w:rFonts w:hint="eastAsia" w:ascii="宋体" w:hAnsi="宋体" w:eastAsia="宋体" w:cs="宋体"/>
          <w:b/>
          <w:bCs/>
          <w:sz w:val="24"/>
          <w:highlight w:val="none"/>
        </w:rPr>
        <w:t>三、技术要求</w:t>
      </w:r>
    </w:p>
    <w:p w14:paraId="38AA52F3">
      <w:pPr>
        <w:spacing w:line="360" w:lineRule="auto"/>
        <w:ind w:firstLine="480" w:firstLineChars="200"/>
        <w:jc w:val="left"/>
        <w:outlineLvl w:val="0"/>
        <w:rPr>
          <w:rFonts w:hint="eastAsia" w:ascii="宋体" w:hAnsi="宋体" w:eastAsia="宋体" w:cs="宋体"/>
          <w:sz w:val="24"/>
          <w:highlight w:val="none"/>
        </w:rPr>
      </w:pPr>
      <w:r>
        <w:rPr>
          <w:rFonts w:hint="eastAsia" w:ascii="宋体" w:hAnsi="宋体" w:eastAsia="宋体" w:cs="宋体"/>
          <w:sz w:val="24"/>
          <w:highlight w:val="none"/>
        </w:rPr>
        <w:t>1. 基本要求</w:t>
      </w:r>
    </w:p>
    <w:p w14:paraId="4E8A7A8D">
      <w:pPr>
        <w:spacing w:line="360" w:lineRule="auto"/>
        <w:ind w:firstLine="480" w:firstLineChars="200"/>
        <w:jc w:val="left"/>
        <w:outlineLvl w:val="0"/>
        <w:rPr>
          <w:rFonts w:hint="eastAsia" w:ascii="宋体" w:hAnsi="宋体" w:eastAsia="宋体" w:cs="宋体"/>
          <w:sz w:val="24"/>
          <w:highlight w:val="none"/>
          <w:lang w:eastAsia="zh-CN"/>
        </w:rPr>
      </w:pPr>
      <w:r>
        <w:rPr>
          <w:rFonts w:hint="eastAsia" w:ascii="宋体" w:hAnsi="宋体" w:eastAsia="宋体" w:cs="宋体"/>
          <w:sz w:val="24"/>
          <w:highlight w:val="none"/>
        </w:rPr>
        <w:t>1.1 采购标的需实现的功能或者目标</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具体详见工程量清单</w:t>
      </w:r>
      <w:r>
        <w:rPr>
          <w:rFonts w:hint="eastAsia" w:ascii="宋体" w:hAnsi="宋体" w:eastAsia="宋体" w:cs="宋体"/>
          <w:sz w:val="24"/>
          <w:szCs w:val="24"/>
          <w:highlight w:val="none"/>
          <w:lang w:eastAsia="zh-CN"/>
        </w:rPr>
        <w:t>。</w:t>
      </w:r>
    </w:p>
    <w:p w14:paraId="02E86ADF">
      <w:pPr>
        <w:numPr>
          <w:ilvl w:val="0"/>
          <w:numId w:val="0"/>
        </w:numPr>
        <w:spacing w:line="360" w:lineRule="auto"/>
        <w:ind w:firstLine="480" w:firstLineChars="200"/>
        <w:jc w:val="left"/>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 需执行的国家相关标准、行业标准、地方标准或者其他标准、规范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具体详见工程量清单及第五章拟签订的合同文本</w:t>
      </w:r>
      <w:r>
        <w:rPr>
          <w:rFonts w:hint="eastAsia" w:ascii="宋体" w:hAnsi="宋体" w:eastAsia="宋体" w:cs="宋体"/>
          <w:sz w:val="24"/>
          <w:szCs w:val="24"/>
          <w:highlight w:val="none"/>
          <w:lang w:eastAsia="zh-CN"/>
        </w:rPr>
        <w:t>。</w:t>
      </w:r>
    </w:p>
    <w:p w14:paraId="65A03418">
      <w:pPr>
        <w:numPr>
          <w:ilvl w:val="0"/>
          <w:numId w:val="0"/>
        </w:num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napToGrid w:val="0"/>
          <w:color w:val="000000"/>
          <w:sz w:val="24"/>
          <w:szCs w:val="24"/>
          <w:highlight w:val="none"/>
          <w:lang w:val="en-US" w:eastAsia="en-US" w:bidi="ar-SA"/>
        </w:rPr>
        <w:t>2.</w:t>
      </w:r>
      <w:r>
        <w:rPr>
          <w:rFonts w:hint="eastAsia" w:ascii="宋体" w:hAnsi="宋体" w:eastAsia="宋体" w:cs="宋体"/>
          <w:sz w:val="24"/>
          <w:szCs w:val="24"/>
          <w:highlight w:val="none"/>
        </w:rPr>
        <w:t>服务内容及要求/货物技术要求</w:t>
      </w:r>
    </w:p>
    <w:p w14:paraId="25F858AF">
      <w:pPr>
        <w:numPr>
          <w:ilvl w:val="0"/>
          <w:numId w:val="0"/>
        </w:num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2.1 采购标的需满足的性能、材料、结构、外观、质量、安全、技术规格 物理特性等要求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具体详见工程量清单及第五章拟签订的合同文本；</w:t>
      </w:r>
    </w:p>
    <w:p w14:paraId="16FFAF4A">
      <w:pPr>
        <w:numPr>
          <w:ilvl w:val="0"/>
          <w:numId w:val="0"/>
        </w:numPr>
        <w:spacing w:line="360" w:lineRule="auto"/>
        <w:ind w:firstLine="480" w:firstLineChars="200"/>
        <w:jc w:val="left"/>
        <w:outlineLvl w:val="0"/>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2.2 采购标的需满足的服务标准、期限、效率等要求</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en-US"/>
        </w:rPr>
        <w:t>服务标准：合格；</w:t>
      </w:r>
    </w:p>
    <w:p w14:paraId="1C0891E3">
      <w:pPr>
        <w:numPr>
          <w:ilvl w:val="0"/>
          <w:numId w:val="0"/>
        </w:numPr>
        <w:spacing w:line="360" w:lineRule="auto"/>
        <w:ind w:firstLine="480" w:firstLineChars="200"/>
        <w:jc w:val="left"/>
        <w:outlineLvl w:val="0"/>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期限：自合同签订之日起，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val="en-US" w:eastAsia="en-US"/>
        </w:rPr>
        <w:t>日历天内完成</w:t>
      </w:r>
      <w:r>
        <w:rPr>
          <w:rFonts w:hint="eastAsia" w:ascii="宋体" w:hAnsi="宋体" w:eastAsia="宋体" w:cs="宋体"/>
          <w:sz w:val="24"/>
          <w:szCs w:val="24"/>
          <w:highlight w:val="none"/>
          <w:lang w:val="en-US" w:eastAsia="en-US"/>
        </w:rPr>
        <w:t>；</w:t>
      </w:r>
    </w:p>
    <w:p w14:paraId="024D9B9D">
      <w:pPr>
        <w:numPr>
          <w:ilvl w:val="0"/>
          <w:numId w:val="0"/>
        </w:numPr>
        <w:spacing w:line="360" w:lineRule="auto"/>
        <w:ind w:firstLine="480" w:firstLineChars="200"/>
        <w:jc w:val="left"/>
        <w:outlineLvl w:val="0"/>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2.3 为落实政府采购政策需满足的要求</w:t>
      </w:r>
    </w:p>
    <w:p w14:paraId="794FF0E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outlineLvl w:val="0"/>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按照财政部、工业和信息化部制定的《政府采购促进中小企业发展管理办法》，本项目为专门面向中小企业采购项目（专门面向中小企业采购的项目，</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lang w:val="en-US" w:eastAsia="en-US"/>
        </w:rPr>
        <w:t>供应商应为中小微企业、监狱企业、残疾人福利性单位)。企业划型标准按照《关于印发中小企业划型标准规定的通知》（工信部联企业〔2011〕300号规定执行）；</w:t>
      </w:r>
    </w:p>
    <w:p w14:paraId="61FD4BC5">
      <w:pPr>
        <w:numPr>
          <w:ilvl w:val="0"/>
          <w:numId w:val="0"/>
        </w:numPr>
        <w:spacing w:line="360" w:lineRule="auto"/>
        <w:ind w:firstLine="480" w:firstLineChars="200"/>
        <w:jc w:val="left"/>
        <w:outlineLvl w:val="0"/>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en-US"/>
        </w:rPr>
        <w:t>2.4 采购标的的其他技术、服务等要求</w:t>
      </w:r>
      <w:r>
        <w:rPr>
          <w:rFonts w:hint="eastAsia" w:ascii="宋体" w:hAnsi="宋体" w:eastAsia="宋体" w:cs="宋体"/>
          <w:sz w:val="24"/>
          <w:szCs w:val="24"/>
          <w:highlight w:val="none"/>
          <w:lang w:val="en-US" w:eastAsia="zh-CN"/>
        </w:rPr>
        <w:t>：</w:t>
      </w:r>
      <w:r>
        <w:rPr>
          <w:rFonts w:hint="eastAsia" w:ascii="宋体" w:hAnsi="宋体" w:eastAsia="宋体" w:cs="宋体"/>
          <w:sz w:val="24"/>
          <w:highlight w:val="none"/>
          <w:lang w:val="en-US" w:eastAsia="zh-CN"/>
        </w:rPr>
        <w:t>中标后必须在30日内完</w:t>
      </w:r>
      <w:r>
        <w:rPr>
          <w:rFonts w:hint="eastAsia" w:ascii="宋体" w:hAnsi="宋体" w:eastAsia="宋体" w:cs="宋体"/>
          <w:sz w:val="24"/>
          <w:highlight w:val="yellow"/>
          <w:lang w:val="en-US" w:eastAsia="zh-CN"/>
        </w:rPr>
        <w:t>成</w:t>
      </w:r>
      <w:r>
        <w:rPr>
          <w:rFonts w:hint="eastAsia" w:ascii="宋体" w:hAnsi="宋体" w:eastAsia="宋体" w:cs="宋体"/>
          <w:sz w:val="24"/>
          <w:highlight w:val="none"/>
          <w:lang w:val="en-US" w:eastAsia="zh-CN"/>
        </w:rPr>
        <w:t>。</w:t>
      </w:r>
    </w:p>
    <w:p w14:paraId="4E9580A3">
      <w:pPr>
        <w:spacing w:line="360" w:lineRule="auto"/>
        <w:ind w:firstLine="480" w:firstLineChars="200"/>
        <w:jc w:val="left"/>
        <w:outlineLvl w:val="0"/>
        <w:rPr>
          <w:rFonts w:hint="eastAsia" w:ascii="宋体" w:hAnsi="宋体" w:eastAsia="宋体" w:cs="宋体"/>
          <w:sz w:val="24"/>
          <w:highlight w:val="none"/>
          <w:lang w:val="en-US" w:eastAsia="zh-CN"/>
        </w:rPr>
      </w:pPr>
      <w:r>
        <w:rPr>
          <w:rFonts w:hint="eastAsia" w:ascii="宋体" w:hAnsi="宋体" w:eastAsia="宋体" w:cs="宋体"/>
          <w:sz w:val="24"/>
          <w:highlight w:val="none"/>
        </w:rPr>
        <w:t>2.5 需由供应商</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供设计方案、解决方案或者组织方案的采购项目，应当说明采购标的的功能、应用场景、目标等基本要求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无。</w:t>
      </w:r>
    </w:p>
    <w:p w14:paraId="0048DEE5">
      <w:pPr>
        <w:spacing w:line="360" w:lineRule="auto"/>
        <w:ind w:firstLine="480" w:firstLineChars="200"/>
        <w:jc w:val="left"/>
        <w:outlineLvl w:val="0"/>
        <w:rPr>
          <w:rFonts w:hint="eastAsia" w:ascii="宋体" w:hAnsi="宋体" w:eastAsia="宋体" w:cs="宋体"/>
          <w:sz w:val="24"/>
          <w:highlight w:val="none"/>
          <w:lang w:eastAsia="zh-CN"/>
        </w:rPr>
      </w:pPr>
      <w:r>
        <w:rPr>
          <w:rFonts w:hint="eastAsia" w:ascii="宋体" w:hAnsi="宋体" w:eastAsia="宋体" w:cs="宋体"/>
          <w:sz w:val="24"/>
          <w:highlight w:val="none"/>
        </w:rPr>
        <w:t>3.验收标准</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具体详见工程量清单及第五章拟签订的合同文本</w:t>
      </w:r>
      <w:r>
        <w:rPr>
          <w:rFonts w:hint="eastAsia" w:ascii="宋体" w:hAnsi="宋体" w:eastAsia="宋体" w:cs="宋体"/>
          <w:sz w:val="24"/>
          <w:szCs w:val="24"/>
          <w:highlight w:val="none"/>
          <w:lang w:eastAsia="zh-CN"/>
        </w:rPr>
        <w:t>。</w:t>
      </w:r>
    </w:p>
    <w:p w14:paraId="08FC43BB">
      <w:pPr>
        <w:spacing w:line="360" w:lineRule="auto"/>
        <w:ind w:firstLine="480" w:firstLineChars="200"/>
        <w:jc w:val="both"/>
        <w:outlineLvl w:val="0"/>
        <w:rPr>
          <w:rFonts w:hint="eastAsia" w:ascii="宋体" w:hAnsi="宋体" w:eastAsia="宋体" w:cs="宋体"/>
          <w:sz w:val="24"/>
          <w:highlight w:val="none"/>
          <w:lang w:eastAsia="zh-CN"/>
        </w:rPr>
      </w:pPr>
      <w:r>
        <w:rPr>
          <w:rFonts w:hint="eastAsia" w:ascii="宋体" w:hAnsi="宋体" w:eastAsia="宋体" w:cs="宋体"/>
          <w:sz w:val="24"/>
          <w:highlight w:val="none"/>
        </w:rPr>
        <w:t>4.其他要求</w:t>
      </w:r>
    </w:p>
    <w:p w14:paraId="697C0630">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（1）依据工程设计图纸、拟定的</w:t>
      </w:r>
      <w:r>
        <w:rPr>
          <w:rFonts w:hint="eastAsia" w:cs="宋体"/>
          <w:color w:val="auto"/>
          <w:spacing w:val="-1"/>
          <w:sz w:val="24"/>
          <w:szCs w:val="24"/>
          <w:highlight w:val="none"/>
          <w:lang w:val="en-US" w:eastAsia="zh-CN"/>
        </w:rPr>
        <w:t>磋商文件</w:t>
      </w:r>
      <w:r>
        <w:rPr>
          <w:rFonts w:hint="eastAsia" w:ascii="宋体" w:hAnsi="宋体" w:eastAsia="宋体" w:cs="宋体"/>
          <w:color w:val="auto"/>
          <w:spacing w:val="-1"/>
          <w:sz w:val="24"/>
          <w:szCs w:val="24"/>
          <w:highlight w:val="none"/>
          <w:lang w:val="en-US" w:eastAsia="zh-CN"/>
        </w:rPr>
        <w:t>等。</w:t>
      </w:r>
    </w:p>
    <w:p w14:paraId="2659CBE0">
      <w:pPr>
        <w:spacing w:line="360" w:lineRule="auto"/>
        <w:ind w:firstLine="476" w:firstLineChars="200"/>
        <w:jc w:val="left"/>
        <w:outlineLvl w:val="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（2）本控制价编制执行：（1）本项目计价依据《建设工程工程量清单计价规范》GB50500－2013、2018版安徽省建设工程计价依据和安徽省住房和城乡建设厅2024 年公告第51号《安徽省建设工程计价依据动态调整(第1期)》等相关资料；</w:t>
      </w:r>
    </w:p>
    <w:p w14:paraId="5C612B49">
      <w:pPr>
        <w:spacing w:line="360" w:lineRule="auto"/>
        <w:ind w:firstLine="476" w:firstLineChars="200"/>
        <w:jc w:val="left"/>
        <w:outlineLvl w:val="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（2）本项目采用一般计税方法，增值税税率执行《关于调整我省现行建设工程计价依据增值税税率的通知》（造价〔2019〕7号），增值税税率为9%；</w:t>
      </w:r>
    </w:p>
    <w:p w14:paraId="4E9D4875">
      <w:pPr>
        <w:spacing w:line="360" w:lineRule="auto"/>
        <w:ind w:firstLine="476" w:firstLineChars="200"/>
        <w:jc w:val="left"/>
        <w:outlineLvl w:val="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（3）人工费执行安徽省住房城乡建设厅颁发的建标【2021】46号《安徽省关于规范我省建设工程人工价格信息发布工作的通知》，人工费按照158.56元/工日；</w:t>
      </w:r>
    </w:p>
    <w:p w14:paraId="4E165342">
      <w:pPr>
        <w:spacing w:line="360" w:lineRule="auto"/>
        <w:ind w:firstLine="476" w:firstLineChars="200"/>
        <w:jc w:val="left"/>
        <w:outlineLvl w:val="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（4）材料价格及人工费参照2025年第5期《铜陵工程造价》及近期市场参考价；</w:t>
      </w:r>
    </w:p>
    <w:p w14:paraId="51D6FD4F">
      <w:pPr>
        <w:spacing w:line="360" w:lineRule="auto"/>
        <w:ind w:firstLine="476" w:firstLineChars="200"/>
        <w:jc w:val="left"/>
        <w:outlineLvl w:val="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（5）本工程未设</w:t>
      </w:r>
      <w:bookmarkStart w:id="1185" w:name="_GoBack"/>
      <w:r>
        <w:rPr>
          <w:rFonts w:hint="eastAsia" w:ascii="宋体" w:hAnsi="宋体" w:eastAsia="宋体" w:cs="宋体"/>
          <w:color w:val="auto"/>
          <w:spacing w:val="-1"/>
          <w:sz w:val="24"/>
          <w:szCs w:val="24"/>
          <w:highlight w:val="none"/>
          <w:lang w:val="en-US" w:eastAsia="zh-CN"/>
        </w:rPr>
        <w:t>暂列金额</w:t>
      </w:r>
      <w:bookmarkEnd w:id="1185"/>
      <w:r>
        <w:rPr>
          <w:rFonts w:hint="eastAsia" w:ascii="宋体" w:hAnsi="宋体" w:eastAsia="宋体" w:cs="宋体"/>
          <w:color w:val="auto"/>
          <w:spacing w:val="-1"/>
          <w:sz w:val="24"/>
          <w:szCs w:val="24"/>
          <w:highlight w:val="none"/>
          <w:lang w:val="en-US" w:eastAsia="zh-CN"/>
        </w:rPr>
        <w:t>。</w:t>
      </w:r>
    </w:p>
    <w:p w14:paraId="798CB54F">
      <w:pPr>
        <w:spacing w:line="360" w:lineRule="auto"/>
        <w:ind w:firstLine="476" w:firstLineChars="200"/>
        <w:jc w:val="left"/>
        <w:outlineLvl w:val="0"/>
        <w:rPr>
          <w:rFonts w:hint="eastAsia" w:ascii="宋体" w:hAnsi="宋体" w:eastAsia="宋体" w:cs="宋体"/>
          <w:color w:val="auto"/>
          <w:spacing w:val="-1"/>
          <w:sz w:val="24"/>
          <w:szCs w:val="24"/>
          <w:highlight w:val="none"/>
          <w:lang w:val="en-US" w:eastAsia="zh-CN"/>
        </w:rPr>
      </w:pPr>
    </w:p>
    <w:p w14:paraId="38220E60">
      <w:pPr>
        <w:spacing w:line="360" w:lineRule="auto"/>
        <w:ind w:firstLine="476" w:firstLineChars="200"/>
        <w:jc w:val="left"/>
        <w:outlineLvl w:val="0"/>
        <w:rPr>
          <w:rFonts w:hint="eastAsia" w:ascii="宋体" w:hAnsi="宋体" w:eastAsia="宋体" w:cs="宋体"/>
          <w:color w:val="auto"/>
          <w:spacing w:val="-1"/>
          <w:sz w:val="24"/>
          <w:szCs w:val="24"/>
          <w:highlight w:val="none"/>
          <w:lang w:val="en-US" w:eastAsia="zh-CN"/>
        </w:rPr>
      </w:pPr>
    </w:p>
    <w:p w14:paraId="162F06C1">
      <w:pPr>
        <w:spacing w:line="360" w:lineRule="auto"/>
        <w:ind w:firstLine="476" w:firstLineChars="200"/>
        <w:jc w:val="left"/>
        <w:outlineLvl w:val="0"/>
        <w:rPr>
          <w:rFonts w:hint="eastAsia" w:ascii="宋体" w:hAnsi="宋体" w:eastAsia="宋体" w:cs="宋体"/>
          <w:color w:val="auto"/>
          <w:spacing w:val="-1"/>
          <w:sz w:val="24"/>
          <w:szCs w:val="24"/>
          <w:highlight w:val="none"/>
          <w:lang w:val="en-US" w:eastAsia="zh-CN"/>
        </w:rPr>
      </w:pPr>
    </w:p>
    <w:p w14:paraId="26C3D761">
      <w:pPr>
        <w:numPr>
          <w:ilvl w:val="0"/>
          <w:numId w:val="0"/>
        </w:numPr>
        <w:spacing w:line="360" w:lineRule="auto"/>
        <w:jc w:val="center"/>
        <w:outlineLvl w:val="0"/>
        <w:rPr>
          <w:rFonts w:hint="eastAsia" w:ascii="宋体" w:hAnsi="宋体" w:eastAsia="宋体" w:cs="宋体"/>
          <w:b/>
          <w:color w:val="auto"/>
          <w:sz w:val="36"/>
          <w:szCs w:val="36"/>
        </w:rPr>
      </w:pPr>
      <w:r>
        <w:rPr>
          <w:rFonts w:hint="eastAsia" w:ascii="宋体" w:hAnsi="宋体" w:eastAsia="宋体" w:cs="宋体"/>
          <w:b/>
          <w:color w:val="auto"/>
          <w:kern w:val="2"/>
          <w:sz w:val="36"/>
          <w:szCs w:val="36"/>
          <w:lang w:val="en-US" w:eastAsia="zh-CN" w:bidi="ar-SA"/>
        </w:rPr>
        <w:t>第五章</w:t>
      </w:r>
      <w:r>
        <w:rPr>
          <w:rFonts w:hint="eastAsia" w:ascii="宋体" w:hAnsi="宋体" w:eastAsia="宋体" w:cs="宋体"/>
          <w:b/>
          <w:color w:val="auto"/>
          <w:sz w:val="36"/>
          <w:szCs w:val="36"/>
        </w:rPr>
        <w:t xml:space="preserve"> </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eastAsia="zh-CN"/>
        </w:rPr>
        <w:t>拟签订的合同文本</w:t>
      </w:r>
    </w:p>
    <w:p w14:paraId="566C2C90">
      <w:pPr>
        <w:keepNext/>
        <w:keepLines/>
        <w:snapToGrid w:val="0"/>
        <w:spacing w:before="312" w:beforeLines="100" w:after="312" w:afterLines="100" w:line="360" w:lineRule="auto"/>
        <w:jc w:val="center"/>
        <w:outlineLvl w:val="1"/>
        <w:rPr>
          <w:rFonts w:cs="宋体"/>
          <w:b/>
          <w:bCs/>
          <w:color w:val="auto"/>
          <w:sz w:val="28"/>
          <w:szCs w:val="28"/>
        </w:rPr>
      </w:pPr>
      <w:bookmarkStart w:id="547" w:name="_Toc28799376"/>
      <w:bookmarkStart w:id="548" w:name="_Toc130919120"/>
      <w:r>
        <w:rPr>
          <w:rFonts w:hint="eastAsia" w:cs="宋体"/>
          <w:b/>
          <w:bCs/>
          <w:color w:val="auto"/>
          <w:sz w:val="28"/>
          <w:szCs w:val="28"/>
        </w:rPr>
        <w:t>第一节  合同协议书</w:t>
      </w:r>
      <w:bookmarkEnd w:id="547"/>
      <w:bookmarkEnd w:id="548"/>
    </w:p>
    <w:p w14:paraId="5EED30E6">
      <w:pPr>
        <w:spacing w:line="360" w:lineRule="auto"/>
        <w:rPr>
          <w:rFonts w:cs="宋体"/>
          <w:b/>
          <w:color w:val="auto"/>
          <w:sz w:val="24"/>
          <w:szCs w:val="24"/>
          <w:u w:val="single"/>
        </w:rPr>
      </w:pPr>
      <w:r>
        <w:rPr>
          <w:rFonts w:hint="eastAsia" w:cs="宋体"/>
          <w:b/>
          <w:color w:val="auto"/>
          <w:sz w:val="24"/>
          <w:szCs w:val="24"/>
        </w:rPr>
        <w:t>发包人（全称）：</w:t>
      </w:r>
      <w:r>
        <w:rPr>
          <w:rFonts w:hint="eastAsia" w:cs="宋体"/>
          <w:b/>
          <w:color w:val="auto"/>
          <w:sz w:val="24"/>
          <w:szCs w:val="24"/>
          <w:u w:val="single"/>
        </w:rPr>
        <w:t xml:space="preserve">        </w:t>
      </w:r>
    </w:p>
    <w:p w14:paraId="1CC1C8A2">
      <w:pPr>
        <w:spacing w:line="360" w:lineRule="auto"/>
        <w:rPr>
          <w:rFonts w:cs="宋体"/>
          <w:b/>
          <w:color w:val="auto"/>
          <w:sz w:val="24"/>
          <w:szCs w:val="24"/>
          <w:u w:val="single"/>
        </w:rPr>
      </w:pPr>
      <w:r>
        <w:rPr>
          <w:rFonts w:hint="eastAsia" w:cs="宋体"/>
          <w:b/>
          <w:color w:val="auto"/>
          <w:sz w:val="24"/>
          <w:szCs w:val="24"/>
        </w:rPr>
        <w:t>承包人（全称）：</w:t>
      </w:r>
      <w:r>
        <w:rPr>
          <w:rFonts w:hint="eastAsia" w:cs="宋体"/>
          <w:b/>
          <w:color w:val="auto"/>
          <w:sz w:val="24"/>
          <w:szCs w:val="24"/>
          <w:u w:val="single"/>
        </w:rPr>
        <w:t xml:space="preserve">        </w:t>
      </w:r>
    </w:p>
    <w:p w14:paraId="780E98F1">
      <w:pPr>
        <w:spacing w:line="360" w:lineRule="auto"/>
        <w:rPr>
          <w:rFonts w:ascii="Times New Roman" w:hAnsi="Times New Roman" w:eastAsia="仿宋_GB2312" w:cs="Times New Roman"/>
          <w:b/>
          <w:color w:val="auto"/>
          <w:kern w:val="2"/>
          <w:sz w:val="30"/>
          <w:szCs w:val="30"/>
          <w:u w:val="single"/>
        </w:rPr>
      </w:pPr>
    </w:p>
    <w:p w14:paraId="7ABF30FC">
      <w:pPr>
        <w:snapToGrid w:val="0"/>
        <w:spacing w:line="360" w:lineRule="auto"/>
        <w:ind w:firstLine="420" w:firstLineChars="200"/>
        <w:rPr>
          <w:rFonts w:cs="宋体"/>
          <w:color w:val="auto"/>
          <w:sz w:val="21"/>
          <w:szCs w:val="21"/>
        </w:rPr>
      </w:pPr>
      <w:r>
        <w:rPr>
          <w:rFonts w:hint="eastAsia" w:cs="宋体"/>
          <w:color w:val="auto"/>
          <w:sz w:val="21"/>
          <w:szCs w:val="21"/>
        </w:rPr>
        <w:t>根据《中华人民共和国民法典》《中华人民共和国建筑法》及有关法律规定，遵循平等、自愿、公平和诚实信用的原则，双方就</w:t>
      </w:r>
      <w:r>
        <w:rPr>
          <w:rFonts w:hint="eastAsia" w:cs="宋体"/>
          <w:color w:val="auto"/>
          <w:sz w:val="21"/>
          <w:szCs w:val="21"/>
          <w:u w:val="single"/>
        </w:rPr>
        <w:t xml:space="preserve"> </w:t>
      </w:r>
      <w:r>
        <w:rPr>
          <w:rFonts w:hint="eastAsia" w:cs="宋体"/>
          <w:color w:val="auto"/>
          <w:sz w:val="21"/>
          <w:szCs w:val="21"/>
          <w:u w:val="single"/>
          <w:lang w:eastAsia="zh-CN"/>
        </w:rPr>
        <w:t>铜陵市公共资源交易中心开标及评标室改造工程</w:t>
      </w:r>
      <w:r>
        <w:rPr>
          <w:rFonts w:hint="eastAsia" w:cs="宋体"/>
          <w:color w:val="auto"/>
          <w:sz w:val="21"/>
          <w:szCs w:val="21"/>
          <w:u w:val="single"/>
        </w:rPr>
        <w:t xml:space="preserve"> </w:t>
      </w:r>
      <w:r>
        <w:rPr>
          <w:rFonts w:hint="eastAsia" w:cs="宋体"/>
          <w:color w:val="auto"/>
          <w:sz w:val="21"/>
          <w:szCs w:val="21"/>
        </w:rPr>
        <w:t>工程施工及有关事项协商一致，共同达成如下协议：</w:t>
      </w:r>
    </w:p>
    <w:p w14:paraId="17020108">
      <w:pPr>
        <w:snapToGrid w:val="0"/>
        <w:spacing w:line="360" w:lineRule="auto"/>
        <w:ind w:firstLine="420" w:firstLineChars="200"/>
        <w:rPr>
          <w:rFonts w:cs="宋体"/>
          <w:color w:val="auto"/>
          <w:sz w:val="21"/>
          <w:szCs w:val="21"/>
        </w:rPr>
      </w:pPr>
      <w:r>
        <w:rPr>
          <w:rFonts w:hint="eastAsia" w:cs="宋体"/>
          <w:b/>
          <w:color w:val="auto"/>
          <w:sz w:val="21"/>
          <w:szCs w:val="21"/>
        </w:rPr>
        <w:t>一、工程概况</w:t>
      </w:r>
    </w:p>
    <w:p w14:paraId="10B28DCC">
      <w:pPr>
        <w:snapToGrid w:val="0"/>
        <w:spacing w:line="360" w:lineRule="auto"/>
        <w:ind w:firstLine="411" w:firstLineChars="196"/>
        <w:rPr>
          <w:rFonts w:cs="宋体"/>
          <w:color w:val="auto"/>
          <w:sz w:val="21"/>
          <w:szCs w:val="21"/>
          <w:u w:val="single"/>
        </w:rPr>
      </w:pPr>
      <w:r>
        <w:rPr>
          <w:rFonts w:hint="eastAsia" w:cs="宋体"/>
          <w:bCs/>
          <w:color w:val="auto"/>
          <w:sz w:val="21"/>
          <w:szCs w:val="21"/>
        </w:rPr>
        <w:t>1. 工程名称</w:t>
      </w:r>
      <w:r>
        <w:rPr>
          <w:rFonts w:hint="eastAsia" w:cs="宋体"/>
          <w:color w:val="auto"/>
          <w:sz w:val="21"/>
          <w:szCs w:val="21"/>
        </w:rPr>
        <w:t>：</w:t>
      </w:r>
      <w:r>
        <w:rPr>
          <w:rFonts w:hint="eastAsia" w:cs="宋体"/>
          <w:color w:val="auto"/>
          <w:sz w:val="21"/>
          <w:szCs w:val="21"/>
          <w:u w:val="single"/>
          <w:lang w:eastAsia="zh-CN"/>
        </w:rPr>
        <w:t>铜陵市公共资源交易中心开标及评标室改造工程</w:t>
      </w:r>
      <w:r>
        <w:rPr>
          <w:rFonts w:hint="eastAsia" w:cs="宋体"/>
          <w:color w:val="auto"/>
          <w:sz w:val="21"/>
          <w:szCs w:val="21"/>
        </w:rPr>
        <w:t>。</w:t>
      </w:r>
    </w:p>
    <w:p w14:paraId="0EB3DAD9">
      <w:pPr>
        <w:snapToGrid w:val="0"/>
        <w:spacing w:line="360" w:lineRule="auto"/>
        <w:ind w:firstLine="411" w:firstLineChars="196"/>
        <w:rPr>
          <w:rFonts w:cs="宋体"/>
          <w:bCs/>
          <w:color w:val="auto"/>
          <w:sz w:val="21"/>
          <w:szCs w:val="21"/>
        </w:rPr>
      </w:pPr>
      <w:r>
        <w:rPr>
          <w:rFonts w:hint="eastAsia" w:cs="宋体"/>
          <w:bCs/>
          <w:color w:val="auto"/>
          <w:sz w:val="21"/>
          <w:szCs w:val="21"/>
        </w:rPr>
        <w:t>2. 工程地点：</w:t>
      </w:r>
      <w:r>
        <w:rPr>
          <w:rFonts w:hint="eastAsia" w:cs="宋体"/>
          <w:color w:val="auto"/>
          <w:sz w:val="21"/>
          <w:szCs w:val="21"/>
          <w:u w:val="single"/>
        </w:rPr>
        <w:t></w:t>
      </w:r>
      <w:r>
        <w:rPr>
          <w:rFonts w:hint="eastAsia" w:cs="宋体"/>
          <w:color w:val="auto"/>
          <w:sz w:val="21"/>
          <w:szCs w:val="21"/>
          <w:u w:val="single"/>
          <w:lang w:val="en-US" w:eastAsia="zh-CN"/>
        </w:rPr>
        <w:t xml:space="preserve"> </w:t>
      </w:r>
      <w:r>
        <w:rPr>
          <w:rFonts w:hint="eastAsia" w:cs="宋体"/>
          <w:color w:val="auto"/>
          <w:sz w:val="21"/>
          <w:szCs w:val="21"/>
          <w:u w:val="single"/>
        </w:rPr>
        <w:t xml:space="preserve">    </w:t>
      </w:r>
      <w:r>
        <w:rPr>
          <w:rFonts w:hint="eastAsia" w:cs="宋体"/>
          <w:color w:val="auto"/>
          <w:sz w:val="21"/>
          <w:szCs w:val="21"/>
        </w:rPr>
        <w:t>。</w:t>
      </w:r>
    </w:p>
    <w:p w14:paraId="278D7BA7">
      <w:pPr>
        <w:snapToGrid w:val="0"/>
        <w:spacing w:line="360" w:lineRule="auto"/>
        <w:ind w:firstLine="411" w:firstLineChars="196"/>
        <w:rPr>
          <w:rFonts w:cs="宋体"/>
          <w:bCs/>
          <w:color w:val="auto"/>
          <w:sz w:val="21"/>
          <w:szCs w:val="21"/>
        </w:rPr>
      </w:pPr>
      <w:r>
        <w:rPr>
          <w:rFonts w:hint="eastAsia" w:cs="宋体"/>
          <w:bCs/>
          <w:color w:val="auto"/>
          <w:sz w:val="21"/>
          <w:szCs w:val="21"/>
        </w:rPr>
        <w:t>3. 工程立项批准文号：</w:t>
      </w:r>
      <w:r>
        <w:rPr>
          <w:rFonts w:hint="eastAsia" w:cs="宋体"/>
          <w:color w:val="auto"/>
          <w:sz w:val="21"/>
          <w:szCs w:val="21"/>
          <w:u w:val="single"/>
        </w:rPr>
        <w:t></w:t>
      </w:r>
      <w:r>
        <w:rPr>
          <w:rFonts w:hint="eastAsia" w:eastAsia="宋体" w:cs="宋体"/>
          <w:color w:val="auto"/>
          <w:sz w:val="21"/>
          <w:szCs w:val="21"/>
          <w:u w:val="single"/>
          <w:lang w:val="en-US" w:eastAsia="zh-CN"/>
        </w:rPr>
        <w:t xml:space="preserve"> </w:t>
      </w:r>
      <w:r>
        <w:rPr>
          <w:rFonts w:hint="eastAsia" w:cs="宋体"/>
          <w:color w:val="auto"/>
          <w:sz w:val="21"/>
          <w:szCs w:val="21"/>
          <w:u w:val="single"/>
        </w:rPr>
        <w:t xml:space="preserve"> </w:t>
      </w:r>
      <w:r>
        <w:rPr>
          <w:rFonts w:hint="eastAsia" w:cs="宋体"/>
          <w:bCs/>
          <w:color w:val="auto"/>
          <w:sz w:val="21"/>
          <w:szCs w:val="21"/>
        </w:rPr>
        <w:t>。</w:t>
      </w:r>
    </w:p>
    <w:p w14:paraId="0FB51C8A">
      <w:pPr>
        <w:snapToGrid w:val="0"/>
        <w:spacing w:line="360" w:lineRule="auto"/>
        <w:ind w:firstLine="411" w:firstLineChars="196"/>
        <w:rPr>
          <w:rFonts w:cs="宋体"/>
          <w:bCs/>
          <w:color w:val="auto"/>
          <w:sz w:val="21"/>
          <w:szCs w:val="21"/>
        </w:rPr>
      </w:pPr>
      <w:r>
        <w:rPr>
          <w:rFonts w:hint="eastAsia" w:cs="宋体"/>
          <w:bCs/>
          <w:color w:val="auto"/>
          <w:sz w:val="21"/>
          <w:szCs w:val="21"/>
        </w:rPr>
        <w:t>4. 资金来源：</w:t>
      </w:r>
      <w:r>
        <w:rPr>
          <w:rFonts w:hint="eastAsia" w:cs="宋体"/>
          <w:color w:val="auto"/>
          <w:sz w:val="21"/>
          <w:szCs w:val="21"/>
          <w:u w:val="single"/>
        </w:rPr>
        <w:t></w:t>
      </w:r>
      <w:r>
        <w:rPr>
          <w:rFonts w:hint="eastAsia" w:cs="宋体"/>
          <w:color w:val="auto"/>
          <w:sz w:val="21"/>
          <w:szCs w:val="21"/>
          <w:u w:val="single"/>
          <w:lang w:val="en-US" w:eastAsia="zh-CN"/>
        </w:rPr>
        <w:t xml:space="preserve"> </w:t>
      </w:r>
      <w:r>
        <w:rPr>
          <w:rFonts w:hint="eastAsia" w:cs="宋体"/>
          <w:color w:val="auto"/>
          <w:sz w:val="21"/>
          <w:szCs w:val="21"/>
          <w:u w:val="single"/>
        </w:rPr>
        <w:t xml:space="preserve">       </w:t>
      </w:r>
      <w:r>
        <w:rPr>
          <w:rFonts w:hint="eastAsia" w:cs="宋体"/>
          <w:bCs/>
          <w:color w:val="auto"/>
          <w:sz w:val="21"/>
          <w:szCs w:val="21"/>
        </w:rPr>
        <w:t>。</w:t>
      </w:r>
    </w:p>
    <w:p w14:paraId="6AE6309C">
      <w:pPr>
        <w:snapToGrid w:val="0"/>
        <w:spacing w:line="360" w:lineRule="auto"/>
        <w:ind w:firstLine="411" w:firstLineChars="196"/>
        <w:rPr>
          <w:rFonts w:cs="宋体"/>
          <w:bCs/>
          <w:color w:val="auto"/>
          <w:sz w:val="21"/>
          <w:szCs w:val="21"/>
        </w:rPr>
      </w:pPr>
      <w:r>
        <w:rPr>
          <w:rFonts w:hint="eastAsia" w:cs="宋体"/>
          <w:bCs/>
          <w:color w:val="auto"/>
          <w:sz w:val="21"/>
          <w:szCs w:val="21"/>
        </w:rPr>
        <w:t>5. 工程内容：</w:t>
      </w:r>
      <w:r>
        <w:rPr>
          <w:rFonts w:hint="eastAsia" w:cs="宋体"/>
          <w:bCs/>
          <w:color w:val="auto"/>
          <w:sz w:val="21"/>
          <w:szCs w:val="21"/>
          <w:u w:val="single"/>
          <w:lang w:val="zh-CN" w:eastAsia="zh-CN"/>
        </w:rPr>
        <w:t>铜陵市公共资源交易中心开标及评标室改造工程，具体详见</w:t>
      </w:r>
      <w:r>
        <w:rPr>
          <w:rFonts w:hint="eastAsia" w:cs="宋体"/>
          <w:bCs/>
          <w:color w:val="auto"/>
          <w:sz w:val="21"/>
          <w:szCs w:val="21"/>
          <w:u w:val="single"/>
          <w:lang w:val="en-US" w:eastAsia="zh-CN"/>
        </w:rPr>
        <w:t>施工图纸、</w:t>
      </w:r>
      <w:r>
        <w:rPr>
          <w:rFonts w:hint="eastAsia" w:cs="宋体"/>
          <w:bCs/>
          <w:color w:val="auto"/>
          <w:sz w:val="21"/>
          <w:szCs w:val="21"/>
          <w:u w:val="single"/>
          <w:lang w:val="zh-CN" w:eastAsia="zh-CN"/>
        </w:rPr>
        <w:t>竞争性</w:t>
      </w:r>
      <w:r>
        <w:rPr>
          <w:rFonts w:hint="eastAsia" w:cs="宋体"/>
          <w:bCs/>
          <w:color w:val="auto"/>
          <w:sz w:val="21"/>
          <w:szCs w:val="21"/>
          <w:u w:val="single"/>
          <w:lang w:val="en-US" w:eastAsia="zh-CN"/>
        </w:rPr>
        <w:t>磋商</w:t>
      </w:r>
      <w:r>
        <w:rPr>
          <w:rFonts w:hint="eastAsia" w:cs="宋体"/>
          <w:bCs/>
          <w:color w:val="auto"/>
          <w:sz w:val="21"/>
          <w:szCs w:val="21"/>
          <w:u w:val="single"/>
          <w:lang w:val="zh-CN" w:eastAsia="zh-CN"/>
        </w:rPr>
        <w:t>文件及工程量清单</w:t>
      </w:r>
      <w:r>
        <w:rPr>
          <w:rFonts w:hint="eastAsia" w:cs="宋体"/>
          <w:bCs/>
          <w:color w:val="auto"/>
          <w:sz w:val="21"/>
          <w:szCs w:val="21"/>
          <w:u w:val="single"/>
        </w:rPr>
        <w:t>。</w:t>
      </w:r>
    </w:p>
    <w:p w14:paraId="0388272F">
      <w:pPr>
        <w:snapToGrid w:val="0"/>
        <w:spacing w:line="360" w:lineRule="auto"/>
        <w:ind w:firstLine="411" w:firstLineChars="196"/>
        <w:rPr>
          <w:rFonts w:cs="宋体"/>
          <w:bCs/>
          <w:color w:val="auto"/>
          <w:sz w:val="21"/>
          <w:szCs w:val="21"/>
        </w:rPr>
      </w:pPr>
      <w:r>
        <w:rPr>
          <w:rFonts w:hint="eastAsia" w:cs="宋体"/>
          <w:color w:val="auto"/>
          <w:sz w:val="21"/>
          <w:szCs w:val="21"/>
        </w:rPr>
        <w:t>群体工程应附《承包人承揽工程项目一览表》（附件1）。</w:t>
      </w:r>
    </w:p>
    <w:p w14:paraId="3EC69B48">
      <w:pPr>
        <w:snapToGrid w:val="0"/>
        <w:spacing w:line="360" w:lineRule="auto"/>
        <w:ind w:firstLine="411" w:firstLineChars="196"/>
        <w:rPr>
          <w:rFonts w:cs="宋体"/>
          <w:bCs/>
          <w:color w:val="auto"/>
          <w:sz w:val="21"/>
          <w:szCs w:val="21"/>
        </w:rPr>
      </w:pPr>
      <w:r>
        <w:rPr>
          <w:rFonts w:hint="eastAsia" w:cs="宋体"/>
          <w:bCs/>
          <w:color w:val="auto"/>
          <w:sz w:val="21"/>
          <w:szCs w:val="21"/>
        </w:rPr>
        <w:t>6. 工程承包范围：</w:t>
      </w:r>
    </w:p>
    <w:p w14:paraId="25215583">
      <w:pPr>
        <w:snapToGrid w:val="0"/>
        <w:spacing w:line="360" w:lineRule="auto"/>
        <w:ind w:firstLine="405" w:firstLineChars="193"/>
        <w:rPr>
          <w:rFonts w:cs="宋体"/>
          <w:color w:val="auto"/>
          <w:sz w:val="21"/>
          <w:szCs w:val="21"/>
        </w:rPr>
      </w:pPr>
      <w:r>
        <w:rPr>
          <w:rFonts w:hint="eastAsia" w:cs="宋体"/>
          <w:bCs/>
          <w:color w:val="auto"/>
          <w:sz w:val="21"/>
          <w:szCs w:val="21"/>
          <w:u w:val="single"/>
          <w:lang w:val="zh-CN" w:eastAsia="zh-CN"/>
        </w:rPr>
        <w:t>三层、五层和六层现有功能区域的整体改造，包括评标室、开标室、代理机构查询室、休息室、过道、卫生间等空间的全面升级。主要施工内容包含两大方面：一是拆除工程，涉及原有部分装修装饰及设施的拆除；二是新建工程，包括室内装饰装修（含墙面、地面、天花板等改造）、水电系统改造、设备更新、功能布局优化调整以及相关家具搬运等工作，具体详见</w:t>
      </w:r>
      <w:r>
        <w:rPr>
          <w:rFonts w:hint="eastAsia" w:cs="宋体"/>
          <w:bCs/>
          <w:color w:val="auto"/>
          <w:sz w:val="21"/>
          <w:szCs w:val="21"/>
          <w:u w:val="single"/>
          <w:lang w:val="en-US" w:eastAsia="zh-CN"/>
        </w:rPr>
        <w:t>施工图纸、</w:t>
      </w:r>
      <w:r>
        <w:rPr>
          <w:rFonts w:hint="eastAsia" w:cs="宋体"/>
          <w:bCs/>
          <w:color w:val="auto"/>
          <w:sz w:val="21"/>
          <w:szCs w:val="21"/>
          <w:u w:val="single"/>
          <w:lang w:val="zh-CN" w:eastAsia="zh-CN"/>
        </w:rPr>
        <w:t>竞争性</w:t>
      </w:r>
      <w:r>
        <w:rPr>
          <w:rFonts w:hint="eastAsia" w:cs="宋体"/>
          <w:bCs/>
          <w:color w:val="auto"/>
          <w:sz w:val="21"/>
          <w:szCs w:val="21"/>
          <w:u w:val="single"/>
          <w:lang w:val="en-US" w:eastAsia="zh-CN"/>
        </w:rPr>
        <w:t>磋商</w:t>
      </w:r>
      <w:r>
        <w:rPr>
          <w:rFonts w:hint="eastAsia" w:cs="宋体"/>
          <w:bCs/>
          <w:color w:val="auto"/>
          <w:sz w:val="21"/>
          <w:szCs w:val="21"/>
          <w:u w:val="single"/>
          <w:lang w:val="zh-CN" w:eastAsia="zh-CN"/>
        </w:rPr>
        <w:t>文件及工程量清单</w:t>
      </w:r>
      <w:r>
        <w:rPr>
          <w:rFonts w:hint="eastAsia" w:cs="宋体"/>
          <w:color w:val="auto"/>
          <w:sz w:val="21"/>
          <w:szCs w:val="21"/>
        </w:rPr>
        <w:t>。</w:t>
      </w:r>
    </w:p>
    <w:p w14:paraId="631EC353">
      <w:pPr>
        <w:snapToGrid w:val="0"/>
        <w:spacing w:line="360" w:lineRule="auto"/>
        <w:ind w:firstLine="420" w:firstLineChars="200"/>
        <w:rPr>
          <w:rFonts w:cs="宋体"/>
          <w:b/>
          <w:color w:val="auto"/>
          <w:sz w:val="21"/>
          <w:szCs w:val="21"/>
        </w:rPr>
      </w:pPr>
      <w:bookmarkStart w:id="549" w:name="_Toc351203482"/>
      <w:r>
        <w:rPr>
          <w:rFonts w:hint="eastAsia" w:cs="宋体"/>
          <w:b/>
          <w:color w:val="auto"/>
          <w:sz w:val="21"/>
          <w:szCs w:val="21"/>
        </w:rPr>
        <w:t>二、合同工期</w:t>
      </w:r>
      <w:bookmarkEnd w:id="549"/>
    </w:p>
    <w:p w14:paraId="1D85F93A">
      <w:pPr>
        <w:snapToGrid w:val="0"/>
        <w:spacing w:line="360" w:lineRule="auto"/>
        <w:ind w:firstLine="459"/>
        <w:rPr>
          <w:rFonts w:cs="宋体"/>
          <w:color w:val="auto"/>
          <w:sz w:val="21"/>
          <w:szCs w:val="21"/>
        </w:rPr>
      </w:pPr>
      <w:r>
        <w:rPr>
          <w:rFonts w:hint="eastAsia" w:cs="宋体"/>
          <w:color w:val="auto"/>
          <w:sz w:val="21"/>
          <w:szCs w:val="21"/>
        </w:rPr>
        <w:t>计划开工日期：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575A1A51">
      <w:pPr>
        <w:snapToGrid w:val="0"/>
        <w:spacing w:line="360" w:lineRule="auto"/>
        <w:ind w:firstLine="459"/>
        <w:rPr>
          <w:rFonts w:cs="宋体"/>
          <w:color w:val="auto"/>
          <w:sz w:val="21"/>
          <w:szCs w:val="21"/>
        </w:rPr>
      </w:pPr>
      <w:r>
        <w:rPr>
          <w:rFonts w:hint="eastAsia" w:cs="宋体"/>
          <w:color w:val="auto"/>
          <w:sz w:val="21"/>
          <w:szCs w:val="21"/>
        </w:rPr>
        <w:t>计划竣工日期：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05B1C1B4">
      <w:pPr>
        <w:snapToGrid w:val="0"/>
        <w:spacing w:line="360" w:lineRule="auto"/>
        <w:ind w:firstLine="459"/>
        <w:rPr>
          <w:rFonts w:cs="宋体"/>
          <w:color w:val="auto"/>
          <w:sz w:val="21"/>
          <w:szCs w:val="21"/>
        </w:rPr>
      </w:pPr>
      <w:r>
        <w:rPr>
          <w:rFonts w:hint="eastAsia" w:cs="宋体"/>
          <w:color w:val="auto"/>
          <w:sz w:val="21"/>
          <w:szCs w:val="21"/>
        </w:rPr>
        <w:t>工期总日历天数：</w:t>
      </w:r>
      <w:r>
        <w:rPr>
          <w:rFonts w:hint="eastAsia" w:cs="宋体"/>
          <w:color w:val="auto"/>
          <w:sz w:val="21"/>
          <w:szCs w:val="21"/>
          <w:u w:val="single"/>
        </w:rPr>
        <w:t></w:t>
      </w:r>
      <w:r>
        <w:rPr>
          <w:rFonts w:hint="eastAsia" w:cs="宋体"/>
          <w:color w:val="auto"/>
          <w:sz w:val="21"/>
          <w:szCs w:val="21"/>
        </w:rPr>
        <w:t>天。工期总日历天数与根据前述计划开竣工日期计算的工期天数不一致的，以工期总日历天数为准。</w:t>
      </w:r>
    </w:p>
    <w:p w14:paraId="7E28ECEE">
      <w:pPr>
        <w:snapToGrid w:val="0"/>
        <w:spacing w:line="360" w:lineRule="auto"/>
        <w:ind w:firstLine="420" w:firstLineChars="200"/>
        <w:rPr>
          <w:rFonts w:cs="宋体"/>
          <w:b/>
          <w:color w:val="auto"/>
          <w:sz w:val="21"/>
          <w:szCs w:val="21"/>
        </w:rPr>
      </w:pPr>
      <w:bookmarkStart w:id="550" w:name="_Toc351203483"/>
      <w:r>
        <w:rPr>
          <w:rFonts w:hint="eastAsia" w:cs="宋体"/>
          <w:b/>
          <w:color w:val="auto"/>
          <w:sz w:val="21"/>
          <w:szCs w:val="21"/>
        </w:rPr>
        <w:t>三、质量标准</w:t>
      </w:r>
      <w:bookmarkEnd w:id="550"/>
    </w:p>
    <w:p w14:paraId="06A6A8EC">
      <w:pPr>
        <w:snapToGrid w:val="0"/>
        <w:spacing w:line="360" w:lineRule="auto"/>
        <w:ind w:firstLine="459"/>
        <w:rPr>
          <w:rFonts w:cs="宋体"/>
          <w:color w:val="auto"/>
          <w:sz w:val="21"/>
          <w:szCs w:val="21"/>
        </w:rPr>
      </w:pPr>
      <w:r>
        <w:rPr>
          <w:rFonts w:hint="eastAsia" w:cs="宋体"/>
          <w:color w:val="auto"/>
          <w:sz w:val="21"/>
          <w:szCs w:val="21"/>
        </w:rPr>
        <w:t>工程质量符合</w:t>
      </w:r>
      <w:r>
        <w:rPr>
          <w:rFonts w:hint="eastAsia" w:cs="宋体"/>
          <w:color w:val="auto"/>
          <w:sz w:val="21"/>
          <w:szCs w:val="21"/>
          <w:u w:val="single"/>
        </w:rPr>
        <w:t xml:space="preserve"> 合格 </w:t>
      </w:r>
      <w:r>
        <w:rPr>
          <w:rFonts w:hint="eastAsia" w:cs="宋体"/>
          <w:color w:val="auto"/>
          <w:sz w:val="21"/>
          <w:szCs w:val="21"/>
        </w:rPr>
        <w:t>标准。</w:t>
      </w:r>
    </w:p>
    <w:p w14:paraId="363B57A0">
      <w:pPr>
        <w:snapToGrid w:val="0"/>
        <w:spacing w:line="360" w:lineRule="auto"/>
        <w:ind w:firstLine="420" w:firstLineChars="200"/>
        <w:rPr>
          <w:rFonts w:cs="宋体"/>
          <w:b/>
          <w:color w:val="auto"/>
          <w:sz w:val="21"/>
          <w:szCs w:val="21"/>
        </w:rPr>
      </w:pPr>
      <w:bookmarkStart w:id="551" w:name="_Toc351203484"/>
      <w:r>
        <w:rPr>
          <w:rFonts w:hint="eastAsia" w:cs="宋体"/>
          <w:b/>
          <w:color w:val="auto"/>
          <w:sz w:val="21"/>
          <w:szCs w:val="21"/>
        </w:rPr>
        <w:t>四、签约合同价与合同价格形式</w:t>
      </w:r>
      <w:bookmarkEnd w:id="551"/>
    </w:p>
    <w:p w14:paraId="5A9E8F8D">
      <w:pPr>
        <w:snapToGrid w:val="0"/>
        <w:spacing w:line="360" w:lineRule="auto"/>
        <w:ind w:firstLine="420" w:firstLineChars="200"/>
        <w:rPr>
          <w:rFonts w:cs="宋体"/>
          <w:color w:val="auto"/>
          <w:sz w:val="21"/>
          <w:szCs w:val="21"/>
        </w:rPr>
      </w:pPr>
      <w:r>
        <w:rPr>
          <w:rFonts w:hint="eastAsia" w:cs="宋体"/>
          <w:color w:val="auto"/>
          <w:sz w:val="21"/>
          <w:szCs w:val="21"/>
        </w:rPr>
        <w:t>1. 签约合同价为：</w:t>
      </w:r>
    </w:p>
    <w:p w14:paraId="22C6D32D">
      <w:pPr>
        <w:snapToGrid w:val="0"/>
        <w:spacing w:line="360" w:lineRule="auto"/>
        <w:ind w:firstLine="525" w:firstLineChars="2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w:t>
      </w:r>
      <w:r>
        <w:rPr>
          <w:rFonts w:hint="eastAsia" w:cs="宋体"/>
          <w:color w:val="auto"/>
          <w:sz w:val="21"/>
          <w:szCs w:val="21"/>
          <w:u w:val="single"/>
        </w:rPr>
        <w:t xml:space="preserve">            </w:t>
      </w:r>
      <w:r>
        <w:rPr>
          <w:rFonts w:hint="eastAsia" w:cs="宋体"/>
          <w:color w:val="auto"/>
          <w:sz w:val="21"/>
          <w:szCs w:val="21"/>
        </w:rPr>
        <w:t>元）；</w:t>
      </w:r>
    </w:p>
    <w:p w14:paraId="3A778641">
      <w:pPr>
        <w:snapToGrid w:val="0"/>
        <w:spacing w:line="360" w:lineRule="auto"/>
        <w:ind w:firstLine="420" w:firstLineChars="200"/>
        <w:rPr>
          <w:rFonts w:cs="宋体"/>
          <w:color w:val="auto"/>
          <w:sz w:val="21"/>
          <w:szCs w:val="21"/>
        </w:rPr>
      </w:pPr>
      <w:r>
        <w:rPr>
          <w:rFonts w:hint="eastAsia" w:cs="宋体"/>
          <w:color w:val="auto"/>
          <w:sz w:val="21"/>
          <w:szCs w:val="21"/>
        </w:rPr>
        <w:t>其中：</w:t>
      </w:r>
    </w:p>
    <w:p w14:paraId="4307B6F0">
      <w:pPr>
        <w:snapToGrid w:val="0"/>
        <w:spacing w:line="360" w:lineRule="auto"/>
        <w:ind w:firstLine="420" w:firstLineChars="200"/>
        <w:rPr>
          <w:rFonts w:cs="宋体"/>
          <w:color w:val="auto"/>
          <w:sz w:val="21"/>
          <w:szCs w:val="21"/>
        </w:rPr>
      </w:pPr>
      <w:r>
        <w:rPr>
          <w:rFonts w:hint="eastAsia" w:cs="宋体"/>
          <w:color w:val="auto"/>
          <w:sz w:val="21"/>
          <w:szCs w:val="21"/>
        </w:rPr>
        <w:t>（1）安全文明施工费：</w:t>
      </w:r>
    </w:p>
    <w:p w14:paraId="2F6266C4">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3A7C5686">
      <w:pPr>
        <w:snapToGrid w:val="0"/>
        <w:spacing w:line="360" w:lineRule="auto"/>
        <w:ind w:firstLine="420" w:firstLineChars="200"/>
        <w:rPr>
          <w:rFonts w:cs="宋体"/>
          <w:color w:val="auto"/>
          <w:sz w:val="21"/>
          <w:szCs w:val="21"/>
        </w:rPr>
      </w:pPr>
      <w:r>
        <w:rPr>
          <w:rFonts w:hint="eastAsia" w:cs="宋体"/>
          <w:color w:val="auto"/>
          <w:sz w:val="21"/>
          <w:szCs w:val="21"/>
        </w:rPr>
        <w:t>（2）材料和工程设备暂估价金额：</w:t>
      </w:r>
    </w:p>
    <w:p w14:paraId="0359D37E">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0E06DFA1">
      <w:pPr>
        <w:snapToGrid w:val="0"/>
        <w:spacing w:line="360" w:lineRule="auto"/>
        <w:ind w:firstLine="420" w:firstLineChars="200"/>
        <w:rPr>
          <w:rFonts w:cs="宋体"/>
          <w:color w:val="auto"/>
          <w:sz w:val="21"/>
          <w:szCs w:val="21"/>
        </w:rPr>
      </w:pPr>
      <w:r>
        <w:rPr>
          <w:rFonts w:hint="eastAsia" w:cs="宋体"/>
          <w:color w:val="auto"/>
          <w:sz w:val="21"/>
          <w:szCs w:val="21"/>
        </w:rPr>
        <w:t>（3）专业工程暂估价金额：</w:t>
      </w:r>
    </w:p>
    <w:p w14:paraId="4F5566F3">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6BF3A648">
      <w:pPr>
        <w:snapToGrid w:val="0"/>
        <w:spacing w:line="360" w:lineRule="auto"/>
        <w:ind w:firstLine="420" w:firstLineChars="200"/>
        <w:rPr>
          <w:rFonts w:cs="宋体"/>
          <w:color w:val="auto"/>
          <w:sz w:val="21"/>
          <w:szCs w:val="21"/>
        </w:rPr>
      </w:pPr>
      <w:r>
        <w:rPr>
          <w:rFonts w:hint="eastAsia" w:cs="宋体"/>
          <w:color w:val="auto"/>
          <w:sz w:val="21"/>
          <w:szCs w:val="21"/>
        </w:rPr>
        <w:t>（4）暂列金额：</w:t>
      </w:r>
    </w:p>
    <w:p w14:paraId="496F864D">
      <w:pPr>
        <w:snapToGrid w:val="0"/>
        <w:spacing w:line="360" w:lineRule="auto"/>
        <w:ind w:firstLine="945" w:firstLineChars="4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 xml:space="preserve"> （¥</w:t>
      </w:r>
      <w:r>
        <w:rPr>
          <w:rFonts w:hint="eastAsia" w:cs="宋体"/>
          <w:color w:val="auto"/>
          <w:sz w:val="21"/>
          <w:szCs w:val="21"/>
          <w:u w:val="single"/>
        </w:rPr>
        <w:t xml:space="preserve">          </w:t>
      </w:r>
      <w:r>
        <w:rPr>
          <w:rFonts w:hint="eastAsia" w:cs="宋体"/>
          <w:color w:val="auto"/>
          <w:sz w:val="21"/>
          <w:szCs w:val="21"/>
        </w:rPr>
        <w:t>元）。</w:t>
      </w:r>
    </w:p>
    <w:p w14:paraId="171B256B">
      <w:pPr>
        <w:snapToGrid w:val="0"/>
        <w:spacing w:line="360" w:lineRule="auto"/>
        <w:ind w:firstLine="420" w:firstLineChars="200"/>
        <w:rPr>
          <w:rFonts w:cs="宋体"/>
          <w:color w:val="auto"/>
          <w:sz w:val="21"/>
          <w:szCs w:val="21"/>
        </w:rPr>
      </w:pPr>
      <w:r>
        <w:rPr>
          <w:rFonts w:hint="eastAsia" w:cs="宋体"/>
          <w:color w:val="auto"/>
          <w:sz w:val="21"/>
          <w:szCs w:val="21"/>
        </w:rPr>
        <w:t>2. 合同价格形式：</w:t>
      </w:r>
      <w:r>
        <w:rPr>
          <w:rFonts w:hint="eastAsia" w:cs="宋体"/>
          <w:color w:val="auto"/>
          <w:sz w:val="21"/>
          <w:szCs w:val="21"/>
          <w:u w:val="single"/>
        </w:rPr>
        <w:t></w:t>
      </w:r>
      <w:r>
        <w:rPr>
          <w:rFonts w:hint="eastAsia" w:cs="宋体"/>
          <w:color w:val="auto"/>
          <w:sz w:val="21"/>
          <w:szCs w:val="21"/>
          <w:u w:val="single"/>
          <w:lang w:val="en-US" w:eastAsia="zh-CN"/>
        </w:rPr>
        <w:t>单价</w:t>
      </w:r>
      <w:r>
        <w:rPr>
          <w:rFonts w:hint="eastAsia" w:cs="宋体"/>
          <w:color w:val="auto"/>
          <w:sz w:val="21"/>
          <w:szCs w:val="21"/>
          <w:u w:val="single"/>
        </w:rPr>
        <w:t xml:space="preserve">合同  </w:t>
      </w:r>
      <w:r>
        <w:rPr>
          <w:rFonts w:hint="eastAsia" w:cs="宋体"/>
          <w:color w:val="auto"/>
          <w:sz w:val="21"/>
          <w:szCs w:val="21"/>
        </w:rPr>
        <w:t>。</w:t>
      </w:r>
    </w:p>
    <w:p w14:paraId="6D5AFCCC">
      <w:pPr>
        <w:snapToGrid w:val="0"/>
        <w:spacing w:line="360" w:lineRule="auto"/>
        <w:ind w:firstLine="420" w:firstLineChars="200"/>
        <w:rPr>
          <w:rFonts w:cs="宋体"/>
          <w:b/>
          <w:color w:val="auto"/>
          <w:sz w:val="21"/>
          <w:szCs w:val="21"/>
        </w:rPr>
      </w:pPr>
      <w:bookmarkStart w:id="552" w:name="_Toc351203485"/>
      <w:r>
        <w:rPr>
          <w:rFonts w:hint="eastAsia" w:cs="宋体"/>
          <w:b/>
          <w:color w:val="auto"/>
          <w:sz w:val="21"/>
          <w:szCs w:val="21"/>
        </w:rPr>
        <w:t>五、</w:t>
      </w:r>
      <w:bookmarkEnd w:id="552"/>
      <w:r>
        <w:rPr>
          <w:rFonts w:hint="eastAsia" w:cs="宋体"/>
          <w:b/>
          <w:color w:val="auto"/>
          <w:sz w:val="21"/>
          <w:szCs w:val="21"/>
        </w:rPr>
        <w:t>项目经理</w:t>
      </w:r>
    </w:p>
    <w:p w14:paraId="173A26E4">
      <w:pPr>
        <w:snapToGrid w:val="0"/>
        <w:spacing w:line="360" w:lineRule="auto"/>
        <w:ind w:firstLine="420" w:firstLineChars="200"/>
        <w:rPr>
          <w:rFonts w:cs="宋体"/>
          <w:color w:val="auto"/>
          <w:sz w:val="21"/>
          <w:szCs w:val="21"/>
        </w:rPr>
      </w:pPr>
      <w:r>
        <w:rPr>
          <w:rFonts w:hint="eastAsia" w:cs="宋体"/>
          <w:color w:val="auto"/>
          <w:sz w:val="21"/>
          <w:szCs w:val="21"/>
        </w:rPr>
        <w:t>承包人项目经理：</w:t>
      </w:r>
      <w:r>
        <w:rPr>
          <w:rFonts w:hint="eastAsia" w:cs="宋体"/>
          <w:color w:val="auto"/>
          <w:sz w:val="21"/>
          <w:szCs w:val="21"/>
          <w:u w:val="single"/>
        </w:rPr>
        <w:t>                     </w:t>
      </w:r>
      <w:r>
        <w:rPr>
          <w:rFonts w:hint="eastAsia" w:cs="宋体"/>
          <w:color w:val="auto"/>
          <w:sz w:val="21"/>
          <w:szCs w:val="21"/>
        </w:rPr>
        <w:t>。</w:t>
      </w:r>
    </w:p>
    <w:p w14:paraId="19A160A2">
      <w:pPr>
        <w:snapToGrid w:val="0"/>
        <w:spacing w:line="360" w:lineRule="auto"/>
        <w:ind w:firstLine="420" w:firstLineChars="200"/>
        <w:rPr>
          <w:rFonts w:cs="宋体"/>
          <w:b/>
          <w:color w:val="auto"/>
          <w:sz w:val="21"/>
          <w:szCs w:val="21"/>
        </w:rPr>
      </w:pPr>
      <w:bookmarkStart w:id="553" w:name="_Toc351203486"/>
      <w:r>
        <w:rPr>
          <w:rFonts w:hint="eastAsia" w:cs="宋体"/>
          <w:b/>
          <w:color w:val="auto"/>
          <w:sz w:val="21"/>
          <w:szCs w:val="21"/>
        </w:rPr>
        <w:t>六、合同文件构成</w:t>
      </w:r>
      <w:bookmarkEnd w:id="553"/>
    </w:p>
    <w:p w14:paraId="677603B0">
      <w:pPr>
        <w:snapToGrid w:val="0"/>
        <w:spacing w:line="360" w:lineRule="auto"/>
        <w:ind w:firstLine="420" w:firstLineChars="200"/>
        <w:rPr>
          <w:rFonts w:cs="宋体"/>
          <w:bCs/>
          <w:color w:val="auto"/>
          <w:sz w:val="21"/>
          <w:szCs w:val="21"/>
        </w:rPr>
      </w:pPr>
      <w:r>
        <w:rPr>
          <w:rFonts w:hint="eastAsia" w:cs="宋体"/>
          <w:bCs/>
          <w:color w:val="auto"/>
          <w:sz w:val="21"/>
          <w:szCs w:val="21"/>
        </w:rPr>
        <w:t>本协议书与下列文件一起构成合同文件：</w:t>
      </w:r>
    </w:p>
    <w:p w14:paraId="54F98EDA">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（1）中标通知书（如果有）；</w:t>
      </w:r>
    </w:p>
    <w:p w14:paraId="1AFCA1A6">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 xml:space="preserve">（2）投标函及其附录（如果有）； </w:t>
      </w:r>
    </w:p>
    <w:p w14:paraId="2A7193D7">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（3）专用合同条款及其附件；</w:t>
      </w:r>
    </w:p>
    <w:p w14:paraId="4662A306">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（4）通用合同条款；</w:t>
      </w:r>
    </w:p>
    <w:p w14:paraId="7C7326CA">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（5）技术标准和要求；</w:t>
      </w:r>
    </w:p>
    <w:p w14:paraId="67BE1F21">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（6）图纸</w:t>
      </w:r>
      <w:r>
        <w:rPr>
          <w:rFonts w:hint="eastAsia" w:cs="宋体"/>
          <w:color w:val="auto"/>
          <w:sz w:val="21"/>
          <w:szCs w:val="21"/>
          <w:lang w:eastAsia="zh-CN"/>
        </w:rPr>
        <w:t>（</w:t>
      </w:r>
      <w:r>
        <w:rPr>
          <w:rFonts w:hint="eastAsia" w:cs="宋体"/>
          <w:color w:val="auto"/>
          <w:sz w:val="21"/>
          <w:szCs w:val="21"/>
          <w:lang w:val="en-US" w:eastAsia="zh-CN"/>
        </w:rPr>
        <w:t>如有</w:t>
      </w:r>
      <w:r>
        <w:rPr>
          <w:rFonts w:hint="eastAsia" w:cs="宋体"/>
          <w:color w:val="auto"/>
          <w:sz w:val="21"/>
          <w:szCs w:val="21"/>
          <w:lang w:eastAsia="zh-CN"/>
        </w:rPr>
        <w:t>）</w:t>
      </w:r>
      <w:r>
        <w:rPr>
          <w:rFonts w:hint="eastAsia" w:cs="宋体"/>
          <w:color w:val="auto"/>
          <w:sz w:val="21"/>
          <w:szCs w:val="21"/>
        </w:rPr>
        <w:t>；</w:t>
      </w:r>
    </w:p>
    <w:p w14:paraId="4CE074FF">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（7）已标价工程量清单或预算书；</w:t>
      </w:r>
    </w:p>
    <w:p w14:paraId="65339574">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（8）其他合同文件。</w:t>
      </w:r>
    </w:p>
    <w:p w14:paraId="129E13C1">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在合同订立及履行过程中形成的与合同有关的文件均构成合同文件组成部分。</w:t>
      </w:r>
    </w:p>
    <w:p w14:paraId="364886BB">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上述各项合同文件包括合同当事人就该项合同文件所作出的补充和修改，属于同一类内容的文件，应以最新签署的为准。专用合同条款及其附件须经合同当事人签字或盖章。</w:t>
      </w:r>
    </w:p>
    <w:p w14:paraId="6C4301D4">
      <w:pPr>
        <w:snapToGrid w:val="0"/>
        <w:spacing w:line="360" w:lineRule="auto"/>
        <w:ind w:firstLine="420" w:firstLineChars="200"/>
        <w:rPr>
          <w:rFonts w:cs="宋体"/>
          <w:b/>
          <w:color w:val="auto"/>
          <w:sz w:val="21"/>
          <w:szCs w:val="21"/>
        </w:rPr>
      </w:pPr>
      <w:bookmarkStart w:id="554" w:name="_Toc351203487"/>
      <w:r>
        <w:rPr>
          <w:rFonts w:hint="eastAsia" w:cs="宋体"/>
          <w:b/>
          <w:color w:val="auto"/>
          <w:sz w:val="21"/>
          <w:szCs w:val="21"/>
        </w:rPr>
        <w:t>七、承诺</w:t>
      </w:r>
      <w:bookmarkEnd w:id="554"/>
    </w:p>
    <w:p w14:paraId="6C64AE97">
      <w:pPr>
        <w:snapToGrid w:val="0"/>
        <w:spacing w:line="360" w:lineRule="auto"/>
        <w:ind w:firstLine="420" w:firstLineChars="200"/>
        <w:rPr>
          <w:rFonts w:cs="宋体"/>
          <w:bCs/>
          <w:color w:val="auto"/>
          <w:sz w:val="21"/>
          <w:szCs w:val="21"/>
        </w:rPr>
      </w:pPr>
      <w:r>
        <w:rPr>
          <w:rFonts w:hint="eastAsia" w:cs="宋体"/>
          <w:bCs/>
          <w:color w:val="auto"/>
          <w:sz w:val="21"/>
          <w:szCs w:val="21"/>
        </w:rPr>
        <w:t>1. 发包人承诺按照法律规定履行项目审批手续、筹集工程建设资金并按照合同约定的期限和方式支付合同价款。</w:t>
      </w:r>
    </w:p>
    <w:p w14:paraId="25D8C491">
      <w:pPr>
        <w:snapToGrid w:val="0"/>
        <w:spacing w:line="360" w:lineRule="auto"/>
        <w:ind w:firstLine="420" w:firstLineChars="200"/>
        <w:rPr>
          <w:rFonts w:cs="宋体"/>
          <w:bCs/>
          <w:color w:val="auto"/>
          <w:sz w:val="21"/>
          <w:szCs w:val="21"/>
        </w:rPr>
      </w:pPr>
      <w:r>
        <w:rPr>
          <w:rFonts w:hint="eastAsia" w:cs="宋体"/>
          <w:bCs/>
          <w:color w:val="auto"/>
          <w:sz w:val="21"/>
          <w:szCs w:val="21"/>
        </w:rPr>
        <w:t>2. 承包人承诺按照法律规定及合同约定组织完成工程施工，确保工程质量和安全，不进行转包及违法分包，并在缺陷责任期及保修期内承担相应的工程维修责任。</w:t>
      </w:r>
    </w:p>
    <w:p w14:paraId="0E02E379">
      <w:pPr>
        <w:snapToGrid w:val="0"/>
        <w:spacing w:line="360" w:lineRule="auto"/>
        <w:ind w:firstLine="420" w:firstLineChars="200"/>
        <w:rPr>
          <w:rFonts w:cs="宋体"/>
          <w:bCs/>
          <w:color w:val="auto"/>
          <w:sz w:val="21"/>
          <w:szCs w:val="21"/>
        </w:rPr>
      </w:pPr>
      <w:r>
        <w:rPr>
          <w:rFonts w:hint="eastAsia" w:cs="宋体"/>
          <w:bCs/>
          <w:color w:val="auto"/>
          <w:sz w:val="21"/>
          <w:szCs w:val="21"/>
        </w:rPr>
        <w:t>3. 发包人和承包人通过招投标形式签订合同的，双方理解并承诺不再就同一工程另行签订与合同实质性内容相背离的协议。</w:t>
      </w:r>
    </w:p>
    <w:p w14:paraId="6DCD3153">
      <w:pPr>
        <w:snapToGrid w:val="0"/>
        <w:spacing w:line="360" w:lineRule="auto"/>
        <w:ind w:firstLine="420" w:firstLineChars="200"/>
        <w:rPr>
          <w:rFonts w:cs="宋体"/>
          <w:b/>
          <w:color w:val="auto"/>
          <w:sz w:val="21"/>
          <w:szCs w:val="21"/>
        </w:rPr>
      </w:pPr>
      <w:bookmarkStart w:id="555" w:name="_Toc351203488"/>
      <w:r>
        <w:rPr>
          <w:rFonts w:hint="eastAsia" w:cs="宋体"/>
          <w:b/>
          <w:color w:val="auto"/>
          <w:sz w:val="21"/>
          <w:szCs w:val="21"/>
        </w:rPr>
        <w:t>八、词语含义</w:t>
      </w:r>
      <w:bookmarkEnd w:id="555"/>
    </w:p>
    <w:p w14:paraId="080B3F54">
      <w:pPr>
        <w:snapToGrid w:val="0"/>
        <w:spacing w:line="360" w:lineRule="auto"/>
        <w:ind w:firstLine="420" w:firstLineChars="200"/>
        <w:rPr>
          <w:rFonts w:cs="宋体"/>
          <w:bCs/>
          <w:color w:val="auto"/>
          <w:sz w:val="21"/>
          <w:szCs w:val="21"/>
        </w:rPr>
      </w:pPr>
      <w:r>
        <w:rPr>
          <w:rFonts w:hint="eastAsia" w:cs="宋体"/>
          <w:bCs/>
          <w:color w:val="auto"/>
          <w:sz w:val="21"/>
          <w:szCs w:val="21"/>
        </w:rPr>
        <w:t>本协议书中词语含义与第二部分通用合同条款中赋予的含义相同。</w:t>
      </w:r>
    </w:p>
    <w:p w14:paraId="6D9D6CE0">
      <w:pPr>
        <w:snapToGrid w:val="0"/>
        <w:spacing w:line="360" w:lineRule="auto"/>
        <w:ind w:firstLine="420" w:firstLineChars="200"/>
        <w:rPr>
          <w:rFonts w:cs="宋体"/>
          <w:b/>
          <w:color w:val="auto"/>
          <w:sz w:val="21"/>
          <w:szCs w:val="21"/>
        </w:rPr>
      </w:pPr>
      <w:bookmarkStart w:id="556" w:name="_Toc351203489"/>
      <w:r>
        <w:rPr>
          <w:rFonts w:hint="eastAsia" w:cs="宋体"/>
          <w:b/>
          <w:color w:val="auto"/>
          <w:sz w:val="21"/>
          <w:szCs w:val="21"/>
        </w:rPr>
        <w:t>九、签订时间</w:t>
      </w:r>
      <w:bookmarkEnd w:id="556"/>
    </w:p>
    <w:p w14:paraId="27DC713F">
      <w:pPr>
        <w:snapToGrid w:val="0"/>
        <w:spacing w:line="360" w:lineRule="auto"/>
        <w:ind w:firstLine="420" w:firstLineChars="200"/>
        <w:rPr>
          <w:rFonts w:cs="宋体"/>
          <w:bCs/>
          <w:color w:val="auto"/>
          <w:sz w:val="21"/>
          <w:szCs w:val="21"/>
        </w:rPr>
      </w:pPr>
      <w:r>
        <w:rPr>
          <w:rFonts w:hint="eastAsia" w:cs="宋体"/>
          <w:bCs/>
          <w:color w:val="auto"/>
          <w:sz w:val="21"/>
          <w:szCs w:val="21"/>
        </w:rPr>
        <w:t>本合同于</w:t>
      </w:r>
      <w:r>
        <w:rPr>
          <w:rFonts w:hint="eastAsia" w:cs="宋体"/>
          <w:bCs/>
          <w:color w:val="auto"/>
          <w:sz w:val="21"/>
          <w:szCs w:val="21"/>
          <w:u w:val="single"/>
        </w:rPr>
        <w:t xml:space="preserve">         </w:t>
      </w:r>
      <w:r>
        <w:rPr>
          <w:rFonts w:hint="eastAsia" w:cs="宋体"/>
          <w:bCs/>
          <w:color w:val="auto"/>
          <w:sz w:val="21"/>
          <w:szCs w:val="21"/>
        </w:rPr>
        <w:t>年</w:t>
      </w:r>
      <w:r>
        <w:rPr>
          <w:rFonts w:hint="eastAsia" w:cs="宋体"/>
          <w:bCs/>
          <w:color w:val="auto"/>
          <w:sz w:val="21"/>
          <w:szCs w:val="21"/>
          <w:u w:val="single"/>
        </w:rPr>
        <w:t xml:space="preserve">    </w:t>
      </w:r>
      <w:r>
        <w:rPr>
          <w:rFonts w:hint="eastAsia" w:cs="宋体"/>
          <w:bCs/>
          <w:color w:val="auto"/>
          <w:sz w:val="21"/>
          <w:szCs w:val="21"/>
        </w:rPr>
        <w:t>月</w:t>
      </w:r>
      <w:r>
        <w:rPr>
          <w:rFonts w:hint="eastAsia" w:cs="宋体"/>
          <w:bCs/>
          <w:color w:val="auto"/>
          <w:sz w:val="21"/>
          <w:szCs w:val="21"/>
          <w:u w:val="single"/>
        </w:rPr>
        <w:t xml:space="preserve">    </w:t>
      </w:r>
      <w:r>
        <w:rPr>
          <w:rFonts w:hint="eastAsia" w:cs="宋体"/>
          <w:bCs/>
          <w:color w:val="auto"/>
          <w:sz w:val="21"/>
          <w:szCs w:val="21"/>
        </w:rPr>
        <w:t>日签订。</w:t>
      </w:r>
    </w:p>
    <w:p w14:paraId="0FE2A01C">
      <w:pPr>
        <w:snapToGrid w:val="0"/>
        <w:spacing w:line="360" w:lineRule="auto"/>
        <w:ind w:firstLine="420" w:firstLineChars="200"/>
        <w:rPr>
          <w:rFonts w:cs="宋体"/>
          <w:b/>
          <w:color w:val="auto"/>
          <w:sz w:val="21"/>
          <w:szCs w:val="21"/>
        </w:rPr>
      </w:pPr>
      <w:bookmarkStart w:id="557" w:name="_Toc351203490"/>
      <w:r>
        <w:rPr>
          <w:rFonts w:hint="eastAsia" w:cs="宋体"/>
          <w:b/>
          <w:color w:val="auto"/>
          <w:sz w:val="21"/>
          <w:szCs w:val="21"/>
        </w:rPr>
        <w:t>十、签订地点</w:t>
      </w:r>
      <w:bookmarkEnd w:id="557"/>
    </w:p>
    <w:p w14:paraId="749276CC">
      <w:pPr>
        <w:snapToGrid w:val="0"/>
        <w:spacing w:line="360" w:lineRule="auto"/>
        <w:ind w:firstLine="420" w:firstLineChars="200"/>
        <w:rPr>
          <w:rFonts w:cs="宋体"/>
          <w:bCs/>
          <w:color w:val="auto"/>
          <w:sz w:val="21"/>
          <w:szCs w:val="21"/>
        </w:rPr>
      </w:pPr>
      <w:r>
        <w:rPr>
          <w:rFonts w:hint="eastAsia" w:cs="宋体"/>
          <w:bCs/>
          <w:color w:val="auto"/>
          <w:sz w:val="21"/>
          <w:szCs w:val="21"/>
        </w:rPr>
        <w:t>本合同在</w:t>
      </w:r>
      <w:r>
        <w:rPr>
          <w:rFonts w:hint="eastAsia" w:cs="宋体"/>
          <w:bCs/>
          <w:color w:val="auto"/>
          <w:sz w:val="21"/>
          <w:szCs w:val="21"/>
          <w:u w:val="single"/>
        </w:rPr>
        <w:t xml:space="preserve">                                    </w:t>
      </w:r>
      <w:r>
        <w:rPr>
          <w:rFonts w:hint="eastAsia" w:cs="宋体"/>
          <w:bCs/>
          <w:color w:val="auto"/>
          <w:sz w:val="21"/>
          <w:szCs w:val="21"/>
        </w:rPr>
        <w:t>签订。</w:t>
      </w:r>
    </w:p>
    <w:p w14:paraId="2953AD91">
      <w:pPr>
        <w:snapToGrid w:val="0"/>
        <w:spacing w:line="360" w:lineRule="auto"/>
        <w:ind w:firstLine="420" w:firstLineChars="200"/>
        <w:rPr>
          <w:rFonts w:cs="宋体"/>
          <w:b/>
          <w:color w:val="auto"/>
          <w:sz w:val="21"/>
          <w:szCs w:val="21"/>
        </w:rPr>
      </w:pPr>
      <w:bookmarkStart w:id="558" w:name="_Toc351203491"/>
      <w:r>
        <w:rPr>
          <w:rFonts w:hint="eastAsia" w:cs="宋体"/>
          <w:b/>
          <w:color w:val="auto"/>
          <w:sz w:val="21"/>
          <w:szCs w:val="21"/>
        </w:rPr>
        <w:t>十一、补充协议</w:t>
      </w:r>
      <w:bookmarkEnd w:id="558"/>
    </w:p>
    <w:p w14:paraId="11BA8D6E">
      <w:pPr>
        <w:snapToGrid w:val="0"/>
        <w:spacing w:line="360" w:lineRule="auto"/>
        <w:ind w:firstLine="420" w:firstLineChars="200"/>
        <w:rPr>
          <w:rFonts w:cs="宋体"/>
          <w:b/>
          <w:bCs/>
          <w:color w:val="auto"/>
          <w:sz w:val="21"/>
          <w:szCs w:val="21"/>
        </w:rPr>
      </w:pPr>
      <w:r>
        <w:rPr>
          <w:rFonts w:hint="eastAsia" w:cs="宋体"/>
          <w:bCs/>
          <w:color w:val="auto"/>
          <w:sz w:val="21"/>
          <w:szCs w:val="21"/>
        </w:rPr>
        <w:t>合同未尽事宜，合同当事人另行签订补充协议，补充协议是合同的组成部分。</w:t>
      </w:r>
    </w:p>
    <w:p w14:paraId="031CBCAD">
      <w:pPr>
        <w:snapToGrid w:val="0"/>
        <w:spacing w:line="360" w:lineRule="auto"/>
        <w:ind w:firstLine="420" w:firstLineChars="200"/>
        <w:rPr>
          <w:rFonts w:cs="宋体"/>
          <w:b/>
          <w:color w:val="auto"/>
          <w:sz w:val="21"/>
          <w:szCs w:val="21"/>
        </w:rPr>
      </w:pPr>
      <w:bookmarkStart w:id="559" w:name="_Toc351203492"/>
      <w:r>
        <w:rPr>
          <w:rFonts w:hint="eastAsia" w:cs="宋体"/>
          <w:b/>
          <w:color w:val="auto"/>
          <w:sz w:val="21"/>
          <w:szCs w:val="21"/>
        </w:rPr>
        <w:t>十二、合同生效</w:t>
      </w:r>
      <w:bookmarkEnd w:id="559"/>
    </w:p>
    <w:p w14:paraId="79936E53">
      <w:pPr>
        <w:snapToGrid w:val="0"/>
        <w:spacing w:line="360" w:lineRule="auto"/>
        <w:ind w:firstLine="420" w:firstLineChars="200"/>
        <w:rPr>
          <w:rFonts w:cs="宋体"/>
          <w:bCs/>
          <w:color w:val="auto"/>
          <w:sz w:val="21"/>
          <w:szCs w:val="21"/>
        </w:rPr>
      </w:pPr>
      <w:r>
        <w:rPr>
          <w:rFonts w:hint="eastAsia" w:cs="宋体"/>
          <w:bCs/>
          <w:color w:val="auto"/>
          <w:sz w:val="21"/>
          <w:szCs w:val="21"/>
        </w:rPr>
        <w:t>本合同自</w:t>
      </w:r>
      <w:r>
        <w:rPr>
          <w:rFonts w:hint="eastAsia" w:cs="宋体"/>
          <w:bCs/>
          <w:color w:val="auto"/>
          <w:sz w:val="21"/>
          <w:szCs w:val="21"/>
          <w:u w:val="single"/>
        </w:rPr>
        <w:t xml:space="preserve">                                   </w:t>
      </w:r>
      <w:r>
        <w:rPr>
          <w:rFonts w:hint="eastAsia" w:cs="宋体"/>
          <w:bCs/>
          <w:color w:val="auto"/>
          <w:sz w:val="21"/>
          <w:szCs w:val="21"/>
        </w:rPr>
        <w:t>生效。</w:t>
      </w:r>
    </w:p>
    <w:p w14:paraId="5B920C7E">
      <w:pPr>
        <w:snapToGrid w:val="0"/>
        <w:spacing w:line="360" w:lineRule="auto"/>
        <w:ind w:firstLine="420" w:firstLineChars="200"/>
        <w:rPr>
          <w:rFonts w:cs="宋体"/>
          <w:b/>
          <w:color w:val="auto"/>
          <w:sz w:val="21"/>
          <w:szCs w:val="21"/>
        </w:rPr>
      </w:pPr>
      <w:bookmarkStart w:id="560" w:name="_Toc351203493"/>
      <w:r>
        <w:rPr>
          <w:rFonts w:hint="eastAsia" w:cs="宋体"/>
          <w:b/>
          <w:color w:val="auto"/>
          <w:sz w:val="21"/>
          <w:szCs w:val="21"/>
        </w:rPr>
        <w:t>十三、合同份数</w:t>
      </w:r>
      <w:bookmarkEnd w:id="560"/>
    </w:p>
    <w:p w14:paraId="0BBD7F06">
      <w:pPr>
        <w:snapToGrid w:val="0"/>
        <w:spacing w:line="360" w:lineRule="auto"/>
        <w:ind w:firstLine="420" w:firstLineChars="200"/>
        <w:rPr>
          <w:rFonts w:cs="宋体"/>
          <w:bCs/>
          <w:color w:val="auto"/>
          <w:sz w:val="21"/>
          <w:szCs w:val="21"/>
        </w:rPr>
      </w:pPr>
      <w:r>
        <w:rPr>
          <w:rFonts w:hint="eastAsia" w:cs="宋体"/>
          <w:bCs/>
          <w:color w:val="auto"/>
          <w:sz w:val="21"/>
          <w:szCs w:val="21"/>
        </w:rPr>
        <w:t>本合同一式</w:t>
      </w:r>
      <w:r>
        <w:rPr>
          <w:rFonts w:hint="eastAsia" w:cs="宋体"/>
          <w:bCs/>
          <w:color w:val="auto"/>
          <w:sz w:val="21"/>
          <w:szCs w:val="21"/>
          <w:u w:val="single"/>
        </w:rPr>
        <w:t xml:space="preserve">    </w:t>
      </w:r>
      <w:r>
        <w:rPr>
          <w:rFonts w:hint="eastAsia" w:cs="宋体"/>
          <w:bCs/>
          <w:color w:val="auto"/>
          <w:sz w:val="21"/>
          <w:szCs w:val="21"/>
        </w:rPr>
        <w:t>份，均具有同等法律效力，发包人执</w:t>
      </w:r>
      <w:r>
        <w:rPr>
          <w:rFonts w:hint="eastAsia" w:cs="宋体"/>
          <w:bCs/>
          <w:color w:val="auto"/>
          <w:sz w:val="21"/>
          <w:szCs w:val="21"/>
          <w:u w:val="single"/>
        </w:rPr>
        <w:t xml:space="preserve">    </w:t>
      </w:r>
      <w:r>
        <w:rPr>
          <w:rFonts w:hint="eastAsia" w:cs="宋体"/>
          <w:bCs/>
          <w:color w:val="auto"/>
          <w:sz w:val="21"/>
          <w:szCs w:val="21"/>
        </w:rPr>
        <w:t>份，承包人执</w:t>
      </w:r>
      <w:r>
        <w:rPr>
          <w:rFonts w:hint="eastAsia" w:cs="宋体"/>
          <w:bCs/>
          <w:color w:val="auto"/>
          <w:sz w:val="21"/>
          <w:szCs w:val="21"/>
          <w:u w:val="single"/>
        </w:rPr>
        <w:t xml:space="preserve">    </w:t>
      </w:r>
      <w:r>
        <w:rPr>
          <w:rFonts w:hint="eastAsia" w:cs="宋体"/>
          <w:bCs/>
          <w:color w:val="auto"/>
          <w:sz w:val="21"/>
          <w:szCs w:val="21"/>
        </w:rPr>
        <w:t>份。</w:t>
      </w:r>
    </w:p>
    <w:p w14:paraId="72479B9F">
      <w:pPr>
        <w:snapToGrid w:val="0"/>
        <w:spacing w:line="360" w:lineRule="auto"/>
        <w:rPr>
          <w:rFonts w:cs="宋体"/>
          <w:bCs/>
          <w:color w:val="auto"/>
          <w:sz w:val="21"/>
          <w:szCs w:val="21"/>
        </w:rPr>
      </w:pPr>
    </w:p>
    <w:p w14:paraId="4C8A3BF4">
      <w:pPr>
        <w:snapToGrid w:val="0"/>
        <w:spacing w:line="360" w:lineRule="auto"/>
        <w:rPr>
          <w:rFonts w:cs="宋体"/>
          <w:color w:val="auto"/>
          <w:sz w:val="21"/>
          <w:szCs w:val="21"/>
        </w:rPr>
      </w:pPr>
      <w:r>
        <w:rPr>
          <w:rFonts w:hint="eastAsia" w:cs="宋体"/>
          <w:color w:val="auto"/>
          <w:sz w:val="21"/>
          <w:szCs w:val="21"/>
        </w:rPr>
        <w:t>发包人：</w:t>
      </w:r>
      <w:r>
        <w:rPr>
          <w:rFonts w:hint="eastAsia" w:cs="宋体"/>
          <w:color w:val="auto"/>
          <w:sz w:val="21"/>
          <w:szCs w:val="21"/>
          <w:u w:val="single"/>
        </w:rPr>
        <w:t>      （</w:t>
      </w:r>
      <w:r>
        <w:rPr>
          <w:rFonts w:hint="eastAsia" w:cs="宋体"/>
          <w:color w:val="auto"/>
          <w:sz w:val="21"/>
          <w:szCs w:val="21"/>
        </w:rPr>
        <w:t>公章）                 承包人：</w:t>
      </w:r>
      <w:r>
        <w:rPr>
          <w:rFonts w:hint="eastAsia" w:cs="宋体"/>
          <w:color w:val="auto"/>
          <w:sz w:val="21"/>
          <w:szCs w:val="21"/>
          <w:u w:val="single"/>
        </w:rPr>
        <w:t>        （</w:t>
      </w:r>
      <w:r>
        <w:rPr>
          <w:rFonts w:hint="eastAsia" w:cs="宋体"/>
          <w:color w:val="auto"/>
          <w:sz w:val="21"/>
          <w:szCs w:val="21"/>
        </w:rPr>
        <w:t>公章）</w:t>
      </w:r>
    </w:p>
    <w:p w14:paraId="619E2E04">
      <w:pPr>
        <w:snapToGrid w:val="0"/>
        <w:spacing w:line="360" w:lineRule="auto"/>
        <w:rPr>
          <w:rFonts w:cs="宋体"/>
          <w:color w:val="auto"/>
          <w:sz w:val="21"/>
          <w:szCs w:val="21"/>
        </w:rPr>
      </w:pPr>
      <w:r>
        <w:rPr>
          <w:rFonts w:hint="eastAsia" w:cs="宋体"/>
          <w:color w:val="auto"/>
          <w:sz w:val="21"/>
          <w:szCs w:val="21"/>
        </w:rPr>
        <w:t>法定代表人或其委托代理人：                 法定代表人或其委托代理人：</w:t>
      </w:r>
    </w:p>
    <w:p w14:paraId="5CB59F6B">
      <w:pPr>
        <w:snapToGrid w:val="0"/>
        <w:spacing w:line="360" w:lineRule="auto"/>
        <w:rPr>
          <w:rFonts w:cs="宋体"/>
          <w:color w:val="auto"/>
          <w:sz w:val="21"/>
          <w:szCs w:val="21"/>
        </w:rPr>
      </w:pPr>
      <w:r>
        <w:rPr>
          <w:rFonts w:hint="eastAsia" w:cs="宋体"/>
          <w:color w:val="auto"/>
          <w:sz w:val="21"/>
          <w:szCs w:val="21"/>
        </w:rPr>
        <w:t>（签字）</w:t>
      </w:r>
      <w:r>
        <w:rPr>
          <w:rFonts w:hint="eastAsia" w:cs="宋体"/>
          <w:color w:val="auto"/>
          <w:sz w:val="21"/>
          <w:szCs w:val="21"/>
          <w:u w:val="single"/>
        </w:rPr>
        <w:t xml:space="preserve">                    </w:t>
      </w:r>
      <w:r>
        <w:rPr>
          <w:rFonts w:hint="eastAsia" w:cs="宋体"/>
          <w:color w:val="auto"/>
          <w:sz w:val="21"/>
          <w:szCs w:val="21"/>
        </w:rPr>
        <w:t xml:space="preserve">              （签字）</w:t>
      </w:r>
      <w:r>
        <w:rPr>
          <w:rFonts w:hint="eastAsia" w:cs="宋体"/>
          <w:color w:val="auto"/>
          <w:sz w:val="21"/>
          <w:szCs w:val="21"/>
          <w:u w:val="single"/>
        </w:rPr>
        <w:t xml:space="preserve">                   </w:t>
      </w:r>
    </w:p>
    <w:p w14:paraId="7AF7554F">
      <w:pPr>
        <w:tabs>
          <w:tab w:val="left" w:pos="4410"/>
        </w:tabs>
        <w:snapToGrid w:val="0"/>
        <w:spacing w:line="360" w:lineRule="auto"/>
        <w:rPr>
          <w:rFonts w:cs="宋体"/>
          <w:color w:val="auto"/>
          <w:sz w:val="21"/>
          <w:szCs w:val="21"/>
        </w:rPr>
      </w:pPr>
      <w:r>
        <w:rPr>
          <w:rFonts w:hint="eastAsia" w:cs="宋体"/>
          <w:color w:val="auto"/>
          <w:sz w:val="21"/>
          <w:szCs w:val="21"/>
        </w:rPr>
        <w:t>组织机构代码：</w:t>
      </w:r>
      <w:r>
        <w:rPr>
          <w:rFonts w:hint="eastAsia" w:cs="宋体"/>
          <w:color w:val="auto"/>
          <w:sz w:val="21"/>
          <w:szCs w:val="21"/>
          <w:u w:val="single"/>
        </w:rPr>
        <w:t xml:space="preserve">       </w:t>
      </w:r>
      <w:r>
        <w:rPr>
          <w:rFonts w:hint="eastAsia" w:cs="宋体"/>
          <w:color w:val="auto"/>
          <w:sz w:val="21"/>
          <w:szCs w:val="21"/>
        </w:rPr>
        <w:t xml:space="preserve">                组织机构代码：</w:t>
      </w:r>
      <w:r>
        <w:rPr>
          <w:rFonts w:hint="eastAsia" w:cs="宋体"/>
          <w:color w:val="auto"/>
          <w:sz w:val="21"/>
          <w:szCs w:val="21"/>
          <w:u w:val="single"/>
        </w:rPr>
        <w:t xml:space="preserve">        </w:t>
      </w:r>
    </w:p>
    <w:p w14:paraId="1935D1ED">
      <w:pPr>
        <w:snapToGrid w:val="0"/>
        <w:spacing w:line="360" w:lineRule="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   </w:t>
      </w:r>
    </w:p>
    <w:p w14:paraId="74CDCA31">
      <w:pPr>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    </w:t>
      </w:r>
      <w:r>
        <w:rPr>
          <w:rFonts w:hint="eastAsia" w:cs="宋体"/>
          <w:color w:val="auto"/>
          <w:sz w:val="21"/>
          <w:szCs w:val="21"/>
        </w:rPr>
        <w:t xml:space="preserve">               邮政编码：</w:t>
      </w:r>
      <w:r>
        <w:rPr>
          <w:rFonts w:hint="eastAsia" w:cs="宋体"/>
          <w:color w:val="auto"/>
          <w:sz w:val="21"/>
          <w:szCs w:val="21"/>
          <w:u w:val="single"/>
        </w:rPr>
        <w:t xml:space="preserve"> </w:t>
      </w:r>
    </w:p>
    <w:p w14:paraId="2D8C6F4A">
      <w:pPr>
        <w:snapToGrid w:val="0"/>
        <w:spacing w:line="360" w:lineRule="auto"/>
        <w:rPr>
          <w:rFonts w:cs="宋体"/>
          <w:color w:val="auto"/>
          <w:sz w:val="21"/>
          <w:szCs w:val="21"/>
        </w:rPr>
      </w:pPr>
      <w:r>
        <w:rPr>
          <w:rFonts w:hint="eastAsia" w:cs="宋体"/>
          <w:color w:val="auto"/>
          <w:sz w:val="21"/>
          <w:szCs w:val="21"/>
        </w:rPr>
        <w:t>法定代表人：</w:t>
      </w:r>
      <w:r>
        <w:rPr>
          <w:rFonts w:hint="eastAsia" w:cs="宋体"/>
          <w:color w:val="auto"/>
          <w:sz w:val="21"/>
          <w:szCs w:val="21"/>
          <w:u w:val="single"/>
        </w:rPr>
        <w:t xml:space="preserve">           </w:t>
      </w:r>
      <w:r>
        <w:rPr>
          <w:rFonts w:hint="eastAsia" w:cs="宋体"/>
          <w:color w:val="auto"/>
          <w:sz w:val="21"/>
          <w:szCs w:val="21"/>
        </w:rPr>
        <w:t xml:space="preserve">                法定代表人：</w:t>
      </w:r>
      <w:r>
        <w:rPr>
          <w:rFonts w:hint="eastAsia" w:cs="宋体"/>
          <w:color w:val="auto"/>
          <w:sz w:val="21"/>
          <w:szCs w:val="21"/>
          <w:u w:val="single"/>
        </w:rPr>
        <w:t xml:space="preserve">          </w:t>
      </w:r>
    </w:p>
    <w:p w14:paraId="344D3D71">
      <w:pPr>
        <w:snapToGrid w:val="0"/>
        <w:spacing w:line="360" w:lineRule="auto"/>
        <w:rPr>
          <w:rFonts w:cs="宋体"/>
          <w:color w:val="auto"/>
          <w:sz w:val="21"/>
          <w:szCs w:val="21"/>
        </w:rPr>
      </w:pPr>
      <w:r>
        <w:rPr>
          <w:rFonts w:hint="eastAsia" w:cs="宋体"/>
          <w:color w:val="auto"/>
          <w:sz w:val="21"/>
          <w:szCs w:val="21"/>
        </w:rPr>
        <w:t>委托代理人：</w:t>
      </w:r>
      <w:r>
        <w:rPr>
          <w:rFonts w:hint="eastAsia" w:cs="宋体"/>
          <w:color w:val="auto"/>
          <w:sz w:val="21"/>
          <w:szCs w:val="21"/>
          <w:u w:val="single"/>
        </w:rPr>
        <w:t xml:space="preserve">           </w:t>
      </w:r>
      <w:r>
        <w:rPr>
          <w:rFonts w:hint="eastAsia" w:cs="宋体"/>
          <w:color w:val="auto"/>
          <w:sz w:val="21"/>
          <w:szCs w:val="21"/>
        </w:rPr>
        <w:t xml:space="preserve">                委托代理人：</w:t>
      </w:r>
      <w:r>
        <w:rPr>
          <w:rFonts w:hint="eastAsia" w:cs="宋体"/>
          <w:color w:val="auto"/>
          <w:sz w:val="21"/>
          <w:szCs w:val="21"/>
          <w:u w:val="single"/>
        </w:rPr>
        <w:t xml:space="preserve">          </w:t>
      </w:r>
    </w:p>
    <w:p w14:paraId="6AE3696E">
      <w:pPr>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41226623">
      <w:pPr>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w:t>
      </w:r>
    </w:p>
    <w:p w14:paraId="261AF4E8">
      <w:pPr>
        <w:snapToGrid w:val="0"/>
        <w:spacing w:line="360" w:lineRule="auto"/>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 xml:space="preserve">                电子信箱：</w:t>
      </w:r>
      <w:r>
        <w:rPr>
          <w:rFonts w:hint="eastAsia" w:cs="宋体"/>
          <w:color w:val="auto"/>
          <w:sz w:val="21"/>
          <w:szCs w:val="21"/>
          <w:u w:val="single"/>
        </w:rPr>
        <w:t></w:t>
      </w:r>
    </w:p>
    <w:p w14:paraId="3F804CE9">
      <w:pPr>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w:t>
      </w:r>
    </w:p>
    <w:p w14:paraId="3F994248">
      <w:pPr>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p w14:paraId="2B626180">
      <w:pPr>
        <w:keepNext/>
        <w:keepLines/>
        <w:snapToGrid w:val="0"/>
        <w:spacing w:before="312" w:beforeLines="100" w:after="312" w:afterLines="100" w:line="360" w:lineRule="auto"/>
        <w:jc w:val="center"/>
        <w:outlineLvl w:val="1"/>
        <w:rPr>
          <w:rFonts w:cs="宋体"/>
          <w:bCs/>
          <w:color w:val="auto"/>
          <w:sz w:val="21"/>
          <w:szCs w:val="21"/>
        </w:rPr>
      </w:pPr>
      <w:r>
        <w:rPr>
          <w:rFonts w:hint="eastAsia" w:cs="宋体"/>
          <w:b/>
          <w:bCs/>
          <w:color w:val="auto"/>
          <w:sz w:val="21"/>
          <w:szCs w:val="21"/>
        </w:rPr>
        <w:br w:type="page"/>
      </w:r>
      <w:bookmarkStart w:id="561" w:name="_Toc28799377"/>
      <w:bookmarkStart w:id="562" w:name="_Toc130919121"/>
      <w:r>
        <w:rPr>
          <w:rFonts w:hint="eastAsia" w:ascii="等线" w:hAnsi="等线" w:eastAsia="等线" w:cs="@仿宋_GB2312"/>
          <w:b/>
          <w:color w:val="auto"/>
          <w:kern w:val="2"/>
          <w:sz w:val="24"/>
        </w:rPr>
        <w:t>第二节  通用合同条款</w:t>
      </w:r>
      <w:bookmarkEnd w:id="561"/>
      <w:bookmarkEnd w:id="562"/>
    </w:p>
    <w:p w14:paraId="6CAF98D1">
      <w:pPr>
        <w:spacing w:line="360" w:lineRule="auto"/>
        <w:ind w:firstLine="560" w:firstLineChars="200"/>
        <w:rPr>
          <w:rFonts w:cs="Times New Roman"/>
          <w:snapToGrid w:val="0"/>
          <w:color w:val="auto"/>
          <w:sz w:val="28"/>
          <w:szCs w:val="24"/>
        </w:rPr>
      </w:pPr>
      <w:r>
        <w:rPr>
          <w:rFonts w:hint="eastAsia" w:cs="Times New Roman"/>
          <w:snapToGrid w:val="0"/>
          <w:color w:val="auto"/>
          <w:sz w:val="28"/>
          <w:szCs w:val="24"/>
        </w:rPr>
        <w:t>采用《建设工程施工合同（示范文本）》（GF-2017-0201）中通用合同条款。上述资料由承包人自行准备。</w:t>
      </w:r>
    </w:p>
    <w:p w14:paraId="437CE44F">
      <w:pPr>
        <w:keepNext/>
        <w:keepLines/>
        <w:snapToGrid w:val="0"/>
        <w:spacing w:before="312" w:beforeLines="100" w:after="312" w:afterLines="100" w:line="240" w:lineRule="auto"/>
        <w:jc w:val="center"/>
        <w:outlineLvl w:val="1"/>
        <w:rPr>
          <w:rFonts w:cs="宋体"/>
          <w:bCs/>
          <w:color w:val="auto"/>
          <w:sz w:val="21"/>
          <w:szCs w:val="21"/>
        </w:rPr>
      </w:pPr>
      <w:r>
        <w:rPr>
          <w:rFonts w:hint="eastAsia" w:cs="宋体"/>
          <w:b/>
          <w:bCs/>
          <w:color w:val="auto"/>
          <w:sz w:val="21"/>
          <w:szCs w:val="21"/>
        </w:rPr>
        <w:br w:type="page"/>
      </w:r>
      <w:bookmarkStart w:id="563" w:name="_Toc28799378"/>
      <w:bookmarkStart w:id="564" w:name="_Toc130919122"/>
      <w:r>
        <w:rPr>
          <w:rFonts w:hint="eastAsia" w:ascii="等线" w:hAnsi="等线" w:eastAsia="等线" w:cs="@仿宋_GB2312"/>
          <w:b/>
          <w:color w:val="auto"/>
          <w:kern w:val="2"/>
          <w:sz w:val="24"/>
        </w:rPr>
        <w:t>第三节  专用合同条款</w:t>
      </w:r>
      <w:bookmarkEnd w:id="563"/>
      <w:bookmarkEnd w:id="564"/>
    </w:p>
    <w:p w14:paraId="19677455">
      <w:pPr>
        <w:snapToGrid w:val="0"/>
        <w:spacing w:before="312" w:beforeLines="100" w:after="312" w:afterLines="100" w:line="240" w:lineRule="auto"/>
        <w:jc w:val="center"/>
        <w:outlineLvl w:val="2"/>
        <w:rPr>
          <w:rFonts w:cs="宋体"/>
          <w:color w:val="auto"/>
          <w:sz w:val="22"/>
          <w:szCs w:val="22"/>
        </w:rPr>
      </w:pPr>
      <w:bookmarkStart w:id="565" w:name="_Toc351203633"/>
      <w:r>
        <w:rPr>
          <w:rFonts w:hint="eastAsia" w:cs="宋体"/>
          <w:color w:val="auto"/>
          <w:sz w:val="22"/>
          <w:szCs w:val="22"/>
        </w:rPr>
        <w:t>专用合同条款数据表</w:t>
      </w:r>
    </w:p>
    <w:p w14:paraId="2C78EEA9">
      <w:pPr>
        <w:pStyle w:val="9"/>
        <w:snapToGrid w:val="0"/>
        <w:spacing w:line="360" w:lineRule="auto"/>
        <w:ind w:left="400" w:firstLine="480"/>
        <w:rPr>
          <w:rFonts w:ascii="宋体" w:hAnsi="宋体" w:cs="宋体"/>
          <w:color w:val="auto"/>
          <w:sz w:val="24"/>
          <w:szCs w:val="18"/>
        </w:rPr>
      </w:pPr>
      <w:r>
        <w:rPr>
          <w:rFonts w:hint="eastAsia" w:ascii="宋体" w:hAnsi="宋体" w:cs="宋体"/>
          <w:color w:val="auto"/>
          <w:sz w:val="24"/>
          <w:szCs w:val="18"/>
        </w:rPr>
        <w:t>说明：本数据表是项目专用合同条款中适用于本招标项目的信息和数据的归纳与提示，是项目专用合同条款的组成部分。</w:t>
      </w:r>
    </w:p>
    <w:tbl>
      <w:tblPr>
        <w:tblStyle w:val="20"/>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7082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9" w:type="dxa"/>
            <w:vAlign w:val="center"/>
          </w:tcPr>
          <w:p w14:paraId="7218CC19">
            <w:pPr>
              <w:snapToGrid w:val="0"/>
              <w:spacing w:before="100" w:beforeAutospacing="1" w:line="360" w:lineRule="auto"/>
              <w:ind w:left="-105" w:leftChars="-50" w:right="-105" w:rightChars="-50"/>
              <w:jc w:val="center"/>
              <w:rPr>
                <w:rFonts w:cs="宋体"/>
                <w:b/>
                <w:color w:val="auto"/>
                <w:sz w:val="21"/>
                <w:szCs w:val="21"/>
              </w:rPr>
            </w:pPr>
            <w:r>
              <w:rPr>
                <w:rFonts w:hint="eastAsia" w:cs="宋体"/>
                <w:b/>
                <w:color w:val="auto"/>
                <w:sz w:val="21"/>
                <w:szCs w:val="21"/>
              </w:rPr>
              <w:t>序号</w:t>
            </w:r>
          </w:p>
        </w:tc>
        <w:tc>
          <w:tcPr>
            <w:tcW w:w="1111" w:type="dxa"/>
            <w:vAlign w:val="center"/>
          </w:tcPr>
          <w:p w14:paraId="48DDCF04">
            <w:pPr>
              <w:snapToGrid w:val="0"/>
              <w:spacing w:line="360" w:lineRule="auto"/>
              <w:ind w:left="-105" w:leftChars="-50" w:right="-105" w:rightChars="-50"/>
              <w:jc w:val="center"/>
              <w:rPr>
                <w:rFonts w:cs="宋体"/>
                <w:b/>
                <w:color w:val="auto"/>
                <w:sz w:val="21"/>
                <w:szCs w:val="21"/>
              </w:rPr>
            </w:pPr>
            <w:r>
              <w:rPr>
                <w:rFonts w:hint="eastAsia" w:cs="宋体"/>
                <w:b/>
                <w:color w:val="auto"/>
                <w:sz w:val="21"/>
                <w:szCs w:val="21"/>
              </w:rPr>
              <w:t>条目号</w:t>
            </w:r>
          </w:p>
        </w:tc>
        <w:tc>
          <w:tcPr>
            <w:tcW w:w="7304" w:type="dxa"/>
            <w:vAlign w:val="center"/>
          </w:tcPr>
          <w:p w14:paraId="028A2F2F">
            <w:pPr>
              <w:snapToGrid w:val="0"/>
              <w:spacing w:line="360" w:lineRule="auto"/>
              <w:jc w:val="center"/>
              <w:rPr>
                <w:rFonts w:cs="宋体"/>
                <w:b/>
                <w:color w:val="auto"/>
                <w:sz w:val="21"/>
                <w:szCs w:val="21"/>
              </w:rPr>
            </w:pPr>
            <w:r>
              <w:rPr>
                <w:rFonts w:hint="eastAsia" w:cs="宋体"/>
                <w:b/>
                <w:color w:val="auto"/>
                <w:sz w:val="21"/>
                <w:szCs w:val="21"/>
              </w:rPr>
              <w:t>信息或数据</w:t>
            </w:r>
          </w:p>
        </w:tc>
      </w:tr>
      <w:tr w14:paraId="4077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7C55EAA7">
            <w:pPr>
              <w:numPr>
                <w:ilvl w:val="0"/>
                <w:numId w:val="3"/>
              </w:numPr>
              <w:snapToGrid w:val="0"/>
              <w:spacing w:line="360" w:lineRule="auto"/>
              <w:jc w:val="center"/>
              <w:rPr>
                <w:rFonts w:cs="宋体"/>
                <w:bCs/>
                <w:color w:val="auto"/>
                <w:kern w:val="2"/>
                <w:sz w:val="21"/>
                <w:szCs w:val="21"/>
              </w:rPr>
            </w:pPr>
          </w:p>
        </w:tc>
        <w:tc>
          <w:tcPr>
            <w:tcW w:w="1111" w:type="dxa"/>
            <w:vAlign w:val="center"/>
          </w:tcPr>
          <w:p w14:paraId="75222963">
            <w:pPr>
              <w:snapToGrid w:val="0"/>
              <w:spacing w:line="360" w:lineRule="auto"/>
              <w:jc w:val="center"/>
              <w:rPr>
                <w:rFonts w:cs="宋体"/>
                <w:bCs/>
                <w:color w:val="auto"/>
                <w:sz w:val="21"/>
                <w:szCs w:val="21"/>
              </w:rPr>
            </w:pPr>
            <w:r>
              <w:rPr>
                <w:rFonts w:hint="eastAsia" w:cs="宋体"/>
                <w:bCs/>
                <w:color w:val="auto"/>
                <w:sz w:val="21"/>
                <w:szCs w:val="21"/>
              </w:rPr>
              <w:t>2.5</w:t>
            </w:r>
          </w:p>
        </w:tc>
        <w:tc>
          <w:tcPr>
            <w:tcW w:w="7304" w:type="dxa"/>
            <w:vAlign w:val="center"/>
          </w:tcPr>
          <w:p w14:paraId="3627510A">
            <w:pPr>
              <w:snapToGrid w:val="0"/>
              <w:spacing w:line="360" w:lineRule="auto"/>
              <w:rPr>
                <w:rFonts w:cs="宋体"/>
                <w:bCs/>
                <w:color w:val="auto"/>
                <w:sz w:val="21"/>
                <w:szCs w:val="21"/>
                <w:u w:val="single"/>
              </w:rPr>
            </w:pPr>
            <w:r>
              <w:rPr>
                <w:rFonts w:hint="eastAsia" w:cs="宋体"/>
                <w:bCs/>
                <w:color w:val="auto"/>
                <w:sz w:val="21"/>
                <w:szCs w:val="21"/>
              </w:rPr>
              <w:t xml:space="preserve">发包人提供资金来源证明的期限要求： </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p>
          <w:p w14:paraId="11E20DF3">
            <w:pPr>
              <w:snapToGrid w:val="0"/>
              <w:spacing w:line="360" w:lineRule="auto"/>
              <w:rPr>
                <w:rFonts w:cs="宋体"/>
                <w:bCs/>
                <w:color w:val="auto"/>
                <w:sz w:val="21"/>
                <w:szCs w:val="21"/>
              </w:rPr>
            </w:pPr>
            <w:r>
              <w:rPr>
                <w:rFonts w:hint="eastAsia" w:cs="宋体"/>
                <w:bCs/>
                <w:color w:val="auto"/>
                <w:sz w:val="21"/>
                <w:szCs w:val="21"/>
              </w:rPr>
              <w:t>发包人是否提供支付担保：</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p>
          <w:p w14:paraId="4B0860B9">
            <w:pPr>
              <w:snapToGrid w:val="0"/>
              <w:spacing w:line="360" w:lineRule="auto"/>
              <w:rPr>
                <w:rFonts w:cs="宋体"/>
                <w:bCs/>
                <w:color w:val="auto"/>
                <w:sz w:val="21"/>
                <w:szCs w:val="21"/>
                <w:u w:val="single"/>
              </w:rPr>
            </w:pPr>
            <w:r>
              <w:rPr>
                <w:rFonts w:hint="eastAsia" w:cs="宋体"/>
                <w:bCs/>
                <w:color w:val="auto"/>
                <w:sz w:val="21"/>
                <w:szCs w:val="21"/>
              </w:rPr>
              <w:t>发包人提供支付担保的形式：</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p>
        </w:tc>
      </w:tr>
      <w:tr w14:paraId="7C0F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70378B5B">
            <w:pPr>
              <w:numPr>
                <w:ilvl w:val="0"/>
                <w:numId w:val="3"/>
              </w:numPr>
              <w:snapToGrid w:val="0"/>
              <w:spacing w:line="360" w:lineRule="auto"/>
              <w:jc w:val="center"/>
              <w:rPr>
                <w:rFonts w:cs="宋体"/>
                <w:bCs/>
                <w:color w:val="auto"/>
                <w:kern w:val="2"/>
                <w:sz w:val="21"/>
                <w:szCs w:val="21"/>
              </w:rPr>
            </w:pPr>
          </w:p>
        </w:tc>
        <w:tc>
          <w:tcPr>
            <w:tcW w:w="1111" w:type="dxa"/>
            <w:vAlign w:val="center"/>
          </w:tcPr>
          <w:p w14:paraId="13A1E733">
            <w:pPr>
              <w:snapToGrid w:val="0"/>
              <w:spacing w:line="360" w:lineRule="auto"/>
              <w:jc w:val="center"/>
              <w:rPr>
                <w:rFonts w:cs="宋体"/>
                <w:bCs/>
                <w:color w:val="auto"/>
                <w:kern w:val="2"/>
                <w:sz w:val="21"/>
                <w:szCs w:val="21"/>
              </w:rPr>
            </w:pPr>
            <w:r>
              <w:rPr>
                <w:rFonts w:hint="eastAsia" w:cs="宋体"/>
                <w:bCs/>
                <w:color w:val="auto"/>
                <w:sz w:val="21"/>
                <w:szCs w:val="21"/>
              </w:rPr>
              <w:t>3.2.1</w:t>
            </w:r>
          </w:p>
        </w:tc>
        <w:tc>
          <w:tcPr>
            <w:tcW w:w="7304" w:type="dxa"/>
            <w:vAlign w:val="center"/>
          </w:tcPr>
          <w:p w14:paraId="5106AA9D">
            <w:pPr>
              <w:snapToGrid w:val="0"/>
              <w:spacing w:line="360" w:lineRule="auto"/>
              <w:rPr>
                <w:rFonts w:cs="宋体"/>
                <w:bCs/>
                <w:color w:val="auto"/>
                <w:sz w:val="21"/>
                <w:szCs w:val="21"/>
              </w:rPr>
            </w:pPr>
            <w:r>
              <w:rPr>
                <w:rFonts w:hint="eastAsia" w:cs="宋体"/>
                <w:bCs/>
                <w:color w:val="auto"/>
                <w:sz w:val="21"/>
                <w:szCs w:val="21"/>
              </w:rPr>
              <w:t>项目经理</w:t>
            </w:r>
          </w:p>
          <w:p w14:paraId="5A7AB4CA">
            <w:pPr>
              <w:snapToGrid w:val="0"/>
              <w:spacing w:line="360" w:lineRule="auto"/>
              <w:rPr>
                <w:rFonts w:cs="宋体"/>
                <w:bCs/>
                <w:color w:val="auto"/>
                <w:sz w:val="21"/>
                <w:szCs w:val="21"/>
              </w:rPr>
            </w:pPr>
            <w:r>
              <w:rPr>
                <w:rFonts w:hint="eastAsia" w:cs="宋体"/>
                <w:bCs/>
                <w:color w:val="auto"/>
                <w:sz w:val="21"/>
                <w:szCs w:val="21"/>
              </w:rPr>
              <w:t>姓    名：</w:t>
            </w:r>
            <w:r>
              <w:rPr>
                <w:rFonts w:hint="eastAsia" w:cs="宋体"/>
                <w:bCs/>
                <w:color w:val="auto"/>
                <w:sz w:val="21"/>
                <w:szCs w:val="21"/>
                <w:u w:val="single"/>
              </w:rPr>
              <w:t xml:space="preserve">          </w:t>
            </w:r>
          </w:p>
          <w:p w14:paraId="6074D697">
            <w:pPr>
              <w:snapToGrid w:val="0"/>
              <w:spacing w:line="360" w:lineRule="auto"/>
              <w:rPr>
                <w:rFonts w:cs="宋体"/>
                <w:bCs/>
                <w:color w:val="auto"/>
                <w:sz w:val="21"/>
                <w:szCs w:val="21"/>
              </w:rPr>
            </w:pPr>
            <w:r>
              <w:rPr>
                <w:rFonts w:hint="eastAsia" w:cs="宋体"/>
                <w:bCs/>
                <w:color w:val="auto"/>
                <w:sz w:val="21"/>
                <w:szCs w:val="21"/>
              </w:rPr>
              <w:t>身份证号：</w:t>
            </w:r>
            <w:r>
              <w:rPr>
                <w:rFonts w:hint="eastAsia" w:cs="宋体"/>
                <w:bCs/>
                <w:color w:val="auto"/>
                <w:sz w:val="21"/>
                <w:szCs w:val="21"/>
                <w:u w:val="single"/>
              </w:rPr>
              <w:t xml:space="preserve">          </w:t>
            </w:r>
          </w:p>
          <w:p w14:paraId="6DEC36E6">
            <w:pPr>
              <w:snapToGrid w:val="0"/>
              <w:spacing w:line="360" w:lineRule="auto"/>
              <w:rPr>
                <w:rFonts w:cs="宋体"/>
                <w:bCs/>
                <w:color w:val="auto"/>
                <w:sz w:val="21"/>
                <w:szCs w:val="21"/>
              </w:rPr>
            </w:pPr>
            <w:r>
              <w:rPr>
                <w:rFonts w:hint="eastAsia" w:cs="宋体"/>
                <w:bCs/>
                <w:color w:val="auto"/>
                <w:sz w:val="21"/>
                <w:szCs w:val="21"/>
              </w:rPr>
              <w:t>建造师执业资格等级：</w:t>
            </w:r>
            <w:r>
              <w:rPr>
                <w:rFonts w:hint="eastAsia" w:cs="宋体"/>
                <w:bCs/>
                <w:color w:val="auto"/>
                <w:sz w:val="21"/>
                <w:szCs w:val="21"/>
                <w:u w:val="single"/>
              </w:rPr>
              <w:t xml:space="preserve">          </w:t>
            </w:r>
          </w:p>
          <w:p w14:paraId="5763C862">
            <w:pPr>
              <w:snapToGrid w:val="0"/>
              <w:spacing w:line="360" w:lineRule="auto"/>
              <w:rPr>
                <w:rFonts w:cs="宋体"/>
                <w:bCs/>
                <w:color w:val="auto"/>
                <w:sz w:val="21"/>
                <w:szCs w:val="21"/>
              </w:rPr>
            </w:pPr>
            <w:r>
              <w:rPr>
                <w:rFonts w:hint="eastAsia" w:cs="宋体"/>
                <w:bCs/>
                <w:color w:val="auto"/>
                <w:sz w:val="21"/>
                <w:szCs w:val="21"/>
              </w:rPr>
              <w:t>建造师注册证书号：</w:t>
            </w:r>
            <w:r>
              <w:rPr>
                <w:rFonts w:hint="eastAsia" w:cs="宋体"/>
                <w:bCs/>
                <w:color w:val="auto"/>
                <w:sz w:val="21"/>
                <w:szCs w:val="21"/>
                <w:u w:val="single"/>
              </w:rPr>
              <w:t xml:space="preserve">            </w:t>
            </w:r>
          </w:p>
          <w:p w14:paraId="4352FA53">
            <w:pPr>
              <w:snapToGrid w:val="0"/>
              <w:spacing w:line="360" w:lineRule="auto"/>
              <w:rPr>
                <w:rFonts w:cs="宋体"/>
                <w:bCs/>
                <w:color w:val="auto"/>
                <w:sz w:val="21"/>
                <w:szCs w:val="21"/>
                <w:u w:val="single"/>
              </w:rPr>
            </w:pPr>
            <w:r>
              <w:rPr>
                <w:rFonts w:hint="eastAsia" w:cs="宋体"/>
                <w:bCs/>
                <w:color w:val="auto"/>
                <w:sz w:val="21"/>
                <w:szCs w:val="21"/>
              </w:rPr>
              <w:t>承包人对项目经理的授权范围如下：</w:t>
            </w:r>
            <w:r>
              <w:rPr>
                <w:rFonts w:hint="eastAsia" w:cs="宋体"/>
                <w:bCs/>
                <w:color w:val="auto"/>
                <w:sz w:val="21"/>
                <w:szCs w:val="21"/>
                <w:u w:val="single"/>
              </w:rPr>
              <w:t xml:space="preserve">            </w:t>
            </w:r>
          </w:p>
          <w:p w14:paraId="1F1AB6A8">
            <w:pPr>
              <w:snapToGrid w:val="0"/>
              <w:spacing w:line="360" w:lineRule="auto"/>
              <w:rPr>
                <w:rFonts w:cs="宋体"/>
                <w:bCs/>
                <w:color w:val="auto"/>
                <w:kern w:val="2"/>
                <w:sz w:val="21"/>
                <w:szCs w:val="21"/>
              </w:rPr>
            </w:pPr>
            <w:r>
              <w:rPr>
                <w:rFonts w:hint="eastAsia" w:cs="宋体"/>
                <w:bCs/>
                <w:color w:val="auto"/>
                <w:sz w:val="21"/>
                <w:szCs w:val="21"/>
              </w:rPr>
              <w:t>承包人项目经理每月在施工现场的时间：驻场时间每月不少于</w:t>
            </w:r>
            <w:r>
              <w:rPr>
                <w:rFonts w:hint="eastAsia" w:cs="宋体"/>
                <w:bCs/>
                <w:color w:val="auto"/>
                <w:sz w:val="21"/>
                <w:szCs w:val="21"/>
                <w:u w:val="single"/>
              </w:rPr>
              <w:t xml:space="preserve">   </w:t>
            </w:r>
            <w:r>
              <w:rPr>
                <w:rFonts w:hint="eastAsia" w:cs="宋体"/>
                <w:bCs/>
                <w:color w:val="auto"/>
                <w:sz w:val="21"/>
                <w:szCs w:val="21"/>
              </w:rPr>
              <w:t>天，每天在岗工作时间不得少于</w:t>
            </w:r>
            <w:r>
              <w:rPr>
                <w:rFonts w:hint="eastAsia" w:cs="宋体"/>
                <w:bCs/>
                <w:color w:val="auto"/>
                <w:sz w:val="21"/>
                <w:szCs w:val="21"/>
                <w:u w:val="single"/>
              </w:rPr>
              <w:t xml:space="preserve">    </w:t>
            </w:r>
            <w:r>
              <w:rPr>
                <w:rFonts w:hint="eastAsia" w:cs="宋体"/>
                <w:bCs/>
                <w:color w:val="auto"/>
                <w:sz w:val="21"/>
                <w:szCs w:val="21"/>
              </w:rPr>
              <w:t>小时。</w:t>
            </w:r>
          </w:p>
        </w:tc>
      </w:tr>
      <w:tr w14:paraId="4667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6A7A8DDA">
            <w:pPr>
              <w:numPr>
                <w:ilvl w:val="0"/>
                <w:numId w:val="3"/>
              </w:numPr>
              <w:snapToGrid w:val="0"/>
              <w:spacing w:line="360" w:lineRule="auto"/>
              <w:jc w:val="center"/>
              <w:rPr>
                <w:rFonts w:cs="宋体"/>
                <w:bCs/>
                <w:color w:val="auto"/>
                <w:kern w:val="2"/>
                <w:sz w:val="21"/>
                <w:szCs w:val="21"/>
              </w:rPr>
            </w:pPr>
          </w:p>
        </w:tc>
        <w:tc>
          <w:tcPr>
            <w:tcW w:w="1111" w:type="dxa"/>
            <w:vAlign w:val="center"/>
          </w:tcPr>
          <w:p w14:paraId="25C7EA5D">
            <w:pPr>
              <w:snapToGrid w:val="0"/>
              <w:spacing w:line="360" w:lineRule="auto"/>
              <w:jc w:val="center"/>
              <w:rPr>
                <w:rFonts w:cs="宋体"/>
                <w:bCs/>
                <w:color w:val="auto"/>
                <w:kern w:val="2"/>
                <w:sz w:val="21"/>
                <w:szCs w:val="21"/>
              </w:rPr>
            </w:pPr>
            <w:r>
              <w:rPr>
                <w:rFonts w:hint="eastAsia" w:cs="宋体"/>
                <w:bCs/>
                <w:color w:val="auto"/>
                <w:sz w:val="21"/>
                <w:szCs w:val="21"/>
              </w:rPr>
              <w:t>3.7</w:t>
            </w:r>
          </w:p>
        </w:tc>
        <w:tc>
          <w:tcPr>
            <w:tcW w:w="7304" w:type="dxa"/>
            <w:vAlign w:val="center"/>
          </w:tcPr>
          <w:p w14:paraId="35DC3AE1">
            <w:pPr>
              <w:snapToGrid w:val="0"/>
              <w:spacing w:line="360" w:lineRule="auto"/>
              <w:rPr>
                <w:rFonts w:cs="宋体"/>
                <w:bCs/>
                <w:color w:val="auto"/>
                <w:sz w:val="21"/>
                <w:szCs w:val="21"/>
              </w:rPr>
            </w:pPr>
            <w:r>
              <w:rPr>
                <w:rFonts w:hint="eastAsia" w:cs="宋体"/>
                <w:bCs/>
                <w:color w:val="auto"/>
                <w:sz w:val="21"/>
                <w:szCs w:val="21"/>
              </w:rPr>
              <w:t>承包人是否提供履约保证金：</w:t>
            </w:r>
            <w:r>
              <w:rPr>
                <w:rFonts w:hint="eastAsia" w:cs="宋体"/>
                <w:bCs/>
                <w:color w:val="auto"/>
                <w:sz w:val="21"/>
                <w:szCs w:val="21"/>
                <w:u w:val="single"/>
              </w:rPr>
              <w:t xml:space="preserve">   </w:t>
            </w:r>
            <w:r>
              <w:rPr>
                <w:rFonts w:hint="eastAsia" w:cs="宋体"/>
                <w:bCs/>
                <w:color w:val="auto"/>
                <w:sz w:val="21"/>
                <w:szCs w:val="21"/>
                <w:u w:val="single"/>
                <w:lang w:val="en-US" w:eastAsia="zh-CN"/>
              </w:rPr>
              <w:t>否</w:t>
            </w:r>
            <w:r>
              <w:rPr>
                <w:rFonts w:hint="eastAsia" w:cs="宋体"/>
                <w:bCs/>
                <w:color w:val="auto"/>
                <w:sz w:val="21"/>
                <w:szCs w:val="21"/>
                <w:u w:val="single"/>
              </w:rPr>
              <w:t xml:space="preserve">    </w:t>
            </w:r>
            <w:r>
              <w:rPr>
                <w:rFonts w:hint="eastAsia" w:cs="宋体"/>
                <w:bCs/>
                <w:color w:val="auto"/>
                <w:sz w:val="21"/>
                <w:szCs w:val="21"/>
              </w:rPr>
              <w:t>。</w:t>
            </w:r>
          </w:p>
          <w:p w14:paraId="144DAD9F">
            <w:pPr>
              <w:snapToGrid w:val="0"/>
              <w:spacing w:line="360" w:lineRule="auto"/>
              <w:rPr>
                <w:rFonts w:cs="宋体"/>
                <w:bCs/>
                <w:color w:val="auto"/>
                <w:sz w:val="21"/>
                <w:szCs w:val="21"/>
              </w:rPr>
            </w:pPr>
            <w:r>
              <w:rPr>
                <w:rFonts w:hint="eastAsia" w:cs="宋体"/>
                <w:bCs/>
                <w:color w:val="auto"/>
                <w:sz w:val="21"/>
                <w:szCs w:val="21"/>
              </w:rPr>
              <w:t>承包人提供履约保证金的形式：</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p w14:paraId="37983421">
            <w:pPr>
              <w:snapToGrid w:val="0"/>
              <w:spacing w:line="360" w:lineRule="auto"/>
              <w:rPr>
                <w:rFonts w:cs="宋体"/>
                <w:bCs/>
                <w:color w:val="auto"/>
                <w:sz w:val="21"/>
                <w:szCs w:val="21"/>
              </w:rPr>
            </w:pPr>
            <w:r>
              <w:rPr>
                <w:rFonts w:hint="eastAsia" w:cs="宋体"/>
                <w:bCs/>
                <w:color w:val="auto"/>
                <w:sz w:val="21"/>
                <w:szCs w:val="21"/>
              </w:rPr>
              <w:t>履约保证金的金额：中标合同金额的</w:t>
            </w:r>
            <w:r>
              <w:rPr>
                <w:rFonts w:hint="eastAsia" w:cs="宋体"/>
                <w:bCs/>
                <w:color w:val="auto"/>
                <w:sz w:val="21"/>
                <w:szCs w:val="21"/>
                <w:u w:val="single"/>
              </w:rPr>
              <w:t xml:space="preserve"> </w:t>
            </w:r>
            <w:r>
              <w:rPr>
                <w:rFonts w:hint="eastAsia" w:cs="宋体"/>
                <w:bCs/>
                <w:color w:val="auto"/>
                <w:sz w:val="21"/>
                <w:szCs w:val="21"/>
                <w:u w:val="single"/>
                <w:lang w:val="en-US" w:eastAsia="zh-CN"/>
              </w:rPr>
              <w:t xml:space="preserve">/ </w:t>
            </w:r>
            <w:r>
              <w:rPr>
                <w:rFonts w:hint="eastAsia" w:cs="宋体"/>
                <w:bCs/>
                <w:color w:val="auto"/>
                <w:sz w:val="21"/>
                <w:szCs w:val="21"/>
              </w:rPr>
              <w:t>。</w:t>
            </w:r>
          </w:p>
          <w:p w14:paraId="48A4E879">
            <w:pPr>
              <w:snapToGrid w:val="0"/>
              <w:spacing w:line="360" w:lineRule="auto"/>
              <w:rPr>
                <w:rFonts w:cs="宋体"/>
                <w:bCs/>
                <w:color w:val="auto"/>
                <w:sz w:val="21"/>
                <w:szCs w:val="21"/>
              </w:rPr>
            </w:pPr>
            <w:r>
              <w:rPr>
                <w:rFonts w:hint="eastAsia" w:cs="宋体"/>
                <w:bCs/>
                <w:color w:val="auto"/>
                <w:sz w:val="21"/>
                <w:szCs w:val="21"/>
              </w:rPr>
              <w:t>履约保证金提交期限的要求：签订合同前。</w:t>
            </w:r>
          </w:p>
          <w:p w14:paraId="3CBA0483">
            <w:pPr>
              <w:snapToGrid w:val="0"/>
              <w:spacing w:line="360" w:lineRule="auto"/>
              <w:rPr>
                <w:rFonts w:cs="宋体"/>
                <w:bCs/>
                <w:color w:val="auto"/>
                <w:kern w:val="2"/>
                <w:sz w:val="21"/>
                <w:szCs w:val="21"/>
              </w:rPr>
            </w:pPr>
            <w:r>
              <w:rPr>
                <w:rFonts w:hint="eastAsia" w:cs="宋体"/>
                <w:bCs/>
                <w:color w:val="auto"/>
                <w:sz w:val="21"/>
                <w:szCs w:val="21"/>
              </w:rPr>
              <w:t>履约保证金退还时限：</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tc>
      </w:tr>
      <w:tr w14:paraId="2503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25E95D3A">
            <w:pPr>
              <w:numPr>
                <w:ilvl w:val="0"/>
                <w:numId w:val="3"/>
              </w:numPr>
              <w:snapToGrid w:val="0"/>
              <w:spacing w:line="360" w:lineRule="auto"/>
              <w:jc w:val="center"/>
              <w:rPr>
                <w:rFonts w:cs="宋体"/>
                <w:bCs/>
                <w:color w:val="auto"/>
                <w:sz w:val="21"/>
                <w:szCs w:val="21"/>
              </w:rPr>
            </w:pPr>
          </w:p>
        </w:tc>
        <w:tc>
          <w:tcPr>
            <w:tcW w:w="1111" w:type="dxa"/>
            <w:vAlign w:val="center"/>
          </w:tcPr>
          <w:p w14:paraId="732B4409">
            <w:pPr>
              <w:snapToGrid w:val="0"/>
              <w:spacing w:line="360" w:lineRule="auto"/>
              <w:jc w:val="center"/>
              <w:rPr>
                <w:rFonts w:cs="宋体"/>
                <w:bCs/>
                <w:color w:val="auto"/>
                <w:sz w:val="21"/>
                <w:szCs w:val="21"/>
              </w:rPr>
            </w:pPr>
            <w:r>
              <w:rPr>
                <w:rFonts w:hint="eastAsia" w:cs="宋体"/>
                <w:bCs/>
                <w:color w:val="auto"/>
                <w:sz w:val="21"/>
                <w:szCs w:val="21"/>
              </w:rPr>
              <w:t>5.1.1</w:t>
            </w:r>
          </w:p>
        </w:tc>
        <w:tc>
          <w:tcPr>
            <w:tcW w:w="7304" w:type="dxa"/>
            <w:vAlign w:val="center"/>
          </w:tcPr>
          <w:p w14:paraId="03E6DB8F">
            <w:pPr>
              <w:snapToGrid w:val="0"/>
              <w:spacing w:line="360" w:lineRule="auto"/>
              <w:rPr>
                <w:rFonts w:cs="宋体"/>
                <w:bCs/>
                <w:color w:val="auto"/>
                <w:sz w:val="21"/>
                <w:szCs w:val="21"/>
              </w:rPr>
            </w:pPr>
            <w:r>
              <w:rPr>
                <w:rFonts w:hint="eastAsia" w:cs="宋体"/>
                <w:bCs/>
                <w:color w:val="auto"/>
                <w:sz w:val="21"/>
                <w:szCs w:val="21"/>
              </w:rPr>
              <w:t>5.1.1 特殊质量标准和要求：</w:t>
            </w:r>
            <w:r>
              <w:rPr>
                <w:rFonts w:hint="eastAsia" w:cs="宋体"/>
                <w:bCs/>
                <w:color w:val="auto"/>
                <w:sz w:val="21"/>
                <w:szCs w:val="21"/>
                <w:u w:val="single"/>
              </w:rPr>
              <w:t xml:space="preserve">     </w:t>
            </w:r>
            <w:r>
              <w:rPr>
                <w:rFonts w:hint="eastAsia" w:cs="宋体"/>
                <w:bCs/>
                <w:color w:val="auto"/>
                <w:sz w:val="21"/>
                <w:szCs w:val="21"/>
                <w:u w:val="single"/>
                <w:lang w:val="en-US" w:eastAsia="zh-CN"/>
              </w:rPr>
              <w:t>合格</w:t>
            </w:r>
            <w:r>
              <w:rPr>
                <w:rFonts w:hint="eastAsia" w:cs="宋体"/>
                <w:bCs/>
                <w:color w:val="auto"/>
                <w:sz w:val="21"/>
                <w:szCs w:val="21"/>
                <w:u w:val="single"/>
              </w:rPr>
              <w:t xml:space="preserve">        </w:t>
            </w:r>
            <w:r>
              <w:rPr>
                <w:rFonts w:hint="eastAsia" w:cs="宋体"/>
                <w:bCs/>
                <w:color w:val="auto"/>
                <w:sz w:val="21"/>
                <w:szCs w:val="21"/>
              </w:rPr>
              <w:t>。</w:t>
            </w:r>
          </w:p>
          <w:p w14:paraId="375F0724">
            <w:pPr>
              <w:snapToGrid w:val="0"/>
              <w:spacing w:line="360" w:lineRule="auto"/>
              <w:rPr>
                <w:rFonts w:cs="宋体"/>
                <w:bCs/>
                <w:color w:val="auto"/>
                <w:sz w:val="21"/>
                <w:szCs w:val="21"/>
              </w:rPr>
            </w:pPr>
            <w:r>
              <w:rPr>
                <w:rFonts w:hint="eastAsia" w:cs="宋体"/>
                <w:bCs/>
                <w:color w:val="auto"/>
                <w:sz w:val="21"/>
                <w:szCs w:val="21"/>
              </w:rPr>
              <w:t>关于工程奖项的约定：</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p w14:paraId="43953862">
            <w:pPr>
              <w:snapToGrid w:val="0"/>
              <w:spacing w:line="360" w:lineRule="auto"/>
              <w:rPr>
                <w:rFonts w:cs="宋体"/>
                <w:bCs/>
                <w:color w:val="auto"/>
                <w:sz w:val="21"/>
                <w:szCs w:val="21"/>
              </w:rPr>
            </w:pPr>
            <w:r>
              <w:rPr>
                <w:rFonts w:hint="eastAsia" w:cs="宋体"/>
                <w:bCs/>
                <w:color w:val="auto"/>
                <w:sz w:val="21"/>
                <w:szCs w:val="21"/>
              </w:rPr>
              <w:t>关于建造要求：</w:t>
            </w:r>
          </w:p>
          <w:p w14:paraId="52DA51F8">
            <w:pPr>
              <w:snapToGrid w:val="0"/>
              <w:spacing w:line="360" w:lineRule="auto"/>
              <w:rPr>
                <w:rFonts w:cs="宋体"/>
                <w:bCs/>
                <w:color w:val="auto"/>
                <w:sz w:val="21"/>
                <w:szCs w:val="21"/>
              </w:rPr>
            </w:pPr>
            <w:r>
              <w:rPr>
                <w:rFonts w:hint="eastAsia" w:cs="宋体"/>
                <w:bCs/>
                <w:color w:val="auto"/>
                <w:sz w:val="21"/>
                <w:szCs w:val="21"/>
              </w:rPr>
              <w:t>（1）绿色建筑等级要求：</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p w14:paraId="29C5F959">
            <w:pPr>
              <w:snapToGrid w:val="0"/>
              <w:spacing w:line="360" w:lineRule="auto"/>
              <w:rPr>
                <w:rFonts w:cs="宋体"/>
                <w:bCs/>
                <w:color w:val="auto"/>
                <w:sz w:val="21"/>
                <w:szCs w:val="21"/>
              </w:rPr>
            </w:pPr>
            <w:r>
              <w:rPr>
                <w:rFonts w:hint="eastAsia" w:cs="宋体"/>
                <w:bCs/>
                <w:color w:val="auto"/>
                <w:sz w:val="21"/>
                <w:szCs w:val="21"/>
              </w:rPr>
              <w:t>（2）智慧工地管理要求：</w:t>
            </w:r>
            <w:r>
              <w:rPr>
                <w:rFonts w:hint="eastAsia" w:cs="宋体"/>
                <w:bCs/>
                <w:color w:val="auto"/>
                <w:sz w:val="21"/>
                <w:szCs w:val="21"/>
                <w:u w:val="single"/>
              </w:rPr>
              <w:t xml:space="preserve">      </w:t>
            </w:r>
            <w:r>
              <w:rPr>
                <w:rFonts w:hint="eastAsia" w:cs="宋体"/>
                <w:bCs/>
                <w:color w:val="auto"/>
                <w:sz w:val="21"/>
                <w:szCs w:val="21"/>
                <w:u w:val="single"/>
                <w:lang w:val="en-US" w:eastAsia="zh-CN"/>
              </w:rPr>
              <w:t xml:space="preserve">  /</w:t>
            </w:r>
            <w:r>
              <w:rPr>
                <w:rFonts w:hint="eastAsia" w:cs="宋体"/>
                <w:bCs/>
                <w:color w:val="auto"/>
                <w:sz w:val="21"/>
                <w:szCs w:val="21"/>
                <w:u w:val="single"/>
              </w:rPr>
              <w:t xml:space="preserve">     </w:t>
            </w:r>
            <w:r>
              <w:rPr>
                <w:rFonts w:hint="eastAsia" w:cs="宋体"/>
                <w:bCs/>
                <w:color w:val="auto"/>
                <w:sz w:val="21"/>
                <w:szCs w:val="21"/>
                <w:u w:val="single"/>
                <w:lang w:val="en-US" w:eastAsia="zh-CN"/>
              </w:rPr>
              <w:t xml:space="preserve">     </w:t>
            </w:r>
            <w:r>
              <w:rPr>
                <w:rFonts w:hint="eastAsia" w:cs="宋体"/>
                <w:bCs/>
                <w:color w:val="auto"/>
                <w:sz w:val="21"/>
                <w:szCs w:val="21"/>
                <w:u w:val="single"/>
              </w:rPr>
              <w:t xml:space="preserve">    </w:t>
            </w:r>
            <w:r>
              <w:rPr>
                <w:rFonts w:hint="eastAsia" w:cs="宋体"/>
                <w:bCs/>
                <w:color w:val="auto"/>
                <w:sz w:val="21"/>
                <w:szCs w:val="21"/>
              </w:rPr>
              <w:t>；</w:t>
            </w:r>
          </w:p>
          <w:p w14:paraId="49CE7622">
            <w:pPr>
              <w:snapToGrid w:val="0"/>
              <w:spacing w:line="360" w:lineRule="auto"/>
              <w:rPr>
                <w:rFonts w:cs="宋体"/>
                <w:bCs/>
                <w:color w:val="auto"/>
                <w:sz w:val="21"/>
                <w:szCs w:val="21"/>
              </w:rPr>
            </w:pPr>
            <w:r>
              <w:rPr>
                <w:rFonts w:hint="eastAsia" w:cs="宋体"/>
                <w:bCs/>
                <w:color w:val="auto"/>
                <w:sz w:val="21"/>
                <w:szCs w:val="21"/>
              </w:rPr>
              <w:t>（3）建筑垃圾减量化目标：</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p w14:paraId="6CF51255">
            <w:pPr>
              <w:snapToGrid w:val="0"/>
              <w:spacing w:line="360" w:lineRule="auto"/>
              <w:rPr>
                <w:rFonts w:cs="宋体"/>
                <w:bCs/>
                <w:color w:val="auto"/>
                <w:sz w:val="21"/>
                <w:szCs w:val="21"/>
              </w:rPr>
            </w:pPr>
            <w:r>
              <w:rPr>
                <w:rFonts w:hint="eastAsia" w:cs="宋体"/>
                <w:bCs/>
                <w:color w:val="auto"/>
                <w:sz w:val="21"/>
                <w:szCs w:val="21"/>
              </w:rPr>
              <w:t>（4）装配式建筑装配率要求：</w:t>
            </w:r>
            <w:r>
              <w:rPr>
                <w:rFonts w:hint="eastAsia" w:cs="宋体"/>
                <w:bCs/>
                <w:color w:val="auto"/>
                <w:sz w:val="21"/>
                <w:szCs w:val="21"/>
                <w:u w:val="single"/>
              </w:rPr>
              <w:t xml:space="preserve">    </w:t>
            </w:r>
            <w:r>
              <w:rPr>
                <w:rFonts w:hint="eastAsia" w:cs="宋体"/>
                <w:bCs/>
                <w:color w:val="auto"/>
                <w:sz w:val="21"/>
                <w:szCs w:val="21"/>
                <w:u w:val="single"/>
                <w:lang w:val="en-US" w:eastAsia="zh-CN"/>
              </w:rPr>
              <w:t>/</w:t>
            </w:r>
            <w:r>
              <w:rPr>
                <w:rFonts w:hint="eastAsia" w:cs="宋体"/>
                <w:bCs/>
                <w:color w:val="auto"/>
                <w:sz w:val="21"/>
                <w:szCs w:val="21"/>
                <w:u w:val="single"/>
              </w:rPr>
              <w:t xml:space="preserve">              </w:t>
            </w:r>
            <w:r>
              <w:rPr>
                <w:rFonts w:hint="eastAsia" w:cs="宋体"/>
                <w:bCs/>
                <w:color w:val="auto"/>
                <w:sz w:val="21"/>
                <w:szCs w:val="21"/>
              </w:rPr>
              <w:t>；</w:t>
            </w:r>
          </w:p>
          <w:p w14:paraId="36B573AA">
            <w:pPr>
              <w:snapToGrid w:val="0"/>
              <w:spacing w:line="360" w:lineRule="auto"/>
              <w:rPr>
                <w:rFonts w:cs="宋体"/>
                <w:bCs/>
                <w:color w:val="auto"/>
                <w:sz w:val="21"/>
                <w:szCs w:val="21"/>
              </w:rPr>
            </w:pPr>
            <w:r>
              <w:rPr>
                <w:rFonts w:hint="eastAsia" w:cs="宋体"/>
                <w:bCs/>
                <w:color w:val="auto"/>
                <w:sz w:val="21"/>
                <w:szCs w:val="21"/>
              </w:rPr>
              <w:t>（5）</w:t>
            </w:r>
            <w:r>
              <w:rPr>
                <w:rFonts w:hint="eastAsia" w:cs="宋体"/>
                <w:bCs/>
                <w:color w:val="auto"/>
                <w:sz w:val="21"/>
                <w:szCs w:val="21"/>
                <w:u w:val="single"/>
              </w:rPr>
              <w:t xml:space="preserve">           </w:t>
            </w:r>
            <w:r>
              <w:rPr>
                <w:rFonts w:hint="eastAsia" w:cs="宋体"/>
                <w:bCs/>
                <w:color w:val="auto"/>
                <w:sz w:val="21"/>
                <w:szCs w:val="21"/>
                <w:u w:val="single"/>
                <w:lang w:val="en-US" w:eastAsia="zh-CN"/>
              </w:rPr>
              <w:t xml:space="preserve">/    </w:t>
            </w:r>
            <w:r>
              <w:rPr>
                <w:rFonts w:hint="eastAsia" w:cs="宋体"/>
                <w:bCs/>
                <w:color w:val="auto"/>
                <w:sz w:val="21"/>
                <w:szCs w:val="21"/>
                <w:u w:val="single"/>
              </w:rPr>
              <w:t xml:space="preserve">                        </w:t>
            </w:r>
            <w:r>
              <w:rPr>
                <w:rFonts w:hint="eastAsia" w:cs="宋体"/>
                <w:bCs/>
                <w:color w:val="auto"/>
                <w:sz w:val="21"/>
                <w:szCs w:val="21"/>
              </w:rPr>
              <w:t>。</w:t>
            </w:r>
          </w:p>
        </w:tc>
      </w:tr>
      <w:tr w14:paraId="79A5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6F6C1E47">
            <w:pPr>
              <w:numPr>
                <w:ilvl w:val="0"/>
                <w:numId w:val="3"/>
              </w:numPr>
              <w:snapToGrid w:val="0"/>
              <w:spacing w:line="360" w:lineRule="auto"/>
              <w:jc w:val="center"/>
              <w:rPr>
                <w:rFonts w:cs="宋体"/>
                <w:bCs/>
                <w:color w:val="auto"/>
                <w:kern w:val="2"/>
                <w:sz w:val="21"/>
                <w:szCs w:val="21"/>
              </w:rPr>
            </w:pPr>
          </w:p>
        </w:tc>
        <w:tc>
          <w:tcPr>
            <w:tcW w:w="1111" w:type="dxa"/>
            <w:vAlign w:val="center"/>
          </w:tcPr>
          <w:p w14:paraId="5136358D">
            <w:pPr>
              <w:snapToGrid w:val="0"/>
              <w:spacing w:line="360" w:lineRule="auto"/>
              <w:jc w:val="center"/>
              <w:rPr>
                <w:rFonts w:cs="宋体"/>
                <w:bCs/>
                <w:color w:val="auto"/>
                <w:kern w:val="2"/>
                <w:sz w:val="21"/>
                <w:szCs w:val="21"/>
              </w:rPr>
            </w:pPr>
            <w:r>
              <w:rPr>
                <w:rFonts w:hint="eastAsia" w:cs="宋体"/>
                <w:bCs/>
                <w:color w:val="auto"/>
                <w:sz w:val="21"/>
                <w:szCs w:val="21"/>
              </w:rPr>
              <w:t>7.5.2</w:t>
            </w:r>
          </w:p>
        </w:tc>
        <w:tc>
          <w:tcPr>
            <w:tcW w:w="7304" w:type="dxa"/>
            <w:tcBorders>
              <w:bottom w:val="single" w:color="auto" w:sz="4" w:space="0"/>
            </w:tcBorders>
            <w:vAlign w:val="center"/>
          </w:tcPr>
          <w:p w14:paraId="3127CE03">
            <w:pPr>
              <w:snapToGrid w:val="0"/>
              <w:spacing w:line="360" w:lineRule="auto"/>
              <w:rPr>
                <w:rFonts w:cs="宋体"/>
                <w:bCs/>
                <w:color w:val="auto"/>
                <w:kern w:val="2"/>
                <w:sz w:val="21"/>
                <w:szCs w:val="21"/>
                <w:highlight w:val="yellow"/>
              </w:rPr>
            </w:pPr>
            <w:r>
              <w:rPr>
                <w:rFonts w:hint="eastAsia" w:cs="宋体"/>
                <w:bCs/>
                <w:color w:val="auto"/>
                <w:kern w:val="2"/>
                <w:sz w:val="21"/>
                <w:szCs w:val="21"/>
              </w:rPr>
              <w:t>因承包人原因造成工期延误，逾期竣工违约金的计算方法为：</w:t>
            </w:r>
            <w:r>
              <w:rPr>
                <w:rFonts w:hint="eastAsia" w:cs="宋体"/>
                <w:bCs/>
                <w:color w:val="auto"/>
                <w:kern w:val="2"/>
                <w:sz w:val="21"/>
                <w:szCs w:val="21"/>
                <w:highlight w:val="yellow"/>
                <w:u w:val="single"/>
                <w:lang w:eastAsia="zh-CN"/>
              </w:rPr>
              <w:t>因承包人原因造成工期延误，逾期竣工违约金的计算方法为：本合同约定：以开工之日至市建设行政主管部门及规划部门验收合格之日为实际完成工期，因承包人原因造成工期延误，每延误一天，按2000元/天对承包人进行处罚。如影响项目交付，出现补偿或赔偿款项，包括但不限于超期过渡费及实现目标产生的全部由项目承包人承担，在结算时直接扣除</w:t>
            </w:r>
            <w:r>
              <w:rPr>
                <w:rFonts w:hint="eastAsia" w:cs="宋体"/>
                <w:bCs/>
                <w:color w:val="auto"/>
                <w:kern w:val="2"/>
                <w:sz w:val="21"/>
                <w:szCs w:val="21"/>
                <w:highlight w:val="yellow"/>
                <w:u w:val="single"/>
              </w:rPr>
              <w:t>。</w:t>
            </w:r>
          </w:p>
          <w:p w14:paraId="2E122658">
            <w:pPr>
              <w:snapToGrid w:val="0"/>
              <w:spacing w:line="360" w:lineRule="auto"/>
              <w:rPr>
                <w:rFonts w:cs="宋体"/>
                <w:bCs/>
                <w:color w:val="auto"/>
                <w:kern w:val="2"/>
                <w:sz w:val="21"/>
                <w:szCs w:val="21"/>
              </w:rPr>
            </w:pPr>
            <w:r>
              <w:rPr>
                <w:rFonts w:hint="eastAsia" w:cs="宋体"/>
                <w:bCs/>
                <w:color w:val="auto"/>
                <w:kern w:val="2"/>
                <w:sz w:val="21"/>
                <w:szCs w:val="21"/>
              </w:rPr>
              <w:t>因承包人原因造成工期延误，逾期竣工违约金的上限：</w:t>
            </w:r>
            <w:r>
              <w:rPr>
                <w:rFonts w:hint="eastAsia" w:cs="宋体"/>
                <w:bCs/>
                <w:color w:val="auto"/>
                <w:kern w:val="2"/>
                <w:sz w:val="21"/>
                <w:szCs w:val="21"/>
                <w:u w:val="single"/>
              </w:rPr>
              <w:t xml:space="preserve"> </w:t>
            </w:r>
            <w:r>
              <w:rPr>
                <w:rFonts w:hint="eastAsia" w:cs="宋体"/>
                <w:bCs/>
                <w:color w:val="auto"/>
                <w:kern w:val="2"/>
                <w:sz w:val="21"/>
                <w:szCs w:val="21"/>
                <w:u w:val="single"/>
                <w:lang w:val="en-US" w:eastAsia="zh-CN"/>
              </w:rPr>
              <w:t>/</w:t>
            </w:r>
            <w:r>
              <w:rPr>
                <w:rFonts w:hint="eastAsia" w:cs="宋体"/>
                <w:bCs/>
                <w:color w:val="auto"/>
                <w:kern w:val="2"/>
                <w:sz w:val="21"/>
                <w:szCs w:val="21"/>
                <w:u w:val="single"/>
              </w:rPr>
              <w:t xml:space="preserve">  </w:t>
            </w:r>
            <w:r>
              <w:rPr>
                <w:rFonts w:hint="eastAsia" w:cs="宋体"/>
                <w:bCs/>
                <w:color w:val="auto"/>
                <w:kern w:val="2"/>
                <w:sz w:val="21"/>
                <w:szCs w:val="21"/>
              </w:rPr>
              <w:t>。</w:t>
            </w:r>
          </w:p>
        </w:tc>
      </w:tr>
      <w:tr w14:paraId="600A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2F3D8CB0">
            <w:pPr>
              <w:numPr>
                <w:ilvl w:val="0"/>
                <w:numId w:val="3"/>
              </w:numPr>
              <w:snapToGrid w:val="0"/>
              <w:spacing w:line="360" w:lineRule="auto"/>
              <w:jc w:val="center"/>
              <w:rPr>
                <w:rFonts w:cs="宋体"/>
                <w:bCs/>
                <w:color w:val="auto"/>
                <w:kern w:val="2"/>
                <w:sz w:val="21"/>
                <w:szCs w:val="21"/>
              </w:rPr>
            </w:pPr>
          </w:p>
        </w:tc>
        <w:tc>
          <w:tcPr>
            <w:tcW w:w="1111" w:type="dxa"/>
            <w:vAlign w:val="center"/>
          </w:tcPr>
          <w:p w14:paraId="347FFDED">
            <w:pPr>
              <w:snapToGrid w:val="0"/>
              <w:spacing w:line="360" w:lineRule="auto"/>
              <w:jc w:val="center"/>
              <w:rPr>
                <w:rFonts w:cs="宋体"/>
                <w:bCs/>
                <w:color w:val="auto"/>
                <w:kern w:val="2"/>
                <w:sz w:val="21"/>
                <w:szCs w:val="21"/>
              </w:rPr>
            </w:pPr>
            <w:r>
              <w:rPr>
                <w:rFonts w:hint="eastAsia" w:cs="宋体"/>
                <w:bCs/>
                <w:color w:val="auto"/>
                <w:sz w:val="21"/>
                <w:szCs w:val="21"/>
              </w:rPr>
              <w:t>7.9.2</w:t>
            </w:r>
          </w:p>
        </w:tc>
        <w:tc>
          <w:tcPr>
            <w:tcW w:w="7304" w:type="dxa"/>
            <w:tcBorders>
              <w:bottom w:val="single" w:color="auto" w:sz="4" w:space="0"/>
            </w:tcBorders>
            <w:vAlign w:val="center"/>
          </w:tcPr>
          <w:p w14:paraId="7E18A873">
            <w:pPr>
              <w:snapToGrid w:val="0"/>
              <w:spacing w:line="360" w:lineRule="auto"/>
              <w:rPr>
                <w:rFonts w:cs="宋体"/>
                <w:bCs/>
                <w:color w:val="auto"/>
                <w:kern w:val="2"/>
                <w:sz w:val="21"/>
                <w:szCs w:val="21"/>
              </w:rPr>
            </w:pPr>
            <w:r>
              <w:rPr>
                <w:rFonts w:hint="eastAsia" w:cs="宋体"/>
                <w:color w:val="auto"/>
                <w:sz w:val="21"/>
                <w:szCs w:val="21"/>
              </w:rPr>
              <w:t>提前竣工的奖励：</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r>
              <w:rPr>
                <w:rFonts w:hint="eastAsia" w:cs="宋体"/>
                <w:color w:val="auto"/>
                <w:sz w:val="21"/>
                <w:szCs w:val="21"/>
              </w:rPr>
              <w:t>。</w:t>
            </w:r>
          </w:p>
        </w:tc>
      </w:tr>
      <w:tr w14:paraId="5700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62FF850C">
            <w:pPr>
              <w:numPr>
                <w:ilvl w:val="0"/>
                <w:numId w:val="3"/>
              </w:numPr>
              <w:snapToGrid w:val="0"/>
              <w:spacing w:line="360" w:lineRule="auto"/>
              <w:jc w:val="center"/>
              <w:rPr>
                <w:rFonts w:cs="宋体"/>
                <w:bCs/>
                <w:color w:val="auto"/>
                <w:kern w:val="2"/>
                <w:sz w:val="21"/>
                <w:szCs w:val="21"/>
              </w:rPr>
            </w:pPr>
          </w:p>
        </w:tc>
        <w:tc>
          <w:tcPr>
            <w:tcW w:w="1111" w:type="dxa"/>
            <w:vAlign w:val="center"/>
          </w:tcPr>
          <w:p w14:paraId="08912B84">
            <w:pPr>
              <w:snapToGrid w:val="0"/>
              <w:spacing w:line="360" w:lineRule="auto"/>
              <w:jc w:val="center"/>
              <w:rPr>
                <w:rFonts w:cs="宋体"/>
                <w:bCs/>
                <w:color w:val="auto"/>
                <w:kern w:val="2"/>
                <w:sz w:val="21"/>
                <w:szCs w:val="21"/>
              </w:rPr>
            </w:pPr>
            <w:r>
              <w:rPr>
                <w:rFonts w:hint="eastAsia" w:cs="宋体"/>
                <w:bCs/>
                <w:color w:val="auto"/>
                <w:sz w:val="21"/>
                <w:szCs w:val="21"/>
              </w:rPr>
              <w:t>11.1</w:t>
            </w:r>
          </w:p>
        </w:tc>
        <w:tc>
          <w:tcPr>
            <w:tcW w:w="7304" w:type="dxa"/>
            <w:tcBorders>
              <w:bottom w:val="single" w:color="auto" w:sz="4" w:space="0"/>
            </w:tcBorders>
            <w:vAlign w:val="center"/>
          </w:tcPr>
          <w:p w14:paraId="118C0BC7">
            <w:pPr>
              <w:pStyle w:val="13"/>
              <w:tabs>
                <w:tab w:val="clear" w:pos="4153"/>
                <w:tab w:val="clear" w:pos="8306"/>
              </w:tabs>
              <w:spacing w:line="360" w:lineRule="auto"/>
              <w:rPr>
                <w:rFonts w:cs="宋体"/>
                <w:bCs/>
                <w:color w:val="auto"/>
                <w:kern w:val="2"/>
                <w:sz w:val="21"/>
                <w:szCs w:val="21"/>
              </w:rPr>
            </w:pPr>
            <w:r>
              <w:rPr>
                <w:rFonts w:hint="eastAsia" w:cs="宋体"/>
                <w:bCs/>
                <w:color w:val="auto"/>
                <w:kern w:val="2"/>
                <w:sz w:val="21"/>
                <w:szCs w:val="21"/>
              </w:rPr>
              <w:t>市场价格波动是否调整合同价格的约定：</w:t>
            </w:r>
            <w:r>
              <w:rPr>
                <w:rFonts w:hint="eastAsia" w:cs="宋体"/>
                <w:bCs/>
                <w:color w:val="auto"/>
                <w:kern w:val="2"/>
                <w:sz w:val="21"/>
                <w:szCs w:val="21"/>
                <w:u w:val="single"/>
              </w:rPr>
              <w:t xml:space="preserve"> </w:t>
            </w:r>
            <w:r>
              <w:rPr>
                <w:rFonts w:hint="eastAsia" w:cs="宋体"/>
                <w:bCs/>
                <w:color w:val="auto"/>
                <w:kern w:val="2"/>
                <w:sz w:val="21"/>
                <w:szCs w:val="21"/>
                <w:u w:val="single"/>
                <w:lang w:eastAsia="zh-CN"/>
              </w:rPr>
              <w:t>是</w:t>
            </w:r>
            <w:r>
              <w:rPr>
                <w:rFonts w:hint="eastAsia" w:cs="宋体"/>
                <w:bCs/>
                <w:color w:val="auto"/>
                <w:kern w:val="2"/>
                <w:sz w:val="21"/>
                <w:szCs w:val="21"/>
                <w:u w:val="single"/>
              </w:rPr>
              <w:t xml:space="preserve">  </w:t>
            </w:r>
            <w:r>
              <w:rPr>
                <w:rFonts w:hint="eastAsia" w:cs="宋体"/>
                <w:bCs/>
                <w:color w:val="auto"/>
                <w:kern w:val="2"/>
                <w:sz w:val="21"/>
                <w:szCs w:val="21"/>
              </w:rPr>
              <w:t>。</w:t>
            </w:r>
          </w:p>
        </w:tc>
      </w:tr>
      <w:tr w14:paraId="39C0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35BA5A3C">
            <w:pPr>
              <w:numPr>
                <w:ilvl w:val="0"/>
                <w:numId w:val="3"/>
              </w:numPr>
              <w:snapToGrid w:val="0"/>
              <w:spacing w:line="360" w:lineRule="auto"/>
              <w:jc w:val="center"/>
              <w:rPr>
                <w:rFonts w:cs="宋体"/>
                <w:bCs/>
                <w:color w:val="auto"/>
                <w:sz w:val="21"/>
                <w:szCs w:val="21"/>
              </w:rPr>
            </w:pPr>
          </w:p>
        </w:tc>
        <w:tc>
          <w:tcPr>
            <w:tcW w:w="1111" w:type="dxa"/>
            <w:vAlign w:val="center"/>
          </w:tcPr>
          <w:p w14:paraId="0A9FC0FF">
            <w:pPr>
              <w:snapToGrid w:val="0"/>
              <w:spacing w:line="360" w:lineRule="auto"/>
              <w:jc w:val="center"/>
              <w:rPr>
                <w:rFonts w:cs="宋体"/>
                <w:bCs/>
                <w:color w:val="auto"/>
                <w:sz w:val="21"/>
                <w:szCs w:val="21"/>
              </w:rPr>
            </w:pPr>
            <w:r>
              <w:rPr>
                <w:rFonts w:hint="eastAsia" w:cs="宋体"/>
                <w:bCs/>
                <w:color w:val="auto"/>
                <w:sz w:val="21"/>
                <w:szCs w:val="21"/>
              </w:rPr>
              <w:t>12.1</w:t>
            </w:r>
          </w:p>
        </w:tc>
        <w:tc>
          <w:tcPr>
            <w:tcW w:w="7304" w:type="dxa"/>
            <w:tcBorders>
              <w:bottom w:val="single" w:color="auto" w:sz="4" w:space="0"/>
            </w:tcBorders>
            <w:vAlign w:val="center"/>
          </w:tcPr>
          <w:p w14:paraId="73081CD8">
            <w:pPr>
              <w:pStyle w:val="13"/>
              <w:tabs>
                <w:tab w:val="clear" w:pos="4153"/>
                <w:tab w:val="clear" w:pos="8306"/>
              </w:tabs>
              <w:spacing w:line="360" w:lineRule="auto"/>
              <w:rPr>
                <w:rFonts w:cs="宋体"/>
                <w:bCs/>
                <w:color w:val="auto"/>
                <w:sz w:val="21"/>
                <w:szCs w:val="21"/>
              </w:rPr>
            </w:pPr>
            <w:r>
              <w:rPr>
                <w:rFonts w:hint="eastAsia" w:cs="宋体"/>
                <w:bCs/>
                <w:color w:val="auto"/>
                <w:sz w:val="21"/>
                <w:szCs w:val="21"/>
              </w:rPr>
              <w:t>合同价格形式</w:t>
            </w:r>
          </w:p>
          <w:p w14:paraId="185309C9">
            <w:pPr>
              <w:pStyle w:val="13"/>
              <w:tabs>
                <w:tab w:val="clear" w:pos="4153"/>
                <w:tab w:val="clear" w:pos="8306"/>
              </w:tabs>
              <w:spacing w:line="360" w:lineRule="auto"/>
              <w:rPr>
                <w:rFonts w:cs="宋体"/>
                <w:bCs/>
                <w:color w:val="auto"/>
                <w:sz w:val="21"/>
                <w:szCs w:val="21"/>
              </w:rPr>
            </w:pPr>
            <w:r>
              <w:rPr>
                <w:rFonts w:hint="eastAsia" w:cs="宋体"/>
                <w:bCs/>
                <w:color w:val="auto"/>
                <w:sz w:val="21"/>
                <w:szCs w:val="21"/>
                <w:lang w:eastAsia="zh-CN"/>
              </w:rPr>
              <w:t>（</w:t>
            </w:r>
            <w:r>
              <w:rPr>
                <w:rFonts w:hint="eastAsia" w:cs="宋体"/>
                <w:bCs/>
                <w:color w:val="auto"/>
                <w:sz w:val="21"/>
                <w:szCs w:val="21"/>
              </w:rPr>
              <w:t>1</w:t>
            </w:r>
            <w:r>
              <w:rPr>
                <w:rFonts w:hint="eastAsia" w:cs="宋体"/>
                <w:bCs/>
                <w:color w:val="auto"/>
                <w:sz w:val="21"/>
                <w:szCs w:val="21"/>
                <w:lang w:eastAsia="zh-CN"/>
              </w:rPr>
              <w:t>）</w:t>
            </w:r>
            <w:r>
              <w:rPr>
                <w:rFonts w:hint="eastAsia" w:cs="宋体"/>
                <w:bCs/>
                <w:color w:val="auto"/>
                <w:sz w:val="21"/>
                <w:szCs w:val="21"/>
              </w:rPr>
              <w:t>单价合同。</w:t>
            </w:r>
          </w:p>
          <w:p w14:paraId="4EA2E8C8">
            <w:pPr>
              <w:pStyle w:val="13"/>
              <w:tabs>
                <w:tab w:val="clear" w:pos="4153"/>
                <w:tab w:val="clear" w:pos="8306"/>
              </w:tabs>
              <w:spacing w:line="360" w:lineRule="auto"/>
              <w:rPr>
                <w:rFonts w:cs="宋体"/>
                <w:bCs/>
                <w:color w:val="auto"/>
                <w:sz w:val="21"/>
                <w:szCs w:val="21"/>
              </w:rPr>
            </w:pPr>
            <w:r>
              <w:rPr>
                <w:rFonts w:hint="eastAsia" w:cs="宋体"/>
                <w:bCs/>
                <w:color w:val="auto"/>
                <w:sz w:val="21"/>
                <w:szCs w:val="21"/>
              </w:rPr>
              <w:t>综合单价包含的风险范围：</w:t>
            </w:r>
            <w:r>
              <w:rPr>
                <w:rFonts w:hint="eastAsia" w:cs="宋体"/>
                <w:bCs/>
                <w:color w:val="auto"/>
                <w:sz w:val="21"/>
                <w:szCs w:val="21"/>
                <w:u w:val="single"/>
              </w:rPr>
              <w:t>合同价款中包括的风险范围：人工、材料、机械 费用的市场价格变化；除不可抗力以外的其他风险</w:t>
            </w:r>
            <w:r>
              <w:rPr>
                <w:rFonts w:hint="eastAsia" w:cs="宋体"/>
                <w:bCs/>
                <w:color w:val="auto"/>
                <w:sz w:val="21"/>
                <w:szCs w:val="21"/>
              </w:rPr>
              <w:t>。</w:t>
            </w:r>
          </w:p>
          <w:p w14:paraId="4F8EE63A">
            <w:pPr>
              <w:pStyle w:val="13"/>
              <w:tabs>
                <w:tab w:val="clear" w:pos="4153"/>
                <w:tab w:val="clear" w:pos="8306"/>
              </w:tabs>
              <w:spacing w:line="360" w:lineRule="auto"/>
              <w:rPr>
                <w:rFonts w:cs="宋体"/>
                <w:bCs/>
                <w:color w:val="auto"/>
                <w:sz w:val="21"/>
                <w:szCs w:val="21"/>
              </w:rPr>
            </w:pPr>
            <w:r>
              <w:rPr>
                <w:rFonts w:hint="eastAsia" w:cs="宋体"/>
                <w:bCs/>
                <w:color w:val="auto"/>
                <w:sz w:val="21"/>
                <w:szCs w:val="21"/>
              </w:rPr>
              <w:t>风险费用的计算方法：</w:t>
            </w:r>
            <w:r>
              <w:rPr>
                <w:rFonts w:hint="eastAsia" w:cs="宋体"/>
                <w:bCs/>
                <w:color w:val="auto"/>
                <w:sz w:val="21"/>
                <w:szCs w:val="21"/>
                <w:u w:val="single"/>
                <w:lang w:eastAsia="zh-CN"/>
              </w:rPr>
              <w:t>投标人在投标报价时已考虑，不再另行计取</w:t>
            </w:r>
            <w:r>
              <w:rPr>
                <w:rFonts w:hint="eastAsia" w:cs="宋体"/>
                <w:bCs/>
                <w:color w:val="auto"/>
                <w:sz w:val="21"/>
                <w:szCs w:val="21"/>
                <w:u w:val="single"/>
              </w:rPr>
              <w:t xml:space="preserve"> </w:t>
            </w:r>
            <w:r>
              <w:rPr>
                <w:rFonts w:hint="eastAsia" w:cs="宋体"/>
                <w:bCs/>
                <w:color w:val="auto"/>
                <w:sz w:val="21"/>
                <w:szCs w:val="21"/>
              </w:rPr>
              <w:t>。</w:t>
            </w:r>
          </w:p>
          <w:p w14:paraId="30995AD5">
            <w:pPr>
              <w:pStyle w:val="13"/>
              <w:tabs>
                <w:tab w:val="clear" w:pos="4153"/>
                <w:tab w:val="clear" w:pos="8306"/>
              </w:tabs>
              <w:spacing w:line="360" w:lineRule="auto"/>
              <w:rPr>
                <w:rFonts w:cs="宋体"/>
                <w:bCs/>
                <w:color w:val="auto"/>
                <w:sz w:val="21"/>
                <w:szCs w:val="21"/>
              </w:rPr>
            </w:pPr>
            <w:r>
              <w:rPr>
                <w:rFonts w:hint="eastAsia" w:cs="宋体"/>
                <w:bCs/>
                <w:color w:val="auto"/>
                <w:sz w:val="21"/>
                <w:szCs w:val="21"/>
              </w:rPr>
              <w:t>风险范围以外合同价格的调整方法：</w:t>
            </w:r>
            <w:r>
              <w:rPr>
                <w:rFonts w:hint="eastAsia" w:cs="宋体"/>
                <w:bCs/>
                <w:color w:val="auto"/>
                <w:sz w:val="21"/>
                <w:szCs w:val="21"/>
                <w:u w:val="single"/>
              </w:rPr>
              <w:t xml:space="preserve">     /                 </w:t>
            </w:r>
            <w:r>
              <w:rPr>
                <w:rFonts w:hint="eastAsia" w:cs="宋体"/>
                <w:bCs/>
                <w:color w:val="auto"/>
                <w:sz w:val="21"/>
                <w:szCs w:val="21"/>
              </w:rPr>
              <w:t>。</w:t>
            </w:r>
          </w:p>
          <w:p w14:paraId="3F52C44B">
            <w:pPr>
              <w:pStyle w:val="13"/>
              <w:tabs>
                <w:tab w:val="clear" w:pos="4153"/>
                <w:tab w:val="clear" w:pos="8306"/>
              </w:tabs>
              <w:spacing w:line="360" w:lineRule="auto"/>
              <w:rPr>
                <w:rFonts w:cs="宋体"/>
                <w:bCs/>
                <w:color w:val="auto"/>
                <w:sz w:val="21"/>
                <w:szCs w:val="21"/>
              </w:rPr>
            </w:pPr>
            <w:r>
              <w:rPr>
                <w:rFonts w:hint="eastAsia" w:cs="宋体"/>
                <w:bCs/>
                <w:color w:val="auto"/>
                <w:sz w:val="21"/>
                <w:szCs w:val="21"/>
                <w:lang w:eastAsia="zh-CN"/>
              </w:rPr>
              <w:t>（</w:t>
            </w:r>
            <w:r>
              <w:rPr>
                <w:rFonts w:hint="eastAsia" w:cs="宋体"/>
                <w:bCs/>
                <w:color w:val="auto"/>
                <w:sz w:val="21"/>
                <w:szCs w:val="21"/>
              </w:rPr>
              <w:t>2</w:t>
            </w:r>
            <w:r>
              <w:rPr>
                <w:rFonts w:hint="eastAsia" w:cs="宋体"/>
                <w:bCs/>
                <w:color w:val="auto"/>
                <w:sz w:val="21"/>
                <w:szCs w:val="21"/>
                <w:lang w:eastAsia="zh-CN"/>
              </w:rPr>
              <w:t>）</w:t>
            </w:r>
            <w:r>
              <w:rPr>
                <w:rFonts w:hint="eastAsia" w:cs="宋体"/>
                <w:bCs/>
                <w:color w:val="auto"/>
                <w:sz w:val="21"/>
                <w:szCs w:val="21"/>
              </w:rPr>
              <w:t>总价合同。</w:t>
            </w:r>
          </w:p>
          <w:p w14:paraId="531D6584">
            <w:pPr>
              <w:pStyle w:val="13"/>
              <w:tabs>
                <w:tab w:val="clear" w:pos="4153"/>
                <w:tab w:val="clear" w:pos="8306"/>
              </w:tabs>
              <w:spacing w:line="360" w:lineRule="auto"/>
              <w:rPr>
                <w:rFonts w:cs="宋体"/>
                <w:bCs/>
                <w:color w:val="auto"/>
                <w:sz w:val="21"/>
                <w:szCs w:val="21"/>
              </w:rPr>
            </w:pPr>
            <w:r>
              <w:rPr>
                <w:rFonts w:hint="eastAsia" w:cs="宋体"/>
                <w:bCs/>
                <w:color w:val="auto"/>
                <w:sz w:val="21"/>
                <w:szCs w:val="21"/>
              </w:rPr>
              <w:t>总价包含的风险范围：</w:t>
            </w:r>
            <w:r>
              <w:rPr>
                <w:rFonts w:hint="eastAsia" w:cs="宋体"/>
                <w:bCs/>
                <w:color w:val="auto"/>
                <w:sz w:val="21"/>
                <w:szCs w:val="21"/>
                <w:u w:val="single"/>
              </w:rPr>
              <w:t xml:space="preserve">                                    </w:t>
            </w:r>
          </w:p>
          <w:p w14:paraId="1002749A">
            <w:pPr>
              <w:pStyle w:val="13"/>
              <w:tabs>
                <w:tab w:val="clear" w:pos="4153"/>
                <w:tab w:val="clear" w:pos="8306"/>
              </w:tabs>
              <w:spacing w:line="360" w:lineRule="auto"/>
              <w:rPr>
                <w:rFonts w:cs="宋体"/>
                <w:bCs/>
                <w:color w:val="auto"/>
                <w:sz w:val="21"/>
                <w:szCs w:val="21"/>
              </w:rPr>
            </w:pPr>
            <w:r>
              <w:rPr>
                <w:rFonts w:hint="eastAsia" w:cs="宋体"/>
                <w:bCs/>
                <w:color w:val="auto"/>
                <w:sz w:val="21"/>
                <w:szCs w:val="21"/>
              </w:rPr>
              <w:t>风险费用的计算方法：</w:t>
            </w:r>
            <w:r>
              <w:rPr>
                <w:rFonts w:hint="eastAsia" w:cs="宋体"/>
                <w:bCs/>
                <w:color w:val="auto"/>
                <w:sz w:val="21"/>
                <w:szCs w:val="21"/>
                <w:u w:val="single"/>
              </w:rPr>
              <w:t xml:space="preserve">                     </w:t>
            </w:r>
            <w:r>
              <w:rPr>
                <w:rFonts w:hint="eastAsia" w:cs="宋体"/>
                <w:bCs/>
                <w:color w:val="auto"/>
                <w:sz w:val="21"/>
                <w:szCs w:val="21"/>
              </w:rPr>
              <w:t>。</w:t>
            </w:r>
          </w:p>
          <w:p w14:paraId="3D44DD15">
            <w:pPr>
              <w:pStyle w:val="13"/>
              <w:tabs>
                <w:tab w:val="clear" w:pos="4153"/>
                <w:tab w:val="clear" w:pos="8306"/>
              </w:tabs>
              <w:spacing w:line="360" w:lineRule="auto"/>
              <w:rPr>
                <w:rFonts w:cs="宋体"/>
                <w:bCs/>
                <w:color w:val="auto"/>
                <w:sz w:val="21"/>
                <w:szCs w:val="21"/>
              </w:rPr>
            </w:pPr>
            <w:r>
              <w:rPr>
                <w:rFonts w:hint="eastAsia" w:cs="宋体"/>
                <w:bCs/>
                <w:color w:val="auto"/>
                <w:sz w:val="21"/>
                <w:szCs w:val="21"/>
              </w:rPr>
              <w:t>风险范围以外合同价格的调整方法：</w:t>
            </w:r>
            <w:r>
              <w:rPr>
                <w:rFonts w:hint="eastAsia" w:cs="宋体"/>
                <w:bCs/>
                <w:color w:val="auto"/>
                <w:sz w:val="21"/>
                <w:szCs w:val="21"/>
                <w:u w:val="single"/>
              </w:rPr>
              <w:t xml:space="preserve">         </w:t>
            </w:r>
            <w:r>
              <w:rPr>
                <w:rFonts w:hint="eastAsia" w:cs="宋体"/>
                <w:bCs/>
                <w:color w:val="auto"/>
                <w:sz w:val="21"/>
                <w:szCs w:val="21"/>
              </w:rPr>
              <w:t>。</w:t>
            </w:r>
          </w:p>
          <w:p w14:paraId="6F5C415E">
            <w:pPr>
              <w:pStyle w:val="13"/>
              <w:tabs>
                <w:tab w:val="clear" w:pos="4153"/>
                <w:tab w:val="clear" w:pos="8306"/>
              </w:tabs>
              <w:spacing w:line="360" w:lineRule="auto"/>
              <w:rPr>
                <w:rFonts w:cs="宋体"/>
                <w:bCs/>
                <w:color w:val="auto"/>
                <w:sz w:val="21"/>
                <w:szCs w:val="21"/>
              </w:rPr>
            </w:pPr>
            <w:r>
              <w:rPr>
                <w:rFonts w:hint="eastAsia" w:cs="宋体"/>
                <w:bCs/>
                <w:color w:val="auto"/>
                <w:sz w:val="21"/>
                <w:szCs w:val="21"/>
              </w:rPr>
              <w:t>（3）其他价格方式：</w:t>
            </w:r>
            <w:r>
              <w:rPr>
                <w:rFonts w:hint="eastAsia" w:cs="宋体"/>
                <w:bCs/>
                <w:color w:val="auto"/>
                <w:sz w:val="21"/>
                <w:szCs w:val="21"/>
                <w:u w:val="single"/>
              </w:rPr>
              <w:t xml:space="preserve">                                     </w:t>
            </w:r>
            <w:r>
              <w:rPr>
                <w:rFonts w:hint="eastAsia" w:cs="宋体"/>
                <w:bCs/>
                <w:color w:val="auto"/>
                <w:sz w:val="21"/>
                <w:szCs w:val="21"/>
              </w:rPr>
              <w:t>。</w:t>
            </w:r>
          </w:p>
        </w:tc>
      </w:tr>
      <w:tr w14:paraId="0209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5495AA9A">
            <w:pPr>
              <w:numPr>
                <w:ilvl w:val="0"/>
                <w:numId w:val="3"/>
              </w:numPr>
              <w:snapToGrid w:val="0"/>
              <w:spacing w:line="360" w:lineRule="auto"/>
              <w:jc w:val="center"/>
              <w:rPr>
                <w:rFonts w:cs="宋体"/>
                <w:bCs/>
                <w:color w:val="auto"/>
                <w:kern w:val="2"/>
                <w:sz w:val="21"/>
                <w:szCs w:val="21"/>
              </w:rPr>
            </w:pPr>
          </w:p>
        </w:tc>
        <w:tc>
          <w:tcPr>
            <w:tcW w:w="1111" w:type="dxa"/>
            <w:vAlign w:val="center"/>
          </w:tcPr>
          <w:p w14:paraId="54C1E49E">
            <w:pPr>
              <w:snapToGrid w:val="0"/>
              <w:spacing w:line="360" w:lineRule="auto"/>
              <w:jc w:val="center"/>
              <w:rPr>
                <w:rFonts w:cs="宋体"/>
                <w:bCs/>
                <w:color w:val="auto"/>
                <w:kern w:val="2"/>
                <w:sz w:val="21"/>
                <w:szCs w:val="21"/>
              </w:rPr>
            </w:pPr>
            <w:r>
              <w:rPr>
                <w:rFonts w:hint="eastAsia" w:cs="宋体"/>
                <w:bCs/>
                <w:color w:val="auto"/>
                <w:sz w:val="21"/>
                <w:szCs w:val="21"/>
              </w:rPr>
              <w:t xml:space="preserve">12.2.1 </w:t>
            </w:r>
          </w:p>
        </w:tc>
        <w:tc>
          <w:tcPr>
            <w:tcW w:w="7304" w:type="dxa"/>
            <w:tcBorders>
              <w:bottom w:val="single" w:color="auto" w:sz="4" w:space="0"/>
            </w:tcBorders>
            <w:vAlign w:val="center"/>
          </w:tcPr>
          <w:p w14:paraId="27579C33">
            <w:pPr>
              <w:adjustRightInd w:val="0"/>
              <w:snapToGrid w:val="0"/>
              <w:spacing w:line="360" w:lineRule="auto"/>
              <w:rPr>
                <w:rFonts w:cs="宋体"/>
                <w:bCs/>
                <w:color w:val="auto"/>
                <w:sz w:val="21"/>
                <w:szCs w:val="21"/>
              </w:rPr>
            </w:pPr>
            <w:r>
              <w:rPr>
                <w:rFonts w:hint="eastAsia" w:cs="宋体"/>
                <w:bCs/>
                <w:color w:val="auto"/>
                <w:sz w:val="21"/>
                <w:szCs w:val="21"/>
              </w:rPr>
              <w:t>预付款的支付</w:t>
            </w:r>
          </w:p>
          <w:p w14:paraId="39B66282">
            <w:pPr>
              <w:adjustRightInd w:val="0"/>
              <w:snapToGrid w:val="0"/>
              <w:spacing w:line="360" w:lineRule="auto"/>
              <w:rPr>
                <w:rFonts w:cs="宋体"/>
                <w:bCs/>
                <w:color w:val="auto"/>
                <w:sz w:val="21"/>
                <w:szCs w:val="21"/>
              </w:rPr>
            </w:pPr>
            <w:r>
              <w:rPr>
                <w:rFonts w:hint="eastAsia" w:cs="宋体"/>
                <w:bCs/>
                <w:color w:val="auto"/>
                <w:sz w:val="21"/>
                <w:szCs w:val="21"/>
              </w:rPr>
              <w:t>预付款支付比例或金额：</w:t>
            </w:r>
            <w:r>
              <w:rPr>
                <w:rFonts w:hint="eastAsia" w:cs="宋体"/>
                <w:bCs/>
                <w:color w:val="auto"/>
                <w:sz w:val="21"/>
                <w:szCs w:val="21"/>
                <w:u w:val="single"/>
              </w:rPr>
              <w:t xml:space="preserve">合同金额的40% </w:t>
            </w:r>
          </w:p>
          <w:p w14:paraId="41A8FC7F">
            <w:pPr>
              <w:adjustRightInd w:val="0"/>
              <w:snapToGrid w:val="0"/>
              <w:spacing w:line="360" w:lineRule="auto"/>
              <w:rPr>
                <w:rFonts w:hint="eastAsia" w:eastAsia="宋体" w:cs="宋体"/>
                <w:bCs/>
                <w:color w:val="auto"/>
                <w:sz w:val="21"/>
                <w:szCs w:val="21"/>
                <w:lang w:eastAsia="zh-CN"/>
              </w:rPr>
            </w:pPr>
            <w:r>
              <w:rPr>
                <w:rFonts w:hint="eastAsia" w:cs="宋体"/>
                <w:bCs/>
                <w:color w:val="auto"/>
                <w:sz w:val="21"/>
                <w:szCs w:val="21"/>
              </w:rPr>
              <w:t>预付款支付期限：</w:t>
            </w:r>
            <w:r>
              <w:rPr>
                <w:rFonts w:hint="eastAsia" w:cs="宋体"/>
                <w:bCs/>
                <w:color w:val="auto"/>
                <w:sz w:val="21"/>
                <w:szCs w:val="21"/>
                <w:u w:val="single"/>
              </w:rPr>
              <w:t>政府采购预付款应在合同、担保措施生效以及具备实施条件后5个工作日内支付</w:t>
            </w:r>
            <w:r>
              <w:rPr>
                <w:rFonts w:hint="eastAsia" w:cs="宋体"/>
                <w:bCs/>
                <w:color w:val="auto"/>
                <w:sz w:val="21"/>
                <w:szCs w:val="21"/>
                <w:u w:val="single"/>
                <w:lang w:eastAsia="zh-CN"/>
              </w:rPr>
              <w:t>。</w:t>
            </w:r>
          </w:p>
          <w:p w14:paraId="17F24B6E">
            <w:pPr>
              <w:adjustRightInd w:val="0"/>
              <w:snapToGrid w:val="0"/>
              <w:spacing w:line="360" w:lineRule="auto"/>
              <w:rPr>
                <w:rFonts w:cs="宋体"/>
                <w:bCs/>
                <w:color w:val="auto"/>
                <w:kern w:val="2"/>
                <w:sz w:val="21"/>
                <w:szCs w:val="21"/>
              </w:rPr>
            </w:pPr>
            <w:r>
              <w:rPr>
                <w:rFonts w:hint="eastAsia" w:cs="宋体"/>
                <w:bCs/>
                <w:color w:val="auto"/>
                <w:sz w:val="21"/>
                <w:szCs w:val="21"/>
              </w:rPr>
              <w:t>预付款扣回的方式：</w:t>
            </w:r>
            <w:r>
              <w:rPr>
                <w:rFonts w:hint="eastAsia" w:cs="宋体"/>
                <w:bCs/>
                <w:color w:val="auto"/>
                <w:sz w:val="21"/>
                <w:szCs w:val="21"/>
                <w:u w:val="single"/>
              </w:rPr>
              <w:t xml:space="preserve">  竣工结算付款时全部扣回</w:t>
            </w:r>
            <w:r>
              <w:rPr>
                <w:rFonts w:hint="eastAsia" w:cs="宋体"/>
                <w:bCs/>
                <w:color w:val="auto"/>
                <w:sz w:val="21"/>
                <w:szCs w:val="21"/>
                <w:u w:val="single"/>
                <w:lang w:eastAsia="zh-CN"/>
              </w:rPr>
              <w:t>。</w:t>
            </w:r>
            <w:r>
              <w:rPr>
                <w:rFonts w:hint="eastAsia" w:cs="宋体"/>
                <w:bCs/>
                <w:color w:val="auto"/>
                <w:sz w:val="21"/>
                <w:szCs w:val="21"/>
                <w:u w:val="single"/>
              </w:rPr>
              <w:t xml:space="preserve"> </w:t>
            </w:r>
          </w:p>
        </w:tc>
      </w:tr>
      <w:tr w14:paraId="4695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29" w:type="dxa"/>
            <w:vAlign w:val="center"/>
          </w:tcPr>
          <w:p w14:paraId="64817D1C">
            <w:pPr>
              <w:numPr>
                <w:ilvl w:val="0"/>
                <w:numId w:val="3"/>
              </w:numPr>
              <w:snapToGrid w:val="0"/>
              <w:spacing w:line="360" w:lineRule="auto"/>
              <w:jc w:val="center"/>
              <w:rPr>
                <w:rFonts w:cs="宋体"/>
                <w:bCs/>
                <w:color w:val="auto"/>
                <w:kern w:val="2"/>
                <w:sz w:val="21"/>
                <w:szCs w:val="21"/>
              </w:rPr>
            </w:pPr>
          </w:p>
        </w:tc>
        <w:tc>
          <w:tcPr>
            <w:tcW w:w="1111" w:type="dxa"/>
            <w:vAlign w:val="center"/>
          </w:tcPr>
          <w:p w14:paraId="113E75DA">
            <w:pPr>
              <w:snapToGrid w:val="0"/>
              <w:spacing w:line="360" w:lineRule="auto"/>
              <w:jc w:val="center"/>
              <w:rPr>
                <w:rFonts w:cs="宋体"/>
                <w:bCs/>
                <w:color w:val="auto"/>
                <w:kern w:val="2"/>
                <w:sz w:val="21"/>
                <w:szCs w:val="21"/>
              </w:rPr>
            </w:pPr>
            <w:r>
              <w:rPr>
                <w:rFonts w:hint="eastAsia" w:cs="宋体"/>
                <w:bCs/>
                <w:color w:val="auto"/>
                <w:sz w:val="21"/>
                <w:szCs w:val="21"/>
              </w:rPr>
              <w:t>12.2.2</w:t>
            </w:r>
          </w:p>
        </w:tc>
        <w:tc>
          <w:tcPr>
            <w:tcW w:w="7304" w:type="dxa"/>
            <w:tcBorders>
              <w:bottom w:val="single" w:color="auto" w:sz="4" w:space="0"/>
            </w:tcBorders>
            <w:vAlign w:val="center"/>
          </w:tcPr>
          <w:p w14:paraId="659F0309">
            <w:pPr>
              <w:adjustRightInd w:val="0"/>
              <w:snapToGrid w:val="0"/>
              <w:spacing w:line="360" w:lineRule="auto"/>
              <w:rPr>
                <w:rFonts w:cs="宋体"/>
                <w:bCs/>
                <w:color w:val="auto"/>
                <w:sz w:val="21"/>
                <w:szCs w:val="21"/>
              </w:rPr>
            </w:pPr>
            <w:r>
              <w:rPr>
                <w:rFonts w:hint="eastAsia" w:cs="宋体"/>
                <w:bCs/>
                <w:color w:val="auto"/>
                <w:sz w:val="21"/>
                <w:szCs w:val="21"/>
              </w:rPr>
              <w:t>预付款担保</w:t>
            </w:r>
          </w:p>
          <w:p w14:paraId="521E3CD9">
            <w:pPr>
              <w:adjustRightInd w:val="0"/>
              <w:snapToGrid w:val="0"/>
              <w:spacing w:line="360" w:lineRule="auto"/>
              <w:rPr>
                <w:rFonts w:cs="宋体"/>
                <w:bCs/>
                <w:color w:val="auto"/>
                <w:sz w:val="21"/>
                <w:szCs w:val="21"/>
              </w:rPr>
            </w:pPr>
            <w:r>
              <w:rPr>
                <w:rFonts w:hint="eastAsia" w:cs="宋体"/>
                <w:bCs/>
                <w:color w:val="auto"/>
                <w:sz w:val="21"/>
                <w:szCs w:val="21"/>
              </w:rPr>
              <w:t>承包人提交预付款担保的期限：</w:t>
            </w:r>
            <w:r>
              <w:rPr>
                <w:rFonts w:hint="eastAsia" w:cs="宋体"/>
                <w:bCs/>
                <w:color w:val="auto"/>
                <w:sz w:val="21"/>
                <w:szCs w:val="21"/>
                <w:u w:val="single"/>
              </w:rPr>
              <w:t>担保有效期自开立之日起至发包人全额扣回 预付款后90日止</w:t>
            </w:r>
          </w:p>
          <w:p w14:paraId="44FF8462">
            <w:pPr>
              <w:adjustRightInd w:val="0"/>
              <w:snapToGrid w:val="0"/>
              <w:spacing w:line="360" w:lineRule="auto"/>
              <w:rPr>
                <w:rFonts w:cs="宋体"/>
                <w:bCs/>
                <w:color w:val="auto"/>
                <w:kern w:val="2"/>
                <w:sz w:val="21"/>
                <w:szCs w:val="21"/>
              </w:rPr>
            </w:pPr>
            <w:r>
              <w:rPr>
                <w:rFonts w:hint="eastAsia" w:cs="宋体"/>
                <w:bCs/>
                <w:color w:val="auto"/>
                <w:sz w:val="21"/>
                <w:szCs w:val="21"/>
              </w:rPr>
              <w:t>预付款担保的形式为：</w:t>
            </w:r>
            <w:r>
              <w:rPr>
                <w:rFonts w:hint="eastAsia" w:cs="宋体"/>
                <w:bCs/>
                <w:color w:val="auto"/>
                <w:sz w:val="21"/>
                <w:szCs w:val="21"/>
                <w:u w:val="single"/>
              </w:rPr>
              <w:t xml:space="preserve"> 银行、保险公司、担保公司等金融机构出具的预付款 保函或其他担保措施</w:t>
            </w:r>
            <w:r>
              <w:rPr>
                <w:rFonts w:hint="eastAsia" w:cs="宋体"/>
                <w:bCs/>
                <w:color w:val="auto"/>
                <w:sz w:val="21"/>
                <w:szCs w:val="21"/>
                <w:u w:val="single"/>
                <w:lang w:eastAsia="zh-CN"/>
              </w:rPr>
              <w:t>。</w:t>
            </w:r>
          </w:p>
        </w:tc>
      </w:tr>
      <w:tr w14:paraId="2C24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73FF0A68">
            <w:pPr>
              <w:numPr>
                <w:ilvl w:val="0"/>
                <w:numId w:val="3"/>
              </w:numPr>
              <w:snapToGrid w:val="0"/>
              <w:spacing w:line="360" w:lineRule="auto"/>
              <w:jc w:val="center"/>
              <w:rPr>
                <w:rFonts w:cs="宋体"/>
                <w:bCs/>
                <w:color w:val="auto"/>
                <w:kern w:val="2"/>
                <w:sz w:val="21"/>
                <w:szCs w:val="21"/>
              </w:rPr>
            </w:pPr>
          </w:p>
        </w:tc>
        <w:tc>
          <w:tcPr>
            <w:tcW w:w="1111" w:type="dxa"/>
            <w:vAlign w:val="center"/>
          </w:tcPr>
          <w:p w14:paraId="04CABBC3">
            <w:pPr>
              <w:snapToGrid w:val="0"/>
              <w:spacing w:line="360" w:lineRule="auto"/>
              <w:jc w:val="center"/>
              <w:rPr>
                <w:rFonts w:cs="宋体"/>
                <w:bCs/>
                <w:color w:val="auto"/>
                <w:sz w:val="21"/>
                <w:szCs w:val="21"/>
              </w:rPr>
            </w:pPr>
            <w:r>
              <w:rPr>
                <w:rFonts w:hint="eastAsia" w:cs="宋体"/>
                <w:bCs/>
                <w:color w:val="auto"/>
                <w:sz w:val="21"/>
                <w:szCs w:val="21"/>
              </w:rPr>
              <w:t>12.4.1</w:t>
            </w:r>
          </w:p>
        </w:tc>
        <w:tc>
          <w:tcPr>
            <w:tcW w:w="7304" w:type="dxa"/>
            <w:tcBorders>
              <w:bottom w:val="single" w:color="auto" w:sz="4" w:space="0"/>
            </w:tcBorders>
            <w:vAlign w:val="center"/>
          </w:tcPr>
          <w:p w14:paraId="745C1954">
            <w:pPr>
              <w:adjustRightInd w:val="0"/>
              <w:snapToGrid w:val="0"/>
              <w:spacing w:line="360" w:lineRule="auto"/>
              <w:rPr>
                <w:rFonts w:cs="宋体"/>
                <w:bCs/>
                <w:color w:val="auto"/>
                <w:sz w:val="21"/>
                <w:szCs w:val="21"/>
              </w:rPr>
            </w:pPr>
            <w:r>
              <w:rPr>
                <w:rFonts w:hint="eastAsia" w:cs="宋体"/>
                <w:bCs/>
                <w:color w:val="auto"/>
                <w:sz w:val="21"/>
                <w:szCs w:val="21"/>
              </w:rPr>
              <w:t>付款周期</w:t>
            </w:r>
          </w:p>
          <w:p w14:paraId="0C631AC7">
            <w:pPr>
              <w:adjustRightInd w:val="0"/>
              <w:snapToGrid w:val="0"/>
              <w:spacing w:line="360" w:lineRule="auto"/>
              <w:rPr>
                <w:rFonts w:hint="eastAsia" w:cs="宋体"/>
                <w:bCs/>
                <w:color w:val="auto"/>
                <w:sz w:val="21"/>
                <w:szCs w:val="21"/>
                <w:u w:val="single"/>
                <w:lang w:val="en-US" w:eastAsia="zh-CN"/>
              </w:rPr>
            </w:pPr>
            <w:r>
              <w:rPr>
                <w:rFonts w:hint="eastAsia" w:cs="宋体"/>
                <w:bCs/>
                <w:color w:val="auto"/>
                <w:sz w:val="21"/>
                <w:szCs w:val="21"/>
              </w:rPr>
              <w:t>关于付款周期的约定：</w:t>
            </w:r>
            <w:r>
              <w:rPr>
                <w:rFonts w:hint="eastAsia" w:cs="宋体"/>
                <w:bCs/>
                <w:color w:val="auto"/>
                <w:sz w:val="21"/>
                <w:szCs w:val="21"/>
                <w:u w:val="single"/>
                <w:lang w:val="en-US" w:eastAsia="zh-CN"/>
              </w:rPr>
              <w:t>采购人支付本项目合同金额的40%为预付款；已完成施工合同约定节点工作内容，工程质量合格或达到合同约定目标的，予以办理施工过程结算竣工结算前全部节点的施工过程结算价款(含工程预付款)支付比例85%；竣工工程结算经审核后付至审定价的100%，在收到供应商发票后7个工作日内一次性付清。质保金为工程结算审核价的3%。(待工程缺陷责任期满无质量问题后一次性返还。不得变相以质保金名义占用合同尾款)。</w:t>
            </w:r>
          </w:p>
        </w:tc>
      </w:tr>
      <w:tr w14:paraId="3EFD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045E7B46">
            <w:pPr>
              <w:numPr>
                <w:ilvl w:val="0"/>
                <w:numId w:val="3"/>
              </w:numPr>
              <w:snapToGrid w:val="0"/>
              <w:spacing w:line="360" w:lineRule="auto"/>
              <w:jc w:val="center"/>
              <w:rPr>
                <w:rFonts w:cs="宋体"/>
                <w:bCs/>
                <w:color w:val="auto"/>
                <w:kern w:val="2"/>
                <w:sz w:val="21"/>
                <w:szCs w:val="21"/>
              </w:rPr>
            </w:pPr>
          </w:p>
        </w:tc>
        <w:tc>
          <w:tcPr>
            <w:tcW w:w="1111" w:type="dxa"/>
            <w:vAlign w:val="center"/>
          </w:tcPr>
          <w:p w14:paraId="1518CAB0">
            <w:pPr>
              <w:snapToGrid w:val="0"/>
              <w:spacing w:line="360" w:lineRule="auto"/>
              <w:jc w:val="center"/>
              <w:rPr>
                <w:rFonts w:cs="宋体"/>
                <w:bCs/>
                <w:color w:val="auto"/>
                <w:kern w:val="2"/>
                <w:sz w:val="21"/>
                <w:szCs w:val="21"/>
              </w:rPr>
            </w:pPr>
            <w:r>
              <w:rPr>
                <w:rFonts w:hint="eastAsia" w:cs="宋体"/>
                <w:bCs/>
                <w:color w:val="auto"/>
                <w:sz w:val="21"/>
                <w:szCs w:val="21"/>
              </w:rPr>
              <w:t>15.2.1</w:t>
            </w:r>
          </w:p>
        </w:tc>
        <w:tc>
          <w:tcPr>
            <w:tcW w:w="7304" w:type="dxa"/>
            <w:vAlign w:val="center"/>
          </w:tcPr>
          <w:p w14:paraId="731C237F">
            <w:pPr>
              <w:snapToGrid w:val="0"/>
              <w:spacing w:line="360" w:lineRule="auto"/>
              <w:rPr>
                <w:rFonts w:cs="宋体"/>
                <w:bCs/>
                <w:color w:val="auto"/>
                <w:kern w:val="2"/>
                <w:sz w:val="21"/>
                <w:szCs w:val="21"/>
              </w:rPr>
            </w:pPr>
            <w:r>
              <w:rPr>
                <w:rFonts w:hint="eastAsia" w:cs="宋体"/>
                <w:color w:val="auto"/>
                <w:sz w:val="21"/>
                <w:szCs w:val="21"/>
              </w:rPr>
              <w:t>缺陷责任期的具体期限：</w:t>
            </w:r>
            <w:r>
              <w:rPr>
                <w:rFonts w:hint="eastAsia" w:cs="宋体"/>
                <w:color w:val="auto"/>
                <w:sz w:val="21"/>
                <w:szCs w:val="21"/>
                <w:u w:val="single"/>
              </w:rPr>
              <w:t xml:space="preserve">  竣工验收合格后</w:t>
            </w:r>
            <w:r>
              <w:rPr>
                <w:rFonts w:hint="eastAsia" w:cs="宋体"/>
                <w:color w:val="auto"/>
                <w:sz w:val="21"/>
                <w:szCs w:val="21"/>
                <w:u w:val="single"/>
                <w:lang w:val="en-US" w:eastAsia="zh-CN"/>
              </w:rPr>
              <w:t>两年</w:t>
            </w:r>
            <w:r>
              <w:rPr>
                <w:rFonts w:hint="eastAsia" w:cs="宋体"/>
                <w:color w:val="auto"/>
                <w:sz w:val="21"/>
                <w:szCs w:val="21"/>
                <w:u w:val="single"/>
              </w:rPr>
              <w:t xml:space="preserve">   </w:t>
            </w:r>
            <w:r>
              <w:rPr>
                <w:rFonts w:hint="eastAsia" w:cs="宋体"/>
                <w:color w:val="auto"/>
                <w:sz w:val="21"/>
                <w:szCs w:val="21"/>
              </w:rPr>
              <w:t>。</w:t>
            </w:r>
          </w:p>
        </w:tc>
      </w:tr>
      <w:tr w14:paraId="7DB9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9" w:type="dxa"/>
            <w:vAlign w:val="center"/>
          </w:tcPr>
          <w:p w14:paraId="0270A032">
            <w:pPr>
              <w:numPr>
                <w:ilvl w:val="0"/>
                <w:numId w:val="3"/>
              </w:numPr>
              <w:snapToGrid w:val="0"/>
              <w:spacing w:line="360" w:lineRule="auto"/>
              <w:jc w:val="center"/>
              <w:rPr>
                <w:rFonts w:cs="宋体"/>
                <w:bCs/>
                <w:color w:val="auto"/>
                <w:kern w:val="2"/>
                <w:sz w:val="21"/>
                <w:szCs w:val="21"/>
              </w:rPr>
            </w:pPr>
          </w:p>
        </w:tc>
        <w:tc>
          <w:tcPr>
            <w:tcW w:w="1111" w:type="dxa"/>
            <w:vAlign w:val="center"/>
          </w:tcPr>
          <w:p w14:paraId="08D3174E">
            <w:pPr>
              <w:snapToGrid w:val="0"/>
              <w:spacing w:line="360" w:lineRule="auto"/>
              <w:jc w:val="center"/>
              <w:rPr>
                <w:rFonts w:cs="宋体"/>
                <w:bCs/>
                <w:color w:val="auto"/>
                <w:kern w:val="2"/>
                <w:sz w:val="21"/>
                <w:szCs w:val="21"/>
              </w:rPr>
            </w:pPr>
            <w:r>
              <w:rPr>
                <w:rFonts w:hint="eastAsia" w:cs="宋体"/>
                <w:bCs/>
                <w:color w:val="auto"/>
                <w:sz w:val="21"/>
                <w:szCs w:val="21"/>
              </w:rPr>
              <w:t>15.3.1</w:t>
            </w:r>
            <w:r>
              <w:rPr>
                <w:rStyle w:val="25"/>
                <w:rFonts w:hint="eastAsia"/>
                <w:bCs/>
                <w:color w:val="auto"/>
                <w:kern w:val="2"/>
              </w:rPr>
              <w:footnoteReference w:id="0"/>
            </w:r>
          </w:p>
        </w:tc>
        <w:tc>
          <w:tcPr>
            <w:tcW w:w="7304" w:type="dxa"/>
            <w:vAlign w:val="center"/>
          </w:tcPr>
          <w:p w14:paraId="672D5D3D">
            <w:pPr>
              <w:adjustRightInd w:val="0"/>
              <w:snapToGrid w:val="0"/>
              <w:spacing w:line="360" w:lineRule="auto"/>
              <w:rPr>
                <w:rFonts w:cs="宋体"/>
                <w:color w:val="auto"/>
                <w:sz w:val="21"/>
                <w:szCs w:val="21"/>
              </w:rPr>
            </w:pPr>
            <w:r>
              <w:rPr>
                <w:rFonts w:hint="eastAsia" w:cs="宋体"/>
                <w:color w:val="auto"/>
                <w:sz w:val="21"/>
                <w:szCs w:val="21"/>
              </w:rPr>
              <w:t>质量保证金可采用以下任意一种方式：</w:t>
            </w:r>
          </w:p>
          <w:p w14:paraId="519072F6">
            <w:pPr>
              <w:adjustRightInd w:val="0"/>
              <w:snapToGrid w:val="0"/>
              <w:spacing w:line="360" w:lineRule="auto"/>
              <w:rPr>
                <w:rFonts w:cs="宋体"/>
                <w:color w:val="auto"/>
                <w:sz w:val="21"/>
                <w:szCs w:val="21"/>
              </w:rPr>
            </w:pPr>
            <w:r>
              <w:rPr>
                <w:rFonts w:hint="eastAsia" w:cs="宋体"/>
                <w:color w:val="auto"/>
                <w:sz w:val="21"/>
                <w:szCs w:val="21"/>
              </w:rPr>
              <w:t>（1）由银行业金融机构、工程担保公司、保险机构出具银行保函、工程质量保险等担保方式，担保/保证金额为：</w:t>
            </w:r>
            <w:r>
              <w:rPr>
                <w:rFonts w:hint="eastAsia" w:cs="宋体"/>
                <w:color w:val="auto"/>
                <w:sz w:val="21"/>
                <w:szCs w:val="21"/>
                <w:u w:val="single"/>
              </w:rPr>
              <w:t xml:space="preserve">  工程结算审核价的 3%；</w:t>
            </w:r>
          </w:p>
          <w:p w14:paraId="1622ABDA">
            <w:pPr>
              <w:adjustRightInd w:val="0"/>
              <w:snapToGrid w:val="0"/>
              <w:spacing w:line="360" w:lineRule="auto"/>
              <w:rPr>
                <w:rFonts w:cs="宋体"/>
                <w:color w:val="auto"/>
                <w:sz w:val="21"/>
                <w:szCs w:val="21"/>
              </w:rPr>
            </w:pPr>
            <w:r>
              <w:rPr>
                <w:rFonts w:hint="eastAsia" w:cs="宋体"/>
                <w:color w:val="auto"/>
                <w:sz w:val="21"/>
                <w:szCs w:val="21"/>
              </w:rPr>
              <w:t xml:space="preserve">（2） </w:t>
            </w:r>
            <w:r>
              <w:rPr>
                <w:rFonts w:hint="eastAsia" w:cs="宋体"/>
                <w:color w:val="auto"/>
                <w:sz w:val="21"/>
                <w:szCs w:val="21"/>
                <w:u w:val="single"/>
              </w:rPr>
              <w:t xml:space="preserve">   </w:t>
            </w:r>
            <w:r>
              <w:rPr>
                <w:rFonts w:hint="eastAsia" w:cs="宋体"/>
                <w:color w:val="auto"/>
                <w:sz w:val="21"/>
                <w:szCs w:val="21"/>
                <w:u w:val="single"/>
                <w:lang w:val="en-US" w:eastAsia="zh-CN"/>
              </w:rPr>
              <w:t xml:space="preserve">/   </w:t>
            </w:r>
            <w:r>
              <w:rPr>
                <w:rFonts w:hint="eastAsia" w:cs="宋体"/>
                <w:color w:val="auto"/>
                <w:sz w:val="21"/>
                <w:szCs w:val="21"/>
                <w:u w:val="single"/>
              </w:rPr>
              <w:t xml:space="preserve">    ；</w:t>
            </w:r>
          </w:p>
          <w:p w14:paraId="3E352DD9">
            <w:pPr>
              <w:adjustRightInd w:val="0"/>
              <w:snapToGrid w:val="0"/>
              <w:spacing w:line="360" w:lineRule="auto"/>
              <w:rPr>
                <w:rFonts w:hint="eastAsia" w:cs="宋体"/>
                <w:color w:val="auto"/>
                <w:sz w:val="21"/>
                <w:szCs w:val="21"/>
                <w:u w:val="single"/>
              </w:rPr>
            </w:pPr>
            <w:r>
              <w:rPr>
                <w:rFonts w:hint="eastAsia" w:cs="宋体"/>
                <w:color w:val="auto"/>
                <w:sz w:val="21"/>
                <w:szCs w:val="21"/>
              </w:rPr>
              <w:t>（3）其他方式：</w:t>
            </w:r>
            <w:r>
              <w:rPr>
                <w:rFonts w:hint="eastAsia" w:cs="宋体"/>
                <w:color w:val="auto"/>
                <w:sz w:val="21"/>
                <w:szCs w:val="21"/>
                <w:u w:val="single"/>
              </w:rPr>
              <w:t xml:space="preserve">   </w:t>
            </w:r>
            <w:r>
              <w:rPr>
                <w:rFonts w:hint="eastAsia" w:cs="宋体"/>
                <w:color w:val="auto"/>
                <w:sz w:val="21"/>
                <w:szCs w:val="21"/>
                <w:u w:val="single"/>
                <w:lang w:val="en-US" w:eastAsia="zh-CN"/>
              </w:rPr>
              <w:t>/</w:t>
            </w:r>
            <w:r>
              <w:rPr>
                <w:rFonts w:hint="eastAsia" w:cs="宋体"/>
                <w:color w:val="auto"/>
                <w:sz w:val="21"/>
                <w:szCs w:val="21"/>
                <w:u w:val="single"/>
              </w:rPr>
              <w:t xml:space="preserve">  。</w:t>
            </w:r>
          </w:p>
          <w:p w14:paraId="24151884">
            <w:pPr>
              <w:adjustRightInd w:val="0"/>
              <w:snapToGrid w:val="0"/>
              <w:spacing w:line="360" w:lineRule="auto"/>
              <w:rPr>
                <w:rFonts w:cs="宋体"/>
                <w:bCs w:val="0"/>
                <w:color w:val="auto"/>
                <w:kern w:val="2"/>
                <w:sz w:val="21"/>
                <w:szCs w:val="21"/>
              </w:rPr>
            </w:pPr>
            <w:r>
              <w:rPr>
                <w:rFonts w:hint="eastAsia" w:cs="宋体"/>
                <w:b/>
                <w:bCs/>
                <w:color w:val="auto"/>
                <w:sz w:val="21"/>
                <w:szCs w:val="21"/>
              </w:rPr>
              <w:t>注：以现金形式提交质量保证金的（含从工程款中以扣留方式提交的），同时退还银行同期活期存款利息。</w:t>
            </w:r>
          </w:p>
        </w:tc>
      </w:tr>
    </w:tbl>
    <w:p w14:paraId="16CE3F78">
      <w:pPr>
        <w:snapToGrid w:val="0"/>
        <w:spacing w:before="312" w:beforeLines="100" w:after="312" w:afterLines="100" w:line="360" w:lineRule="auto"/>
        <w:outlineLvl w:val="2"/>
        <w:rPr>
          <w:rFonts w:hint="eastAsia" w:cs="宋体"/>
          <w:color w:val="auto"/>
          <w:sz w:val="21"/>
          <w:szCs w:val="21"/>
        </w:rPr>
      </w:pPr>
    </w:p>
    <w:p w14:paraId="5F83BB4A">
      <w:pPr>
        <w:snapToGrid w:val="0"/>
        <w:spacing w:before="312" w:beforeLines="100" w:after="312" w:afterLines="100" w:line="360" w:lineRule="auto"/>
        <w:outlineLvl w:val="2"/>
        <w:rPr>
          <w:rFonts w:hint="eastAsia" w:cs="宋体"/>
          <w:color w:val="auto"/>
          <w:sz w:val="21"/>
          <w:szCs w:val="21"/>
        </w:rPr>
      </w:pPr>
    </w:p>
    <w:p w14:paraId="02403CA9">
      <w:pPr>
        <w:snapToGrid w:val="0"/>
        <w:spacing w:before="312" w:beforeLines="100" w:after="312" w:afterLines="100" w:line="360" w:lineRule="auto"/>
        <w:outlineLvl w:val="2"/>
        <w:rPr>
          <w:rFonts w:hint="eastAsia" w:cs="宋体"/>
          <w:color w:val="auto"/>
          <w:sz w:val="21"/>
          <w:szCs w:val="21"/>
        </w:rPr>
      </w:pPr>
    </w:p>
    <w:p w14:paraId="3F08BAFC">
      <w:pPr>
        <w:snapToGrid w:val="0"/>
        <w:spacing w:before="312" w:beforeLines="100" w:after="312" w:afterLines="100" w:line="360" w:lineRule="auto"/>
        <w:outlineLvl w:val="2"/>
        <w:rPr>
          <w:rFonts w:hint="eastAsia" w:cs="宋体"/>
          <w:color w:val="auto"/>
          <w:sz w:val="21"/>
          <w:szCs w:val="21"/>
        </w:rPr>
      </w:pPr>
    </w:p>
    <w:p w14:paraId="0D14DBC6">
      <w:pPr>
        <w:snapToGrid w:val="0"/>
        <w:spacing w:before="312" w:beforeLines="100" w:after="312" w:afterLines="100" w:line="360" w:lineRule="auto"/>
        <w:outlineLvl w:val="2"/>
        <w:rPr>
          <w:rFonts w:hint="eastAsia" w:cs="宋体"/>
          <w:color w:val="auto"/>
          <w:sz w:val="21"/>
          <w:szCs w:val="21"/>
        </w:rPr>
      </w:pPr>
    </w:p>
    <w:p w14:paraId="7B028578">
      <w:pPr>
        <w:snapToGrid w:val="0"/>
        <w:spacing w:before="312" w:beforeLines="100" w:after="312" w:afterLines="100" w:line="360" w:lineRule="auto"/>
        <w:outlineLvl w:val="2"/>
        <w:rPr>
          <w:rFonts w:hint="eastAsia" w:cs="宋体"/>
          <w:color w:val="auto"/>
          <w:sz w:val="21"/>
          <w:szCs w:val="21"/>
        </w:rPr>
      </w:pPr>
    </w:p>
    <w:p w14:paraId="2F2983BC">
      <w:pPr>
        <w:snapToGrid w:val="0"/>
        <w:spacing w:before="312" w:beforeLines="100" w:after="312" w:afterLines="100" w:line="360" w:lineRule="auto"/>
        <w:outlineLvl w:val="2"/>
        <w:rPr>
          <w:rFonts w:hint="eastAsia" w:cs="宋体"/>
          <w:color w:val="auto"/>
          <w:sz w:val="21"/>
          <w:szCs w:val="21"/>
        </w:rPr>
      </w:pPr>
    </w:p>
    <w:p w14:paraId="11605F09">
      <w:pPr>
        <w:snapToGrid w:val="0"/>
        <w:spacing w:before="312" w:beforeLines="100" w:after="312" w:afterLines="100" w:line="360" w:lineRule="auto"/>
        <w:outlineLvl w:val="2"/>
        <w:rPr>
          <w:rFonts w:hint="eastAsia" w:cs="宋体"/>
          <w:color w:val="auto"/>
          <w:sz w:val="21"/>
          <w:szCs w:val="21"/>
        </w:rPr>
      </w:pPr>
    </w:p>
    <w:p w14:paraId="1EA90302">
      <w:pPr>
        <w:snapToGrid w:val="0"/>
        <w:spacing w:before="312" w:beforeLines="100" w:after="312" w:afterLines="100" w:line="360" w:lineRule="auto"/>
        <w:outlineLvl w:val="2"/>
        <w:rPr>
          <w:rFonts w:hint="eastAsia" w:cs="宋体"/>
          <w:color w:val="auto"/>
          <w:sz w:val="21"/>
          <w:szCs w:val="21"/>
        </w:rPr>
      </w:pPr>
    </w:p>
    <w:p w14:paraId="59220C56">
      <w:pPr>
        <w:snapToGrid w:val="0"/>
        <w:spacing w:before="312" w:beforeLines="100" w:after="312" w:afterLines="100" w:line="360" w:lineRule="auto"/>
        <w:outlineLvl w:val="2"/>
        <w:rPr>
          <w:rFonts w:hint="eastAsia" w:cs="宋体"/>
          <w:color w:val="auto"/>
          <w:sz w:val="21"/>
          <w:szCs w:val="21"/>
        </w:rPr>
      </w:pPr>
    </w:p>
    <w:p w14:paraId="068F9600">
      <w:pPr>
        <w:snapToGrid w:val="0"/>
        <w:spacing w:before="312" w:beforeLines="100" w:after="312" w:afterLines="100" w:line="360" w:lineRule="auto"/>
        <w:outlineLvl w:val="2"/>
        <w:rPr>
          <w:rFonts w:hint="eastAsia" w:cs="宋体"/>
          <w:color w:val="auto"/>
          <w:sz w:val="21"/>
          <w:szCs w:val="21"/>
        </w:rPr>
      </w:pPr>
    </w:p>
    <w:p w14:paraId="34B76994">
      <w:pPr>
        <w:pStyle w:val="13"/>
        <w:bidi w:val="0"/>
        <w:rPr>
          <w:rFonts w:hint="eastAsia"/>
          <w:color w:val="auto"/>
        </w:rPr>
      </w:pPr>
    </w:p>
    <w:p w14:paraId="1A2439EE">
      <w:pPr>
        <w:snapToGrid w:val="0"/>
        <w:spacing w:before="312" w:beforeLines="100" w:after="312" w:afterLines="100" w:line="360" w:lineRule="auto"/>
        <w:outlineLvl w:val="2"/>
        <w:rPr>
          <w:rFonts w:hint="eastAsia" w:cs="宋体"/>
          <w:color w:val="auto"/>
          <w:sz w:val="21"/>
          <w:szCs w:val="21"/>
        </w:rPr>
      </w:pPr>
    </w:p>
    <w:p w14:paraId="71FEDB4F">
      <w:pPr>
        <w:snapToGrid w:val="0"/>
        <w:spacing w:before="312" w:beforeLines="100" w:after="312" w:afterLines="100" w:line="360" w:lineRule="auto"/>
        <w:outlineLvl w:val="2"/>
        <w:rPr>
          <w:rFonts w:hint="eastAsia" w:cs="宋体"/>
          <w:color w:val="auto"/>
          <w:sz w:val="21"/>
          <w:szCs w:val="21"/>
        </w:rPr>
      </w:pPr>
    </w:p>
    <w:p w14:paraId="78737CB4">
      <w:pPr>
        <w:pageBreakBefore w:val="0"/>
        <w:widowControl w:val="0"/>
        <w:kinsoku/>
        <w:wordWrap/>
        <w:overflowPunct/>
        <w:topLinePunct w:val="0"/>
        <w:autoSpaceDE/>
        <w:autoSpaceDN/>
        <w:bidi w:val="0"/>
        <w:snapToGrid w:val="0"/>
        <w:spacing w:line="360" w:lineRule="auto"/>
        <w:ind w:left="0" w:leftChars="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566" w:name="_Toc297120456"/>
      <w:bookmarkStart w:id="567" w:name="_Toc296944495"/>
      <w:bookmarkStart w:id="568" w:name="_Toc296346657"/>
      <w:bookmarkStart w:id="569" w:name="_Toc296891196"/>
      <w:bookmarkStart w:id="570" w:name="_Toc296503156"/>
      <w:bookmarkStart w:id="571" w:name="_Toc296347155"/>
      <w:bookmarkStart w:id="572" w:name="_Toc292559866"/>
      <w:bookmarkStart w:id="573" w:name="_Toc297048342"/>
      <w:bookmarkStart w:id="574" w:name="_Toc292559361"/>
      <w:bookmarkStart w:id="575" w:name="_Toc296890984"/>
      <w:r>
        <w:rPr>
          <w:rFonts w:hint="eastAsia" w:ascii="宋体" w:hAnsi="宋体" w:eastAsia="宋体" w:cs="宋体"/>
          <w:color w:val="auto"/>
          <w:sz w:val="21"/>
          <w:szCs w:val="21"/>
        </w:rPr>
        <w:t>. 一般约定</w:t>
      </w:r>
    </w:p>
    <w:bookmarkEnd w:id="566"/>
    <w:bookmarkEnd w:id="567"/>
    <w:bookmarkEnd w:id="568"/>
    <w:bookmarkEnd w:id="569"/>
    <w:bookmarkEnd w:id="570"/>
    <w:bookmarkEnd w:id="571"/>
    <w:bookmarkEnd w:id="572"/>
    <w:bookmarkEnd w:id="573"/>
    <w:bookmarkEnd w:id="574"/>
    <w:bookmarkEnd w:id="575"/>
    <w:p w14:paraId="26E396ED">
      <w:pPr>
        <w:keepNext/>
        <w:keepLines/>
        <w:pageBreakBefore w:val="0"/>
        <w:widowControl w:val="0"/>
        <w:kinsoku/>
        <w:wordWrap/>
        <w:overflowPunct/>
        <w:topLinePunct w:val="0"/>
        <w:autoSpaceDE/>
        <w:autoSpaceDN/>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1.1 词语定义与解释</w:t>
      </w:r>
    </w:p>
    <w:p w14:paraId="61364601">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 合同</w:t>
      </w:r>
    </w:p>
    <w:p w14:paraId="51F3B1E8">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1.1.1.10 其他合同文件包括：</w:t>
      </w:r>
      <w:r>
        <w:rPr>
          <w:rFonts w:hint="eastAsia" w:ascii="宋体" w:hAnsi="宋体" w:eastAsia="宋体" w:cs="宋体"/>
          <w:color w:val="auto"/>
          <w:sz w:val="21"/>
          <w:szCs w:val="21"/>
          <w:u w:val="single"/>
        </w:rPr>
        <w:t>采购文件、响应文件、工程量清单、工程控制价等</w:t>
      </w:r>
      <w:r>
        <w:rPr>
          <w:rFonts w:hint="eastAsia" w:ascii="宋体" w:hAnsi="宋体" w:eastAsia="宋体" w:cs="宋体"/>
          <w:color w:val="auto"/>
          <w:sz w:val="21"/>
          <w:szCs w:val="21"/>
          <w:u w:val="single"/>
          <w:lang w:eastAsia="zh-CN"/>
        </w:rPr>
        <w:t>。</w:t>
      </w:r>
    </w:p>
    <w:p w14:paraId="2FE93B33">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 合同当事人及其他相关方</w:t>
      </w:r>
    </w:p>
    <w:p w14:paraId="5EC021BD">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1.1.2.4 监理人：</w:t>
      </w:r>
    </w:p>
    <w:p w14:paraId="6EE9B3F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3D821D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资质类别和等级：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78F08E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5ACFE9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86B99A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452BC8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1.1.2.5 设计人：</w:t>
      </w:r>
    </w:p>
    <w:p w14:paraId="3E7888A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4A96FB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资质类别和等级：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2AA625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3C002B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42AE16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13199D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 工程和设备</w:t>
      </w:r>
    </w:p>
    <w:p w14:paraId="6068F86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1.1.3.7 作为施工现场组成部分的其他场所包括：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3F7BA8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1.1.3.9 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553C7B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1.1.3.10 临时占地包括：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A8D2650">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1.3 法律 </w:t>
      </w:r>
    </w:p>
    <w:p w14:paraId="422EF5F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适用于合同的其他规范性文件：</w:t>
      </w:r>
      <w:r>
        <w:rPr>
          <w:rFonts w:hint="eastAsia" w:ascii="宋体" w:hAnsi="宋体" w:eastAsia="宋体" w:cs="宋体"/>
          <w:color w:val="auto"/>
          <w:sz w:val="21"/>
          <w:szCs w:val="21"/>
          <w:u w:val="single"/>
        </w:rPr>
        <w:t>《中华人民共和国民法典</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中华人民共和国建筑法</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中华人民共和国政府采购法</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建设工程质量管理条例</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建设工程安全生产管理条例</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等国家及工程所在地现行有效的法律法规和规章</w:t>
      </w:r>
      <w:r>
        <w:rPr>
          <w:rFonts w:hint="eastAsia" w:ascii="宋体" w:hAnsi="宋体" w:eastAsia="宋体" w:cs="宋体"/>
          <w:color w:val="auto"/>
          <w:sz w:val="21"/>
          <w:szCs w:val="21"/>
        </w:rPr>
        <w:t>。</w:t>
      </w:r>
    </w:p>
    <w:p w14:paraId="2574660E">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1.4 标准和规范</w:t>
      </w:r>
    </w:p>
    <w:p w14:paraId="033ADE3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1.4.1 适用于工程的标准规范包括：</w:t>
      </w:r>
      <w:r>
        <w:rPr>
          <w:rFonts w:hint="eastAsia" w:ascii="宋体" w:hAnsi="宋体" w:eastAsia="宋体" w:cs="宋体"/>
          <w:color w:val="auto"/>
          <w:sz w:val="21"/>
          <w:szCs w:val="21"/>
          <w:u w:val="single"/>
        </w:rPr>
        <w:t>国家现行建筑工程质量检验评定标准、国家现行的各专业《施工规范及验收标准》、安徽省及铜陵市有关建筑工程法规、标准、以及施工图 纸所示的有关图集及标准等。</w:t>
      </w:r>
    </w:p>
    <w:p w14:paraId="23EED0E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1.4.2 发包人提供国外标准、规范的名称：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不提供</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8E9B34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发包人提供国外标准、规范的份数：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C2346A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无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B71F97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1.4.3 发包人对工程的技术标准和功能要求的特殊要求：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340EFBD">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1.5 合同文件的优先顺序</w:t>
      </w:r>
    </w:p>
    <w:p w14:paraId="0B5AC24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合同文件组成及优先顺序为：</w:t>
      </w:r>
      <w:r>
        <w:rPr>
          <w:rFonts w:hint="eastAsia" w:ascii="宋体" w:hAnsi="宋体" w:eastAsia="宋体" w:cs="宋体"/>
          <w:color w:val="auto"/>
          <w:sz w:val="21"/>
          <w:szCs w:val="21"/>
          <w:u w:val="single"/>
        </w:rPr>
        <w:t xml:space="preserve"> （1）合同协议书；（2）成交通知书；（3）响应函及其附录条款；（4）专用合同条款及其附件（含补充条款，补充条款与专用条款不一致的以补充条款为准）；（5）通用条款；（6）技术标准和要求；（7）图纸；（8）已标价工程量清 单；（9）承包人承诺；（10）采购文件及答疑、澄清文件（如有）；（11）经监理工程师、发包人代表批准的施工组织设计；（12）合同履行过程中双方就有关工程洽商、变更达成的 书面协议或文件（如有）</w:t>
      </w:r>
      <w:r>
        <w:rPr>
          <w:rFonts w:hint="eastAsia" w:ascii="宋体" w:hAnsi="宋体" w:eastAsia="宋体" w:cs="宋体"/>
          <w:color w:val="auto"/>
          <w:sz w:val="21"/>
          <w:szCs w:val="21"/>
          <w:u w:val="single"/>
          <w:lang w:eastAsia="zh-CN"/>
        </w:rPr>
        <w:t>。</w:t>
      </w:r>
    </w:p>
    <w:p w14:paraId="6DE5B79A">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1.6 图纸和承包人文件</w:t>
      </w:r>
      <w:r>
        <w:rPr>
          <w:rFonts w:hint="eastAsia" w:ascii="宋体" w:hAnsi="宋体" w:eastAsia="宋体" w:cs="宋体"/>
          <w:bCs/>
          <w:color w:val="auto"/>
          <w:sz w:val="21"/>
          <w:szCs w:val="21"/>
        </w:rPr>
        <w:tab/>
      </w:r>
    </w:p>
    <w:p w14:paraId="1C49C09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1.6.1 图纸的提供和交底</w:t>
      </w:r>
    </w:p>
    <w:p w14:paraId="1D628D1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发包人向承包人提供图纸的期限：</w:t>
      </w:r>
      <w:r>
        <w:rPr>
          <w:rFonts w:hint="eastAsia" w:ascii="宋体" w:hAnsi="宋体" w:eastAsia="宋体" w:cs="宋体"/>
          <w:color w:val="auto"/>
          <w:sz w:val="21"/>
          <w:szCs w:val="21"/>
          <w:u w:val="single"/>
        </w:rPr>
        <w:t xml:space="preserve">  开工前   </w:t>
      </w:r>
      <w:r>
        <w:rPr>
          <w:rFonts w:hint="eastAsia" w:ascii="宋体" w:hAnsi="宋体" w:eastAsia="宋体" w:cs="宋体"/>
          <w:color w:val="auto"/>
          <w:sz w:val="21"/>
          <w:szCs w:val="21"/>
        </w:rPr>
        <w:t>；</w:t>
      </w:r>
    </w:p>
    <w:p w14:paraId="1286C46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发包人向承包人提供图纸的数量：</w:t>
      </w:r>
      <w:r>
        <w:rPr>
          <w:rFonts w:hint="eastAsia" w:ascii="宋体" w:hAnsi="宋体" w:eastAsia="宋体" w:cs="宋体"/>
          <w:color w:val="auto"/>
          <w:sz w:val="21"/>
          <w:szCs w:val="21"/>
          <w:u w:val="single"/>
        </w:rPr>
        <w:t>提供三套（含竣工图三套），不足的由承包人自行复制，费用自理；</w:t>
      </w:r>
    </w:p>
    <w:p w14:paraId="2F374E2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发包人向承包人提供图纸的内容：</w:t>
      </w:r>
      <w:r>
        <w:rPr>
          <w:rFonts w:hint="eastAsia" w:ascii="宋体" w:hAnsi="宋体" w:eastAsia="宋体" w:cs="宋体"/>
          <w:color w:val="auto"/>
          <w:sz w:val="21"/>
          <w:szCs w:val="21"/>
          <w:u w:val="single"/>
        </w:rPr>
        <w:t xml:space="preserve"> 所有承包范围内的施工图纸</w:t>
      </w:r>
      <w:r>
        <w:rPr>
          <w:rFonts w:hint="eastAsia" w:ascii="宋体" w:hAnsi="宋体" w:eastAsia="宋体" w:cs="宋体"/>
          <w:color w:val="auto"/>
          <w:sz w:val="21"/>
          <w:szCs w:val="21"/>
        </w:rPr>
        <w:t>。</w:t>
      </w:r>
    </w:p>
    <w:p w14:paraId="2E6527A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1.6.4 承包人文件</w:t>
      </w:r>
    </w:p>
    <w:p w14:paraId="464BC73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需要由承包人提供的文件，包括：</w:t>
      </w:r>
      <w:r>
        <w:rPr>
          <w:rFonts w:hint="eastAsia" w:ascii="宋体" w:hAnsi="宋体" w:eastAsia="宋体" w:cs="宋体"/>
          <w:color w:val="auto"/>
          <w:sz w:val="21"/>
          <w:szCs w:val="21"/>
          <w:u w:val="single"/>
        </w:rPr>
        <w:t xml:space="preserve"> 响应文件原样副本（含商务标电子版）、施工组织设计和总进 度计划（含进度计划网络图、横道图）</w:t>
      </w:r>
      <w:r>
        <w:rPr>
          <w:rFonts w:hint="eastAsia" w:ascii="宋体" w:hAnsi="宋体" w:eastAsia="宋体" w:cs="宋体"/>
          <w:color w:val="auto"/>
          <w:sz w:val="21"/>
          <w:szCs w:val="21"/>
        </w:rPr>
        <w:t>；</w:t>
      </w:r>
    </w:p>
    <w:p w14:paraId="5667FBA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承包人提供的文件的期限为：</w:t>
      </w:r>
      <w:r>
        <w:rPr>
          <w:rFonts w:hint="eastAsia" w:ascii="宋体" w:hAnsi="宋体" w:eastAsia="宋体" w:cs="宋体"/>
          <w:color w:val="auto"/>
          <w:sz w:val="21"/>
          <w:szCs w:val="21"/>
          <w:u w:val="single"/>
        </w:rPr>
        <w:t xml:space="preserve"> 开工前三天  </w:t>
      </w:r>
      <w:r>
        <w:rPr>
          <w:rFonts w:hint="eastAsia" w:ascii="宋体" w:hAnsi="宋体" w:eastAsia="宋体" w:cs="宋体"/>
          <w:color w:val="auto"/>
          <w:sz w:val="21"/>
          <w:szCs w:val="21"/>
        </w:rPr>
        <w:t>；</w:t>
      </w:r>
    </w:p>
    <w:p w14:paraId="46E0A75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承包人提供的文件的数量为：</w:t>
      </w:r>
      <w:r>
        <w:rPr>
          <w:rFonts w:hint="eastAsia" w:ascii="宋体" w:hAnsi="宋体" w:eastAsia="宋体" w:cs="宋体"/>
          <w:color w:val="auto"/>
          <w:sz w:val="21"/>
          <w:szCs w:val="21"/>
          <w:u w:val="single"/>
        </w:rPr>
        <w:t xml:space="preserve">   肆份   </w:t>
      </w:r>
      <w:r>
        <w:rPr>
          <w:rFonts w:hint="eastAsia" w:ascii="宋体" w:hAnsi="宋体" w:eastAsia="宋体" w:cs="宋体"/>
          <w:color w:val="auto"/>
          <w:sz w:val="21"/>
          <w:szCs w:val="21"/>
        </w:rPr>
        <w:t>；</w:t>
      </w:r>
    </w:p>
    <w:p w14:paraId="02C7EC2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承包人提供的文件的形式为：</w:t>
      </w:r>
      <w:r>
        <w:rPr>
          <w:rFonts w:hint="eastAsia" w:ascii="宋体" w:hAnsi="宋体" w:eastAsia="宋体" w:cs="宋体"/>
          <w:color w:val="auto"/>
          <w:sz w:val="21"/>
          <w:szCs w:val="21"/>
          <w:u w:val="single"/>
        </w:rPr>
        <w:t xml:space="preserve">  纸质和电子版  </w:t>
      </w:r>
      <w:r>
        <w:rPr>
          <w:rFonts w:hint="eastAsia" w:ascii="宋体" w:hAnsi="宋体" w:eastAsia="宋体" w:cs="宋体"/>
          <w:color w:val="auto"/>
          <w:sz w:val="21"/>
          <w:szCs w:val="21"/>
        </w:rPr>
        <w:t>；</w:t>
      </w:r>
    </w:p>
    <w:p w14:paraId="0A8DFF1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发包人审批承包人文件的期限：</w:t>
      </w:r>
      <w:r>
        <w:rPr>
          <w:rFonts w:hint="eastAsia" w:ascii="宋体" w:hAnsi="宋体" w:eastAsia="宋体" w:cs="宋体"/>
          <w:color w:val="auto"/>
          <w:sz w:val="21"/>
          <w:szCs w:val="21"/>
          <w:u w:val="single"/>
        </w:rPr>
        <w:t xml:space="preserve">  收到后三日内   </w:t>
      </w:r>
      <w:r>
        <w:rPr>
          <w:rFonts w:hint="eastAsia" w:ascii="宋体" w:hAnsi="宋体" w:eastAsia="宋体" w:cs="宋体"/>
          <w:color w:val="auto"/>
          <w:sz w:val="21"/>
          <w:szCs w:val="21"/>
        </w:rPr>
        <w:t>。</w:t>
      </w:r>
    </w:p>
    <w:p w14:paraId="23094BE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1.6.5 图纸和承包人文件的保管</w:t>
      </w:r>
    </w:p>
    <w:p w14:paraId="78BEBE9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关于图纸和承包人文件保管的约定：</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38E86480">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1.7 联络</w:t>
      </w:r>
    </w:p>
    <w:p w14:paraId="00B6A38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1.7.1 发包人和承包人应当在</w:t>
      </w:r>
      <w:r>
        <w:rPr>
          <w:rFonts w:hint="eastAsia" w:ascii="宋体" w:hAnsi="宋体" w:eastAsia="宋体" w:cs="宋体"/>
          <w:color w:val="auto"/>
          <w:sz w:val="21"/>
          <w:szCs w:val="21"/>
          <w:u w:val="single"/>
        </w:rPr>
        <w:t>7</w:t>
      </w:r>
      <w:r>
        <w:rPr>
          <w:rFonts w:hint="eastAsia" w:ascii="宋体" w:hAnsi="宋体" w:eastAsia="宋体" w:cs="宋体"/>
          <w:color w:val="auto"/>
          <w:sz w:val="21"/>
          <w:szCs w:val="21"/>
        </w:rPr>
        <w:t>天内将与合同有关的通知、批准、证明、证书、指示、指令、要求、请求、同意、意见、确定和决定等书面函件送达对方当事人。</w:t>
      </w:r>
    </w:p>
    <w:p w14:paraId="18F64BC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1.7.2 发包人接收文件的地点：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E90C07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发包人指定的接收人为：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BA1991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承包人接收文件的地点：</w:t>
      </w:r>
      <w:r>
        <w:rPr>
          <w:rFonts w:hint="eastAsia" w:ascii="宋体" w:hAnsi="宋体" w:eastAsia="宋体" w:cs="宋体"/>
          <w:color w:val="auto"/>
          <w:sz w:val="21"/>
          <w:szCs w:val="21"/>
          <w:u w:val="single"/>
        </w:rPr>
        <w:t xml:space="preserve">  工程现场  </w:t>
      </w:r>
      <w:r>
        <w:rPr>
          <w:rFonts w:hint="eastAsia" w:ascii="宋体" w:hAnsi="宋体" w:eastAsia="宋体" w:cs="宋体"/>
          <w:color w:val="auto"/>
          <w:sz w:val="21"/>
          <w:szCs w:val="21"/>
        </w:rPr>
        <w:t>；</w:t>
      </w:r>
    </w:p>
    <w:p w14:paraId="4932BE5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承包人指定的接收人为：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8DBE36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监理人接收文件的地点：</w:t>
      </w:r>
      <w:r>
        <w:rPr>
          <w:rFonts w:hint="eastAsia" w:ascii="宋体" w:hAnsi="宋体" w:eastAsia="宋体" w:cs="宋体"/>
          <w:color w:val="auto"/>
          <w:sz w:val="21"/>
          <w:szCs w:val="21"/>
          <w:u w:val="single"/>
        </w:rPr>
        <w:t xml:space="preserve">  工程现场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46C4CE9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监理人指定的接收人为：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CDF0B8A">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1.10 交通运输</w:t>
      </w:r>
    </w:p>
    <w:p w14:paraId="0E025B2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576" w:name="_Toc318581155"/>
      <w:bookmarkStart w:id="577" w:name="_Toc300934943"/>
      <w:bookmarkStart w:id="578" w:name="_Toc303539100"/>
      <w:bookmarkStart w:id="579" w:name="_Toc312677986"/>
      <w:bookmarkStart w:id="580" w:name="_Toc304295521"/>
      <w:r>
        <w:rPr>
          <w:rFonts w:hint="eastAsia" w:ascii="宋体" w:hAnsi="宋体" w:eastAsia="宋体" w:cs="宋体"/>
          <w:color w:val="auto"/>
          <w:sz w:val="21"/>
          <w:szCs w:val="21"/>
        </w:rPr>
        <w:t>.10.1 出入现场的权利</w:t>
      </w:r>
    </w:p>
    <w:p w14:paraId="606677F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关于出入现场的权利的约定：</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bookmarkEnd w:id="576"/>
    <w:bookmarkEnd w:id="577"/>
    <w:bookmarkEnd w:id="578"/>
    <w:bookmarkEnd w:id="579"/>
    <w:bookmarkEnd w:id="580"/>
    <w:p w14:paraId="1506753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581" w:name="_Toc312677987"/>
      <w:bookmarkStart w:id="582" w:name="_Toc318581156"/>
      <w:bookmarkStart w:id="583" w:name="_Toc304295522"/>
      <w:bookmarkStart w:id="584" w:name="_Toc303539101"/>
      <w:bookmarkStart w:id="585" w:name="_Toc300934944"/>
      <w:r>
        <w:rPr>
          <w:rFonts w:hint="eastAsia" w:ascii="宋体" w:hAnsi="宋体" w:eastAsia="宋体" w:cs="宋体"/>
          <w:color w:val="auto"/>
          <w:sz w:val="21"/>
          <w:szCs w:val="21"/>
        </w:rPr>
        <w:t>.10.3 场内交通</w:t>
      </w:r>
    </w:p>
    <w:p w14:paraId="42F1D8C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关于场外交通和场内交通的边界的约定：</w:t>
      </w:r>
      <w:r>
        <w:rPr>
          <w:rFonts w:hint="eastAsia" w:ascii="宋体" w:hAnsi="宋体" w:eastAsia="宋体" w:cs="宋体"/>
          <w:color w:val="auto"/>
          <w:sz w:val="21"/>
          <w:szCs w:val="21"/>
          <w:u w:val="single"/>
        </w:rPr>
        <w:t xml:space="preserve">  项目规划红线为界  </w:t>
      </w:r>
      <w:r>
        <w:rPr>
          <w:rFonts w:hint="eastAsia" w:ascii="宋体" w:hAnsi="宋体" w:eastAsia="宋体" w:cs="宋体"/>
          <w:color w:val="auto"/>
          <w:sz w:val="21"/>
          <w:szCs w:val="21"/>
        </w:rPr>
        <w:t>。</w:t>
      </w:r>
    </w:p>
    <w:p w14:paraId="5285A92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关于发包人向承包人免费提供满足工程施工需要的场内道路和交通设施的约定：</w:t>
      </w:r>
      <w:r>
        <w:rPr>
          <w:rFonts w:hint="eastAsia" w:ascii="宋体" w:hAnsi="宋体" w:eastAsia="宋体" w:cs="宋体"/>
          <w:color w:val="auto"/>
          <w:sz w:val="21"/>
          <w:szCs w:val="21"/>
          <w:u w:val="single"/>
        </w:rPr>
        <w:t xml:space="preserve"> 由承包人依据项 目现状自行处理 </w:t>
      </w:r>
      <w:r>
        <w:rPr>
          <w:rFonts w:hint="eastAsia" w:ascii="宋体" w:hAnsi="宋体" w:eastAsia="宋体" w:cs="宋体"/>
          <w:color w:val="auto"/>
          <w:sz w:val="21"/>
          <w:szCs w:val="21"/>
        </w:rPr>
        <w:t>。</w:t>
      </w:r>
      <w:bookmarkEnd w:id="581"/>
      <w:bookmarkEnd w:id="582"/>
      <w:bookmarkEnd w:id="583"/>
      <w:bookmarkEnd w:id="584"/>
      <w:bookmarkEnd w:id="585"/>
      <w:bookmarkStart w:id="586" w:name="_Toc318581157"/>
    </w:p>
    <w:p w14:paraId="16D0D29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1.10.4 超大件和超重件的运输</w:t>
      </w:r>
    </w:p>
    <w:p w14:paraId="2F7AB76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运输超大件或超重件所需的道路和桥梁临时加固改造费用和其他有关费用由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承包人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承担。</w:t>
      </w:r>
    </w:p>
    <w:bookmarkEnd w:id="586"/>
    <w:p w14:paraId="116F5FA1">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1.11 知识产权</w:t>
      </w:r>
    </w:p>
    <w:p w14:paraId="3A1D912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 xml:space="preserve">  发包人   </w:t>
      </w:r>
      <w:r>
        <w:rPr>
          <w:rFonts w:hint="eastAsia" w:ascii="宋体" w:hAnsi="宋体" w:eastAsia="宋体" w:cs="宋体"/>
          <w:color w:val="auto"/>
          <w:sz w:val="21"/>
          <w:szCs w:val="21"/>
        </w:rPr>
        <w:t>。</w:t>
      </w:r>
    </w:p>
    <w:p w14:paraId="00C0DC5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关于发包人提供的上述文件的使用限制的要求：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C1CD72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1.11.2 关于承包人为实施工程所编制文件的著作权的归属：</w:t>
      </w:r>
      <w:r>
        <w:rPr>
          <w:rFonts w:hint="eastAsia" w:ascii="宋体" w:hAnsi="宋体" w:eastAsia="宋体" w:cs="宋体"/>
          <w:color w:val="auto"/>
          <w:sz w:val="21"/>
          <w:szCs w:val="21"/>
          <w:u w:val="single"/>
        </w:rPr>
        <w:t xml:space="preserve">  承包人 </w:t>
      </w:r>
      <w:r>
        <w:rPr>
          <w:rFonts w:hint="eastAsia" w:ascii="宋体" w:hAnsi="宋体" w:eastAsia="宋体" w:cs="宋体"/>
          <w:color w:val="auto"/>
          <w:sz w:val="21"/>
          <w:szCs w:val="21"/>
        </w:rPr>
        <w:t>。</w:t>
      </w:r>
    </w:p>
    <w:p w14:paraId="050F273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关于承包人提供的上述文件的使用限制的要求：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52AFA1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1.11.4 承包人在施工过程中所采用的专利、专有技术、技术秘密的使用费的承担方式：</w:t>
      </w:r>
      <w:r>
        <w:rPr>
          <w:rFonts w:hint="eastAsia" w:ascii="宋体" w:hAnsi="宋体" w:eastAsia="宋体" w:cs="宋体"/>
          <w:color w:val="auto"/>
          <w:sz w:val="21"/>
          <w:szCs w:val="21"/>
          <w:u w:val="single"/>
        </w:rPr>
        <w:t>如涉及此 项费用，由承包人承担</w:t>
      </w:r>
      <w:r>
        <w:rPr>
          <w:rFonts w:hint="eastAsia" w:ascii="宋体" w:hAnsi="宋体" w:eastAsia="宋体" w:cs="宋体"/>
          <w:color w:val="auto"/>
          <w:sz w:val="21"/>
          <w:szCs w:val="21"/>
        </w:rPr>
        <w:t>。</w:t>
      </w:r>
    </w:p>
    <w:p w14:paraId="58351D76">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1.13 工程量清单错误的修正</w:t>
      </w:r>
    </w:p>
    <w:p w14:paraId="30896BA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bCs/>
          <w:i/>
          <w:iCs/>
          <w:color w:val="auto"/>
          <w:kern w:val="2"/>
          <w:sz w:val="21"/>
          <w:szCs w:val="21"/>
          <w:lang w:eastAsia="zh-CN"/>
        </w:rPr>
      </w:pPr>
      <w:r>
        <w:rPr>
          <w:rFonts w:hint="eastAsia" w:ascii="宋体" w:hAnsi="宋体" w:eastAsia="宋体" w:cs="宋体"/>
          <w:color w:val="auto"/>
          <w:sz w:val="21"/>
          <w:szCs w:val="21"/>
        </w:rPr>
        <w:t>出现工程量清单错误时，是否调整合同价格：</w:t>
      </w:r>
      <w:r>
        <w:rPr>
          <w:rFonts w:hint="eastAsia" w:ascii="宋体" w:hAnsi="宋体" w:eastAsia="宋体" w:cs="宋体"/>
          <w:color w:val="auto"/>
          <w:sz w:val="21"/>
          <w:szCs w:val="21"/>
          <w:u w:val="single"/>
        </w:rPr>
        <w:t xml:space="preserve"> 只调整单项子目工程量误差超出±3%以外的部分</w:t>
      </w:r>
      <w:r>
        <w:rPr>
          <w:rFonts w:hint="eastAsia" w:ascii="宋体" w:hAnsi="宋体" w:eastAsia="宋体" w:cs="宋体"/>
          <w:color w:val="auto"/>
          <w:sz w:val="21"/>
          <w:szCs w:val="21"/>
          <w:u w:val="single"/>
          <w:lang w:eastAsia="zh-CN"/>
        </w:rPr>
        <w:t>。</w:t>
      </w:r>
    </w:p>
    <w:p w14:paraId="3C0684A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bCs/>
          <w:i/>
          <w:iCs/>
          <w:color w:val="auto"/>
          <w:kern w:val="2"/>
          <w:sz w:val="21"/>
          <w:szCs w:val="21"/>
          <w:shd w:val="clear" w:color="FFFFFF" w:fill="D9D9D9"/>
        </w:rPr>
      </w:pPr>
      <w:r>
        <w:rPr>
          <w:rFonts w:hint="eastAsia" w:ascii="宋体" w:hAnsi="宋体" w:eastAsia="宋体" w:cs="宋体"/>
          <w:color w:val="auto"/>
          <w:sz w:val="21"/>
          <w:szCs w:val="21"/>
        </w:rPr>
        <w:t>允许调整合同价格的工程量偏差范围：</w:t>
      </w:r>
      <w:r>
        <w:rPr>
          <w:rFonts w:hint="eastAsia" w:ascii="宋体" w:hAnsi="宋体" w:eastAsia="宋体" w:cs="宋体"/>
          <w:color w:val="auto"/>
          <w:sz w:val="21"/>
          <w:szCs w:val="21"/>
          <w:u w:val="single"/>
        </w:rPr>
        <w:t>只调整单项子目工程量误差超出±3%以外的部分</w:t>
      </w:r>
      <w:r>
        <w:rPr>
          <w:rFonts w:hint="eastAsia" w:ascii="宋体" w:hAnsi="宋体" w:eastAsia="宋体" w:cs="宋体"/>
          <w:color w:val="auto"/>
          <w:sz w:val="21"/>
          <w:szCs w:val="21"/>
          <w:u w:val="single"/>
          <w:lang w:eastAsia="zh-CN"/>
        </w:rPr>
        <w:t>。</w:t>
      </w:r>
    </w:p>
    <w:p w14:paraId="2D1E1C6B">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587" w:name="_Toc351203634"/>
      <w:r>
        <w:rPr>
          <w:rFonts w:hint="eastAsia" w:ascii="宋体" w:hAnsi="宋体" w:eastAsia="宋体" w:cs="宋体"/>
          <w:color w:val="auto"/>
          <w:sz w:val="21"/>
          <w:szCs w:val="21"/>
        </w:rPr>
        <w:t>2</w:t>
      </w:r>
      <w:bookmarkStart w:id="588" w:name="_Toc292559362"/>
      <w:bookmarkStart w:id="589" w:name="_Toc296347156"/>
      <w:bookmarkStart w:id="590" w:name="_Toc297120457"/>
      <w:bookmarkStart w:id="591" w:name="_Toc296346658"/>
      <w:bookmarkStart w:id="592" w:name="_Toc292559867"/>
      <w:bookmarkStart w:id="593" w:name="_Toc296891197"/>
      <w:bookmarkStart w:id="594" w:name="_Toc296944496"/>
      <w:bookmarkStart w:id="595" w:name="_Toc297048343"/>
      <w:bookmarkStart w:id="596" w:name="_Toc296503157"/>
      <w:bookmarkStart w:id="597" w:name="_Toc296890985"/>
      <w:r>
        <w:rPr>
          <w:rFonts w:hint="eastAsia" w:ascii="宋体" w:hAnsi="宋体" w:eastAsia="宋体" w:cs="宋体"/>
          <w:color w:val="auto"/>
          <w:sz w:val="21"/>
          <w:szCs w:val="21"/>
        </w:rPr>
        <w:t>. 发包人</w:t>
      </w:r>
      <w:bookmarkEnd w:id="587"/>
    </w:p>
    <w:bookmarkEnd w:id="588"/>
    <w:bookmarkEnd w:id="589"/>
    <w:bookmarkEnd w:id="590"/>
    <w:bookmarkEnd w:id="591"/>
    <w:bookmarkEnd w:id="592"/>
    <w:bookmarkEnd w:id="593"/>
    <w:bookmarkEnd w:id="594"/>
    <w:bookmarkEnd w:id="595"/>
    <w:bookmarkEnd w:id="596"/>
    <w:bookmarkEnd w:id="597"/>
    <w:p w14:paraId="214C08B0">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2.2 发包人代表</w:t>
      </w:r>
    </w:p>
    <w:p w14:paraId="6DEF1CB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发包人代表：</w:t>
      </w:r>
    </w:p>
    <w:p w14:paraId="7B7CB93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2F1C40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E72038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BB57D4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D5D345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3DCF6A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57B2AF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发包人对发包人代表的授权范围如下：</w:t>
      </w:r>
      <w:r>
        <w:rPr>
          <w:rFonts w:hint="eastAsia" w:ascii="宋体" w:hAnsi="宋体" w:eastAsia="宋体" w:cs="宋体"/>
          <w:color w:val="auto"/>
          <w:sz w:val="21"/>
          <w:szCs w:val="21"/>
          <w:u w:val="single"/>
        </w:rPr>
        <w:t>（1）对工程进度、质量、投资负责，抽查隐蔽工程现场和验收记录，按照规定程序办理经济签证；（2）负责协调外部关系，监督检查监理单位、施工单位工作</w:t>
      </w:r>
      <w:r>
        <w:rPr>
          <w:rFonts w:hint="eastAsia" w:ascii="宋体" w:hAnsi="宋体" w:eastAsia="宋体" w:cs="宋体"/>
          <w:color w:val="auto"/>
          <w:sz w:val="21"/>
          <w:szCs w:val="21"/>
          <w:u w:val="single"/>
          <w:lang w:eastAsia="zh-CN"/>
        </w:rPr>
        <w:t>。</w:t>
      </w:r>
    </w:p>
    <w:p w14:paraId="7C9E1BC1">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2.4 施工现场、施工条件和基础资料的提供</w:t>
      </w:r>
    </w:p>
    <w:p w14:paraId="603F2C6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2.4.1 提供施工现场</w:t>
      </w:r>
    </w:p>
    <w:p w14:paraId="2752AEF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关于发包人移交施工现场的期限要求：</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48DB3C5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2.4.2 提供施工条件</w:t>
      </w:r>
    </w:p>
    <w:p w14:paraId="5860258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关于发包人应负责提供施工所需要的条件，包括：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98E2463">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2.5 资金来源证明及支付担保</w:t>
      </w:r>
    </w:p>
    <w:p w14:paraId="3F348EE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发包人提供资金来源证明的期限要求：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745C17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发包人是否提供支付担保：</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070BCE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发包人提供支付担保的形式：</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22F85E36">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598" w:name="_Toc351203635"/>
      <w:r>
        <w:rPr>
          <w:rFonts w:hint="eastAsia" w:ascii="宋体" w:hAnsi="宋体" w:eastAsia="宋体" w:cs="宋体"/>
          <w:color w:val="auto"/>
          <w:sz w:val="21"/>
          <w:szCs w:val="21"/>
        </w:rPr>
        <w:t>3</w:t>
      </w:r>
      <w:bookmarkStart w:id="599" w:name="_Toc292559868"/>
      <w:bookmarkStart w:id="600" w:name="_Toc297048344"/>
      <w:bookmarkStart w:id="601" w:name="_Toc296347157"/>
      <w:bookmarkStart w:id="602" w:name="_Toc296944497"/>
      <w:bookmarkStart w:id="603" w:name="_Toc296891198"/>
      <w:bookmarkStart w:id="604" w:name="_Toc296890986"/>
      <w:bookmarkStart w:id="605" w:name="_Toc297120458"/>
      <w:bookmarkStart w:id="606" w:name="_Toc292559363"/>
      <w:bookmarkStart w:id="607" w:name="_Toc296346659"/>
      <w:bookmarkStart w:id="608" w:name="_Toc296503158"/>
      <w:r>
        <w:rPr>
          <w:rFonts w:hint="eastAsia" w:ascii="宋体" w:hAnsi="宋体" w:eastAsia="宋体" w:cs="宋体"/>
          <w:color w:val="auto"/>
          <w:sz w:val="21"/>
          <w:szCs w:val="21"/>
        </w:rPr>
        <w:t>. 承包人</w:t>
      </w:r>
      <w:bookmarkEnd w:id="598"/>
    </w:p>
    <w:bookmarkEnd w:id="599"/>
    <w:bookmarkEnd w:id="600"/>
    <w:bookmarkEnd w:id="601"/>
    <w:bookmarkEnd w:id="602"/>
    <w:bookmarkEnd w:id="603"/>
    <w:bookmarkEnd w:id="604"/>
    <w:bookmarkEnd w:id="605"/>
    <w:bookmarkEnd w:id="606"/>
    <w:bookmarkEnd w:id="607"/>
    <w:bookmarkEnd w:id="608"/>
    <w:p w14:paraId="674B4B3F">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3.1 承包人的一般义务</w:t>
      </w:r>
    </w:p>
    <w:p w14:paraId="295B562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（9）承包人提交的竣工资料的内容：</w:t>
      </w:r>
      <w:r>
        <w:rPr>
          <w:rFonts w:hint="eastAsia" w:ascii="宋体" w:hAnsi="宋体" w:eastAsia="宋体" w:cs="宋体"/>
          <w:color w:val="auto"/>
          <w:sz w:val="21"/>
          <w:szCs w:val="21"/>
          <w:u w:val="single"/>
        </w:rPr>
        <w:t>承包人提供全套竣工图，所有竣工图应为新图纸</w:t>
      </w:r>
      <w:r>
        <w:rPr>
          <w:rFonts w:hint="eastAsia" w:ascii="宋体" w:hAnsi="宋体" w:eastAsia="宋体" w:cs="宋体"/>
          <w:color w:val="auto"/>
          <w:sz w:val="21"/>
          <w:szCs w:val="21"/>
        </w:rPr>
        <w:t>。</w:t>
      </w:r>
    </w:p>
    <w:p w14:paraId="5BB4C14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承包人需要提交的竣工资料套数：</w:t>
      </w:r>
      <w:r>
        <w:rPr>
          <w:rFonts w:hint="eastAsia" w:ascii="宋体" w:hAnsi="宋体" w:eastAsia="宋体" w:cs="宋体"/>
          <w:color w:val="auto"/>
          <w:sz w:val="21"/>
          <w:szCs w:val="21"/>
          <w:u w:val="single"/>
        </w:rPr>
        <w:t xml:space="preserve">  叁套  </w:t>
      </w:r>
      <w:r>
        <w:rPr>
          <w:rFonts w:hint="eastAsia" w:ascii="宋体" w:hAnsi="宋体" w:eastAsia="宋体" w:cs="宋体"/>
          <w:color w:val="auto"/>
          <w:sz w:val="21"/>
          <w:szCs w:val="21"/>
        </w:rPr>
        <w:t>。</w:t>
      </w:r>
    </w:p>
    <w:p w14:paraId="66CFDDB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承包人提交的竣工资料的费用承担：</w:t>
      </w:r>
      <w:r>
        <w:rPr>
          <w:rFonts w:hint="eastAsia" w:ascii="宋体" w:hAnsi="宋体" w:eastAsia="宋体" w:cs="宋体"/>
          <w:color w:val="auto"/>
          <w:sz w:val="21"/>
          <w:szCs w:val="21"/>
          <w:u w:val="single"/>
        </w:rPr>
        <w:t>承包人承担</w:t>
      </w:r>
      <w:r>
        <w:rPr>
          <w:rFonts w:hint="eastAsia" w:ascii="宋体" w:hAnsi="宋体" w:eastAsia="宋体" w:cs="宋体"/>
          <w:color w:val="auto"/>
          <w:sz w:val="21"/>
          <w:szCs w:val="21"/>
        </w:rPr>
        <w:t>。</w:t>
      </w:r>
    </w:p>
    <w:p w14:paraId="7721515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承包人提交的竣工资料移交时间：</w:t>
      </w:r>
      <w:r>
        <w:rPr>
          <w:rFonts w:hint="eastAsia" w:ascii="宋体" w:hAnsi="宋体" w:eastAsia="宋体" w:cs="宋体"/>
          <w:color w:val="auto"/>
          <w:sz w:val="21"/>
          <w:szCs w:val="21"/>
          <w:u w:val="single"/>
        </w:rPr>
        <w:t xml:space="preserve"> 竣工验收后 28 天内 </w:t>
      </w:r>
      <w:r>
        <w:rPr>
          <w:rFonts w:hint="eastAsia" w:ascii="宋体" w:hAnsi="宋体" w:eastAsia="宋体" w:cs="宋体"/>
          <w:color w:val="auto"/>
          <w:sz w:val="21"/>
          <w:szCs w:val="21"/>
        </w:rPr>
        <w:t>。</w:t>
      </w:r>
    </w:p>
    <w:p w14:paraId="2BB4E5E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承包人提交的竣工资料形式要求：</w:t>
      </w:r>
      <w:r>
        <w:rPr>
          <w:rFonts w:hint="eastAsia" w:ascii="宋体" w:hAnsi="宋体" w:eastAsia="宋体" w:cs="宋体"/>
          <w:color w:val="auto"/>
          <w:sz w:val="21"/>
          <w:szCs w:val="21"/>
          <w:u w:val="single"/>
        </w:rPr>
        <w:t xml:space="preserve"> 符合档案管理部门要求的装订成册的纸质版资料和电子版文件</w:t>
      </w:r>
      <w:r>
        <w:rPr>
          <w:rFonts w:hint="eastAsia" w:ascii="宋体" w:hAnsi="宋体" w:eastAsia="宋体" w:cs="宋体"/>
          <w:color w:val="auto"/>
          <w:sz w:val="21"/>
          <w:szCs w:val="21"/>
        </w:rPr>
        <w:t>。</w:t>
      </w:r>
    </w:p>
    <w:p w14:paraId="29C40BC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（10）承包人应履行的其他义务：</w:t>
      </w:r>
      <w:r>
        <w:rPr>
          <w:rFonts w:hint="eastAsia" w:ascii="宋体" w:hAnsi="宋体" w:eastAsia="宋体" w:cs="宋体"/>
          <w:color w:val="auto"/>
          <w:sz w:val="21"/>
          <w:szCs w:val="21"/>
          <w:u w:val="single"/>
        </w:rPr>
        <w:t>承包人施工时必须主动与规划、电力、电信、网络、供水、市政、消防等有关部门密切配合，保质保量安全地完成施工任务。规划放线(含开工前测量放线、规划验收(核实)测量)、环境监测等由承包人负责按规定程序办理并提供相关成果资料，发包人予以协调配合，完成上述工作所发生的费用包含在承包人投标报价总价中，发包人不另行支付</w:t>
      </w:r>
      <w:r>
        <w:rPr>
          <w:rFonts w:hint="eastAsia" w:ascii="宋体" w:hAnsi="宋体" w:eastAsia="宋体" w:cs="宋体"/>
          <w:color w:val="auto"/>
          <w:sz w:val="21"/>
          <w:szCs w:val="21"/>
        </w:rPr>
        <w:t>。</w:t>
      </w:r>
    </w:p>
    <w:p w14:paraId="749ADE40">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3.2 项目经理</w:t>
      </w:r>
    </w:p>
    <w:p w14:paraId="2C11EEC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3.2.1 项目经理：</w:t>
      </w:r>
    </w:p>
    <w:p w14:paraId="2396C51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F02DC0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526C4C8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建造师执业资格等级：</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690B97A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建造师注册证书号：</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03A379C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建造师执业印章号：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0D9E54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安全生产考核合格证书号：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EC72E0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67A485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7ADB12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AD7237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承包人对项目经理的授权范围如下：</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165E3C2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关于项目经理每月在施工现场的时间要求：</w:t>
      </w:r>
      <w:r>
        <w:rPr>
          <w:rFonts w:hint="eastAsia" w:ascii="宋体" w:hAnsi="宋体" w:eastAsia="宋体" w:cs="宋体"/>
          <w:color w:val="auto"/>
          <w:sz w:val="21"/>
          <w:szCs w:val="21"/>
          <w:u w:val="single"/>
        </w:rPr>
        <w:t>见《专用合同条款数据表》。</w:t>
      </w:r>
    </w:p>
    <w:p w14:paraId="4F0849E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承包人未提交劳动合同，以及没有为项目经理缴纳社会保险证明的违约责任：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502E5B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项目经理未经批准，擅自离开施工现场的违约责任：</w:t>
      </w:r>
      <w:r>
        <w:rPr>
          <w:rFonts w:hint="eastAsia" w:ascii="宋体" w:hAnsi="宋体" w:eastAsia="宋体" w:cs="宋体"/>
          <w:color w:val="auto"/>
          <w:sz w:val="21"/>
          <w:szCs w:val="21"/>
          <w:u w:val="single"/>
        </w:rPr>
        <w:t>承包人未能按照承诺到岗尽职的，发包人将视情况严重程度对其</w:t>
      </w:r>
      <w:r>
        <w:rPr>
          <w:rFonts w:hint="eastAsia" w:ascii="宋体" w:hAnsi="宋体" w:eastAsia="宋体" w:cs="宋体"/>
          <w:color w:val="auto"/>
          <w:sz w:val="21"/>
          <w:szCs w:val="21"/>
          <w:u w:val="single"/>
          <w:lang w:eastAsia="zh-CN"/>
        </w:rPr>
        <w:t>做出</w:t>
      </w:r>
      <w:r>
        <w:rPr>
          <w:rFonts w:hint="eastAsia" w:ascii="宋体" w:hAnsi="宋体" w:eastAsia="宋体" w:cs="宋体"/>
          <w:color w:val="auto"/>
          <w:sz w:val="21"/>
          <w:szCs w:val="21"/>
          <w:u w:val="single"/>
        </w:rPr>
        <w:t>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0954BDA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3.2.3 承包人擅自更换项目经理的违约责任：</w:t>
      </w:r>
    </w:p>
    <w:p w14:paraId="70108A5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0923D20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3.2.4 承包人无正当理由拒绝更换项目经理的违约责任：</w:t>
      </w:r>
      <w:r>
        <w:rPr>
          <w:rFonts w:hint="eastAsia" w:ascii="宋体" w:hAnsi="宋体" w:eastAsia="宋体" w:cs="宋体"/>
          <w:color w:val="auto"/>
          <w:sz w:val="21"/>
          <w:szCs w:val="21"/>
          <w:u w:val="single"/>
        </w:rPr>
        <w:t xml:space="preserve"> 向发包人支付5万元的违约金</w:t>
      </w:r>
      <w:r>
        <w:rPr>
          <w:rFonts w:hint="eastAsia" w:ascii="宋体" w:hAnsi="宋体" w:eastAsia="宋体" w:cs="宋体"/>
          <w:color w:val="auto"/>
          <w:sz w:val="21"/>
          <w:szCs w:val="21"/>
        </w:rPr>
        <w:t>。</w:t>
      </w:r>
    </w:p>
    <w:p w14:paraId="065DF1FE">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3.3 承包人人员</w:t>
      </w:r>
    </w:p>
    <w:p w14:paraId="493E971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3.3.1 承包人提交项目管理机构及施工现场管理人员安排报告的期限：</w:t>
      </w:r>
      <w:r>
        <w:rPr>
          <w:rFonts w:hint="eastAsia" w:ascii="宋体" w:hAnsi="宋体" w:eastAsia="宋体" w:cs="宋体"/>
          <w:color w:val="auto"/>
          <w:sz w:val="21"/>
          <w:szCs w:val="21"/>
          <w:u w:val="single"/>
        </w:rPr>
        <w:t xml:space="preserve"> 响应文件所载人员名单即为报告名单，并按发包人要求到岗履行职责</w:t>
      </w:r>
      <w:r>
        <w:rPr>
          <w:rFonts w:hint="eastAsia" w:ascii="宋体" w:hAnsi="宋体" w:eastAsia="宋体" w:cs="宋体"/>
          <w:color w:val="auto"/>
          <w:sz w:val="21"/>
          <w:szCs w:val="21"/>
        </w:rPr>
        <w:t>。</w:t>
      </w:r>
    </w:p>
    <w:p w14:paraId="164770F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3.3.3 承包人无正当理由拒绝撤换主要施工管理人员的违约责任：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A38622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3.3.4 承包人主要施工管理人员离开施工现场的批准要求：</w:t>
      </w:r>
      <w:r>
        <w:rPr>
          <w:rFonts w:hint="eastAsia" w:ascii="宋体" w:hAnsi="宋体" w:eastAsia="宋体" w:cs="宋体"/>
          <w:color w:val="auto"/>
          <w:sz w:val="21"/>
          <w:szCs w:val="21"/>
          <w:u w:val="single"/>
        </w:rPr>
        <w:t xml:space="preserve"> 项目部主要管理人员（施工、安全、质量、技术等负责人）必须常驻施工现场，如有特殊情况必须离开，项目经理部须报发包人批准，并书面指定其他人员代为行使本人的职责</w:t>
      </w:r>
      <w:r>
        <w:rPr>
          <w:rFonts w:hint="eastAsia" w:ascii="宋体" w:hAnsi="宋体" w:eastAsia="宋体" w:cs="宋体"/>
          <w:color w:val="auto"/>
          <w:sz w:val="21"/>
          <w:szCs w:val="21"/>
        </w:rPr>
        <w:t>。</w:t>
      </w:r>
    </w:p>
    <w:p w14:paraId="2DACEBE8">
      <w:pPr>
        <w:pageBreakBefore w:val="0"/>
        <w:widowControl w:val="0"/>
        <w:kinsoku/>
        <w:wordWrap/>
        <w:overflowPunct/>
        <w:topLinePunct w:val="0"/>
        <w:bidi w:val="0"/>
        <w:adjustRightInd w:val="0"/>
        <w:snapToGrid w:val="0"/>
        <w:spacing w:line="360" w:lineRule="auto"/>
        <w:ind w:left="0" w:leftChars="0"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3.3.5 承包人擅自更换主要施工管理人员的违约责任：</w:t>
      </w:r>
      <w:r>
        <w:rPr>
          <w:rFonts w:hint="eastAsia" w:ascii="宋体" w:hAnsi="宋体" w:eastAsia="宋体" w:cs="宋体"/>
          <w:color w:val="auto"/>
          <w:sz w:val="21"/>
          <w:szCs w:val="21"/>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2B175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承包人主要施工管理人员擅自离开施工现场的违约责任：</w:t>
      </w:r>
      <w:r>
        <w:rPr>
          <w:rFonts w:hint="eastAsia" w:ascii="宋体" w:hAnsi="宋体" w:eastAsia="宋体" w:cs="宋体"/>
          <w:color w:val="auto"/>
          <w:sz w:val="21"/>
          <w:szCs w:val="21"/>
          <w:u w:val="single"/>
        </w:rPr>
        <w:t xml:space="preserve"> 造成的损失由承包人自行承担，承包人还应赔偿由此造成发包人的全部损失</w:t>
      </w:r>
      <w:r>
        <w:rPr>
          <w:rFonts w:hint="eastAsia" w:ascii="宋体" w:hAnsi="宋体" w:eastAsia="宋体" w:cs="宋体"/>
          <w:color w:val="auto"/>
          <w:sz w:val="21"/>
          <w:szCs w:val="21"/>
        </w:rPr>
        <w:t>。</w:t>
      </w:r>
    </w:p>
    <w:p w14:paraId="1AFB41E0">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w:t>
      </w:r>
      <w:bookmarkStart w:id="609" w:name="_Toc296346660"/>
      <w:bookmarkStart w:id="610" w:name="_Toc292559364"/>
      <w:bookmarkStart w:id="611" w:name="_Toc304295523"/>
      <w:bookmarkStart w:id="612" w:name="_Toc292559869"/>
      <w:bookmarkStart w:id="613" w:name="_Toc297048345"/>
      <w:bookmarkStart w:id="614" w:name="_Toc296347158"/>
      <w:bookmarkStart w:id="615" w:name="_Toc312677988"/>
      <w:bookmarkStart w:id="616" w:name="_Toc303539102"/>
      <w:bookmarkStart w:id="617" w:name="_Toc296891199"/>
      <w:bookmarkStart w:id="618" w:name="_Toc297123492"/>
      <w:bookmarkStart w:id="619" w:name="_Toc297216151"/>
      <w:bookmarkStart w:id="620" w:name="_Toc296890987"/>
      <w:bookmarkStart w:id="621" w:name="_Toc296944498"/>
      <w:bookmarkStart w:id="622" w:name="_Toc300934945"/>
      <w:bookmarkStart w:id="623" w:name="_Toc297120459"/>
      <w:bookmarkStart w:id="624" w:name="_Toc296503159"/>
      <w:r>
        <w:rPr>
          <w:rFonts w:hint="eastAsia" w:ascii="宋体" w:hAnsi="宋体" w:eastAsia="宋体" w:cs="宋体"/>
          <w:bCs/>
          <w:color w:val="auto"/>
          <w:sz w:val="21"/>
          <w:szCs w:val="21"/>
        </w:rPr>
        <w:t>.5 分包</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14:paraId="4AC71BF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625" w:name="_Toc292559870"/>
      <w:bookmarkStart w:id="626" w:name="_Toc296891200"/>
      <w:bookmarkStart w:id="627" w:name="_Toc303539103"/>
      <w:bookmarkStart w:id="628" w:name="_Toc296890988"/>
      <w:bookmarkStart w:id="629" w:name="_Toc292559365"/>
      <w:bookmarkStart w:id="630" w:name="_Toc304295524"/>
      <w:bookmarkStart w:id="631" w:name="_Toc300934946"/>
      <w:bookmarkStart w:id="632" w:name="_Toc297123493"/>
      <w:bookmarkStart w:id="633" w:name="_Toc296347159"/>
      <w:bookmarkStart w:id="634" w:name="_Toc297120460"/>
      <w:bookmarkStart w:id="635" w:name="_Toc297048346"/>
      <w:bookmarkStart w:id="636" w:name="_Toc296346661"/>
      <w:bookmarkStart w:id="637" w:name="_Toc297216152"/>
      <w:bookmarkStart w:id="638" w:name="_Toc296503160"/>
      <w:bookmarkStart w:id="639" w:name="_Toc296944499"/>
      <w:bookmarkStart w:id="640" w:name="_Toc312677989"/>
      <w:bookmarkStart w:id="641" w:name="_Toc318581158"/>
      <w:r>
        <w:rPr>
          <w:rFonts w:hint="eastAsia" w:ascii="宋体" w:hAnsi="宋体" w:eastAsia="宋体" w:cs="宋体"/>
          <w:color w:val="auto"/>
          <w:sz w:val="21"/>
          <w:szCs w:val="21"/>
        </w:rPr>
        <w:t>.5.1 分包的一般约定</w:t>
      </w:r>
    </w:p>
    <w:p w14:paraId="6AD0B1A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禁止分包的工程包括：</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71299AE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主体结构、关键性工作的范围：</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Start w:id="642" w:name="_Toc297123494"/>
      <w:bookmarkStart w:id="643" w:name="_Toc297048347"/>
      <w:bookmarkStart w:id="644" w:name="_Toc296503161"/>
      <w:bookmarkStart w:id="645" w:name="_Toc296944500"/>
      <w:bookmarkStart w:id="646" w:name="_Toc303539104"/>
      <w:bookmarkStart w:id="647" w:name="_Toc297120461"/>
      <w:bookmarkStart w:id="648" w:name="_Toc297216153"/>
      <w:bookmarkStart w:id="649" w:name="_Toc296891201"/>
      <w:bookmarkStart w:id="650" w:name="_Toc296890989"/>
      <w:bookmarkStart w:id="651" w:name="_Toc300934947"/>
      <w:bookmarkStart w:id="652" w:name="_Toc296346662"/>
      <w:bookmarkStart w:id="653" w:name="_Toc304295525"/>
      <w:bookmarkStart w:id="654" w:name="_Toc296347160"/>
      <w:r>
        <w:rPr>
          <w:rFonts w:hint="eastAsia" w:ascii="宋体" w:hAnsi="宋体" w:eastAsia="宋体" w:cs="宋体"/>
          <w:color w:val="auto"/>
          <w:sz w:val="21"/>
          <w:szCs w:val="21"/>
          <w:u w:val="single"/>
        </w:rPr>
        <w:t xml:space="preserve"> 按法律及相关规定执行</w:t>
      </w:r>
      <w:r>
        <w:rPr>
          <w:rFonts w:hint="eastAsia" w:ascii="宋体" w:hAnsi="宋体" w:eastAsia="宋体" w:cs="宋体"/>
          <w:color w:val="auto"/>
          <w:sz w:val="21"/>
          <w:szCs w:val="21"/>
        </w:rPr>
        <w:t>。</w:t>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14:paraId="3743769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655" w:name="_Toc318581159"/>
      <w:bookmarkStart w:id="656" w:name="_Toc312677990"/>
      <w:r>
        <w:rPr>
          <w:rFonts w:hint="eastAsia" w:ascii="宋体" w:hAnsi="宋体" w:eastAsia="宋体" w:cs="宋体"/>
          <w:color w:val="auto"/>
          <w:sz w:val="21"/>
          <w:szCs w:val="21"/>
        </w:rPr>
        <w:t>.5.2 分包的确定</w:t>
      </w:r>
    </w:p>
    <w:p w14:paraId="5068322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允许分包的专业工程包括：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31A489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其他关于分包的约定：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D4BDC8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3.5.4 分包合同价款</w:t>
      </w:r>
    </w:p>
    <w:p w14:paraId="2DC3920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关于分包合同价款支付的约定：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655"/>
    <w:bookmarkEnd w:id="656"/>
    <w:p w14:paraId="338091FE">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3.6 工程照管与成品、半成品保护</w:t>
      </w:r>
    </w:p>
    <w:p w14:paraId="357BB28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承包人负责照管工程及工程相关的材料、工程设备的起始时间：</w:t>
      </w:r>
      <w:r>
        <w:rPr>
          <w:rFonts w:hint="eastAsia" w:ascii="宋体" w:hAnsi="宋体" w:eastAsia="宋体" w:cs="宋体"/>
          <w:color w:val="auto"/>
          <w:sz w:val="21"/>
          <w:szCs w:val="21"/>
          <w:u w:val="single"/>
        </w:rPr>
        <w:t>自发包人向承包人移交施工现场之日起，承包人应负责照管工程及工程相关的材料、工程设备，直到颁发工程接收证书之日止。</w:t>
      </w:r>
    </w:p>
    <w:p w14:paraId="1434D3C4">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3.7 履约保证金</w:t>
      </w:r>
    </w:p>
    <w:p w14:paraId="26234A8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承包人是否提供履约保证金：</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473E2927">
      <w:pPr>
        <w:pageBreakBefore w:val="0"/>
        <w:widowControl w:val="0"/>
        <w:kinsoku/>
        <w:wordWrap/>
        <w:overflowPunct/>
        <w:topLinePunct w:val="0"/>
        <w:bidi w:val="0"/>
        <w:adjustRightInd w:val="0"/>
        <w:snapToGrid w:val="0"/>
        <w:spacing w:line="360" w:lineRule="auto"/>
        <w:ind w:left="0" w:leftChars="0" w:firstLine="497" w:firstLineChars="237"/>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承包人提供履约保证金的形式：</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5D48448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履约保证金的金额：</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4C8D427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履约保证金提交期限的要求：</w:t>
      </w:r>
      <w:r>
        <w:rPr>
          <w:rFonts w:hint="eastAsia" w:ascii="宋体" w:hAnsi="宋体" w:eastAsia="宋体" w:cs="宋体"/>
          <w:color w:val="auto"/>
          <w:sz w:val="21"/>
          <w:szCs w:val="21"/>
          <w:u w:val="single"/>
        </w:rPr>
        <w:t>见《专用合同条款数据表》。</w:t>
      </w:r>
    </w:p>
    <w:p w14:paraId="30ED579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strike/>
          <w:color w:val="auto"/>
          <w:sz w:val="21"/>
          <w:szCs w:val="21"/>
        </w:rPr>
      </w:pPr>
      <w:r>
        <w:rPr>
          <w:rFonts w:hint="eastAsia" w:ascii="宋体" w:hAnsi="宋体" w:eastAsia="宋体" w:cs="宋体"/>
          <w:bCs/>
          <w:snapToGrid w:val="0"/>
          <w:color w:val="auto"/>
          <w:sz w:val="21"/>
          <w:szCs w:val="21"/>
        </w:rPr>
        <w:t>履约保证金退还时限：</w:t>
      </w:r>
      <w:r>
        <w:rPr>
          <w:rFonts w:hint="eastAsia" w:ascii="宋体" w:hAnsi="宋体" w:eastAsia="宋体" w:cs="宋体"/>
          <w:color w:val="auto"/>
          <w:sz w:val="21"/>
          <w:szCs w:val="21"/>
          <w:u w:val="single"/>
        </w:rPr>
        <w:t>见《专用合同条款数据表》。</w:t>
      </w:r>
    </w:p>
    <w:p w14:paraId="6320D351">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657" w:name="_Toc351203636"/>
      <w:r>
        <w:rPr>
          <w:rFonts w:hint="eastAsia" w:ascii="宋体" w:hAnsi="宋体" w:eastAsia="宋体" w:cs="宋体"/>
          <w:color w:val="auto"/>
          <w:sz w:val="21"/>
          <w:szCs w:val="21"/>
        </w:rPr>
        <w:t>4</w:t>
      </w:r>
      <w:bookmarkStart w:id="658" w:name="_Toc296503162"/>
      <w:bookmarkStart w:id="659" w:name="_Toc292559366"/>
      <w:bookmarkStart w:id="660" w:name="_Toc297120462"/>
      <w:bookmarkStart w:id="661" w:name="_Toc296347161"/>
      <w:bookmarkStart w:id="662" w:name="_Toc296891202"/>
      <w:bookmarkStart w:id="663" w:name="_Toc296890990"/>
      <w:bookmarkStart w:id="664" w:name="_Toc292559871"/>
      <w:bookmarkStart w:id="665" w:name="_Toc297048348"/>
      <w:bookmarkStart w:id="666" w:name="_Toc296944501"/>
      <w:bookmarkStart w:id="667" w:name="_Toc267251413"/>
      <w:bookmarkStart w:id="668" w:name="_Toc296346663"/>
      <w:r>
        <w:rPr>
          <w:rFonts w:hint="eastAsia" w:ascii="宋体" w:hAnsi="宋体" w:eastAsia="宋体" w:cs="宋体"/>
          <w:color w:val="auto"/>
          <w:sz w:val="21"/>
          <w:szCs w:val="21"/>
        </w:rPr>
        <w:t>. 监</w:t>
      </w:r>
      <w:bookmarkEnd w:id="658"/>
      <w:bookmarkEnd w:id="659"/>
      <w:bookmarkEnd w:id="660"/>
      <w:bookmarkEnd w:id="661"/>
      <w:bookmarkEnd w:id="662"/>
      <w:bookmarkEnd w:id="663"/>
      <w:bookmarkEnd w:id="664"/>
      <w:bookmarkEnd w:id="665"/>
      <w:bookmarkEnd w:id="666"/>
      <w:bookmarkEnd w:id="667"/>
      <w:bookmarkEnd w:id="668"/>
      <w:r>
        <w:rPr>
          <w:rFonts w:hint="eastAsia" w:ascii="宋体" w:hAnsi="宋体" w:eastAsia="宋体" w:cs="宋体"/>
          <w:color w:val="auto"/>
          <w:sz w:val="21"/>
          <w:szCs w:val="21"/>
        </w:rPr>
        <w:t>理人</w:t>
      </w:r>
      <w:bookmarkEnd w:id="657"/>
    </w:p>
    <w:p w14:paraId="0244A3A2">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4.1 监理人的一般规定</w:t>
      </w:r>
    </w:p>
    <w:p w14:paraId="49EFC3D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关于监理人的监理内容：</w:t>
      </w:r>
      <w:r>
        <w:rPr>
          <w:rFonts w:hint="eastAsia" w:ascii="宋体" w:hAnsi="宋体" w:eastAsia="宋体" w:cs="宋体"/>
          <w:color w:val="auto"/>
          <w:sz w:val="21"/>
          <w:szCs w:val="21"/>
          <w:u w:val="single"/>
        </w:rPr>
        <w:t xml:space="preserve"> 执行监理合同 </w:t>
      </w:r>
      <w:r>
        <w:rPr>
          <w:rFonts w:hint="eastAsia" w:ascii="宋体" w:hAnsi="宋体" w:eastAsia="宋体" w:cs="宋体"/>
          <w:color w:val="auto"/>
          <w:sz w:val="21"/>
          <w:szCs w:val="21"/>
        </w:rPr>
        <w:t>。</w:t>
      </w:r>
    </w:p>
    <w:p w14:paraId="2F8500D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关于监理人的监理权限：</w:t>
      </w:r>
      <w:r>
        <w:rPr>
          <w:rFonts w:hint="eastAsia" w:ascii="宋体" w:hAnsi="宋体" w:eastAsia="宋体" w:cs="宋体"/>
          <w:color w:val="auto"/>
          <w:sz w:val="21"/>
          <w:szCs w:val="21"/>
          <w:u w:val="single"/>
        </w:rPr>
        <w:t xml:space="preserve"> 执行监理合同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1844060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关于监理人在施工现场的办公场所、生活场所的提供和费用承担的约定：</w:t>
      </w:r>
      <w:r>
        <w:rPr>
          <w:rFonts w:hint="eastAsia" w:ascii="宋体" w:hAnsi="宋体" w:eastAsia="宋体" w:cs="宋体"/>
          <w:color w:val="auto"/>
          <w:sz w:val="21"/>
          <w:szCs w:val="21"/>
          <w:u w:val="single"/>
        </w:rPr>
        <w:t xml:space="preserve"> 均由监理人自行解决</w:t>
      </w:r>
      <w:r>
        <w:rPr>
          <w:rFonts w:hint="eastAsia" w:ascii="宋体" w:hAnsi="宋体" w:eastAsia="宋体" w:cs="宋体"/>
          <w:color w:val="auto"/>
          <w:sz w:val="21"/>
          <w:szCs w:val="21"/>
        </w:rPr>
        <w:t>。</w:t>
      </w:r>
    </w:p>
    <w:p w14:paraId="6F3C959A">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4.2 监理人员</w:t>
      </w:r>
    </w:p>
    <w:p w14:paraId="58BD64F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107788E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3D5C76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752DBC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38333F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B91EAE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FBD651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66AAAB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关于监理人的其他约定：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E4CB827">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4.4 商定或确定</w:t>
      </w:r>
    </w:p>
    <w:p w14:paraId="5822B78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bookmarkStart w:id="669" w:name="_Toc267251418"/>
      <w:r>
        <w:rPr>
          <w:rFonts w:hint="eastAsia" w:ascii="宋体" w:hAnsi="宋体" w:eastAsia="宋体" w:cs="宋体"/>
          <w:color w:val="auto"/>
          <w:sz w:val="21"/>
          <w:szCs w:val="21"/>
        </w:rPr>
        <w:t>在发包人和承包人不能通过协商达成一致意见时，发包人授权监理人对以下事项进行确定：</w:t>
      </w:r>
    </w:p>
    <w:p w14:paraId="7934F9D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5C56FE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04E240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7B74071">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670" w:name="_Toc351203637"/>
      <w:r>
        <w:rPr>
          <w:rFonts w:hint="eastAsia" w:ascii="宋体" w:hAnsi="宋体" w:eastAsia="宋体" w:cs="宋体"/>
          <w:color w:val="auto"/>
          <w:sz w:val="21"/>
          <w:szCs w:val="21"/>
        </w:rPr>
        <w:t>5</w:t>
      </w:r>
      <w:bookmarkEnd w:id="669"/>
      <w:bookmarkStart w:id="671" w:name="_Toc296346664"/>
      <w:bookmarkStart w:id="672" w:name="_Toc296891203"/>
      <w:bookmarkStart w:id="673" w:name="_Toc292559872"/>
      <w:bookmarkStart w:id="674" w:name="_Toc292559367"/>
      <w:bookmarkStart w:id="675" w:name="_Toc297120463"/>
      <w:bookmarkStart w:id="676" w:name="_Toc296347162"/>
      <w:bookmarkStart w:id="677" w:name="_Toc297048349"/>
      <w:bookmarkStart w:id="678" w:name="_Toc296503163"/>
      <w:bookmarkStart w:id="679" w:name="_Toc296890991"/>
      <w:bookmarkStart w:id="680" w:name="_Toc296944502"/>
      <w:r>
        <w:rPr>
          <w:rFonts w:hint="eastAsia" w:ascii="宋体" w:hAnsi="宋体" w:eastAsia="宋体" w:cs="宋体"/>
          <w:color w:val="auto"/>
          <w:sz w:val="21"/>
          <w:szCs w:val="21"/>
        </w:rPr>
        <w:t>. 工程质量</w:t>
      </w:r>
      <w:bookmarkEnd w:id="670"/>
    </w:p>
    <w:p w14:paraId="07A091A1">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5.1 质量要求</w:t>
      </w:r>
    </w:p>
    <w:p w14:paraId="0247A9D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5</w:t>
      </w:r>
      <w:bookmarkStart w:id="681" w:name="_Toc304295527"/>
      <w:bookmarkStart w:id="682" w:name="_Toc300934949"/>
      <w:bookmarkStart w:id="683" w:name="_Toc318581164"/>
      <w:bookmarkStart w:id="684" w:name="_Toc303539106"/>
      <w:bookmarkStart w:id="685" w:name="_Toc297216155"/>
      <w:bookmarkStart w:id="686" w:name="_Toc297123496"/>
      <w:bookmarkStart w:id="687" w:name="_Toc312677997"/>
      <w:r>
        <w:rPr>
          <w:rFonts w:hint="eastAsia" w:ascii="宋体" w:hAnsi="宋体" w:eastAsia="宋体" w:cs="宋体"/>
          <w:color w:val="auto"/>
          <w:sz w:val="21"/>
          <w:szCs w:val="21"/>
        </w:rPr>
        <w:t>.1.1 特殊质量标准和要求：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651629D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关于工程奖项的约定：</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86A8B47">
      <w:pPr>
        <w:pageBreakBefore w:val="0"/>
        <w:widowControl w:val="0"/>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bookmarkStart w:id="688" w:name="_Toc351203638"/>
      <w:r>
        <w:rPr>
          <w:rFonts w:hint="eastAsia" w:ascii="宋体" w:hAnsi="宋体" w:eastAsia="宋体" w:cs="宋体"/>
          <w:color w:val="auto"/>
          <w:sz w:val="21"/>
          <w:szCs w:val="21"/>
        </w:rPr>
        <w:t>关于建造要求：</w:t>
      </w:r>
    </w:p>
    <w:p w14:paraId="51E83CA0">
      <w:pPr>
        <w:pStyle w:val="6"/>
        <w:pageBreakBefore w:val="0"/>
        <w:widowControl w:val="0"/>
        <w:kinsoku/>
        <w:wordWrap/>
        <w:overflowPunct/>
        <w:topLinePunct w:val="0"/>
        <w:bidi w:val="0"/>
        <w:snapToGrid w:val="0"/>
        <w:spacing w:line="360" w:lineRule="auto"/>
        <w:ind w:left="0" w:leftChars="0"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（1）绿色建筑等级要求：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1D8B9594">
      <w:pPr>
        <w:pStyle w:val="6"/>
        <w:pageBreakBefore w:val="0"/>
        <w:widowControl w:val="0"/>
        <w:kinsoku/>
        <w:wordWrap/>
        <w:overflowPunct/>
        <w:topLinePunct w:val="0"/>
        <w:bidi w:val="0"/>
        <w:snapToGrid w:val="0"/>
        <w:spacing w:line="360" w:lineRule="auto"/>
        <w:ind w:left="0" w:leftChars="0"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（2）智慧工地管理要求：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2056EBF8">
      <w:pPr>
        <w:pStyle w:val="6"/>
        <w:pageBreakBefore w:val="0"/>
        <w:widowControl w:val="0"/>
        <w:kinsoku/>
        <w:wordWrap/>
        <w:overflowPunct/>
        <w:topLinePunct w:val="0"/>
        <w:bidi w:val="0"/>
        <w:snapToGrid w:val="0"/>
        <w:spacing w:line="360" w:lineRule="auto"/>
        <w:ind w:left="0" w:leftChars="0"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（3）建筑垃圾减量化目标：</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6BB2A82A">
      <w:pPr>
        <w:pageBreakBefore w:val="0"/>
        <w:widowControl w:val="0"/>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（4）装配式建筑装配率要求：</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10C04860">
      <w:pPr>
        <w:pageBreakBefore w:val="0"/>
        <w:widowControl w:val="0"/>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50EA2D9">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5.3 隐蔽工程检查</w:t>
      </w:r>
    </w:p>
    <w:p w14:paraId="4FC1D42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5.3.2 承包人提前通知监理人隐蔽工程检查的期限的约定：</w:t>
      </w:r>
      <w:r>
        <w:rPr>
          <w:rFonts w:hint="eastAsia" w:ascii="宋体" w:hAnsi="宋体" w:eastAsia="宋体" w:cs="宋体"/>
          <w:color w:val="auto"/>
          <w:sz w:val="21"/>
          <w:szCs w:val="21"/>
          <w:u w:val="single"/>
        </w:rPr>
        <w:t xml:space="preserve"> 执行通用条款</w:t>
      </w:r>
      <w:r>
        <w:rPr>
          <w:rFonts w:hint="eastAsia" w:ascii="宋体" w:hAnsi="宋体" w:eastAsia="宋体" w:cs="宋体"/>
          <w:color w:val="auto"/>
          <w:sz w:val="21"/>
          <w:szCs w:val="21"/>
          <w:u w:val="single"/>
          <w:lang w:eastAsia="zh-CN"/>
        </w:rPr>
        <w:t>。</w:t>
      </w:r>
    </w:p>
    <w:p w14:paraId="27ED25E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监理人不能按时进行检查时，应提前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24</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小时提交书面延期要求。</w:t>
      </w:r>
    </w:p>
    <w:p w14:paraId="19DE1C9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24</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小时。</w:t>
      </w:r>
    </w:p>
    <w:p w14:paraId="518110C4">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5</w:t>
      </w:r>
      <w:bookmarkStart w:id="689" w:name="_Toc337558762"/>
      <w:r>
        <w:rPr>
          <w:rFonts w:hint="eastAsia" w:ascii="宋体" w:hAnsi="宋体" w:eastAsia="宋体" w:cs="宋体"/>
          <w:bCs/>
          <w:color w:val="auto"/>
          <w:sz w:val="21"/>
          <w:szCs w:val="21"/>
        </w:rPr>
        <w:t>.4 不合格工程的处理</w:t>
      </w:r>
    </w:p>
    <w:bookmarkEnd w:id="689"/>
    <w:p w14:paraId="23AF50CF">
      <w:pPr>
        <w:pageBreakBefore w:val="0"/>
        <w:widowControl w:val="0"/>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本款补充5.4.3项：</w:t>
      </w:r>
    </w:p>
    <w:p w14:paraId="786C0E3C">
      <w:pPr>
        <w:pageBreakBefore w:val="0"/>
        <w:widowControl w:val="0"/>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5.4.3 承包人在收到监理人发出的《不合格分项报告》或监理通知单后，必须在监理人规定时间内按要求完成整改，未能在限定时间内完成整改的，须承担相应违约责任。</w:t>
      </w:r>
    </w:p>
    <w:p w14:paraId="6E5BD313">
      <w:pPr>
        <w:pageBreakBefore w:val="0"/>
        <w:widowControl w:val="0"/>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本条补充5.6款：</w:t>
      </w:r>
    </w:p>
    <w:p w14:paraId="7CA73B8C">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bookmarkStart w:id="690" w:name="_Toc532377348"/>
      <w:r>
        <w:rPr>
          <w:rFonts w:hint="eastAsia" w:ascii="宋体" w:hAnsi="宋体" w:eastAsia="宋体" w:cs="宋体"/>
          <w:bCs/>
          <w:color w:val="auto"/>
          <w:sz w:val="21"/>
          <w:szCs w:val="21"/>
        </w:rPr>
        <w:t>5.6 质量事故的处理</w:t>
      </w:r>
      <w:bookmarkEnd w:id="690"/>
    </w:p>
    <w:p w14:paraId="0976FB3B">
      <w:pPr>
        <w:pageBreakBefore w:val="0"/>
        <w:widowControl w:val="0"/>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5.6.1 合同履行过程中，发生工程质量事故的调查处理按照国家及</w:t>
      </w:r>
      <w:r>
        <w:rPr>
          <w:rFonts w:hint="eastAsia" w:ascii="宋体" w:hAnsi="宋体" w:eastAsia="宋体" w:cs="宋体"/>
          <w:color w:val="auto"/>
          <w:sz w:val="21"/>
          <w:szCs w:val="21"/>
          <w:lang w:val="en-US" w:eastAsia="zh-CN"/>
        </w:rPr>
        <w:t>我</w:t>
      </w:r>
      <w:r>
        <w:rPr>
          <w:rFonts w:hint="eastAsia" w:ascii="宋体" w:hAnsi="宋体" w:eastAsia="宋体" w:cs="宋体"/>
          <w:color w:val="auto"/>
          <w:sz w:val="21"/>
          <w:szCs w:val="21"/>
        </w:rPr>
        <w:t>市现行规定处理。</w:t>
      </w:r>
    </w:p>
    <w:p w14:paraId="1D8CB051">
      <w:pPr>
        <w:pageBreakBefore w:val="0"/>
        <w:widowControl w:val="0"/>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19F58B0F">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6. 安全文明施工与环境保护</w:t>
      </w:r>
      <w:bookmarkEnd w:id="688"/>
    </w:p>
    <w:p w14:paraId="1036285B">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6.1 安全文明施工</w:t>
      </w:r>
    </w:p>
    <w:p w14:paraId="72C823D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6.1.1 项目安全生产的达标目标及相应事项的约定：</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013BAD2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6.1.4 关于治安保卫的特别约定：</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6F827C8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关于编制施工场地治安管理计划的约定：</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05EBAD7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6.1.5 文明施工</w:t>
      </w:r>
    </w:p>
    <w:p w14:paraId="5701C9F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合同当事人对文明施工的要求：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合同当事人对文明施工的要求：负责市容、环保、交通、街道等部门和周边居民的协调工作，发包人协助，费用由承包人承担。施工场地清洁卫生符合安徽省及各地市对施工场地文明施工和清洁卫生的有关规定；达到《建筑施工安全检查标准》（JGJ59-2011）标准及铜陵市地方标准，施工现场要严格按照《安徽省大气污染防治条例》第六十二条、六十三条执行。</w:t>
      </w:r>
    </w:p>
    <w:p w14:paraId="4F92013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若达不到文明施工要求，责令立即整改，拒不整改的发包人有权解除合同，由此造成的损失由承包人自行承担，承包人还应赔偿由此造成发包人的全部损失。</w:t>
      </w:r>
    </w:p>
    <w:p w14:paraId="2E7BC76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6.1.6 关于安全文明施工费支付比例和支付期限的约定：</w:t>
      </w:r>
      <w:r>
        <w:rPr>
          <w:rFonts w:hint="eastAsia" w:ascii="宋体" w:hAnsi="宋体" w:eastAsia="宋体" w:cs="宋体"/>
          <w:color w:val="auto"/>
          <w:sz w:val="21"/>
          <w:szCs w:val="21"/>
          <w:u w:val="single"/>
        </w:rPr>
        <w:t>已计入总的措施费中，施工合同签订后由 承包人制定安全文明施工费使用计划，并提交申请后发包人给予支付</w:t>
      </w:r>
      <w:r>
        <w:rPr>
          <w:rFonts w:hint="eastAsia" w:ascii="宋体" w:hAnsi="宋体" w:eastAsia="宋体" w:cs="宋体"/>
          <w:color w:val="auto"/>
          <w:sz w:val="21"/>
          <w:szCs w:val="21"/>
        </w:rPr>
        <w:t>。</w:t>
      </w:r>
    </w:p>
    <w:bookmarkEnd w:id="681"/>
    <w:bookmarkEnd w:id="682"/>
    <w:bookmarkEnd w:id="683"/>
    <w:bookmarkEnd w:id="684"/>
    <w:bookmarkEnd w:id="685"/>
    <w:bookmarkEnd w:id="686"/>
    <w:bookmarkEnd w:id="687"/>
    <w:p w14:paraId="1BA0A8E2">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691" w:name="_Toc351203639"/>
      <w:r>
        <w:rPr>
          <w:rFonts w:hint="eastAsia" w:ascii="宋体" w:hAnsi="宋体" w:eastAsia="宋体" w:cs="宋体"/>
          <w:color w:val="auto"/>
          <w:sz w:val="21"/>
          <w:szCs w:val="21"/>
        </w:rPr>
        <w:t>7. 工期和进度</w:t>
      </w:r>
      <w:bookmarkEnd w:id="691"/>
    </w:p>
    <w:p w14:paraId="1323B890">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7.1 施工组织设计</w:t>
      </w:r>
    </w:p>
    <w:p w14:paraId="0DF6882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7.1.1 合同当事人约定的施工组织设计应包括的其他内容：</w:t>
      </w:r>
      <w:r>
        <w:rPr>
          <w:rFonts w:hint="eastAsia" w:ascii="宋体" w:hAnsi="宋体" w:eastAsia="宋体" w:cs="宋体"/>
          <w:color w:val="auto"/>
          <w:sz w:val="21"/>
          <w:szCs w:val="21"/>
          <w:u w:val="single"/>
        </w:rPr>
        <w:t>总进度计划须含网络图、横道图。</w:t>
      </w:r>
    </w:p>
    <w:p w14:paraId="61228AD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7.1.2 施工组织设计的提交和修改</w:t>
      </w:r>
    </w:p>
    <w:p w14:paraId="3B1CA0E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承包人提交详细施工组织设计的期限的约定：</w:t>
      </w:r>
      <w:r>
        <w:rPr>
          <w:rFonts w:hint="eastAsia" w:ascii="宋体" w:hAnsi="宋体" w:eastAsia="宋体" w:cs="宋体"/>
          <w:color w:val="auto"/>
          <w:sz w:val="21"/>
          <w:szCs w:val="21"/>
          <w:u w:val="single"/>
        </w:rPr>
        <w:t xml:space="preserve">执行通用条款 </w:t>
      </w:r>
      <w:r>
        <w:rPr>
          <w:rFonts w:hint="eastAsia" w:ascii="宋体" w:hAnsi="宋体" w:eastAsia="宋体" w:cs="宋体"/>
          <w:color w:val="auto"/>
          <w:sz w:val="21"/>
          <w:szCs w:val="21"/>
        </w:rPr>
        <w:t>。</w:t>
      </w:r>
    </w:p>
    <w:p w14:paraId="0EE2066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发包人和监理人在收到详细的施工组织设计后确认或提出修改意见的期限：</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721B88F5">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w:t>
      </w:r>
      <w:bookmarkStart w:id="692" w:name="_Toc297216173"/>
      <w:bookmarkStart w:id="693" w:name="_Toc312678005"/>
      <w:bookmarkStart w:id="694" w:name="_Toc304295541"/>
      <w:bookmarkStart w:id="695" w:name="_Toc303539123"/>
      <w:bookmarkStart w:id="696" w:name="_Toc300934966"/>
      <w:bookmarkStart w:id="697" w:name="_Toc312677479"/>
      <w:bookmarkStart w:id="698" w:name="_Toc297123514"/>
      <w:r>
        <w:rPr>
          <w:rFonts w:hint="eastAsia" w:ascii="宋体" w:hAnsi="宋体" w:eastAsia="宋体" w:cs="宋体"/>
          <w:bCs/>
          <w:color w:val="auto"/>
          <w:sz w:val="21"/>
          <w:szCs w:val="21"/>
        </w:rPr>
        <w:t>.2 施工进度计划</w:t>
      </w:r>
    </w:p>
    <w:p w14:paraId="5314916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7.2.2 施工进度计划的修订</w:t>
      </w:r>
    </w:p>
    <w:p w14:paraId="5163454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发包人和监理人在收到修订的施工进度计划后确认或提出修改意见的期限：</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6B78E2D3">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7.3 开工</w:t>
      </w:r>
    </w:p>
    <w:p w14:paraId="0EAB1ED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7.3.1 开工准备</w:t>
      </w:r>
    </w:p>
    <w:p w14:paraId="42D9B7B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关于承包人提交工程开工报审表的期限：</w:t>
      </w:r>
      <w:r>
        <w:rPr>
          <w:rFonts w:hint="eastAsia" w:ascii="宋体" w:hAnsi="宋体" w:eastAsia="宋体" w:cs="宋体"/>
          <w:color w:val="auto"/>
          <w:sz w:val="21"/>
          <w:szCs w:val="21"/>
          <w:u w:val="single"/>
        </w:rPr>
        <w:t xml:space="preserve"> 开工前 7 天（执行通用条款）  </w:t>
      </w:r>
      <w:r>
        <w:rPr>
          <w:rFonts w:hint="eastAsia" w:ascii="宋体" w:hAnsi="宋体" w:eastAsia="宋体" w:cs="宋体"/>
          <w:color w:val="auto"/>
          <w:sz w:val="21"/>
          <w:szCs w:val="21"/>
        </w:rPr>
        <w:t>。</w:t>
      </w:r>
    </w:p>
    <w:p w14:paraId="11F3F6A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关于发包人应完成的其他开工准备工作及期限：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开工前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C302B1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关于承包人应完成的其他开工准备工作及期限：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开工前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5FDC53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7.3.2 开工通知</w:t>
      </w:r>
    </w:p>
    <w:p w14:paraId="07E90E1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因发包人原因造成监理人未能在计划开工日期之日起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天内发出开工通知的，承包人有权提出价格调整要求，或者解除合同。</w:t>
      </w:r>
    </w:p>
    <w:bookmarkEnd w:id="692"/>
    <w:bookmarkEnd w:id="693"/>
    <w:bookmarkEnd w:id="694"/>
    <w:bookmarkEnd w:id="695"/>
    <w:bookmarkEnd w:id="696"/>
    <w:bookmarkEnd w:id="697"/>
    <w:bookmarkEnd w:id="698"/>
    <w:p w14:paraId="750B3F3C">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7.4 测量放线</w:t>
      </w:r>
    </w:p>
    <w:p w14:paraId="0B44165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7.4.1 发包人通过监理人向承包人提供测量基准点、基准线和水准点及其书面资料的期限：</w:t>
      </w:r>
      <w:r>
        <w:rPr>
          <w:rFonts w:hint="eastAsia" w:ascii="宋体" w:hAnsi="宋体" w:eastAsia="宋体" w:cs="宋体"/>
          <w:color w:val="auto"/>
          <w:sz w:val="21"/>
          <w:szCs w:val="21"/>
          <w:u w:val="single"/>
          <w:lang w:val="en-US" w:eastAsia="zh-CN"/>
        </w:rPr>
        <w:t>开工前3天</w:t>
      </w:r>
      <w:r>
        <w:rPr>
          <w:rFonts w:hint="eastAsia" w:ascii="宋体" w:hAnsi="宋体" w:eastAsia="宋体" w:cs="宋体"/>
          <w:color w:val="auto"/>
          <w:sz w:val="21"/>
          <w:szCs w:val="21"/>
          <w:u w:val="single"/>
        </w:rPr>
        <w:t>。</w:t>
      </w:r>
    </w:p>
    <w:p w14:paraId="5A876087">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w:t>
      </w:r>
      <w:bookmarkStart w:id="699" w:name="_Toc297216175"/>
      <w:bookmarkStart w:id="700" w:name="_Toc304295546"/>
      <w:bookmarkStart w:id="701" w:name="_Toc300934968"/>
      <w:bookmarkStart w:id="702" w:name="_Toc312677484"/>
      <w:bookmarkStart w:id="703" w:name="_Toc312678010"/>
      <w:bookmarkStart w:id="704" w:name="_Toc303539125"/>
      <w:bookmarkStart w:id="705" w:name="_Toc297123516"/>
      <w:r>
        <w:rPr>
          <w:rFonts w:hint="eastAsia" w:ascii="宋体" w:hAnsi="宋体" w:eastAsia="宋体" w:cs="宋体"/>
          <w:bCs/>
          <w:color w:val="auto"/>
          <w:sz w:val="21"/>
          <w:szCs w:val="21"/>
        </w:rPr>
        <w:t>.5 工期延误</w:t>
      </w:r>
    </w:p>
    <w:bookmarkEnd w:id="699"/>
    <w:bookmarkEnd w:id="700"/>
    <w:bookmarkEnd w:id="701"/>
    <w:bookmarkEnd w:id="702"/>
    <w:bookmarkEnd w:id="703"/>
    <w:bookmarkEnd w:id="704"/>
    <w:bookmarkEnd w:id="705"/>
    <w:p w14:paraId="22C13AA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7.5.1 因发包人原因导致工期延误</w:t>
      </w:r>
    </w:p>
    <w:p w14:paraId="0F265AE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（7）因发包人原因导致工期延误的其他情形：</w:t>
      </w:r>
      <w:r>
        <w:rPr>
          <w:rFonts w:hint="eastAsia" w:ascii="宋体" w:hAnsi="宋体" w:eastAsia="宋体" w:cs="宋体"/>
          <w:color w:val="auto"/>
          <w:sz w:val="21"/>
          <w:szCs w:val="21"/>
          <w:u w:val="single"/>
        </w:rPr>
        <w:t xml:space="preserve"> 合同工期予以顺延，单价不予调整</w:t>
      </w:r>
      <w:r>
        <w:rPr>
          <w:rFonts w:hint="eastAsia" w:ascii="宋体" w:hAnsi="宋体" w:eastAsia="宋体" w:cs="宋体"/>
          <w:color w:val="auto"/>
          <w:sz w:val="21"/>
          <w:szCs w:val="21"/>
        </w:rPr>
        <w:t>。</w:t>
      </w:r>
    </w:p>
    <w:p w14:paraId="62B86A9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bookmarkStart w:id="706" w:name="_Toc318581169"/>
      <w:bookmarkStart w:id="707" w:name="_Toc312677486"/>
      <w:bookmarkStart w:id="708" w:name="_Toc312678012"/>
      <w:bookmarkStart w:id="709" w:name="_Toc300934970"/>
      <w:bookmarkStart w:id="710" w:name="_Toc297216177"/>
      <w:bookmarkStart w:id="711" w:name="_Toc303539127"/>
      <w:bookmarkStart w:id="712" w:name="_Toc304295548"/>
      <w:bookmarkStart w:id="713" w:name="_Toc297123518"/>
      <w:r>
        <w:rPr>
          <w:rFonts w:hint="eastAsia" w:ascii="宋体" w:hAnsi="宋体" w:eastAsia="宋体" w:cs="宋体"/>
          <w:color w:val="auto"/>
          <w:sz w:val="21"/>
          <w:szCs w:val="21"/>
        </w:rPr>
        <w:t>.5.2 因承包人原因导致工期延误</w:t>
      </w:r>
    </w:p>
    <w:bookmarkEnd w:id="706"/>
    <w:bookmarkEnd w:id="707"/>
    <w:bookmarkEnd w:id="708"/>
    <w:p w14:paraId="24EA6FC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w:t>
      </w:r>
      <w:bookmarkStart w:id="714" w:name="_Toc312678013"/>
      <w:bookmarkStart w:id="715" w:name="_Toc312677487"/>
      <w:bookmarkStart w:id="716" w:name="_Toc318581170"/>
      <w:r>
        <w:rPr>
          <w:rFonts w:hint="eastAsia" w:ascii="宋体" w:hAnsi="宋体" w:eastAsia="宋体" w:cs="宋体"/>
          <w:color w:val="auto"/>
          <w:sz w:val="21"/>
          <w:szCs w:val="21"/>
        </w:rPr>
        <w:t>承包人原因造成工期延误，逾期竣工违约金的计算方法为：</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bookmarkEnd w:id="709"/>
      <w:bookmarkEnd w:id="710"/>
      <w:bookmarkEnd w:id="711"/>
      <w:bookmarkEnd w:id="712"/>
      <w:bookmarkEnd w:id="713"/>
      <w:bookmarkEnd w:id="714"/>
      <w:bookmarkEnd w:id="715"/>
    </w:p>
    <w:bookmarkEnd w:id="716"/>
    <w:p w14:paraId="2B22B93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因承包人原因造成工期延误，逾</w:t>
      </w:r>
      <w:bookmarkStart w:id="717" w:name="_Toc312678014"/>
      <w:bookmarkStart w:id="718" w:name="_Toc318581171"/>
      <w:r>
        <w:rPr>
          <w:rFonts w:hint="eastAsia" w:ascii="宋体" w:hAnsi="宋体" w:eastAsia="宋体" w:cs="宋体"/>
          <w:color w:val="auto"/>
          <w:sz w:val="21"/>
          <w:szCs w:val="21"/>
        </w:rPr>
        <w:t>期竣工违约金的上限：</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bookmarkEnd w:id="717"/>
    <w:bookmarkEnd w:id="718"/>
    <w:p w14:paraId="63BDC2C8">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w:t>
      </w:r>
      <w:bookmarkStart w:id="719" w:name="_Toc297123519"/>
      <w:bookmarkStart w:id="720" w:name="_Toc303539128"/>
      <w:bookmarkStart w:id="721" w:name="_Toc300934971"/>
      <w:bookmarkStart w:id="722" w:name="_Toc312678015"/>
      <w:bookmarkStart w:id="723" w:name="_Toc304295549"/>
      <w:bookmarkStart w:id="724" w:name="_Toc297216178"/>
      <w:r>
        <w:rPr>
          <w:rFonts w:hint="eastAsia" w:ascii="宋体" w:hAnsi="宋体" w:eastAsia="宋体" w:cs="宋体"/>
          <w:bCs/>
          <w:color w:val="auto"/>
          <w:sz w:val="21"/>
          <w:szCs w:val="21"/>
        </w:rPr>
        <w:t>.6 不</w:t>
      </w:r>
      <w:bookmarkEnd w:id="719"/>
      <w:bookmarkEnd w:id="720"/>
      <w:bookmarkEnd w:id="721"/>
      <w:bookmarkEnd w:id="722"/>
      <w:bookmarkEnd w:id="723"/>
      <w:bookmarkEnd w:id="724"/>
      <w:r>
        <w:rPr>
          <w:rFonts w:hint="eastAsia" w:ascii="宋体" w:hAnsi="宋体" w:eastAsia="宋体" w:cs="宋体"/>
          <w:bCs/>
          <w:color w:val="auto"/>
          <w:sz w:val="21"/>
          <w:szCs w:val="21"/>
        </w:rPr>
        <w:t>利物质条件</w:t>
      </w:r>
    </w:p>
    <w:p w14:paraId="6F7F3CE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u w:val="single"/>
        </w:rPr>
      </w:pPr>
      <w:bookmarkStart w:id="725" w:name="_Toc297216179"/>
      <w:bookmarkStart w:id="726" w:name="_Toc297123520"/>
      <w:bookmarkStart w:id="727" w:name="_Toc312678016"/>
      <w:bookmarkStart w:id="728" w:name="_Toc318581172"/>
      <w:bookmarkStart w:id="729" w:name="_Toc300934972"/>
      <w:bookmarkStart w:id="730" w:name="_Toc303539129"/>
      <w:bookmarkStart w:id="731" w:name="_Toc304295550"/>
      <w:r>
        <w:rPr>
          <w:rFonts w:hint="eastAsia" w:ascii="宋体" w:hAnsi="宋体" w:eastAsia="宋体" w:cs="宋体"/>
          <w:color w:val="auto"/>
          <w:sz w:val="21"/>
          <w:szCs w:val="21"/>
        </w:rPr>
        <w:t>不利物质条件的其他情形和有关约定：</w:t>
      </w:r>
      <w:r>
        <w:rPr>
          <w:rFonts w:hint="eastAsia" w:ascii="宋体" w:hAnsi="宋体" w:eastAsia="宋体" w:cs="宋体"/>
          <w:color w:val="auto"/>
          <w:sz w:val="21"/>
          <w:szCs w:val="21"/>
          <w:u w:val="single"/>
        </w:rPr>
        <w:t xml:space="preserve">执行通用条款 </w:t>
      </w:r>
      <w:r>
        <w:rPr>
          <w:rFonts w:hint="eastAsia" w:ascii="宋体" w:hAnsi="宋体" w:eastAsia="宋体" w:cs="宋体"/>
          <w:color w:val="auto"/>
          <w:sz w:val="21"/>
          <w:szCs w:val="21"/>
        </w:rPr>
        <w:t>。</w:t>
      </w:r>
    </w:p>
    <w:bookmarkEnd w:id="725"/>
    <w:bookmarkEnd w:id="726"/>
    <w:bookmarkEnd w:id="727"/>
    <w:bookmarkEnd w:id="728"/>
    <w:bookmarkEnd w:id="729"/>
    <w:bookmarkEnd w:id="730"/>
    <w:bookmarkEnd w:id="731"/>
    <w:p w14:paraId="46EB7574">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w:t>
      </w:r>
      <w:bookmarkStart w:id="732" w:name="_Toc304295551"/>
      <w:bookmarkStart w:id="733" w:name="_Toc303539130"/>
      <w:bookmarkStart w:id="734" w:name="_Toc300934973"/>
      <w:bookmarkStart w:id="735" w:name="_Toc312678017"/>
      <w:bookmarkStart w:id="736" w:name="_Toc297216180"/>
      <w:bookmarkStart w:id="737" w:name="_Toc297123521"/>
      <w:r>
        <w:rPr>
          <w:rFonts w:hint="eastAsia" w:ascii="宋体" w:hAnsi="宋体" w:eastAsia="宋体" w:cs="宋体"/>
          <w:bCs/>
          <w:color w:val="auto"/>
          <w:sz w:val="21"/>
          <w:szCs w:val="21"/>
        </w:rPr>
        <w:t>.7 异常恶劣的气候条件</w:t>
      </w:r>
    </w:p>
    <w:bookmarkEnd w:id="732"/>
    <w:bookmarkEnd w:id="733"/>
    <w:bookmarkEnd w:id="734"/>
    <w:bookmarkEnd w:id="735"/>
    <w:bookmarkEnd w:id="736"/>
    <w:bookmarkEnd w:id="737"/>
    <w:p w14:paraId="7912669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发包人和承包人同意以下情形视为异常恶劣的气候条件：</w:t>
      </w:r>
    </w:p>
    <w:p w14:paraId="6B4C841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26F762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BB6D68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CD1EB41">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7.9 提前竣工</w:t>
      </w:r>
    </w:p>
    <w:p w14:paraId="436F2DA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7.9.2 提前竣工的奖励：</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222F248E">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738" w:name="_Toc351203640"/>
      <w:r>
        <w:rPr>
          <w:rFonts w:hint="eastAsia" w:ascii="宋体" w:hAnsi="宋体" w:eastAsia="宋体" w:cs="宋体"/>
          <w:color w:val="auto"/>
          <w:sz w:val="21"/>
          <w:szCs w:val="21"/>
        </w:rPr>
        <w:t>8. 材料与设备</w:t>
      </w:r>
      <w:bookmarkEnd w:id="738"/>
    </w:p>
    <w:bookmarkEnd w:id="671"/>
    <w:bookmarkEnd w:id="672"/>
    <w:bookmarkEnd w:id="673"/>
    <w:bookmarkEnd w:id="674"/>
    <w:bookmarkEnd w:id="675"/>
    <w:bookmarkEnd w:id="676"/>
    <w:bookmarkEnd w:id="677"/>
    <w:bookmarkEnd w:id="678"/>
    <w:bookmarkEnd w:id="679"/>
    <w:bookmarkEnd w:id="680"/>
    <w:p w14:paraId="30DF0DF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bookmarkStart w:id="739" w:name="_Toc312677493"/>
      <w:bookmarkStart w:id="740" w:name="_Toc304295556"/>
      <w:bookmarkStart w:id="741" w:name="_Toc297216186"/>
      <w:bookmarkStart w:id="742" w:name="_Toc300934979"/>
      <w:bookmarkStart w:id="743" w:name="_Toc280868654"/>
      <w:bookmarkStart w:id="744" w:name="_Toc296503167"/>
      <w:bookmarkStart w:id="745" w:name="_Toc297048353"/>
      <w:bookmarkStart w:id="746" w:name="_Toc297123527"/>
      <w:bookmarkStart w:id="747" w:name="_Toc303539136"/>
      <w:bookmarkStart w:id="748" w:name="_Toc297120467"/>
      <w:bookmarkStart w:id="749" w:name="_Toc296944506"/>
      <w:bookmarkStart w:id="750" w:name="_Toc296346668"/>
      <w:bookmarkStart w:id="751" w:name="_Toc296347166"/>
      <w:bookmarkStart w:id="752" w:name="_Toc292559372"/>
      <w:bookmarkStart w:id="753" w:name="_Toc292559877"/>
      <w:bookmarkStart w:id="754" w:name="_Toc312678019"/>
      <w:bookmarkStart w:id="755" w:name="_Toc296890995"/>
      <w:bookmarkStart w:id="756" w:name="_Toc296891207"/>
      <w:bookmarkStart w:id="757" w:name="_Toc280868656"/>
      <w:bookmarkStart w:id="758" w:name="_Toc267251424"/>
      <w:bookmarkStart w:id="759" w:name="_Toc280868655"/>
      <w:r>
        <w:rPr>
          <w:rFonts w:hint="eastAsia" w:ascii="宋体" w:hAnsi="宋体" w:eastAsia="宋体" w:cs="宋体"/>
          <w:color w:val="auto"/>
          <w:sz w:val="21"/>
          <w:szCs w:val="21"/>
        </w:rPr>
        <w:t>.4 材料与工程设备的保管与使用</w:t>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14:paraId="292D6ED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8</w:t>
      </w:r>
      <w:bookmarkStart w:id="760" w:name="_Toc292559373"/>
      <w:bookmarkStart w:id="761" w:name="_Toc292559878"/>
      <w:bookmarkStart w:id="762" w:name="_Toc318581173"/>
      <w:bookmarkStart w:id="763" w:name="_Toc296944507"/>
      <w:bookmarkStart w:id="764" w:name="_Toc297123528"/>
      <w:bookmarkStart w:id="765" w:name="_Toc303539137"/>
      <w:bookmarkStart w:id="766" w:name="_Toc312678020"/>
      <w:bookmarkStart w:id="767" w:name="_Toc300934980"/>
      <w:bookmarkStart w:id="768" w:name="_Toc296346669"/>
      <w:bookmarkStart w:id="769" w:name="_Toc296503168"/>
      <w:bookmarkStart w:id="770" w:name="_Toc297048354"/>
      <w:bookmarkStart w:id="771" w:name="_Toc304295557"/>
      <w:bookmarkStart w:id="772" w:name="_Toc297216187"/>
      <w:bookmarkStart w:id="773" w:name="_Toc296891208"/>
      <w:bookmarkStart w:id="774" w:name="_Toc296890996"/>
      <w:bookmarkStart w:id="775" w:name="_Toc297120468"/>
      <w:bookmarkStart w:id="776" w:name="_Toc296347167"/>
      <w:bookmarkStart w:id="777" w:name="_Toc312677494"/>
      <w:r>
        <w:rPr>
          <w:rFonts w:hint="eastAsia" w:ascii="宋体" w:hAnsi="宋体" w:eastAsia="宋体" w:cs="宋体"/>
          <w:color w:val="auto"/>
          <w:sz w:val="21"/>
          <w:szCs w:val="21"/>
        </w:rPr>
        <w:t>.4.1 发包人供应的材料设备的保管费用的承担：</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bookmarkEnd w:id="760"/>
      <w:bookmarkEnd w:id="761"/>
    </w:p>
    <w:p w14:paraId="3055DD0F">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8.6 样品</w:t>
      </w:r>
    </w:p>
    <w:p w14:paraId="7FD75C7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8.6.1 样品的报送与封存</w:t>
      </w:r>
    </w:p>
    <w:p w14:paraId="4564D68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需要承包人报送样品的材料或工程设备，样品的种类、名称、规格、数量要求：</w:t>
      </w:r>
      <w:r>
        <w:rPr>
          <w:rFonts w:hint="eastAsia" w:ascii="宋体" w:hAnsi="宋体" w:eastAsia="宋体" w:cs="宋体"/>
          <w:color w:val="auto"/>
          <w:sz w:val="21"/>
          <w:szCs w:val="21"/>
          <w:u w:val="single"/>
        </w:rPr>
        <w:t>工程所需材料应当在进场前由发包人、监理单位进行审查，审查通过的，方可进场使用；审查不通过的，发包人有权要求承包人重新报送，直至通过发包人、监理单位的审查后，方可进场；因承包人自行采购的材料质量引起的工程质量问题由承包人承担所造成的一切损失。</w:t>
      </w:r>
    </w:p>
    <w:p w14:paraId="14F251B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8.8 施工设备和临时设施</w:t>
      </w:r>
    </w:p>
    <w:p w14:paraId="5141B21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8.8.1 承包人提供的施工设备和临时设施</w:t>
      </w:r>
    </w:p>
    <w:p w14:paraId="795292A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关于修建临时设施费用承担的约定：</w:t>
      </w:r>
      <w:r>
        <w:rPr>
          <w:rFonts w:hint="eastAsia" w:ascii="宋体" w:hAnsi="宋体" w:eastAsia="宋体" w:cs="宋体"/>
          <w:color w:val="auto"/>
          <w:sz w:val="21"/>
          <w:szCs w:val="21"/>
          <w:u w:val="single"/>
        </w:rPr>
        <w:t xml:space="preserve"> 承包人承担   </w:t>
      </w:r>
      <w:r>
        <w:rPr>
          <w:rFonts w:hint="eastAsia" w:ascii="宋体" w:hAnsi="宋体" w:eastAsia="宋体" w:cs="宋体"/>
          <w:color w:val="auto"/>
          <w:sz w:val="21"/>
          <w:szCs w:val="21"/>
        </w:rPr>
        <w:t>。</w:t>
      </w:r>
    </w:p>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14:paraId="442B0A15">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778" w:name="_Toc351203641"/>
      <w:r>
        <w:rPr>
          <w:rFonts w:hint="eastAsia" w:ascii="宋体" w:hAnsi="宋体" w:eastAsia="宋体" w:cs="宋体"/>
          <w:color w:val="auto"/>
          <w:sz w:val="21"/>
          <w:szCs w:val="21"/>
        </w:rPr>
        <w:t>9</w:t>
      </w:r>
      <w:bookmarkEnd w:id="757"/>
      <w:bookmarkEnd w:id="758"/>
      <w:bookmarkEnd w:id="759"/>
      <w:bookmarkStart w:id="779" w:name="_Toc304295559"/>
      <w:bookmarkStart w:id="780" w:name="_Toc312677495"/>
      <w:bookmarkStart w:id="781" w:name="_Toc297123533"/>
      <w:bookmarkStart w:id="782" w:name="_Toc303539139"/>
      <w:bookmarkStart w:id="783" w:name="_Toc300934982"/>
      <w:bookmarkStart w:id="784" w:name="_Toc297216192"/>
      <w:bookmarkStart w:id="785" w:name="_Toc312678021"/>
      <w:bookmarkStart w:id="786" w:name="_Toc296346674"/>
      <w:bookmarkStart w:id="787" w:name="_Toc297120473"/>
      <w:bookmarkStart w:id="788" w:name="_Toc267251428"/>
      <w:bookmarkStart w:id="789" w:name="_Toc296891001"/>
      <w:bookmarkStart w:id="790" w:name="_Toc297048359"/>
      <w:bookmarkStart w:id="791" w:name="_Toc296347172"/>
      <w:bookmarkStart w:id="792" w:name="_Toc296891213"/>
      <w:bookmarkStart w:id="793" w:name="_Toc292559378"/>
      <w:bookmarkStart w:id="794" w:name="_Toc267251427"/>
      <w:bookmarkStart w:id="795" w:name="_Toc296503173"/>
      <w:bookmarkStart w:id="796" w:name="_Toc296944512"/>
      <w:bookmarkStart w:id="797" w:name="_Toc292559883"/>
      <w:r>
        <w:rPr>
          <w:rFonts w:hint="eastAsia" w:ascii="宋体" w:hAnsi="宋体" w:eastAsia="宋体" w:cs="宋体"/>
          <w:color w:val="auto"/>
          <w:sz w:val="21"/>
          <w:szCs w:val="21"/>
        </w:rPr>
        <w:t>. 试验与检验</w:t>
      </w:r>
      <w:bookmarkEnd w:id="778"/>
    </w:p>
    <w:bookmarkEnd w:id="779"/>
    <w:bookmarkEnd w:id="780"/>
    <w:bookmarkEnd w:id="781"/>
    <w:bookmarkEnd w:id="782"/>
    <w:bookmarkEnd w:id="783"/>
    <w:bookmarkEnd w:id="784"/>
    <w:bookmarkEnd w:id="785"/>
    <w:p w14:paraId="43FBA355">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9</w:t>
      </w:r>
      <w:bookmarkStart w:id="798" w:name="_Toc312678022"/>
      <w:bookmarkStart w:id="799" w:name="_Toc304295560"/>
      <w:bookmarkStart w:id="800" w:name="_Toc300934983"/>
      <w:bookmarkStart w:id="801" w:name="_Toc297123534"/>
      <w:bookmarkStart w:id="802" w:name="_Toc303539140"/>
      <w:bookmarkStart w:id="803" w:name="_Toc297216193"/>
      <w:bookmarkStart w:id="804" w:name="_Toc312677496"/>
      <w:r>
        <w:rPr>
          <w:rFonts w:hint="eastAsia" w:ascii="宋体" w:hAnsi="宋体" w:eastAsia="宋体" w:cs="宋体"/>
          <w:bCs/>
          <w:color w:val="auto"/>
          <w:sz w:val="21"/>
          <w:szCs w:val="21"/>
        </w:rPr>
        <w:t>.1 试验设备与试验人员</w:t>
      </w:r>
    </w:p>
    <w:bookmarkEnd w:id="798"/>
    <w:bookmarkEnd w:id="799"/>
    <w:bookmarkEnd w:id="800"/>
    <w:bookmarkEnd w:id="801"/>
    <w:bookmarkEnd w:id="802"/>
    <w:bookmarkEnd w:id="803"/>
    <w:bookmarkEnd w:id="804"/>
    <w:p w14:paraId="781ECC5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bookmarkStart w:id="805" w:name="_Toc312677497"/>
      <w:bookmarkStart w:id="806" w:name="_Toc303539141"/>
      <w:bookmarkStart w:id="807" w:name="_Toc297123535"/>
      <w:bookmarkStart w:id="808" w:name="_Toc304295561"/>
      <w:bookmarkStart w:id="809" w:name="_Toc312678023"/>
      <w:bookmarkStart w:id="810" w:name="_Toc300934984"/>
      <w:bookmarkStart w:id="811" w:name="_Toc297216194"/>
      <w:bookmarkStart w:id="812" w:name="_Toc318581174"/>
      <w:r>
        <w:rPr>
          <w:rFonts w:hint="eastAsia" w:ascii="宋体" w:hAnsi="宋体" w:eastAsia="宋体" w:cs="宋体"/>
          <w:color w:val="auto"/>
          <w:sz w:val="21"/>
          <w:szCs w:val="21"/>
        </w:rPr>
        <w:t>.1.2 试验设备</w:t>
      </w:r>
    </w:p>
    <w:p w14:paraId="0B53CEA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施工现场需要配置的试验场所</w:t>
      </w:r>
      <w:bookmarkEnd w:id="805"/>
      <w:bookmarkEnd w:id="806"/>
      <w:bookmarkEnd w:id="807"/>
      <w:bookmarkEnd w:id="808"/>
      <w:bookmarkEnd w:id="809"/>
      <w:bookmarkEnd w:id="810"/>
      <w:bookmarkEnd w:id="811"/>
      <w:bookmarkStart w:id="813" w:name="_Toc303539142"/>
      <w:bookmarkStart w:id="814" w:name="_Toc297123536"/>
      <w:bookmarkStart w:id="815" w:name="_Toc304295562"/>
      <w:bookmarkStart w:id="816" w:name="_Toc297216195"/>
      <w:bookmarkStart w:id="817" w:name="_Toc300934985"/>
      <w:bookmarkStart w:id="818" w:name="_Toc312678024"/>
      <w:bookmarkStart w:id="819" w:name="_Toc312677498"/>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满足要求             </w:t>
      </w:r>
      <w:r>
        <w:rPr>
          <w:rFonts w:hint="eastAsia" w:ascii="宋体" w:hAnsi="宋体" w:eastAsia="宋体" w:cs="宋体"/>
          <w:color w:val="auto"/>
          <w:sz w:val="21"/>
          <w:szCs w:val="21"/>
        </w:rPr>
        <w:t>。</w:t>
      </w:r>
    </w:p>
    <w:p w14:paraId="17C67EB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施工现场需要配备的试验设备：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同上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F7D07D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施工现场需要具备的其他试验条件：</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同上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5C0A558">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9.4 现场工艺试验 </w:t>
      </w:r>
    </w:p>
    <w:p w14:paraId="0B7C59B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现场工艺试验的有关约定：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812"/>
    <w:bookmarkEnd w:id="813"/>
    <w:bookmarkEnd w:id="814"/>
    <w:bookmarkEnd w:id="815"/>
    <w:bookmarkEnd w:id="816"/>
    <w:bookmarkEnd w:id="817"/>
    <w:bookmarkEnd w:id="818"/>
    <w:bookmarkEnd w:id="819"/>
    <w:p w14:paraId="6ECD9BCF">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820" w:name="_Toc351203642"/>
      <w:r>
        <w:rPr>
          <w:rFonts w:hint="eastAsia" w:ascii="宋体" w:hAnsi="宋体" w:eastAsia="宋体" w:cs="宋体"/>
          <w:color w:val="auto"/>
          <w:sz w:val="21"/>
          <w:szCs w:val="21"/>
        </w:rPr>
        <w:t>1</w:t>
      </w:r>
      <w:bookmarkEnd w:id="786"/>
      <w:bookmarkEnd w:id="787"/>
      <w:bookmarkEnd w:id="788"/>
      <w:bookmarkEnd w:id="789"/>
      <w:bookmarkEnd w:id="790"/>
      <w:bookmarkEnd w:id="791"/>
      <w:bookmarkEnd w:id="792"/>
      <w:bookmarkEnd w:id="793"/>
      <w:bookmarkEnd w:id="794"/>
      <w:bookmarkEnd w:id="795"/>
      <w:bookmarkEnd w:id="796"/>
      <w:bookmarkEnd w:id="797"/>
      <w:bookmarkStart w:id="821" w:name="_Toc296891021"/>
      <w:bookmarkStart w:id="822" w:name="_Toc296503193"/>
      <w:bookmarkStart w:id="823" w:name="_Toc296347192"/>
      <w:bookmarkStart w:id="824" w:name="_Toc304295566"/>
      <w:bookmarkStart w:id="825" w:name="_Toc296891233"/>
      <w:bookmarkStart w:id="826" w:name="_Toc300934989"/>
      <w:bookmarkStart w:id="827" w:name="_Toc292559903"/>
      <w:bookmarkStart w:id="828" w:name="_Toc297123540"/>
      <w:bookmarkStart w:id="829" w:name="_Toc297216199"/>
      <w:bookmarkStart w:id="830" w:name="_Toc303539146"/>
      <w:bookmarkStart w:id="831" w:name="_Toc296944532"/>
      <w:bookmarkStart w:id="832" w:name="_Toc296346694"/>
      <w:bookmarkStart w:id="833" w:name="_Toc297120493"/>
      <w:bookmarkStart w:id="834" w:name="_Toc292559398"/>
      <w:bookmarkStart w:id="835" w:name="_Toc297048379"/>
      <w:bookmarkStart w:id="836" w:name="_Toc312678025"/>
      <w:bookmarkStart w:id="837" w:name="_Toc312677499"/>
      <w:bookmarkStart w:id="838" w:name="_Toc267251433"/>
      <w:bookmarkStart w:id="839" w:name="_Toc267251437"/>
      <w:bookmarkStart w:id="840" w:name="_Toc267251440"/>
      <w:bookmarkStart w:id="841" w:name="_Toc267251435"/>
      <w:bookmarkStart w:id="842" w:name="_Toc267251441"/>
      <w:bookmarkStart w:id="843" w:name="_Toc267251439"/>
      <w:bookmarkStart w:id="844" w:name="_Toc267251442"/>
      <w:r>
        <w:rPr>
          <w:rFonts w:hint="eastAsia" w:ascii="宋体" w:hAnsi="宋体" w:eastAsia="宋体" w:cs="宋体"/>
          <w:color w:val="auto"/>
          <w:sz w:val="21"/>
          <w:szCs w:val="21"/>
        </w:rPr>
        <w:t>0. 变更</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bookmarkEnd w:id="836"/>
    <w:bookmarkEnd w:id="837"/>
    <w:p w14:paraId="431B127C">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w:t>
      </w:r>
      <w:bookmarkStart w:id="845" w:name="_Toc312677500"/>
      <w:bookmarkStart w:id="846" w:name="_Toc303539147"/>
      <w:bookmarkStart w:id="847" w:name="_Toc296891234"/>
      <w:bookmarkStart w:id="848" w:name="_Toc297120494"/>
      <w:bookmarkStart w:id="849" w:name="_Toc304295567"/>
      <w:bookmarkStart w:id="850" w:name="_Toc297123541"/>
      <w:bookmarkStart w:id="851" w:name="_Toc297048380"/>
      <w:bookmarkStart w:id="852" w:name="_Toc292559904"/>
      <w:bookmarkStart w:id="853" w:name="_Toc296346695"/>
      <w:bookmarkStart w:id="854" w:name="_Toc296503194"/>
      <w:bookmarkStart w:id="855" w:name="_Toc296944533"/>
      <w:bookmarkStart w:id="856" w:name="_Toc297216200"/>
      <w:bookmarkStart w:id="857" w:name="_Toc300934990"/>
      <w:bookmarkStart w:id="858" w:name="_Toc296891022"/>
      <w:bookmarkStart w:id="859" w:name="_Toc312678026"/>
      <w:bookmarkStart w:id="860" w:name="_Toc296347193"/>
      <w:bookmarkStart w:id="861" w:name="_Toc292559399"/>
      <w:r>
        <w:rPr>
          <w:rFonts w:hint="eastAsia" w:ascii="宋体" w:hAnsi="宋体" w:eastAsia="宋体" w:cs="宋体"/>
          <w:bCs/>
          <w:color w:val="auto"/>
          <w:sz w:val="21"/>
          <w:szCs w:val="21"/>
        </w:rPr>
        <w:t>0.1 变更的范围</w:t>
      </w:r>
    </w:p>
    <w:p w14:paraId="169DD41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关于变更的范围的约定：</w:t>
      </w:r>
      <w:r>
        <w:rPr>
          <w:rFonts w:hint="eastAsia" w:ascii="宋体" w:hAnsi="宋体" w:eastAsia="宋体" w:cs="宋体"/>
          <w:color w:val="auto"/>
          <w:sz w:val="21"/>
          <w:szCs w:val="21"/>
          <w:u w:val="single"/>
        </w:rPr>
        <w:t>政府投资项目，因勘察设计原因、隐蔽性工程确需变更的，应按程序报经政府批准同意。属于承包人的原因未按采购文件规定的期限、程序提出工程量异议却在施工期间却提出工程量异议的，不予变更，由承包人承担工程量的完成；供应商在质疑期间及异议期间已按采购文件规定的期限、程序提出异议，而采购人没有做出正确澄清、解释的，经查证属实的按程序进行变更</w:t>
      </w:r>
      <w:r>
        <w:rPr>
          <w:rFonts w:hint="eastAsia" w:ascii="宋体" w:hAnsi="宋体" w:eastAsia="宋体" w:cs="宋体"/>
          <w:color w:val="auto"/>
          <w:sz w:val="21"/>
          <w:szCs w:val="21"/>
        </w:rPr>
        <w:t>。</w:t>
      </w:r>
    </w:p>
    <w:p w14:paraId="5BEB3544">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10.4 变更估价</w:t>
      </w:r>
    </w:p>
    <w:p w14:paraId="3CA7E63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10.4.1 变更估价原则</w:t>
      </w:r>
    </w:p>
    <w:p w14:paraId="6765EDA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关于变更估价的约定：</w:t>
      </w:r>
    </w:p>
    <w:p w14:paraId="305B2C4C">
      <w:pPr>
        <w:pageBreakBefore w:val="0"/>
        <w:widowControl w:val="0"/>
        <w:kinsoku/>
        <w:wordWrap/>
        <w:overflowPunct/>
        <w:topLinePunct w:val="0"/>
        <w:bidi w:val="0"/>
        <w:adjustRightInd w:val="0"/>
        <w:snapToGrid w:val="0"/>
        <w:spacing w:line="360" w:lineRule="auto"/>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10.4.1.1 因工程变更引起已标价工程量清单项目或其工程数量发生变化时，按下列规定调整：</w:t>
      </w:r>
    </w:p>
    <w:p w14:paraId="47962D7C">
      <w:pPr>
        <w:pageBreakBefore w:val="0"/>
        <w:widowControl w:val="0"/>
        <w:kinsoku/>
        <w:wordWrap/>
        <w:overflowPunct/>
        <w:topLinePunct w:val="0"/>
        <w:bidi w:val="0"/>
        <w:adjustRightInd w:val="0"/>
        <w:snapToGrid w:val="0"/>
        <w:spacing w:line="360" w:lineRule="auto"/>
        <w:ind w:left="0" w:leftChars="0" w:firstLine="422" w:firstLineChars="200"/>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ascii="宋体" w:hAnsi="宋体" w:eastAsia="宋体" w:cs="宋体"/>
          <w:b/>
          <w:bCs/>
          <w:color w:val="auto"/>
          <w:sz w:val="21"/>
          <w:szCs w:val="21"/>
          <w:u w:val="single"/>
        </w:rPr>
        <w:t>【承包人报价浮动率L=（1—中标价/最高投标限价）×100%，下同】</w:t>
      </w:r>
      <w:r>
        <w:rPr>
          <w:rFonts w:hint="eastAsia" w:ascii="宋体" w:hAnsi="宋体" w:eastAsia="宋体" w:cs="宋体"/>
          <w:b/>
          <w:color w:val="auto"/>
          <w:sz w:val="21"/>
          <w:szCs w:val="21"/>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40A71D3B">
      <w:pPr>
        <w:pageBreakBefore w:val="0"/>
        <w:widowControl w:val="0"/>
        <w:kinsoku/>
        <w:wordWrap/>
        <w:overflowPunct/>
        <w:topLinePunct w:val="0"/>
        <w:bidi w:val="0"/>
        <w:adjustRightInd w:val="0"/>
        <w:snapToGrid w:val="0"/>
        <w:spacing w:line="360" w:lineRule="auto"/>
        <w:ind w:left="0" w:leftChars="0" w:firstLine="422" w:firstLineChars="200"/>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rPr>
        <w:t>（2）</w:t>
      </w:r>
      <w:r>
        <w:rPr>
          <w:rFonts w:hint="eastAsia" w:ascii="宋体" w:hAnsi="宋体" w:eastAsia="宋体" w:cs="宋体"/>
          <w:b/>
          <w:color w:val="auto"/>
          <w:sz w:val="21"/>
          <w:szCs w:val="21"/>
          <w:u w:val="single"/>
        </w:rPr>
        <w:t>已标价工程量清单中没有适用但有类似于变更工程项目的，可在合理范围内参照类似项目的单价。</w:t>
      </w:r>
    </w:p>
    <w:p w14:paraId="375F2D3A">
      <w:pPr>
        <w:pageBreakBefore w:val="0"/>
        <w:widowControl w:val="0"/>
        <w:kinsoku/>
        <w:wordWrap/>
        <w:overflowPunct/>
        <w:topLinePunct w:val="0"/>
        <w:bidi w:val="0"/>
        <w:adjustRightInd w:val="0"/>
        <w:snapToGrid w:val="0"/>
        <w:spacing w:line="360" w:lineRule="auto"/>
        <w:ind w:left="0" w:leftChars="0" w:firstLine="422" w:firstLineChars="200"/>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23C96B30">
      <w:pPr>
        <w:pageBreakBefore w:val="0"/>
        <w:widowControl w:val="0"/>
        <w:kinsoku/>
        <w:wordWrap/>
        <w:overflowPunct/>
        <w:topLinePunct w:val="0"/>
        <w:bidi w:val="0"/>
        <w:adjustRightInd w:val="0"/>
        <w:snapToGrid w:val="0"/>
        <w:spacing w:line="360" w:lineRule="auto"/>
        <w:ind w:left="0" w:leftChars="0" w:firstLine="422" w:firstLineChars="200"/>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0618BD7D">
      <w:pPr>
        <w:pageBreakBefore w:val="0"/>
        <w:widowControl w:val="0"/>
        <w:kinsoku/>
        <w:wordWrap/>
        <w:overflowPunct/>
        <w:topLinePunct w:val="0"/>
        <w:bidi w:val="0"/>
        <w:adjustRightInd w:val="0"/>
        <w:snapToGrid w:val="0"/>
        <w:spacing w:line="360" w:lineRule="auto"/>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1F594081">
      <w:pPr>
        <w:pageBreakBefore w:val="0"/>
        <w:widowControl w:val="0"/>
        <w:kinsoku/>
        <w:wordWrap/>
        <w:overflowPunct/>
        <w:topLinePunct w:val="0"/>
        <w:bidi w:val="0"/>
        <w:adjustRightInd w:val="0"/>
        <w:snapToGrid w:val="0"/>
        <w:spacing w:line="360" w:lineRule="auto"/>
        <w:ind w:left="0" w:leftChars="0" w:firstLine="422" w:firstLineChars="200"/>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u w:val="single"/>
        </w:rPr>
        <w:t>（1）按照费率计算的措施费，应按照实际发生变化的措施项目依据原招标文件规定的费率计算；</w:t>
      </w:r>
    </w:p>
    <w:p w14:paraId="148E618A">
      <w:pPr>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u w:val="single"/>
        </w:rPr>
        <w:t>（2）按照单价计算的措施项目费，应按照实际发生变化的措施项目，按本合同专业条款第10.4.1.1目计算；</w:t>
      </w:r>
    </w:p>
    <w:p w14:paraId="70A52068">
      <w:pPr>
        <w:pageBreakBefore w:val="0"/>
        <w:widowControl w:val="0"/>
        <w:kinsoku/>
        <w:wordWrap/>
        <w:overflowPunct/>
        <w:topLinePunct w:val="0"/>
        <w:bidi w:val="0"/>
        <w:adjustRightInd w:val="0"/>
        <w:snapToGrid w:val="0"/>
        <w:spacing w:line="360" w:lineRule="auto"/>
        <w:ind w:left="0" w:leftChars="0" w:firstLine="422" w:firstLineChars="200"/>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u w:val="single"/>
        </w:rPr>
        <w:t>（3）按总价（或系数）计算的措施项目费，应按照实际发生变化的措施项目和承包人报价浮动率同比下浮标准，提出新的措施项目费，作为结算的依据；</w:t>
      </w:r>
    </w:p>
    <w:p w14:paraId="2B5FF02F">
      <w:pPr>
        <w:pageBreakBefore w:val="0"/>
        <w:widowControl w:val="0"/>
        <w:kinsoku/>
        <w:wordWrap/>
        <w:overflowPunct/>
        <w:topLinePunct w:val="0"/>
        <w:bidi w:val="0"/>
        <w:adjustRightInd w:val="0"/>
        <w:snapToGrid w:val="0"/>
        <w:spacing w:line="360" w:lineRule="auto"/>
        <w:ind w:left="0" w:leftChars="0" w:firstLine="422" w:firstLineChars="200"/>
        <w:textAlignment w:val="auto"/>
        <w:rPr>
          <w:rFonts w:hint="eastAsia" w:ascii="宋体" w:hAnsi="宋体" w:eastAsia="宋体" w:cs="宋体"/>
          <w:b/>
          <w:strike/>
          <w:color w:val="auto"/>
          <w:sz w:val="21"/>
          <w:szCs w:val="21"/>
          <w:u w:val="single"/>
        </w:rPr>
      </w:pPr>
      <w:r>
        <w:rPr>
          <w:rFonts w:hint="eastAsia" w:ascii="宋体" w:hAnsi="宋体" w:eastAsia="宋体" w:cs="宋体"/>
          <w:b/>
          <w:color w:val="auto"/>
          <w:sz w:val="21"/>
          <w:szCs w:val="21"/>
          <w:u w:val="single"/>
        </w:rPr>
        <w:t>（4）如果承包人未事前将拟实施的方案提交给发包人确认，则应视为工程变更不引起措施项目费的调整或承包人放弃调整措施项目费的权利。</w:t>
      </w:r>
    </w:p>
    <w:p w14:paraId="772CD1FD">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Start w:id="862" w:name="_Toc297123544"/>
      <w:bookmarkStart w:id="863" w:name="_Toc296503197"/>
      <w:bookmarkStart w:id="864" w:name="_Toc296891237"/>
      <w:bookmarkStart w:id="865" w:name="_Toc296346698"/>
      <w:bookmarkStart w:id="866" w:name="_Toc297048383"/>
      <w:bookmarkStart w:id="867" w:name="_Toc300934993"/>
      <w:bookmarkStart w:id="868" w:name="_Toc297216203"/>
      <w:bookmarkStart w:id="869" w:name="_Toc296891025"/>
      <w:bookmarkStart w:id="870" w:name="_Toc297120497"/>
      <w:bookmarkStart w:id="871" w:name="_Toc296944536"/>
      <w:bookmarkStart w:id="872" w:name="_Toc292559402"/>
      <w:bookmarkStart w:id="873" w:name="_Toc292559907"/>
      <w:bookmarkStart w:id="874" w:name="_Toc303539150"/>
      <w:bookmarkStart w:id="875" w:name="_Toc296347196"/>
      <w:bookmarkStart w:id="876" w:name="_Toc312678029"/>
      <w:bookmarkStart w:id="877" w:name="_Toc312677503"/>
      <w:bookmarkStart w:id="878" w:name="_Toc304295570"/>
      <w:r>
        <w:rPr>
          <w:rFonts w:hint="eastAsia" w:ascii="宋体" w:hAnsi="宋体" w:eastAsia="宋体" w:cs="宋体"/>
          <w:bCs/>
          <w:color w:val="auto"/>
          <w:sz w:val="21"/>
          <w:szCs w:val="21"/>
        </w:rPr>
        <w:t>0.5 承</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Start w:id="879" w:name="_Toc296347202"/>
      <w:bookmarkStart w:id="880" w:name="_Toc303539151"/>
      <w:bookmarkStart w:id="881" w:name="_Toc296346704"/>
      <w:bookmarkStart w:id="882" w:name="_Toc296503203"/>
      <w:bookmarkStart w:id="883" w:name="_Toc292559913"/>
      <w:bookmarkStart w:id="884" w:name="_Toc297120503"/>
      <w:bookmarkStart w:id="885" w:name="_Toc296944542"/>
      <w:bookmarkStart w:id="886" w:name="_Toc300934994"/>
      <w:bookmarkStart w:id="887" w:name="_Toc296891243"/>
      <w:bookmarkStart w:id="888" w:name="_Toc297048389"/>
      <w:bookmarkStart w:id="889" w:name="_Toc297216204"/>
      <w:bookmarkStart w:id="890" w:name="_Toc296891031"/>
      <w:bookmarkStart w:id="891" w:name="_Toc292559408"/>
      <w:bookmarkStart w:id="892" w:name="_Toc297123545"/>
      <w:r>
        <w:rPr>
          <w:rFonts w:hint="eastAsia" w:ascii="宋体" w:hAnsi="宋体" w:eastAsia="宋体" w:cs="宋体"/>
          <w:bCs/>
          <w:color w:val="auto"/>
          <w:sz w:val="21"/>
          <w:szCs w:val="21"/>
        </w:rPr>
        <w:t>包人的合理化建议</w:t>
      </w:r>
    </w:p>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14:paraId="3CCB06F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监理人审查承包人合理化建议的期限：</w:t>
      </w:r>
      <w:r>
        <w:rPr>
          <w:rFonts w:hint="eastAsia" w:ascii="宋体" w:hAnsi="宋体" w:eastAsia="宋体" w:cs="宋体"/>
          <w:color w:val="auto"/>
          <w:sz w:val="21"/>
          <w:szCs w:val="21"/>
          <w:u w:val="single"/>
        </w:rPr>
        <w:t xml:space="preserve"> 3 天，最长不超过通用条款规定的期限</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25F6271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发包人审批承包人合理化建议的期限：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天，最长不超过通用条款规定的期限</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6F5DABE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w:t>
      </w:r>
      <w:bookmarkStart w:id="893" w:name="_Toc296346705"/>
      <w:bookmarkStart w:id="894" w:name="_Toc292559409"/>
      <w:bookmarkStart w:id="895" w:name="_Toc296891032"/>
      <w:bookmarkStart w:id="896" w:name="_Toc300934995"/>
      <w:bookmarkStart w:id="897" w:name="_Toc312677504"/>
      <w:bookmarkStart w:id="898" w:name="_Toc296944543"/>
      <w:bookmarkStart w:id="899" w:name="_Toc297120504"/>
      <w:bookmarkStart w:id="900" w:name="_Toc297123546"/>
      <w:bookmarkStart w:id="901" w:name="_Toc297216205"/>
      <w:bookmarkStart w:id="902" w:name="_Toc303539152"/>
      <w:bookmarkStart w:id="903" w:name="_Toc312678030"/>
      <w:bookmarkStart w:id="904" w:name="_Toc296891244"/>
      <w:bookmarkStart w:id="905" w:name="_Toc296503204"/>
      <w:bookmarkStart w:id="906" w:name="_Toc297048390"/>
      <w:bookmarkStart w:id="907" w:name="_Toc304295571"/>
      <w:bookmarkStart w:id="908" w:name="_Toc318581175"/>
      <w:bookmarkStart w:id="909" w:name="_Toc292559914"/>
      <w:bookmarkStart w:id="910" w:name="_Toc296347203"/>
      <w:r>
        <w:rPr>
          <w:rFonts w:hint="eastAsia" w:ascii="宋体" w:hAnsi="宋体" w:eastAsia="宋体" w:cs="宋体"/>
          <w:color w:val="auto"/>
          <w:sz w:val="21"/>
          <w:szCs w:val="21"/>
        </w:rPr>
        <w:t>包人提出的合理化建议降低了合同价格或者提高了工程经济效益的奖励的方法和金额为：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rPr>
        <w:t>。</w:t>
      </w:r>
    </w:p>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14:paraId="03DE00EE">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w:t>
      </w:r>
      <w:bookmarkStart w:id="911" w:name="_Toc292559909"/>
      <w:bookmarkStart w:id="912" w:name="_Toc296944538"/>
      <w:bookmarkStart w:id="913" w:name="_Toc296891027"/>
      <w:bookmarkStart w:id="914" w:name="_Toc296347198"/>
      <w:bookmarkStart w:id="915" w:name="_Toc297123548"/>
      <w:bookmarkStart w:id="916" w:name="_Toc297120499"/>
      <w:bookmarkStart w:id="917" w:name="_Toc304295574"/>
      <w:bookmarkStart w:id="918" w:name="_Toc303539154"/>
      <w:bookmarkStart w:id="919" w:name="_Toc292559404"/>
      <w:bookmarkStart w:id="920" w:name="_Toc300934997"/>
      <w:bookmarkStart w:id="921" w:name="_Toc297216207"/>
      <w:bookmarkStart w:id="922" w:name="_Toc296503199"/>
      <w:bookmarkStart w:id="923" w:name="_Toc312678033"/>
      <w:bookmarkStart w:id="924" w:name="_Toc296891239"/>
      <w:bookmarkStart w:id="925" w:name="_Toc312677507"/>
      <w:bookmarkStart w:id="926" w:name="_Toc296346700"/>
      <w:bookmarkStart w:id="927" w:name="_Toc297048385"/>
      <w:r>
        <w:rPr>
          <w:rFonts w:hint="eastAsia" w:ascii="宋体" w:hAnsi="宋体" w:eastAsia="宋体" w:cs="宋体"/>
          <w:bCs/>
          <w:color w:val="auto"/>
          <w:sz w:val="21"/>
          <w:szCs w:val="21"/>
        </w:rPr>
        <w:t>0.7 暂估价</w:t>
      </w:r>
    </w:p>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14:paraId="63B38A0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暂</w:t>
      </w:r>
      <w:bookmarkStart w:id="928" w:name="_Toc318581176"/>
      <w:bookmarkStart w:id="929" w:name="_Toc312678034"/>
      <w:bookmarkStart w:id="930" w:name="_Toc312677508"/>
      <w:r>
        <w:rPr>
          <w:rFonts w:hint="eastAsia" w:ascii="宋体" w:hAnsi="宋体" w:eastAsia="宋体" w:cs="宋体"/>
          <w:color w:val="auto"/>
          <w:sz w:val="21"/>
          <w:szCs w:val="21"/>
        </w:rPr>
        <w:t>估价材料和工程设备的明细见附件12：《暂估价一览表》。</w:t>
      </w:r>
    </w:p>
    <w:bookmarkEnd w:id="928"/>
    <w:bookmarkEnd w:id="929"/>
    <w:bookmarkEnd w:id="930"/>
    <w:p w14:paraId="18E477A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931" w:name="_Toc318581177"/>
      <w:bookmarkStart w:id="932" w:name="_Toc312677509"/>
      <w:bookmarkStart w:id="933" w:name="_Toc312678035"/>
      <w:r>
        <w:rPr>
          <w:rFonts w:hint="eastAsia" w:ascii="宋体" w:hAnsi="宋体" w:eastAsia="宋体" w:cs="宋体"/>
          <w:color w:val="auto"/>
          <w:sz w:val="21"/>
          <w:szCs w:val="21"/>
        </w:rPr>
        <w:t>0.7.1 依法必须招标的暂估价项目</w:t>
      </w:r>
    </w:p>
    <w:bookmarkEnd w:id="931"/>
    <w:bookmarkEnd w:id="932"/>
    <w:bookmarkEnd w:id="933"/>
    <w:p w14:paraId="03C37EF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对于依法必须招标的暂估价项目的确认和批准采取第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种方式确定。</w:t>
      </w:r>
    </w:p>
    <w:p w14:paraId="71A16D9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10.7.2 不属于依法必须招标的暂估价项目</w:t>
      </w:r>
    </w:p>
    <w:p w14:paraId="608C48D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对于不属于依法必须招标的暂估价项目的确认和批准采取第</w:t>
      </w:r>
      <w:r>
        <w:rPr>
          <w:rFonts w:hint="eastAsia" w:ascii="宋体" w:hAnsi="宋体" w:eastAsia="宋体" w:cs="宋体"/>
          <w:color w:val="auto"/>
          <w:sz w:val="21"/>
          <w:szCs w:val="21"/>
          <w:u w:val="single"/>
        </w:rPr>
        <w:t>1</w:t>
      </w:r>
      <w:r>
        <w:rPr>
          <w:rFonts w:hint="eastAsia" w:ascii="宋体" w:hAnsi="宋体" w:eastAsia="宋体" w:cs="宋体"/>
          <w:color w:val="auto"/>
          <w:sz w:val="21"/>
          <w:szCs w:val="21"/>
        </w:rPr>
        <w:t>种方式确定。</w:t>
      </w:r>
    </w:p>
    <w:p w14:paraId="67A930C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第3种方式：承包人直接实施的暂估价项目</w:t>
      </w:r>
    </w:p>
    <w:p w14:paraId="6F211F6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承包人直接实施的暂估价项目的约定：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65BD90F">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10.8 暂列金额</w:t>
      </w:r>
    </w:p>
    <w:p w14:paraId="6E607F9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合同当事人关于暂列金额使用的约定：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9E77F9B">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934" w:name="_Toc351203643"/>
      <w:r>
        <w:rPr>
          <w:rFonts w:hint="eastAsia" w:ascii="宋体" w:hAnsi="宋体" w:eastAsia="宋体" w:cs="宋体"/>
          <w:color w:val="auto"/>
          <w:sz w:val="21"/>
          <w:szCs w:val="21"/>
        </w:rPr>
        <w:t>11. 价格调整</w:t>
      </w:r>
      <w:bookmarkEnd w:id="934"/>
    </w:p>
    <w:p w14:paraId="257DB605">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bookmarkStart w:id="935" w:name="_Toc296891029"/>
      <w:bookmarkStart w:id="936" w:name="_Toc300935000"/>
      <w:bookmarkStart w:id="937" w:name="_Toc312678039"/>
      <w:bookmarkStart w:id="938" w:name="_Toc296346702"/>
      <w:bookmarkStart w:id="939" w:name="_Toc296891241"/>
      <w:bookmarkStart w:id="940" w:name="_Toc296944540"/>
      <w:bookmarkStart w:id="941" w:name="_Toc303539157"/>
      <w:bookmarkStart w:id="942" w:name="_Toc292559911"/>
      <w:bookmarkStart w:id="943" w:name="_Toc296347200"/>
      <w:bookmarkStart w:id="944" w:name="_Toc297216209"/>
      <w:bookmarkStart w:id="945" w:name="_Toc296503201"/>
      <w:bookmarkStart w:id="946" w:name="_Toc297048387"/>
      <w:bookmarkStart w:id="947" w:name="_Toc297120501"/>
      <w:bookmarkStart w:id="948" w:name="_Toc292559406"/>
      <w:bookmarkStart w:id="949" w:name="_Toc304295577"/>
      <w:bookmarkStart w:id="950" w:name="_Toc297123550"/>
      <w:r>
        <w:rPr>
          <w:rFonts w:hint="eastAsia" w:ascii="宋体" w:hAnsi="宋体" w:eastAsia="宋体" w:cs="宋体"/>
          <w:bCs/>
          <w:color w:val="auto"/>
          <w:sz w:val="21"/>
          <w:szCs w:val="21"/>
        </w:rPr>
        <w:t>11.1 市场价格波动引起的调整</w:t>
      </w:r>
    </w:p>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14:paraId="31CF79F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市场价格波动是否调整合同价格的约定：</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746D27D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因市场价格波动调整合同价格，采用以下第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种方式对合同价格进行调整：</w:t>
      </w:r>
    </w:p>
    <w:p w14:paraId="624AD70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第1种方式：采用价格指数进行价格调整。</w:t>
      </w:r>
    </w:p>
    <w:p w14:paraId="6C85D1F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关于各可调因子、定值和变值权重，以及基本价格指数及其来源的约定：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77C86BC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第2种方式：采用造价信息进行价格调整。</w:t>
      </w:r>
    </w:p>
    <w:p w14:paraId="4AAD6E6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（1）可调整价格的主要材料范围的约定：</w:t>
      </w:r>
      <w:r>
        <w:rPr>
          <w:rFonts w:hint="eastAsia" w:ascii="宋体" w:hAnsi="宋体" w:eastAsia="宋体" w:cs="宋体"/>
          <w:color w:val="auto"/>
          <w:sz w:val="21"/>
          <w:szCs w:val="21"/>
          <w:u w:val="single"/>
        </w:rPr>
        <w:t>材料价格调整执行建函〔2021〕279号文，合同履约期间主要材料的材料单价因市场价格波动给予调整</w:t>
      </w:r>
      <w:r>
        <w:rPr>
          <w:rFonts w:hint="eastAsia" w:ascii="宋体" w:hAnsi="宋体" w:eastAsia="宋体" w:cs="宋体"/>
          <w:color w:val="auto"/>
          <w:sz w:val="21"/>
          <w:szCs w:val="21"/>
        </w:rPr>
        <w:t>；</w:t>
      </w:r>
    </w:p>
    <w:p w14:paraId="3C4B36F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（2）主要材料价差调整周期的约定：</w:t>
      </w:r>
      <w:r>
        <w:rPr>
          <w:rFonts w:hint="eastAsia" w:ascii="宋体" w:hAnsi="宋体" w:eastAsia="宋体" w:cs="宋体"/>
          <w:color w:val="auto"/>
          <w:sz w:val="21"/>
          <w:szCs w:val="21"/>
          <w:u w:val="single"/>
        </w:rPr>
        <w:t xml:space="preserve"> 合同工期内，因承包人原因造成工期延误的，延误期间遇材 料价格波动造成的损失由承包人承担 </w:t>
      </w:r>
      <w:r>
        <w:rPr>
          <w:rFonts w:hint="eastAsia" w:ascii="宋体" w:hAnsi="宋体" w:eastAsia="宋体" w:cs="宋体"/>
          <w:color w:val="auto"/>
          <w:sz w:val="21"/>
          <w:szCs w:val="21"/>
        </w:rPr>
        <w:t>；</w:t>
      </w:r>
    </w:p>
    <w:p w14:paraId="5AF9B59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（3）主要材料价差调整计算方法的约定：</w:t>
      </w:r>
      <w:r>
        <w:rPr>
          <w:rFonts w:hint="eastAsia" w:ascii="宋体" w:hAnsi="宋体" w:eastAsia="宋体" w:cs="宋体"/>
          <w:color w:val="auto"/>
          <w:sz w:val="21"/>
          <w:szCs w:val="21"/>
          <w:u w:val="single"/>
        </w:rPr>
        <w:t>约定范围内的可调价材料在调整周期内发生市场价格波动执行铜陵市建函〔2021〕279号《关于我市建筑工程材料价差调整的通知》</w:t>
      </w:r>
      <w:r>
        <w:rPr>
          <w:rFonts w:hint="eastAsia" w:ascii="宋体" w:hAnsi="宋体" w:eastAsia="宋体" w:cs="宋体"/>
          <w:color w:val="auto"/>
          <w:sz w:val="21"/>
          <w:szCs w:val="21"/>
          <w:lang w:eastAsia="zh-CN"/>
        </w:rPr>
        <w:t>；</w:t>
      </w:r>
    </w:p>
    <w:p w14:paraId="44FDDF4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（4）主要材料价差调整时间的约定：</w:t>
      </w:r>
      <w:r>
        <w:rPr>
          <w:rFonts w:hint="eastAsia" w:ascii="宋体" w:hAnsi="宋体" w:eastAsia="宋体" w:cs="宋体"/>
          <w:color w:val="auto"/>
          <w:sz w:val="21"/>
          <w:szCs w:val="21"/>
          <w:u w:val="single"/>
        </w:rPr>
        <w:t xml:space="preserve"> 工程初步结算审核时 </w:t>
      </w:r>
      <w:r>
        <w:rPr>
          <w:rFonts w:hint="eastAsia" w:ascii="宋体" w:hAnsi="宋体" w:eastAsia="宋体" w:cs="宋体"/>
          <w:color w:val="auto"/>
          <w:sz w:val="21"/>
          <w:szCs w:val="21"/>
        </w:rPr>
        <w:t>。</w:t>
      </w:r>
    </w:p>
    <w:p w14:paraId="7C59D1A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（2）关于基准价格的约定：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623F51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%时，或材料单价跌幅以已标价工程量清单或预算书中载明材料单价为基础超过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5 </w:t>
      </w:r>
      <w:r>
        <w:rPr>
          <w:rFonts w:hint="eastAsia" w:ascii="宋体" w:hAnsi="宋体" w:eastAsia="宋体" w:cs="宋体"/>
          <w:color w:val="auto"/>
          <w:sz w:val="21"/>
          <w:szCs w:val="21"/>
        </w:rPr>
        <w:t>%时，其超过部分据实调整。</w:t>
      </w:r>
    </w:p>
    <w:p w14:paraId="706AA86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%时，材料单价涨幅以已标价工程量清单或预算书中载明材料单价为基础超过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%时，其超过部分据实调整。</w:t>
      </w:r>
    </w:p>
    <w:p w14:paraId="1305078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%时，其超过部分据实调整。</w:t>
      </w:r>
    </w:p>
    <w:p w14:paraId="14AB42D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第3种方式：其他价格调整方式：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838"/>
    <w:bookmarkEnd w:id="839"/>
    <w:bookmarkEnd w:id="840"/>
    <w:bookmarkEnd w:id="841"/>
    <w:bookmarkEnd w:id="842"/>
    <w:bookmarkEnd w:id="843"/>
    <w:p w14:paraId="59B70573">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951" w:name="_Toc297120505"/>
      <w:bookmarkStart w:id="952" w:name="_Toc296944544"/>
      <w:bookmarkStart w:id="953" w:name="_Toc292559915"/>
      <w:bookmarkStart w:id="954" w:name="_Toc296346706"/>
      <w:bookmarkStart w:id="955" w:name="_Toc296891245"/>
      <w:bookmarkStart w:id="956" w:name="_Toc296503205"/>
      <w:bookmarkStart w:id="957" w:name="_Toc296347204"/>
      <w:bookmarkStart w:id="958" w:name="_Toc292559410"/>
      <w:bookmarkStart w:id="959" w:name="_Toc296891033"/>
      <w:bookmarkStart w:id="960" w:name="_Toc297048391"/>
      <w:bookmarkStart w:id="961" w:name="_Toc351203644"/>
      <w:bookmarkStart w:id="962" w:name="_Toc303539159"/>
      <w:bookmarkStart w:id="963" w:name="_Toc312678040"/>
      <w:bookmarkStart w:id="964" w:name="_Toc300935002"/>
      <w:bookmarkStart w:id="965" w:name="_Toc304295579"/>
      <w:bookmarkStart w:id="966" w:name="_Toc297216211"/>
      <w:bookmarkStart w:id="967" w:name="_Toc297123552"/>
      <w:r>
        <w:rPr>
          <w:rFonts w:hint="eastAsia" w:ascii="宋体" w:hAnsi="宋体" w:eastAsia="宋体" w:cs="宋体"/>
          <w:color w:val="auto"/>
          <w:sz w:val="21"/>
          <w:szCs w:val="21"/>
        </w:rPr>
        <w:t xml:space="preserve">12. </w:t>
      </w:r>
      <w:bookmarkEnd w:id="951"/>
      <w:bookmarkEnd w:id="952"/>
      <w:bookmarkEnd w:id="953"/>
      <w:bookmarkEnd w:id="954"/>
      <w:bookmarkEnd w:id="955"/>
      <w:bookmarkEnd w:id="956"/>
      <w:bookmarkEnd w:id="957"/>
      <w:bookmarkEnd w:id="958"/>
      <w:bookmarkEnd w:id="959"/>
      <w:bookmarkEnd w:id="960"/>
      <w:r>
        <w:rPr>
          <w:rFonts w:hint="eastAsia" w:ascii="宋体" w:hAnsi="宋体" w:eastAsia="宋体" w:cs="宋体"/>
          <w:color w:val="auto"/>
          <w:sz w:val="21"/>
          <w:szCs w:val="21"/>
        </w:rPr>
        <w:t>合同价格、计量与支付</w:t>
      </w:r>
      <w:bookmarkEnd w:id="961"/>
    </w:p>
    <w:bookmarkEnd w:id="962"/>
    <w:bookmarkEnd w:id="963"/>
    <w:bookmarkEnd w:id="964"/>
    <w:bookmarkEnd w:id="965"/>
    <w:bookmarkEnd w:id="966"/>
    <w:bookmarkEnd w:id="967"/>
    <w:p w14:paraId="164FA5DA">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bookmarkStart w:id="968" w:name="_Toc267251461"/>
      <w:bookmarkStart w:id="969" w:name="_Toc292559916"/>
      <w:bookmarkStart w:id="970" w:name="_Toc292559411"/>
      <w:bookmarkStart w:id="971" w:name="_Toc296503206"/>
      <w:bookmarkStart w:id="972" w:name="_Toc296944545"/>
      <w:bookmarkStart w:id="973" w:name="_Toc297120506"/>
      <w:bookmarkStart w:id="974" w:name="_Toc296891034"/>
      <w:bookmarkStart w:id="975" w:name="_Toc296347205"/>
      <w:bookmarkStart w:id="976" w:name="_Toc296891246"/>
      <w:bookmarkStart w:id="977" w:name="_Toc297048392"/>
      <w:bookmarkStart w:id="978" w:name="_Toc296346707"/>
      <w:bookmarkStart w:id="979" w:name="_Toc304295580"/>
      <w:bookmarkStart w:id="980" w:name="_Toc297123553"/>
      <w:bookmarkStart w:id="981" w:name="_Toc300935003"/>
      <w:bookmarkStart w:id="982" w:name="_Toc297216212"/>
      <w:bookmarkStart w:id="983" w:name="_Toc312678041"/>
      <w:bookmarkStart w:id="984" w:name="_Toc303539160"/>
      <w:r>
        <w:rPr>
          <w:rFonts w:hint="eastAsia" w:ascii="宋体" w:hAnsi="宋体" w:eastAsia="宋体" w:cs="宋体"/>
          <w:bCs/>
          <w:color w:val="auto"/>
          <w:sz w:val="21"/>
          <w:szCs w:val="21"/>
        </w:rPr>
        <w:t>12.1 合</w:t>
      </w:r>
      <w:bookmarkEnd w:id="968"/>
      <w:bookmarkEnd w:id="969"/>
      <w:bookmarkEnd w:id="970"/>
      <w:r>
        <w:rPr>
          <w:rFonts w:hint="eastAsia" w:ascii="宋体" w:hAnsi="宋体" w:eastAsia="宋体" w:cs="宋体"/>
          <w:bCs/>
          <w:color w:val="auto"/>
          <w:sz w:val="21"/>
          <w:szCs w:val="21"/>
        </w:rPr>
        <w:t>同价</w:t>
      </w:r>
      <w:bookmarkEnd w:id="971"/>
      <w:bookmarkEnd w:id="972"/>
      <w:bookmarkEnd w:id="973"/>
      <w:bookmarkEnd w:id="974"/>
      <w:bookmarkEnd w:id="975"/>
      <w:bookmarkEnd w:id="976"/>
      <w:bookmarkEnd w:id="977"/>
      <w:bookmarkEnd w:id="978"/>
      <w:r>
        <w:rPr>
          <w:rFonts w:hint="eastAsia" w:ascii="宋体" w:hAnsi="宋体" w:eastAsia="宋体" w:cs="宋体"/>
          <w:bCs/>
          <w:color w:val="auto"/>
          <w:sz w:val="21"/>
          <w:szCs w:val="21"/>
        </w:rPr>
        <w:t>格形式</w:t>
      </w:r>
    </w:p>
    <w:bookmarkEnd w:id="979"/>
    <w:bookmarkEnd w:id="980"/>
    <w:bookmarkEnd w:id="981"/>
    <w:bookmarkEnd w:id="982"/>
    <w:bookmarkEnd w:id="983"/>
    <w:bookmarkEnd w:id="984"/>
    <w:p w14:paraId="5B3A464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（1）单价合同。</w:t>
      </w:r>
    </w:p>
    <w:p w14:paraId="150C5C6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综合单价包含的风险范围：</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0E85A24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风险费用的计算方法：</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7F8E37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59BC15B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（2）总价合同。</w:t>
      </w:r>
    </w:p>
    <w:p w14:paraId="1B9EDCD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总价包含的风险范围：</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7A5296B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风险费用的计算方法：</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045BE6B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0425C9A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（3）其他价格方式：</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5E1F538E">
      <w:pPr>
        <w:keepNext/>
        <w:keepLines/>
        <w:pageBreakBefore w:val="0"/>
        <w:widowControl w:val="0"/>
        <w:kinsoku/>
        <w:wordWrap/>
        <w:overflowPunct/>
        <w:topLinePunct w:val="0"/>
        <w:autoSpaceDE/>
        <w:autoSpaceDN/>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bookmarkStart w:id="985" w:name="_Toc303539161"/>
      <w:bookmarkStart w:id="986" w:name="_Toc304295581"/>
      <w:bookmarkStart w:id="987" w:name="_Toc297216213"/>
      <w:bookmarkStart w:id="988" w:name="_Toc312678042"/>
      <w:bookmarkStart w:id="989" w:name="_Toc300935004"/>
      <w:bookmarkStart w:id="990" w:name="_Toc297123554"/>
      <w:bookmarkStart w:id="991" w:name="_Toc297048393"/>
      <w:bookmarkStart w:id="992" w:name="_Toc296347206"/>
      <w:bookmarkStart w:id="993" w:name="_Toc296944546"/>
      <w:bookmarkStart w:id="994" w:name="_Toc297120507"/>
      <w:bookmarkStart w:id="995" w:name="_Toc296891247"/>
      <w:bookmarkStart w:id="996" w:name="_Toc292559412"/>
      <w:bookmarkStart w:id="997" w:name="_Toc296503207"/>
      <w:bookmarkStart w:id="998" w:name="_Toc296891035"/>
      <w:bookmarkStart w:id="999" w:name="_Toc292559917"/>
      <w:bookmarkStart w:id="1000" w:name="_Toc296346708"/>
      <w:r>
        <w:rPr>
          <w:rFonts w:hint="eastAsia" w:ascii="宋体" w:hAnsi="宋体" w:eastAsia="宋体" w:cs="宋体"/>
          <w:bCs/>
          <w:color w:val="auto"/>
          <w:sz w:val="21"/>
          <w:szCs w:val="21"/>
        </w:rPr>
        <w:t>12.2 预付款</w:t>
      </w:r>
    </w:p>
    <w:bookmarkEnd w:id="985"/>
    <w:bookmarkEnd w:id="986"/>
    <w:bookmarkEnd w:id="987"/>
    <w:bookmarkEnd w:id="988"/>
    <w:bookmarkEnd w:id="989"/>
    <w:bookmarkEnd w:id="990"/>
    <w:p w14:paraId="06030728">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12.2.1 预付款的支付</w:t>
      </w:r>
    </w:p>
    <w:p w14:paraId="3C6232A4">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预付款支付比例或金额：</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6820642C">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预付款支付期限：</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4DBC25AD">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预付款扣回的方式：</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2E319E80">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12.2.2 预付款担保</w:t>
      </w:r>
    </w:p>
    <w:p w14:paraId="4378E36C">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承包人提交预付款担保的期限：</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CFE2EB6">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预付款担保的形式为：</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bookmarkEnd w:id="991"/>
    <w:bookmarkEnd w:id="992"/>
    <w:bookmarkEnd w:id="993"/>
    <w:bookmarkEnd w:id="994"/>
    <w:bookmarkEnd w:id="995"/>
    <w:bookmarkEnd w:id="996"/>
    <w:bookmarkEnd w:id="997"/>
    <w:bookmarkEnd w:id="998"/>
    <w:bookmarkEnd w:id="999"/>
    <w:bookmarkEnd w:id="1000"/>
    <w:p w14:paraId="5E621F98">
      <w:pPr>
        <w:keepNext/>
        <w:keepLines/>
        <w:pageBreakBefore w:val="0"/>
        <w:widowControl w:val="0"/>
        <w:kinsoku/>
        <w:wordWrap/>
        <w:overflowPunct/>
        <w:topLinePunct w:val="0"/>
        <w:autoSpaceDE/>
        <w:autoSpaceDN/>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12.3 计量</w:t>
      </w:r>
    </w:p>
    <w:p w14:paraId="5FFF953C">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12.3.1 计量原则</w:t>
      </w:r>
    </w:p>
    <w:p w14:paraId="6DECBB6F">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shd w:val="clear" w:fill="4F81BD" w:themeFill="accent1"/>
        </w:rPr>
      </w:pPr>
      <w:r>
        <w:rPr>
          <w:rFonts w:hint="eastAsia" w:ascii="宋体" w:hAnsi="宋体" w:eastAsia="宋体" w:cs="宋体"/>
          <w:color w:val="auto"/>
          <w:sz w:val="21"/>
          <w:szCs w:val="21"/>
        </w:rPr>
        <w:t>工程量计算规则：</w:t>
      </w:r>
      <w:r>
        <w:rPr>
          <w:rFonts w:hint="eastAsia" w:ascii="宋体" w:hAnsi="宋体" w:eastAsia="宋体" w:cs="宋体"/>
          <w:color w:val="auto"/>
          <w:sz w:val="21"/>
          <w:szCs w:val="21"/>
          <w:u w:val="single"/>
        </w:rPr>
        <w:t>按</w:t>
      </w:r>
      <w:r>
        <w:rPr>
          <w:rFonts w:hint="eastAsia" w:ascii="宋体" w:hAnsi="宋体" w:eastAsia="宋体" w:cs="宋体"/>
          <w:color w:val="auto"/>
          <w:sz w:val="21"/>
          <w:szCs w:val="21"/>
          <w:u w:val="single"/>
          <w:lang w:eastAsia="zh-CN"/>
        </w:rPr>
        <w:t>采购</w:t>
      </w:r>
      <w:r>
        <w:rPr>
          <w:rFonts w:hint="eastAsia" w:ascii="宋体" w:hAnsi="宋体" w:eastAsia="宋体" w:cs="宋体"/>
          <w:color w:val="auto"/>
          <w:sz w:val="21"/>
          <w:szCs w:val="21"/>
          <w:u w:val="single"/>
        </w:rPr>
        <w:t>工程量清单及最高投标限价所采用的工程量清单计价规范及配套文件等。</w:t>
      </w:r>
    </w:p>
    <w:p w14:paraId="5E8E800F">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12.3.2 计量周期</w:t>
      </w:r>
    </w:p>
    <w:p w14:paraId="3033EB8D">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关于计量周期的约定</w:t>
      </w:r>
      <w:r>
        <w:rPr>
          <w:rFonts w:hint="eastAsia" w:ascii="宋体" w:hAnsi="宋体" w:eastAsia="宋体" w:cs="宋体"/>
          <w:b/>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b/>
          <w:color w:val="auto"/>
          <w:sz w:val="21"/>
          <w:szCs w:val="21"/>
        </w:rPr>
        <w:t>。</w:t>
      </w:r>
    </w:p>
    <w:p w14:paraId="78A681D6">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12.3.3 单价合同的计量</w:t>
      </w:r>
    </w:p>
    <w:p w14:paraId="47CD0180">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关于单价合同计量的约定：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043AB7D3">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12.3.4 总价合同的计量</w:t>
      </w:r>
    </w:p>
    <w:p w14:paraId="72327B8E">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关于总价合同计量的约定：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9F48D53">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12.3.5 总价合同采用支付分解表计量支付的，是否适用第12.3.4项〔总价合同的计量〕约定进行计量：</w:t>
      </w:r>
      <w:r>
        <w:rPr>
          <w:rFonts w:hint="eastAsia" w:ascii="宋体" w:hAnsi="宋体" w:eastAsia="宋体" w:cs="宋体"/>
          <w:color w:val="auto"/>
          <w:sz w:val="21"/>
          <w:szCs w:val="21"/>
          <w:u w:val="single"/>
        </w:rPr>
        <w:t xml:space="preserve">    </w:t>
      </w:r>
      <w:r>
        <w:rPr>
          <w:rFonts w:hint="eastAsia" w:ascii="宋体" w:hAnsi="宋体" w:eastAsia="宋体" w:cs="宋体"/>
          <w:b/>
          <w:color w:val="auto"/>
          <w:sz w:val="21"/>
          <w:szCs w:val="21"/>
        </w:rPr>
        <w:t>。</w:t>
      </w:r>
    </w:p>
    <w:p w14:paraId="5B0D7698">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12.3.6 其他价格形式合同的计量</w:t>
      </w:r>
    </w:p>
    <w:p w14:paraId="2260ADFE">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其他价格形式的计量方式和程序：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613ECB6">
      <w:pPr>
        <w:keepNext/>
        <w:keepLines/>
        <w:pageBreakBefore w:val="0"/>
        <w:widowControl w:val="0"/>
        <w:kinsoku/>
        <w:wordWrap/>
        <w:overflowPunct/>
        <w:topLinePunct w:val="0"/>
        <w:autoSpaceDE/>
        <w:autoSpaceDN/>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12.4 工程进度款支付</w:t>
      </w:r>
    </w:p>
    <w:p w14:paraId="45B75321">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bookmarkStart w:id="1001" w:name="_Toc297048397"/>
      <w:bookmarkStart w:id="1002" w:name="_Toc296503211"/>
      <w:bookmarkStart w:id="1003" w:name="_Toc296891039"/>
      <w:bookmarkStart w:id="1004" w:name="_Toc297216215"/>
      <w:bookmarkStart w:id="1005" w:name="_Toc297120511"/>
      <w:bookmarkStart w:id="1006" w:name="_Toc296346712"/>
      <w:bookmarkStart w:id="1007" w:name="_Toc296347210"/>
      <w:bookmarkStart w:id="1008" w:name="_Toc303539163"/>
      <w:bookmarkStart w:id="1009" w:name="_Toc300935006"/>
      <w:bookmarkStart w:id="1010" w:name="_Toc292559416"/>
      <w:bookmarkStart w:id="1011" w:name="_Toc297123556"/>
      <w:bookmarkStart w:id="1012" w:name="_Toc296891251"/>
      <w:bookmarkStart w:id="1013" w:name="_Toc292559921"/>
      <w:bookmarkStart w:id="1014" w:name="_Toc296944550"/>
      <w:r>
        <w:rPr>
          <w:rFonts w:hint="eastAsia" w:ascii="宋体" w:hAnsi="宋体" w:eastAsia="宋体" w:cs="宋体"/>
          <w:color w:val="auto"/>
          <w:sz w:val="21"/>
          <w:szCs w:val="21"/>
        </w:rPr>
        <w:t>12.4.1 付款周期</w:t>
      </w:r>
    </w:p>
    <w:p w14:paraId="5F9820CC">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关于付款周期的约定：</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170D732E">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12.4.2 进度付款申请单的编制</w:t>
      </w:r>
    </w:p>
    <w:p w14:paraId="36F98C77">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关于进度付款申请单编制的约定：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采购人支付本项目合同金额的40%为预付款；已完成施工合同约定节点工作内容，工程质量合格或达到合同约定目标的，予以办理施工过程结算竣工结算前全部节点的施工过程结算价款(含工程预付款)支付比例85%；竣工工程结算经审核后付至审定价的100%，在收到供应商发票后7个工作日内一次性付清。质保金为工程结算审核价的3%。(待工程缺陷责任期满无质量问题后一次性返还。不得变相以质保金名义占用合同尾款)</w:t>
      </w:r>
      <w:r>
        <w:rPr>
          <w:rFonts w:hint="eastAsia" w:ascii="宋体" w:hAnsi="宋体" w:eastAsia="宋体" w:cs="宋体"/>
          <w:color w:val="auto"/>
          <w:sz w:val="21"/>
          <w:szCs w:val="21"/>
        </w:rPr>
        <w:t>。</w:t>
      </w:r>
    </w:p>
    <w:p w14:paraId="79E00061">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single"/>
        </w:rPr>
        <w:t>供应商</w:t>
      </w:r>
      <w:r>
        <w:rPr>
          <w:rFonts w:hint="eastAsia" w:ascii="宋体" w:hAnsi="宋体" w:eastAsia="宋体" w:cs="宋体"/>
          <w:color w:val="auto"/>
          <w:sz w:val="21"/>
          <w:szCs w:val="21"/>
          <w:u w:val="single"/>
          <w:lang w:val="en-US" w:eastAsia="zh-CN"/>
        </w:rPr>
        <w:t>可</w:t>
      </w:r>
      <w:r>
        <w:rPr>
          <w:rFonts w:hint="eastAsia" w:ascii="宋体" w:hAnsi="宋体" w:eastAsia="宋体" w:cs="宋体"/>
          <w:color w:val="auto"/>
          <w:sz w:val="21"/>
          <w:szCs w:val="21"/>
          <w:u w:val="single"/>
        </w:rPr>
        <w:t>提供相应金额的银行、保险公司、担保公司等金融机构出具的预付款保函或 其他担保措施</w:t>
      </w:r>
      <w:r>
        <w:rPr>
          <w:rFonts w:hint="eastAsia" w:ascii="宋体" w:hAnsi="宋体" w:eastAsia="宋体" w:cs="宋体"/>
          <w:color w:val="auto"/>
          <w:sz w:val="21"/>
          <w:szCs w:val="21"/>
          <w:u w:val="single"/>
          <w:lang w:eastAsia="zh-CN"/>
        </w:rPr>
        <w:t>。</w:t>
      </w:r>
    </w:p>
    <w:p w14:paraId="762AC5D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r>
        <w:rPr>
          <w:rFonts w:hint="eastAsia" w:ascii="宋体" w:hAnsi="宋体" w:eastAsia="宋体" w:cs="宋体"/>
          <w:color w:val="auto"/>
          <w:sz w:val="21"/>
          <w:szCs w:val="21"/>
        </w:rPr>
        <w:t>2.4.3 进度付款申请单的提交</w:t>
      </w:r>
    </w:p>
    <w:p w14:paraId="548733B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（1）单价合同进度付款申请单提交的约定：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08872C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（2）总价合同进度付款申请单提交的约定：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E64DF2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（3）其他价格形式合同进度付款申请单提交的约定：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A130C2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12.4.4 进度款审核和支付</w:t>
      </w:r>
    </w:p>
    <w:p w14:paraId="47066AB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（1）监理人审查并报送发包人的期限：</w:t>
      </w:r>
      <w:r>
        <w:rPr>
          <w:rFonts w:hint="eastAsia" w:ascii="宋体" w:hAnsi="宋体" w:eastAsia="宋体" w:cs="宋体"/>
          <w:color w:val="auto"/>
          <w:sz w:val="21"/>
          <w:szCs w:val="21"/>
          <w:u w:val="single"/>
        </w:rPr>
        <w:t xml:space="preserve"> 自收到之日起七天内 </w:t>
      </w:r>
      <w:r>
        <w:rPr>
          <w:rFonts w:hint="eastAsia" w:ascii="宋体" w:hAnsi="宋体" w:eastAsia="宋体" w:cs="宋体"/>
          <w:color w:val="auto"/>
          <w:sz w:val="21"/>
          <w:szCs w:val="21"/>
        </w:rPr>
        <w:t>。</w:t>
      </w:r>
    </w:p>
    <w:p w14:paraId="3EFA347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发包人完成审批并签发进度款支付证书的期限：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8E1479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（2）发包人支付进度款的期限：</w:t>
      </w:r>
      <w:r>
        <w:rPr>
          <w:rFonts w:hint="eastAsia" w:ascii="宋体" w:hAnsi="宋体" w:eastAsia="宋体" w:cs="宋体"/>
          <w:color w:val="auto"/>
          <w:sz w:val="21"/>
          <w:szCs w:val="21"/>
          <w:u w:val="single"/>
        </w:rPr>
        <w:t xml:space="preserve"> 应在进度款支付证书签发后 14 天内 </w:t>
      </w:r>
      <w:r>
        <w:rPr>
          <w:rFonts w:hint="eastAsia" w:ascii="宋体" w:hAnsi="宋体" w:eastAsia="宋体" w:cs="宋体"/>
          <w:color w:val="auto"/>
          <w:sz w:val="21"/>
          <w:szCs w:val="21"/>
        </w:rPr>
        <w:t>。</w:t>
      </w:r>
    </w:p>
    <w:p w14:paraId="5BA37D5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发包人逾期支付进度款的违约金的计算方式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82336E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12.4.6 支付分解表的编制</w:t>
      </w:r>
    </w:p>
    <w:p w14:paraId="3598660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（2）总价合同支付分解表的编制与审批：</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06EDF26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（3）单价合同的总价项目支付分解表的编制与审批：</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3008E6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12.4.7 农民工工资管理</w:t>
      </w:r>
    </w:p>
    <w:p w14:paraId="65AAC504">
      <w:pPr>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bCs/>
          <w:color w:val="auto"/>
          <w:sz w:val="21"/>
          <w:szCs w:val="21"/>
        </w:rPr>
        <w:t>本工程农民工工资实行专用账户管理，承包人设立的专用账户开户行为</w:t>
      </w:r>
      <w:r>
        <w:rPr>
          <w:rFonts w:hint="eastAsia" w:ascii="宋体" w:hAnsi="宋体" w:eastAsia="宋体" w:cs="宋体"/>
          <w:bCs/>
          <w:color w:val="auto"/>
          <w:sz w:val="21"/>
          <w:szCs w:val="21"/>
          <w:u w:val="none"/>
        </w:rPr>
        <w:t>：</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，账号：</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w:t>
      </w:r>
    </w:p>
    <w:p w14:paraId="14F8E9E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bCs/>
          <w:color w:val="auto"/>
          <w:sz w:val="21"/>
          <w:szCs w:val="21"/>
        </w:rPr>
        <w:t>本工程工资性工程款</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元。</w:t>
      </w:r>
    </w:p>
    <w:p w14:paraId="177791C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（3）</w:t>
      </w:r>
      <w:r>
        <w:rPr>
          <w:rFonts w:hint="eastAsia" w:ascii="宋体" w:hAnsi="宋体" w:eastAsia="宋体" w:cs="宋体"/>
          <w:bCs/>
          <w:color w:val="auto"/>
          <w:sz w:val="21"/>
          <w:szCs w:val="21"/>
        </w:rPr>
        <w:t>发包人于每月25日前将工资性工程进度款转入农民工工资专用账户。</w:t>
      </w:r>
    </w:p>
    <w:p w14:paraId="13C583B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（4）</w:t>
      </w:r>
      <w:r>
        <w:rPr>
          <w:rFonts w:hint="eastAsia" w:ascii="宋体" w:hAnsi="宋体" w:eastAsia="宋体" w:cs="宋体"/>
          <w:bCs/>
          <w:color w:val="auto"/>
          <w:sz w:val="21"/>
          <w:szCs w:val="21"/>
        </w:rPr>
        <w:t>承包人每月25日前上报本工程农民工工资清单，每月10日前委托开设农民工工资专用账户的银行支付农民工工资。</w:t>
      </w:r>
    </w:p>
    <w:p w14:paraId="3F2C8B8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（5）</w:t>
      </w:r>
      <w:r>
        <w:rPr>
          <w:rFonts w:hint="eastAsia" w:ascii="宋体" w:hAnsi="宋体" w:eastAsia="宋体" w:cs="宋体"/>
          <w:bCs/>
          <w:color w:val="auto"/>
          <w:sz w:val="21"/>
          <w:szCs w:val="21"/>
        </w:rPr>
        <w:t>工程竣工后，经项目部农民工维权组确认无农民工工资拖欠后，发、承双方办理农民工工资专用账户撤销手续，农民工工资专用账户余额划至本合同约定的承包人账户。</w:t>
      </w:r>
    </w:p>
    <w:bookmarkEnd w:id="844"/>
    <w:p w14:paraId="18D1CC31">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1015" w:name="_Toc351203645"/>
      <w:bookmarkStart w:id="1016" w:name="_Toc296347218"/>
      <w:bookmarkStart w:id="1017" w:name="_Toc296346720"/>
      <w:bookmarkStart w:id="1018" w:name="_Toc296503219"/>
      <w:bookmarkStart w:id="1019" w:name="_Toc303539172"/>
      <w:bookmarkStart w:id="1020" w:name="_Toc312678053"/>
      <w:bookmarkStart w:id="1021" w:name="_Toc300935015"/>
      <w:bookmarkStart w:id="1022" w:name="_Toc297048405"/>
      <w:bookmarkStart w:id="1023" w:name="_Toc296891047"/>
      <w:bookmarkStart w:id="1024" w:name="_Toc297123564"/>
      <w:bookmarkStart w:id="1025" w:name="_Toc292559929"/>
      <w:bookmarkStart w:id="1026" w:name="_Toc296944558"/>
      <w:bookmarkStart w:id="1027" w:name="_Toc296891259"/>
      <w:bookmarkStart w:id="1028" w:name="_Toc292559424"/>
      <w:bookmarkStart w:id="1029" w:name="_Toc297216223"/>
      <w:bookmarkStart w:id="1030" w:name="_Toc304295593"/>
      <w:bookmarkStart w:id="1031" w:name="_Toc297120519"/>
      <w:r>
        <w:rPr>
          <w:rFonts w:hint="eastAsia" w:ascii="宋体" w:hAnsi="宋体" w:eastAsia="宋体" w:cs="宋体"/>
          <w:color w:val="auto"/>
          <w:sz w:val="21"/>
          <w:szCs w:val="21"/>
        </w:rPr>
        <w:t>13. 验收和工程试车</w:t>
      </w:r>
      <w:bookmarkEnd w:id="1015"/>
    </w:p>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14:paraId="66807C6B">
      <w:pPr>
        <w:keepNext/>
        <w:keepLines/>
        <w:pageBreakBefore w:val="0"/>
        <w:widowControl w:val="0"/>
        <w:kinsoku/>
        <w:wordWrap/>
        <w:overflowPunct/>
        <w:topLinePunct w:val="0"/>
        <w:bidi w:val="0"/>
        <w:snapToGrid w:val="0"/>
        <w:spacing w:line="360" w:lineRule="auto"/>
        <w:ind w:left="0" w:leftChars="0"/>
        <w:jc w:val="left"/>
        <w:textAlignment w:val="auto"/>
        <w:outlineLvl w:val="2"/>
        <w:rPr>
          <w:rFonts w:hint="eastAsia" w:ascii="宋体" w:hAnsi="宋体" w:eastAsia="宋体" w:cs="宋体"/>
          <w:bCs/>
          <w:color w:val="auto"/>
          <w:sz w:val="21"/>
          <w:szCs w:val="21"/>
        </w:rPr>
      </w:pPr>
      <w:r>
        <w:rPr>
          <w:rFonts w:hint="eastAsia" w:ascii="宋体" w:hAnsi="宋体" w:eastAsia="宋体" w:cs="宋体"/>
          <w:bCs/>
          <w:color w:val="auto"/>
          <w:sz w:val="21"/>
          <w:szCs w:val="21"/>
        </w:rPr>
        <w:t>13.1 分部分项工程验收</w:t>
      </w:r>
    </w:p>
    <w:p w14:paraId="41AEF5F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13.1.2 监理人不能按时进行验收时，应提前</w:t>
      </w:r>
      <w:r>
        <w:rPr>
          <w:rFonts w:hint="eastAsia" w:ascii="宋体" w:hAnsi="宋体" w:eastAsia="宋体" w:cs="宋体"/>
          <w:color w:val="auto"/>
          <w:sz w:val="21"/>
          <w:szCs w:val="21"/>
          <w:u w:val="single"/>
        </w:rPr>
        <w:t>24</w:t>
      </w:r>
      <w:r>
        <w:rPr>
          <w:rFonts w:hint="eastAsia" w:ascii="宋体" w:hAnsi="宋体" w:eastAsia="宋体" w:cs="宋体"/>
          <w:color w:val="auto"/>
          <w:sz w:val="21"/>
          <w:szCs w:val="21"/>
        </w:rPr>
        <w:t>小时提交书面延期要求。</w:t>
      </w:r>
    </w:p>
    <w:p w14:paraId="218D22C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48</w:t>
      </w:r>
      <w:r>
        <w:rPr>
          <w:rFonts w:hint="eastAsia" w:ascii="宋体" w:hAnsi="宋体" w:eastAsia="宋体" w:cs="宋体"/>
          <w:color w:val="auto"/>
          <w:sz w:val="21"/>
          <w:szCs w:val="21"/>
        </w:rPr>
        <w:t>小时。</w:t>
      </w:r>
    </w:p>
    <w:p w14:paraId="6C46558C">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bookmarkStart w:id="1032" w:name="_Toc296347222"/>
      <w:bookmarkStart w:id="1033" w:name="_Toc296891263"/>
      <w:bookmarkStart w:id="1034" w:name="_Toc312678056"/>
      <w:bookmarkStart w:id="1035" w:name="_Toc303539173"/>
      <w:bookmarkStart w:id="1036" w:name="_Toc296891051"/>
      <w:bookmarkStart w:id="1037" w:name="_Toc296944562"/>
      <w:bookmarkStart w:id="1038" w:name="_Toc297216224"/>
      <w:bookmarkStart w:id="1039" w:name="_Toc292559933"/>
      <w:bookmarkStart w:id="1040" w:name="_Toc304295596"/>
      <w:bookmarkStart w:id="1041" w:name="_Toc292559428"/>
      <w:bookmarkStart w:id="1042" w:name="_Toc296346724"/>
      <w:bookmarkStart w:id="1043" w:name="_Toc296503223"/>
      <w:bookmarkStart w:id="1044" w:name="_Toc297120523"/>
      <w:bookmarkStart w:id="1045" w:name="_Toc300935016"/>
      <w:bookmarkStart w:id="1046" w:name="_Toc297123565"/>
      <w:bookmarkStart w:id="1047" w:name="_Toc297048409"/>
      <w:bookmarkStart w:id="1048" w:name="_Toc267251472"/>
      <w:bookmarkStart w:id="1049" w:name="_Toc267251474"/>
      <w:bookmarkStart w:id="1050" w:name="_Toc267251475"/>
      <w:bookmarkStart w:id="1051" w:name="_Toc267251473"/>
      <w:bookmarkStart w:id="1052" w:name="_Toc267251470"/>
      <w:bookmarkStart w:id="1053" w:name="_Toc267251471"/>
      <w:bookmarkStart w:id="1054" w:name="_Toc267251476"/>
      <w:r>
        <w:rPr>
          <w:rFonts w:hint="eastAsia" w:ascii="宋体" w:hAnsi="宋体" w:eastAsia="宋体" w:cs="宋体"/>
          <w:bCs/>
          <w:color w:val="auto"/>
          <w:sz w:val="21"/>
          <w:szCs w:val="21"/>
        </w:rPr>
        <w:t>13.2 竣工验收</w:t>
      </w:r>
    </w:p>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14:paraId="5420364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bookmarkStart w:id="1055" w:name="_Toc280868704"/>
      <w:bookmarkStart w:id="1056" w:name="_Toc280868705"/>
      <w:bookmarkStart w:id="1057" w:name="_Toc280868706"/>
      <w:bookmarkStart w:id="1058" w:name="_Toc280868707"/>
      <w:bookmarkStart w:id="1059" w:name="_Toc280868708"/>
      <w:bookmarkStart w:id="1060" w:name="_Toc280868709"/>
      <w:r>
        <w:rPr>
          <w:rFonts w:hint="eastAsia" w:ascii="宋体" w:hAnsi="宋体" w:eastAsia="宋体" w:cs="宋体"/>
          <w:color w:val="auto"/>
          <w:sz w:val="21"/>
          <w:szCs w:val="21"/>
        </w:rPr>
        <w:t>13.2.2 竣工验收程序</w:t>
      </w:r>
    </w:p>
    <w:bookmarkEnd w:id="1055"/>
    <w:p w14:paraId="2DF7B10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关于竣工验收程序的约定：</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36B4EFC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发包人不按照本项约定组织竣工验收、颁发工程接收证书的违约金的计算方法：</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bookmarkEnd w:id="1056"/>
    <w:p w14:paraId="34F4628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13.2.5 移交、接收全部与部分工程</w:t>
      </w:r>
    </w:p>
    <w:bookmarkEnd w:id="1057"/>
    <w:p w14:paraId="068D6EA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承包人向发包人移交工程的期限：</w:t>
      </w:r>
      <w:r>
        <w:rPr>
          <w:rFonts w:hint="eastAsia" w:ascii="宋体" w:hAnsi="宋体" w:eastAsia="宋体" w:cs="宋体"/>
          <w:color w:val="auto"/>
          <w:sz w:val="21"/>
          <w:szCs w:val="21"/>
          <w:u w:val="single"/>
        </w:rPr>
        <w:t>颁发工程接收证书后7天内完成工程的移交</w:t>
      </w:r>
      <w:r>
        <w:rPr>
          <w:rFonts w:hint="eastAsia" w:ascii="宋体" w:hAnsi="宋体" w:eastAsia="宋体" w:cs="宋体"/>
          <w:color w:val="auto"/>
          <w:sz w:val="21"/>
          <w:szCs w:val="21"/>
        </w:rPr>
        <w:t>。</w:t>
      </w:r>
    </w:p>
    <w:p w14:paraId="722DAAE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发包人未按本合同约定接收全部或部分工程的，违约金的计算方法为：</w:t>
      </w:r>
      <w:r>
        <w:rPr>
          <w:rFonts w:hint="eastAsia" w:ascii="宋体" w:hAnsi="宋体" w:eastAsia="宋体" w:cs="宋体"/>
          <w:color w:val="auto"/>
          <w:sz w:val="21"/>
          <w:szCs w:val="21"/>
          <w:u w:val="single"/>
        </w:rPr>
        <w:t>发包人自应当接收工程之日起，承担工程照管、成品保护、保管等与工程有关的各项费用</w:t>
      </w:r>
      <w:r>
        <w:rPr>
          <w:rFonts w:hint="eastAsia" w:ascii="宋体" w:hAnsi="宋体" w:eastAsia="宋体" w:cs="宋体"/>
          <w:color w:val="auto"/>
          <w:sz w:val="21"/>
          <w:szCs w:val="21"/>
        </w:rPr>
        <w:t>。</w:t>
      </w:r>
    </w:p>
    <w:bookmarkEnd w:id="1058"/>
    <w:p w14:paraId="7C263BB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承包人未按时移交工程的，违约金的计算方法为：</w:t>
      </w:r>
      <w:r>
        <w:rPr>
          <w:rFonts w:hint="eastAsia" w:ascii="宋体" w:hAnsi="宋体" w:eastAsia="宋体" w:cs="宋体"/>
          <w:color w:val="auto"/>
          <w:sz w:val="21"/>
          <w:szCs w:val="21"/>
          <w:u w:val="single"/>
        </w:rPr>
        <w:t>承包人应承担工程照管、成品保护、保管等与工程有关的各项费用</w:t>
      </w:r>
      <w:r>
        <w:rPr>
          <w:rFonts w:hint="eastAsia" w:ascii="宋体" w:hAnsi="宋体" w:eastAsia="宋体" w:cs="宋体"/>
          <w:color w:val="auto"/>
          <w:sz w:val="21"/>
          <w:szCs w:val="21"/>
        </w:rPr>
        <w:t>。</w:t>
      </w:r>
    </w:p>
    <w:p w14:paraId="7BC34E0C">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13.3 工程试车</w:t>
      </w:r>
    </w:p>
    <w:bookmarkEnd w:id="1059"/>
    <w:p w14:paraId="5A56B27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13.3.1 试车程序</w:t>
      </w:r>
    </w:p>
    <w:p w14:paraId="0704516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工程试车内容：</w:t>
      </w:r>
      <w:r>
        <w:rPr>
          <w:rFonts w:hint="eastAsia" w:ascii="宋体" w:hAnsi="宋体" w:eastAsia="宋体" w:cs="宋体"/>
          <w:color w:val="auto"/>
          <w:sz w:val="21"/>
          <w:szCs w:val="21"/>
          <w:u w:val="single"/>
        </w:rPr>
        <w:t xml:space="preserve">      合同工程内容                </w:t>
      </w:r>
      <w:r>
        <w:rPr>
          <w:rFonts w:hint="eastAsia" w:ascii="宋体" w:hAnsi="宋体" w:eastAsia="宋体" w:cs="宋体"/>
          <w:color w:val="auto"/>
          <w:sz w:val="21"/>
          <w:szCs w:val="21"/>
        </w:rPr>
        <w:t>。</w:t>
      </w:r>
    </w:p>
    <w:p w14:paraId="463E013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（1）单机无负荷试车费用由</w:t>
      </w:r>
      <w:r>
        <w:rPr>
          <w:rFonts w:hint="eastAsia" w:ascii="宋体" w:hAnsi="宋体" w:eastAsia="宋体" w:cs="宋体"/>
          <w:color w:val="auto"/>
          <w:sz w:val="21"/>
          <w:szCs w:val="21"/>
          <w:u w:val="single"/>
        </w:rPr>
        <w:t>试车消耗的生产性原材料由发包人承担；试车其他费用（包括试车所需水电油等费用）由承包人在投标报价中综合考虑并</w:t>
      </w:r>
      <w:r>
        <w:rPr>
          <w:rFonts w:hint="eastAsia" w:ascii="宋体" w:hAnsi="宋体" w:eastAsia="宋体" w:cs="宋体"/>
          <w:color w:val="auto"/>
          <w:sz w:val="21"/>
          <w:szCs w:val="21"/>
        </w:rPr>
        <w:t>承担；</w:t>
      </w:r>
    </w:p>
    <w:p w14:paraId="1B9A031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（2）无负荷联动试车费用由</w:t>
      </w:r>
      <w:r>
        <w:rPr>
          <w:rFonts w:hint="eastAsia" w:ascii="宋体" w:hAnsi="宋体" w:eastAsia="宋体" w:cs="宋体"/>
          <w:color w:val="auto"/>
          <w:sz w:val="21"/>
          <w:szCs w:val="21"/>
          <w:u w:val="single"/>
        </w:rPr>
        <w:t>试车消耗的生产性原材料由发包人承担；试车其他费用（包括试车所需水电油等费用）由承包人在投标报价中综合考虑并</w:t>
      </w:r>
      <w:r>
        <w:rPr>
          <w:rFonts w:hint="eastAsia" w:ascii="宋体" w:hAnsi="宋体" w:eastAsia="宋体" w:cs="宋体"/>
          <w:color w:val="auto"/>
          <w:sz w:val="21"/>
          <w:szCs w:val="21"/>
        </w:rPr>
        <w:t>承担。</w:t>
      </w:r>
    </w:p>
    <w:p w14:paraId="5C213DE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13.3.3 投料试车</w:t>
      </w:r>
    </w:p>
    <w:p w14:paraId="2F54983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关于投料试车相关事项的约定：</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393C3239">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13.6 竣工退场</w:t>
      </w:r>
    </w:p>
    <w:p w14:paraId="45C235F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13.6.1 竣工退场</w:t>
      </w:r>
    </w:p>
    <w:p w14:paraId="7C8D7B2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承包人完成竣工退场的期限：</w:t>
      </w:r>
      <w:r>
        <w:rPr>
          <w:rFonts w:hint="eastAsia" w:ascii="宋体" w:hAnsi="宋体" w:eastAsia="宋体" w:cs="宋体"/>
          <w:color w:val="auto"/>
          <w:sz w:val="21"/>
          <w:szCs w:val="21"/>
          <w:u w:val="single"/>
        </w:rPr>
        <w:t>验收合格一周内，工完料净场地清，办理完工程移交手续后退场</w:t>
      </w:r>
      <w:r>
        <w:rPr>
          <w:rFonts w:hint="eastAsia" w:ascii="宋体" w:hAnsi="宋体" w:eastAsia="宋体" w:cs="宋体"/>
          <w:color w:val="auto"/>
          <w:sz w:val="21"/>
          <w:szCs w:val="21"/>
        </w:rPr>
        <w:t>。</w:t>
      </w:r>
    </w:p>
    <w:p w14:paraId="25B061C8">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1061" w:name="_Toc351203646"/>
      <w:r>
        <w:rPr>
          <w:rFonts w:hint="eastAsia" w:ascii="宋体" w:hAnsi="宋体" w:eastAsia="宋体" w:cs="宋体"/>
          <w:color w:val="auto"/>
          <w:sz w:val="21"/>
          <w:szCs w:val="21"/>
        </w:rPr>
        <w:t>14. 竣工结算</w:t>
      </w:r>
      <w:bookmarkEnd w:id="1061"/>
    </w:p>
    <w:p w14:paraId="4E2834EE">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14.1 竣工结算申请</w:t>
      </w:r>
    </w:p>
    <w:p w14:paraId="67D062F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承包人提交竣工结算申请单的期限：</w:t>
      </w:r>
      <w:r>
        <w:rPr>
          <w:rFonts w:hint="eastAsia" w:ascii="宋体" w:hAnsi="宋体" w:eastAsia="宋体" w:cs="宋体"/>
          <w:color w:val="auto"/>
          <w:sz w:val="21"/>
          <w:szCs w:val="21"/>
          <w:u w:val="single"/>
        </w:rPr>
        <w:t>承包人应在工程竣工验收合格后28天内</w:t>
      </w:r>
      <w:r>
        <w:rPr>
          <w:rFonts w:hint="eastAsia" w:ascii="宋体" w:hAnsi="宋体" w:eastAsia="宋体" w:cs="宋体"/>
          <w:color w:val="auto"/>
          <w:sz w:val="21"/>
          <w:szCs w:val="21"/>
        </w:rPr>
        <w:t>。</w:t>
      </w:r>
    </w:p>
    <w:p w14:paraId="7FD6A9D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竣工结算申请单应包括的内容：</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752B10AC">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14.2 竣工结算审核</w:t>
      </w:r>
    </w:p>
    <w:p w14:paraId="063ED4C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发包人审批竣工付款申请单的期限：</w:t>
      </w:r>
      <w:r>
        <w:rPr>
          <w:rFonts w:hint="eastAsia" w:ascii="宋体" w:hAnsi="宋体" w:eastAsia="宋体" w:cs="宋体"/>
          <w:color w:val="auto"/>
          <w:sz w:val="21"/>
          <w:szCs w:val="21"/>
          <w:u w:val="single"/>
        </w:rPr>
        <w:t>发包人应在收到监理人提交的经审核的竣工结算申请单后14天内完成审批</w:t>
      </w:r>
      <w:r>
        <w:rPr>
          <w:rFonts w:hint="eastAsia" w:ascii="宋体" w:hAnsi="宋体" w:eastAsia="宋体" w:cs="宋体"/>
          <w:color w:val="auto"/>
          <w:sz w:val="21"/>
          <w:szCs w:val="21"/>
        </w:rPr>
        <w:t>。</w:t>
      </w:r>
    </w:p>
    <w:p w14:paraId="1D16E70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发包人完成竣工付款的期限：</w:t>
      </w:r>
      <w:r>
        <w:rPr>
          <w:rFonts w:hint="eastAsia" w:ascii="宋体" w:hAnsi="宋体" w:eastAsia="宋体" w:cs="宋体"/>
          <w:color w:val="auto"/>
          <w:sz w:val="21"/>
          <w:szCs w:val="21"/>
          <w:u w:val="single"/>
        </w:rPr>
        <w:t>发包人应在签发竣工付款证书后的14天内，完成对承包人的竣工付款</w:t>
      </w:r>
      <w:r>
        <w:rPr>
          <w:rFonts w:hint="eastAsia" w:ascii="宋体" w:hAnsi="宋体" w:eastAsia="宋体" w:cs="宋体"/>
          <w:color w:val="auto"/>
          <w:sz w:val="21"/>
          <w:szCs w:val="21"/>
        </w:rPr>
        <w:t>。</w:t>
      </w:r>
    </w:p>
    <w:p w14:paraId="13F952B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关于竣工付款证书异议部分复核的方式和程序：</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3A9DA5D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14.4 最终结清</w:t>
      </w:r>
    </w:p>
    <w:p w14:paraId="6F57F55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14.4.1 最终结清申请单</w:t>
      </w:r>
    </w:p>
    <w:p w14:paraId="485FF69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承包人提交最终结清申请单的份数：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叁份</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EDC6C46">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承包人提交最终结算申请单的期限：</w:t>
      </w:r>
      <w:r>
        <w:rPr>
          <w:rFonts w:hint="eastAsia" w:ascii="宋体" w:hAnsi="宋体" w:eastAsia="宋体" w:cs="宋体"/>
          <w:color w:val="auto"/>
          <w:sz w:val="21"/>
          <w:szCs w:val="21"/>
          <w:u w:val="single"/>
        </w:rPr>
        <w:t>缺陷责任期终止证书颁发后7天内</w:t>
      </w:r>
      <w:r>
        <w:rPr>
          <w:rFonts w:hint="eastAsia" w:ascii="宋体" w:hAnsi="宋体" w:eastAsia="宋体" w:cs="宋体"/>
          <w:color w:val="auto"/>
          <w:sz w:val="21"/>
          <w:szCs w:val="21"/>
        </w:rPr>
        <w:t xml:space="preserve">。 </w:t>
      </w:r>
    </w:p>
    <w:p w14:paraId="430834B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14.4.2 最终结清证书和支付</w:t>
      </w:r>
    </w:p>
    <w:p w14:paraId="185A259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（1）发包人完成最终结清申请单的审批并颁发最终结清证书的期限：</w:t>
      </w:r>
      <w:r>
        <w:rPr>
          <w:rFonts w:hint="eastAsia" w:ascii="宋体" w:hAnsi="宋体" w:eastAsia="宋体" w:cs="宋体"/>
          <w:color w:val="auto"/>
          <w:sz w:val="21"/>
          <w:szCs w:val="21"/>
          <w:u w:val="single"/>
        </w:rPr>
        <w:t>收到承包人提交的最终结清申请单后14天内</w:t>
      </w:r>
      <w:r>
        <w:rPr>
          <w:rFonts w:hint="eastAsia" w:ascii="宋体" w:hAnsi="宋体" w:eastAsia="宋体" w:cs="宋体"/>
          <w:color w:val="auto"/>
          <w:sz w:val="21"/>
          <w:szCs w:val="21"/>
        </w:rPr>
        <w:t>。</w:t>
      </w:r>
    </w:p>
    <w:p w14:paraId="0E1FD06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（2）发包人完成支付的期限：</w:t>
      </w:r>
      <w:r>
        <w:rPr>
          <w:rFonts w:hint="eastAsia" w:ascii="宋体" w:hAnsi="宋体" w:eastAsia="宋体" w:cs="宋体"/>
          <w:color w:val="auto"/>
          <w:sz w:val="21"/>
          <w:szCs w:val="21"/>
          <w:u w:val="single"/>
        </w:rPr>
        <w:t>颁发最终结清证书后7天内完成支付</w:t>
      </w:r>
      <w:r>
        <w:rPr>
          <w:rFonts w:hint="eastAsia" w:ascii="宋体" w:hAnsi="宋体" w:eastAsia="宋体" w:cs="宋体"/>
          <w:color w:val="auto"/>
          <w:sz w:val="21"/>
          <w:szCs w:val="21"/>
        </w:rPr>
        <w:t>。</w:t>
      </w:r>
    </w:p>
    <w:bookmarkEnd w:id="1048"/>
    <w:bookmarkEnd w:id="1049"/>
    <w:bookmarkEnd w:id="1050"/>
    <w:bookmarkEnd w:id="1051"/>
    <w:bookmarkEnd w:id="1052"/>
    <w:bookmarkEnd w:id="1053"/>
    <w:bookmarkEnd w:id="1054"/>
    <w:bookmarkEnd w:id="1060"/>
    <w:p w14:paraId="0499B522">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1062" w:name="_Toc351203647"/>
      <w:bookmarkStart w:id="1063" w:name="_Toc267251483"/>
      <w:bookmarkStart w:id="1064" w:name="_Toc267251484"/>
      <w:bookmarkStart w:id="1065" w:name="_Toc267251482"/>
      <w:bookmarkStart w:id="1066" w:name="_Toc267251485"/>
      <w:bookmarkStart w:id="1067" w:name="_Toc267251488"/>
      <w:bookmarkStart w:id="1068" w:name="_Toc267251490"/>
      <w:bookmarkStart w:id="1069" w:name="_Toc267251486"/>
      <w:bookmarkStart w:id="1070" w:name="_Toc267251489"/>
      <w:bookmarkStart w:id="1071" w:name="_Toc267251501"/>
      <w:bookmarkStart w:id="1072" w:name="_Toc267251502"/>
      <w:bookmarkStart w:id="1073" w:name="_Toc267251496"/>
      <w:bookmarkStart w:id="1074" w:name="_Toc267251493"/>
      <w:bookmarkStart w:id="1075" w:name="_Toc267251495"/>
      <w:bookmarkStart w:id="1076" w:name="_Toc267251498"/>
      <w:bookmarkStart w:id="1077" w:name="_Toc267251497"/>
      <w:bookmarkStart w:id="1078" w:name="_Toc267251499"/>
      <w:bookmarkStart w:id="1079" w:name="_Toc267251492"/>
      <w:bookmarkStart w:id="1080" w:name="_Toc267251491"/>
      <w:bookmarkStart w:id="1081" w:name="_Toc267251503"/>
      <w:bookmarkStart w:id="1082" w:name="_Toc267251494"/>
      <w:bookmarkStart w:id="1083" w:name="_Toc267251504"/>
      <w:bookmarkStart w:id="1084" w:name="_Toc267251506"/>
      <w:bookmarkStart w:id="1085" w:name="_Toc267251507"/>
      <w:bookmarkStart w:id="1086" w:name="_Toc267251508"/>
      <w:bookmarkStart w:id="1087" w:name="_Toc267251509"/>
      <w:bookmarkStart w:id="1088" w:name="_Toc267251510"/>
      <w:bookmarkStart w:id="1089" w:name="_Toc267251511"/>
      <w:bookmarkStart w:id="1090" w:name="_Toc267251514"/>
      <w:bookmarkStart w:id="1091" w:name="_Toc267251515"/>
      <w:bookmarkStart w:id="1092" w:name="_Toc267251513"/>
      <w:r>
        <w:rPr>
          <w:rFonts w:hint="eastAsia" w:ascii="宋体" w:hAnsi="宋体" w:eastAsia="宋体" w:cs="宋体"/>
          <w:color w:val="auto"/>
          <w:sz w:val="21"/>
          <w:szCs w:val="21"/>
        </w:rPr>
        <w:t>15. 缺陷责任期与保修</w:t>
      </w:r>
      <w:bookmarkEnd w:id="1062"/>
    </w:p>
    <w:p w14:paraId="2B24A544">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15.2 缺陷责任期</w:t>
      </w:r>
      <w:bookmarkEnd w:id="1063"/>
    </w:p>
    <w:p w14:paraId="0C1F376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缺陷责任期的具体期限：</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0CE5C759">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15.3 质量保证金</w:t>
      </w:r>
      <w:r>
        <w:rPr>
          <w:rStyle w:val="25"/>
          <w:rFonts w:hint="eastAsia" w:ascii="宋体" w:hAnsi="宋体" w:eastAsia="宋体" w:cs="宋体"/>
          <w:bCs/>
          <w:color w:val="auto"/>
          <w:kern w:val="2"/>
        </w:rPr>
        <w:footnoteReference w:id="1"/>
      </w:r>
    </w:p>
    <w:p w14:paraId="2E22A6D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关于是否扣留质量保证金的约定：</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eastAsia="zh-CN"/>
        </w:rPr>
        <w:t>是</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。在工程项目竣工前，承包人按专用合同条款第3.7款提供履约保证金的，发包人不得同时预留工程质量保证金。</w:t>
      </w:r>
    </w:p>
    <w:p w14:paraId="67244B9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15.3.1 承包人提供质量保证金的方式</w:t>
      </w:r>
    </w:p>
    <w:p w14:paraId="670B7C8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质量保证金可采用以下任意一种方式：</w:t>
      </w:r>
    </w:p>
    <w:p w14:paraId="4D7E9E4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（1）由银行业金融机构、工程担保公司、保险机构出具银行保函、工程质量保险等担保方式，担保/保证金额为：</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319CD6F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778AD77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（3）其他方式：</w:t>
      </w:r>
      <w:r>
        <w:rPr>
          <w:rFonts w:hint="eastAsia" w:ascii="宋体" w:hAnsi="宋体" w:eastAsia="宋体" w:cs="宋体"/>
          <w:color w:val="auto"/>
          <w:sz w:val="21"/>
          <w:szCs w:val="21"/>
          <w:u w:val="single"/>
        </w:rPr>
        <w:t>见《专用合同条款数据表》</w:t>
      </w:r>
      <w:r>
        <w:rPr>
          <w:rFonts w:hint="eastAsia" w:ascii="宋体" w:hAnsi="宋体" w:eastAsia="宋体" w:cs="宋体"/>
          <w:color w:val="auto"/>
          <w:sz w:val="21"/>
          <w:szCs w:val="21"/>
        </w:rPr>
        <w:t>。</w:t>
      </w:r>
    </w:p>
    <w:p w14:paraId="2707BFD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15.3.2 质量保证金的扣留 </w:t>
      </w:r>
    </w:p>
    <w:p w14:paraId="7AB53C7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质量保证金的扣留采取以下第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w:t>
      </w:r>
    </w:p>
    <w:p w14:paraId="79C8A0D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（1）在支付工程进度款时逐次扣留，在此情形下，质量保证金的计算基数不包括预付款的支付、扣回以及价格调整的金额；</w:t>
      </w:r>
    </w:p>
    <w:p w14:paraId="5689321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（2）工程竣工结算时一次性扣留质量保证金；</w:t>
      </w:r>
    </w:p>
    <w:p w14:paraId="12BEF96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（3）其他扣留方式：</w:t>
      </w:r>
      <w:r>
        <w:rPr>
          <w:rFonts w:hint="eastAsia" w:ascii="宋体" w:hAnsi="宋体" w:eastAsia="宋体" w:cs="宋体"/>
          <w:color w:val="auto"/>
          <w:sz w:val="21"/>
          <w:szCs w:val="21"/>
          <w:u w:val="single"/>
        </w:rPr>
        <w:t>采用保函或担保形式递交质量保证金的，不在工程款中重复扣留质量保证金</w:t>
      </w:r>
      <w:r>
        <w:rPr>
          <w:rFonts w:hint="eastAsia" w:ascii="宋体" w:hAnsi="宋体" w:eastAsia="宋体" w:cs="宋体"/>
          <w:color w:val="auto"/>
          <w:sz w:val="21"/>
          <w:szCs w:val="21"/>
        </w:rPr>
        <w:t>。</w:t>
      </w:r>
    </w:p>
    <w:p w14:paraId="66088EF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关于质量保证金的补充约定：</w:t>
      </w:r>
      <w:bookmarkEnd w:id="1064"/>
      <w:bookmarkEnd w:id="1065"/>
      <w:r>
        <w:rPr>
          <w:rFonts w:hint="eastAsia" w:ascii="宋体" w:hAnsi="宋体" w:eastAsia="宋体" w:cs="宋体"/>
          <w:color w:val="auto"/>
          <w:sz w:val="21"/>
          <w:szCs w:val="21"/>
          <w:u w:val="single"/>
          <w:lang w:val="en-US" w:eastAsia="zh-CN"/>
        </w:rPr>
        <w:t xml:space="preserve">   /   。</w:t>
      </w:r>
    </w:p>
    <w:p w14:paraId="671559D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15.4 保修</w:t>
      </w:r>
    </w:p>
    <w:bookmarkEnd w:id="1066"/>
    <w:p w14:paraId="7B40CB5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15.4.1 保修责任</w:t>
      </w:r>
    </w:p>
    <w:p w14:paraId="6086ED8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工程保修期为：</w:t>
      </w:r>
      <w:r>
        <w:rPr>
          <w:rFonts w:hint="eastAsia" w:ascii="宋体" w:hAnsi="宋体" w:eastAsia="宋体" w:cs="宋体"/>
          <w:color w:val="auto"/>
          <w:sz w:val="21"/>
          <w:szCs w:val="21"/>
          <w:u w:val="single"/>
        </w:rPr>
        <w:t>执行《工程质量保修书》规定</w:t>
      </w:r>
      <w:r>
        <w:rPr>
          <w:rFonts w:hint="eastAsia" w:ascii="宋体" w:hAnsi="宋体" w:eastAsia="宋体" w:cs="宋体"/>
          <w:color w:val="auto"/>
          <w:sz w:val="21"/>
          <w:szCs w:val="21"/>
        </w:rPr>
        <w:t>。</w:t>
      </w:r>
    </w:p>
    <w:p w14:paraId="4792443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15.4.3 修复通知</w:t>
      </w:r>
    </w:p>
    <w:p w14:paraId="7B53059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承包人收到保修通知并到达工程现场的合理时间：</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bookmarkEnd w:id="1067"/>
    <w:bookmarkEnd w:id="1068"/>
    <w:bookmarkEnd w:id="1069"/>
    <w:bookmarkEnd w:id="1070"/>
    <w:p w14:paraId="2441EF89">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1093" w:name="_Toc351203648"/>
      <w:bookmarkStart w:id="1094" w:name="_Toc280868717"/>
      <w:bookmarkStart w:id="1095" w:name="_Toc280868718"/>
      <w:r>
        <w:rPr>
          <w:rFonts w:hint="eastAsia" w:ascii="宋体" w:hAnsi="宋体" w:eastAsia="宋体" w:cs="宋体"/>
          <w:color w:val="auto"/>
          <w:sz w:val="21"/>
          <w:szCs w:val="21"/>
        </w:rPr>
        <w:t>16. 违约</w:t>
      </w:r>
      <w:bookmarkEnd w:id="1093"/>
    </w:p>
    <w:p w14:paraId="48F21013">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16.1 发包人违约</w:t>
      </w:r>
    </w:p>
    <w:p w14:paraId="109F88D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16.1.1 发包人违约的情形</w:t>
      </w:r>
    </w:p>
    <w:p w14:paraId="65EB9FA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发包人违约的其他情形：</w:t>
      </w:r>
      <w:r>
        <w:rPr>
          <w:rFonts w:hint="eastAsia" w:ascii="宋体" w:hAnsi="宋体" w:eastAsia="宋体" w:cs="宋体"/>
          <w:color w:val="auto"/>
          <w:sz w:val="21"/>
          <w:szCs w:val="21"/>
          <w:u w:val="single"/>
        </w:rPr>
        <w:t xml:space="preserve">  执行合同通用条款</w:t>
      </w:r>
      <w:r>
        <w:rPr>
          <w:rFonts w:hint="eastAsia" w:ascii="宋体" w:hAnsi="宋体" w:eastAsia="宋体" w:cs="宋体"/>
          <w:color w:val="auto"/>
          <w:sz w:val="21"/>
          <w:szCs w:val="21"/>
          <w:u w:val="single"/>
          <w:lang w:eastAsia="zh-CN"/>
        </w:rPr>
        <w:t>。</w:t>
      </w:r>
    </w:p>
    <w:p w14:paraId="6792A0EE">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16.1.2 发包人违约的责任</w:t>
      </w:r>
    </w:p>
    <w:p w14:paraId="51B535A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发包人违约责任的承担方式和计算方法：</w:t>
      </w:r>
    </w:p>
    <w:p w14:paraId="44FD623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（1）因发包人原因未能在计划开工日期前7天内下达开工通知的违约责任：</w:t>
      </w:r>
      <w:r>
        <w:rPr>
          <w:rFonts w:hint="eastAsia" w:ascii="宋体" w:hAnsi="宋体" w:eastAsia="宋体" w:cs="宋体"/>
          <w:color w:val="auto"/>
          <w:sz w:val="21"/>
          <w:szCs w:val="21"/>
          <w:u w:val="single"/>
        </w:rPr>
        <w:t xml:space="preserve"> 发包人应承担因其违约给承包人增加的费用和（或）延误的工期，应由承包人根据实际发生延误时间和费用提供索赔资料，由监理工程师及发包人共同核实据实签署，并给予承包人合同金额 2%的利润</w:t>
      </w:r>
      <w:r>
        <w:rPr>
          <w:rFonts w:hint="eastAsia" w:ascii="宋体" w:hAnsi="宋体" w:eastAsia="宋体" w:cs="宋体"/>
          <w:color w:val="auto"/>
          <w:sz w:val="21"/>
          <w:szCs w:val="21"/>
        </w:rPr>
        <w:t>。</w:t>
      </w:r>
    </w:p>
    <w:p w14:paraId="1CD4C23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（2）因发包人原因未能按合同约定支付合同价款的违约责任：</w:t>
      </w:r>
      <w:r>
        <w:rPr>
          <w:rFonts w:hint="eastAsia" w:ascii="宋体" w:hAnsi="宋体" w:eastAsia="宋体" w:cs="宋体"/>
          <w:color w:val="auto"/>
          <w:sz w:val="21"/>
          <w:szCs w:val="21"/>
          <w:u w:val="single"/>
        </w:rPr>
        <w:t>如延期支付合同款项，则在支付款项时，同时支付银行同期存款利息</w:t>
      </w:r>
      <w:r>
        <w:rPr>
          <w:rFonts w:hint="eastAsia" w:ascii="宋体" w:hAnsi="宋体" w:eastAsia="宋体" w:cs="宋体"/>
          <w:color w:val="auto"/>
          <w:sz w:val="21"/>
          <w:szCs w:val="21"/>
        </w:rPr>
        <w:t>。</w:t>
      </w:r>
    </w:p>
    <w:p w14:paraId="67BD8A7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（3）发包人违反第10.1款〔变更的范围〕第（2）项约定，自行实施被取消的工作或转由他人实施的违约责任：</w:t>
      </w:r>
      <w:r>
        <w:rPr>
          <w:rFonts w:hint="eastAsia" w:ascii="宋体" w:hAnsi="宋体" w:eastAsia="宋体" w:cs="宋体"/>
          <w:color w:val="auto"/>
          <w:sz w:val="21"/>
          <w:szCs w:val="21"/>
          <w:u w:val="single"/>
        </w:rPr>
        <w:t>对供应商受到的损失予以赔偿或补偿，应由承包人根据实际发生延误时间和费用提供索赔资料，由监理工程师及发包人共同核实据实签署，并给予承包人合同金额2%的利润</w:t>
      </w:r>
      <w:r>
        <w:rPr>
          <w:rFonts w:hint="eastAsia" w:ascii="宋体" w:hAnsi="宋体" w:eastAsia="宋体" w:cs="宋体"/>
          <w:color w:val="auto"/>
          <w:sz w:val="21"/>
          <w:szCs w:val="21"/>
        </w:rPr>
        <w:t>。</w:t>
      </w:r>
    </w:p>
    <w:p w14:paraId="29468CB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u w:val="single"/>
        </w:rPr>
        <w:t>发包人应承担因其违约给承包人增加的费用和（或）延误的工期，应由承包人根据实际发生延误时间和费用提供索赔资料，由监理工程师及发包人共同核实据实签署，并给予承包人合同金额2%的利润</w:t>
      </w:r>
      <w:r>
        <w:rPr>
          <w:rFonts w:hint="eastAsia" w:ascii="宋体" w:hAnsi="宋体" w:eastAsia="宋体" w:cs="宋体"/>
          <w:color w:val="auto"/>
          <w:sz w:val="21"/>
          <w:szCs w:val="21"/>
        </w:rPr>
        <w:t>。</w:t>
      </w:r>
    </w:p>
    <w:p w14:paraId="11E9CC2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（5）因发包人违反合同约定造成暂停施工的违约责任：</w:t>
      </w:r>
      <w:r>
        <w:rPr>
          <w:rFonts w:hint="eastAsia" w:ascii="宋体" w:hAnsi="宋体" w:eastAsia="宋体" w:cs="宋体"/>
          <w:color w:val="auto"/>
          <w:sz w:val="21"/>
          <w:szCs w:val="21"/>
          <w:u w:val="single"/>
        </w:rPr>
        <w:t>发包人应承担因其违约给承包人增加的费用和（或）延误的工期，应由承包人根据实际发生延误时间和费用提供索赔资料，由监理工程师及发包人共同核实据实签署，并给予承包人合同金额2%的利润</w:t>
      </w:r>
      <w:r>
        <w:rPr>
          <w:rFonts w:hint="eastAsia" w:ascii="宋体" w:hAnsi="宋体" w:eastAsia="宋体" w:cs="宋体"/>
          <w:color w:val="auto"/>
          <w:sz w:val="21"/>
          <w:szCs w:val="21"/>
        </w:rPr>
        <w:t>。</w:t>
      </w:r>
    </w:p>
    <w:p w14:paraId="4DD9170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（6）发包人无正当理由没有在约定期限内发出复工指示，导致承包人无法复工的违约责任：</w:t>
      </w:r>
      <w:r>
        <w:rPr>
          <w:rFonts w:hint="eastAsia" w:ascii="宋体" w:hAnsi="宋体" w:eastAsia="宋体" w:cs="宋体"/>
          <w:color w:val="auto"/>
          <w:sz w:val="21"/>
          <w:szCs w:val="21"/>
          <w:u w:val="single"/>
        </w:rPr>
        <w:t>发包人应承担因其违约给承包人增加的费用和（或）延误的工期，应由承包人根据实际发生延误时间和费用提供索赔资料，由监理工程师及发包人共同核实据实签署，并给予承包人合同金额2%的利润</w:t>
      </w:r>
      <w:r>
        <w:rPr>
          <w:rFonts w:hint="eastAsia" w:ascii="宋体" w:hAnsi="宋体" w:eastAsia="宋体" w:cs="宋体"/>
          <w:color w:val="auto"/>
          <w:sz w:val="21"/>
          <w:szCs w:val="21"/>
        </w:rPr>
        <w:t>。</w:t>
      </w:r>
    </w:p>
    <w:p w14:paraId="4A9808C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（7）其他：</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56AE68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16.1.3 因发包人违约解除合同</w:t>
      </w:r>
    </w:p>
    <w:p w14:paraId="3DF4CEE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承包人按16.1.1项〔发包人违约的情形〕约定暂停施工满</w:t>
      </w:r>
      <w:r>
        <w:rPr>
          <w:rFonts w:hint="eastAsia" w:ascii="宋体" w:hAnsi="宋体" w:eastAsia="宋体" w:cs="宋体"/>
          <w:color w:val="auto"/>
          <w:sz w:val="21"/>
          <w:szCs w:val="21"/>
          <w:u w:val="single"/>
        </w:rPr>
        <w:t>28</w:t>
      </w:r>
      <w:r>
        <w:rPr>
          <w:rFonts w:hint="eastAsia" w:ascii="宋体" w:hAnsi="宋体" w:eastAsia="宋体" w:cs="宋体"/>
          <w:color w:val="auto"/>
          <w:sz w:val="21"/>
          <w:szCs w:val="21"/>
        </w:rPr>
        <w:t>天后发包人仍不纠正其违约行为并致使合同目的不能实现的，承包人有权解除合同。</w:t>
      </w:r>
    </w:p>
    <w:p w14:paraId="4052D4F2">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16.2 承包人违约</w:t>
      </w:r>
    </w:p>
    <w:p w14:paraId="4061DFE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16.2.1 承包人违约的情形</w:t>
      </w:r>
    </w:p>
    <w:p w14:paraId="6FF5E95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承包人违约的其他情形：</w:t>
      </w:r>
      <w:r>
        <w:rPr>
          <w:rFonts w:hint="eastAsia" w:ascii="宋体" w:hAnsi="宋体" w:eastAsia="宋体" w:cs="宋体"/>
          <w:color w:val="auto"/>
          <w:sz w:val="21"/>
          <w:szCs w:val="21"/>
          <w:u w:val="single"/>
        </w:rPr>
        <w:t>1、合同实施期间，如发现承包人名不副实（存在挂靠、借用资质、转包、违法分包等行为），合同履行不力、不守承诺、严重影响工程进度、不能按期保质完成施工任务等任意一种情形，发包人有权扣除承包人履约保证金，并单方面解除合同，将承包人清退出场，并追究相关责任。</w:t>
      </w:r>
    </w:p>
    <w:p w14:paraId="0CA977C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val="en-US" w:eastAsia="zh-CN"/>
        </w:rPr>
        <w:t>2、在施工过程中发现承包人弄虚作假、偷工减料、不按规范施工，承包人向发包人承担合同金额 2% 的违约金，且承包人必须立即采取措施处理直至合格。如承包人拒不整改、整改不到位或造成其他损失的，发包人有权单方面解除合同，将承包人清退出场，由此造成的损失由承包人自行承担，承包人还应赔偿由此造成发包人的全部损失。</w:t>
      </w:r>
    </w:p>
    <w:p w14:paraId="6A712BB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16.2.2 承包人违约的责任</w:t>
      </w:r>
    </w:p>
    <w:p w14:paraId="4C9F2D3B">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承包人违约责任的承担方式和计算方法：</w:t>
      </w:r>
      <w:r>
        <w:rPr>
          <w:rFonts w:hint="eastAsia" w:ascii="宋体" w:hAnsi="宋体" w:eastAsia="宋体" w:cs="宋体"/>
          <w:color w:val="auto"/>
          <w:sz w:val="21"/>
          <w:szCs w:val="21"/>
          <w:u w:val="single"/>
        </w:rPr>
        <w:t xml:space="preserve"> 同16.2.1承包人违约的情形</w:t>
      </w:r>
      <w:r>
        <w:rPr>
          <w:rFonts w:hint="eastAsia" w:ascii="宋体" w:hAnsi="宋体" w:eastAsia="宋体" w:cs="宋体"/>
          <w:color w:val="auto"/>
          <w:sz w:val="21"/>
          <w:szCs w:val="21"/>
        </w:rPr>
        <w:t>。</w:t>
      </w:r>
    </w:p>
    <w:p w14:paraId="485EFE0F">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16.2.3 因承包人违约解除合同</w:t>
      </w:r>
    </w:p>
    <w:p w14:paraId="77AADF9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关于承包人违约解除合同的特别约定：</w:t>
      </w:r>
      <w:r>
        <w:rPr>
          <w:rFonts w:hint="eastAsia" w:ascii="宋体" w:hAnsi="宋体" w:eastAsia="宋体" w:cs="宋体"/>
          <w:color w:val="auto"/>
          <w:sz w:val="21"/>
          <w:szCs w:val="21"/>
          <w:u w:val="single"/>
        </w:rPr>
        <w:t xml:space="preserve"> 同16.2.1承包人违约的情形</w:t>
      </w:r>
      <w:r>
        <w:rPr>
          <w:rFonts w:hint="eastAsia" w:ascii="宋体" w:hAnsi="宋体" w:eastAsia="宋体" w:cs="宋体"/>
          <w:color w:val="auto"/>
          <w:sz w:val="21"/>
          <w:szCs w:val="21"/>
        </w:rPr>
        <w:t>。</w:t>
      </w:r>
    </w:p>
    <w:p w14:paraId="762A1423">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u w:val="single"/>
        </w:rPr>
        <w:t xml:space="preserve">   执行通用条款</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1B75BD8A">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1096" w:name="_Toc351203649"/>
      <w:r>
        <w:rPr>
          <w:rFonts w:hint="eastAsia" w:ascii="宋体" w:hAnsi="宋体" w:eastAsia="宋体" w:cs="宋体"/>
          <w:color w:val="auto"/>
          <w:sz w:val="21"/>
          <w:szCs w:val="21"/>
        </w:rPr>
        <w:t>17. 不可抗力</w:t>
      </w:r>
      <w:bookmarkEnd w:id="1096"/>
      <w:r>
        <w:rPr>
          <w:rFonts w:hint="eastAsia" w:ascii="宋体" w:hAnsi="宋体" w:eastAsia="宋体" w:cs="宋体"/>
          <w:color w:val="auto"/>
          <w:sz w:val="21"/>
          <w:szCs w:val="21"/>
        </w:rPr>
        <w:t xml:space="preserve"> </w:t>
      </w:r>
      <w:bookmarkEnd w:id="1094"/>
    </w:p>
    <w:p w14:paraId="161D06F3">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17.1 不可抗力的确认</w:t>
      </w:r>
    </w:p>
    <w:p w14:paraId="2376B72D">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除通用合同条款约定的不可抗力事件之外，视为不可抗力的其他情形：</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36EF28F4">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17.4 因不可抗力解除合同</w:t>
      </w:r>
    </w:p>
    <w:p w14:paraId="6E117CC8">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合同解除后，发包人应在商定或确定发包人应支付款项后</w:t>
      </w:r>
      <w:r>
        <w:rPr>
          <w:rFonts w:hint="eastAsia" w:ascii="宋体" w:hAnsi="宋体" w:eastAsia="宋体" w:cs="宋体"/>
          <w:color w:val="auto"/>
          <w:sz w:val="21"/>
          <w:szCs w:val="21"/>
          <w:u w:val="single"/>
        </w:rPr>
        <w:t>28</w:t>
      </w:r>
      <w:r>
        <w:rPr>
          <w:rFonts w:hint="eastAsia" w:ascii="宋体" w:hAnsi="宋体" w:eastAsia="宋体" w:cs="宋体"/>
          <w:color w:val="auto"/>
          <w:sz w:val="21"/>
          <w:szCs w:val="21"/>
        </w:rPr>
        <w:t>天内完成款项的支付。</w:t>
      </w:r>
    </w:p>
    <w:p w14:paraId="32D7CB12">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1097" w:name="_Toc351203650"/>
      <w:r>
        <w:rPr>
          <w:rFonts w:hint="eastAsia" w:ascii="宋体" w:hAnsi="宋体" w:eastAsia="宋体" w:cs="宋体"/>
          <w:color w:val="auto"/>
          <w:sz w:val="21"/>
          <w:szCs w:val="21"/>
        </w:rPr>
        <w:t>18. 保险</w:t>
      </w:r>
      <w:bookmarkEnd w:id="1097"/>
    </w:p>
    <w:bookmarkEnd w:id="1095"/>
    <w:p w14:paraId="2F3C4BF4">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18.1 工程保险</w:t>
      </w:r>
    </w:p>
    <w:p w14:paraId="3EBF35C5">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关于工程保险的特别约定：</w:t>
      </w:r>
      <w:r>
        <w:rPr>
          <w:rFonts w:hint="eastAsia" w:ascii="宋体" w:hAnsi="宋体" w:eastAsia="宋体" w:cs="宋体"/>
          <w:color w:val="auto"/>
          <w:sz w:val="21"/>
          <w:szCs w:val="21"/>
          <w:u w:val="single"/>
        </w:rPr>
        <w:t>法律法规规定的保险即建筑工程一切险（包含第三者责任险），意外 伤害险；法律法规规定的其他保险，所有保险均有承包人自行投保，费用自理</w:t>
      </w:r>
      <w:r>
        <w:rPr>
          <w:rFonts w:hint="eastAsia" w:ascii="宋体" w:hAnsi="宋体" w:eastAsia="宋体" w:cs="宋体"/>
          <w:color w:val="auto"/>
          <w:sz w:val="21"/>
          <w:szCs w:val="21"/>
          <w:u w:val="single"/>
          <w:lang w:eastAsia="zh-CN"/>
        </w:rPr>
        <w:t>。</w:t>
      </w:r>
    </w:p>
    <w:p w14:paraId="12F34F87">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18.3 其他保险</w:t>
      </w:r>
    </w:p>
    <w:p w14:paraId="7D1BE70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关于其他保险的约定：</w:t>
      </w:r>
      <w:r>
        <w:rPr>
          <w:rFonts w:hint="eastAsia" w:ascii="宋体" w:hAnsi="宋体" w:eastAsia="宋体" w:cs="宋体"/>
          <w:color w:val="auto"/>
          <w:sz w:val="21"/>
          <w:szCs w:val="21"/>
          <w:u w:val="single"/>
        </w:rPr>
        <w:t>承包人须为其施工现场的全部人员办理意外伤害保险并支付保险费，包括其员工及为履行合同聘请的第三方的人员</w:t>
      </w:r>
      <w:r>
        <w:rPr>
          <w:rFonts w:hint="eastAsia" w:ascii="宋体" w:hAnsi="宋体" w:eastAsia="宋体" w:cs="宋体"/>
          <w:color w:val="auto"/>
          <w:sz w:val="21"/>
          <w:szCs w:val="21"/>
        </w:rPr>
        <w:t>。</w:t>
      </w:r>
    </w:p>
    <w:p w14:paraId="26E28139">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承包人是否应为其施工设备等办理财产保险：</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p w14:paraId="324B2733">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18.7 通知义务</w:t>
      </w:r>
    </w:p>
    <w:p w14:paraId="63DC1F5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关于变更保险合同时的通知义务的约定：</w:t>
      </w:r>
      <w:r>
        <w:rPr>
          <w:rFonts w:hint="eastAsia" w:ascii="宋体" w:hAnsi="宋体" w:eastAsia="宋体" w:cs="宋体"/>
          <w:color w:val="auto"/>
          <w:sz w:val="21"/>
          <w:szCs w:val="21"/>
          <w:u w:val="single"/>
        </w:rPr>
        <w:t>执行通用条款</w:t>
      </w:r>
      <w:r>
        <w:rPr>
          <w:rFonts w:hint="eastAsia" w:ascii="宋体" w:hAnsi="宋体" w:eastAsia="宋体" w:cs="宋体"/>
          <w:color w:val="auto"/>
          <w:sz w:val="21"/>
          <w:szCs w:val="21"/>
        </w:rPr>
        <w:t>。</w:t>
      </w:r>
    </w:p>
    <w:bookmarkEnd w:id="1071"/>
    <w:bookmarkEnd w:id="1072"/>
    <w:bookmarkEnd w:id="1073"/>
    <w:bookmarkEnd w:id="1074"/>
    <w:bookmarkEnd w:id="1075"/>
    <w:bookmarkEnd w:id="1076"/>
    <w:bookmarkEnd w:id="1077"/>
    <w:bookmarkEnd w:id="1078"/>
    <w:bookmarkEnd w:id="1079"/>
    <w:bookmarkEnd w:id="1080"/>
    <w:bookmarkEnd w:id="1081"/>
    <w:bookmarkEnd w:id="1082"/>
    <w:p w14:paraId="37A7AE37">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rPr>
      </w:pPr>
      <w:bookmarkStart w:id="1098" w:name="_Toc351203651"/>
      <w:r>
        <w:rPr>
          <w:rFonts w:hint="eastAsia" w:ascii="宋体" w:hAnsi="宋体" w:eastAsia="宋体" w:cs="宋体"/>
          <w:color w:val="auto"/>
          <w:sz w:val="21"/>
          <w:szCs w:val="21"/>
        </w:rPr>
        <w:t>20. 争议解决</w:t>
      </w:r>
      <w:bookmarkEnd w:id="1098"/>
    </w:p>
    <w:bookmarkEnd w:id="1083"/>
    <w:bookmarkEnd w:id="1084"/>
    <w:p w14:paraId="4A13EC2C">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20.3 争</w:t>
      </w:r>
      <w:bookmarkEnd w:id="1085"/>
      <w:r>
        <w:rPr>
          <w:rFonts w:hint="eastAsia" w:ascii="宋体" w:hAnsi="宋体" w:eastAsia="宋体" w:cs="宋体"/>
          <w:bCs/>
          <w:color w:val="auto"/>
          <w:sz w:val="21"/>
          <w:szCs w:val="21"/>
        </w:rPr>
        <w:t>议评审</w:t>
      </w:r>
    </w:p>
    <w:p w14:paraId="1FC52FF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合同当事人是否同意将工程争议提交争议评审小组决定：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E4ADCEA">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20.3.1 争议评审小组的确定</w:t>
      </w:r>
    </w:p>
    <w:p w14:paraId="5C64AA8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争议评审小组成员的确定：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34FC267">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选定争议评审员的期限：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B9542F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争议评审小组成员的报酬承担方式：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0922364">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其他事项的约定：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F53E310">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20.3.2 争议评审小组的决定</w:t>
      </w:r>
    </w:p>
    <w:p w14:paraId="0DEF2A12">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合同当事人关于本项的约定：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ADE6490">
      <w:pPr>
        <w:keepNext/>
        <w:keepLines/>
        <w:pageBreakBefore w:val="0"/>
        <w:widowControl w:val="0"/>
        <w:kinsoku/>
        <w:wordWrap/>
        <w:overflowPunct/>
        <w:topLinePunct w:val="0"/>
        <w:bidi w:val="0"/>
        <w:snapToGrid w:val="0"/>
        <w:spacing w:line="360" w:lineRule="auto"/>
        <w:ind w:left="0" w:leftChars="0" w:firstLine="420" w:firstLineChars="200"/>
        <w:textAlignment w:val="auto"/>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20.4 仲裁或诉讼</w:t>
      </w:r>
      <w:bookmarkEnd w:id="1086"/>
    </w:p>
    <w:bookmarkEnd w:id="1087"/>
    <w:bookmarkEnd w:id="1088"/>
    <w:bookmarkEnd w:id="1089"/>
    <w:bookmarkEnd w:id="1090"/>
    <w:bookmarkEnd w:id="1091"/>
    <w:bookmarkEnd w:id="1092"/>
    <w:p w14:paraId="7A93A491">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因合同及合同有关事项发生的争议，按下列</w:t>
      </w:r>
      <w:r>
        <w:rPr>
          <w:rFonts w:hint="eastAsia" w:ascii="宋体" w:hAnsi="宋体" w:eastAsia="宋体" w:cs="宋体"/>
          <w:b/>
          <w:bCs/>
          <w:color w:val="auto"/>
          <w:sz w:val="21"/>
          <w:szCs w:val="21"/>
        </w:rPr>
        <w:t>第</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u w:val="single"/>
          <w:lang w:val="en-US" w:eastAsia="zh-CN"/>
        </w:rPr>
        <w:t>（2）</w:t>
      </w:r>
      <w:r>
        <w:rPr>
          <w:rFonts w:hint="eastAsia" w:ascii="宋体" w:hAnsi="宋体" w:eastAsia="宋体" w:cs="宋体"/>
          <w:b/>
          <w:bCs/>
          <w:color w:val="auto"/>
          <w:sz w:val="21"/>
          <w:szCs w:val="21"/>
        </w:rPr>
        <w:t>种</w:t>
      </w:r>
      <w:r>
        <w:rPr>
          <w:rFonts w:hint="eastAsia" w:ascii="宋体" w:hAnsi="宋体" w:eastAsia="宋体" w:cs="宋体"/>
          <w:color w:val="auto"/>
          <w:sz w:val="21"/>
          <w:szCs w:val="21"/>
        </w:rPr>
        <w:t>方式解决：</w:t>
      </w:r>
    </w:p>
    <w:p w14:paraId="36E7083E">
      <w:pPr>
        <w:pageBreakBefore w:val="0"/>
        <w:widowControl w:val="0"/>
        <w:numPr>
          <w:ilvl w:val="0"/>
          <w:numId w:val="0"/>
        </w:numPr>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向</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仲裁委员会申请仲裁；</w:t>
      </w:r>
    </w:p>
    <w:p w14:paraId="54176FAC">
      <w:pPr>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（2）向</w:t>
      </w:r>
      <w:r>
        <w:rPr>
          <w:rFonts w:hint="eastAsia" w:ascii="宋体" w:hAnsi="宋体" w:eastAsia="宋体" w:cs="宋体"/>
          <w:color w:val="auto"/>
          <w:sz w:val="21"/>
          <w:szCs w:val="21"/>
          <w:u w:val="single"/>
        </w:rPr>
        <w:t>工程所在地</w:t>
      </w:r>
      <w:r>
        <w:rPr>
          <w:rFonts w:hint="eastAsia" w:ascii="宋体" w:hAnsi="宋体" w:eastAsia="宋体" w:cs="宋体"/>
          <w:color w:val="auto"/>
          <w:sz w:val="21"/>
          <w:szCs w:val="21"/>
        </w:rPr>
        <w:t>人民法院起诉。</w:t>
      </w:r>
    </w:p>
    <w:p w14:paraId="3173F877">
      <w:pPr>
        <w:pageBreakBefore w:val="0"/>
        <w:widowControl w:val="0"/>
        <w:kinsoku/>
        <w:wordWrap/>
        <w:overflowPunct/>
        <w:topLinePunct w:val="0"/>
        <w:bidi w:val="0"/>
        <w:snapToGrid w:val="0"/>
        <w:spacing w:line="360" w:lineRule="auto"/>
        <w:ind w:left="0" w:leftChars="0"/>
        <w:textAlignment w:val="auto"/>
        <w:outlineLvl w:val="2"/>
        <w:rPr>
          <w:rFonts w:hint="eastAsia" w:ascii="宋体" w:hAnsi="宋体" w:eastAsia="宋体" w:cs="宋体"/>
          <w:color w:val="auto"/>
          <w:sz w:val="21"/>
          <w:szCs w:val="21"/>
          <w:u w:val="single"/>
        </w:rPr>
      </w:pPr>
      <w:r>
        <w:rPr>
          <w:rFonts w:hint="eastAsia" w:ascii="宋体" w:hAnsi="宋体" w:eastAsia="宋体" w:cs="宋体"/>
          <w:color w:val="auto"/>
          <w:sz w:val="21"/>
          <w:szCs w:val="21"/>
        </w:rPr>
        <w:t>21. 补充条款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p>
    <w:p w14:paraId="42483249">
      <w:pPr>
        <w:pStyle w:val="8"/>
        <w:tabs>
          <w:tab w:val="left" w:pos="567"/>
        </w:tabs>
        <w:rPr>
          <w:rFonts w:hint="eastAsia" w:ascii="宋体" w:hAnsi="宋体" w:eastAsia="宋体" w:cs="宋体"/>
          <w:color w:val="auto"/>
        </w:rPr>
      </w:pPr>
    </w:p>
    <w:p w14:paraId="726D1D30">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发包人：  （公章）                         承包人：  （公章）</w:t>
      </w:r>
    </w:p>
    <w:p w14:paraId="7F56690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                 法定代表人或其委托代理人：</w:t>
      </w:r>
    </w:p>
    <w:p w14:paraId="443FFC4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（签字）                                  （签字）</w:t>
      </w:r>
    </w:p>
    <w:p w14:paraId="79E6DE21">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组织机构代码：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组织机构代码：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14:paraId="4C21385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地  址：</w:t>
      </w:r>
      <w:r>
        <w:rPr>
          <w:rFonts w:hint="eastAsia" w:ascii="宋体" w:hAnsi="宋体" w:eastAsia="宋体" w:cs="宋体"/>
          <w:color w:val="auto"/>
          <w:sz w:val="21"/>
          <w:szCs w:val="21"/>
          <w:u w:val="single"/>
        </w:rPr>
        <w:t xml:space="preserve">        </w:t>
      </w:r>
    </w:p>
    <w:p w14:paraId="5AF723E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     </w:t>
      </w:r>
      <w:r>
        <w:rPr>
          <w:rFonts w:hint="eastAsia" w:ascii="宋体" w:hAnsi="宋体" w:eastAsia="宋体" w:cs="宋体"/>
          <w:color w:val="auto"/>
          <w:sz w:val="21"/>
          <w:szCs w:val="21"/>
        </w:rPr>
        <w:t xml:space="preserve">               邮政编码：</w:t>
      </w:r>
      <w:r>
        <w:rPr>
          <w:rFonts w:hint="eastAsia" w:ascii="宋体" w:hAnsi="宋体" w:eastAsia="宋体" w:cs="宋体"/>
          <w:color w:val="auto"/>
          <w:sz w:val="21"/>
          <w:szCs w:val="21"/>
          <w:u w:val="single"/>
        </w:rPr>
        <w:t xml:space="preserve">   </w:t>
      </w:r>
    </w:p>
    <w:p w14:paraId="65E1D7DD">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 xml:space="preserve">             </w:t>
      </w:r>
    </w:p>
    <w:p w14:paraId="63121E29">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w:t>
      </w:r>
      <w:r>
        <w:rPr>
          <w:rFonts w:hint="eastAsia" w:ascii="宋体" w:hAnsi="宋体" w:eastAsia="宋体" w:cs="宋体"/>
          <w:color w:val="auto"/>
          <w:sz w:val="21"/>
          <w:szCs w:val="21"/>
          <w:u w:val="single"/>
        </w:rPr>
        <w:t xml:space="preserve">             </w:t>
      </w:r>
    </w:p>
    <w:p w14:paraId="0D441E25">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  话：</w:t>
      </w:r>
      <w:r>
        <w:rPr>
          <w:rFonts w:hint="eastAsia" w:ascii="宋体" w:hAnsi="宋体" w:eastAsia="宋体" w:cs="宋体"/>
          <w:color w:val="auto"/>
          <w:sz w:val="21"/>
          <w:szCs w:val="21"/>
          <w:u w:val="single"/>
        </w:rPr>
        <w:t xml:space="preserve">     </w:t>
      </w:r>
    </w:p>
    <w:p w14:paraId="2223741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传  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传  真：</w:t>
      </w:r>
      <w:r>
        <w:rPr>
          <w:rFonts w:hint="eastAsia" w:ascii="宋体" w:hAnsi="宋体" w:eastAsia="宋体" w:cs="宋体"/>
          <w:color w:val="auto"/>
          <w:sz w:val="21"/>
          <w:szCs w:val="21"/>
          <w:u w:val="single"/>
        </w:rPr>
        <w:t xml:space="preserve">     </w:t>
      </w:r>
    </w:p>
    <w:p w14:paraId="4F51EE9A">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电子信箱：</w:t>
      </w:r>
      <w:r>
        <w:rPr>
          <w:rFonts w:hint="eastAsia" w:ascii="宋体" w:hAnsi="宋体" w:eastAsia="宋体" w:cs="宋体"/>
          <w:color w:val="auto"/>
          <w:sz w:val="21"/>
          <w:szCs w:val="21"/>
          <w:u w:val="single"/>
        </w:rPr>
        <w:t xml:space="preserve">   </w:t>
      </w:r>
    </w:p>
    <w:p w14:paraId="018768E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p>
    <w:p w14:paraId="13604872">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账  号：</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账  号：</w:t>
      </w:r>
      <w:r>
        <w:rPr>
          <w:rFonts w:hint="eastAsia" w:ascii="宋体" w:hAnsi="宋体" w:eastAsia="宋体" w:cs="宋体"/>
          <w:color w:val="auto"/>
          <w:sz w:val="21"/>
          <w:szCs w:val="21"/>
          <w:u w:val="single"/>
        </w:rPr>
        <w:t xml:space="preserve">     </w:t>
      </w:r>
    </w:p>
    <w:bookmarkEnd w:id="565"/>
    <w:p w14:paraId="3BE28FDC">
      <w:pPr>
        <w:snapToGrid w:val="0"/>
        <w:spacing w:line="360" w:lineRule="auto"/>
        <w:rPr>
          <w:rFonts w:hint="eastAsia" w:ascii="宋体" w:hAnsi="宋体" w:eastAsia="宋体" w:cs="宋体"/>
          <w:b/>
          <w:color w:val="auto"/>
          <w:sz w:val="21"/>
          <w:szCs w:val="21"/>
        </w:rPr>
      </w:pPr>
    </w:p>
    <w:p w14:paraId="43A2045A">
      <w:pPr>
        <w:snapToGrid w:val="0"/>
        <w:spacing w:line="360" w:lineRule="auto"/>
        <w:rPr>
          <w:rFonts w:hint="eastAsia" w:ascii="宋体" w:hAnsi="宋体" w:eastAsia="宋体" w:cs="宋体"/>
          <w:b/>
          <w:color w:val="auto"/>
          <w:sz w:val="21"/>
          <w:szCs w:val="21"/>
        </w:rPr>
      </w:pPr>
    </w:p>
    <w:p w14:paraId="338FB429">
      <w:pPr>
        <w:snapToGrid w:val="0"/>
        <w:spacing w:line="360" w:lineRule="auto"/>
        <w:rPr>
          <w:rFonts w:hint="eastAsia" w:ascii="宋体" w:hAnsi="宋体" w:eastAsia="宋体" w:cs="宋体"/>
          <w:b/>
          <w:color w:val="auto"/>
          <w:sz w:val="21"/>
          <w:szCs w:val="21"/>
        </w:rPr>
      </w:pPr>
    </w:p>
    <w:p w14:paraId="62CFD101">
      <w:pPr>
        <w:snapToGrid w:val="0"/>
        <w:spacing w:line="360" w:lineRule="auto"/>
        <w:rPr>
          <w:rFonts w:hint="eastAsia" w:ascii="宋体" w:hAnsi="宋体" w:eastAsia="宋体" w:cs="宋体"/>
          <w:b/>
          <w:color w:val="auto"/>
          <w:sz w:val="21"/>
          <w:szCs w:val="21"/>
        </w:rPr>
      </w:pPr>
    </w:p>
    <w:p w14:paraId="4852EA43">
      <w:pPr>
        <w:snapToGrid w:val="0"/>
        <w:spacing w:line="360" w:lineRule="auto"/>
        <w:rPr>
          <w:rFonts w:hint="eastAsia" w:ascii="宋体" w:hAnsi="宋体" w:eastAsia="宋体" w:cs="宋体"/>
          <w:b/>
          <w:color w:val="auto"/>
          <w:sz w:val="21"/>
          <w:szCs w:val="21"/>
        </w:rPr>
      </w:pPr>
    </w:p>
    <w:p w14:paraId="004736E4">
      <w:pPr>
        <w:snapToGrid w:val="0"/>
        <w:spacing w:line="360" w:lineRule="auto"/>
        <w:rPr>
          <w:rFonts w:hint="eastAsia" w:ascii="宋体" w:hAnsi="宋体" w:eastAsia="宋体" w:cs="宋体"/>
          <w:b/>
          <w:color w:val="auto"/>
          <w:sz w:val="21"/>
          <w:szCs w:val="21"/>
        </w:rPr>
      </w:pPr>
    </w:p>
    <w:p w14:paraId="50F82D50">
      <w:pPr>
        <w:snapToGrid w:val="0"/>
        <w:spacing w:line="360" w:lineRule="auto"/>
        <w:rPr>
          <w:rFonts w:hint="eastAsia" w:ascii="宋体" w:hAnsi="宋体" w:eastAsia="宋体" w:cs="宋体"/>
          <w:b/>
          <w:color w:val="auto"/>
          <w:sz w:val="21"/>
          <w:szCs w:val="21"/>
        </w:rPr>
      </w:pPr>
    </w:p>
    <w:p w14:paraId="46FEE754">
      <w:pPr>
        <w:snapToGrid w:val="0"/>
        <w:spacing w:line="360" w:lineRule="auto"/>
        <w:rPr>
          <w:rFonts w:hint="eastAsia" w:ascii="宋体" w:hAnsi="宋体" w:eastAsia="宋体" w:cs="宋体"/>
          <w:b/>
          <w:color w:val="auto"/>
          <w:sz w:val="21"/>
          <w:szCs w:val="21"/>
        </w:rPr>
      </w:pPr>
    </w:p>
    <w:p w14:paraId="4812C3D1">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附件</w:t>
      </w:r>
    </w:p>
    <w:p w14:paraId="407D6A4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协议书附件：</w:t>
      </w:r>
    </w:p>
    <w:p w14:paraId="641E39B7">
      <w:pPr>
        <w:snapToGrid w:val="0"/>
        <w:spacing w:line="360" w:lineRule="auto"/>
        <w:rPr>
          <w:rFonts w:hint="eastAsia" w:ascii="宋体" w:hAnsi="宋体" w:eastAsia="宋体" w:cs="宋体"/>
          <w:color w:val="auto"/>
          <w:sz w:val="21"/>
          <w:szCs w:val="21"/>
        </w:rPr>
      </w:pPr>
      <w:bookmarkStart w:id="1099" w:name="_Toc128950221"/>
      <w:r>
        <w:rPr>
          <w:rFonts w:hint="eastAsia" w:ascii="宋体" w:hAnsi="宋体" w:eastAsia="宋体" w:cs="宋体"/>
          <w:color w:val="auto"/>
          <w:sz w:val="21"/>
          <w:szCs w:val="21"/>
        </w:rPr>
        <w:t>附件1：承包人承揽工程项目一览表</w:t>
      </w:r>
      <w:bookmarkEnd w:id="1099"/>
    </w:p>
    <w:p w14:paraId="6356F9E3">
      <w:pPr>
        <w:snapToGrid w:val="0"/>
        <w:spacing w:line="360" w:lineRule="auto"/>
        <w:rPr>
          <w:rFonts w:hint="eastAsia" w:ascii="宋体" w:hAnsi="宋体" w:eastAsia="宋体" w:cs="宋体"/>
          <w:color w:val="auto"/>
          <w:sz w:val="21"/>
          <w:szCs w:val="21"/>
        </w:rPr>
      </w:pPr>
    </w:p>
    <w:p w14:paraId="4A7C8493">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专用合同条款附件：</w:t>
      </w:r>
    </w:p>
    <w:p w14:paraId="206B11F1">
      <w:pPr>
        <w:snapToGrid w:val="0"/>
        <w:spacing w:line="360" w:lineRule="auto"/>
        <w:rPr>
          <w:rFonts w:hint="eastAsia" w:ascii="宋体" w:hAnsi="宋体" w:eastAsia="宋体" w:cs="宋体"/>
          <w:color w:val="auto"/>
          <w:sz w:val="21"/>
          <w:szCs w:val="21"/>
        </w:rPr>
      </w:pPr>
      <w:bookmarkStart w:id="1100" w:name="_Toc128950222"/>
      <w:r>
        <w:rPr>
          <w:rFonts w:hint="eastAsia" w:ascii="宋体" w:hAnsi="宋体" w:eastAsia="宋体" w:cs="宋体"/>
          <w:color w:val="auto"/>
          <w:sz w:val="21"/>
          <w:szCs w:val="21"/>
        </w:rPr>
        <w:t>附件2：发包人供应材料设备一览表</w:t>
      </w:r>
      <w:bookmarkEnd w:id="1100"/>
    </w:p>
    <w:p w14:paraId="74E5994A">
      <w:pPr>
        <w:snapToGrid w:val="0"/>
        <w:spacing w:line="360" w:lineRule="auto"/>
        <w:rPr>
          <w:rFonts w:hint="eastAsia" w:ascii="宋体" w:hAnsi="宋体" w:eastAsia="宋体" w:cs="宋体"/>
          <w:color w:val="auto"/>
          <w:sz w:val="21"/>
          <w:szCs w:val="21"/>
        </w:rPr>
      </w:pPr>
      <w:bookmarkStart w:id="1101" w:name="_Toc128950223"/>
      <w:r>
        <w:rPr>
          <w:rFonts w:hint="eastAsia" w:ascii="宋体" w:hAnsi="宋体" w:eastAsia="宋体" w:cs="宋体"/>
          <w:color w:val="auto"/>
          <w:sz w:val="21"/>
          <w:szCs w:val="21"/>
        </w:rPr>
        <w:t>附件3：工程质量保修书</w:t>
      </w:r>
      <w:bookmarkEnd w:id="1101"/>
    </w:p>
    <w:p w14:paraId="2C22089F">
      <w:pPr>
        <w:snapToGrid w:val="0"/>
        <w:spacing w:line="360" w:lineRule="auto"/>
        <w:rPr>
          <w:rFonts w:hint="eastAsia" w:ascii="宋体" w:hAnsi="宋体" w:eastAsia="宋体" w:cs="宋体"/>
          <w:color w:val="auto"/>
          <w:sz w:val="21"/>
          <w:szCs w:val="21"/>
        </w:rPr>
      </w:pPr>
      <w:bookmarkStart w:id="1102" w:name="_Toc128950224"/>
      <w:r>
        <w:rPr>
          <w:rFonts w:hint="eastAsia" w:ascii="宋体" w:hAnsi="宋体" w:eastAsia="宋体" w:cs="宋体"/>
          <w:color w:val="auto"/>
          <w:sz w:val="21"/>
          <w:szCs w:val="21"/>
        </w:rPr>
        <w:t>附件4：主要建设工程文件目录</w:t>
      </w:r>
      <w:bookmarkEnd w:id="1102"/>
    </w:p>
    <w:p w14:paraId="1770FBBA">
      <w:pPr>
        <w:snapToGrid w:val="0"/>
        <w:spacing w:line="360" w:lineRule="auto"/>
        <w:rPr>
          <w:rFonts w:hint="eastAsia" w:ascii="宋体" w:hAnsi="宋体" w:eastAsia="宋体" w:cs="宋体"/>
          <w:color w:val="auto"/>
          <w:sz w:val="21"/>
          <w:szCs w:val="21"/>
        </w:rPr>
      </w:pPr>
      <w:bookmarkStart w:id="1103" w:name="_Toc128950225"/>
      <w:r>
        <w:rPr>
          <w:rFonts w:hint="eastAsia" w:ascii="宋体" w:hAnsi="宋体" w:eastAsia="宋体" w:cs="宋体"/>
          <w:color w:val="auto"/>
          <w:sz w:val="21"/>
          <w:szCs w:val="21"/>
        </w:rPr>
        <w:t>附件5：承包人用于本工程施工的机械设备表</w:t>
      </w:r>
      <w:bookmarkEnd w:id="1103"/>
    </w:p>
    <w:p w14:paraId="51F74F2F">
      <w:pPr>
        <w:snapToGrid w:val="0"/>
        <w:spacing w:line="360" w:lineRule="auto"/>
        <w:rPr>
          <w:rFonts w:hint="eastAsia" w:ascii="宋体" w:hAnsi="宋体" w:eastAsia="宋体" w:cs="宋体"/>
          <w:color w:val="auto"/>
          <w:sz w:val="21"/>
          <w:szCs w:val="21"/>
        </w:rPr>
      </w:pPr>
      <w:bookmarkStart w:id="1104" w:name="_Toc128950226"/>
      <w:r>
        <w:rPr>
          <w:rFonts w:hint="eastAsia" w:ascii="宋体" w:hAnsi="宋体" w:eastAsia="宋体" w:cs="宋体"/>
          <w:color w:val="auto"/>
          <w:sz w:val="21"/>
          <w:szCs w:val="21"/>
        </w:rPr>
        <w:t>附件6：承包人主要施工管理人员表</w:t>
      </w:r>
      <w:bookmarkEnd w:id="1104"/>
    </w:p>
    <w:p w14:paraId="7B57189E">
      <w:pPr>
        <w:snapToGrid w:val="0"/>
        <w:spacing w:line="360" w:lineRule="auto"/>
        <w:rPr>
          <w:rFonts w:hint="eastAsia" w:ascii="宋体" w:hAnsi="宋体" w:eastAsia="宋体" w:cs="宋体"/>
          <w:color w:val="auto"/>
          <w:sz w:val="21"/>
          <w:szCs w:val="21"/>
        </w:rPr>
      </w:pPr>
      <w:bookmarkStart w:id="1105" w:name="_Toc128950227"/>
      <w:r>
        <w:rPr>
          <w:rFonts w:hint="eastAsia" w:ascii="宋体" w:hAnsi="宋体" w:eastAsia="宋体" w:cs="宋体"/>
          <w:color w:val="auto"/>
          <w:sz w:val="21"/>
          <w:szCs w:val="21"/>
        </w:rPr>
        <w:t>附件7：分包人主要施工管理人员表</w:t>
      </w:r>
      <w:bookmarkEnd w:id="1105"/>
    </w:p>
    <w:p w14:paraId="75C5ED9B">
      <w:pPr>
        <w:snapToGrid w:val="0"/>
        <w:spacing w:line="360" w:lineRule="auto"/>
        <w:rPr>
          <w:rFonts w:hint="eastAsia" w:ascii="宋体" w:hAnsi="宋体" w:eastAsia="宋体" w:cs="宋体"/>
          <w:color w:val="auto"/>
          <w:sz w:val="21"/>
          <w:szCs w:val="21"/>
        </w:rPr>
      </w:pPr>
      <w:bookmarkStart w:id="1106" w:name="_Toc128950228"/>
      <w:r>
        <w:rPr>
          <w:rFonts w:hint="eastAsia" w:ascii="宋体" w:hAnsi="宋体" w:eastAsia="宋体" w:cs="宋体"/>
          <w:color w:val="auto"/>
          <w:sz w:val="21"/>
          <w:szCs w:val="21"/>
        </w:rPr>
        <w:t>附件8：廉政协议</w:t>
      </w:r>
      <w:bookmarkEnd w:id="1106"/>
    </w:p>
    <w:p w14:paraId="3797317A">
      <w:pPr>
        <w:snapToGrid w:val="0"/>
        <w:spacing w:line="360" w:lineRule="auto"/>
        <w:rPr>
          <w:rFonts w:hint="eastAsia" w:ascii="宋体" w:hAnsi="宋体" w:eastAsia="宋体" w:cs="宋体"/>
          <w:color w:val="auto"/>
          <w:sz w:val="21"/>
          <w:szCs w:val="21"/>
        </w:rPr>
      </w:pPr>
      <w:bookmarkStart w:id="1107" w:name="_Toc128950229"/>
      <w:r>
        <w:rPr>
          <w:rFonts w:hint="eastAsia" w:ascii="宋体" w:hAnsi="宋体" w:eastAsia="宋体" w:cs="宋体"/>
          <w:color w:val="auto"/>
          <w:sz w:val="21"/>
          <w:szCs w:val="21"/>
        </w:rPr>
        <w:t>附件9：履约保证金格式</w:t>
      </w:r>
      <w:bookmarkEnd w:id="1107"/>
    </w:p>
    <w:p w14:paraId="31127F90">
      <w:pPr>
        <w:snapToGrid w:val="0"/>
        <w:spacing w:line="360" w:lineRule="auto"/>
        <w:rPr>
          <w:rFonts w:hint="eastAsia" w:ascii="宋体" w:hAnsi="宋体" w:eastAsia="宋体" w:cs="宋体"/>
          <w:color w:val="auto"/>
          <w:sz w:val="21"/>
          <w:szCs w:val="21"/>
        </w:rPr>
      </w:pPr>
      <w:bookmarkStart w:id="1108" w:name="_Toc128950230"/>
      <w:r>
        <w:rPr>
          <w:rFonts w:hint="eastAsia" w:ascii="宋体" w:hAnsi="宋体" w:eastAsia="宋体" w:cs="宋体"/>
          <w:color w:val="auto"/>
          <w:sz w:val="21"/>
          <w:szCs w:val="21"/>
        </w:rPr>
        <w:t>附件10：预付款担保格式</w:t>
      </w:r>
      <w:bookmarkEnd w:id="1108"/>
    </w:p>
    <w:p w14:paraId="11F1FAE9">
      <w:pPr>
        <w:snapToGrid w:val="0"/>
        <w:spacing w:line="360" w:lineRule="auto"/>
        <w:rPr>
          <w:rFonts w:hint="eastAsia" w:ascii="宋体" w:hAnsi="宋体" w:eastAsia="宋体" w:cs="宋体"/>
          <w:color w:val="auto"/>
          <w:sz w:val="21"/>
          <w:szCs w:val="21"/>
        </w:rPr>
      </w:pPr>
      <w:bookmarkStart w:id="1109" w:name="_Toc128950231"/>
      <w:r>
        <w:rPr>
          <w:rFonts w:hint="eastAsia" w:ascii="宋体" w:hAnsi="宋体" w:eastAsia="宋体" w:cs="宋体"/>
          <w:color w:val="auto"/>
          <w:sz w:val="21"/>
          <w:szCs w:val="21"/>
        </w:rPr>
        <w:t>附件11：支付担保格式</w:t>
      </w:r>
      <w:bookmarkEnd w:id="1109"/>
    </w:p>
    <w:p w14:paraId="491577A2">
      <w:pPr>
        <w:snapToGrid w:val="0"/>
        <w:spacing w:line="360" w:lineRule="auto"/>
        <w:rPr>
          <w:rFonts w:hint="eastAsia" w:ascii="宋体" w:hAnsi="宋体" w:eastAsia="宋体" w:cs="宋体"/>
          <w:color w:val="auto"/>
          <w:sz w:val="21"/>
          <w:szCs w:val="21"/>
        </w:rPr>
      </w:pPr>
      <w:bookmarkStart w:id="1110" w:name="_Toc128950232"/>
      <w:r>
        <w:rPr>
          <w:rFonts w:hint="eastAsia" w:ascii="宋体" w:hAnsi="宋体" w:eastAsia="宋体" w:cs="宋体"/>
          <w:color w:val="auto"/>
          <w:sz w:val="21"/>
          <w:szCs w:val="21"/>
        </w:rPr>
        <w:t>附件12：暂估价一览表</w:t>
      </w:r>
      <w:bookmarkEnd w:id="1110"/>
    </w:p>
    <w:p w14:paraId="778D6328">
      <w:pPr>
        <w:snapToGrid w:val="0"/>
        <w:spacing w:line="360" w:lineRule="auto"/>
        <w:rPr>
          <w:rFonts w:hint="eastAsia" w:ascii="宋体" w:hAnsi="宋体" w:eastAsia="宋体" w:cs="宋体"/>
          <w:color w:val="auto"/>
          <w:sz w:val="21"/>
          <w:szCs w:val="21"/>
        </w:rPr>
      </w:pPr>
      <w:bookmarkStart w:id="1111" w:name="_Toc128950233"/>
      <w:r>
        <w:rPr>
          <w:rFonts w:hint="eastAsia" w:ascii="宋体" w:hAnsi="宋体" w:eastAsia="宋体" w:cs="宋体"/>
          <w:color w:val="auto"/>
          <w:sz w:val="21"/>
          <w:szCs w:val="21"/>
        </w:rPr>
        <w:t>附件13：安全生产合同</w:t>
      </w:r>
      <w:bookmarkEnd w:id="1111"/>
    </w:p>
    <w:p w14:paraId="509114D0">
      <w:pPr>
        <w:snapToGrid w:val="0"/>
        <w:spacing w:line="360" w:lineRule="auto"/>
        <w:rPr>
          <w:rFonts w:hint="eastAsia" w:ascii="宋体" w:hAnsi="宋体" w:eastAsia="宋体" w:cs="宋体"/>
          <w:color w:val="auto"/>
          <w:sz w:val="21"/>
          <w:szCs w:val="21"/>
        </w:rPr>
      </w:pPr>
      <w:bookmarkStart w:id="1112" w:name="_Toc128950234"/>
      <w:r>
        <w:rPr>
          <w:rFonts w:hint="eastAsia" w:ascii="宋体" w:hAnsi="宋体" w:eastAsia="宋体" w:cs="宋体"/>
          <w:color w:val="auto"/>
          <w:sz w:val="21"/>
          <w:szCs w:val="21"/>
        </w:rPr>
        <w:t>附件14：项目经理质量终身责任制承诺</w:t>
      </w:r>
      <w:bookmarkEnd w:id="1112"/>
    </w:p>
    <w:p w14:paraId="6AE9BD39">
      <w:pPr>
        <w:snapToGrid w:val="0"/>
        <w:spacing w:before="312" w:beforeLines="100" w:after="312" w:afterLines="100" w:line="360" w:lineRule="auto"/>
        <w:outlineLvl w:val="2"/>
        <w:rPr>
          <w:rFonts w:hint="eastAsia" w:ascii="Times New Roman" w:eastAsia="黑体"/>
          <w:color w:val="auto"/>
          <w:szCs w:val="24"/>
        </w:rPr>
      </w:pPr>
      <w:bookmarkStart w:id="1113" w:name="_Toc128950235"/>
    </w:p>
    <w:p w14:paraId="10BD3862">
      <w:pPr>
        <w:snapToGrid w:val="0"/>
        <w:spacing w:before="312" w:beforeLines="100" w:after="312" w:afterLines="100" w:line="360" w:lineRule="auto"/>
        <w:outlineLvl w:val="2"/>
        <w:rPr>
          <w:rFonts w:hint="eastAsia" w:ascii="Times New Roman" w:eastAsia="黑体"/>
          <w:color w:val="auto"/>
          <w:szCs w:val="24"/>
        </w:rPr>
      </w:pPr>
    </w:p>
    <w:p w14:paraId="1DF03DCE">
      <w:pPr>
        <w:snapToGrid w:val="0"/>
        <w:spacing w:before="312" w:beforeLines="100" w:after="312" w:afterLines="100" w:line="360" w:lineRule="auto"/>
        <w:outlineLvl w:val="2"/>
        <w:rPr>
          <w:rFonts w:hint="eastAsia" w:ascii="Times New Roman" w:eastAsia="黑体"/>
          <w:color w:val="auto"/>
          <w:szCs w:val="24"/>
        </w:rPr>
      </w:pPr>
    </w:p>
    <w:p w14:paraId="0E5D75B6">
      <w:pPr>
        <w:snapToGrid w:val="0"/>
        <w:spacing w:before="312" w:beforeLines="100" w:after="312" w:afterLines="100" w:line="360" w:lineRule="auto"/>
        <w:outlineLvl w:val="2"/>
        <w:rPr>
          <w:rFonts w:hint="eastAsia" w:ascii="Times New Roman" w:eastAsia="黑体"/>
          <w:color w:val="auto"/>
          <w:szCs w:val="24"/>
        </w:rPr>
      </w:pPr>
    </w:p>
    <w:p w14:paraId="407F8DB4">
      <w:pPr>
        <w:snapToGrid w:val="0"/>
        <w:spacing w:before="312" w:beforeLines="100" w:after="312" w:afterLines="100" w:line="360" w:lineRule="auto"/>
        <w:outlineLvl w:val="2"/>
        <w:rPr>
          <w:rFonts w:hint="eastAsia" w:ascii="Times New Roman" w:eastAsia="黑体"/>
          <w:color w:val="auto"/>
          <w:szCs w:val="24"/>
        </w:rPr>
      </w:pPr>
    </w:p>
    <w:p w14:paraId="06EF8DCF">
      <w:pPr>
        <w:snapToGrid w:val="0"/>
        <w:spacing w:before="312" w:beforeLines="100" w:after="312" w:afterLines="100" w:line="360" w:lineRule="auto"/>
        <w:outlineLvl w:val="2"/>
        <w:rPr>
          <w:rFonts w:hint="eastAsia" w:ascii="Times New Roman" w:eastAsia="黑体"/>
          <w:color w:val="auto"/>
          <w:szCs w:val="24"/>
        </w:rPr>
      </w:pPr>
    </w:p>
    <w:p w14:paraId="06096A85">
      <w:pPr>
        <w:snapToGrid w:val="0"/>
        <w:spacing w:before="312" w:beforeLines="100" w:after="312" w:afterLines="100" w:line="360" w:lineRule="auto"/>
        <w:outlineLvl w:val="2"/>
        <w:rPr>
          <w:rFonts w:hint="eastAsia" w:ascii="Times New Roman" w:eastAsia="黑体"/>
          <w:color w:val="auto"/>
          <w:szCs w:val="24"/>
        </w:rPr>
      </w:pPr>
    </w:p>
    <w:p w14:paraId="30BECEEA">
      <w:pPr>
        <w:snapToGrid w:val="0"/>
        <w:spacing w:before="312" w:beforeLines="100" w:after="312" w:afterLines="100" w:line="360" w:lineRule="auto"/>
        <w:outlineLvl w:val="2"/>
        <w:rPr>
          <w:rFonts w:hint="eastAsia" w:ascii="Times New Roman" w:eastAsia="黑体"/>
          <w:color w:val="auto"/>
          <w:szCs w:val="24"/>
        </w:rPr>
      </w:pPr>
    </w:p>
    <w:p w14:paraId="33100A9D">
      <w:pPr>
        <w:snapToGrid w:val="0"/>
        <w:spacing w:before="312" w:beforeLines="100" w:after="312" w:afterLines="100" w:line="360" w:lineRule="auto"/>
        <w:outlineLvl w:val="2"/>
        <w:rPr>
          <w:rFonts w:hint="eastAsia" w:ascii="Times New Roman" w:eastAsia="黑体"/>
          <w:color w:val="auto"/>
          <w:szCs w:val="24"/>
        </w:rPr>
      </w:pPr>
    </w:p>
    <w:p w14:paraId="7B403E03">
      <w:pPr>
        <w:snapToGrid w:val="0"/>
        <w:spacing w:before="312" w:beforeLines="100" w:after="312" w:afterLines="100" w:line="360" w:lineRule="auto"/>
        <w:outlineLvl w:val="2"/>
        <w:rPr>
          <w:rFonts w:hint="eastAsia" w:ascii="Times New Roman" w:eastAsia="黑体"/>
          <w:color w:val="auto"/>
          <w:szCs w:val="24"/>
        </w:rPr>
      </w:pPr>
    </w:p>
    <w:p w14:paraId="5B1115FD">
      <w:pPr>
        <w:snapToGrid w:val="0"/>
        <w:spacing w:before="312" w:beforeLines="100" w:after="312" w:afterLines="100" w:line="360" w:lineRule="auto"/>
        <w:outlineLvl w:val="2"/>
        <w:rPr>
          <w:rFonts w:hint="eastAsia" w:ascii="Times New Roman" w:eastAsia="黑体"/>
          <w:color w:val="auto"/>
          <w:szCs w:val="24"/>
        </w:rPr>
      </w:pPr>
    </w:p>
    <w:p w14:paraId="269CEF89">
      <w:pPr>
        <w:snapToGrid w:val="0"/>
        <w:spacing w:before="312" w:beforeLines="100" w:after="312" w:afterLines="100" w:line="360" w:lineRule="auto"/>
        <w:outlineLvl w:val="2"/>
        <w:rPr>
          <w:rFonts w:hint="eastAsia" w:ascii="Times New Roman" w:eastAsia="黑体"/>
          <w:color w:val="auto"/>
          <w:szCs w:val="24"/>
        </w:rPr>
      </w:pPr>
    </w:p>
    <w:p w14:paraId="5FB76605">
      <w:pPr>
        <w:snapToGrid w:val="0"/>
        <w:spacing w:before="312" w:beforeLines="100" w:after="312" w:afterLines="100" w:line="360" w:lineRule="auto"/>
        <w:outlineLvl w:val="2"/>
        <w:rPr>
          <w:rFonts w:hint="eastAsia" w:ascii="Times New Roman" w:eastAsia="黑体"/>
          <w:color w:val="auto"/>
          <w:szCs w:val="24"/>
        </w:rPr>
      </w:pPr>
    </w:p>
    <w:p w14:paraId="21DADAEB">
      <w:pPr>
        <w:snapToGrid w:val="0"/>
        <w:spacing w:before="312" w:beforeLines="100" w:after="312" w:afterLines="100" w:line="360" w:lineRule="auto"/>
        <w:outlineLvl w:val="2"/>
        <w:rPr>
          <w:rFonts w:ascii="Times New Roman" w:eastAsia="黑体"/>
          <w:color w:val="auto"/>
          <w:szCs w:val="24"/>
        </w:rPr>
      </w:pPr>
      <w:r>
        <w:rPr>
          <w:rFonts w:hint="eastAsia" w:ascii="Times New Roman" w:eastAsia="黑体"/>
          <w:color w:val="auto"/>
          <w:szCs w:val="24"/>
        </w:rPr>
        <w:t>附件</w:t>
      </w:r>
      <w:r>
        <w:rPr>
          <w:rFonts w:ascii="Times New Roman" w:eastAsia="黑体"/>
          <w:color w:val="auto"/>
          <w:szCs w:val="24"/>
        </w:rPr>
        <w:t>1</w:t>
      </w:r>
      <w:r>
        <w:rPr>
          <w:rFonts w:hint="eastAsia" w:ascii="Times New Roman" w:eastAsia="黑体"/>
          <w:color w:val="auto"/>
          <w:szCs w:val="24"/>
        </w:rPr>
        <w:t>：承包人承揽工程项目一览表</w:t>
      </w:r>
      <w:bookmarkEnd w:id="1113"/>
    </w:p>
    <w:p w14:paraId="5EB16840">
      <w:pPr>
        <w:spacing w:line="360" w:lineRule="auto"/>
        <w:jc w:val="center"/>
        <w:rPr>
          <w:rFonts w:cs="宋体"/>
          <w:color w:val="auto"/>
          <w:sz w:val="22"/>
          <w:szCs w:val="21"/>
        </w:rPr>
      </w:pPr>
      <w:r>
        <w:rPr>
          <w:rFonts w:hint="eastAsia" w:cs="宋体"/>
          <w:color w:val="auto"/>
          <w:sz w:val="22"/>
          <w:szCs w:val="21"/>
        </w:rPr>
        <w:t>承包人承揽工程项目一览表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40"/>
        <w:gridCol w:w="733"/>
        <w:gridCol w:w="1381"/>
        <w:gridCol w:w="733"/>
        <w:gridCol w:w="426"/>
        <w:gridCol w:w="733"/>
        <w:gridCol w:w="1042"/>
        <w:gridCol w:w="1321"/>
        <w:gridCol w:w="733"/>
        <w:gridCol w:w="734"/>
      </w:tblGrid>
      <w:tr w14:paraId="683D3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48BF4C43">
            <w:pPr>
              <w:keepNext/>
              <w:snapToGrid w:val="0"/>
              <w:spacing w:line="360" w:lineRule="auto"/>
              <w:jc w:val="center"/>
              <w:rPr>
                <w:rFonts w:cs="宋体"/>
                <w:color w:val="auto"/>
                <w:sz w:val="22"/>
                <w:szCs w:val="21"/>
              </w:rPr>
            </w:pPr>
            <w:r>
              <w:rPr>
                <w:rFonts w:hint="eastAsia" w:cs="宋体"/>
                <w:color w:val="auto"/>
                <w:sz w:val="22"/>
                <w:szCs w:val="21"/>
              </w:rPr>
              <w:t>单位工程名称</w:t>
            </w:r>
          </w:p>
        </w:tc>
        <w:tc>
          <w:tcPr>
            <w:tcW w:w="413" w:type="pct"/>
            <w:tcBorders>
              <w:top w:val="single" w:color="auto" w:sz="12" w:space="0"/>
              <w:bottom w:val="double" w:color="auto" w:sz="6" w:space="0"/>
            </w:tcBorders>
            <w:vAlign w:val="center"/>
          </w:tcPr>
          <w:p w14:paraId="539CA556">
            <w:pPr>
              <w:keepNext/>
              <w:snapToGrid w:val="0"/>
              <w:spacing w:line="360" w:lineRule="auto"/>
              <w:jc w:val="center"/>
              <w:rPr>
                <w:rFonts w:cs="宋体"/>
                <w:color w:val="auto"/>
                <w:sz w:val="22"/>
                <w:szCs w:val="21"/>
              </w:rPr>
            </w:pPr>
            <w:r>
              <w:rPr>
                <w:rFonts w:hint="eastAsia" w:cs="宋体"/>
                <w:color w:val="auto"/>
                <w:sz w:val="22"/>
                <w:szCs w:val="21"/>
              </w:rPr>
              <w:t>建设规模</w:t>
            </w:r>
          </w:p>
        </w:tc>
        <w:tc>
          <w:tcPr>
            <w:tcW w:w="778" w:type="pct"/>
            <w:tcBorders>
              <w:top w:val="single" w:color="auto" w:sz="12" w:space="0"/>
              <w:bottom w:val="double" w:color="auto" w:sz="6" w:space="0"/>
            </w:tcBorders>
            <w:vAlign w:val="center"/>
          </w:tcPr>
          <w:p w14:paraId="35A2CE3E">
            <w:pPr>
              <w:keepNext/>
              <w:snapToGrid w:val="0"/>
              <w:spacing w:line="360" w:lineRule="auto"/>
              <w:jc w:val="center"/>
              <w:rPr>
                <w:rFonts w:cs="宋体"/>
                <w:color w:val="auto"/>
                <w:sz w:val="22"/>
                <w:szCs w:val="21"/>
              </w:rPr>
            </w:pPr>
            <w:r>
              <w:rPr>
                <w:rFonts w:hint="eastAsia" w:cs="宋体"/>
                <w:color w:val="auto"/>
                <w:sz w:val="22"/>
                <w:szCs w:val="21"/>
              </w:rPr>
              <w:t>建筑面积（平方米）</w:t>
            </w:r>
          </w:p>
        </w:tc>
        <w:tc>
          <w:tcPr>
            <w:tcW w:w="413" w:type="pct"/>
            <w:tcBorders>
              <w:top w:val="single" w:color="auto" w:sz="12" w:space="0"/>
              <w:bottom w:val="double" w:color="auto" w:sz="6" w:space="0"/>
            </w:tcBorders>
            <w:vAlign w:val="center"/>
          </w:tcPr>
          <w:p w14:paraId="758B0F31">
            <w:pPr>
              <w:keepNext/>
              <w:snapToGrid w:val="0"/>
              <w:spacing w:line="360" w:lineRule="auto"/>
              <w:jc w:val="center"/>
              <w:rPr>
                <w:rFonts w:cs="宋体"/>
                <w:color w:val="auto"/>
                <w:sz w:val="22"/>
                <w:szCs w:val="21"/>
              </w:rPr>
            </w:pPr>
            <w:r>
              <w:rPr>
                <w:rFonts w:hint="eastAsia" w:cs="宋体"/>
                <w:color w:val="auto"/>
                <w:sz w:val="22"/>
                <w:szCs w:val="21"/>
              </w:rPr>
              <w:t>结构形式</w:t>
            </w:r>
          </w:p>
        </w:tc>
        <w:tc>
          <w:tcPr>
            <w:tcW w:w="240" w:type="pct"/>
            <w:tcBorders>
              <w:top w:val="single" w:color="auto" w:sz="12" w:space="0"/>
              <w:bottom w:val="double" w:color="auto" w:sz="6" w:space="0"/>
            </w:tcBorders>
            <w:vAlign w:val="center"/>
          </w:tcPr>
          <w:p w14:paraId="078AA5F3">
            <w:pPr>
              <w:keepNext/>
              <w:snapToGrid w:val="0"/>
              <w:spacing w:line="360" w:lineRule="auto"/>
              <w:jc w:val="center"/>
              <w:rPr>
                <w:rFonts w:cs="宋体"/>
                <w:color w:val="auto"/>
                <w:sz w:val="22"/>
                <w:szCs w:val="21"/>
              </w:rPr>
            </w:pPr>
            <w:r>
              <w:rPr>
                <w:rFonts w:hint="eastAsia" w:cs="宋体"/>
                <w:color w:val="auto"/>
                <w:sz w:val="22"/>
                <w:szCs w:val="21"/>
              </w:rPr>
              <w:t>层数</w:t>
            </w:r>
          </w:p>
        </w:tc>
        <w:tc>
          <w:tcPr>
            <w:tcW w:w="413" w:type="pct"/>
            <w:tcBorders>
              <w:top w:val="single" w:color="auto" w:sz="12" w:space="0"/>
              <w:bottom w:val="double" w:color="auto" w:sz="6" w:space="0"/>
            </w:tcBorders>
            <w:vAlign w:val="center"/>
          </w:tcPr>
          <w:p w14:paraId="46714C9A">
            <w:pPr>
              <w:keepNext/>
              <w:snapToGrid w:val="0"/>
              <w:spacing w:line="360" w:lineRule="auto"/>
              <w:jc w:val="center"/>
              <w:rPr>
                <w:rFonts w:cs="宋体"/>
                <w:color w:val="auto"/>
                <w:sz w:val="22"/>
                <w:szCs w:val="21"/>
              </w:rPr>
            </w:pPr>
            <w:r>
              <w:rPr>
                <w:rFonts w:hint="eastAsia" w:cs="宋体"/>
                <w:color w:val="auto"/>
                <w:sz w:val="22"/>
                <w:szCs w:val="21"/>
              </w:rPr>
              <w:t>生产能力</w:t>
            </w:r>
          </w:p>
        </w:tc>
        <w:tc>
          <w:tcPr>
            <w:tcW w:w="587" w:type="pct"/>
            <w:tcBorders>
              <w:top w:val="single" w:color="auto" w:sz="12" w:space="0"/>
              <w:bottom w:val="double" w:color="auto" w:sz="6" w:space="0"/>
            </w:tcBorders>
            <w:vAlign w:val="center"/>
          </w:tcPr>
          <w:p w14:paraId="1D4685B4">
            <w:pPr>
              <w:keepNext/>
              <w:snapToGrid w:val="0"/>
              <w:spacing w:line="360" w:lineRule="auto"/>
              <w:jc w:val="center"/>
              <w:rPr>
                <w:rFonts w:cs="宋体"/>
                <w:color w:val="auto"/>
                <w:sz w:val="22"/>
                <w:szCs w:val="21"/>
              </w:rPr>
            </w:pPr>
            <w:r>
              <w:rPr>
                <w:rFonts w:hint="eastAsia" w:cs="宋体"/>
                <w:color w:val="auto"/>
                <w:sz w:val="22"/>
                <w:szCs w:val="21"/>
              </w:rPr>
              <w:t>设备安装内容</w:t>
            </w:r>
          </w:p>
        </w:tc>
        <w:tc>
          <w:tcPr>
            <w:tcW w:w="744" w:type="pct"/>
            <w:tcBorders>
              <w:top w:val="single" w:color="auto" w:sz="12" w:space="0"/>
              <w:bottom w:val="double" w:color="auto" w:sz="6" w:space="0"/>
            </w:tcBorders>
            <w:vAlign w:val="center"/>
          </w:tcPr>
          <w:p w14:paraId="13449C0A">
            <w:pPr>
              <w:keepNext/>
              <w:snapToGrid w:val="0"/>
              <w:spacing w:line="360" w:lineRule="auto"/>
              <w:jc w:val="center"/>
              <w:rPr>
                <w:rFonts w:cs="宋体"/>
                <w:color w:val="auto"/>
                <w:sz w:val="22"/>
                <w:szCs w:val="21"/>
              </w:rPr>
            </w:pPr>
            <w:r>
              <w:rPr>
                <w:rFonts w:hint="eastAsia" w:cs="宋体"/>
                <w:color w:val="auto"/>
                <w:sz w:val="22"/>
                <w:szCs w:val="21"/>
              </w:rPr>
              <w:t>合同价格（元）</w:t>
            </w:r>
          </w:p>
        </w:tc>
        <w:tc>
          <w:tcPr>
            <w:tcW w:w="413" w:type="pct"/>
            <w:tcBorders>
              <w:top w:val="single" w:color="auto" w:sz="12" w:space="0"/>
              <w:bottom w:val="double" w:color="auto" w:sz="6" w:space="0"/>
            </w:tcBorders>
            <w:vAlign w:val="center"/>
          </w:tcPr>
          <w:p w14:paraId="567289C2">
            <w:pPr>
              <w:keepNext/>
              <w:snapToGrid w:val="0"/>
              <w:spacing w:line="360" w:lineRule="auto"/>
              <w:jc w:val="center"/>
              <w:rPr>
                <w:rFonts w:cs="宋体"/>
                <w:color w:val="auto"/>
                <w:sz w:val="22"/>
                <w:szCs w:val="21"/>
              </w:rPr>
            </w:pPr>
            <w:r>
              <w:rPr>
                <w:rFonts w:hint="eastAsia" w:cs="宋体"/>
                <w:color w:val="auto"/>
                <w:sz w:val="22"/>
                <w:szCs w:val="21"/>
              </w:rPr>
              <w:t>开工日期</w:t>
            </w:r>
          </w:p>
        </w:tc>
        <w:tc>
          <w:tcPr>
            <w:tcW w:w="413" w:type="pct"/>
            <w:tcBorders>
              <w:top w:val="single" w:color="auto" w:sz="12" w:space="0"/>
              <w:bottom w:val="double" w:color="auto" w:sz="6" w:space="0"/>
            </w:tcBorders>
            <w:vAlign w:val="center"/>
          </w:tcPr>
          <w:p w14:paraId="5896FFB6">
            <w:pPr>
              <w:keepNext/>
              <w:snapToGrid w:val="0"/>
              <w:spacing w:line="360" w:lineRule="auto"/>
              <w:jc w:val="center"/>
              <w:rPr>
                <w:rFonts w:cs="宋体"/>
                <w:color w:val="auto"/>
                <w:sz w:val="22"/>
                <w:szCs w:val="21"/>
              </w:rPr>
            </w:pPr>
            <w:r>
              <w:rPr>
                <w:rFonts w:hint="eastAsia" w:cs="宋体"/>
                <w:color w:val="auto"/>
                <w:sz w:val="22"/>
                <w:szCs w:val="21"/>
              </w:rPr>
              <w:t>竣工日期</w:t>
            </w:r>
          </w:p>
        </w:tc>
      </w:tr>
      <w:tr w14:paraId="44064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06870D31">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1BA9DFFB">
            <w:pPr>
              <w:keepNext/>
              <w:snapToGrid w:val="0"/>
              <w:spacing w:line="360" w:lineRule="auto"/>
              <w:jc w:val="center"/>
              <w:rPr>
                <w:rFonts w:cs="宋体"/>
                <w:color w:val="auto"/>
                <w:sz w:val="22"/>
                <w:szCs w:val="21"/>
              </w:rPr>
            </w:pPr>
          </w:p>
        </w:tc>
        <w:tc>
          <w:tcPr>
            <w:tcW w:w="778" w:type="pct"/>
            <w:tcBorders>
              <w:top w:val="double" w:color="auto" w:sz="6" w:space="0"/>
            </w:tcBorders>
            <w:vAlign w:val="center"/>
          </w:tcPr>
          <w:p w14:paraId="2F4EFB4C">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392CCD1C">
            <w:pPr>
              <w:keepNext/>
              <w:snapToGrid w:val="0"/>
              <w:spacing w:line="360" w:lineRule="auto"/>
              <w:jc w:val="center"/>
              <w:rPr>
                <w:rFonts w:cs="宋体"/>
                <w:color w:val="auto"/>
                <w:sz w:val="22"/>
                <w:szCs w:val="21"/>
              </w:rPr>
            </w:pPr>
          </w:p>
        </w:tc>
        <w:tc>
          <w:tcPr>
            <w:tcW w:w="240" w:type="pct"/>
            <w:tcBorders>
              <w:top w:val="double" w:color="auto" w:sz="6" w:space="0"/>
            </w:tcBorders>
            <w:vAlign w:val="center"/>
          </w:tcPr>
          <w:p w14:paraId="308ACE85">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179EC10D">
            <w:pPr>
              <w:keepNext/>
              <w:snapToGrid w:val="0"/>
              <w:spacing w:line="360" w:lineRule="auto"/>
              <w:jc w:val="center"/>
              <w:rPr>
                <w:rFonts w:cs="宋体"/>
                <w:color w:val="auto"/>
                <w:sz w:val="22"/>
                <w:szCs w:val="21"/>
              </w:rPr>
            </w:pPr>
          </w:p>
        </w:tc>
        <w:tc>
          <w:tcPr>
            <w:tcW w:w="587" w:type="pct"/>
            <w:tcBorders>
              <w:top w:val="double" w:color="auto" w:sz="6" w:space="0"/>
            </w:tcBorders>
            <w:vAlign w:val="center"/>
          </w:tcPr>
          <w:p w14:paraId="608A75C1">
            <w:pPr>
              <w:keepNext/>
              <w:snapToGrid w:val="0"/>
              <w:spacing w:line="360" w:lineRule="auto"/>
              <w:jc w:val="center"/>
              <w:rPr>
                <w:rFonts w:cs="宋体"/>
                <w:color w:val="auto"/>
                <w:sz w:val="22"/>
                <w:szCs w:val="21"/>
              </w:rPr>
            </w:pPr>
          </w:p>
        </w:tc>
        <w:tc>
          <w:tcPr>
            <w:tcW w:w="744" w:type="pct"/>
            <w:tcBorders>
              <w:top w:val="double" w:color="auto" w:sz="6" w:space="0"/>
            </w:tcBorders>
            <w:vAlign w:val="center"/>
          </w:tcPr>
          <w:p w14:paraId="053A878C">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71650292">
            <w:pPr>
              <w:keepNext/>
              <w:snapToGrid w:val="0"/>
              <w:spacing w:line="360" w:lineRule="auto"/>
              <w:jc w:val="center"/>
              <w:rPr>
                <w:rFonts w:cs="宋体"/>
                <w:color w:val="auto"/>
                <w:sz w:val="22"/>
                <w:szCs w:val="21"/>
              </w:rPr>
            </w:pPr>
          </w:p>
        </w:tc>
        <w:tc>
          <w:tcPr>
            <w:tcW w:w="413" w:type="pct"/>
            <w:tcBorders>
              <w:top w:val="double" w:color="auto" w:sz="6" w:space="0"/>
            </w:tcBorders>
            <w:vAlign w:val="center"/>
          </w:tcPr>
          <w:p w14:paraId="2EAFA658">
            <w:pPr>
              <w:keepNext/>
              <w:snapToGrid w:val="0"/>
              <w:spacing w:line="360" w:lineRule="auto"/>
              <w:jc w:val="center"/>
              <w:rPr>
                <w:rFonts w:cs="宋体"/>
                <w:color w:val="auto"/>
                <w:sz w:val="22"/>
                <w:szCs w:val="21"/>
              </w:rPr>
            </w:pPr>
          </w:p>
        </w:tc>
      </w:tr>
      <w:tr w14:paraId="5CCB5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1FBEB7C4">
            <w:pPr>
              <w:keepNext/>
              <w:snapToGrid w:val="0"/>
              <w:spacing w:line="360" w:lineRule="auto"/>
              <w:jc w:val="center"/>
              <w:rPr>
                <w:rFonts w:cs="宋体"/>
                <w:color w:val="auto"/>
                <w:sz w:val="22"/>
                <w:szCs w:val="21"/>
              </w:rPr>
            </w:pPr>
          </w:p>
        </w:tc>
        <w:tc>
          <w:tcPr>
            <w:tcW w:w="413" w:type="pct"/>
            <w:tcBorders>
              <w:top w:val="nil"/>
            </w:tcBorders>
            <w:vAlign w:val="center"/>
          </w:tcPr>
          <w:p w14:paraId="155DA00B">
            <w:pPr>
              <w:keepNext/>
              <w:snapToGrid w:val="0"/>
              <w:spacing w:line="360" w:lineRule="auto"/>
              <w:jc w:val="center"/>
              <w:rPr>
                <w:rFonts w:cs="宋体"/>
                <w:color w:val="auto"/>
                <w:sz w:val="22"/>
                <w:szCs w:val="21"/>
              </w:rPr>
            </w:pPr>
          </w:p>
        </w:tc>
        <w:tc>
          <w:tcPr>
            <w:tcW w:w="778" w:type="pct"/>
            <w:tcBorders>
              <w:top w:val="nil"/>
            </w:tcBorders>
            <w:vAlign w:val="center"/>
          </w:tcPr>
          <w:p w14:paraId="3573F726">
            <w:pPr>
              <w:keepNext/>
              <w:snapToGrid w:val="0"/>
              <w:spacing w:line="360" w:lineRule="auto"/>
              <w:jc w:val="center"/>
              <w:rPr>
                <w:rFonts w:cs="宋体"/>
                <w:color w:val="auto"/>
                <w:sz w:val="22"/>
                <w:szCs w:val="21"/>
              </w:rPr>
            </w:pPr>
          </w:p>
        </w:tc>
        <w:tc>
          <w:tcPr>
            <w:tcW w:w="413" w:type="pct"/>
            <w:tcBorders>
              <w:top w:val="nil"/>
            </w:tcBorders>
            <w:vAlign w:val="center"/>
          </w:tcPr>
          <w:p w14:paraId="5B4606B7">
            <w:pPr>
              <w:keepNext/>
              <w:snapToGrid w:val="0"/>
              <w:spacing w:line="360" w:lineRule="auto"/>
              <w:jc w:val="center"/>
              <w:rPr>
                <w:rFonts w:cs="宋体"/>
                <w:color w:val="auto"/>
                <w:sz w:val="22"/>
                <w:szCs w:val="21"/>
              </w:rPr>
            </w:pPr>
          </w:p>
        </w:tc>
        <w:tc>
          <w:tcPr>
            <w:tcW w:w="240" w:type="pct"/>
            <w:tcBorders>
              <w:top w:val="nil"/>
            </w:tcBorders>
            <w:vAlign w:val="center"/>
          </w:tcPr>
          <w:p w14:paraId="6A5AA907">
            <w:pPr>
              <w:keepNext/>
              <w:snapToGrid w:val="0"/>
              <w:spacing w:line="360" w:lineRule="auto"/>
              <w:jc w:val="center"/>
              <w:rPr>
                <w:rFonts w:cs="宋体"/>
                <w:color w:val="auto"/>
                <w:sz w:val="22"/>
                <w:szCs w:val="21"/>
              </w:rPr>
            </w:pPr>
          </w:p>
        </w:tc>
        <w:tc>
          <w:tcPr>
            <w:tcW w:w="413" w:type="pct"/>
            <w:tcBorders>
              <w:top w:val="nil"/>
            </w:tcBorders>
            <w:vAlign w:val="center"/>
          </w:tcPr>
          <w:p w14:paraId="74CD20D9">
            <w:pPr>
              <w:keepNext/>
              <w:snapToGrid w:val="0"/>
              <w:spacing w:line="360" w:lineRule="auto"/>
              <w:jc w:val="center"/>
              <w:rPr>
                <w:rFonts w:cs="宋体"/>
                <w:color w:val="auto"/>
                <w:sz w:val="22"/>
                <w:szCs w:val="21"/>
              </w:rPr>
            </w:pPr>
          </w:p>
        </w:tc>
        <w:tc>
          <w:tcPr>
            <w:tcW w:w="587" w:type="pct"/>
            <w:tcBorders>
              <w:top w:val="nil"/>
            </w:tcBorders>
            <w:vAlign w:val="center"/>
          </w:tcPr>
          <w:p w14:paraId="153F0317">
            <w:pPr>
              <w:keepNext/>
              <w:snapToGrid w:val="0"/>
              <w:spacing w:line="360" w:lineRule="auto"/>
              <w:jc w:val="center"/>
              <w:rPr>
                <w:rFonts w:cs="宋体"/>
                <w:color w:val="auto"/>
                <w:sz w:val="22"/>
                <w:szCs w:val="21"/>
              </w:rPr>
            </w:pPr>
          </w:p>
        </w:tc>
        <w:tc>
          <w:tcPr>
            <w:tcW w:w="744" w:type="pct"/>
            <w:tcBorders>
              <w:top w:val="nil"/>
            </w:tcBorders>
            <w:vAlign w:val="center"/>
          </w:tcPr>
          <w:p w14:paraId="3F33078D">
            <w:pPr>
              <w:keepNext/>
              <w:snapToGrid w:val="0"/>
              <w:spacing w:line="360" w:lineRule="auto"/>
              <w:jc w:val="center"/>
              <w:rPr>
                <w:rFonts w:cs="宋体"/>
                <w:color w:val="auto"/>
                <w:sz w:val="22"/>
                <w:szCs w:val="21"/>
              </w:rPr>
            </w:pPr>
          </w:p>
        </w:tc>
        <w:tc>
          <w:tcPr>
            <w:tcW w:w="413" w:type="pct"/>
            <w:tcBorders>
              <w:top w:val="nil"/>
            </w:tcBorders>
            <w:vAlign w:val="center"/>
          </w:tcPr>
          <w:p w14:paraId="6524EA69">
            <w:pPr>
              <w:keepNext/>
              <w:snapToGrid w:val="0"/>
              <w:spacing w:line="360" w:lineRule="auto"/>
              <w:jc w:val="center"/>
              <w:rPr>
                <w:rFonts w:cs="宋体"/>
                <w:color w:val="auto"/>
                <w:sz w:val="22"/>
                <w:szCs w:val="21"/>
              </w:rPr>
            </w:pPr>
          </w:p>
        </w:tc>
        <w:tc>
          <w:tcPr>
            <w:tcW w:w="413" w:type="pct"/>
            <w:tcBorders>
              <w:top w:val="nil"/>
            </w:tcBorders>
            <w:vAlign w:val="center"/>
          </w:tcPr>
          <w:p w14:paraId="68A0C360">
            <w:pPr>
              <w:keepNext/>
              <w:snapToGrid w:val="0"/>
              <w:spacing w:line="360" w:lineRule="auto"/>
              <w:jc w:val="center"/>
              <w:rPr>
                <w:rFonts w:cs="宋体"/>
                <w:color w:val="auto"/>
                <w:sz w:val="22"/>
                <w:szCs w:val="21"/>
              </w:rPr>
            </w:pPr>
          </w:p>
        </w:tc>
      </w:tr>
      <w:tr w14:paraId="6479E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1262A3F0">
            <w:pPr>
              <w:keepNext/>
              <w:snapToGrid w:val="0"/>
              <w:spacing w:line="360" w:lineRule="auto"/>
              <w:jc w:val="center"/>
              <w:rPr>
                <w:rFonts w:cs="宋体"/>
                <w:color w:val="auto"/>
                <w:sz w:val="22"/>
                <w:szCs w:val="21"/>
              </w:rPr>
            </w:pPr>
          </w:p>
        </w:tc>
        <w:tc>
          <w:tcPr>
            <w:tcW w:w="413" w:type="pct"/>
            <w:tcBorders>
              <w:top w:val="nil"/>
            </w:tcBorders>
            <w:vAlign w:val="center"/>
          </w:tcPr>
          <w:p w14:paraId="0682DEAC">
            <w:pPr>
              <w:keepNext/>
              <w:snapToGrid w:val="0"/>
              <w:spacing w:line="360" w:lineRule="auto"/>
              <w:jc w:val="center"/>
              <w:rPr>
                <w:rFonts w:cs="宋体"/>
                <w:color w:val="auto"/>
                <w:sz w:val="22"/>
                <w:szCs w:val="21"/>
              </w:rPr>
            </w:pPr>
          </w:p>
        </w:tc>
        <w:tc>
          <w:tcPr>
            <w:tcW w:w="778" w:type="pct"/>
            <w:tcBorders>
              <w:top w:val="nil"/>
            </w:tcBorders>
            <w:vAlign w:val="center"/>
          </w:tcPr>
          <w:p w14:paraId="6EC41768">
            <w:pPr>
              <w:keepNext/>
              <w:snapToGrid w:val="0"/>
              <w:spacing w:line="360" w:lineRule="auto"/>
              <w:jc w:val="center"/>
              <w:rPr>
                <w:rFonts w:cs="宋体"/>
                <w:color w:val="auto"/>
                <w:sz w:val="22"/>
                <w:szCs w:val="21"/>
              </w:rPr>
            </w:pPr>
          </w:p>
        </w:tc>
        <w:tc>
          <w:tcPr>
            <w:tcW w:w="413" w:type="pct"/>
            <w:tcBorders>
              <w:top w:val="nil"/>
            </w:tcBorders>
            <w:vAlign w:val="center"/>
          </w:tcPr>
          <w:p w14:paraId="412B96F2">
            <w:pPr>
              <w:keepNext/>
              <w:snapToGrid w:val="0"/>
              <w:spacing w:line="360" w:lineRule="auto"/>
              <w:jc w:val="center"/>
              <w:rPr>
                <w:rFonts w:cs="宋体"/>
                <w:color w:val="auto"/>
                <w:sz w:val="22"/>
                <w:szCs w:val="21"/>
              </w:rPr>
            </w:pPr>
          </w:p>
        </w:tc>
        <w:tc>
          <w:tcPr>
            <w:tcW w:w="240" w:type="pct"/>
            <w:tcBorders>
              <w:top w:val="nil"/>
            </w:tcBorders>
            <w:vAlign w:val="center"/>
          </w:tcPr>
          <w:p w14:paraId="65F98E30">
            <w:pPr>
              <w:keepNext/>
              <w:snapToGrid w:val="0"/>
              <w:spacing w:line="360" w:lineRule="auto"/>
              <w:jc w:val="center"/>
              <w:rPr>
                <w:rFonts w:cs="宋体"/>
                <w:color w:val="auto"/>
                <w:sz w:val="22"/>
                <w:szCs w:val="21"/>
              </w:rPr>
            </w:pPr>
          </w:p>
        </w:tc>
        <w:tc>
          <w:tcPr>
            <w:tcW w:w="413" w:type="pct"/>
            <w:tcBorders>
              <w:top w:val="nil"/>
            </w:tcBorders>
            <w:vAlign w:val="center"/>
          </w:tcPr>
          <w:p w14:paraId="7D7FA705">
            <w:pPr>
              <w:keepNext/>
              <w:snapToGrid w:val="0"/>
              <w:spacing w:line="360" w:lineRule="auto"/>
              <w:jc w:val="center"/>
              <w:rPr>
                <w:rFonts w:cs="宋体"/>
                <w:color w:val="auto"/>
                <w:sz w:val="22"/>
                <w:szCs w:val="21"/>
              </w:rPr>
            </w:pPr>
          </w:p>
        </w:tc>
        <w:tc>
          <w:tcPr>
            <w:tcW w:w="587" w:type="pct"/>
            <w:tcBorders>
              <w:top w:val="nil"/>
            </w:tcBorders>
            <w:vAlign w:val="center"/>
          </w:tcPr>
          <w:p w14:paraId="4A01DB41">
            <w:pPr>
              <w:keepNext/>
              <w:snapToGrid w:val="0"/>
              <w:spacing w:line="360" w:lineRule="auto"/>
              <w:jc w:val="center"/>
              <w:rPr>
                <w:rFonts w:cs="宋体"/>
                <w:color w:val="auto"/>
                <w:sz w:val="22"/>
                <w:szCs w:val="21"/>
              </w:rPr>
            </w:pPr>
          </w:p>
        </w:tc>
        <w:tc>
          <w:tcPr>
            <w:tcW w:w="744" w:type="pct"/>
            <w:tcBorders>
              <w:top w:val="nil"/>
            </w:tcBorders>
            <w:vAlign w:val="center"/>
          </w:tcPr>
          <w:p w14:paraId="55322EFE">
            <w:pPr>
              <w:keepNext/>
              <w:snapToGrid w:val="0"/>
              <w:spacing w:line="360" w:lineRule="auto"/>
              <w:jc w:val="center"/>
              <w:rPr>
                <w:rFonts w:cs="宋体"/>
                <w:color w:val="auto"/>
                <w:sz w:val="22"/>
                <w:szCs w:val="21"/>
              </w:rPr>
            </w:pPr>
          </w:p>
        </w:tc>
        <w:tc>
          <w:tcPr>
            <w:tcW w:w="413" w:type="pct"/>
            <w:tcBorders>
              <w:top w:val="nil"/>
            </w:tcBorders>
            <w:vAlign w:val="center"/>
          </w:tcPr>
          <w:p w14:paraId="3D98A255">
            <w:pPr>
              <w:keepNext/>
              <w:snapToGrid w:val="0"/>
              <w:spacing w:line="360" w:lineRule="auto"/>
              <w:jc w:val="center"/>
              <w:rPr>
                <w:rFonts w:cs="宋体"/>
                <w:color w:val="auto"/>
                <w:sz w:val="22"/>
                <w:szCs w:val="21"/>
              </w:rPr>
            </w:pPr>
          </w:p>
        </w:tc>
        <w:tc>
          <w:tcPr>
            <w:tcW w:w="413" w:type="pct"/>
            <w:tcBorders>
              <w:top w:val="nil"/>
            </w:tcBorders>
            <w:vAlign w:val="center"/>
          </w:tcPr>
          <w:p w14:paraId="07826CAA">
            <w:pPr>
              <w:keepNext/>
              <w:snapToGrid w:val="0"/>
              <w:spacing w:line="360" w:lineRule="auto"/>
              <w:jc w:val="center"/>
              <w:rPr>
                <w:rFonts w:cs="宋体"/>
                <w:color w:val="auto"/>
                <w:sz w:val="22"/>
                <w:szCs w:val="21"/>
              </w:rPr>
            </w:pPr>
          </w:p>
        </w:tc>
      </w:tr>
      <w:tr w14:paraId="10781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5A18734A">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19876AB4">
            <w:pPr>
              <w:keepNext/>
              <w:snapToGrid w:val="0"/>
              <w:spacing w:line="360" w:lineRule="auto"/>
              <w:jc w:val="center"/>
              <w:rPr>
                <w:rFonts w:cs="宋体"/>
                <w:color w:val="auto"/>
                <w:sz w:val="22"/>
                <w:szCs w:val="21"/>
              </w:rPr>
            </w:pPr>
          </w:p>
        </w:tc>
        <w:tc>
          <w:tcPr>
            <w:tcW w:w="778" w:type="pct"/>
            <w:tcBorders>
              <w:bottom w:val="single" w:color="auto" w:sz="12" w:space="0"/>
            </w:tcBorders>
            <w:vAlign w:val="center"/>
          </w:tcPr>
          <w:p w14:paraId="51B8FE41">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73E3635A">
            <w:pPr>
              <w:keepNext/>
              <w:snapToGrid w:val="0"/>
              <w:spacing w:line="360" w:lineRule="auto"/>
              <w:jc w:val="center"/>
              <w:rPr>
                <w:rFonts w:cs="宋体"/>
                <w:color w:val="auto"/>
                <w:sz w:val="22"/>
                <w:szCs w:val="21"/>
              </w:rPr>
            </w:pPr>
          </w:p>
        </w:tc>
        <w:tc>
          <w:tcPr>
            <w:tcW w:w="240" w:type="pct"/>
            <w:tcBorders>
              <w:bottom w:val="single" w:color="auto" w:sz="12" w:space="0"/>
            </w:tcBorders>
            <w:vAlign w:val="center"/>
          </w:tcPr>
          <w:p w14:paraId="0A979DA9">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22FEE482">
            <w:pPr>
              <w:keepNext/>
              <w:snapToGrid w:val="0"/>
              <w:spacing w:line="360" w:lineRule="auto"/>
              <w:jc w:val="center"/>
              <w:rPr>
                <w:rFonts w:cs="宋体"/>
                <w:color w:val="auto"/>
                <w:sz w:val="22"/>
                <w:szCs w:val="21"/>
              </w:rPr>
            </w:pPr>
          </w:p>
        </w:tc>
        <w:tc>
          <w:tcPr>
            <w:tcW w:w="587" w:type="pct"/>
            <w:tcBorders>
              <w:bottom w:val="single" w:color="auto" w:sz="12" w:space="0"/>
            </w:tcBorders>
            <w:vAlign w:val="center"/>
          </w:tcPr>
          <w:p w14:paraId="35FADA3A">
            <w:pPr>
              <w:keepNext/>
              <w:snapToGrid w:val="0"/>
              <w:spacing w:line="360" w:lineRule="auto"/>
              <w:jc w:val="center"/>
              <w:rPr>
                <w:rFonts w:cs="宋体"/>
                <w:color w:val="auto"/>
                <w:sz w:val="22"/>
                <w:szCs w:val="21"/>
              </w:rPr>
            </w:pPr>
          </w:p>
        </w:tc>
        <w:tc>
          <w:tcPr>
            <w:tcW w:w="744" w:type="pct"/>
            <w:tcBorders>
              <w:bottom w:val="single" w:color="auto" w:sz="12" w:space="0"/>
            </w:tcBorders>
            <w:vAlign w:val="center"/>
          </w:tcPr>
          <w:p w14:paraId="4024DB72">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1C244A5F">
            <w:pPr>
              <w:keepNext/>
              <w:snapToGrid w:val="0"/>
              <w:spacing w:line="360" w:lineRule="auto"/>
              <w:jc w:val="center"/>
              <w:rPr>
                <w:rFonts w:cs="宋体"/>
                <w:color w:val="auto"/>
                <w:sz w:val="22"/>
                <w:szCs w:val="21"/>
              </w:rPr>
            </w:pPr>
          </w:p>
        </w:tc>
        <w:tc>
          <w:tcPr>
            <w:tcW w:w="413" w:type="pct"/>
            <w:tcBorders>
              <w:bottom w:val="single" w:color="auto" w:sz="12" w:space="0"/>
            </w:tcBorders>
            <w:vAlign w:val="center"/>
          </w:tcPr>
          <w:p w14:paraId="3126BA6D">
            <w:pPr>
              <w:keepNext/>
              <w:snapToGrid w:val="0"/>
              <w:spacing w:line="360" w:lineRule="auto"/>
              <w:jc w:val="center"/>
              <w:rPr>
                <w:rFonts w:cs="宋体"/>
                <w:color w:val="auto"/>
                <w:sz w:val="22"/>
                <w:szCs w:val="21"/>
              </w:rPr>
            </w:pPr>
          </w:p>
        </w:tc>
      </w:tr>
    </w:tbl>
    <w:p w14:paraId="7C9F63E5">
      <w:pPr>
        <w:spacing w:before="312" w:beforeLines="100" w:after="312" w:afterLines="100"/>
        <w:outlineLvl w:val="2"/>
        <w:rPr>
          <w:rFonts w:hint="eastAsia" w:ascii="Times New Roman" w:eastAsia="黑体"/>
          <w:color w:val="auto"/>
          <w:szCs w:val="24"/>
        </w:rPr>
      </w:pPr>
      <w:bookmarkStart w:id="1114" w:name="_Toc128950236"/>
    </w:p>
    <w:p w14:paraId="751C7F3A">
      <w:pPr>
        <w:spacing w:before="312" w:beforeLines="100" w:after="312" w:afterLines="100"/>
        <w:outlineLvl w:val="2"/>
        <w:rPr>
          <w:rFonts w:hint="eastAsia" w:ascii="Times New Roman" w:eastAsia="黑体"/>
          <w:color w:val="auto"/>
          <w:szCs w:val="24"/>
        </w:rPr>
      </w:pPr>
    </w:p>
    <w:p w14:paraId="2C1D2BED">
      <w:pPr>
        <w:spacing w:before="312" w:beforeLines="100" w:after="312" w:afterLines="100"/>
        <w:outlineLvl w:val="2"/>
        <w:rPr>
          <w:rFonts w:hint="eastAsia" w:ascii="Times New Roman" w:eastAsia="黑体"/>
          <w:color w:val="auto"/>
          <w:szCs w:val="24"/>
        </w:rPr>
      </w:pPr>
    </w:p>
    <w:p w14:paraId="41F93CBC">
      <w:pPr>
        <w:spacing w:before="312" w:beforeLines="100" w:after="312" w:afterLines="100"/>
        <w:outlineLvl w:val="2"/>
        <w:rPr>
          <w:rFonts w:hint="eastAsia" w:ascii="Times New Roman" w:eastAsia="黑体"/>
          <w:color w:val="auto"/>
          <w:szCs w:val="24"/>
        </w:rPr>
      </w:pPr>
    </w:p>
    <w:p w14:paraId="1B3447E5">
      <w:pPr>
        <w:spacing w:before="312" w:beforeLines="100" w:after="312" w:afterLines="100"/>
        <w:outlineLvl w:val="2"/>
        <w:rPr>
          <w:rFonts w:ascii="Times New Roman" w:eastAsia="黑体"/>
          <w:color w:val="auto"/>
          <w:szCs w:val="24"/>
        </w:rPr>
      </w:pPr>
      <w:r>
        <w:rPr>
          <w:rFonts w:hint="eastAsia" w:ascii="Times New Roman" w:eastAsia="黑体"/>
          <w:color w:val="auto"/>
          <w:szCs w:val="24"/>
        </w:rPr>
        <w:t>附</w:t>
      </w:r>
      <w:bookmarkStart w:id="1115" w:name="_Toc296891053"/>
      <w:bookmarkStart w:id="1116" w:name="_Toc296346726"/>
      <w:bookmarkStart w:id="1117" w:name="_Toc296944564"/>
      <w:bookmarkStart w:id="1118" w:name="_Toc296891265"/>
      <w:bookmarkStart w:id="1119" w:name="_Toc267261692"/>
      <w:bookmarkStart w:id="1120" w:name="_Toc296347224"/>
      <w:bookmarkStart w:id="1121" w:name="_Toc296503225"/>
      <w:r>
        <w:rPr>
          <w:rFonts w:hint="eastAsia" w:ascii="Times New Roman" w:eastAsia="黑体"/>
          <w:color w:val="auto"/>
          <w:szCs w:val="24"/>
        </w:rPr>
        <w:t>件</w:t>
      </w:r>
      <w:r>
        <w:rPr>
          <w:rFonts w:ascii="Times New Roman" w:eastAsia="黑体"/>
          <w:color w:val="auto"/>
          <w:szCs w:val="24"/>
        </w:rPr>
        <w:t>2</w:t>
      </w:r>
      <w:r>
        <w:rPr>
          <w:rFonts w:hint="eastAsia" w:ascii="Times New Roman" w:eastAsia="黑体"/>
          <w:color w:val="auto"/>
          <w:szCs w:val="24"/>
        </w:rPr>
        <w:t>：发包人供应材料设备一览表</w:t>
      </w:r>
      <w:bookmarkEnd w:id="1114"/>
    </w:p>
    <w:bookmarkEnd w:id="1115"/>
    <w:bookmarkEnd w:id="1116"/>
    <w:bookmarkEnd w:id="1117"/>
    <w:bookmarkEnd w:id="1118"/>
    <w:bookmarkEnd w:id="1119"/>
    <w:bookmarkEnd w:id="1120"/>
    <w:bookmarkEnd w:id="1121"/>
    <w:p w14:paraId="330BA41D">
      <w:pPr>
        <w:spacing w:line="360" w:lineRule="auto"/>
        <w:jc w:val="center"/>
        <w:rPr>
          <w:rFonts w:cs="宋体"/>
          <w:color w:val="auto"/>
          <w:sz w:val="22"/>
          <w:szCs w:val="21"/>
        </w:rPr>
      </w:pPr>
      <w:r>
        <w:rPr>
          <w:rFonts w:hint="eastAsia" w:cs="宋体"/>
          <w:color w:val="auto"/>
          <w:sz w:val="22"/>
          <w:szCs w:val="21"/>
        </w:rPr>
        <w:t>发包人供应材料设备一览表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18"/>
        <w:gridCol w:w="1671"/>
        <w:gridCol w:w="980"/>
        <w:gridCol w:w="518"/>
        <w:gridCol w:w="518"/>
        <w:gridCol w:w="1211"/>
        <w:gridCol w:w="980"/>
        <w:gridCol w:w="980"/>
        <w:gridCol w:w="981"/>
        <w:gridCol w:w="519"/>
      </w:tblGrid>
      <w:tr w14:paraId="5D160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022AF190">
            <w:pPr>
              <w:keepNext/>
              <w:snapToGrid w:val="0"/>
              <w:spacing w:line="360" w:lineRule="auto"/>
              <w:jc w:val="center"/>
              <w:rPr>
                <w:rFonts w:cs="宋体"/>
                <w:color w:val="auto"/>
                <w:sz w:val="22"/>
                <w:szCs w:val="21"/>
              </w:rPr>
            </w:pPr>
            <w:r>
              <w:rPr>
                <w:rFonts w:hint="eastAsia" w:cs="宋体"/>
                <w:color w:val="auto"/>
                <w:sz w:val="22"/>
                <w:szCs w:val="21"/>
              </w:rPr>
              <w:t>序号</w:t>
            </w:r>
          </w:p>
        </w:tc>
        <w:tc>
          <w:tcPr>
            <w:tcW w:w="941" w:type="pct"/>
            <w:tcBorders>
              <w:top w:val="single" w:color="auto" w:sz="12" w:space="0"/>
              <w:bottom w:val="double" w:color="auto" w:sz="6" w:space="0"/>
            </w:tcBorders>
            <w:vAlign w:val="center"/>
          </w:tcPr>
          <w:p w14:paraId="530E19F0">
            <w:pPr>
              <w:keepNext/>
              <w:snapToGrid w:val="0"/>
              <w:spacing w:line="360" w:lineRule="auto"/>
              <w:jc w:val="center"/>
              <w:rPr>
                <w:rFonts w:cs="宋体"/>
                <w:color w:val="auto"/>
                <w:sz w:val="22"/>
                <w:szCs w:val="21"/>
              </w:rPr>
            </w:pPr>
            <w:r>
              <w:rPr>
                <w:rFonts w:hint="eastAsia" w:cs="宋体"/>
                <w:color w:val="auto"/>
                <w:sz w:val="22"/>
                <w:szCs w:val="21"/>
              </w:rPr>
              <w:t>材料、设备品种</w:t>
            </w:r>
          </w:p>
        </w:tc>
        <w:tc>
          <w:tcPr>
            <w:tcW w:w="552" w:type="pct"/>
            <w:tcBorders>
              <w:top w:val="single" w:color="auto" w:sz="12" w:space="0"/>
              <w:bottom w:val="double" w:color="auto" w:sz="6" w:space="0"/>
            </w:tcBorders>
            <w:vAlign w:val="center"/>
          </w:tcPr>
          <w:p w14:paraId="7393F54F">
            <w:pPr>
              <w:keepNext/>
              <w:snapToGrid w:val="0"/>
              <w:spacing w:line="360" w:lineRule="auto"/>
              <w:jc w:val="center"/>
              <w:rPr>
                <w:rFonts w:cs="宋体"/>
                <w:color w:val="auto"/>
                <w:sz w:val="22"/>
                <w:szCs w:val="21"/>
              </w:rPr>
            </w:pPr>
            <w:r>
              <w:rPr>
                <w:rFonts w:hint="eastAsia" w:cs="宋体"/>
                <w:color w:val="auto"/>
                <w:sz w:val="22"/>
                <w:szCs w:val="21"/>
              </w:rPr>
              <w:t>规格型号</w:t>
            </w:r>
          </w:p>
        </w:tc>
        <w:tc>
          <w:tcPr>
            <w:tcW w:w="292" w:type="pct"/>
            <w:tcBorders>
              <w:top w:val="single" w:color="auto" w:sz="12" w:space="0"/>
              <w:bottom w:val="double" w:color="auto" w:sz="6" w:space="0"/>
            </w:tcBorders>
            <w:vAlign w:val="center"/>
          </w:tcPr>
          <w:p w14:paraId="6D020040">
            <w:pPr>
              <w:keepNext/>
              <w:snapToGrid w:val="0"/>
              <w:spacing w:line="360" w:lineRule="auto"/>
              <w:jc w:val="center"/>
              <w:rPr>
                <w:rFonts w:cs="宋体"/>
                <w:color w:val="auto"/>
                <w:sz w:val="22"/>
                <w:szCs w:val="21"/>
              </w:rPr>
            </w:pPr>
            <w:r>
              <w:rPr>
                <w:rFonts w:hint="eastAsia" w:cs="宋体"/>
                <w:color w:val="auto"/>
                <w:sz w:val="22"/>
                <w:szCs w:val="21"/>
              </w:rPr>
              <w:t>单位</w:t>
            </w:r>
          </w:p>
        </w:tc>
        <w:tc>
          <w:tcPr>
            <w:tcW w:w="292" w:type="pct"/>
            <w:tcBorders>
              <w:top w:val="single" w:color="auto" w:sz="12" w:space="0"/>
              <w:bottom w:val="double" w:color="auto" w:sz="6" w:space="0"/>
            </w:tcBorders>
            <w:vAlign w:val="center"/>
          </w:tcPr>
          <w:p w14:paraId="2B7822AF">
            <w:pPr>
              <w:keepNext/>
              <w:snapToGrid w:val="0"/>
              <w:spacing w:line="360" w:lineRule="auto"/>
              <w:jc w:val="center"/>
              <w:rPr>
                <w:rFonts w:cs="宋体"/>
                <w:color w:val="auto"/>
                <w:sz w:val="22"/>
                <w:szCs w:val="21"/>
              </w:rPr>
            </w:pPr>
            <w:r>
              <w:rPr>
                <w:rFonts w:hint="eastAsia" w:cs="宋体"/>
                <w:color w:val="auto"/>
                <w:sz w:val="22"/>
                <w:szCs w:val="21"/>
              </w:rPr>
              <w:t>数量</w:t>
            </w:r>
          </w:p>
        </w:tc>
        <w:tc>
          <w:tcPr>
            <w:tcW w:w="682" w:type="pct"/>
            <w:tcBorders>
              <w:top w:val="single" w:color="auto" w:sz="12" w:space="0"/>
              <w:bottom w:val="double" w:color="auto" w:sz="6" w:space="0"/>
            </w:tcBorders>
            <w:vAlign w:val="center"/>
          </w:tcPr>
          <w:p w14:paraId="576AC09A">
            <w:pPr>
              <w:keepNext/>
              <w:snapToGrid w:val="0"/>
              <w:spacing w:line="360" w:lineRule="auto"/>
              <w:jc w:val="center"/>
              <w:rPr>
                <w:rFonts w:cs="宋体"/>
                <w:color w:val="auto"/>
                <w:sz w:val="22"/>
                <w:szCs w:val="21"/>
              </w:rPr>
            </w:pPr>
            <w:r>
              <w:rPr>
                <w:rFonts w:hint="eastAsia" w:cs="宋体"/>
                <w:color w:val="auto"/>
                <w:sz w:val="22"/>
                <w:szCs w:val="21"/>
              </w:rPr>
              <w:t>单价（元）</w:t>
            </w:r>
          </w:p>
        </w:tc>
        <w:tc>
          <w:tcPr>
            <w:tcW w:w="552" w:type="pct"/>
            <w:tcBorders>
              <w:top w:val="single" w:color="auto" w:sz="12" w:space="0"/>
              <w:bottom w:val="double" w:color="auto" w:sz="6" w:space="0"/>
            </w:tcBorders>
            <w:vAlign w:val="center"/>
          </w:tcPr>
          <w:p w14:paraId="66F94BBD">
            <w:pPr>
              <w:keepNext/>
              <w:snapToGrid w:val="0"/>
              <w:spacing w:line="360" w:lineRule="auto"/>
              <w:jc w:val="center"/>
              <w:rPr>
                <w:rFonts w:cs="宋体"/>
                <w:color w:val="auto"/>
                <w:sz w:val="22"/>
                <w:szCs w:val="21"/>
              </w:rPr>
            </w:pPr>
            <w:r>
              <w:rPr>
                <w:rFonts w:hint="eastAsia" w:cs="宋体"/>
                <w:color w:val="auto"/>
                <w:sz w:val="22"/>
                <w:szCs w:val="21"/>
              </w:rPr>
              <w:t>质量等级</w:t>
            </w:r>
          </w:p>
        </w:tc>
        <w:tc>
          <w:tcPr>
            <w:tcW w:w="552" w:type="pct"/>
            <w:tcBorders>
              <w:top w:val="single" w:color="auto" w:sz="12" w:space="0"/>
              <w:bottom w:val="double" w:color="auto" w:sz="6" w:space="0"/>
            </w:tcBorders>
            <w:vAlign w:val="center"/>
          </w:tcPr>
          <w:p w14:paraId="0A1C90DA">
            <w:pPr>
              <w:keepNext/>
              <w:snapToGrid w:val="0"/>
              <w:spacing w:line="360" w:lineRule="auto"/>
              <w:jc w:val="center"/>
              <w:rPr>
                <w:rFonts w:cs="宋体"/>
                <w:color w:val="auto"/>
                <w:sz w:val="22"/>
                <w:szCs w:val="21"/>
              </w:rPr>
            </w:pPr>
            <w:r>
              <w:rPr>
                <w:rFonts w:hint="eastAsia" w:cs="宋体"/>
                <w:color w:val="auto"/>
                <w:sz w:val="22"/>
                <w:szCs w:val="21"/>
              </w:rPr>
              <w:t>供应时间</w:t>
            </w:r>
          </w:p>
        </w:tc>
        <w:tc>
          <w:tcPr>
            <w:tcW w:w="552" w:type="pct"/>
            <w:tcBorders>
              <w:top w:val="single" w:color="auto" w:sz="12" w:space="0"/>
              <w:bottom w:val="double" w:color="auto" w:sz="6" w:space="0"/>
            </w:tcBorders>
            <w:vAlign w:val="center"/>
          </w:tcPr>
          <w:p w14:paraId="4C032B32">
            <w:pPr>
              <w:keepNext/>
              <w:snapToGrid w:val="0"/>
              <w:spacing w:line="360" w:lineRule="auto"/>
              <w:jc w:val="center"/>
              <w:rPr>
                <w:rFonts w:cs="宋体"/>
                <w:color w:val="auto"/>
                <w:sz w:val="22"/>
                <w:szCs w:val="21"/>
              </w:rPr>
            </w:pPr>
            <w:r>
              <w:rPr>
                <w:rFonts w:hint="eastAsia" w:cs="宋体"/>
                <w:color w:val="auto"/>
                <w:sz w:val="22"/>
                <w:szCs w:val="21"/>
              </w:rPr>
              <w:t>送达地点</w:t>
            </w:r>
          </w:p>
        </w:tc>
        <w:tc>
          <w:tcPr>
            <w:tcW w:w="292" w:type="pct"/>
            <w:tcBorders>
              <w:top w:val="single" w:color="auto" w:sz="12" w:space="0"/>
              <w:bottom w:val="double" w:color="auto" w:sz="6" w:space="0"/>
            </w:tcBorders>
            <w:vAlign w:val="center"/>
          </w:tcPr>
          <w:p w14:paraId="1A48C1AA">
            <w:pPr>
              <w:keepNext/>
              <w:snapToGrid w:val="0"/>
              <w:spacing w:line="360" w:lineRule="auto"/>
              <w:jc w:val="center"/>
              <w:rPr>
                <w:rFonts w:cs="宋体"/>
                <w:color w:val="auto"/>
                <w:sz w:val="22"/>
                <w:szCs w:val="21"/>
              </w:rPr>
            </w:pPr>
            <w:r>
              <w:rPr>
                <w:rFonts w:hint="eastAsia" w:cs="宋体"/>
                <w:color w:val="auto"/>
                <w:sz w:val="22"/>
                <w:szCs w:val="21"/>
              </w:rPr>
              <w:t>备注</w:t>
            </w:r>
          </w:p>
        </w:tc>
      </w:tr>
      <w:tr w14:paraId="7B5F1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1DF60A9E">
            <w:pPr>
              <w:keepNext/>
              <w:snapToGrid w:val="0"/>
              <w:spacing w:line="360" w:lineRule="auto"/>
              <w:jc w:val="center"/>
              <w:rPr>
                <w:rFonts w:cs="宋体"/>
                <w:color w:val="auto"/>
                <w:sz w:val="22"/>
                <w:szCs w:val="21"/>
              </w:rPr>
            </w:pPr>
          </w:p>
        </w:tc>
        <w:tc>
          <w:tcPr>
            <w:tcW w:w="941" w:type="pct"/>
            <w:tcBorders>
              <w:top w:val="double" w:color="auto" w:sz="6" w:space="0"/>
            </w:tcBorders>
            <w:vAlign w:val="center"/>
          </w:tcPr>
          <w:p w14:paraId="4A4750B4">
            <w:pPr>
              <w:keepNext/>
              <w:snapToGrid w:val="0"/>
              <w:spacing w:line="360" w:lineRule="auto"/>
              <w:jc w:val="center"/>
              <w:rPr>
                <w:rFonts w:cs="宋体"/>
                <w:color w:val="auto"/>
                <w:sz w:val="22"/>
                <w:szCs w:val="21"/>
              </w:rPr>
            </w:pPr>
          </w:p>
        </w:tc>
        <w:tc>
          <w:tcPr>
            <w:tcW w:w="552" w:type="pct"/>
            <w:tcBorders>
              <w:top w:val="double" w:color="auto" w:sz="6" w:space="0"/>
            </w:tcBorders>
            <w:vAlign w:val="center"/>
          </w:tcPr>
          <w:p w14:paraId="63809134">
            <w:pPr>
              <w:keepNext/>
              <w:snapToGrid w:val="0"/>
              <w:spacing w:line="360" w:lineRule="auto"/>
              <w:jc w:val="center"/>
              <w:rPr>
                <w:rFonts w:cs="宋体"/>
                <w:color w:val="auto"/>
                <w:sz w:val="22"/>
                <w:szCs w:val="21"/>
              </w:rPr>
            </w:pPr>
          </w:p>
        </w:tc>
        <w:tc>
          <w:tcPr>
            <w:tcW w:w="292" w:type="pct"/>
            <w:tcBorders>
              <w:top w:val="double" w:color="auto" w:sz="6" w:space="0"/>
            </w:tcBorders>
            <w:vAlign w:val="center"/>
          </w:tcPr>
          <w:p w14:paraId="2309074C">
            <w:pPr>
              <w:keepNext/>
              <w:snapToGrid w:val="0"/>
              <w:spacing w:line="360" w:lineRule="auto"/>
              <w:jc w:val="center"/>
              <w:rPr>
                <w:rFonts w:cs="宋体"/>
                <w:color w:val="auto"/>
                <w:sz w:val="22"/>
                <w:szCs w:val="21"/>
              </w:rPr>
            </w:pPr>
          </w:p>
        </w:tc>
        <w:tc>
          <w:tcPr>
            <w:tcW w:w="292" w:type="pct"/>
            <w:tcBorders>
              <w:top w:val="double" w:color="auto" w:sz="6" w:space="0"/>
            </w:tcBorders>
            <w:vAlign w:val="center"/>
          </w:tcPr>
          <w:p w14:paraId="768698B5">
            <w:pPr>
              <w:keepNext/>
              <w:snapToGrid w:val="0"/>
              <w:spacing w:line="360" w:lineRule="auto"/>
              <w:jc w:val="center"/>
              <w:rPr>
                <w:rFonts w:cs="宋体"/>
                <w:color w:val="auto"/>
                <w:sz w:val="22"/>
                <w:szCs w:val="21"/>
              </w:rPr>
            </w:pPr>
          </w:p>
        </w:tc>
        <w:tc>
          <w:tcPr>
            <w:tcW w:w="682" w:type="pct"/>
            <w:tcBorders>
              <w:top w:val="double" w:color="auto" w:sz="6" w:space="0"/>
            </w:tcBorders>
            <w:vAlign w:val="center"/>
          </w:tcPr>
          <w:p w14:paraId="5FA547CF">
            <w:pPr>
              <w:keepNext/>
              <w:snapToGrid w:val="0"/>
              <w:spacing w:line="360" w:lineRule="auto"/>
              <w:jc w:val="center"/>
              <w:rPr>
                <w:rFonts w:cs="宋体"/>
                <w:color w:val="auto"/>
                <w:sz w:val="22"/>
                <w:szCs w:val="21"/>
              </w:rPr>
            </w:pPr>
          </w:p>
        </w:tc>
        <w:tc>
          <w:tcPr>
            <w:tcW w:w="552" w:type="pct"/>
            <w:tcBorders>
              <w:top w:val="double" w:color="auto" w:sz="6" w:space="0"/>
            </w:tcBorders>
            <w:vAlign w:val="center"/>
          </w:tcPr>
          <w:p w14:paraId="4383C07F">
            <w:pPr>
              <w:keepNext/>
              <w:snapToGrid w:val="0"/>
              <w:spacing w:line="360" w:lineRule="auto"/>
              <w:jc w:val="center"/>
              <w:rPr>
                <w:rFonts w:cs="宋体"/>
                <w:color w:val="auto"/>
                <w:sz w:val="22"/>
                <w:szCs w:val="21"/>
              </w:rPr>
            </w:pPr>
          </w:p>
        </w:tc>
        <w:tc>
          <w:tcPr>
            <w:tcW w:w="552" w:type="pct"/>
            <w:tcBorders>
              <w:top w:val="double" w:color="auto" w:sz="6" w:space="0"/>
            </w:tcBorders>
            <w:vAlign w:val="center"/>
          </w:tcPr>
          <w:p w14:paraId="1B06BCD7">
            <w:pPr>
              <w:keepNext/>
              <w:snapToGrid w:val="0"/>
              <w:spacing w:line="360" w:lineRule="auto"/>
              <w:jc w:val="center"/>
              <w:rPr>
                <w:rFonts w:cs="宋体"/>
                <w:color w:val="auto"/>
                <w:sz w:val="22"/>
                <w:szCs w:val="21"/>
              </w:rPr>
            </w:pPr>
          </w:p>
        </w:tc>
        <w:tc>
          <w:tcPr>
            <w:tcW w:w="552" w:type="pct"/>
            <w:tcBorders>
              <w:top w:val="double" w:color="auto" w:sz="6" w:space="0"/>
            </w:tcBorders>
            <w:vAlign w:val="center"/>
          </w:tcPr>
          <w:p w14:paraId="433E0B1F">
            <w:pPr>
              <w:keepNext/>
              <w:snapToGrid w:val="0"/>
              <w:spacing w:line="360" w:lineRule="auto"/>
              <w:jc w:val="center"/>
              <w:rPr>
                <w:rFonts w:cs="宋体"/>
                <w:color w:val="auto"/>
                <w:sz w:val="22"/>
                <w:szCs w:val="21"/>
              </w:rPr>
            </w:pPr>
          </w:p>
        </w:tc>
        <w:tc>
          <w:tcPr>
            <w:tcW w:w="292" w:type="pct"/>
            <w:tcBorders>
              <w:top w:val="double" w:color="auto" w:sz="6" w:space="0"/>
            </w:tcBorders>
            <w:vAlign w:val="center"/>
          </w:tcPr>
          <w:p w14:paraId="2E00802C">
            <w:pPr>
              <w:keepNext/>
              <w:snapToGrid w:val="0"/>
              <w:spacing w:line="360" w:lineRule="auto"/>
              <w:jc w:val="center"/>
              <w:rPr>
                <w:rFonts w:cs="宋体"/>
                <w:color w:val="auto"/>
                <w:sz w:val="22"/>
                <w:szCs w:val="21"/>
              </w:rPr>
            </w:pPr>
          </w:p>
        </w:tc>
      </w:tr>
      <w:tr w14:paraId="60892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58535438">
            <w:pPr>
              <w:snapToGrid w:val="0"/>
              <w:spacing w:line="360" w:lineRule="auto"/>
              <w:jc w:val="center"/>
              <w:rPr>
                <w:rFonts w:cs="宋体"/>
                <w:color w:val="auto"/>
                <w:sz w:val="22"/>
                <w:szCs w:val="21"/>
              </w:rPr>
            </w:pPr>
          </w:p>
        </w:tc>
        <w:tc>
          <w:tcPr>
            <w:tcW w:w="941" w:type="pct"/>
            <w:vAlign w:val="center"/>
          </w:tcPr>
          <w:p w14:paraId="23615E96">
            <w:pPr>
              <w:snapToGrid w:val="0"/>
              <w:spacing w:line="360" w:lineRule="auto"/>
              <w:jc w:val="center"/>
              <w:rPr>
                <w:rFonts w:cs="宋体"/>
                <w:color w:val="auto"/>
                <w:sz w:val="22"/>
                <w:szCs w:val="21"/>
              </w:rPr>
            </w:pPr>
          </w:p>
        </w:tc>
        <w:tc>
          <w:tcPr>
            <w:tcW w:w="552" w:type="pct"/>
            <w:vAlign w:val="center"/>
          </w:tcPr>
          <w:p w14:paraId="0DDC3D00">
            <w:pPr>
              <w:snapToGrid w:val="0"/>
              <w:spacing w:line="360" w:lineRule="auto"/>
              <w:jc w:val="center"/>
              <w:rPr>
                <w:rFonts w:cs="宋体"/>
                <w:color w:val="auto"/>
                <w:sz w:val="22"/>
                <w:szCs w:val="21"/>
              </w:rPr>
            </w:pPr>
          </w:p>
        </w:tc>
        <w:tc>
          <w:tcPr>
            <w:tcW w:w="292" w:type="pct"/>
            <w:vAlign w:val="center"/>
          </w:tcPr>
          <w:p w14:paraId="4A537F2C">
            <w:pPr>
              <w:snapToGrid w:val="0"/>
              <w:spacing w:line="360" w:lineRule="auto"/>
              <w:jc w:val="center"/>
              <w:rPr>
                <w:rFonts w:cs="宋体"/>
                <w:color w:val="auto"/>
                <w:sz w:val="22"/>
                <w:szCs w:val="21"/>
              </w:rPr>
            </w:pPr>
          </w:p>
        </w:tc>
        <w:tc>
          <w:tcPr>
            <w:tcW w:w="292" w:type="pct"/>
            <w:vAlign w:val="center"/>
          </w:tcPr>
          <w:p w14:paraId="32C89893">
            <w:pPr>
              <w:snapToGrid w:val="0"/>
              <w:spacing w:line="360" w:lineRule="auto"/>
              <w:jc w:val="center"/>
              <w:rPr>
                <w:rFonts w:cs="宋体"/>
                <w:color w:val="auto"/>
                <w:sz w:val="22"/>
                <w:szCs w:val="21"/>
              </w:rPr>
            </w:pPr>
          </w:p>
        </w:tc>
        <w:tc>
          <w:tcPr>
            <w:tcW w:w="682" w:type="pct"/>
            <w:vAlign w:val="center"/>
          </w:tcPr>
          <w:p w14:paraId="36930277">
            <w:pPr>
              <w:snapToGrid w:val="0"/>
              <w:spacing w:line="360" w:lineRule="auto"/>
              <w:jc w:val="center"/>
              <w:rPr>
                <w:rFonts w:cs="宋体"/>
                <w:color w:val="auto"/>
                <w:sz w:val="22"/>
                <w:szCs w:val="21"/>
              </w:rPr>
            </w:pPr>
          </w:p>
        </w:tc>
        <w:tc>
          <w:tcPr>
            <w:tcW w:w="552" w:type="pct"/>
            <w:vAlign w:val="center"/>
          </w:tcPr>
          <w:p w14:paraId="6912E06A">
            <w:pPr>
              <w:snapToGrid w:val="0"/>
              <w:spacing w:line="360" w:lineRule="auto"/>
              <w:jc w:val="center"/>
              <w:rPr>
                <w:rFonts w:cs="宋体"/>
                <w:color w:val="auto"/>
                <w:sz w:val="22"/>
                <w:szCs w:val="21"/>
              </w:rPr>
            </w:pPr>
          </w:p>
        </w:tc>
        <w:tc>
          <w:tcPr>
            <w:tcW w:w="552" w:type="pct"/>
            <w:vAlign w:val="center"/>
          </w:tcPr>
          <w:p w14:paraId="336146E8">
            <w:pPr>
              <w:snapToGrid w:val="0"/>
              <w:spacing w:line="360" w:lineRule="auto"/>
              <w:jc w:val="center"/>
              <w:rPr>
                <w:rFonts w:cs="宋体"/>
                <w:color w:val="auto"/>
                <w:sz w:val="22"/>
                <w:szCs w:val="21"/>
              </w:rPr>
            </w:pPr>
          </w:p>
        </w:tc>
        <w:tc>
          <w:tcPr>
            <w:tcW w:w="552" w:type="pct"/>
            <w:vAlign w:val="center"/>
          </w:tcPr>
          <w:p w14:paraId="72884A81">
            <w:pPr>
              <w:snapToGrid w:val="0"/>
              <w:spacing w:line="360" w:lineRule="auto"/>
              <w:jc w:val="center"/>
              <w:rPr>
                <w:rFonts w:cs="宋体"/>
                <w:color w:val="auto"/>
                <w:sz w:val="22"/>
                <w:szCs w:val="21"/>
              </w:rPr>
            </w:pPr>
          </w:p>
        </w:tc>
        <w:tc>
          <w:tcPr>
            <w:tcW w:w="292" w:type="pct"/>
            <w:vAlign w:val="center"/>
          </w:tcPr>
          <w:p w14:paraId="05E006F1">
            <w:pPr>
              <w:snapToGrid w:val="0"/>
              <w:spacing w:line="360" w:lineRule="auto"/>
              <w:jc w:val="center"/>
              <w:rPr>
                <w:rFonts w:cs="宋体"/>
                <w:color w:val="auto"/>
                <w:sz w:val="22"/>
                <w:szCs w:val="21"/>
              </w:rPr>
            </w:pPr>
          </w:p>
        </w:tc>
      </w:tr>
      <w:tr w14:paraId="56C7A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4E2D1D37">
            <w:pPr>
              <w:snapToGrid w:val="0"/>
              <w:spacing w:line="360" w:lineRule="auto"/>
              <w:jc w:val="center"/>
              <w:rPr>
                <w:rFonts w:cs="宋体"/>
                <w:color w:val="auto"/>
                <w:sz w:val="22"/>
                <w:szCs w:val="21"/>
              </w:rPr>
            </w:pPr>
          </w:p>
        </w:tc>
        <w:tc>
          <w:tcPr>
            <w:tcW w:w="941" w:type="pct"/>
            <w:tcBorders>
              <w:bottom w:val="single" w:color="auto" w:sz="12" w:space="0"/>
            </w:tcBorders>
            <w:vAlign w:val="center"/>
          </w:tcPr>
          <w:p w14:paraId="5FDB1C47">
            <w:pPr>
              <w:snapToGrid w:val="0"/>
              <w:spacing w:line="360" w:lineRule="auto"/>
              <w:jc w:val="center"/>
              <w:rPr>
                <w:rFonts w:cs="宋体"/>
                <w:color w:val="auto"/>
                <w:sz w:val="22"/>
                <w:szCs w:val="21"/>
              </w:rPr>
            </w:pPr>
          </w:p>
        </w:tc>
        <w:tc>
          <w:tcPr>
            <w:tcW w:w="552" w:type="pct"/>
            <w:tcBorders>
              <w:bottom w:val="single" w:color="auto" w:sz="12" w:space="0"/>
            </w:tcBorders>
            <w:vAlign w:val="center"/>
          </w:tcPr>
          <w:p w14:paraId="394A00B3">
            <w:pPr>
              <w:snapToGrid w:val="0"/>
              <w:spacing w:line="360" w:lineRule="auto"/>
              <w:jc w:val="center"/>
              <w:rPr>
                <w:rFonts w:cs="宋体"/>
                <w:color w:val="auto"/>
                <w:sz w:val="22"/>
                <w:szCs w:val="21"/>
              </w:rPr>
            </w:pPr>
          </w:p>
        </w:tc>
        <w:tc>
          <w:tcPr>
            <w:tcW w:w="292" w:type="pct"/>
            <w:tcBorders>
              <w:bottom w:val="single" w:color="auto" w:sz="12" w:space="0"/>
            </w:tcBorders>
            <w:vAlign w:val="center"/>
          </w:tcPr>
          <w:p w14:paraId="651D4151">
            <w:pPr>
              <w:snapToGrid w:val="0"/>
              <w:spacing w:line="360" w:lineRule="auto"/>
              <w:jc w:val="center"/>
              <w:rPr>
                <w:rFonts w:cs="宋体"/>
                <w:color w:val="auto"/>
                <w:sz w:val="22"/>
                <w:szCs w:val="21"/>
              </w:rPr>
            </w:pPr>
          </w:p>
        </w:tc>
        <w:tc>
          <w:tcPr>
            <w:tcW w:w="292" w:type="pct"/>
            <w:tcBorders>
              <w:bottom w:val="single" w:color="auto" w:sz="12" w:space="0"/>
            </w:tcBorders>
            <w:vAlign w:val="center"/>
          </w:tcPr>
          <w:p w14:paraId="55F2B4FC">
            <w:pPr>
              <w:snapToGrid w:val="0"/>
              <w:spacing w:line="360" w:lineRule="auto"/>
              <w:jc w:val="center"/>
              <w:rPr>
                <w:rFonts w:cs="宋体"/>
                <w:color w:val="auto"/>
                <w:sz w:val="22"/>
                <w:szCs w:val="21"/>
              </w:rPr>
            </w:pPr>
          </w:p>
        </w:tc>
        <w:tc>
          <w:tcPr>
            <w:tcW w:w="682" w:type="pct"/>
            <w:tcBorders>
              <w:bottom w:val="single" w:color="auto" w:sz="12" w:space="0"/>
            </w:tcBorders>
            <w:vAlign w:val="center"/>
          </w:tcPr>
          <w:p w14:paraId="244C451C">
            <w:pPr>
              <w:snapToGrid w:val="0"/>
              <w:spacing w:line="360" w:lineRule="auto"/>
              <w:jc w:val="center"/>
              <w:rPr>
                <w:rFonts w:cs="宋体"/>
                <w:color w:val="auto"/>
                <w:sz w:val="22"/>
                <w:szCs w:val="21"/>
              </w:rPr>
            </w:pPr>
          </w:p>
        </w:tc>
        <w:tc>
          <w:tcPr>
            <w:tcW w:w="552" w:type="pct"/>
            <w:tcBorders>
              <w:bottom w:val="single" w:color="auto" w:sz="12" w:space="0"/>
            </w:tcBorders>
            <w:vAlign w:val="center"/>
          </w:tcPr>
          <w:p w14:paraId="022ABD24">
            <w:pPr>
              <w:snapToGrid w:val="0"/>
              <w:spacing w:line="360" w:lineRule="auto"/>
              <w:jc w:val="center"/>
              <w:rPr>
                <w:rFonts w:cs="宋体"/>
                <w:color w:val="auto"/>
                <w:sz w:val="22"/>
                <w:szCs w:val="21"/>
              </w:rPr>
            </w:pPr>
          </w:p>
        </w:tc>
        <w:tc>
          <w:tcPr>
            <w:tcW w:w="552" w:type="pct"/>
            <w:tcBorders>
              <w:bottom w:val="single" w:color="auto" w:sz="12" w:space="0"/>
            </w:tcBorders>
            <w:vAlign w:val="center"/>
          </w:tcPr>
          <w:p w14:paraId="6E34A0EF">
            <w:pPr>
              <w:snapToGrid w:val="0"/>
              <w:spacing w:line="360" w:lineRule="auto"/>
              <w:jc w:val="center"/>
              <w:rPr>
                <w:rFonts w:cs="宋体"/>
                <w:color w:val="auto"/>
                <w:sz w:val="22"/>
                <w:szCs w:val="21"/>
              </w:rPr>
            </w:pPr>
          </w:p>
        </w:tc>
        <w:tc>
          <w:tcPr>
            <w:tcW w:w="552" w:type="pct"/>
            <w:tcBorders>
              <w:bottom w:val="single" w:color="auto" w:sz="12" w:space="0"/>
            </w:tcBorders>
            <w:vAlign w:val="center"/>
          </w:tcPr>
          <w:p w14:paraId="174E0627">
            <w:pPr>
              <w:snapToGrid w:val="0"/>
              <w:spacing w:line="360" w:lineRule="auto"/>
              <w:jc w:val="center"/>
              <w:rPr>
                <w:rFonts w:cs="宋体"/>
                <w:color w:val="auto"/>
                <w:sz w:val="22"/>
                <w:szCs w:val="21"/>
              </w:rPr>
            </w:pPr>
          </w:p>
        </w:tc>
        <w:tc>
          <w:tcPr>
            <w:tcW w:w="292" w:type="pct"/>
            <w:tcBorders>
              <w:bottom w:val="single" w:color="auto" w:sz="12" w:space="0"/>
            </w:tcBorders>
            <w:vAlign w:val="center"/>
          </w:tcPr>
          <w:p w14:paraId="611E83B3">
            <w:pPr>
              <w:snapToGrid w:val="0"/>
              <w:spacing w:line="360" w:lineRule="auto"/>
              <w:jc w:val="center"/>
              <w:rPr>
                <w:rFonts w:cs="宋体"/>
                <w:color w:val="auto"/>
                <w:sz w:val="22"/>
                <w:szCs w:val="21"/>
              </w:rPr>
            </w:pPr>
          </w:p>
        </w:tc>
      </w:tr>
    </w:tbl>
    <w:p w14:paraId="320C4BF6">
      <w:pPr>
        <w:spacing w:before="312" w:beforeLines="100" w:after="312" w:afterLines="100"/>
        <w:outlineLvl w:val="2"/>
        <w:rPr>
          <w:rFonts w:hint="eastAsia" w:ascii="Times New Roman" w:eastAsia="黑体"/>
          <w:color w:val="auto"/>
          <w:szCs w:val="24"/>
        </w:rPr>
      </w:pPr>
      <w:bookmarkStart w:id="1122" w:name="_Toc128950237"/>
    </w:p>
    <w:p w14:paraId="74EE4484">
      <w:pPr>
        <w:spacing w:before="312" w:beforeLines="100" w:after="312" w:afterLines="100"/>
        <w:outlineLvl w:val="2"/>
        <w:rPr>
          <w:rFonts w:hint="eastAsia" w:ascii="Times New Roman" w:eastAsia="黑体"/>
          <w:color w:val="auto"/>
          <w:szCs w:val="24"/>
        </w:rPr>
      </w:pPr>
    </w:p>
    <w:p w14:paraId="0FFE6F53">
      <w:pPr>
        <w:spacing w:before="312" w:beforeLines="100" w:after="312" w:afterLines="100"/>
        <w:outlineLvl w:val="2"/>
        <w:rPr>
          <w:rFonts w:hint="eastAsia" w:ascii="Times New Roman" w:eastAsia="黑体"/>
          <w:color w:val="auto"/>
          <w:szCs w:val="24"/>
        </w:rPr>
      </w:pPr>
    </w:p>
    <w:p w14:paraId="6466B0A9">
      <w:pPr>
        <w:spacing w:before="312" w:beforeLines="100" w:after="312" w:afterLines="100"/>
        <w:outlineLvl w:val="2"/>
        <w:rPr>
          <w:rFonts w:hint="eastAsia" w:ascii="Times New Roman" w:eastAsia="黑体"/>
          <w:color w:val="auto"/>
          <w:szCs w:val="24"/>
        </w:rPr>
      </w:pPr>
    </w:p>
    <w:p w14:paraId="1019706C">
      <w:pPr>
        <w:spacing w:before="312" w:beforeLines="100" w:after="312" w:afterLines="100"/>
        <w:outlineLvl w:val="2"/>
        <w:rPr>
          <w:rFonts w:hint="eastAsia" w:ascii="Times New Roman" w:eastAsia="黑体"/>
          <w:color w:val="auto"/>
          <w:szCs w:val="24"/>
        </w:rPr>
      </w:pPr>
    </w:p>
    <w:p w14:paraId="6153226E">
      <w:pPr>
        <w:spacing w:before="312" w:beforeLines="100" w:after="312" w:afterLines="100"/>
        <w:outlineLvl w:val="2"/>
        <w:rPr>
          <w:rFonts w:hint="eastAsia" w:ascii="Times New Roman" w:eastAsia="黑体"/>
          <w:color w:val="auto"/>
          <w:szCs w:val="24"/>
        </w:rPr>
      </w:pPr>
    </w:p>
    <w:p w14:paraId="1C365099">
      <w:pPr>
        <w:spacing w:before="312" w:beforeLines="100" w:after="312" w:afterLines="100"/>
        <w:outlineLvl w:val="2"/>
        <w:rPr>
          <w:rFonts w:ascii="Times New Roman" w:eastAsia="黑体"/>
          <w:color w:val="auto"/>
          <w:szCs w:val="24"/>
        </w:rPr>
      </w:pPr>
      <w:r>
        <w:rPr>
          <w:rFonts w:hint="eastAsia" w:ascii="Times New Roman" w:eastAsia="黑体"/>
          <w:color w:val="auto"/>
          <w:szCs w:val="24"/>
        </w:rPr>
        <w:t>附件3：工程质量保修书（房屋建筑工程）</w:t>
      </w:r>
      <w:bookmarkEnd w:id="1122"/>
    </w:p>
    <w:p w14:paraId="45F95DBA">
      <w:pPr>
        <w:adjustRightInd w:val="0"/>
        <w:snapToGrid w:val="0"/>
        <w:spacing w:before="156" w:beforeLines="50" w:after="156" w:afterLines="50" w:line="360" w:lineRule="auto"/>
        <w:jc w:val="center"/>
        <w:rPr>
          <w:rFonts w:cs="宋体"/>
          <w:b/>
          <w:color w:val="auto"/>
        </w:rPr>
      </w:pPr>
      <w:r>
        <w:rPr>
          <w:rFonts w:hint="eastAsia" w:cs="宋体"/>
          <w:b/>
          <w:color w:val="auto"/>
        </w:rPr>
        <w:t>工程质量保修书</w:t>
      </w:r>
    </w:p>
    <w:p w14:paraId="448DB5F9">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发包人（全称）：</w:t>
      </w:r>
      <w:r>
        <w:rPr>
          <w:rFonts w:hint="eastAsia" w:cs="宋体"/>
          <w:color w:val="auto"/>
          <w:sz w:val="21"/>
          <w:szCs w:val="21"/>
          <w:u w:val="single"/>
        </w:rPr>
        <w:t xml:space="preserve">                                </w:t>
      </w:r>
      <w:r>
        <w:rPr>
          <w:rFonts w:hint="eastAsia" w:cs="宋体"/>
          <w:color w:val="auto"/>
          <w:sz w:val="21"/>
          <w:szCs w:val="21"/>
        </w:rPr>
        <w:t xml:space="preserve"> </w:t>
      </w:r>
    </w:p>
    <w:p w14:paraId="44F0E9B8">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承包人（全称）：</w:t>
      </w:r>
      <w:r>
        <w:rPr>
          <w:rFonts w:hint="eastAsia" w:cs="宋体"/>
          <w:color w:val="auto"/>
          <w:sz w:val="21"/>
          <w:szCs w:val="21"/>
          <w:u w:val="single"/>
        </w:rPr>
        <w:t xml:space="preserve">                                </w:t>
      </w:r>
      <w:r>
        <w:rPr>
          <w:rFonts w:hint="eastAsia" w:cs="宋体"/>
          <w:color w:val="auto"/>
          <w:sz w:val="21"/>
          <w:szCs w:val="21"/>
        </w:rPr>
        <w:t xml:space="preserve"> </w:t>
      </w:r>
    </w:p>
    <w:p w14:paraId="4BB0AE7B">
      <w:pPr>
        <w:adjustRightInd w:val="0"/>
        <w:snapToGrid w:val="0"/>
        <w:spacing w:line="360" w:lineRule="auto"/>
        <w:ind w:firstLine="420" w:firstLineChars="200"/>
        <w:rPr>
          <w:rFonts w:cs="宋体"/>
          <w:color w:val="auto"/>
          <w:sz w:val="21"/>
          <w:szCs w:val="21"/>
        </w:rPr>
      </w:pPr>
      <w:r>
        <w:rPr>
          <w:rFonts w:hint="eastAsia" w:cs="宋体"/>
          <w:color w:val="auto"/>
          <w:sz w:val="21"/>
          <w:szCs w:val="21"/>
        </w:rPr>
        <w:t>发包人和承包人根据《中华人民共和国建筑法》和《建设工程质量管理条例》，经协商一致就_______________（工程全称）签订工程质量保修书。</w:t>
      </w:r>
    </w:p>
    <w:p w14:paraId="40721588">
      <w:pPr>
        <w:adjustRightInd w:val="0"/>
        <w:snapToGrid w:val="0"/>
        <w:spacing w:line="360" w:lineRule="auto"/>
        <w:ind w:firstLine="420" w:firstLineChars="200"/>
        <w:rPr>
          <w:rFonts w:cs="宋体"/>
          <w:b/>
          <w:color w:val="auto"/>
          <w:sz w:val="21"/>
          <w:szCs w:val="21"/>
        </w:rPr>
      </w:pPr>
      <w:r>
        <w:rPr>
          <w:rFonts w:hint="eastAsia" w:cs="宋体"/>
          <w:b/>
          <w:color w:val="auto"/>
          <w:sz w:val="21"/>
          <w:szCs w:val="21"/>
        </w:rPr>
        <w:t>一、工程质量保修范围和内容</w:t>
      </w:r>
    </w:p>
    <w:p w14:paraId="325A5C73">
      <w:pPr>
        <w:adjustRightInd w:val="0"/>
        <w:snapToGrid w:val="0"/>
        <w:spacing w:line="360" w:lineRule="auto"/>
        <w:ind w:firstLine="420" w:firstLineChars="200"/>
        <w:rPr>
          <w:rFonts w:cs="宋体"/>
          <w:color w:val="auto"/>
          <w:sz w:val="21"/>
          <w:szCs w:val="21"/>
        </w:rPr>
      </w:pPr>
      <w:r>
        <w:rPr>
          <w:rFonts w:hint="eastAsia" w:cs="宋体"/>
          <w:color w:val="auto"/>
          <w:sz w:val="21"/>
          <w:szCs w:val="21"/>
        </w:rPr>
        <w:t>承包人在质量保修期内，按照有关法律规定和合同约定，承担工程质量保修责任。</w:t>
      </w:r>
    </w:p>
    <w:p w14:paraId="1956C3BF">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u w:val="single"/>
        </w:rPr>
        <w:t xml:space="preserve">                </w:t>
      </w:r>
      <w:r>
        <w:rPr>
          <w:rFonts w:hint="eastAsia" w:cs="宋体"/>
          <w:color w:val="auto"/>
          <w:sz w:val="21"/>
          <w:szCs w:val="21"/>
        </w:rPr>
        <w:t>。</w:t>
      </w:r>
    </w:p>
    <w:p w14:paraId="074F3C56">
      <w:pPr>
        <w:adjustRightInd w:val="0"/>
        <w:snapToGrid w:val="0"/>
        <w:spacing w:line="360" w:lineRule="auto"/>
        <w:ind w:firstLine="412" w:firstLineChars="196"/>
        <w:rPr>
          <w:rFonts w:cs="宋体"/>
          <w:b/>
          <w:color w:val="auto"/>
          <w:sz w:val="21"/>
          <w:szCs w:val="21"/>
        </w:rPr>
      </w:pPr>
      <w:r>
        <w:rPr>
          <w:rFonts w:hint="eastAsia" w:cs="宋体"/>
          <w:b/>
          <w:color w:val="auto"/>
          <w:sz w:val="21"/>
          <w:szCs w:val="21"/>
        </w:rPr>
        <w:t>二、质量保修期</w:t>
      </w:r>
    </w:p>
    <w:p w14:paraId="17B8DB1D">
      <w:pPr>
        <w:adjustRightInd w:val="0"/>
        <w:snapToGrid w:val="0"/>
        <w:spacing w:line="360" w:lineRule="auto"/>
        <w:ind w:firstLine="420" w:firstLineChars="200"/>
        <w:rPr>
          <w:rFonts w:cs="宋体"/>
          <w:color w:val="auto"/>
          <w:sz w:val="21"/>
          <w:szCs w:val="21"/>
        </w:rPr>
      </w:pPr>
      <w:r>
        <w:rPr>
          <w:rFonts w:hint="eastAsia" w:cs="宋体"/>
          <w:color w:val="auto"/>
          <w:sz w:val="21"/>
          <w:szCs w:val="21"/>
        </w:rPr>
        <w:t>根据《建设工程质量管理条例》及有关规定，工程的质量保修期如下：</w:t>
      </w:r>
    </w:p>
    <w:p w14:paraId="0269C5EA">
      <w:pPr>
        <w:adjustRightInd w:val="0"/>
        <w:snapToGrid w:val="0"/>
        <w:spacing w:line="360" w:lineRule="auto"/>
        <w:ind w:firstLine="420" w:firstLineChars="200"/>
        <w:rPr>
          <w:rFonts w:cs="宋体"/>
          <w:color w:val="auto"/>
          <w:sz w:val="21"/>
          <w:szCs w:val="21"/>
        </w:rPr>
      </w:pPr>
      <w:r>
        <w:rPr>
          <w:rFonts w:hint="eastAsia" w:cs="宋体"/>
          <w:color w:val="auto"/>
          <w:sz w:val="21"/>
          <w:szCs w:val="21"/>
        </w:rPr>
        <w:t>1. 地基基础工程和主体结构工程为设计文件规定的工程合理使用年限；</w:t>
      </w:r>
    </w:p>
    <w:p w14:paraId="46910F58">
      <w:pPr>
        <w:adjustRightInd w:val="0"/>
        <w:snapToGrid w:val="0"/>
        <w:spacing w:line="360" w:lineRule="auto"/>
        <w:ind w:firstLine="420" w:firstLineChars="200"/>
        <w:rPr>
          <w:rFonts w:cs="宋体"/>
          <w:color w:val="auto"/>
          <w:sz w:val="21"/>
          <w:szCs w:val="21"/>
        </w:rPr>
      </w:pPr>
      <w:r>
        <w:rPr>
          <w:rFonts w:hint="eastAsia" w:cs="宋体"/>
          <w:color w:val="auto"/>
          <w:sz w:val="21"/>
          <w:szCs w:val="21"/>
        </w:rPr>
        <w:t>2. 屋面防水工程、有防水要求的卫生间、房间和外墙面的防渗为</w:t>
      </w:r>
      <w:r>
        <w:rPr>
          <w:rFonts w:hint="eastAsia" w:cs="宋体"/>
          <w:color w:val="auto"/>
          <w:sz w:val="21"/>
          <w:szCs w:val="21"/>
          <w:u w:val="single"/>
        </w:rPr>
        <w:t>5</w:t>
      </w:r>
      <w:r>
        <w:rPr>
          <w:rFonts w:hint="eastAsia" w:cs="宋体"/>
          <w:color w:val="auto"/>
          <w:sz w:val="21"/>
          <w:szCs w:val="21"/>
        </w:rPr>
        <w:t>年；</w:t>
      </w:r>
    </w:p>
    <w:p w14:paraId="7D7FE2E2">
      <w:pPr>
        <w:adjustRightInd w:val="0"/>
        <w:snapToGrid w:val="0"/>
        <w:spacing w:line="360" w:lineRule="auto"/>
        <w:ind w:firstLine="420" w:firstLineChars="200"/>
        <w:rPr>
          <w:rFonts w:cs="宋体"/>
          <w:color w:val="auto"/>
          <w:sz w:val="21"/>
          <w:szCs w:val="21"/>
        </w:rPr>
      </w:pPr>
      <w:r>
        <w:rPr>
          <w:rFonts w:hint="eastAsia" w:cs="宋体"/>
          <w:color w:val="auto"/>
          <w:sz w:val="21"/>
          <w:szCs w:val="21"/>
        </w:rPr>
        <w:t>3. 装修工程为</w:t>
      </w:r>
      <w:r>
        <w:rPr>
          <w:rFonts w:hint="eastAsia" w:cs="宋体"/>
          <w:color w:val="auto"/>
          <w:sz w:val="21"/>
          <w:szCs w:val="21"/>
          <w:u w:val="single"/>
        </w:rPr>
        <w:t>2</w:t>
      </w:r>
      <w:r>
        <w:rPr>
          <w:rFonts w:hint="eastAsia" w:cs="宋体"/>
          <w:color w:val="auto"/>
          <w:sz w:val="21"/>
          <w:szCs w:val="21"/>
        </w:rPr>
        <w:t>年；</w:t>
      </w:r>
    </w:p>
    <w:p w14:paraId="23F18638">
      <w:pPr>
        <w:adjustRightInd w:val="0"/>
        <w:snapToGrid w:val="0"/>
        <w:spacing w:line="360" w:lineRule="auto"/>
        <w:ind w:firstLine="420" w:firstLineChars="200"/>
        <w:rPr>
          <w:rFonts w:cs="宋体"/>
          <w:color w:val="auto"/>
          <w:sz w:val="21"/>
          <w:szCs w:val="21"/>
        </w:rPr>
      </w:pPr>
      <w:r>
        <w:rPr>
          <w:rFonts w:hint="eastAsia" w:cs="宋体"/>
          <w:color w:val="auto"/>
          <w:sz w:val="21"/>
          <w:szCs w:val="21"/>
        </w:rPr>
        <w:t>4. 电气管线、给排水管道、设备安装工程为</w:t>
      </w:r>
      <w:r>
        <w:rPr>
          <w:rFonts w:hint="eastAsia" w:cs="宋体"/>
          <w:color w:val="auto"/>
          <w:sz w:val="21"/>
          <w:szCs w:val="21"/>
          <w:u w:val="single"/>
        </w:rPr>
        <w:t>2</w:t>
      </w:r>
      <w:r>
        <w:rPr>
          <w:rFonts w:hint="eastAsia" w:cs="宋体"/>
          <w:color w:val="auto"/>
          <w:sz w:val="21"/>
          <w:szCs w:val="21"/>
        </w:rPr>
        <w:t>年；</w:t>
      </w:r>
    </w:p>
    <w:p w14:paraId="0CA4AFE1">
      <w:pPr>
        <w:adjustRightInd w:val="0"/>
        <w:snapToGrid w:val="0"/>
        <w:spacing w:line="360" w:lineRule="auto"/>
        <w:ind w:firstLine="420" w:firstLineChars="200"/>
        <w:rPr>
          <w:rFonts w:cs="宋体"/>
          <w:color w:val="auto"/>
          <w:sz w:val="21"/>
          <w:szCs w:val="21"/>
        </w:rPr>
      </w:pPr>
      <w:r>
        <w:rPr>
          <w:rFonts w:hint="eastAsia" w:cs="宋体"/>
          <w:color w:val="auto"/>
          <w:sz w:val="21"/>
          <w:szCs w:val="21"/>
        </w:rPr>
        <w:t>5. 供热与供冷系统为</w:t>
      </w:r>
      <w:r>
        <w:rPr>
          <w:rFonts w:hint="eastAsia" w:cs="宋体"/>
          <w:color w:val="auto"/>
          <w:sz w:val="21"/>
          <w:szCs w:val="21"/>
          <w:u w:val="single"/>
        </w:rPr>
        <w:t>2</w:t>
      </w:r>
      <w:r>
        <w:rPr>
          <w:rFonts w:hint="eastAsia" w:cs="宋体"/>
          <w:color w:val="auto"/>
          <w:sz w:val="21"/>
          <w:szCs w:val="21"/>
        </w:rPr>
        <w:t>个采暖期、供冷期；</w:t>
      </w:r>
    </w:p>
    <w:p w14:paraId="5311F0FA">
      <w:pPr>
        <w:adjustRightInd w:val="0"/>
        <w:snapToGrid w:val="0"/>
        <w:spacing w:line="360" w:lineRule="auto"/>
        <w:ind w:firstLine="420" w:firstLineChars="200"/>
        <w:rPr>
          <w:rFonts w:cs="宋体"/>
          <w:color w:val="auto"/>
          <w:sz w:val="21"/>
          <w:szCs w:val="21"/>
        </w:rPr>
      </w:pPr>
      <w:r>
        <w:rPr>
          <w:rFonts w:hint="eastAsia" w:cs="宋体"/>
          <w:color w:val="auto"/>
          <w:sz w:val="21"/>
          <w:szCs w:val="21"/>
        </w:rPr>
        <w:t>6. 住宅小区内的给排水设施、道路等配套工程为</w:t>
      </w:r>
      <w:r>
        <w:rPr>
          <w:rFonts w:hint="eastAsia" w:cs="宋体"/>
          <w:color w:val="auto"/>
          <w:sz w:val="21"/>
          <w:szCs w:val="21"/>
          <w:u w:val="single"/>
        </w:rPr>
        <w:t>2</w:t>
      </w:r>
      <w:r>
        <w:rPr>
          <w:rFonts w:hint="eastAsia" w:cs="宋体"/>
          <w:color w:val="auto"/>
          <w:sz w:val="21"/>
          <w:szCs w:val="21"/>
        </w:rPr>
        <w:t>年；</w:t>
      </w:r>
    </w:p>
    <w:p w14:paraId="6A1834A2">
      <w:pPr>
        <w:adjustRightInd w:val="0"/>
        <w:snapToGrid w:val="0"/>
        <w:spacing w:line="360" w:lineRule="auto"/>
        <w:ind w:firstLine="420" w:firstLineChars="200"/>
        <w:rPr>
          <w:rFonts w:cs="宋体"/>
          <w:color w:val="auto"/>
          <w:sz w:val="21"/>
          <w:szCs w:val="21"/>
        </w:rPr>
      </w:pPr>
      <w:r>
        <w:rPr>
          <w:rFonts w:hint="eastAsia" w:cs="宋体"/>
          <w:color w:val="auto"/>
          <w:sz w:val="21"/>
          <w:szCs w:val="21"/>
        </w:rPr>
        <w:t>7. 其他项目保修期限约定如下：</w:t>
      </w:r>
      <w:r>
        <w:rPr>
          <w:rFonts w:hint="eastAsia" w:cs="宋体"/>
          <w:color w:val="auto"/>
          <w:sz w:val="21"/>
          <w:szCs w:val="21"/>
          <w:u w:val="single"/>
        </w:rPr>
        <w:t>保温工程5年</w:t>
      </w:r>
      <w:r>
        <w:rPr>
          <w:rFonts w:hint="eastAsia" w:cs="宋体"/>
          <w:color w:val="auto"/>
          <w:sz w:val="21"/>
          <w:szCs w:val="21"/>
        </w:rPr>
        <w:t>。</w:t>
      </w:r>
    </w:p>
    <w:p w14:paraId="7BA7D782">
      <w:pPr>
        <w:adjustRightInd w:val="0"/>
        <w:snapToGrid w:val="0"/>
        <w:spacing w:line="360" w:lineRule="auto"/>
        <w:ind w:firstLine="420" w:firstLineChars="200"/>
        <w:rPr>
          <w:rFonts w:cs="宋体"/>
          <w:color w:val="auto"/>
          <w:sz w:val="21"/>
          <w:szCs w:val="21"/>
        </w:rPr>
      </w:pPr>
      <w:r>
        <w:rPr>
          <w:rFonts w:hint="eastAsia" w:cs="宋体"/>
          <w:color w:val="auto"/>
          <w:sz w:val="21"/>
          <w:szCs w:val="21"/>
        </w:rPr>
        <w:t>质量保修期自工程竣工验收合格之日起计算。</w:t>
      </w:r>
    </w:p>
    <w:p w14:paraId="71CA624B">
      <w:pPr>
        <w:adjustRightInd w:val="0"/>
        <w:snapToGrid w:val="0"/>
        <w:spacing w:line="360" w:lineRule="auto"/>
        <w:ind w:firstLine="420" w:firstLineChars="200"/>
        <w:rPr>
          <w:rFonts w:cs="宋体"/>
          <w:b/>
          <w:color w:val="auto"/>
          <w:sz w:val="21"/>
          <w:szCs w:val="21"/>
        </w:rPr>
      </w:pPr>
      <w:r>
        <w:rPr>
          <w:rFonts w:hint="eastAsia" w:cs="宋体"/>
          <w:b/>
          <w:color w:val="auto"/>
          <w:sz w:val="21"/>
          <w:szCs w:val="21"/>
        </w:rPr>
        <w:t>三、缺陷责任期</w:t>
      </w:r>
    </w:p>
    <w:p w14:paraId="3704D712">
      <w:pPr>
        <w:adjustRightInd w:val="0"/>
        <w:snapToGrid w:val="0"/>
        <w:spacing w:line="360" w:lineRule="auto"/>
        <w:ind w:firstLine="420" w:firstLineChars="200"/>
        <w:rPr>
          <w:rFonts w:cs="宋体"/>
          <w:color w:val="auto"/>
          <w:sz w:val="21"/>
          <w:szCs w:val="21"/>
        </w:rPr>
      </w:pPr>
      <w:r>
        <w:rPr>
          <w:rFonts w:hint="eastAsia" w:cs="宋体"/>
          <w:color w:val="auto"/>
          <w:sz w:val="21"/>
          <w:szCs w:val="21"/>
        </w:rPr>
        <w:t>工程缺陷责任期为</w:t>
      </w:r>
      <w:r>
        <w:rPr>
          <w:rFonts w:hint="eastAsia" w:cs="宋体"/>
          <w:color w:val="auto"/>
          <w:sz w:val="21"/>
          <w:szCs w:val="21"/>
          <w:u w:val="single"/>
        </w:rPr>
        <w:t xml:space="preserve">          </w:t>
      </w:r>
      <w:r>
        <w:rPr>
          <w:rFonts w:hint="eastAsia" w:cs="宋体"/>
          <w:color w:val="auto"/>
          <w:sz w:val="21"/>
          <w:szCs w:val="21"/>
        </w:rPr>
        <w:t>，缺陷责任期自工程竣工验收合格之日起计算。单位工程先于全部工程进行验收，单位工程缺陷责任期自单位工程验收合格之日起算。</w:t>
      </w:r>
    </w:p>
    <w:p w14:paraId="7C2787B2">
      <w:pPr>
        <w:adjustRightInd w:val="0"/>
        <w:snapToGrid w:val="0"/>
        <w:spacing w:line="360" w:lineRule="auto"/>
        <w:ind w:firstLine="420" w:firstLineChars="200"/>
        <w:rPr>
          <w:rFonts w:cs="宋体"/>
          <w:b/>
          <w:color w:val="auto"/>
          <w:sz w:val="21"/>
          <w:szCs w:val="21"/>
        </w:rPr>
      </w:pPr>
      <w:r>
        <w:rPr>
          <w:rFonts w:hint="eastAsia" w:cs="宋体"/>
          <w:color w:val="auto"/>
          <w:sz w:val="21"/>
          <w:szCs w:val="21"/>
        </w:rPr>
        <w:t>缺陷责任期终止后，发包人应退还剩余的质量保证金。</w:t>
      </w:r>
    </w:p>
    <w:p w14:paraId="7587FE94">
      <w:pPr>
        <w:adjustRightInd w:val="0"/>
        <w:snapToGrid w:val="0"/>
        <w:spacing w:line="360" w:lineRule="auto"/>
        <w:ind w:firstLine="420" w:firstLineChars="200"/>
        <w:rPr>
          <w:rFonts w:cs="宋体"/>
          <w:b/>
          <w:color w:val="auto"/>
          <w:sz w:val="21"/>
          <w:szCs w:val="21"/>
        </w:rPr>
      </w:pPr>
      <w:r>
        <w:rPr>
          <w:rFonts w:hint="eastAsia" w:cs="宋体"/>
          <w:b/>
          <w:color w:val="auto"/>
          <w:sz w:val="21"/>
          <w:szCs w:val="21"/>
        </w:rPr>
        <w:t>四、质量保修责任</w:t>
      </w:r>
    </w:p>
    <w:p w14:paraId="61D84EA5">
      <w:pPr>
        <w:adjustRightInd w:val="0"/>
        <w:snapToGrid w:val="0"/>
        <w:spacing w:line="360" w:lineRule="auto"/>
        <w:ind w:firstLine="430" w:firstLineChars="205"/>
        <w:rPr>
          <w:rFonts w:cs="宋体"/>
          <w:color w:val="auto"/>
          <w:sz w:val="21"/>
          <w:szCs w:val="21"/>
        </w:rPr>
      </w:pPr>
      <w:r>
        <w:rPr>
          <w:rFonts w:hint="eastAsia" w:cs="宋体"/>
          <w:color w:val="auto"/>
          <w:sz w:val="21"/>
          <w:szCs w:val="21"/>
        </w:rPr>
        <w:t>1. 属于保修范围、内容的项目，承包人应当在接到保修通知之日起7天内派人保修。承包人不在约定期限内派人保修的，发包人可以委托他人修理。</w:t>
      </w:r>
    </w:p>
    <w:p w14:paraId="2BC98E8D">
      <w:pPr>
        <w:adjustRightInd w:val="0"/>
        <w:snapToGrid w:val="0"/>
        <w:spacing w:line="360" w:lineRule="auto"/>
        <w:ind w:firstLine="430" w:firstLineChars="205"/>
        <w:rPr>
          <w:rFonts w:cs="宋体"/>
          <w:color w:val="auto"/>
          <w:sz w:val="21"/>
          <w:szCs w:val="21"/>
        </w:rPr>
      </w:pPr>
      <w:r>
        <w:rPr>
          <w:rFonts w:hint="eastAsia" w:cs="宋体"/>
          <w:color w:val="auto"/>
          <w:sz w:val="21"/>
          <w:szCs w:val="21"/>
        </w:rPr>
        <w:t>2. 发生紧急事故需抢修的，承包人在接到事故通知后，应当立即到达事故现场抢修。</w:t>
      </w:r>
    </w:p>
    <w:p w14:paraId="53418BE5">
      <w:pPr>
        <w:adjustRightInd w:val="0"/>
        <w:snapToGrid w:val="0"/>
        <w:spacing w:line="360" w:lineRule="auto"/>
        <w:ind w:firstLine="430" w:firstLineChars="205"/>
        <w:rPr>
          <w:rFonts w:cs="宋体"/>
          <w:color w:val="auto"/>
          <w:sz w:val="21"/>
          <w:szCs w:val="21"/>
        </w:rPr>
      </w:pPr>
      <w:r>
        <w:rPr>
          <w:rFonts w:hint="eastAsia" w:cs="宋体"/>
          <w:color w:val="auto"/>
          <w:sz w:val="21"/>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C5019D1">
      <w:pPr>
        <w:adjustRightInd w:val="0"/>
        <w:snapToGrid w:val="0"/>
        <w:spacing w:line="360" w:lineRule="auto"/>
        <w:ind w:firstLine="430" w:firstLineChars="205"/>
        <w:rPr>
          <w:rFonts w:cs="宋体"/>
          <w:color w:val="auto"/>
          <w:sz w:val="21"/>
          <w:szCs w:val="21"/>
        </w:rPr>
      </w:pPr>
      <w:r>
        <w:rPr>
          <w:rFonts w:hint="eastAsia" w:cs="宋体"/>
          <w:color w:val="auto"/>
          <w:sz w:val="21"/>
          <w:szCs w:val="21"/>
        </w:rPr>
        <w:t>4. 质量保修完成后，由发包人组织验收。</w:t>
      </w:r>
    </w:p>
    <w:p w14:paraId="14DD4376">
      <w:pPr>
        <w:adjustRightInd w:val="0"/>
        <w:snapToGrid w:val="0"/>
        <w:spacing w:line="360" w:lineRule="auto"/>
        <w:ind w:firstLine="420" w:firstLineChars="200"/>
        <w:rPr>
          <w:rFonts w:cs="宋体"/>
          <w:b/>
          <w:color w:val="auto"/>
          <w:sz w:val="21"/>
          <w:szCs w:val="21"/>
        </w:rPr>
      </w:pPr>
      <w:r>
        <w:rPr>
          <w:rFonts w:hint="eastAsia" w:cs="宋体"/>
          <w:b/>
          <w:color w:val="auto"/>
          <w:sz w:val="21"/>
          <w:szCs w:val="21"/>
        </w:rPr>
        <w:t>五、保修费用</w:t>
      </w:r>
    </w:p>
    <w:p w14:paraId="5C66ED59">
      <w:pPr>
        <w:adjustRightInd w:val="0"/>
        <w:snapToGrid w:val="0"/>
        <w:spacing w:line="360" w:lineRule="auto"/>
        <w:ind w:firstLine="420" w:firstLineChars="200"/>
        <w:rPr>
          <w:rFonts w:cs="宋体"/>
          <w:color w:val="auto"/>
          <w:sz w:val="21"/>
          <w:szCs w:val="21"/>
        </w:rPr>
      </w:pPr>
      <w:r>
        <w:rPr>
          <w:rFonts w:hint="eastAsia" w:cs="宋体"/>
          <w:color w:val="auto"/>
          <w:sz w:val="21"/>
          <w:szCs w:val="21"/>
        </w:rPr>
        <w:t>保修费用由造成质量缺陷的责任方承担。</w:t>
      </w:r>
    </w:p>
    <w:p w14:paraId="1E1362E1">
      <w:pPr>
        <w:adjustRightInd w:val="0"/>
        <w:snapToGrid w:val="0"/>
        <w:spacing w:line="360" w:lineRule="auto"/>
        <w:ind w:firstLine="420" w:firstLineChars="200"/>
        <w:rPr>
          <w:rFonts w:cs="宋体"/>
          <w:b/>
          <w:color w:val="auto"/>
          <w:sz w:val="21"/>
          <w:szCs w:val="21"/>
        </w:rPr>
      </w:pPr>
      <w:r>
        <w:rPr>
          <w:rFonts w:hint="eastAsia" w:cs="宋体"/>
          <w:b/>
          <w:color w:val="auto"/>
          <w:sz w:val="21"/>
          <w:szCs w:val="21"/>
        </w:rPr>
        <w:t>六、双方约定的其他工程质量保修事项：</w:t>
      </w:r>
      <w:r>
        <w:rPr>
          <w:rFonts w:hint="eastAsia" w:cs="宋体"/>
          <w:b/>
          <w:color w:val="auto"/>
          <w:sz w:val="21"/>
          <w:szCs w:val="21"/>
          <w:u w:val="single"/>
        </w:rPr>
        <w:t xml:space="preserve">             </w:t>
      </w:r>
      <w:r>
        <w:rPr>
          <w:rFonts w:hint="eastAsia" w:cs="宋体"/>
          <w:b/>
          <w:color w:val="auto"/>
          <w:sz w:val="21"/>
          <w:szCs w:val="21"/>
        </w:rPr>
        <w:t>。</w:t>
      </w:r>
    </w:p>
    <w:p w14:paraId="6C05E34C">
      <w:pPr>
        <w:adjustRightInd w:val="0"/>
        <w:snapToGrid w:val="0"/>
        <w:spacing w:line="360" w:lineRule="auto"/>
        <w:ind w:firstLine="399" w:firstLineChars="190"/>
        <w:rPr>
          <w:rFonts w:cs="宋体"/>
          <w:color w:val="auto"/>
          <w:sz w:val="21"/>
          <w:szCs w:val="21"/>
        </w:rPr>
      </w:pPr>
      <w:r>
        <w:rPr>
          <w:rFonts w:hint="eastAsia" w:cs="宋体"/>
          <w:color w:val="auto"/>
          <w:sz w:val="21"/>
          <w:szCs w:val="21"/>
        </w:rPr>
        <w:t>工程质量保修书由发包人、承包人在工程竣工验收前共同签署，作为施工合同附件，其有效期限至保修期满。</w:t>
      </w:r>
    </w:p>
    <w:p w14:paraId="3734C7F6">
      <w:pPr>
        <w:adjustRightInd w:val="0"/>
        <w:snapToGrid w:val="0"/>
        <w:spacing w:line="360" w:lineRule="auto"/>
        <w:ind w:firstLine="420"/>
        <w:rPr>
          <w:rFonts w:cs="宋体"/>
          <w:color w:val="auto"/>
          <w:sz w:val="21"/>
          <w:szCs w:val="21"/>
        </w:rPr>
      </w:pPr>
    </w:p>
    <w:p w14:paraId="07898C26">
      <w:pPr>
        <w:adjustRightInd w:val="0"/>
        <w:snapToGrid w:val="0"/>
        <w:spacing w:line="360" w:lineRule="auto"/>
        <w:ind w:firstLine="420"/>
        <w:rPr>
          <w:rFonts w:cs="宋体"/>
          <w:color w:val="auto"/>
          <w:sz w:val="21"/>
          <w:szCs w:val="21"/>
        </w:rPr>
      </w:pPr>
    </w:p>
    <w:p w14:paraId="3AB859D0">
      <w:pPr>
        <w:adjustRightInd w:val="0"/>
        <w:snapToGrid w:val="0"/>
        <w:spacing w:line="360" w:lineRule="auto"/>
        <w:ind w:firstLine="420"/>
        <w:rPr>
          <w:rFonts w:cs="宋体"/>
          <w:color w:val="auto"/>
          <w:sz w:val="21"/>
          <w:szCs w:val="21"/>
        </w:rPr>
      </w:pPr>
    </w:p>
    <w:p w14:paraId="1CA95C88">
      <w:pPr>
        <w:adjustRightInd w:val="0"/>
        <w:snapToGrid w:val="0"/>
        <w:spacing w:line="360" w:lineRule="auto"/>
        <w:ind w:firstLine="420"/>
        <w:rPr>
          <w:rFonts w:cs="宋体"/>
          <w:color w:val="auto"/>
          <w:sz w:val="21"/>
          <w:szCs w:val="21"/>
        </w:rPr>
      </w:pPr>
    </w:p>
    <w:p w14:paraId="78D98B11">
      <w:pPr>
        <w:adjustRightInd w:val="0"/>
        <w:snapToGrid w:val="0"/>
        <w:spacing w:line="360" w:lineRule="auto"/>
        <w:rPr>
          <w:rFonts w:cs="宋体"/>
          <w:color w:val="auto"/>
          <w:sz w:val="21"/>
          <w:szCs w:val="21"/>
          <w:u w:val="single"/>
        </w:rPr>
      </w:pPr>
      <w:r>
        <w:rPr>
          <w:rFonts w:hint="eastAsia" w:cs="宋体"/>
          <w:color w:val="auto"/>
          <w:sz w:val="21"/>
          <w:szCs w:val="21"/>
        </w:rPr>
        <w:t>发包人（公章）：</w:t>
      </w:r>
      <w:r>
        <w:rPr>
          <w:rFonts w:hint="eastAsia" w:cs="宋体"/>
          <w:color w:val="auto"/>
          <w:sz w:val="21"/>
          <w:szCs w:val="21"/>
          <w:u w:val="single"/>
        </w:rPr>
        <w:t xml:space="preserve">      </w:t>
      </w:r>
      <w:r>
        <w:rPr>
          <w:rFonts w:hint="eastAsia" w:cs="宋体"/>
          <w:color w:val="auto"/>
          <w:sz w:val="21"/>
          <w:szCs w:val="21"/>
        </w:rPr>
        <w:t xml:space="preserve">           承包人（公章）：</w:t>
      </w:r>
      <w:r>
        <w:rPr>
          <w:rFonts w:hint="eastAsia" w:cs="宋体"/>
          <w:color w:val="auto"/>
          <w:sz w:val="21"/>
          <w:szCs w:val="21"/>
          <w:u w:val="single"/>
        </w:rPr>
        <w:t>          </w:t>
      </w:r>
    </w:p>
    <w:p w14:paraId="4BC09268">
      <w:pPr>
        <w:adjustRightInd w:val="0"/>
        <w:snapToGrid w:val="0"/>
        <w:spacing w:line="360" w:lineRule="auto"/>
        <w:rPr>
          <w:rFonts w:cs="宋体"/>
          <w:color w:val="auto"/>
          <w:sz w:val="21"/>
          <w:szCs w:val="21"/>
          <w:u w:val="single"/>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w:t>
      </w:r>
    </w:p>
    <w:p w14:paraId="0E7F5D16">
      <w:pPr>
        <w:adjustRightInd w:val="0"/>
        <w:snapToGrid w:val="0"/>
        <w:spacing w:line="360" w:lineRule="auto"/>
        <w:rPr>
          <w:rFonts w:cs="宋体"/>
          <w:color w:val="auto"/>
          <w:sz w:val="21"/>
          <w:szCs w:val="21"/>
          <w:u w:val="single"/>
        </w:rPr>
      </w:pPr>
      <w:r>
        <w:rPr>
          <w:rFonts w:hint="eastAsia" w:cs="宋体"/>
          <w:color w:val="auto"/>
          <w:sz w:val="21"/>
          <w:szCs w:val="21"/>
        </w:rPr>
        <w:t>法定代表人（签字）：</w:t>
      </w:r>
      <w:r>
        <w:rPr>
          <w:rFonts w:hint="eastAsia" w:cs="宋体"/>
          <w:color w:val="auto"/>
          <w:sz w:val="21"/>
          <w:szCs w:val="21"/>
          <w:u w:val="single"/>
        </w:rPr>
        <w:t xml:space="preserve">      </w:t>
      </w:r>
      <w:r>
        <w:rPr>
          <w:rFonts w:hint="eastAsia" w:cs="宋体"/>
          <w:color w:val="auto"/>
          <w:sz w:val="21"/>
          <w:szCs w:val="21"/>
        </w:rPr>
        <w:t xml:space="preserve">         法定代表人（签字）：</w:t>
      </w:r>
      <w:r>
        <w:rPr>
          <w:rFonts w:hint="eastAsia" w:cs="宋体"/>
          <w:color w:val="auto"/>
          <w:sz w:val="21"/>
          <w:szCs w:val="21"/>
          <w:u w:val="single"/>
        </w:rPr>
        <w:t xml:space="preserve">    </w:t>
      </w:r>
    </w:p>
    <w:p w14:paraId="5196F8DB">
      <w:pPr>
        <w:adjustRightInd w:val="0"/>
        <w:snapToGrid w:val="0"/>
        <w:spacing w:line="360" w:lineRule="auto"/>
        <w:rPr>
          <w:rFonts w:cs="宋体"/>
          <w:color w:val="auto"/>
          <w:sz w:val="21"/>
          <w:szCs w:val="21"/>
          <w:u w:val="single"/>
        </w:rPr>
      </w:pPr>
      <w:r>
        <w:rPr>
          <w:rFonts w:hint="eastAsia" w:cs="宋体"/>
          <w:color w:val="auto"/>
          <w:sz w:val="21"/>
          <w:szCs w:val="21"/>
        </w:rPr>
        <w:t>委托代理人（签字）：</w:t>
      </w:r>
      <w:r>
        <w:rPr>
          <w:rFonts w:hint="eastAsia" w:cs="宋体"/>
          <w:color w:val="auto"/>
          <w:sz w:val="21"/>
          <w:szCs w:val="21"/>
          <w:u w:val="single"/>
        </w:rPr>
        <w:t xml:space="preserve">      </w:t>
      </w:r>
      <w:r>
        <w:rPr>
          <w:rFonts w:hint="eastAsia" w:cs="宋体"/>
          <w:color w:val="auto"/>
          <w:sz w:val="21"/>
          <w:szCs w:val="21"/>
        </w:rPr>
        <w:t xml:space="preserve">         委托代理人（签字）：</w:t>
      </w:r>
      <w:r>
        <w:rPr>
          <w:rFonts w:hint="eastAsia" w:cs="宋体"/>
          <w:color w:val="auto"/>
          <w:sz w:val="21"/>
          <w:szCs w:val="21"/>
          <w:u w:val="single"/>
        </w:rPr>
        <w:t xml:space="preserve">    </w:t>
      </w:r>
    </w:p>
    <w:p w14:paraId="3A3C22AA">
      <w:pPr>
        <w:adjustRightInd w:val="0"/>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3380F9FE">
      <w:pPr>
        <w:adjustRightInd w:val="0"/>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w:t>
      </w:r>
    </w:p>
    <w:p w14:paraId="54768E15">
      <w:pPr>
        <w:adjustRightInd w:val="0"/>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w:t>
      </w:r>
    </w:p>
    <w:p w14:paraId="598F3700">
      <w:pPr>
        <w:adjustRightInd w:val="0"/>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p w14:paraId="758545A1">
      <w:pPr>
        <w:adjustRightInd w:val="0"/>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w:t>
      </w:r>
      <w:r>
        <w:rPr>
          <w:rFonts w:hint="eastAsia" w:cs="宋体"/>
          <w:color w:val="auto"/>
          <w:sz w:val="21"/>
          <w:szCs w:val="21"/>
        </w:rPr>
        <w:t xml:space="preserve">            邮政编码：</w:t>
      </w:r>
      <w:r>
        <w:rPr>
          <w:rFonts w:hint="eastAsia" w:cs="宋体"/>
          <w:color w:val="auto"/>
          <w:sz w:val="21"/>
          <w:szCs w:val="21"/>
          <w:u w:val="single"/>
        </w:rPr>
        <w:t></w:t>
      </w:r>
    </w:p>
    <w:p w14:paraId="3ADA8CD2">
      <w:pPr>
        <w:spacing w:before="312" w:beforeLines="100" w:after="312" w:afterLines="100"/>
        <w:outlineLvl w:val="2"/>
        <w:rPr>
          <w:rFonts w:hint="eastAsia" w:ascii="Times New Roman" w:eastAsia="黑体"/>
          <w:color w:val="auto"/>
          <w:szCs w:val="24"/>
        </w:rPr>
      </w:pPr>
      <w:bookmarkStart w:id="1123" w:name="_Toc128950238"/>
    </w:p>
    <w:p w14:paraId="5D442A6C">
      <w:pPr>
        <w:spacing w:before="312" w:beforeLines="100" w:after="312" w:afterLines="100"/>
        <w:outlineLvl w:val="2"/>
        <w:rPr>
          <w:rFonts w:hint="eastAsia" w:ascii="Times New Roman" w:eastAsia="黑体"/>
          <w:color w:val="auto"/>
          <w:szCs w:val="24"/>
        </w:rPr>
      </w:pPr>
    </w:p>
    <w:p w14:paraId="6344D673">
      <w:pPr>
        <w:spacing w:before="312" w:beforeLines="100" w:after="312" w:afterLines="100"/>
        <w:outlineLvl w:val="2"/>
        <w:rPr>
          <w:rFonts w:hint="eastAsia" w:ascii="Times New Roman" w:eastAsia="黑体"/>
          <w:color w:val="auto"/>
          <w:szCs w:val="24"/>
        </w:rPr>
      </w:pPr>
    </w:p>
    <w:p w14:paraId="1B8FCE16">
      <w:pPr>
        <w:spacing w:before="312" w:beforeLines="100" w:after="312" w:afterLines="100"/>
        <w:outlineLvl w:val="2"/>
        <w:rPr>
          <w:rFonts w:hint="eastAsia" w:ascii="Times New Roman" w:eastAsia="黑体"/>
          <w:color w:val="auto"/>
          <w:szCs w:val="24"/>
        </w:rPr>
      </w:pPr>
    </w:p>
    <w:p w14:paraId="3246EB95">
      <w:pPr>
        <w:spacing w:before="312" w:beforeLines="100" w:after="312" w:afterLines="100"/>
        <w:outlineLvl w:val="2"/>
        <w:rPr>
          <w:rFonts w:hint="eastAsia" w:ascii="Times New Roman" w:eastAsia="黑体"/>
          <w:color w:val="auto"/>
          <w:szCs w:val="24"/>
        </w:rPr>
      </w:pPr>
    </w:p>
    <w:p w14:paraId="0CEF9A51">
      <w:pPr>
        <w:spacing w:before="312" w:beforeLines="100" w:after="312" w:afterLines="100"/>
        <w:outlineLvl w:val="2"/>
        <w:rPr>
          <w:rFonts w:hint="eastAsia" w:ascii="Times New Roman" w:eastAsia="黑体"/>
          <w:color w:val="auto"/>
          <w:szCs w:val="24"/>
        </w:rPr>
      </w:pPr>
    </w:p>
    <w:p w14:paraId="74B1029C">
      <w:pPr>
        <w:spacing w:before="312" w:beforeLines="100" w:after="312" w:afterLines="100"/>
        <w:outlineLvl w:val="2"/>
        <w:rPr>
          <w:rFonts w:hint="eastAsia" w:ascii="Times New Roman" w:eastAsia="黑体"/>
          <w:color w:val="auto"/>
          <w:szCs w:val="24"/>
        </w:rPr>
      </w:pPr>
    </w:p>
    <w:p w14:paraId="76BC964B">
      <w:pPr>
        <w:spacing w:before="312" w:beforeLines="100" w:after="312" w:afterLines="100"/>
        <w:outlineLvl w:val="2"/>
        <w:rPr>
          <w:rFonts w:hint="eastAsia" w:ascii="Times New Roman" w:eastAsia="黑体"/>
          <w:color w:val="auto"/>
          <w:szCs w:val="24"/>
        </w:rPr>
      </w:pPr>
    </w:p>
    <w:p w14:paraId="0A6DB183">
      <w:pPr>
        <w:spacing w:before="312" w:beforeLines="100" w:after="312" w:afterLines="100"/>
        <w:outlineLvl w:val="2"/>
        <w:rPr>
          <w:rFonts w:hint="eastAsia" w:ascii="Times New Roman" w:eastAsia="黑体"/>
          <w:color w:val="auto"/>
          <w:szCs w:val="24"/>
        </w:rPr>
      </w:pPr>
    </w:p>
    <w:p w14:paraId="3975E703">
      <w:pPr>
        <w:spacing w:before="312" w:beforeLines="100" w:after="312" w:afterLines="100"/>
        <w:outlineLvl w:val="2"/>
        <w:rPr>
          <w:rFonts w:hint="eastAsia" w:ascii="Times New Roman" w:eastAsia="黑体"/>
          <w:color w:val="auto"/>
          <w:szCs w:val="24"/>
        </w:rPr>
      </w:pPr>
    </w:p>
    <w:p w14:paraId="2230F18F">
      <w:pPr>
        <w:spacing w:before="312" w:beforeLines="100" w:after="312" w:afterLines="100"/>
        <w:outlineLvl w:val="2"/>
        <w:rPr>
          <w:rFonts w:hint="eastAsia" w:ascii="Times New Roman" w:eastAsia="黑体"/>
          <w:color w:val="auto"/>
          <w:szCs w:val="24"/>
        </w:rPr>
      </w:pPr>
    </w:p>
    <w:p w14:paraId="5F90CA20">
      <w:pPr>
        <w:spacing w:before="312" w:beforeLines="100" w:after="312" w:afterLines="100"/>
        <w:outlineLvl w:val="2"/>
        <w:rPr>
          <w:rFonts w:hint="eastAsia" w:ascii="Times New Roman" w:eastAsia="黑体"/>
          <w:color w:val="auto"/>
          <w:szCs w:val="24"/>
        </w:rPr>
      </w:pPr>
    </w:p>
    <w:p w14:paraId="09336CDC">
      <w:pPr>
        <w:spacing w:before="312" w:beforeLines="100" w:after="312" w:afterLines="100"/>
        <w:outlineLvl w:val="2"/>
        <w:rPr>
          <w:rFonts w:hint="eastAsia" w:ascii="Times New Roman" w:eastAsia="黑体"/>
          <w:color w:val="auto"/>
          <w:szCs w:val="24"/>
        </w:rPr>
      </w:pPr>
    </w:p>
    <w:p w14:paraId="2832464B">
      <w:pPr>
        <w:spacing w:before="312" w:beforeLines="100" w:after="312" w:afterLines="100"/>
        <w:outlineLvl w:val="2"/>
        <w:rPr>
          <w:rFonts w:hint="eastAsia" w:ascii="Times New Roman" w:eastAsia="黑体"/>
          <w:color w:val="auto"/>
          <w:szCs w:val="24"/>
        </w:rPr>
      </w:pPr>
    </w:p>
    <w:bookmarkEnd w:id="1123"/>
    <w:p w14:paraId="31EDCAB0">
      <w:pPr>
        <w:spacing w:before="312" w:beforeLines="100" w:after="312" w:afterLines="100"/>
        <w:outlineLvl w:val="2"/>
        <w:rPr>
          <w:rFonts w:ascii="Times New Roman" w:eastAsia="黑体"/>
          <w:color w:val="auto"/>
          <w:szCs w:val="24"/>
        </w:rPr>
      </w:pPr>
      <w:bookmarkStart w:id="1124" w:name="_Toc128950239"/>
      <w:r>
        <w:rPr>
          <w:rFonts w:hint="eastAsia" w:ascii="Times New Roman" w:eastAsia="黑体"/>
          <w:color w:val="auto"/>
          <w:szCs w:val="24"/>
        </w:rPr>
        <w:t>附件</w:t>
      </w:r>
      <w:r>
        <w:rPr>
          <w:rFonts w:ascii="Times New Roman" w:eastAsia="黑体"/>
          <w:color w:val="auto"/>
          <w:szCs w:val="24"/>
        </w:rPr>
        <w:t>4</w:t>
      </w:r>
      <w:r>
        <w:rPr>
          <w:rFonts w:hint="eastAsia" w:ascii="Times New Roman" w:eastAsia="黑体"/>
          <w:color w:val="auto"/>
          <w:szCs w:val="24"/>
        </w:rPr>
        <w:t>：主要建设工程文件目录</w:t>
      </w:r>
      <w:bookmarkEnd w:id="1124"/>
    </w:p>
    <w:p w14:paraId="0EA1BA33">
      <w:pPr>
        <w:spacing w:before="156" w:beforeLines="50" w:after="156" w:afterLines="50"/>
        <w:jc w:val="center"/>
        <w:rPr>
          <w:rFonts w:cs="宋体"/>
          <w:color w:val="auto"/>
          <w:szCs w:val="21"/>
        </w:rPr>
      </w:pPr>
      <w:r>
        <w:rPr>
          <w:rFonts w:hint="eastAsia" w:cs="宋体"/>
          <w:color w:val="auto"/>
          <w:szCs w:val="21"/>
        </w:rPr>
        <w:t>主要建设工程文件目录</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917"/>
        <w:gridCol w:w="1254"/>
        <w:gridCol w:w="1424"/>
        <w:gridCol w:w="1220"/>
        <w:gridCol w:w="1424"/>
        <w:gridCol w:w="1637"/>
      </w:tblGrid>
      <w:tr w14:paraId="5FE6C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68AA6E7D">
            <w:pPr>
              <w:keepNext/>
              <w:jc w:val="center"/>
              <w:rPr>
                <w:rFonts w:cs="宋体"/>
                <w:color w:val="auto"/>
                <w:szCs w:val="21"/>
              </w:rPr>
            </w:pPr>
            <w:r>
              <w:rPr>
                <w:rFonts w:hint="eastAsia" w:cs="宋体"/>
                <w:color w:val="auto"/>
                <w:szCs w:val="21"/>
              </w:rPr>
              <w:t>文件名称</w:t>
            </w:r>
          </w:p>
        </w:tc>
        <w:tc>
          <w:tcPr>
            <w:tcW w:w="706" w:type="pct"/>
            <w:tcBorders>
              <w:top w:val="single" w:color="auto" w:sz="12" w:space="0"/>
              <w:bottom w:val="double" w:color="auto" w:sz="6" w:space="0"/>
            </w:tcBorders>
            <w:vAlign w:val="center"/>
          </w:tcPr>
          <w:p w14:paraId="11EE08CB">
            <w:pPr>
              <w:keepNext/>
              <w:jc w:val="center"/>
              <w:rPr>
                <w:rFonts w:cs="宋体"/>
                <w:color w:val="auto"/>
                <w:szCs w:val="21"/>
              </w:rPr>
            </w:pPr>
            <w:r>
              <w:rPr>
                <w:rFonts w:hint="eastAsia" w:cs="宋体"/>
                <w:color w:val="auto"/>
                <w:szCs w:val="21"/>
              </w:rPr>
              <w:t>套数</w:t>
            </w:r>
          </w:p>
        </w:tc>
        <w:tc>
          <w:tcPr>
            <w:tcW w:w="802" w:type="pct"/>
            <w:tcBorders>
              <w:top w:val="single" w:color="auto" w:sz="12" w:space="0"/>
              <w:bottom w:val="double" w:color="auto" w:sz="6" w:space="0"/>
            </w:tcBorders>
            <w:vAlign w:val="center"/>
          </w:tcPr>
          <w:p w14:paraId="2245AE88">
            <w:pPr>
              <w:keepNext/>
              <w:jc w:val="center"/>
              <w:rPr>
                <w:rFonts w:cs="宋体"/>
                <w:color w:val="auto"/>
                <w:szCs w:val="21"/>
              </w:rPr>
            </w:pPr>
            <w:r>
              <w:rPr>
                <w:rFonts w:hint="eastAsia" w:cs="宋体"/>
                <w:color w:val="auto"/>
                <w:szCs w:val="21"/>
              </w:rPr>
              <w:t>费用（元）</w:t>
            </w:r>
          </w:p>
        </w:tc>
        <w:tc>
          <w:tcPr>
            <w:tcW w:w="687" w:type="pct"/>
            <w:tcBorders>
              <w:top w:val="single" w:color="auto" w:sz="12" w:space="0"/>
              <w:bottom w:val="double" w:color="auto" w:sz="6" w:space="0"/>
            </w:tcBorders>
            <w:vAlign w:val="center"/>
          </w:tcPr>
          <w:p w14:paraId="376E1160">
            <w:pPr>
              <w:keepNext/>
              <w:jc w:val="center"/>
              <w:rPr>
                <w:rFonts w:cs="宋体"/>
                <w:color w:val="auto"/>
                <w:szCs w:val="21"/>
              </w:rPr>
            </w:pPr>
            <w:r>
              <w:rPr>
                <w:rFonts w:hint="eastAsia" w:cs="宋体"/>
                <w:color w:val="auto"/>
                <w:szCs w:val="21"/>
              </w:rPr>
              <w:t>质量</w:t>
            </w:r>
          </w:p>
        </w:tc>
        <w:tc>
          <w:tcPr>
            <w:tcW w:w="802" w:type="pct"/>
            <w:tcBorders>
              <w:top w:val="single" w:color="auto" w:sz="12" w:space="0"/>
              <w:bottom w:val="double" w:color="auto" w:sz="6" w:space="0"/>
            </w:tcBorders>
            <w:vAlign w:val="center"/>
          </w:tcPr>
          <w:p w14:paraId="1ED40FC8">
            <w:pPr>
              <w:jc w:val="center"/>
              <w:rPr>
                <w:rFonts w:cs="宋体"/>
                <w:color w:val="auto"/>
                <w:szCs w:val="21"/>
              </w:rPr>
            </w:pPr>
            <w:r>
              <w:rPr>
                <w:rFonts w:hint="eastAsia" w:cs="宋体"/>
                <w:color w:val="auto"/>
                <w:szCs w:val="21"/>
              </w:rPr>
              <w:t>移交时间</w:t>
            </w:r>
          </w:p>
        </w:tc>
        <w:tc>
          <w:tcPr>
            <w:tcW w:w="922" w:type="pct"/>
            <w:tcBorders>
              <w:top w:val="single" w:color="auto" w:sz="12" w:space="0"/>
              <w:bottom w:val="double" w:color="auto" w:sz="6" w:space="0"/>
            </w:tcBorders>
            <w:vAlign w:val="center"/>
          </w:tcPr>
          <w:p w14:paraId="75A0247E">
            <w:pPr>
              <w:jc w:val="center"/>
              <w:rPr>
                <w:rFonts w:cs="宋体"/>
                <w:color w:val="auto"/>
                <w:szCs w:val="21"/>
              </w:rPr>
            </w:pPr>
            <w:r>
              <w:rPr>
                <w:rFonts w:hint="eastAsia" w:cs="宋体"/>
                <w:color w:val="auto"/>
                <w:szCs w:val="21"/>
              </w:rPr>
              <w:t>责任人</w:t>
            </w:r>
          </w:p>
        </w:tc>
      </w:tr>
      <w:tr w14:paraId="58646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7EDDCE26">
            <w:pPr>
              <w:keepNext/>
              <w:jc w:val="center"/>
              <w:rPr>
                <w:rFonts w:cs="宋体"/>
                <w:color w:val="auto"/>
                <w:szCs w:val="21"/>
              </w:rPr>
            </w:pPr>
          </w:p>
        </w:tc>
        <w:tc>
          <w:tcPr>
            <w:tcW w:w="706" w:type="pct"/>
            <w:tcBorders>
              <w:top w:val="double" w:color="auto" w:sz="6" w:space="0"/>
            </w:tcBorders>
            <w:vAlign w:val="center"/>
          </w:tcPr>
          <w:p w14:paraId="7039D30D">
            <w:pPr>
              <w:keepNext/>
              <w:jc w:val="center"/>
              <w:rPr>
                <w:rFonts w:cs="宋体"/>
                <w:color w:val="auto"/>
                <w:szCs w:val="21"/>
              </w:rPr>
            </w:pPr>
          </w:p>
        </w:tc>
        <w:tc>
          <w:tcPr>
            <w:tcW w:w="802" w:type="pct"/>
            <w:tcBorders>
              <w:top w:val="double" w:color="auto" w:sz="6" w:space="0"/>
            </w:tcBorders>
            <w:vAlign w:val="center"/>
          </w:tcPr>
          <w:p w14:paraId="555B0632">
            <w:pPr>
              <w:keepNext/>
              <w:jc w:val="center"/>
              <w:rPr>
                <w:rFonts w:cs="宋体"/>
                <w:color w:val="auto"/>
                <w:szCs w:val="21"/>
              </w:rPr>
            </w:pPr>
          </w:p>
        </w:tc>
        <w:tc>
          <w:tcPr>
            <w:tcW w:w="687" w:type="pct"/>
            <w:tcBorders>
              <w:top w:val="double" w:color="auto" w:sz="6" w:space="0"/>
            </w:tcBorders>
            <w:vAlign w:val="center"/>
          </w:tcPr>
          <w:p w14:paraId="058133BE">
            <w:pPr>
              <w:keepNext/>
              <w:jc w:val="center"/>
              <w:rPr>
                <w:rFonts w:cs="宋体"/>
                <w:color w:val="auto"/>
                <w:szCs w:val="21"/>
              </w:rPr>
            </w:pPr>
          </w:p>
        </w:tc>
        <w:tc>
          <w:tcPr>
            <w:tcW w:w="802" w:type="pct"/>
            <w:tcBorders>
              <w:top w:val="double" w:color="auto" w:sz="6" w:space="0"/>
            </w:tcBorders>
            <w:vAlign w:val="center"/>
          </w:tcPr>
          <w:p w14:paraId="2B8A0C85">
            <w:pPr>
              <w:keepNext/>
              <w:jc w:val="center"/>
              <w:rPr>
                <w:rFonts w:cs="宋体"/>
                <w:color w:val="auto"/>
                <w:szCs w:val="21"/>
              </w:rPr>
            </w:pPr>
          </w:p>
        </w:tc>
        <w:tc>
          <w:tcPr>
            <w:tcW w:w="922" w:type="pct"/>
            <w:tcBorders>
              <w:top w:val="double" w:color="auto" w:sz="6" w:space="0"/>
            </w:tcBorders>
            <w:vAlign w:val="center"/>
          </w:tcPr>
          <w:p w14:paraId="414E89F3">
            <w:pPr>
              <w:keepNext/>
              <w:jc w:val="center"/>
              <w:rPr>
                <w:rFonts w:cs="宋体"/>
                <w:color w:val="auto"/>
                <w:szCs w:val="21"/>
              </w:rPr>
            </w:pPr>
          </w:p>
        </w:tc>
      </w:tr>
      <w:tr w14:paraId="61356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1A01FAF8">
            <w:pPr>
              <w:keepNext/>
              <w:jc w:val="center"/>
              <w:rPr>
                <w:rFonts w:cs="宋体"/>
                <w:color w:val="auto"/>
                <w:szCs w:val="21"/>
              </w:rPr>
            </w:pPr>
          </w:p>
        </w:tc>
        <w:tc>
          <w:tcPr>
            <w:tcW w:w="706" w:type="pct"/>
            <w:tcBorders>
              <w:top w:val="nil"/>
            </w:tcBorders>
            <w:vAlign w:val="center"/>
          </w:tcPr>
          <w:p w14:paraId="570D4B64">
            <w:pPr>
              <w:keepNext/>
              <w:jc w:val="center"/>
              <w:rPr>
                <w:rFonts w:cs="宋体"/>
                <w:color w:val="auto"/>
                <w:szCs w:val="21"/>
              </w:rPr>
            </w:pPr>
          </w:p>
        </w:tc>
        <w:tc>
          <w:tcPr>
            <w:tcW w:w="802" w:type="pct"/>
            <w:tcBorders>
              <w:top w:val="nil"/>
            </w:tcBorders>
            <w:vAlign w:val="center"/>
          </w:tcPr>
          <w:p w14:paraId="74A6D54D">
            <w:pPr>
              <w:keepNext/>
              <w:jc w:val="center"/>
              <w:rPr>
                <w:rFonts w:cs="宋体"/>
                <w:color w:val="auto"/>
                <w:szCs w:val="21"/>
              </w:rPr>
            </w:pPr>
          </w:p>
        </w:tc>
        <w:tc>
          <w:tcPr>
            <w:tcW w:w="687" w:type="pct"/>
            <w:tcBorders>
              <w:top w:val="nil"/>
            </w:tcBorders>
            <w:vAlign w:val="center"/>
          </w:tcPr>
          <w:p w14:paraId="7787E6F5">
            <w:pPr>
              <w:keepNext/>
              <w:jc w:val="center"/>
              <w:rPr>
                <w:rFonts w:cs="宋体"/>
                <w:color w:val="auto"/>
                <w:szCs w:val="21"/>
              </w:rPr>
            </w:pPr>
          </w:p>
        </w:tc>
        <w:tc>
          <w:tcPr>
            <w:tcW w:w="802" w:type="pct"/>
            <w:tcBorders>
              <w:top w:val="nil"/>
            </w:tcBorders>
            <w:vAlign w:val="center"/>
          </w:tcPr>
          <w:p w14:paraId="3D58EE14">
            <w:pPr>
              <w:keepNext/>
              <w:jc w:val="center"/>
              <w:rPr>
                <w:rFonts w:cs="宋体"/>
                <w:color w:val="auto"/>
                <w:szCs w:val="21"/>
              </w:rPr>
            </w:pPr>
          </w:p>
        </w:tc>
        <w:tc>
          <w:tcPr>
            <w:tcW w:w="922" w:type="pct"/>
            <w:tcBorders>
              <w:top w:val="nil"/>
            </w:tcBorders>
            <w:vAlign w:val="center"/>
          </w:tcPr>
          <w:p w14:paraId="3915600B">
            <w:pPr>
              <w:keepNext/>
              <w:jc w:val="center"/>
              <w:rPr>
                <w:rFonts w:cs="宋体"/>
                <w:color w:val="auto"/>
                <w:szCs w:val="21"/>
              </w:rPr>
            </w:pPr>
          </w:p>
        </w:tc>
      </w:tr>
      <w:tr w14:paraId="33CEE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76E30E9F">
            <w:pPr>
              <w:jc w:val="center"/>
              <w:rPr>
                <w:rFonts w:cs="宋体"/>
                <w:color w:val="auto"/>
                <w:szCs w:val="21"/>
              </w:rPr>
            </w:pPr>
          </w:p>
        </w:tc>
        <w:tc>
          <w:tcPr>
            <w:tcW w:w="706" w:type="pct"/>
            <w:vAlign w:val="center"/>
          </w:tcPr>
          <w:p w14:paraId="1CBC5729">
            <w:pPr>
              <w:jc w:val="center"/>
              <w:rPr>
                <w:rFonts w:cs="宋体"/>
                <w:color w:val="auto"/>
                <w:szCs w:val="21"/>
              </w:rPr>
            </w:pPr>
          </w:p>
        </w:tc>
        <w:tc>
          <w:tcPr>
            <w:tcW w:w="802" w:type="pct"/>
            <w:vAlign w:val="center"/>
          </w:tcPr>
          <w:p w14:paraId="6B186413">
            <w:pPr>
              <w:jc w:val="center"/>
              <w:rPr>
                <w:rFonts w:cs="宋体"/>
                <w:color w:val="auto"/>
                <w:szCs w:val="21"/>
              </w:rPr>
            </w:pPr>
          </w:p>
        </w:tc>
        <w:tc>
          <w:tcPr>
            <w:tcW w:w="687" w:type="pct"/>
            <w:vAlign w:val="center"/>
          </w:tcPr>
          <w:p w14:paraId="20241613">
            <w:pPr>
              <w:jc w:val="center"/>
              <w:rPr>
                <w:rFonts w:cs="宋体"/>
                <w:color w:val="auto"/>
                <w:szCs w:val="21"/>
              </w:rPr>
            </w:pPr>
          </w:p>
        </w:tc>
        <w:tc>
          <w:tcPr>
            <w:tcW w:w="802" w:type="pct"/>
            <w:vAlign w:val="center"/>
          </w:tcPr>
          <w:p w14:paraId="74BF3CFF">
            <w:pPr>
              <w:jc w:val="center"/>
              <w:rPr>
                <w:rFonts w:cs="宋体"/>
                <w:color w:val="auto"/>
                <w:szCs w:val="21"/>
              </w:rPr>
            </w:pPr>
          </w:p>
        </w:tc>
        <w:tc>
          <w:tcPr>
            <w:tcW w:w="922" w:type="pct"/>
            <w:vAlign w:val="center"/>
          </w:tcPr>
          <w:p w14:paraId="7BC6BB3E">
            <w:pPr>
              <w:jc w:val="center"/>
              <w:rPr>
                <w:rFonts w:cs="宋体"/>
                <w:color w:val="auto"/>
                <w:szCs w:val="21"/>
              </w:rPr>
            </w:pPr>
          </w:p>
        </w:tc>
      </w:tr>
      <w:tr w14:paraId="656F3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F626741">
            <w:pPr>
              <w:jc w:val="center"/>
              <w:rPr>
                <w:rFonts w:cs="宋体"/>
                <w:color w:val="auto"/>
                <w:szCs w:val="21"/>
              </w:rPr>
            </w:pPr>
          </w:p>
        </w:tc>
        <w:tc>
          <w:tcPr>
            <w:tcW w:w="706" w:type="pct"/>
            <w:vAlign w:val="center"/>
          </w:tcPr>
          <w:p w14:paraId="459359F8">
            <w:pPr>
              <w:jc w:val="center"/>
              <w:rPr>
                <w:rFonts w:cs="宋体"/>
                <w:color w:val="auto"/>
                <w:szCs w:val="21"/>
              </w:rPr>
            </w:pPr>
          </w:p>
        </w:tc>
        <w:tc>
          <w:tcPr>
            <w:tcW w:w="802" w:type="pct"/>
            <w:vAlign w:val="center"/>
          </w:tcPr>
          <w:p w14:paraId="671D8F64">
            <w:pPr>
              <w:jc w:val="center"/>
              <w:rPr>
                <w:rFonts w:cs="宋体"/>
                <w:color w:val="auto"/>
                <w:szCs w:val="21"/>
              </w:rPr>
            </w:pPr>
          </w:p>
        </w:tc>
        <w:tc>
          <w:tcPr>
            <w:tcW w:w="687" w:type="pct"/>
            <w:vAlign w:val="center"/>
          </w:tcPr>
          <w:p w14:paraId="590D8A57">
            <w:pPr>
              <w:jc w:val="center"/>
              <w:rPr>
                <w:rFonts w:cs="宋体"/>
                <w:color w:val="auto"/>
                <w:szCs w:val="21"/>
              </w:rPr>
            </w:pPr>
          </w:p>
        </w:tc>
        <w:tc>
          <w:tcPr>
            <w:tcW w:w="802" w:type="pct"/>
            <w:vAlign w:val="center"/>
          </w:tcPr>
          <w:p w14:paraId="54BF5503">
            <w:pPr>
              <w:jc w:val="center"/>
              <w:rPr>
                <w:rFonts w:cs="宋体"/>
                <w:color w:val="auto"/>
                <w:szCs w:val="21"/>
              </w:rPr>
            </w:pPr>
          </w:p>
        </w:tc>
        <w:tc>
          <w:tcPr>
            <w:tcW w:w="922" w:type="pct"/>
            <w:vAlign w:val="center"/>
          </w:tcPr>
          <w:p w14:paraId="5987F24D">
            <w:pPr>
              <w:jc w:val="center"/>
              <w:rPr>
                <w:rFonts w:cs="宋体"/>
                <w:color w:val="auto"/>
                <w:szCs w:val="21"/>
              </w:rPr>
            </w:pPr>
          </w:p>
        </w:tc>
      </w:tr>
      <w:tr w14:paraId="37541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6C20C57F">
            <w:pPr>
              <w:jc w:val="center"/>
              <w:rPr>
                <w:rFonts w:cs="宋体"/>
                <w:color w:val="auto"/>
                <w:szCs w:val="21"/>
              </w:rPr>
            </w:pPr>
          </w:p>
        </w:tc>
        <w:tc>
          <w:tcPr>
            <w:tcW w:w="706" w:type="pct"/>
            <w:tcBorders>
              <w:bottom w:val="single" w:color="auto" w:sz="12" w:space="0"/>
            </w:tcBorders>
            <w:vAlign w:val="center"/>
          </w:tcPr>
          <w:p w14:paraId="4CCEBCAD">
            <w:pPr>
              <w:jc w:val="center"/>
              <w:rPr>
                <w:rFonts w:cs="宋体"/>
                <w:color w:val="auto"/>
                <w:szCs w:val="21"/>
              </w:rPr>
            </w:pPr>
          </w:p>
        </w:tc>
        <w:tc>
          <w:tcPr>
            <w:tcW w:w="802" w:type="pct"/>
            <w:tcBorders>
              <w:bottom w:val="single" w:color="auto" w:sz="12" w:space="0"/>
            </w:tcBorders>
            <w:vAlign w:val="center"/>
          </w:tcPr>
          <w:p w14:paraId="40EB2D0B">
            <w:pPr>
              <w:jc w:val="center"/>
              <w:rPr>
                <w:rFonts w:cs="宋体"/>
                <w:color w:val="auto"/>
                <w:szCs w:val="21"/>
              </w:rPr>
            </w:pPr>
          </w:p>
        </w:tc>
        <w:tc>
          <w:tcPr>
            <w:tcW w:w="687" w:type="pct"/>
            <w:tcBorders>
              <w:bottom w:val="single" w:color="auto" w:sz="12" w:space="0"/>
            </w:tcBorders>
            <w:vAlign w:val="center"/>
          </w:tcPr>
          <w:p w14:paraId="5CAE5728">
            <w:pPr>
              <w:jc w:val="center"/>
              <w:rPr>
                <w:rFonts w:cs="宋体"/>
                <w:color w:val="auto"/>
                <w:szCs w:val="21"/>
              </w:rPr>
            </w:pPr>
          </w:p>
        </w:tc>
        <w:tc>
          <w:tcPr>
            <w:tcW w:w="802" w:type="pct"/>
            <w:tcBorders>
              <w:bottom w:val="single" w:color="auto" w:sz="12" w:space="0"/>
            </w:tcBorders>
            <w:vAlign w:val="center"/>
          </w:tcPr>
          <w:p w14:paraId="2F19DC19">
            <w:pPr>
              <w:jc w:val="center"/>
              <w:rPr>
                <w:rFonts w:cs="宋体"/>
                <w:color w:val="auto"/>
                <w:szCs w:val="21"/>
              </w:rPr>
            </w:pPr>
          </w:p>
        </w:tc>
        <w:tc>
          <w:tcPr>
            <w:tcW w:w="922" w:type="pct"/>
            <w:tcBorders>
              <w:bottom w:val="single" w:color="auto" w:sz="12" w:space="0"/>
            </w:tcBorders>
            <w:vAlign w:val="center"/>
          </w:tcPr>
          <w:p w14:paraId="53AB2573">
            <w:pPr>
              <w:jc w:val="center"/>
              <w:rPr>
                <w:rFonts w:cs="宋体"/>
                <w:color w:val="auto"/>
                <w:szCs w:val="21"/>
              </w:rPr>
            </w:pPr>
          </w:p>
        </w:tc>
      </w:tr>
    </w:tbl>
    <w:p w14:paraId="0D4EAC5D">
      <w:pPr>
        <w:spacing w:before="312" w:beforeLines="100" w:after="312" w:afterLines="100"/>
        <w:outlineLvl w:val="2"/>
        <w:rPr>
          <w:rFonts w:hint="eastAsia" w:ascii="Times New Roman" w:eastAsia="黑体"/>
          <w:color w:val="auto"/>
          <w:szCs w:val="24"/>
        </w:rPr>
      </w:pPr>
      <w:bookmarkStart w:id="1125" w:name="_Toc128950240"/>
    </w:p>
    <w:p w14:paraId="291CDDD0">
      <w:pPr>
        <w:spacing w:before="312" w:beforeLines="100" w:after="312" w:afterLines="100"/>
        <w:outlineLvl w:val="2"/>
        <w:rPr>
          <w:rFonts w:hint="eastAsia" w:ascii="Times New Roman" w:eastAsia="黑体"/>
          <w:color w:val="auto"/>
          <w:szCs w:val="24"/>
        </w:rPr>
      </w:pPr>
    </w:p>
    <w:p w14:paraId="4FFC7627">
      <w:pPr>
        <w:spacing w:before="312" w:beforeLines="100" w:after="312" w:afterLines="100"/>
        <w:outlineLvl w:val="2"/>
        <w:rPr>
          <w:rFonts w:hint="eastAsia" w:ascii="Times New Roman" w:eastAsia="黑体"/>
          <w:color w:val="auto"/>
          <w:szCs w:val="24"/>
        </w:rPr>
      </w:pPr>
    </w:p>
    <w:p w14:paraId="2DE9EB90">
      <w:pPr>
        <w:spacing w:before="312" w:beforeLines="100" w:after="312" w:afterLines="100"/>
        <w:outlineLvl w:val="2"/>
        <w:rPr>
          <w:rFonts w:hint="eastAsia" w:ascii="Times New Roman" w:eastAsia="黑体"/>
          <w:color w:val="auto"/>
          <w:szCs w:val="24"/>
        </w:rPr>
      </w:pPr>
    </w:p>
    <w:p w14:paraId="29B082D2">
      <w:pPr>
        <w:spacing w:before="312" w:beforeLines="100" w:after="312" w:afterLines="100"/>
        <w:outlineLvl w:val="2"/>
        <w:rPr>
          <w:rFonts w:hint="eastAsia" w:ascii="Times New Roman" w:eastAsia="黑体"/>
          <w:color w:val="auto"/>
          <w:szCs w:val="24"/>
        </w:rPr>
      </w:pPr>
    </w:p>
    <w:p w14:paraId="360B83FA">
      <w:pPr>
        <w:spacing w:before="312" w:beforeLines="100" w:after="312" w:afterLines="100"/>
        <w:outlineLvl w:val="2"/>
        <w:rPr>
          <w:rFonts w:ascii="Times New Roman" w:eastAsia="黑体"/>
          <w:color w:val="auto"/>
          <w:szCs w:val="24"/>
        </w:rPr>
      </w:pPr>
      <w:r>
        <w:rPr>
          <w:rFonts w:hint="eastAsia" w:ascii="Times New Roman" w:eastAsia="黑体"/>
          <w:color w:val="auto"/>
          <w:szCs w:val="24"/>
        </w:rPr>
        <w:t>附</w:t>
      </w:r>
      <w:bookmarkStart w:id="1126" w:name="_Toc267261698"/>
      <w:bookmarkStart w:id="1127" w:name="_Toc296347226"/>
      <w:bookmarkStart w:id="1128" w:name="_Toc296891267"/>
      <w:bookmarkStart w:id="1129" w:name="_Toc296346728"/>
      <w:bookmarkStart w:id="1130" w:name="_Toc296944566"/>
      <w:bookmarkStart w:id="1131" w:name="_Toc296891055"/>
      <w:bookmarkStart w:id="1132" w:name="_Toc296503227"/>
      <w:r>
        <w:rPr>
          <w:rFonts w:hint="eastAsia" w:ascii="Times New Roman" w:eastAsia="黑体"/>
          <w:color w:val="auto"/>
          <w:szCs w:val="24"/>
        </w:rPr>
        <w:t>件</w:t>
      </w:r>
      <w:r>
        <w:rPr>
          <w:rFonts w:ascii="Times New Roman" w:eastAsia="黑体"/>
          <w:color w:val="auto"/>
          <w:szCs w:val="24"/>
        </w:rPr>
        <w:t>5</w:t>
      </w:r>
      <w:r>
        <w:rPr>
          <w:rFonts w:hint="eastAsia" w:ascii="Times New Roman" w:eastAsia="黑体"/>
          <w:color w:val="auto"/>
          <w:szCs w:val="24"/>
        </w:rPr>
        <w:t>：承包人用于本工程施工的机械设备表</w:t>
      </w:r>
      <w:bookmarkEnd w:id="1125"/>
    </w:p>
    <w:bookmarkEnd w:id="1126"/>
    <w:bookmarkEnd w:id="1127"/>
    <w:bookmarkEnd w:id="1128"/>
    <w:bookmarkEnd w:id="1129"/>
    <w:bookmarkEnd w:id="1130"/>
    <w:bookmarkEnd w:id="1131"/>
    <w:bookmarkEnd w:id="1132"/>
    <w:p w14:paraId="4E6138BA">
      <w:pPr>
        <w:spacing w:before="156" w:beforeLines="50" w:after="156" w:afterLines="50"/>
        <w:jc w:val="center"/>
        <w:rPr>
          <w:rFonts w:cs="宋体"/>
          <w:color w:val="auto"/>
          <w:szCs w:val="21"/>
        </w:rPr>
      </w:pPr>
      <w:r>
        <w:rPr>
          <w:rFonts w:hint="eastAsia" w:cs="宋体"/>
          <w:color w:val="auto"/>
          <w:szCs w:val="21"/>
        </w:rPr>
        <w:t>承包人用于本工程施工的机械设备表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30"/>
        <w:gridCol w:w="1551"/>
        <w:gridCol w:w="1002"/>
        <w:gridCol w:w="544"/>
        <w:gridCol w:w="693"/>
        <w:gridCol w:w="952"/>
        <w:gridCol w:w="1470"/>
        <w:gridCol w:w="1011"/>
        <w:gridCol w:w="923"/>
      </w:tblGrid>
      <w:tr w14:paraId="05050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1" w:type="pct"/>
            <w:tcBorders>
              <w:top w:val="single" w:color="auto" w:sz="12" w:space="0"/>
              <w:bottom w:val="double" w:color="auto" w:sz="6" w:space="0"/>
            </w:tcBorders>
            <w:vAlign w:val="center"/>
          </w:tcPr>
          <w:p w14:paraId="7433ADC6">
            <w:pPr>
              <w:keepNext/>
              <w:jc w:val="center"/>
              <w:rPr>
                <w:rFonts w:cs="宋体"/>
                <w:color w:val="auto"/>
                <w:szCs w:val="21"/>
              </w:rPr>
            </w:pPr>
            <w:r>
              <w:rPr>
                <w:rFonts w:hint="eastAsia" w:cs="宋体"/>
                <w:color w:val="auto"/>
                <w:szCs w:val="21"/>
              </w:rPr>
              <w:t>序号</w:t>
            </w:r>
          </w:p>
        </w:tc>
        <w:tc>
          <w:tcPr>
            <w:tcW w:w="873" w:type="pct"/>
            <w:tcBorders>
              <w:top w:val="single" w:color="auto" w:sz="12" w:space="0"/>
              <w:bottom w:val="double" w:color="auto" w:sz="6" w:space="0"/>
            </w:tcBorders>
            <w:vAlign w:val="center"/>
          </w:tcPr>
          <w:p w14:paraId="4570CE4D">
            <w:pPr>
              <w:keepNext/>
              <w:jc w:val="center"/>
              <w:rPr>
                <w:rFonts w:cs="宋体"/>
                <w:color w:val="auto"/>
                <w:szCs w:val="21"/>
              </w:rPr>
            </w:pPr>
            <w:r>
              <w:rPr>
                <w:rFonts w:hint="eastAsia" w:cs="宋体"/>
                <w:color w:val="auto"/>
                <w:szCs w:val="21"/>
              </w:rPr>
              <w:t>机械或设备名称</w:t>
            </w:r>
          </w:p>
        </w:tc>
        <w:tc>
          <w:tcPr>
            <w:tcW w:w="564" w:type="pct"/>
            <w:tcBorders>
              <w:top w:val="single" w:color="auto" w:sz="12" w:space="0"/>
              <w:bottom w:val="double" w:color="auto" w:sz="6" w:space="0"/>
            </w:tcBorders>
            <w:vAlign w:val="center"/>
          </w:tcPr>
          <w:p w14:paraId="3555519E">
            <w:pPr>
              <w:keepNext/>
              <w:jc w:val="center"/>
              <w:rPr>
                <w:rFonts w:cs="宋体"/>
                <w:color w:val="auto"/>
                <w:szCs w:val="21"/>
              </w:rPr>
            </w:pPr>
            <w:r>
              <w:rPr>
                <w:rFonts w:hint="eastAsia" w:cs="宋体"/>
                <w:color w:val="auto"/>
                <w:szCs w:val="21"/>
              </w:rPr>
              <w:t>规格型号</w:t>
            </w:r>
          </w:p>
        </w:tc>
        <w:tc>
          <w:tcPr>
            <w:tcW w:w="306" w:type="pct"/>
            <w:tcBorders>
              <w:top w:val="single" w:color="auto" w:sz="12" w:space="0"/>
              <w:bottom w:val="double" w:color="auto" w:sz="6" w:space="0"/>
            </w:tcBorders>
            <w:vAlign w:val="center"/>
          </w:tcPr>
          <w:p w14:paraId="1B33B23F">
            <w:pPr>
              <w:keepNext/>
              <w:jc w:val="center"/>
              <w:rPr>
                <w:rFonts w:cs="宋体"/>
                <w:color w:val="auto"/>
                <w:szCs w:val="21"/>
              </w:rPr>
            </w:pPr>
            <w:r>
              <w:rPr>
                <w:rFonts w:hint="eastAsia" w:cs="宋体"/>
                <w:color w:val="auto"/>
                <w:szCs w:val="21"/>
              </w:rPr>
              <w:t>数量</w:t>
            </w:r>
          </w:p>
        </w:tc>
        <w:tc>
          <w:tcPr>
            <w:tcW w:w="390" w:type="pct"/>
            <w:tcBorders>
              <w:top w:val="single" w:color="auto" w:sz="12" w:space="0"/>
              <w:bottom w:val="double" w:color="auto" w:sz="6" w:space="0"/>
            </w:tcBorders>
            <w:vAlign w:val="center"/>
          </w:tcPr>
          <w:p w14:paraId="4E14CEC2">
            <w:pPr>
              <w:keepNext/>
              <w:jc w:val="center"/>
              <w:rPr>
                <w:rFonts w:cs="宋体"/>
                <w:color w:val="auto"/>
                <w:szCs w:val="21"/>
              </w:rPr>
            </w:pPr>
            <w:r>
              <w:rPr>
                <w:rFonts w:hint="eastAsia" w:cs="宋体"/>
                <w:color w:val="auto"/>
                <w:szCs w:val="21"/>
              </w:rPr>
              <w:t>产地</w:t>
            </w:r>
          </w:p>
        </w:tc>
        <w:tc>
          <w:tcPr>
            <w:tcW w:w="536" w:type="pct"/>
            <w:tcBorders>
              <w:top w:val="single" w:color="auto" w:sz="12" w:space="0"/>
              <w:bottom w:val="double" w:color="auto" w:sz="6" w:space="0"/>
            </w:tcBorders>
            <w:vAlign w:val="center"/>
          </w:tcPr>
          <w:p w14:paraId="0EEA90F2">
            <w:pPr>
              <w:keepNext/>
              <w:jc w:val="center"/>
              <w:rPr>
                <w:rFonts w:cs="宋体"/>
                <w:color w:val="auto"/>
                <w:szCs w:val="21"/>
              </w:rPr>
            </w:pPr>
            <w:r>
              <w:rPr>
                <w:rFonts w:hint="eastAsia" w:cs="宋体"/>
                <w:color w:val="auto"/>
                <w:szCs w:val="21"/>
              </w:rPr>
              <w:t>制造年份</w:t>
            </w:r>
          </w:p>
        </w:tc>
        <w:tc>
          <w:tcPr>
            <w:tcW w:w="827" w:type="pct"/>
            <w:tcBorders>
              <w:top w:val="single" w:color="auto" w:sz="12" w:space="0"/>
              <w:bottom w:val="double" w:color="auto" w:sz="6" w:space="0"/>
            </w:tcBorders>
            <w:vAlign w:val="center"/>
          </w:tcPr>
          <w:p w14:paraId="623F260E">
            <w:pPr>
              <w:keepNext/>
              <w:jc w:val="center"/>
              <w:rPr>
                <w:rFonts w:cs="宋体"/>
                <w:color w:val="auto"/>
                <w:szCs w:val="21"/>
              </w:rPr>
            </w:pPr>
            <w:r>
              <w:rPr>
                <w:rFonts w:hint="eastAsia" w:cs="宋体"/>
                <w:color w:val="auto"/>
                <w:szCs w:val="21"/>
              </w:rPr>
              <w:t>额定功率（kW</w:t>
            </w:r>
            <w:r>
              <w:rPr>
                <w:rFonts w:hint="eastAsia" w:cs="宋体"/>
                <w:color w:val="auto"/>
                <w:szCs w:val="21"/>
                <w:lang w:eastAsia="zh-CN"/>
              </w:rPr>
              <w:t>）</w:t>
            </w:r>
          </w:p>
        </w:tc>
        <w:tc>
          <w:tcPr>
            <w:tcW w:w="569" w:type="pct"/>
            <w:tcBorders>
              <w:top w:val="single" w:color="auto" w:sz="12" w:space="0"/>
              <w:bottom w:val="double" w:color="auto" w:sz="6" w:space="0"/>
            </w:tcBorders>
            <w:vAlign w:val="center"/>
          </w:tcPr>
          <w:p w14:paraId="7870C0F0">
            <w:pPr>
              <w:keepNext/>
              <w:jc w:val="center"/>
              <w:rPr>
                <w:rFonts w:cs="宋体"/>
                <w:color w:val="auto"/>
                <w:szCs w:val="21"/>
              </w:rPr>
            </w:pPr>
            <w:r>
              <w:rPr>
                <w:rFonts w:hint="eastAsia" w:cs="宋体"/>
                <w:color w:val="auto"/>
                <w:szCs w:val="21"/>
              </w:rPr>
              <w:t>生产能力</w:t>
            </w:r>
          </w:p>
        </w:tc>
        <w:tc>
          <w:tcPr>
            <w:tcW w:w="519" w:type="pct"/>
            <w:tcBorders>
              <w:top w:val="single" w:color="auto" w:sz="12" w:space="0"/>
              <w:bottom w:val="double" w:color="auto" w:sz="6" w:space="0"/>
            </w:tcBorders>
            <w:vAlign w:val="center"/>
          </w:tcPr>
          <w:p w14:paraId="04370C41">
            <w:pPr>
              <w:keepNext/>
              <w:jc w:val="center"/>
              <w:rPr>
                <w:rFonts w:cs="宋体"/>
                <w:color w:val="auto"/>
                <w:szCs w:val="21"/>
              </w:rPr>
            </w:pPr>
            <w:r>
              <w:rPr>
                <w:rFonts w:hint="eastAsia" w:cs="宋体"/>
                <w:color w:val="auto"/>
                <w:szCs w:val="21"/>
              </w:rPr>
              <w:t>备注</w:t>
            </w:r>
          </w:p>
        </w:tc>
      </w:tr>
      <w:tr w14:paraId="3D886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1" w:type="pct"/>
            <w:tcBorders>
              <w:top w:val="double" w:color="auto" w:sz="6" w:space="0"/>
            </w:tcBorders>
            <w:vAlign w:val="center"/>
          </w:tcPr>
          <w:p w14:paraId="1435BFC4">
            <w:pPr>
              <w:keepNext/>
              <w:jc w:val="center"/>
              <w:rPr>
                <w:rFonts w:cs="宋体"/>
                <w:color w:val="auto"/>
                <w:szCs w:val="21"/>
              </w:rPr>
            </w:pPr>
          </w:p>
        </w:tc>
        <w:tc>
          <w:tcPr>
            <w:tcW w:w="873" w:type="pct"/>
            <w:tcBorders>
              <w:top w:val="double" w:color="auto" w:sz="6" w:space="0"/>
            </w:tcBorders>
            <w:vAlign w:val="center"/>
          </w:tcPr>
          <w:p w14:paraId="74B82ADE">
            <w:pPr>
              <w:keepNext/>
              <w:jc w:val="center"/>
              <w:rPr>
                <w:rFonts w:cs="宋体"/>
                <w:color w:val="auto"/>
                <w:szCs w:val="21"/>
              </w:rPr>
            </w:pPr>
          </w:p>
        </w:tc>
        <w:tc>
          <w:tcPr>
            <w:tcW w:w="564" w:type="pct"/>
            <w:tcBorders>
              <w:top w:val="double" w:color="auto" w:sz="6" w:space="0"/>
            </w:tcBorders>
            <w:vAlign w:val="center"/>
          </w:tcPr>
          <w:p w14:paraId="46F210DD">
            <w:pPr>
              <w:keepNext/>
              <w:jc w:val="center"/>
              <w:rPr>
                <w:rFonts w:cs="宋体"/>
                <w:color w:val="auto"/>
                <w:szCs w:val="21"/>
              </w:rPr>
            </w:pPr>
          </w:p>
        </w:tc>
        <w:tc>
          <w:tcPr>
            <w:tcW w:w="306" w:type="pct"/>
            <w:tcBorders>
              <w:top w:val="double" w:color="auto" w:sz="6" w:space="0"/>
            </w:tcBorders>
            <w:vAlign w:val="center"/>
          </w:tcPr>
          <w:p w14:paraId="5D6D9120">
            <w:pPr>
              <w:keepNext/>
              <w:jc w:val="center"/>
              <w:rPr>
                <w:rFonts w:cs="宋体"/>
                <w:color w:val="auto"/>
                <w:szCs w:val="21"/>
              </w:rPr>
            </w:pPr>
          </w:p>
        </w:tc>
        <w:tc>
          <w:tcPr>
            <w:tcW w:w="390" w:type="pct"/>
            <w:tcBorders>
              <w:top w:val="double" w:color="auto" w:sz="6" w:space="0"/>
            </w:tcBorders>
            <w:vAlign w:val="center"/>
          </w:tcPr>
          <w:p w14:paraId="26D8C7D6">
            <w:pPr>
              <w:keepNext/>
              <w:jc w:val="center"/>
              <w:rPr>
                <w:rFonts w:cs="宋体"/>
                <w:color w:val="auto"/>
                <w:szCs w:val="21"/>
              </w:rPr>
            </w:pPr>
          </w:p>
        </w:tc>
        <w:tc>
          <w:tcPr>
            <w:tcW w:w="536" w:type="pct"/>
            <w:tcBorders>
              <w:top w:val="double" w:color="auto" w:sz="6" w:space="0"/>
            </w:tcBorders>
            <w:vAlign w:val="center"/>
          </w:tcPr>
          <w:p w14:paraId="3C62C0E7">
            <w:pPr>
              <w:keepNext/>
              <w:jc w:val="center"/>
              <w:rPr>
                <w:rFonts w:cs="宋体"/>
                <w:color w:val="auto"/>
                <w:szCs w:val="21"/>
              </w:rPr>
            </w:pPr>
          </w:p>
        </w:tc>
        <w:tc>
          <w:tcPr>
            <w:tcW w:w="827" w:type="pct"/>
            <w:tcBorders>
              <w:top w:val="double" w:color="auto" w:sz="6" w:space="0"/>
            </w:tcBorders>
            <w:vAlign w:val="center"/>
          </w:tcPr>
          <w:p w14:paraId="187CE5E9">
            <w:pPr>
              <w:keepNext/>
              <w:jc w:val="center"/>
              <w:rPr>
                <w:rFonts w:cs="宋体"/>
                <w:color w:val="auto"/>
                <w:szCs w:val="21"/>
              </w:rPr>
            </w:pPr>
          </w:p>
        </w:tc>
        <w:tc>
          <w:tcPr>
            <w:tcW w:w="569" w:type="pct"/>
            <w:tcBorders>
              <w:top w:val="double" w:color="auto" w:sz="6" w:space="0"/>
            </w:tcBorders>
            <w:vAlign w:val="center"/>
          </w:tcPr>
          <w:p w14:paraId="593BA321">
            <w:pPr>
              <w:keepNext/>
              <w:jc w:val="center"/>
              <w:rPr>
                <w:rFonts w:cs="宋体"/>
                <w:color w:val="auto"/>
                <w:szCs w:val="21"/>
              </w:rPr>
            </w:pPr>
          </w:p>
        </w:tc>
        <w:tc>
          <w:tcPr>
            <w:tcW w:w="519" w:type="pct"/>
            <w:tcBorders>
              <w:top w:val="double" w:color="auto" w:sz="6" w:space="0"/>
            </w:tcBorders>
            <w:vAlign w:val="center"/>
          </w:tcPr>
          <w:p w14:paraId="3086E0B7">
            <w:pPr>
              <w:keepNext/>
              <w:jc w:val="center"/>
              <w:rPr>
                <w:rFonts w:cs="宋体"/>
                <w:color w:val="auto"/>
                <w:szCs w:val="21"/>
              </w:rPr>
            </w:pPr>
          </w:p>
        </w:tc>
      </w:tr>
      <w:tr w14:paraId="1C56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1" w:type="pct"/>
            <w:tcBorders>
              <w:top w:val="nil"/>
            </w:tcBorders>
            <w:vAlign w:val="center"/>
          </w:tcPr>
          <w:p w14:paraId="5664B286">
            <w:pPr>
              <w:keepNext/>
              <w:jc w:val="center"/>
              <w:rPr>
                <w:rFonts w:cs="宋体"/>
                <w:color w:val="auto"/>
                <w:szCs w:val="21"/>
              </w:rPr>
            </w:pPr>
          </w:p>
        </w:tc>
        <w:tc>
          <w:tcPr>
            <w:tcW w:w="873" w:type="pct"/>
            <w:tcBorders>
              <w:top w:val="nil"/>
            </w:tcBorders>
            <w:vAlign w:val="center"/>
          </w:tcPr>
          <w:p w14:paraId="1A8C7876">
            <w:pPr>
              <w:keepNext/>
              <w:jc w:val="center"/>
              <w:rPr>
                <w:rFonts w:cs="宋体"/>
                <w:color w:val="auto"/>
                <w:szCs w:val="21"/>
              </w:rPr>
            </w:pPr>
          </w:p>
        </w:tc>
        <w:tc>
          <w:tcPr>
            <w:tcW w:w="564" w:type="pct"/>
            <w:tcBorders>
              <w:top w:val="nil"/>
            </w:tcBorders>
            <w:vAlign w:val="center"/>
          </w:tcPr>
          <w:p w14:paraId="603065CA">
            <w:pPr>
              <w:keepNext/>
              <w:jc w:val="center"/>
              <w:rPr>
                <w:rFonts w:cs="宋体"/>
                <w:color w:val="auto"/>
                <w:szCs w:val="21"/>
              </w:rPr>
            </w:pPr>
          </w:p>
        </w:tc>
        <w:tc>
          <w:tcPr>
            <w:tcW w:w="306" w:type="pct"/>
            <w:tcBorders>
              <w:top w:val="nil"/>
            </w:tcBorders>
            <w:vAlign w:val="center"/>
          </w:tcPr>
          <w:p w14:paraId="45C3483F">
            <w:pPr>
              <w:keepNext/>
              <w:jc w:val="center"/>
              <w:rPr>
                <w:rFonts w:cs="宋体"/>
                <w:color w:val="auto"/>
                <w:szCs w:val="21"/>
              </w:rPr>
            </w:pPr>
          </w:p>
        </w:tc>
        <w:tc>
          <w:tcPr>
            <w:tcW w:w="390" w:type="pct"/>
            <w:tcBorders>
              <w:top w:val="nil"/>
            </w:tcBorders>
            <w:vAlign w:val="center"/>
          </w:tcPr>
          <w:p w14:paraId="75476A46">
            <w:pPr>
              <w:keepNext/>
              <w:jc w:val="center"/>
              <w:rPr>
                <w:rFonts w:cs="宋体"/>
                <w:color w:val="auto"/>
                <w:szCs w:val="21"/>
              </w:rPr>
            </w:pPr>
          </w:p>
        </w:tc>
        <w:tc>
          <w:tcPr>
            <w:tcW w:w="536" w:type="pct"/>
            <w:tcBorders>
              <w:top w:val="nil"/>
            </w:tcBorders>
            <w:vAlign w:val="center"/>
          </w:tcPr>
          <w:p w14:paraId="617E8111">
            <w:pPr>
              <w:keepNext/>
              <w:jc w:val="center"/>
              <w:rPr>
                <w:rFonts w:cs="宋体"/>
                <w:color w:val="auto"/>
                <w:szCs w:val="21"/>
              </w:rPr>
            </w:pPr>
          </w:p>
        </w:tc>
        <w:tc>
          <w:tcPr>
            <w:tcW w:w="827" w:type="pct"/>
            <w:tcBorders>
              <w:top w:val="nil"/>
            </w:tcBorders>
            <w:vAlign w:val="center"/>
          </w:tcPr>
          <w:p w14:paraId="35C9E718">
            <w:pPr>
              <w:keepNext/>
              <w:jc w:val="center"/>
              <w:rPr>
                <w:rFonts w:cs="宋体"/>
                <w:color w:val="auto"/>
                <w:szCs w:val="21"/>
              </w:rPr>
            </w:pPr>
          </w:p>
        </w:tc>
        <w:tc>
          <w:tcPr>
            <w:tcW w:w="569" w:type="pct"/>
            <w:tcBorders>
              <w:top w:val="nil"/>
            </w:tcBorders>
            <w:vAlign w:val="center"/>
          </w:tcPr>
          <w:p w14:paraId="1B87938C">
            <w:pPr>
              <w:keepNext/>
              <w:jc w:val="center"/>
              <w:rPr>
                <w:rFonts w:cs="宋体"/>
                <w:color w:val="auto"/>
                <w:szCs w:val="21"/>
              </w:rPr>
            </w:pPr>
          </w:p>
        </w:tc>
        <w:tc>
          <w:tcPr>
            <w:tcW w:w="519" w:type="pct"/>
            <w:tcBorders>
              <w:top w:val="nil"/>
            </w:tcBorders>
            <w:vAlign w:val="center"/>
          </w:tcPr>
          <w:p w14:paraId="5C7344AE">
            <w:pPr>
              <w:keepNext/>
              <w:jc w:val="center"/>
              <w:rPr>
                <w:rFonts w:cs="宋体"/>
                <w:color w:val="auto"/>
                <w:szCs w:val="21"/>
              </w:rPr>
            </w:pPr>
          </w:p>
        </w:tc>
      </w:tr>
      <w:tr w14:paraId="1D6E7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1" w:type="pct"/>
            <w:vAlign w:val="center"/>
          </w:tcPr>
          <w:p w14:paraId="68B49FF7">
            <w:pPr>
              <w:jc w:val="center"/>
              <w:rPr>
                <w:rFonts w:cs="宋体"/>
                <w:color w:val="auto"/>
                <w:szCs w:val="21"/>
              </w:rPr>
            </w:pPr>
          </w:p>
        </w:tc>
        <w:tc>
          <w:tcPr>
            <w:tcW w:w="873" w:type="pct"/>
            <w:vAlign w:val="center"/>
          </w:tcPr>
          <w:p w14:paraId="3D759A9E">
            <w:pPr>
              <w:jc w:val="center"/>
              <w:rPr>
                <w:rFonts w:cs="宋体"/>
                <w:color w:val="auto"/>
                <w:szCs w:val="21"/>
              </w:rPr>
            </w:pPr>
          </w:p>
        </w:tc>
        <w:tc>
          <w:tcPr>
            <w:tcW w:w="564" w:type="pct"/>
            <w:vAlign w:val="center"/>
          </w:tcPr>
          <w:p w14:paraId="75D8016D">
            <w:pPr>
              <w:jc w:val="center"/>
              <w:rPr>
                <w:rFonts w:cs="宋体"/>
                <w:color w:val="auto"/>
                <w:szCs w:val="21"/>
              </w:rPr>
            </w:pPr>
          </w:p>
        </w:tc>
        <w:tc>
          <w:tcPr>
            <w:tcW w:w="306" w:type="pct"/>
            <w:vAlign w:val="center"/>
          </w:tcPr>
          <w:p w14:paraId="2B02DBAE">
            <w:pPr>
              <w:jc w:val="center"/>
              <w:rPr>
                <w:rFonts w:cs="宋体"/>
                <w:color w:val="auto"/>
                <w:szCs w:val="21"/>
              </w:rPr>
            </w:pPr>
          </w:p>
        </w:tc>
        <w:tc>
          <w:tcPr>
            <w:tcW w:w="390" w:type="pct"/>
            <w:vAlign w:val="center"/>
          </w:tcPr>
          <w:p w14:paraId="4DE06838">
            <w:pPr>
              <w:jc w:val="center"/>
              <w:rPr>
                <w:rFonts w:cs="宋体"/>
                <w:color w:val="auto"/>
                <w:szCs w:val="21"/>
              </w:rPr>
            </w:pPr>
          </w:p>
        </w:tc>
        <w:tc>
          <w:tcPr>
            <w:tcW w:w="536" w:type="pct"/>
            <w:vAlign w:val="center"/>
          </w:tcPr>
          <w:p w14:paraId="3E6A529C">
            <w:pPr>
              <w:jc w:val="center"/>
              <w:rPr>
                <w:rFonts w:cs="宋体"/>
                <w:color w:val="auto"/>
                <w:szCs w:val="21"/>
              </w:rPr>
            </w:pPr>
          </w:p>
        </w:tc>
        <w:tc>
          <w:tcPr>
            <w:tcW w:w="827" w:type="pct"/>
            <w:vAlign w:val="center"/>
          </w:tcPr>
          <w:p w14:paraId="236B1984">
            <w:pPr>
              <w:jc w:val="center"/>
              <w:rPr>
                <w:rFonts w:cs="宋体"/>
                <w:color w:val="auto"/>
                <w:szCs w:val="21"/>
              </w:rPr>
            </w:pPr>
          </w:p>
        </w:tc>
        <w:tc>
          <w:tcPr>
            <w:tcW w:w="569" w:type="pct"/>
            <w:vAlign w:val="center"/>
          </w:tcPr>
          <w:p w14:paraId="49C3CE0E">
            <w:pPr>
              <w:jc w:val="center"/>
              <w:rPr>
                <w:rFonts w:cs="宋体"/>
                <w:color w:val="auto"/>
                <w:szCs w:val="21"/>
              </w:rPr>
            </w:pPr>
          </w:p>
        </w:tc>
        <w:tc>
          <w:tcPr>
            <w:tcW w:w="519" w:type="pct"/>
            <w:vAlign w:val="center"/>
          </w:tcPr>
          <w:p w14:paraId="3150B45B">
            <w:pPr>
              <w:jc w:val="center"/>
              <w:rPr>
                <w:rFonts w:cs="宋体"/>
                <w:color w:val="auto"/>
                <w:szCs w:val="21"/>
              </w:rPr>
            </w:pPr>
          </w:p>
        </w:tc>
      </w:tr>
      <w:tr w14:paraId="2DE73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1" w:type="pct"/>
            <w:vAlign w:val="center"/>
          </w:tcPr>
          <w:p w14:paraId="78EC79C3">
            <w:pPr>
              <w:jc w:val="center"/>
              <w:rPr>
                <w:rFonts w:cs="宋体"/>
                <w:color w:val="auto"/>
                <w:szCs w:val="21"/>
              </w:rPr>
            </w:pPr>
          </w:p>
        </w:tc>
        <w:tc>
          <w:tcPr>
            <w:tcW w:w="873" w:type="pct"/>
            <w:vAlign w:val="center"/>
          </w:tcPr>
          <w:p w14:paraId="56A62C22">
            <w:pPr>
              <w:jc w:val="center"/>
              <w:rPr>
                <w:rFonts w:cs="宋体"/>
                <w:color w:val="auto"/>
                <w:szCs w:val="21"/>
              </w:rPr>
            </w:pPr>
          </w:p>
        </w:tc>
        <w:tc>
          <w:tcPr>
            <w:tcW w:w="564" w:type="pct"/>
            <w:vAlign w:val="center"/>
          </w:tcPr>
          <w:p w14:paraId="45337585">
            <w:pPr>
              <w:jc w:val="center"/>
              <w:rPr>
                <w:rFonts w:cs="宋体"/>
                <w:color w:val="auto"/>
                <w:szCs w:val="21"/>
              </w:rPr>
            </w:pPr>
          </w:p>
        </w:tc>
        <w:tc>
          <w:tcPr>
            <w:tcW w:w="306" w:type="pct"/>
            <w:vAlign w:val="center"/>
          </w:tcPr>
          <w:p w14:paraId="7BEA7C68">
            <w:pPr>
              <w:jc w:val="center"/>
              <w:rPr>
                <w:rFonts w:cs="宋体"/>
                <w:color w:val="auto"/>
                <w:szCs w:val="21"/>
              </w:rPr>
            </w:pPr>
          </w:p>
        </w:tc>
        <w:tc>
          <w:tcPr>
            <w:tcW w:w="390" w:type="pct"/>
            <w:vAlign w:val="center"/>
          </w:tcPr>
          <w:p w14:paraId="6CC736E2">
            <w:pPr>
              <w:jc w:val="center"/>
              <w:rPr>
                <w:rFonts w:cs="宋体"/>
                <w:color w:val="auto"/>
                <w:szCs w:val="21"/>
              </w:rPr>
            </w:pPr>
          </w:p>
        </w:tc>
        <w:tc>
          <w:tcPr>
            <w:tcW w:w="536" w:type="pct"/>
            <w:vAlign w:val="center"/>
          </w:tcPr>
          <w:p w14:paraId="6881961F">
            <w:pPr>
              <w:jc w:val="center"/>
              <w:rPr>
                <w:rFonts w:cs="宋体"/>
                <w:color w:val="auto"/>
                <w:szCs w:val="21"/>
              </w:rPr>
            </w:pPr>
          </w:p>
        </w:tc>
        <w:tc>
          <w:tcPr>
            <w:tcW w:w="827" w:type="pct"/>
            <w:vAlign w:val="center"/>
          </w:tcPr>
          <w:p w14:paraId="35E5253F">
            <w:pPr>
              <w:jc w:val="center"/>
              <w:rPr>
                <w:rFonts w:cs="宋体"/>
                <w:color w:val="auto"/>
                <w:szCs w:val="21"/>
              </w:rPr>
            </w:pPr>
          </w:p>
        </w:tc>
        <w:tc>
          <w:tcPr>
            <w:tcW w:w="569" w:type="pct"/>
            <w:vAlign w:val="center"/>
          </w:tcPr>
          <w:p w14:paraId="70E7C135">
            <w:pPr>
              <w:jc w:val="center"/>
              <w:rPr>
                <w:rFonts w:cs="宋体"/>
                <w:color w:val="auto"/>
                <w:szCs w:val="21"/>
              </w:rPr>
            </w:pPr>
          </w:p>
        </w:tc>
        <w:tc>
          <w:tcPr>
            <w:tcW w:w="519" w:type="pct"/>
            <w:vAlign w:val="center"/>
          </w:tcPr>
          <w:p w14:paraId="0C31D359">
            <w:pPr>
              <w:jc w:val="center"/>
              <w:rPr>
                <w:rFonts w:cs="宋体"/>
                <w:color w:val="auto"/>
                <w:szCs w:val="21"/>
              </w:rPr>
            </w:pPr>
          </w:p>
        </w:tc>
      </w:tr>
      <w:tr w14:paraId="3C9AE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1" w:type="pct"/>
            <w:tcBorders>
              <w:bottom w:val="single" w:color="auto" w:sz="12" w:space="0"/>
            </w:tcBorders>
            <w:vAlign w:val="center"/>
          </w:tcPr>
          <w:p w14:paraId="4208805D">
            <w:pPr>
              <w:jc w:val="center"/>
              <w:rPr>
                <w:rFonts w:cs="宋体"/>
                <w:color w:val="auto"/>
                <w:szCs w:val="21"/>
              </w:rPr>
            </w:pPr>
          </w:p>
        </w:tc>
        <w:tc>
          <w:tcPr>
            <w:tcW w:w="873" w:type="pct"/>
            <w:tcBorders>
              <w:bottom w:val="single" w:color="auto" w:sz="12" w:space="0"/>
            </w:tcBorders>
            <w:vAlign w:val="center"/>
          </w:tcPr>
          <w:p w14:paraId="2A83C211">
            <w:pPr>
              <w:jc w:val="center"/>
              <w:rPr>
                <w:rFonts w:cs="宋体"/>
                <w:color w:val="auto"/>
                <w:szCs w:val="21"/>
              </w:rPr>
            </w:pPr>
          </w:p>
        </w:tc>
        <w:tc>
          <w:tcPr>
            <w:tcW w:w="564" w:type="pct"/>
            <w:tcBorders>
              <w:bottom w:val="single" w:color="auto" w:sz="12" w:space="0"/>
            </w:tcBorders>
            <w:vAlign w:val="center"/>
          </w:tcPr>
          <w:p w14:paraId="7734E65E">
            <w:pPr>
              <w:jc w:val="center"/>
              <w:rPr>
                <w:rFonts w:cs="宋体"/>
                <w:color w:val="auto"/>
                <w:szCs w:val="21"/>
              </w:rPr>
            </w:pPr>
          </w:p>
        </w:tc>
        <w:tc>
          <w:tcPr>
            <w:tcW w:w="306" w:type="pct"/>
            <w:tcBorders>
              <w:bottom w:val="single" w:color="auto" w:sz="12" w:space="0"/>
            </w:tcBorders>
            <w:vAlign w:val="center"/>
          </w:tcPr>
          <w:p w14:paraId="2D97FAEE">
            <w:pPr>
              <w:jc w:val="center"/>
              <w:rPr>
                <w:rFonts w:cs="宋体"/>
                <w:color w:val="auto"/>
                <w:szCs w:val="21"/>
              </w:rPr>
            </w:pPr>
          </w:p>
        </w:tc>
        <w:tc>
          <w:tcPr>
            <w:tcW w:w="390" w:type="pct"/>
            <w:tcBorders>
              <w:bottom w:val="single" w:color="auto" w:sz="12" w:space="0"/>
            </w:tcBorders>
            <w:vAlign w:val="center"/>
          </w:tcPr>
          <w:p w14:paraId="6855098D">
            <w:pPr>
              <w:jc w:val="center"/>
              <w:rPr>
                <w:rFonts w:cs="宋体"/>
                <w:color w:val="auto"/>
                <w:szCs w:val="21"/>
              </w:rPr>
            </w:pPr>
          </w:p>
        </w:tc>
        <w:tc>
          <w:tcPr>
            <w:tcW w:w="536" w:type="pct"/>
            <w:tcBorders>
              <w:bottom w:val="single" w:color="auto" w:sz="12" w:space="0"/>
            </w:tcBorders>
            <w:vAlign w:val="center"/>
          </w:tcPr>
          <w:p w14:paraId="165BF3B6">
            <w:pPr>
              <w:jc w:val="center"/>
              <w:rPr>
                <w:rFonts w:cs="宋体"/>
                <w:color w:val="auto"/>
                <w:szCs w:val="21"/>
              </w:rPr>
            </w:pPr>
          </w:p>
        </w:tc>
        <w:tc>
          <w:tcPr>
            <w:tcW w:w="827" w:type="pct"/>
            <w:tcBorders>
              <w:bottom w:val="single" w:color="auto" w:sz="12" w:space="0"/>
            </w:tcBorders>
            <w:vAlign w:val="center"/>
          </w:tcPr>
          <w:p w14:paraId="0D064E52">
            <w:pPr>
              <w:jc w:val="center"/>
              <w:rPr>
                <w:rFonts w:cs="宋体"/>
                <w:color w:val="auto"/>
                <w:szCs w:val="21"/>
              </w:rPr>
            </w:pPr>
          </w:p>
        </w:tc>
        <w:tc>
          <w:tcPr>
            <w:tcW w:w="569" w:type="pct"/>
            <w:tcBorders>
              <w:bottom w:val="single" w:color="auto" w:sz="12" w:space="0"/>
            </w:tcBorders>
            <w:vAlign w:val="center"/>
          </w:tcPr>
          <w:p w14:paraId="41609484">
            <w:pPr>
              <w:jc w:val="center"/>
              <w:rPr>
                <w:rFonts w:cs="宋体"/>
                <w:color w:val="auto"/>
                <w:szCs w:val="21"/>
              </w:rPr>
            </w:pPr>
          </w:p>
        </w:tc>
        <w:tc>
          <w:tcPr>
            <w:tcW w:w="519" w:type="pct"/>
            <w:tcBorders>
              <w:bottom w:val="single" w:color="auto" w:sz="12" w:space="0"/>
            </w:tcBorders>
            <w:vAlign w:val="center"/>
          </w:tcPr>
          <w:p w14:paraId="2334F873">
            <w:pPr>
              <w:jc w:val="center"/>
              <w:rPr>
                <w:rFonts w:cs="宋体"/>
                <w:color w:val="auto"/>
                <w:szCs w:val="21"/>
              </w:rPr>
            </w:pPr>
          </w:p>
        </w:tc>
      </w:tr>
    </w:tbl>
    <w:p w14:paraId="1C6C5C46">
      <w:pPr>
        <w:spacing w:before="312" w:beforeLines="100" w:after="312" w:afterLines="100"/>
        <w:outlineLvl w:val="2"/>
        <w:rPr>
          <w:rFonts w:hint="eastAsia" w:ascii="Times New Roman" w:eastAsia="黑体"/>
          <w:color w:val="auto"/>
          <w:szCs w:val="24"/>
        </w:rPr>
      </w:pPr>
      <w:bookmarkStart w:id="1133" w:name="_Toc128950241"/>
    </w:p>
    <w:p w14:paraId="4387DFB7">
      <w:pPr>
        <w:spacing w:before="312" w:beforeLines="100" w:after="312" w:afterLines="100"/>
        <w:outlineLvl w:val="2"/>
        <w:rPr>
          <w:rFonts w:hint="eastAsia" w:ascii="Times New Roman" w:eastAsia="黑体"/>
          <w:color w:val="auto"/>
          <w:szCs w:val="24"/>
        </w:rPr>
      </w:pPr>
    </w:p>
    <w:p w14:paraId="7D06B953">
      <w:pPr>
        <w:spacing w:before="312" w:beforeLines="100" w:after="312" w:afterLines="100"/>
        <w:outlineLvl w:val="2"/>
        <w:rPr>
          <w:rFonts w:hint="eastAsia" w:ascii="Times New Roman" w:eastAsia="黑体"/>
          <w:color w:val="auto"/>
          <w:szCs w:val="24"/>
        </w:rPr>
      </w:pPr>
    </w:p>
    <w:p w14:paraId="07614087">
      <w:pPr>
        <w:spacing w:before="312" w:beforeLines="100" w:after="312" w:afterLines="100"/>
        <w:outlineLvl w:val="2"/>
        <w:rPr>
          <w:rFonts w:hint="eastAsia" w:ascii="Times New Roman" w:eastAsia="黑体"/>
          <w:color w:val="auto"/>
          <w:szCs w:val="24"/>
        </w:rPr>
      </w:pPr>
    </w:p>
    <w:p w14:paraId="233B61E8">
      <w:pPr>
        <w:spacing w:before="312" w:beforeLines="100" w:after="312" w:afterLines="100"/>
        <w:outlineLvl w:val="2"/>
        <w:rPr>
          <w:rFonts w:hint="eastAsia" w:ascii="Times New Roman" w:eastAsia="黑体"/>
          <w:color w:val="auto"/>
          <w:szCs w:val="24"/>
        </w:rPr>
      </w:pPr>
    </w:p>
    <w:p w14:paraId="6A62FEC1">
      <w:pPr>
        <w:spacing w:before="312" w:beforeLines="100" w:after="312" w:afterLines="100"/>
        <w:outlineLvl w:val="2"/>
        <w:rPr>
          <w:rFonts w:hint="eastAsia" w:ascii="Times New Roman" w:eastAsia="黑体"/>
          <w:color w:val="auto"/>
          <w:szCs w:val="24"/>
        </w:rPr>
      </w:pPr>
    </w:p>
    <w:p w14:paraId="2CAB58FC">
      <w:pPr>
        <w:spacing w:before="312" w:beforeLines="100" w:after="312" w:afterLines="100"/>
        <w:outlineLvl w:val="2"/>
        <w:rPr>
          <w:rFonts w:ascii="Times New Roman" w:eastAsia="黑体"/>
          <w:color w:val="auto"/>
          <w:szCs w:val="24"/>
        </w:rPr>
      </w:pPr>
      <w:r>
        <w:rPr>
          <w:rFonts w:hint="eastAsia" w:ascii="Times New Roman" w:eastAsia="黑体"/>
          <w:color w:val="auto"/>
          <w:szCs w:val="24"/>
        </w:rPr>
        <w:t>附</w:t>
      </w:r>
      <w:bookmarkStart w:id="1134" w:name="_Toc296347227"/>
      <w:bookmarkStart w:id="1135" w:name="_Toc267261699"/>
      <w:bookmarkStart w:id="1136" w:name="_Toc296346729"/>
      <w:bookmarkStart w:id="1137" w:name="_Toc296891268"/>
      <w:bookmarkStart w:id="1138" w:name="_Toc296944567"/>
      <w:bookmarkStart w:id="1139" w:name="_Toc296503228"/>
      <w:bookmarkStart w:id="1140" w:name="_Toc296891056"/>
      <w:r>
        <w:rPr>
          <w:rFonts w:hint="eastAsia" w:ascii="Times New Roman" w:eastAsia="黑体"/>
          <w:color w:val="auto"/>
          <w:szCs w:val="24"/>
        </w:rPr>
        <w:t>件</w:t>
      </w:r>
      <w:bookmarkEnd w:id="1134"/>
      <w:bookmarkEnd w:id="1135"/>
      <w:bookmarkEnd w:id="1136"/>
      <w:bookmarkEnd w:id="1137"/>
      <w:bookmarkEnd w:id="1138"/>
      <w:bookmarkEnd w:id="1139"/>
      <w:bookmarkEnd w:id="1140"/>
      <w:r>
        <w:rPr>
          <w:rFonts w:ascii="Times New Roman" w:eastAsia="黑体"/>
          <w:color w:val="auto"/>
          <w:szCs w:val="24"/>
        </w:rPr>
        <w:t>6</w:t>
      </w:r>
      <w:r>
        <w:rPr>
          <w:rFonts w:hint="eastAsia" w:ascii="Times New Roman" w:eastAsia="黑体"/>
          <w:color w:val="auto"/>
          <w:szCs w:val="24"/>
        </w:rPr>
        <w:t>：承包人主要施工管理人员表</w:t>
      </w:r>
      <w:bookmarkEnd w:id="1133"/>
    </w:p>
    <w:p w14:paraId="0A372D30">
      <w:pPr>
        <w:spacing w:line="360" w:lineRule="auto"/>
        <w:jc w:val="center"/>
        <w:rPr>
          <w:rFonts w:cs="宋体"/>
          <w:color w:val="auto"/>
        </w:rPr>
      </w:pPr>
      <w:r>
        <w:rPr>
          <w:rFonts w:hint="eastAsia" w:cs="宋体"/>
          <w:color w:val="auto"/>
        </w:rPr>
        <w:t>承包人主要施工管理人员表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661"/>
        <w:gridCol w:w="1113"/>
        <w:gridCol w:w="890"/>
        <w:gridCol w:w="890"/>
        <w:gridCol w:w="2891"/>
        <w:gridCol w:w="1431"/>
      </w:tblGrid>
      <w:tr w14:paraId="60032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tcBorders>
              <w:top w:val="single" w:color="auto" w:sz="12" w:space="0"/>
              <w:bottom w:val="double" w:color="auto" w:sz="6" w:space="0"/>
            </w:tcBorders>
            <w:vAlign w:val="center"/>
          </w:tcPr>
          <w:p w14:paraId="0158F8FB">
            <w:pPr>
              <w:keepNext/>
              <w:spacing w:line="360" w:lineRule="auto"/>
              <w:jc w:val="center"/>
              <w:rPr>
                <w:rFonts w:cs="宋体"/>
                <w:color w:val="auto"/>
                <w:szCs w:val="21"/>
              </w:rPr>
            </w:pPr>
            <w:r>
              <w:rPr>
                <w:rFonts w:hint="eastAsia" w:cs="宋体"/>
                <w:color w:val="auto"/>
                <w:szCs w:val="21"/>
              </w:rPr>
              <w:t>名称</w:t>
            </w:r>
          </w:p>
        </w:tc>
        <w:tc>
          <w:tcPr>
            <w:tcW w:w="627" w:type="pct"/>
            <w:tcBorders>
              <w:top w:val="single" w:color="auto" w:sz="12" w:space="0"/>
              <w:bottom w:val="double" w:color="auto" w:sz="6" w:space="0"/>
            </w:tcBorders>
            <w:vAlign w:val="center"/>
          </w:tcPr>
          <w:p w14:paraId="76B1FF8A">
            <w:pPr>
              <w:keepNext/>
              <w:spacing w:line="360" w:lineRule="auto"/>
              <w:jc w:val="center"/>
              <w:rPr>
                <w:rFonts w:cs="宋体"/>
                <w:color w:val="auto"/>
                <w:szCs w:val="21"/>
              </w:rPr>
            </w:pPr>
            <w:r>
              <w:rPr>
                <w:rFonts w:hint="eastAsia" w:cs="宋体"/>
                <w:color w:val="auto"/>
                <w:szCs w:val="21"/>
              </w:rPr>
              <w:t>姓名</w:t>
            </w:r>
          </w:p>
        </w:tc>
        <w:tc>
          <w:tcPr>
            <w:tcW w:w="501" w:type="pct"/>
            <w:tcBorders>
              <w:top w:val="single" w:color="auto" w:sz="12" w:space="0"/>
              <w:bottom w:val="double" w:color="auto" w:sz="6" w:space="0"/>
            </w:tcBorders>
            <w:vAlign w:val="center"/>
          </w:tcPr>
          <w:p w14:paraId="5A601521">
            <w:pPr>
              <w:keepNext/>
              <w:spacing w:line="360" w:lineRule="auto"/>
              <w:jc w:val="center"/>
              <w:rPr>
                <w:rFonts w:cs="宋体"/>
                <w:color w:val="auto"/>
                <w:szCs w:val="21"/>
              </w:rPr>
            </w:pPr>
            <w:r>
              <w:rPr>
                <w:rFonts w:hint="eastAsia" w:cs="宋体"/>
                <w:color w:val="auto"/>
                <w:szCs w:val="21"/>
              </w:rPr>
              <w:t>职务</w:t>
            </w:r>
          </w:p>
        </w:tc>
        <w:tc>
          <w:tcPr>
            <w:tcW w:w="501" w:type="pct"/>
            <w:tcBorders>
              <w:top w:val="single" w:color="auto" w:sz="12" w:space="0"/>
              <w:bottom w:val="double" w:color="auto" w:sz="6" w:space="0"/>
            </w:tcBorders>
            <w:vAlign w:val="center"/>
          </w:tcPr>
          <w:p w14:paraId="65AB2A28">
            <w:pPr>
              <w:keepNext/>
              <w:spacing w:line="360" w:lineRule="auto"/>
              <w:jc w:val="center"/>
              <w:rPr>
                <w:rFonts w:cs="宋体"/>
                <w:color w:val="auto"/>
                <w:szCs w:val="21"/>
              </w:rPr>
            </w:pPr>
            <w:r>
              <w:rPr>
                <w:rFonts w:hint="eastAsia" w:cs="宋体"/>
                <w:color w:val="auto"/>
                <w:szCs w:val="21"/>
              </w:rPr>
              <w:t>职称</w:t>
            </w:r>
          </w:p>
        </w:tc>
        <w:tc>
          <w:tcPr>
            <w:tcW w:w="1627" w:type="pct"/>
            <w:tcBorders>
              <w:top w:val="single" w:color="auto" w:sz="12" w:space="0"/>
              <w:bottom w:val="double" w:color="auto" w:sz="6" w:space="0"/>
            </w:tcBorders>
            <w:vAlign w:val="center"/>
          </w:tcPr>
          <w:p w14:paraId="11246004">
            <w:pPr>
              <w:keepNext/>
              <w:spacing w:line="360" w:lineRule="auto"/>
              <w:jc w:val="center"/>
              <w:rPr>
                <w:rFonts w:cs="宋体"/>
                <w:color w:val="auto"/>
                <w:szCs w:val="21"/>
              </w:rPr>
            </w:pPr>
            <w:r>
              <w:rPr>
                <w:rFonts w:hint="eastAsia" w:cs="宋体"/>
                <w:color w:val="auto"/>
                <w:szCs w:val="21"/>
              </w:rPr>
              <w:t>主要资历、经验及承担过的项目</w:t>
            </w:r>
          </w:p>
        </w:tc>
        <w:tc>
          <w:tcPr>
            <w:tcW w:w="806" w:type="pct"/>
            <w:tcBorders>
              <w:top w:val="single" w:color="auto" w:sz="12" w:space="0"/>
              <w:bottom w:val="double" w:color="auto" w:sz="6" w:space="0"/>
            </w:tcBorders>
            <w:vAlign w:val="center"/>
          </w:tcPr>
          <w:p w14:paraId="3A3819BA">
            <w:pPr>
              <w:keepNext/>
              <w:spacing w:line="360" w:lineRule="auto"/>
              <w:jc w:val="center"/>
              <w:rPr>
                <w:rFonts w:cs="宋体"/>
                <w:color w:val="auto"/>
                <w:szCs w:val="21"/>
              </w:rPr>
            </w:pPr>
            <w:r>
              <w:rPr>
                <w:rFonts w:hint="eastAsia" w:cs="宋体"/>
                <w:color w:val="auto"/>
                <w:szCs w:val="21"/>
              </w:rPr>
              <w:t>身份证号码</w:t>
            </w:r>
          </w:p>
        </w:tc>
      </w:tr>
      <w:tr w14:paraId="31B84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93" w:type="pct"/>
            <w:gridSpan w:val="5"/>
            <w:tcBorders>
              <w:top w:val="double" w:color="auto" w:sz="6" w:space="0"/>
            </w:tcBorders>
            <w:vAlign w:val="center"/>
          </w:tcPr>
          <w:p w14:paraId="7C4768FD">
            <w:pPr>
              <w:keepNext/>
              <w:spacing w:line="360" w:lineRule="auto"/>
              <w:jc w:val="center"/>
              <w:rPr>
                <w:rFonts w:cs="宋体"/>
                <w:color w:val="auto"/>
                <w:szCs w:val="21"/>
              </w:rPr>
            </w:pPr>
            <w:r>
              <w:rPr>
                <w:rFonts w:hint="eastAsia" w:cs="宋体"/>
                <w:color w:val="auto"/>
                <w:szCs w:val="21"/>
              </w:rPr>
              <w:t>一、总部人员</w:t>
            </w:r>
          </w:p>
        </w:tc>
        <w:tc>
          <w:tcPr>
            <w:tcW w:w="806" w:type="pct"/>
            <w:tcBorders>
              <w:top w:val="double" w:color="auto" w:sz="6" w:space="0"/>
            </w:tcBorders>
            <w:vAlign w:val="center"/>
          </w:tcPr>
          <w:p w14:paraId="2098DA0E">
            <w:pPr>
              <w:keepNext/>
              <w:spacing w:line="360" w:lineRule="auto"/>
              <w:jc w:val="center"/>
              <w:rPr>
                <w:rFonts w:cs="宋体"/>
                <w:color w:val="auto"/>
                <w:szCs w:val="21"/>
              </w:rPr>
            </w:pPr>
          </w:p>
        </w:tc>
      </w:tr>
      <w:tr w14:paraId="1E719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tcBorders>
              <w:top w:val="nil"/>
              <w:bottom w:val="nil"/>
            </w:tcBorders>
            <w:vAlign w:val="center"/>
          </w:tcPr>
          <w:p w14:paraId="3046FCEB">
            <w:pPr>
              <w:spacing w:line="360" w:lineRule="auto"/>
              <w:jc w:val="center"/>
              <w:rPr>
                <w:rFonts w:cs="宋体"/>
                <w:color w:val="auto"/>
                <w:szCs w:val="21"/>
              </w:rPr>
            </w:pPr>
            <w:r>
              <w:rPr>
                <w:rFonts w:hint="eastAsia" w:cs="宋体"/>
                <w:color w:val="auto"/>
                <w:szCs w:val="21"/>
              </w:rPr>
              <w:t>项目主管</w:t>
            </w:r>
          </w:p>
        </w:tc>
        <w:tc>
          <w:tcPr>
            <w:tcW w:w="627" w:type="pct"/>
            <w:tcBorders>
              <w:top w:val="nil"/>
            </w:tcBorders>
            <w:vAlign w:val="center"/>
          </w:tcPr>
          <w:p w14:paraId="51E3BC38">
            <w:pPr>
              <w:keepNext/>
              <w:spacing w:line="360" w:lineRule="auto"/>
              <w:jc w:val="center"/>
              <w:rPr>
                <w:rFonts w:cs="宋体"/>
                <w:color w:val="auto"/>
                <w:szCs w:val="21"/>
              </w:rPr>
            </w:pPr>
          </w:p>
        </w:tc>
        <w:tc>
          <w:tcPr>
            <w:tcW w:w="501" w:type="pct"/>
            <w:tcBorders>
              <w:top w:val="nil"/>
            </w:tcBorders>
            <w:vAlign w:val="center"/>
          </w:tcPr>
          <w:p w14:paraId="59F5AE44">
            <w:pPr>
              <w:keepNext/>
              <w:spacing w:line="360" w:lineRule="auto"/>
              <w:jc w:val="center"/>
              <w:rPr>
                <w:rFonts w:cs="宋体"/>
                <w:color w:val="auto"/>
                <w:szCs w:val="21"/>
              </w:rPr>
            </w:pPr>
          </w:p>
        </w:tc>
        <w:tc>
          <w:tcPr>
            <w:tcW w:w="501" w:type="pct"/>
            <w:tcBorders>
              <w:top w:val="nil"/>
            </w:tcBorders>
            <w:vAlign w:val="center"/>
          </w:tcPr>
          <w:p w14:paraId="07306EAE">
            <w:pPr>
              <w:keepNext/>
              <w:spacing w:line="360" w:lineRule="auto"/>
              <w:jc w:val="center"/>
              <w:rPr>
                <w:rFonts w:cs="宋体"/>
                <w:color w:val="auto"/>
                <w:szCs w:val="21"/>
              </w:rPr>
            </w:pPr>
          </w:p>
        </w:tc>
        <w:tc>
          <w:tcPr>
            <w:tcW w:w="1627" w:type="pct"/>
            <w:tcBorders>
              <w:top w:val="nil"/>
            </w:tcBorders>
            <w:vAlign w:val="center"/>
          </w:tcPr>
          <w:p w14:paraId="42AF6C42">
            <w:pPr>
              <w:keepNext/>
              <w:spacing w:line="360" w:lineRule="auto"/>
              <w:jc w:val="center"/>
              <w:rPr>
                <w:rFonts w:cs="宋体"/>
                <w:color w:val="auto"/>
                <w:szCs w:val="21"/>
              </w:rPr>
            </w:pPr>
          </w:p>
        </w:tc>
        <w:tc>
          <w:tcPr>
            <w:tcW w:w="806" w:type="pct"/>
            <w:tcBorders>
              <w:top w:val="nil"/>
            </w:tcBorders>
            <w:vAlign w:val="center"/>
          </w:tcPr>
          <w:p w14:paraId="7D22338B">
            <w:pPr>
              <w:keepNext/>
              <w:spacing w:line="360" w:lineRule="auto"/>
              <w:jc w:val="center"/>
              <w:rPr>
                <w:rFonts w:cs="宋体"/>
                <w:color w:val="auto"/>
                <w:szCs w:val="21"/>
              </w:rPr>
            </w:pPr>
          </w:p>
        </w:tc>
      </w:tr>
      <w:tr w14:paraId="3EB8D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Merge w:val="restart"/>
            <w:vAlign w:val="center"/>
          </w:tcPr>
          <w:p w14:paraId="1BC9042B">
            <w:pPr>
              <w:spacing w:line="360" w:lineRule="auto"/>
              <w:jc w:val="center"/>
              <w:rPr>
                <w:rFonts w:cs="宋体"/>
                <w:color w:val="auto"/>
                <w:szCs w:val="21"/>
              </w:rPr>
            </w:pPr>
            <w:r>
              <w:rPr>
                <w:rFonts w:hint="eastAsia" w:cs="宋体"/>
                <w:color w:val="auto"/>
                <w:szCs w:val="21"/>
              </w:rPr>
              <w:t>其他人员</w:t>
            </w:r>
          </w:p>
        </w:tc>
        <w:tc>
          <w:tcPr>
            <w:tcW w:w="627" w:type="pct"/>
            <w:vAlign w:val="center"/>
          </w:tcPr>
          <w:p w14:paraId="603E97A6">
            <w:pPr>
              <w:keepNext/>
              <w:spacing w:line="360" w:lineRule="auto"/>
              <w:jc w:val="center"/>
              <w:rPr>
                <w:rFonts w:cs="宋体"/>
                <w:color w:val="auto"/>
                <w:szCs w:val="21"/>
              </w:rPr>
            </w:pPr>
          </w:p>
        </w:tc>
        <w:tc>
          <w:tcPr>
            <w:tcW w:w="501" w:type="pct"/>
            <w:vAlign w:val="center"/>
          </w:tcPr>
          <w:p w14:paraId="3E0AB180">
            <w:pPr>
              <w:keepNext/>
              <w:spacing w:line="360" w:lineRule="auto"/>
              <w:jc w:val="center"/>
              <w:rPr>
                <w:rFonts w:cs="宋体"/>
                <w:color w:val="auto"/>
                <w:szCs w:val="21"/>
              </w:rPr>
            </w:pPr>
          </w:p>
        </w:tc>
        <w:tc>
          <w:tcPr>
            <w:tcW w:w="501" w:type="pct"/>
            <w:vAlign w:val="center"/>
          </w:tcPr>
          <w:p w14:paraId="54B35BC2">
            <w:pPr>
              <w:keepNext/>
              <w:spacing w:line="360" w:lineRule="auto"/>
              <w:jc w:val="center"/>
              <w:rPr>
                <w:rFonts w:cs="宋体"/>
                <w:color w:val="auto"/>
                <w:szCs w:val="21"/>
              </w:rPr>
            </w:pPr>
          </w:p>
        </w:tc>
        <w:tc>
          <w:tcPr>
            <w:tcW w:w="1627" w:type="pct"/>
            <w:vAlign w:val="center"/>
          </w:tcPr>
          <w:p w14:paraId="663FF6DC">
            <w:pPr>
              <w:keepNext/>
              <w:spacing w:line="360" w:lineRule="auto"/>
              <w:jc w:val="center"/>
              <w:rPr>
                <w:rFonts w:cs="宋体"/>
                <w:color w:val="auto"/>
                <w:szCs w:val="21"/>
              </w:rPr>
            </w:pPr>
          </w:p>
        </w:tc>
        <w:tc>
          <w:tcPr>
            <w:tcW w:w="806" w:type="pct"/>
            <w:vAlign w:val="center"/>
          </w:tcPr>
          <w:p w14:paraId="10AE145A">
            <w:pPr>
              <w:keepNext/>
              <w:spacing w:line="360" w:lineRule="auto"/>
              <w:jc w:val="center"/>
              <w:rPr>
                <w:rFonts w:cs="宋体"/>
                <w:color w:val="auto"/>
                <w:szCs w:val="21"/>
              </w:rPr>
            </w:pPr>
          </w:p>
        </w:tc>
      </w:tr>
      <w:tr w14:paraId="0060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Merge w:val="continue"/>
            <w:vAlign w:val="center"/>
          </w:tcPr>
          <w:p w14:paraId="4C54E82C">
            <w:pPr>
              <w:spacing w:line="360" w:lineRule="auto"/>
              <w:jc w:val="center"/>
              <w:rPr>
                <w:rFonts w:cs="宋体"/>
                <w:color w:val="auto"/>
                <w:szCs w:val="21"/>
              </w:rPr>
            </w:pPr>
          </w:p>
        </w:tc>
        <w:tc>
          <w:tcPr>
            <w:tcW w:w="627" w:type="pct"/>
            <w:vAlign w:val="center"/>
          </w:tcPr>
          <w:p w14:paraId="3C24F06A">
            <w:pPr>
              <w:keepNext/>
              <w:spacing w:line="360" w:lineRule="auto"/>
              <w:jc w:val="center"/>
              <w:rPr>
                <w:rFonts w:cs="宋体"/>
                <w:color w:val="auto"/>
                <w:szCs w:val="21"/>
              </w:rPr>
            </w:pPr>
          </w:p>
        </w:tc>
        <w:tc>
          <w:tcPr>
            <w:tcW w:w="501" w:type="pct"/>
            <w:vAlign w:val="center"/>
          </w:tcPr>
          <w:p w14:paraId="52DAB1E9">
            <w:pPr>
              <w:keepNext/>
              <w:spacing w:line="360" w:lineRule="auto"/>
              <w:jc w:val="center"/>
              <w:rPr>
                <w:rFonts w:cs="宋体"/>
                <w:color w:val="auto"/>
                <w:szCs w:val="21"/>
              </w:rPr>
            </w:pPr>
          </w:p>
        </w:tc>
        <w:tc>
          <w:tcPr>
            <w:tcW w:w="501" w:type="pct"/>
            <w:vAlign w:val="center"/>
          </w:tcPr>
          <w:p w14:paraId="6E253651">
            <w:pPr>
              <w:keepNext/>
              <w:spacing w:line="360" w:lineRule="auto"/>
              <w:jc w:val="center"/>
              <w:rPr>
                <w:rFonts w:cs="宋体"/>
                <w:color w:val="auto"/>
                <w:szCs w:val="21"/>
              </w:rPr>
            </w:pPr>
          </w:p>
        </w:tc>
        <w:tc>
          <w:tcPr>
            <w:tcW w:w="1627" w:type="pct"/>
            <w:vAlign w:val="center"/>
          </w:tcPr>
          <w:p w14:paraId="3EB256E5">
            <w:pPr>
              <w:keepNext/>
              <w:spacing w:line="360" w:lineRule="auto"/>
              <w:jc w:val="center"/>
              <w:rPr>
                <w:rFonts w:cs="宋体"/>
                <w:color w:val="auto"/>
                <w:szCs w:val="21"/>
              </w:rPr>
            </w:pPr>
          </w:p>
        </w:tc>
        <w:tc>
          <w:tcPr>
            <w:tcW w:w="806" w:type="pct"/>
            <w:vAlign w:val="center"/>
          </w:tcPr>
          <w:p w14:paraId="0B045AFE">
            <w:pPr>
              <w:keepNext/>
              <w:spacing w:line="360" w:lineRule="auto"/>
              <w:jc w:val="center"/>
              <w:rPr>
                <w:rFonts w:cs="宋体"/>
                <w:color w:val="auto"/>
                <w:szCs w:val="21"/>
              </w:rPr>
            </w:pPr>
          </w:p>
        </w:tc>
      </w:tr>
      <w:tr w14:paraId="7F626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Merge w:val="continue"/>
            <w:tcBorders>
              <w:bottom w:val="nil"/>
            </w:tcBorders>
            <w:vAlign w:val="center"/>
          </w:tcPr>
          <w:p w14:paraId="6A4D7965">
            <w:pPr>
              <w:spacing w:line="360" w:lineRule="auto"/>
              <w:jc w:val="center"/>
              <w:rPr>
                <w:rFonts w:cs="宋体"/>
                <w:color w:val="auto"/>
                <w:szCs w:val="21"/>
              </w:rPr>
            </w:pPr>
          </w:p>
        </w:tc>
        <w:tc>
          <w:tcPr>
            <w:tcW w:w="627" w:type="pct"/>
            <w:vAlign w:val="center"/>
          </w:tcPr>
          <w:p w14:paraId="1BE6FB7F">
            <w:pPr>
              <w:keepNext/>
              <w:spacing w:line="360" w:lineRule="auto"/>
              <w:jc w:val="center"/>
              <w:rPr>
                <w:rFonts w:cs="宋体"/>
                <w:color w:val="auto"/>
                <w:szCs w:val="21"/>
              </w:rPr>
            </w:pPr>
          </w:p>
        </w:tc>
        <w:tc>
          <w:tcPr>
            <w:tcW w:w="501" w:type="pct"/>
            <w:vAlign w:val="center"/>
          </w:tcPr>
          <w:p w14:paraId="24CCE8CB">
            <w:pPr>
              <w:keepNext/>
              <w:spacing w:line="360" w:lineRule="auto"/>
              <w:jc w:val="center"/>
              <w:rPr>
                <w:rFonts w:cs="宋体"/>
                <w:color w:val="auto"/>
                <w:szCs w:val="21"/>
              </w:rPr>
            </w:pPr>
          </w:p>
        </w:tc>
        <w:tc>
          <w:tcPr>
            <w:tcW w:w="501" w:type="pct"/>
            <w:vAlign w:val="center"/>
          </w:tcPr>
          <w:p w14:paraId="10A1D4F9">
            <w:pPr>
              <w:keepNext/>
              <w:spacing w:line="360" w:lineRule="auto"/>
              <w:jc w:val="center"/>
              <w:rPr>
                <w:rFonts w:cs="宋体"/>
                <w:color w:val="auto"/>
                <w:szCs w:val="21"/>
              </w:rPr>
            </w:pPr>
          </w:p>
        </w:tc>
        <w:tc>
          <w:tcPr>
            <w:tcW w:w="1627" w:type="pct"/>
            <w:vAlign w:val="center"/>
          </w:tcPr>
          <w:p w14:paraId="66F421B0">
            <w:pPr>
              <w:keepNext/>
              <w:spacing w:line="360" w:lineRule="auto"/>
              <w:jc w:val="center"/>
              <w:rPr>
                <w:rFonts w:cs="宋体"/>
                <w:color w:val="auto"/>
                <w:szCs w:val="21"/>
              </w:rPr>
            </w:pPr>
          </w:p>
        </w:tc>
        <w:tc>
          <w:tcPr>
            <w:tcW w:w="806" w:type="pct"/>
            <w:vAlign w:val="center"/>
          </w:tcPr>
          <w:p w14:paraId="50A5B425">
            <w:pPr>
              <w:keepNext/>
              <w:spacing w:line="360" w:lineRule="auto"/>
              <w:jc w:val="center"/>
              <w:rPr>
                <w:rFonts w:cs="宋体"/>
                <w:color w:val="auto"/>
                <w:szCs w:val="21"/>
              </w:rPr>
            </w:pPr>
          </w:p>
        </w:tc>
      </w:tr>
      <w:tr w14:paraId="78C93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93" w:type="pct"/>
            <w:gridSpan w:val="5"/>
            <w:vAlign w:val="center"/>
          </w:tcPr>
          <w:p w14:paraId="582F0A30">
            <w:pPr>
              <w:keepNext/>
              <w:spacing w:line="360" w:lineRule="auto"/>
              <w:jc w:val="center"/>
              <w:rPr>
                <w:rFonts w:cs="宋体"/>
                <w:color w:val="auto"/>
                <w:szCs w:val="21"/>
              </w:rPr>
            </w:pPr>
            <w:r>
              <w:rPr>
                <w:rFonts w:hint="eastAsia" w:cs="宋体"/>
                <w:color w:val="auto"/>
                <w:szCs w:val="21"/>
              </w:rPr>
              <w:t>二、现场人员</w:t>
            </w:r>
          </w:p>
        </w:tc>
        <w:tc>
          <w:tcPr>
            <w:tcW w:w="806" w:type="pct"/>
            <w:vAlign w:val="center"/>
          </w:tcPr>
          <w:p w14:paraId="1A7FBE2C">
            <w:pPr>
              <w:keepNext/>
              <w:spacing w:line="360" w:lineRule="auto"/>
              <w:jc w:val="center"/>
              <w:rPr>
                <w:rFonts w:cs="宋体"/>
                <w:color w:val="auto"/>
                <w:szCs w:val="21"/>
              </w:rPr>
            </w:pPr>
          </w:p>
        </w:tc>
      </w:tr>
      <w:tr w14:paraId="10EF9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Align w:val="center"/>
          </w:tcPr>
          <w:p w14:paraId="7DB8E249">
            <w:pPr>
              <w:spacing w:line="360" w:lineRule="auto"/>
              <w:jc w:val="center"/>
              <w:rPr>
                <w:rFonts w:cs="宋体"/>
                <w:color w:val="auto"/>
                <w:szCs w:val="21"/>
              </w:rPr>
            </w:pPr>
            <w:r>
              <w:rPr>
                <w:rFonts w:hint="eastAsia" w:cs="宋体"/>
                <w:color w:val="auto"/>
                <w:szCs w:val="21"/>
              </w:rPr>
              <w:t>项目经理</w:t>
            </w:r>
          </w:p>
        </w:tc>
        <w:tc>
          <w:tcPr>
            <w:tcW w:w="627" w:type="pct"/>
            <w:vAlign w:val="center"/>
          </w:tcPr>
          <w:p w14:paraId="14663920">
            <w:pPr>
              <w:keepNext/>
              <w:spacing w:line="360" w:lineRule="auto"/>
              <w:jc w:val="center"/>
              <w:rPr>
                <w:rFonts w:cs="宋体"/>
                <w:color w:val="auto"/>
                <w:szCs w:val="21"/>
              </w:rPr>
            </w:pPr>
          </w:p>
        </w:tc>
        <w:tc>
          <w:tcPr>
            <w:tcW w:w="501" w:type="pct"/>
            <w:vAlign w:val="center"/>
          </w:tcPr>
          <w:p w14:paraId="7FBC12D1">
            <w:pPr>
              <w:keepNext/>
              <w:spacing w:line="360" w:lineRule="auto"/>
              <w:jc w:val="center"/>
              <w:rPr>
                <w:rFonts w:cs="宋体"/>
                <w:color w:val="auto"/>
                <w:szCs w:val="21"/>
              </w:rPr>
            </w:pPr>
          </w:p>
        </w:tc>
        <w:tc>
          <w:tcPr>
            <w:tcW w:w="501" w:type="pct"/>
            <w:vAlign w:val="center"/>
          </w:tcPr>
          <w:p w14:paraId="466AA95D">
            <w:pPr>
              <w:keepNext/>
              <w:spacing w:line="360" w:lineRule="auto"/>
              <w:jc w:val="center"/>
              <w:rPr>
                <w:rFonts w:cs="宋体"/>
                <w:color w:val="auto"/>
                <w:szCs w:val="21"/>
              </w:rPr>
            </w:pPr>
          </w:p>
        </w:tc>
        <w:tc>
          <w:tcPr>
            <w:tcW w:w="1627" w:type="pct"/>
            <w:vAlign w:val="center"/>
          </w:tcPr>
          <w:p w14:paraId="57FC95A8">
            <w:pPr>
              <w:keepNext/>
              <w:spacing w:line="360" w:lineRule="auto"/>
              <w:jc w:val="center"/>
              <w:rPr>
                <w:rFonts w:cs="宋体"/>
                <w:color w:val="auto"/>
                <w:szCs w:val="21"/>
              </w:rPr>
            </w:pPr>
          </w:p>
        </w:tc>
        <w:tc>
          <w:tcPr>
            <w:tcW w:w="806" w:type="pct"/>
            <w:vAlign w:val="center"/>
          </w:tcPr>
          <w:p w14:paraId="5B91AAD4">
            <w:pPr>
              <w:keepNext/>
              <w:spacing w:line="360" w:lineRule="auto"/>
              <w:jc w:val="center"/>
              <w:rPr>
                <w:rFonts w:cs="宋体"/>
                <w:color w:val="auto"/>
                <w:szCs w:val="21"/>
              </w:rPr>
            </w:pPr>
          </w:p>
        </w:tc>
      </w:tr>
      <w:tr w14:paraId="126C8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Align w:val="center"/>
          </w:tcPr>
          <w:p w14:paraId="46941B3A">
            <w:pPr>
              <w:spacing w:line="360" w:lineRule="auto"/>
              <w:jc w:val="center"/>
              <w:rPr>
                <w:rFonts w:cs="宋体"/>
                <w:color w:val="auto"/>
                <w:szCs w:val="21"/>
              </w:rPr>
            </w:pPr>
            <w:r>
              <w:rPr>
                <w:rFonts w:hint="eastAsia" w:cs="宋体"/>
                <w:color w:val="auto"/>
                <w:szCs w:val="21"/>
              </w:rPr>
              <w:t>项目副经理</w:t>
            </w:r>
          </w:p>
        </w:tc>
        <w:tc>
          <w:tcPr>
            <w:tcW w:w="627" w:type="pct"/>
            <w:vAlign w:val="center"/>
          </w:tcPr>
          <w:p w14:paraId="09DC5FF6">
            <w:pPr>
              <w:keepNext/>
              <w:spacing w:line="360" w:lineRule="auto"/>
              <w:jc w:val="center"/>
              <w:rPr>
                <w:rFonts w:cs="宋体"/>
                <w:color w:val="auto"/>
                <w:szCs w:val="21"/>
              </w:rPr>
            </w:pPr>
          </w:p>
        </w:tc>
        <w:tc>
          <w:tcPr>
            <w:tcW w:w="501" w:type="pct"/>
            <w:vAlign w:val="center"/>
          </w:tcPr>
          <w:p w14:paraId="53B65E7F">
            <w:pPr>
              <w:keepNext/>
              <w:spacing w:line="360" w:lineRule="auto"/>
              <w:jc w:val="center"/>
              <w:rPr>
                <w:rFonts w:cs="宋体"/>
                <w:color w:val="auto"/>
                <w:szCs w:val="21"/>
              </w:rPr>
            </w:pPr>
          </w:p>
        </w:tc>
        <w:tc>
          <w:tcPr>
            <w:tcW w:w="501" w:type="pct"/>
            <w:vAlign w:val="center"/>
          </w:tcPr>
          <w:p w14:paraId="5204C433">
            <w:pPr>
              <w:keepNext/>
              <w:spacing w:line="360" w:lineRule="auto"/>
              <w:jc w:val="center"/>
              <w:rPr>
                <w:rFonts w:cs="宋体"/>
                <w:color w:val="auto"/>
                <w:szCs w:val="21"/>
              </w:rPr>
            </w:pPr>
          </w:p>
        </w:tc>
        <w:tc>
          <w:tcPr>
            <w:tcW w:w="1627" w:type="pct"/>
            <w:vAlign w:val="center"/>
          </w:tcPr>
          <w:p w14:paraId="68B869D0">
            <w:pPr>
              <w:keepNext/>
              <w:spacing w:line="360" w:lineRule="auto"/>
              <w:jc w:val="center"/>
              <w:rPr>
                <w:rFonts w:cs="宋体"/>
                <w:color w:val="auto"/>
                <w:szCs w:val="21"/>
              </w:rPr>
            </w:pPr>
          </w:p>
        </w:tc>
        <w:tc>
          <w:tcPr>
            <w:tcW w:w="806" w:type="pct"/>
            <w:vAlign w:val="center"/>
          </w:tcPr>
          <w:p w14:paraId="79D500D5">
            <w:pPr>
              <w:keepNext/>
              <w:spacing w:line="360" w:lineRule="auto"/>
              <w:jc w:val="center"/>
              <w:rPr>
                <w:rFonts w:cs="宋体"/>
                <w:color w:val="auto"/>
                <w:szCs w:val="21"/>
              </w:rPr>
            </w:pPr>
          </w:p>
        </w:tc>
      </w:tr>
      <w:tr w14:paraId="6EF3E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Align w:val="center"/>
          </w:tcPr>
          <w:p w14:paraId="45C37C47">
            <w:pPr>
              <w:spacing w:line="360" w:lineRule="auto"/>
              <w:jc w:val="center"/>
              <w:rPr>
                <w:rFonts w:cs="宋体"/>
                <w:color w:val="auto"/>
                <w:szCs w:val="21"/>
              </w:rPr>
            </w:pPr>
            <w:r>
              <w:rPr>
                <w:rFonts w:hint="eastAsia" w:cs="宋体"/>
                <w:color w:val="auto"/>
                <w:szCs w:val="21"/>
              </w:rPr>
              <w:t>项目技术负责人</w:t>
            </w:r>
          </w:p>
        </w:tc>
        <w:tc>
          <w:tcPr>
            <w:tcW w:w="627" w:type="pct"/>
            <w:vAlign w:val="center"/>
          </w:tcPr>
          <w:p w14:paraId="696F035D">
            <w:pPr>
              <w:keepNext/>
              <w:spacing w:line="360" w:lineRule="auto"/>
              <w:jc w:val="center"/>
              <w:rPr>
                <w:rFonts w:cs="宋体"/>
                <w:color w:val="auto"/>
                <w:szCs w:val="21"/>
              </w:rPr>
            </w:pPr>
          </w:p>
        </w:tc>
        <w:tc>
          <w:tcPr>
            <w:tcW w:w="501" w:type="pct"/>
            <w:vAlign w:val="center"/>
          </w:tcPr>
          <w:p w14:paraId="524DF72D">
            <w:pPr>
              <w:keepNext/>
              <w:spacing w:line="360" w:lineRule="auto"/>
              <w:jc w:val="center"/>
              <w:rPr>
                <w:rFonts w:cs="宋体"/>
                <w:color w:val="auto"/>
                <w:szCs w:val="21"/>
              </w:rPr>
            </w:pPr>
          </w:p>
        </w:tc>
        <w:tc>
          <w:tcPr>
            <w:tcW w:w="501" w:type="pct"/>
            <w:vAlign w:val="center"/>
          </w:tcPr>
          <w:p w14:paraId="50F5995E">
            <w:pPr>
              <w:keepNext/>
              <w:spacing w:line="360" w:lineRule="auto"/>
              <w:jc w:val="center"/>
              <w:rPr>
                <w:rFonts w:cs="宋体"/>
                <w:color w:val="auto"/>
                <w:szCs w:val="21"/>
              </w:rPr>
            </w:pPr>
          </w:p>
        </w:tc>
        <w:tc>
          <w:tcPr>
            <w:tcW w:w="1627" w:type="pct"/>
            <w:vAlign w:val="center"/>
          </w:tcPr>
          <w:p w14:paraId="63E0E9FA">
            <w:pPr>
              <w:keepNext/>
              <w:spacing w:line="360" w:lineRule="auto"/>
              <w:jc w:val="center"/>
              <w:rPr>
                <w:rFonts w:cs="宋体"/>
                <w:color w:val="auto"/>
                <w:szCs w:val="21"/>
              </w:rPr>
            </w:pPr>
          </w:p>
        </w:tc>
        <w:tc>
          <w:tcPr>
            <w:tcW w:w="806" w:type="pct"/>
            <w:vAlign w:val="center"/>
          </w:tcPr>
          <w:p w14:paraId="63E78EAF">
            <w:pPr>
              <w:keepNext/>
              <w:spacing w:line="360" w:lineRule="auto"/>
              <w:jc w:val="center"/>
              <w:rPr>
                <w:rFonts w:cs="宋体"/>
                <w:color w:val="auto"/>
                <w:szCs w:val="21"/>
              </w:rPr>
            </w:pPr>
          </w:p>
        </w:tc>
      </w:tr>
      <w:tr w14:paraId="621C4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Align w:val="center"/>
          </w:tcPr>
          <w:p w14:paraId="637E026A">
            <w:pPr>
              <w:spacing w:line="360" w:lineRule="auto"/>
              <w:jc w:val="center"/>
              <w:rPr>
                <w:rFonts w:cs="宋体"/>
                <w:color w:val="auto"/>
                <w:szCs w:val="21"/>
              </w:rPr>
            </w:pPr>
            <w:r>
              <w:rPr>
                <w:rFonts w:hint="eastAsia" w:cs="宋体"/>
                <w:color w:val="auto"/>
                <w:szCs w:val="21"/>
              </w:rPr>
              <w:t>施工员</w:t>
            </w:r>
          </w:p>
        </w:tc>
        <w:tc>
          <w:tcPr>
            <w:tcW w:w="627" w:type="pct"/>
            <w:vAlign w:val="center"/>
          </w:tcPr>
          <w:p w14:paraId="3286C1CB">
            <w:pPr>
              <w:keepNext/>
              <w:spacing w:line="360" w:lineRule="auto"/>
              <w:jc w:val="center"/>
              <w:rPr>
                <w:rFonts w:cs="宋体"/>
                <w:color w:val="auto"/>
                <w:szCs w:val="21"/>
              </w:rPr>
            </w:pPr>
          </w:p>
        </w:tc>
        <w:tc>
          <w:tcPr>
            <w:tcW w:w="501" w:type="pct"/>
            <w:vAlign w:val="center"/>
          </w:tcPr>
          <w:p w14:paraId="31185DB0">
            <w:pPr>
              <w:keepNext/>
              <w:spacing w:line="360" w:lineRule="auto"/>
              <w:jc w:val="center"/>
              <w:rPr>
                <w:rFonts w:cs="宋体"/>
                <w:color w:val="auto"/>
                <w:szCs w:val="21"/>
              </w:rPr>
            </w:pPr>
          </w:p>
        </w:tc>
        <w:tc>
          <w:tcPr>
            <w:tcW w:w="501" w:type="pct"/>
            <w:vAlign w:val="center"/>
          </w:tcPr>
          <w:p w14:paraId="764DC0EA">
            <w:pPr>
              <w:keepNext/>
              <w:spacing w:line="360" w:lineRule="auto"/>
              <w:jc w:val="center"/>
              <w:rPr>
                <w:rFonts w:cs="宋体"/>
                <w:color w:val="auto"/>
                <w:szCs w:val="21"/>
              </w:rPr>
            </w:pPr>
          </w:p>
        </w:tc>
        <w:tc>
          <w:tcPr>
            <w:tcW w:w="1627" w:type="pct"/>
            <w:vAlign w:val="center"/>
          </w:tcPr>
          <w:p w14:paraId="089F1F32">
            <w:pPr>
              <w:keepNext/>
              <w:spacing w:line="360" w:lineRule="auto"/>
              <w:jc w:val="center"/>
              <w:rPr>
                <w:rFonts w:cs="宋体"/>
                <w:color w:val="auto"/>
                <w:szCs w:val="21"/>
              </w:rPr>
            </w:pPr>
          </w:p>
        </w:tc>
        <w:tc>
          <w:tcPr>
            <w:tcW w:w="806" w:type="pct"/>
            <w:vAlign w:val="center"/>
          </w:tcPr>
          <w:p w14:paraId="3E313A8C">
            <w:pPr>
              <w:keepNext/>
              <w:spacing w:line="360" w:lineRule="auto"/>
              <w:jc w:val="center"/>
              <w:rPr>
                <w:rFonts w:cs="宋体"/>
                <w:color w:val="auto"/>
                <w:szCs w:val="21"/>
              </w:rPr>
            </w:pPr>
          </w:p>
        </w:tc>
      </w:tr>
      <w:tr w14:paraId="676F8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Align w:val="center"/>
          </w:tcPr>
          <w:p w14:paraId="280AA175">
            <w:pPr>
              <w:spacing w:line="360" w:lineRule="auto"/>
              <w:jc w:val="center"/>
              <w:rPr>
                <w:rFonts w:cs="宋体"/>
                <w:color w:val="auto"/>
                <w:szCs w:val="21"/>
              </w:rPr>
            </w:pPr>
            <w:r>
              <w:rPr>
                <w:rFonts w:hint="eastAsia" w:cs="宋体"/>
                <w:color w:val="auto"/>
                <w:szCs w:val="21"/>
              </w:rPr>
              <w:t>质检员（质量员）</w:t>
            </w:r>
          </w:p>
        </w:tc>
        <w:tc>
          <w:tcPr>
            <w:tcW w:w="627" w:type="pct"/>
            <w:vAlign w:val="center"/>
          </w:tcPr>
          <w:p w14:paraId="62882FCD">
            <w:pPr>
              <w:keepNext/>
              <w:spacing w:line="360" w:lineRule="auto"/>
              <w:jc w:val="center"/>
              <w:rPr>
                <w:rFonts w:cs="宋体"/>
                <w:color w:val="auto"/>
                <w:szCs w:val="21"/>
              </w:rPr>
            </w:pPr>
          </w:p>
        </w:tc>
        <w:tc>
          <w:tcPr>
            <w:tcW w:w="501" w:type="pct"/>
            <w:vAlign w:val="center"/>
          </w:tcPr>
          <w:p w14:paraId="4994D07F">
            <w:pPr>
              <w:keepNext/>
              <w:spacing w:line="360" w:lineRule="auto"/>
              <w:jc w:val="center"/>
              <w:rPr>
                <w:rFonts w:cs="宋体"/>
                <w:color w:val="auto"/>
                <w:szCs w:val="21"/>
              </w:rPr>
            </w:pPr>
          </w:p>
        </w:tc>
        <w:tc>
          <w:tcPr>
            <w:tcW w:w="501" w:type="pct"/>
            <w:vAlign w:val="center"/>
          </w:tcPr>
          <w:p w14:paraId="7DACA7BD">
            <w:pPr>
              <w:keepNext/>
              <w:spacing w:line="360" w:lineRule="auto"/>
              <w:jc w:val="center"/>
              <w:rPr>
                <w:rFonts w:cs="宋体"/>
                <w:color w:val="auto"/>
                <w:szCs w:val="21"/>
              </w:rPr>
            </w:pPr>
          </w:p>
        </w:tc>
        <w:tc>
          <w:tcPr>
            <w:tcW w:w="1627" w:type="pct"/>
            <w:vAlign w:val="center"/>
          </w:tcPr>
          <w:p w14:paraId="56FE0C1B">
            <w:pPr>
              <w:keepNext/>
              <w:spacing w:line="360" w:lineRule="auto"/>
              <w:jc w:val="center"/>
              <w:rPr>
                <w:rFonts w:cs="宋体"/>
                <w:color w:val="auto"/>
                <w:szCs w:val="21"/>
              </w:rPr>
            </w:pPr>
          </w:p>
        </w:tc>
        <w:tc>
          <w:tcPr>
            <w:tcW w:w="806" w:type="pct"/>
            <w:vAlign w:val="center"/>
          </w:tcPr>
          <w:p w14:paraId="59092AF7">
            <w:pPr>
              <w:keepNext/>
              <w:spacing w:line="360" w:lineRule="auto"/>
              <w:jc w:val="center"/>
              <w:rPr>
                <w:rFonts w:cs="宋体"/>
                <w:color w:val="auto"/>
                <w:szCs w:val="21"/>
              </w:rPr>
            </w:pPr>
          </w:p>
        </w:tc>
      </w:tr>
      <w:tr w14:paraId="2910E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Align w:val="center"/>
          </w:tcPr>
          <w:p w14:paraId="2A70E256">
            <w:pPr>
              <w:spacing w:line="360" w:lineRule="auto"/>
              <w:jc w:val="center"/>
              <w:rPr>
                <w:rFonts w:cs="宋体"/>
                <w:color w:val="auto"/>
                <w:szCs w:val="21"/>
              </w:rPr>
            </w:pPr>
            <w:r>
              <w:rPr>
                <w:rFonts w:hint="eastAsia" w:cs="宋体"/>
                <w:color w:val="auto"/>
                <w:szCs w:val="21"/>
              </w:rPr>
              <w:t>安全员</w:t>
            </w:r>
          </w:p>
        </w:tc>
        <w:tc>
          <w:tcPr>
            <w:tcW w:w="627" w:type="pct"/>
            <w:vAlign w:val="center"/>
          </w:tcPr>
          <w:p w14:paraId="7F7D6FB6">
            <w:pPr>
              <w:keepNext/>
              <w:spacing w:line="360" w:lineRule="auto"/>
              <w:jc w:val="center"/>
              <w:rPr>
                <w:rFonts w:cs="宋体"/>
                <w:color w:val="auto"/>
                <w:szCs w:val="21"/>
              </w:rPr>
            </w:pPr>
          </w:p>
        </w:tc>
        <w:tc>
          <w:tcPr>
            <w:tcW w:w="501" w:type="pct"/>
            <w:vAlign w:val="center"/>
          </w:tcPr>
          <w:p w14:paraId="7E537962">
            <w:pPr>
              <w:keepNext/>
              <w:spacing w:line="360" w:lineRule="auto"/>
              <w:jc w:val="center"/>
              <w:rPr>
                <w:rFonts w:cs="宋体"/>
                <w:color w:val="auto"/>
                <w:szCs w:val="21"/>
              </w:rPr>
            </w:pPr>
          </w:p>
        </w:tc>
        <w:tc>
          <w:tcPr>
            <w:tcW w:w="501" w:type="pct"/>
            <w:vAlign w:val="center"/>
          </w:tcPr>
          <w:p w14:paraId="3BEF8C56">
            <w:pPr>
              <w:keepNext/>
              <w:spacing w:line="360" w:lineRule="auto"/>
              <w:jc w:val="center"/>
              <w:rPr>
                <w:rFonts w:cs="宋体"/>
                <w:color w:val="auto"/>
                <w:szCs w:val="21"/>
              </w:rPr>
            </w:pPr>
          </w:p>
        </w:tc>
        <w:tc>
          <w:tcPr>
            <w:tcW w:w="1627" w:type="pct"/>
            <w:vAlign w:val="center"/>
          </w:tcPr>
          <w:p w14:paraId="397DC83E">
            <w:pPr>
              <w:keepNext/>
              <w:spacing w:line="360" w:lineRule="auto"/>
              <w:jc w:val="center"/>
              <w:rPr>
                <w:rFonts w:cs="宋体"/>
                <w:color w:val="auto"/>
                <w:szCs w:val="21"/>
              </w:rPr>
            </w:pPr>
          </w:p>
        </w:tc>
        <w:tc>
          <w:tcPr>
            <w:tcW w:w="806" w:type="pct"/>
            <w:vAlign w:val="center"/>
          </w:tcPr>
          <w:p w14:paraId="5442EE8A">
            <w:pPr>
              <w:keepNext/>
              <w:spacing w:line="360" w:lineRule="auto"/>
              <w:jc w:val="center"/>
              <w:rPr>
                <w:rFonts w:cs="宋体"/>
                <w:color w:val="auto"/>
                <w:szCs w:val="21"/>
              </w:rPr>
            </w:pPr>
          </w:p>
        </w:tc>
      </w:tr>
      <w:tr w14:paraId="4C65E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Align w:val="center"/>
          </w:tcPr>
          <w:p w14:paraId="29E63443">
            <w:pPr>
              <w:spacing w:line="360" w:lineRule="auto"/>
              <w:jc w:val="center"/>
              <w:rPr>
                <w:rFonts w:cs="宋体"/>
                <w:color w:val="auto"/>
                <w:szCs w:val="21"/>
              </w:rPr>
            </w:pPr>
            <w:r>
              <w:rPr>
                <w:rFonts w:hint="eastAsia" w:cs="宋体"/>
                <w:color w:val="auto"/>
                <w:szCs w:val="21"/>
              </w:rPr>
              <w:t>资料员</w:t>
            </w:r>
          </w:p>
        </w:tc>
        <w:tc>
          <w:tcPr>
            <w:tcW w:w="627" w:type="pct"/>
            <w:vAlign w:val="center"/>
          </w:tcPr>
          <w:p w14:paraId="3BC719D1">
            <w:pPr>
              <w:keepNext/>
              <w:spacing w:line="360" w:lineRule="auto"/>
              <w:jc w:val="center"/>
              <w:rPr>
                <w:rFonts w:cs="宋体"/>
                <w:color w:val="auto"/>
                <w:szCs w:val="21"/>
              </w:rPr>
            </w:pPr>
          </w:p>
        </w:tc>
        <w:tc>
          <w:tcPr>
            <w:tcW w:w="501" w:type="pct"/>
            <w:vAlign w:val="center"/>
          </w:tcPr>
          <w:p w14:paraId="54A47101">
            <w:pPr>
              <w:keepNext/>
              <w:spacing w:line="360" w:lineRule="auto"/>
              <w:jc w:val="center"/>
              <w:rPr>
                <w:rFonts w:cs="宋体"/>
                <w:color w:val="auto"/>
                <w:szCs w:val="21"/>
              </w:rPr>
            </w:pPr>
          </w:p>
        </w:tc>
        <w:tc>
          <w:tcPr>
            <w:tcW w:w="501" w:type="pct"/>
            <w:vAlign w:val="center"/>
          </w:tcPr>
          <w:p w14:paraId="3DE285C8">
            <w:pPr>
              <w:keepNext/>
              <w:spacing w:line="360" w:lineRule="auto"/>
              <w:jc w:val="center"/>
              <w:rPr>
                <w:rFonts w:cs="宋体"/>
                <w:color w:val="auto"/>
                <w:szCs w:val="21"/>
              </w:rPr>
            </w:pPr>
          </w:p>
        </w:tc>
        <w:tc>
          <w:tcPr>
            <w:tcW w:w="1627" w:type="pct"/>
            <w:vAlign w:val="center"/>
          </w:tcPr>
          <w:p w14:paraId="44BE4025">
            <w:pPr>
              <w:keepNext/>
              <w:spacing w:line="360" w:lineRule="auto"/>
              <w:jc w:val="center"/>
              <w:rPr>
                <w:rFonts w:cs="宋体"/>
                <w:color w:val="auto"/>
                <w:szCs w:val="21"/>
              </w:rPr>
            </w:pPr>
          </w:p>
        </w:tc>
        <w:tc>
          <w:tcPr>
            <w:tcW w:w="806" w:type="pct"/>
            <w:vAlign w:val="center"/>
          </w:tcPr>
          <w:p w14:paraId="21A0C952">
            <w:pPr>
              <w:keepNext/>
              <w:spacing w:line="360" w:lineRule="auto"/>
              <w:jc w:val="center"/>
              <w:rPr>
                <w:rFonts w:cs="宋体"/>
                <w:color w:val="auto"/>
                <w:szCs w:val="21"/>
              </w:rPr>
            </w:pPr>
          </w:p>
        </w:tc>
      </w:tr>
      <w:tr w14:paraId="0B5FB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Merge w:val="restart"/>
            <w:vAlign w:val="center"/>
          </w:tcPr>
          <w:p w14:paraId="3909439E">
            <w:pPr>
              <w:spacing w:line="360" w:lineRule="auto"/>
              <w:jc w:val="center"/>
              <w:rPr>
                <w:rFonts w:cs="宋体"/>
                <w:color w:val="auto"/>
                <w:szCs w:val="21"/>
              </w:rPr>
            </w:pPr>
            <w:r>
              <w:rPr>
                <w:rFonts w:hint="eastAsia" w:cs="宋体"/>
                <w:color w:val="auto"/>
                <w:szCs w:val="21"/>
              </w:rPr>
              <w:t>其他人员</w:t>
            </w:r>
          </w:p>
        </w:tc>
        <w:tc>
          <w:tcPr>
            <w:tcW w:w="627" w:type="pct"/>
            <w:vAlign w:val="center"/>
          </w:tcPr>
          <w:p w14:paraId="5CC87484">
            <w:pPr>
              <w:keepNext/>
              <w:spacing w:line="360" w:lineRule="auto"/>
              <w:jc w:val="center"/>
              <w:rPr>
                <w:rFonts w:cs="宋体"/>
                <w:color w:val="auto"/>
                <w:szCs w:val="21"/>
              </w:rPr>
            </w:pPr>
          </w:p>
        </w:tc>
        <w:tc>
          <w:tcPr>
            <w:tcW w:w="501" w:type="pct"/>
            <w:vAlign w:val="center"/>
          </w:tcPr>
          <w:p w14:paraId="6F7196E4">
            <w:pPr>
              <w:keepNext/>
              <w:spacing w:line="360" w:lineRule="auto"/>
              <w:jc w:val="center"/>
              <w:rPr>
                <w:rFonts w:cs="宋体"/>
                <w:color w:val="auto"/>
                <w:szCs w:val="21"/>
              </w:rPr>
            </w:pPr>
          </w:p>
        </w:tc>
        <w:tc>
          <w:tcPr>
            <w:tcW w:w="501" w:type="pct"/>
            <w:vAlign w:val="center"/>
          </w:tcPr>
          <w:p w14:paraId="2966A8BB">
            <w:pPr>
              <w:keepNext/>
              <w:spacing w:line="360" w:lineRule="auto"/>
              <w:jc w:val="center"/>
              <w:rPr>
                <w:rFonts w:cs="宋体"/>
                <w:color w:val="auto"/>
                <w:szCs w:val="21"/>
              </w:rPr>
            </w:pPr>
          </w:p>
        </w:tc>
        <w:tc>
          <w:tcPr>
            <w:tcW w:w="1627" w:type="pct"/>
            <w:vAlign w:val="center"/>
          </w:tcPr>
          <w:p w14:paraId="116553F4">
            <w:pPr>
              <w:keepNext/>
              <w:spacing w:line="360" w:lineRule="auto"/>
              <w:jc w:val="center"/>
              <w:rPr>
                <w:rFonts w:cs="宋体"/>
                <w:color w:val="auto"/>
                <w:szCs w:val="21"/>
              </w:rPr>
            </w:pPr>
          </w:p>
        </w:tc>
        <w:tc>
          <w:tcPr>
            <w:tcW w:w="806" w:type="pct"/>
            <w:vAlign w:val="center"/>
          </w:tcPr>
          <w:p w14:paraId="670DE0FF">
            <w:pPr>
              <w:keepNext/>
              <w:spacing w:line="360" w:lineRule="auto"/>
              <w:jc w:val="center"/>
              <w:rPr>
                <w:rFonts w:cs="宋体"/>
                <w:color w:val="auto"/>
                <w:szCs w:val="21"/>
              </w:rPr>
            </w:pPr>
          </w:p>
        </w:tc>
      </w:tr>
      <w:tr w14:paraId="7EB58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Merge w:val="continue"/>
            <w:vAlign w:val="center"/>
          </w:tcPr>
          <w:p w14:paraId="66257265">
            <w:pPr>
              <w:keepNext/>
              <w:spacing w:line="360" w:lineRule="auto"/>
              <w:jc w:val="center"/>
              <w:rPr>
                <w:rFonts w:cs="宋体"/>
                <w:color w:val="auto"/>
                <w:szCs w:val="21"/>
              </w:rPr>
            </w:pPr>
          </w:p>
        </w:tc>
        <w:tc>
          <w:tcPr>
            <w:tcW w:w="627" w:type="pct"/>
            <w:tcBorders>
              <w:bottom w:val="nil"/>
            </w:tcBorders>
            <w:vAlign w:val="center"/>
          </w:tcPr>
          <w:p w14:paraId="25953F96">
            <w:pPr>
              <w:keepNext/>
              <w:spacing w:line="360" w:lineRule="auto"/>
              <w:jc w:val="center"/>
              <w:rPr>
                <w:rFonts w:cs="宋体"/>
                <w:color w:val="auto"/>
                <w:szCs w:val="21"/>
              </w:rPr>
            </w:pPr>
          </w:p>
        </w:tc>
        <w:tc>
          <w:tcPr>
            <w:tcW w:w="501" w:type="pct"/>
            <w:tcBorders>
              <w:bottom w:val="nil"/>
            </w:tcBorders>
            <w:vAlign w:val="center"/>
          </w:tcPr>
          <w:p w14:paraId="12C3247B">
            <w:pPr>
              <w:keepNext/>
              <w:spacing w:line="360" w:lineRule="auto"/>
              <w:jc w:val="center"/>
              <w:rPr>
                <w:rFonts w:cs="宋体"/>
                <w:color w:val="auto"/>
                <w:szCs w:val="21"/>
              </w:rPr>
            </w:pPr>
          </w:p>
        </w:tc>
        <w:tc>
          <w:tcPr>
            <w:tcW w:w="501" w:type="pct"/>
            <w:tcBorders>
              <w:bottom w:val="nil"/>
            </w:tcBorders>
            <w:vAlign w:val="center"/>
          </w:tcPr>
          <w:p w14:paraId="6A5BBF4F">
            <w:pPr>
              <w:keepNext/>
              <w:spacing w:line="360" w:lineRule="auto"/>
              <w:jc w:val="center"/>
              <w:rPr>
                <w:rFonts w:cs="宋体"/>
                <w:color w:val="auto"/>
                <w:szCs w:val="21"/>
              </w:rPr>
            </w:pPr>
          </w:p>
        </w:tc>
        <w:tc>
          <w:tcPr>
            <w:tcW w:w="1627" w:type="pct"/>
            <w:tcBorders>
              <w:bottom w:val="nil"/>
            </w:tcBorders>
            <w:vAlign w:val="center"/>
          </w:tcPr>
          <w:p w14:paraId="130D3288">
            <w:pPr>
              <w:keepNext/>
              <w:spacing w:line="360" w:lineRule="auto"/>
              <w:jc w:val="center"/>
              <w:rPr>
                <w:rFonts w:cs="宋体"/>
                <w:color w:val="auto"/>
                <w:szCs w:val="21"/>
              </w:rPr>
            </w:pPr>
          </w:p>
        </w:tc>
        <w:tc>
          <w:tcPr>
            <w:tcW w:w="806" w:type="pct"/>
            <w:tcBorders>
              <w:bottom w:val="nil"/>
            </w:tcBorders>
            <w:vAlign w:val="center"/>
          </w:tcPr>
          <w:p w14:paraId="1E18B63C">
            <w:pPr>
              <w:keepNext/>
              <w:spacing w:line="360" w:lineRule="auto"/>
              <w:jc w:val="center"/>
              <w:rPr>
                <w:rFonts w:cs="宋体"/>
                <w:color w:val="auto"/>
                <w:szCs w:val="21"/>
              </w:rPr>
            </w:pPr>
          </w:p>
        </w:tc>
      </w:tr>
      <w:tr w14:paraId="546CE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Merge w:val="continue"/>
            <w:vAlign w:val="center"/>
          </w:tcPr>
          <w:p w14:paraId="0557212B">
            <w:pPr>
              <w:keepNext/>
              <w:spacing w:line="360" w:lineRule="auto"/>
              <w:jc w:val="center"/>
              <w:rPr>
                <w:rFonts w:cs="宋体"/>
                <w:color w:val="auto"/>
                <w:szCs w:val="21"/>
              </w:rPr>
            </w:pPr>
          </w:p>
        </w:tc>
        <w:tc>
          <w:tcPr>
            <w:tcW w:w="627" w:type="pct"/>
            <w:vAlign w:val="center"/>
          </w:tcPr>
          <w:p w14:paraId="2BFDF8FB">
            <w:pPr>
              <w:keepNext/>
              <w:spacing w:line="360" w:lineRule="auto"/>
              <w:jc w:val="center"/>
              <w:rPr>
                <w:rFonts w:cs="宋体"/>
                <w:color w:val="auto"/>
                <w:szCs w:val="21"/>
              </w:rPr>
            </w:pPr>
          </w:p>
        </w:tc>
        <w:tc>
          <w:tcPr>
            <w:tcW w:w="501" w:type="pct"/>
            <w:vAlign w:val="center"/>
          </w:tcPr>
          <w:p w14:paraId="056AF6C0">
            <w:pPr>
              <w:keepNext/>
              <w:spacing w:line="360" w:lineRule="auto"/>
              <w:jc w:val="center"/>
              <w:rPr>
                <w:rFonts w:cs="宋体"/>
                <w:color w:val="auto"/>
                <w:szCs w:val="21"/>
              </w:rPr>
            </w:pPr>
          </w:p>
        </w:tc>
        <w:tc>
          <w:tcPr>
            <w:tcW w:w="501" w:type="pct"/>
            <w:vAlign w:val="center"/>
          </w:tcPr>
          <w:p w14:paraId="308322D4">
            <w:pPr>
              <w:keepNext/>
              <w:spacing w:line="360" w:lineRule="auto"/>
              <w:jc w:val="center"/>
              <w:rPr>
                <w:rFonts w:cs="宋体"/>
                <w:color w:val="auto"/>
                <w:szCs w:val="21"/>
              </w:rPr>
            </w:pPr>
          </w:p>
        </w:tc>
        <w:tc>
          <w:tcPr>
            <w:tcW w:w="1627" w:type="pct"/>
            <w:vAlign w:val="center"/>
          </w:tcPr>
          <w:p w14:paraId="67FC6CF1">
            <w:pPr>
              <w:keepNext/>
              <w:spacing w:line="360" w:lineRule="auto"/>
              <w:jc w:val="center"/>
              <w:rPr>
                <w:rFonts w:cs="宋体"/>
                <w:color w:val="auto"/>
                <w:szCs w:val="21"/>
              </w:rPr>
            </w:pPr>
          </w:p>
        </w:tc>
        <w:tc>
          <w:tcPr>
            <w:tcW w:w="806" w:type="pct"/>
            <w:vAlign w:val="center"/>
          </w:tcPr>
          <w:p w14:paraId="578F75FE">
            <w:pPr>
              <w:keepNext/>
              <w:spacing w:line="360" w:lineRule="auto"/>
              <w:jc w:val="center"/>
              <w:rPr>
                <w:rFonts w:cs="宋体"/>
                <w:color w:val="auto"/>
                <w:szCs w:val="21"/>
              </w:rPr>
            </w:pPr>
          </w:p>
        </w:tc>
      </w:tr>
      <w:tr w14:paraId="04371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Merge w:val="continue"/>
            <w:vAlign w:val="center"/>
          </w:tcPr>
          <w:p w14:paraId="2AE46B70">
            <w:pPr>
              <w:keepNext/>
              <w:spacing w:line="360" w:lineRule="auto"/>
              <w:jc w:val="center"/>
              <w:rPr>
                <w:rFonts w:cs="宋体"/>
                <w:color w:val="auto"/>
                <w:szCs w:val="21"/>
              </w:rPr>
            </w:pPr>
          </w:p>
        </w:tc>
        <w:tc>
          <w:tcPr>
            <w:tcW w:w="627" w:type="pct"/>
            <w:vAlign w:val="center"/>
          </w:tcPr>
          <w:p w14:paraId="6BC529C9">
            <w:pPr>
              <w:keepNext/>
              <w:spacing w:line="360" w:lineRule="auto"/>
              <w:jc w:val="center"/>
              <w:rPr>
                <w:rFonts w:cs="宋体"/>
                <w:color w:val="auto"/>
                <w:szCs w:val="21"/>
              </w:rPr>
            </w:pPr>
          </w:p>
        </w:tc>
        <w:tc>
          <w:tcPr>
            <w:tcW w:w="501" w:type="pct"/>
            <w:vAlign w:val="center"/>
          </w:tcPr>
          <w:p w14:paraId="385CB69C">
            <w:pPr>
              <w:keepNext/>
              <w:spacing w:line="360" w:lineRule="auto"/>
              <w:jc w:val="center"/>
              <w:rPr>
                <w:rFonts w:cs="宋体"/>
                <w:color w:val="auto"/>
                <w:szCs w:val="21"/>
              </w:rPr>
            </w:pPr>
          </w:p>
        </w:tc>
        <w:tc>
          <w:tcPr>
            <w:tcW w:w="501" w:type="pct"/>
            <w:vAlign w:val="center"/>
          </w:tcPr>
          <w:p w14:paraId="0815DEA3">
            <w:pPr>
              <w:keepNext/>
              <w:spacing w:line="360" w:lineRule="auto"/>
              <w:jc w:val="center"/>
              <w:rPr>
                <w:rFonts w:cs="宋体"/>
                <w:color w:val="auto"/>
                <w:szCs w:val="21"/>
              </w:rPr>
            </w:pPr>
          </w:p>
        </w:tc>
        <w:tc>
          <w:tcPr>
            <w:tcW w:w="1627" w:type="pct"/>
            <w:vAlign w:val="center"/>
          </w:tcPr>
          <w:p w14:paraId="01F45A9E">
            <w:pPr>
              <w:keepNext/>
              <w:spacing w:line="360" w:lineRule="auto"/>
              <w:jc w:val="center"/>
              <w:rPr>
                <w:rFonts w:cs="宋体"/>
                <w:color w:val="auto"/>
                <w:szCs w:val="21"/>
              </w:rPr>
            </w:pPr>
          </w:p>
        </w:tc>
        <w:tc>
          <w:tcPr>
            <w:tcW w:w="806" w:type="pct"/>
            <w:vAlign w:val="center"/>
          </w:tcPr>
          <w:p w14:paraId="3B7AD5B9">
            <w:pPr>
              <w:keepNext/>
              <w:spacing w:line="360" w:lineRule="auto"/>
              <w:jc w:val="center"/>
              <w:rPr>
                <w:rFonts w:cs="宋体"/>
                <w:color w:val="auto"/>
                <w:szCs w:val="21"/>
              </w:rPr>
            </w:pPr>
          </w:p>
        </w:tc>
      </w:tr>
      <w:tr w14:paraId="143B2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Merge w:val="continue"/>
            <w:vAlign w:val="center"/>
          </w:tcPr>
          <w:p w14:paraId="5B0F8B96">
            <w:pPr>
              <w:keepNext/>
              <w:spacing w:line="360" w:lineRule="auto"/>
              <w:jc w:val="center"/>
              <w:rPr>
                <w:rFonts w:cs="宋体"/>
                <w:color w:val="auto"/>
                <w:szCs w:val="21"/>
              </w:rPr>
            </w:pPr>
          </w:p>
        </w:tc>
        <w:tc>
          <w:tcPr>
            <w:tcW w:w="627" w:type="pct"/>
            <w:vAlign w:val="center"/>
          </w:tcPr>
          <w:p w14:paraId="16554DD8">
            <w:pPr>
              <w:keepNext/>
              <w:spacing w:line="360" w:lineRule="auto"/>
              <w:jc w:val="center"/>
              <w:rPr>
                <w:rFonts w:cs="宋体"/>
                <w:color w:val="auto"/>
                <w:szCs w:val="21"/>
              </w:rPr>
            </w:pPr>
          </w:p>
        </w:tc>
        <w:tc>
          <w:tcPr>
            <w:tcW w:w="501" w:type="pct"/>
            <w:vAlign w:val="center"/>
          </w:tcPr>
          <w:p w14:paraId="60363F02">
            <w:pPr>
              <w:keepNext/>
              <w:spacing w:line="360" w:lineRule="auto"/>
              <w:jc w:val="center"/>
              <w:rPr>
                <w:rFonts w:cs="宋体"/>
                <w:color w:val="auto"/>
                <w:szCs w:val="21"/>
              </w:rPr>
            </w:pPr>
          </w:p>
        </w:tc>
        <w:tc>
          <w:tcPr>
            <w:tcW w:w="501" w:type="pct"/>
            <w:vAlign w:val="center"/>
          </w:tcPr>
          <w:p w14:paraId="5CAFEA94">
            <w:pPr>
              <w:keepNext/>
              <w:spacing w:line="360" w:lineRule="auto"/>
              <w:jc w:val="center"/>
              <w:rPr>
                <w:rFonts w:cs="宋体"/>
                <w:color w:val="auto"/>
                <w:szCs w:val="21"/>
              </w:rPr>
            </w:pPr>
          </w:p>
        </w:tc>
        <w:tc>
          <w:tcPr>
            <w:tcW w:w="1627" w:type="pct"/>
            <w:vAlign w:val="center"/>
          </w:tcPr>
          <w:p w14:paraId="133B064C">
            <w:pPr>
              <w:keepNext/>
              <w:spacing w:line="360" w:lineRule="auto"/>
              <w:jc w:val="center"/>
              <w:rPr>
                <w:rFonts w:cs="宋体"/>
                <w:color w:val="auto"/>
                <w:szCs w:val="21"/>
              </w:rPr>
            </w:pPr>
          </w:p>
        </w:tc>
        <w:tc>
          <w:tcPr>
            <w:tcW w:w="806" w:type="pct"/>
            <w:vAlign w:val="center"/>
          </w:tcPr>
          <w:p w14:paraId="1FADE7C7">
            <w:pPr>
              <w:keepNext/>
              <w:spacing w:line="360" w:lineRule="auto"/>
              <w:jc w:val="center"/>
              <w:rPr>
                <w:rFonts w:cs="宋体"/>
                <w:color w:val="auto"/>
                <w:szCs w:val="21"/>
              </w:rPr>
            </w:pPr>
          </w:p>
        </w:tc>
      </w:tr>
      <w:tr w14:paraId="51B40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6" w:type="pct"/>
            <w:vMerge w:val="continue"/>
            <w:tcBorders>
              <w:bottom w:val="single" w:color="auto" w:sz="12" w:space="0"/>
            </w:tcBorders>
            <w:vAlign w:val="center"/>
          </w:tcPr>
          <w:p w14:paraId="5656DD7B">
            <w:pPr>
              <w:keepNext/>
              <w:spacing w:line="360" w:lineRule="auto"/>
              <w:jc w:val="center"/>
              <w:rPr>
                <w:rFonts w:cs="宋体"/>
                <w:color w:val="auto"/>
                <w:szCs w:val="21"/>
              </w:rPr>
            </w:pPr>
          </w:p>
        </w:tc>
        <w:tc>
          <w:tcPr>
            <w:tcW w:w="627" w:type="pct"/>
            <w:tcBorders>
              <w:bottom w:val="single" w:color="auto" w:sz="12" w:space="0"/>
            </w:tcBorders>
            <w:vAlign w:val="center"/>
          </w:tcPr>
          <w:p w14:paraId="1093876E">
            <w:pPr>
              <w:keepNext/>
              <w:spacing w:line="360" w:lineRule="auto"/>
              <w:jc w:val="center"/>
              <w:rPr>
                <w:rFonts w:cs="宋体"/>
                <w:color w:val="auto"/>
                <w:szCs w:val="21"/>
              </w:rPr>
            </w:pPr>
          </w:p>
        </w:tc>
        <w:tc>
          <w:tcPr>
            <w:tcW w:w="501" w:type="pct"/>
            <w:tcBorders>
              <w:bottom w:val="single" w:color="auto" w:sz="12" w:space="0"/>
            </w:tcBorders>
            <w:vAlign w:val="center"/>
          </w:tcPr>
          <w:p w14:paraId="19A0A1ED">
            <w:pPr>
              <w:keepNext/>
              <w:spacing w:line="360" w:lineRule="auto"/>
              <w:jc w:val="center"/>
              <w:rPr>
                <w:rFonts w:cs="宋体"/>
                <w:color w:val="auto"/>
                <w:szCs w:val="21"/>
              </w:rPr>
            </w:pPr>
          </w:p>
        </w:tc>
        <w:tc>
          <w:tcPr>
            <w:tcW w:w="501" w:type="pct"/>
            <w:tcBorders>
              <w:bottom w:val="single" w:color="auto" w:sz="12" w:space="0"/>
            </w:tcBorders>
            <w:vAlign w:val="center"/>
          </w:tcPr>
          <w:p w14:paraId="2B84F432">
            <w:pPr>
              <w:keepNext/>
              <w:spacing w:line="360" w:lineRule="auto"/>
              <w:jc w:val="center"/>
              <w:rPr>
                <w:rFonts w:cs="宋体"/>
                <w:color w:val="auto"/>
                <w:szCs w:val="21"/>
              </w:rPr>
            </w:pPr>
          </w:p>
        </w:tc>
        <w:tc>
          <w:tcPr>
            <w:tcW w:w="1627" w:type="pct"/>
            <w:tcBorders>
              <w:bottom w:val="single" w:color="auto" w:sz="12" w:space="0"/>
            </w:tcBorders>
            <w:vAlign w:val="center"/>
          </w:tcPr>
          <w:p w14:paraId="386E99B4">
            <w:pPr>
              <w:keepNext/>
              <w:spacing w:line="360" w:lineRule="auto"/>
              <w:jc w:val="center"/>
              <w:rPr>
                <w:rFonts w:cs="宋体"/>
                <w:color w:val="auto"/>
                <w:szCs w:val="21"/>
              </w:rPr>
            </w:pPr>
          </w:p>
        </w:tc>
        <w:tc>
          <w:tcPr>
            <w:tcW w:w="806" w:type="pct"/>
            <w:tcBorders>
              <w:bottom w:val="single" w:color="auto" w:sz="12" w:space="0"/>
            </w:tcBorders>
            <w:vAlign w:val="center"/>
          </w:tcPr>
          <w:p w14:paraId="64A016EE">
            <w:pPr>
              <w:keepNext/>
              <w:spacing w:line="360" w:lineRule="auto"/>
              <w:jc w:val="center"/>
              <w:rPr>
                <w:rFonts w:cs="宋体"/>
                <w:color w:val="auto"/>
                <w:szCs w:val="21"/>
              </w:rPr>
            </w:pPr>
          </w:p>
        </w:tc>
      </w:tr>
    </w:tbl>
    <w:p w14:paraId="754C1ABB">
      <w:pPr>
        <w:spacing w:before="312" w:beforeLines="100" w:after="312" w:afterLines="100"/>
        <w:outlineLvl w:val="2"/>
        <w:rPr>
          <w:rFonts w:hint="eastAsia" w:ascii="Times New Roman" w:eastAsia="黑体"/>
          <w:color w:val="auto"/>
          <w:szCs w:val="24"/>
        </w:rPr>
      </w:pPr>
      <w:bookmarkStart w:id="1141" w:name="_Toc128950242"/>
    </w:p>
    <w:p w14:paraId="14A9140A">
      <w:pPr>
        <w:spacing w:before="312" w:beforeLines="100" w:after="312" w:afterLines="100"/>
        <w:outlineLvl w:val="2"/>
        <w:rPr>
          <w:rFonts w:hint="eastAsia" w:ascii="Times New Roman" w:eastAsia="黑体"/>
          <w:color w:val="auto"/>
          <w:szCs w:val="24"/>
        </w:rPr>
      </w:pPr>
    </w:p>
    <w:p w14:paraId="21CF4A97">
      <w:pPr>
        <w:spacing w:before="312" w:beforeLines="100" w:after="312" w:afterLines="100"/>
        <w:outlineLvl w:val="2"/>
        <w:rPr>
          <w:rFonts w:hint="eastAsia" w:ascii="Times New Roman" w:eastAsia="黑体"/>
          <w:color w:val="auto"/>
          <w:szCs w:val="24"/>
        </w:rPr>
      </w:pPr>
    </w:p>
    <w:p w14:paraId="0D872559">
      <w:pPr>
        <w:spacing w:before="312" w:beforeLines="100" w:after="312" w:afterLines="100"/>
        <w:outlineLvl w:val="2"/>
        <w:rPr>
          <w:rFonts w:hint="eastAsia" w:ascii="Times New Roman" w:eastAsia="黑体"/>
          <w:color w:val="auto"/>
          <w:szCs w:val="24"/>
        </w:rPr>
      </w:pPr>
    </w:p>
    <w:p w14:paraId="2358DB07">
      <w:pPr>
        <w:spacing w:before="312" w:beforeLines="100" w:after="312" w:afterLines="100"/>
        <w:outlineLvl w:val="2"/>
        <w:rPr>
          <w:rFonts w:hint="eastAsia" w:ascii="Times New Roman" w:eastAsia="黑体"/>
          <w:color w:val="auto"/>
          <w:szCs w:val="24"/>
        </w:rPr>
      </w:pPr>
    </w:p>
    <w:p w14:paraId="5FE24A73">
      <w:pPr>
        <w:spacing w:before="312" w:beforeLines="100" w:after="312" w:afterLines="100"/>
        <w:outlineLvl w:val="2"/>
        <w:rPr>
          <w:rFonts w:hint="eastAsia" w:ascii="Times New Roman" w:eastAsia="黑体"/>
          <w:color w:val="auto"/>
          <w:szCs w:val="24"/>
        </w:rPr>
      </w:pPr>
    </w:p>
    <w:p w14:paraId="34E33AA9">
      <w:pPr>
        <w:spacing w:before="312" w:beforeLines="100" w:after="312" w:afterLines="100"/>
        <w:outlineLvl w:val="2"/>
        <w:rPr>
          <w:rFonts w:hint="eastAsia" w:ascii="Times New Roman" w:eastAsia="黑体"/>
          <w:color w:val="auto"/>
          <w:szCs w:val="24"/>
        </w:rPr>
      </w:pPr>
    </w:p>
    <w:p w14:paraId="7A238ECE">
      <w:pPr>
        <w:spacing w:before="312" w:beforeLines="100" w:after="312" w:afterLines="100"/>
        <w:outlineLvl w:val="2"/>
        <w:rPr>
          <w:rFonts w:hint="eastAsia" w:ascii="Times New Roman" w:eastAsia="黑体"/>
          <w:color w:val="auto"/>
          <w:szCs w:val="24"/>
        </w:rPr>
      </w:pPr>
    </w:p>
    <w:p w14:paraId="0BB9A9B8">
      <w:pPr>
        <w:spacing w:before="312" w:beforeLines="100" w:after="312" w:afterLines="100"/>
        <w:outlineLvl w:val="2"/>
        <w:rPr>
          <w:rFonts w:hint="eastAsia" w:ascii="Times New Roman" w:eastAsia="黑体"/>
          <w:color w:val="auto"/>
          <w:szCs w:val="24"/>
        </w:rPr>
      </w:pPr>
    </w:p>
    <w:p w14:paraId="59C6D9F9">
      <w:pPr>
        <w:spacing w:before="312" w:beforeLines="100" w:after="312" w:afterLines="100"/>
        <w:outlineLvl w:val="2"/>
        <w:rPr>
          <w:rFonts w:ascii="Times New Roman" w:eastAsia="黑体"/>
          <w:color w:val="auto"/>
          <w:szCs w:val="24"/>
        </w:rPr>
      </w:pPr>
      <w:r>
        <w:rPr>
          <w:rFonts w:hint="eastAsia" w:ascii="Times New Roman" w:eastAsia="黑体"/>
          <w:color w:val="auto"/>
          <w:szCs w:val="24"/>
        </w:rPr>
        <w:t>附</w:t>
      </w:r>
      <w:bookmarkStart w:id="1142" w:name="_Toc296891269"/>
      <w:bookmarkStart w:id="1143" w:name="_Toc296503229"/>
      <w:bookmarkStart w:id="1144" w:name="_Toc296891057"/>
      <w:bookmarkStart w:id="1145" w:name="_Toc296346730"/>
      <w:bookmarkStart w:id="1146" w:name="_Toc296944568"/>
      <w:bookmarkStart w:id="1147" w:name="_Toc296347228"/>
      <w:r>
        <w:rPr>
          <w:rFonts w:hint="eastAsia" w:ascii="Times New Roman" w:eastAsia="黑体"/>
          <w:color w:val="auto"/>
          <w:szCs w:val="24"/>
        </w:rPr>
        <w:t>件</w:t>
      </w:r>
      <w:r>
        <w:rPr>
          <w:rFonts w:ascii="Times New Roman" w:eastAsia="黑体"/>
          <w:color w:val="auto"/>
          <w:szCs w:val="24"/>
        </w:rPr>
        <w:t>7</w:t>
      </w:r>
      <w:r>
        <w:rPr>
          <w:rFonts w:hint="eastAsia" w:ascii="Times New Roman" w:eastAsia="黑体"/>
          <w:color w:val="auto"/>
          <w:szCs w:val="24"/>
        </w:rPr>
        <w:t>：分包人主要施工管理人员表</w:t>
      </w:r>
      <w:bookmarkEnd w:id="1141"/>
    </w:p>
    <w:bookmarkEnd w:id="1142"/>
    <w:bookmarkEnd w:id="1143"/>
    <w:bookmarkEnd w:id="1144"/>
    <w:bookmarkEnd w:id="1145"/>
    <w:bookmarkEnd w:id="1146"/>
    <w:bookmarkEnd w:id="1147"/>
    <w:p w14:paraId="662A2185">
      <w:pPr>
        <w:spacing w:before="156" w:beforeLines="50" w:after="156" w:afterLines="50" w:line="360" w:lineRule="auto"/>
        <w:jc w:val="center"/>
        <w:rPr>
          <w:rFonts w:cs="宋体"/>
          <w:b/>
          <w:color w:val="auto"/>
          <w:szCs w:val="21"/>
        </w:rPr>
      </w:pPr>
      <w:r>
        <w:rPr>
          <w:rFonts w:hint="eastAsia" w:cs="宋体"/>
          <w:b/>
          <w:color w:val="auto"/>
          <w:szCs w:val="21"/>
        </w:rPr>
        <w:t>分包人主要施工管理人员表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00"/>
        <w:gridCol w:w="1138"/>
        <w:gridCol w:w="911"/>
        <w:gridCol w:w="662"/>
        <w:gridCol w:w="3353"/>
        <w:gridCol w:w="1312"/>
      </w:tblGrid>
      <w:tr w14:paraId="4DABF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2BBEB0FD">
            <w:pPr>
              <w:keepNext/>
              <w:spacing w:line="360" w:lineRule="auto"/>
              <w:jc w:val="center"/>
              <w:rPr>
                <w:rFonts w:cs="宋体"/>
                <w:color w:val="auto"/>
                <w:szCs w:val="21"/>
              </w:rPr>
            </w:pPr>
            <w:r>
              <w:rPr>
                <w:rFonts w:hint="eastAsia" w:cs="宋体"/>
                <w:color w:val="auto"/>
                <w:szCs w:val="21"/>
              </w:rPr>
              <w:t>名称</w:t>
            </w:r>
          </w:p>
        </w:tc>
        <w:tc>
          <w:tcPr>
            <w:tcW w:w="641" w:type="pct"/>
            <w:tcBorders>
              <w:top w:val="single" w:color="auto" w:sz="12" w:space="0"/>
              <w:bottom w:val="double" w:color="auto" w:sz="6" w:space="0"/>
            </w:tcBorders>
            <w:vAlign w:val="center"/>
          </w:tcPr>
          <w:p w14:paraId="54CEE445">
            <w:pPr>
              <w:keepNext/>
              <w:spacing w:line="360" w:lineRule="auto"/>
              <w:jc w:val="center"/>
              <w:rPr>
                <w:rFonts w:cs="宋体"/>
                <w:color w:val="auto"/>
                <w:szCs w:val="21"/>
              </w:rPr>
            </w:pPr>
            <w:r>
              <w:rPr>
                <w:rFonts w:hint="eastAsia" w:cs="宋体"/>
                <w:color w:val="auto"/>
                <w:szCs w:val="21"/>
              </w:rPr>
              <w:t>姓名</w:t>
            </w:r>
          </w:p>
        </w:tc>
        <w:tc>
          <w:tcPr>
            <w:tcW w:w="513" w:type="pct"/>
            <w:tcBorders>
              <w:top w:val="single" w:color="auto" w:sz="12" w:space="0"/>
              <w:bottom w:val="double" w:color="auto" w:sz="6" w:space="0"/>
            </w:tcBorders>
            <w:vAlign w:val="center"/>
          </w:tcPr>
          <w:p w14:paraId="192B31C5">
            <w:pPr>
              <w:keepNext/>
              <w:spacing w:line="360" w:lineRule="auto"/>
              <w:jc w:val="center"/>
              <w:rPr>
                <w:rFonts w:cs="宋体"/>
                <w:color w:val="auto"/>
                <w:szCs w:val="21"/>
              </w:rPr>
            </w:pPr>
            <w:r>
              <w:rPr>
                <w:rFonts w:hint="eastAsia" w:cs="宋体"/>
                <w:color w:val="auto"/>
                <w:szCs w:val="21"/>
              </w:rPr>
              <w:t>职务</w:t>
            </w:r>
          </w:p>
        </w:tc>
        <w:tc>
          <w:tcPr>
            <w:tcW w:w="373" w:type="pct"/>
            <w:tcBorders>
              <w:top w:val="single" w:color="auto" w:sz="12" w:space="0"/>
              <w:bottom w:val="double" w:color="auto" w:sz="6" w:space="0"/>
            </w:tcBorders>
            <w:vAlign w:val="center"/>
          </w:tcPr>
          <w:p w14:paraId="09AB70A0">
            <w:pPr>
              <w:keepNext/>
              <w:spacing w:line="360" w:lineRule="auto"/>
              <w:jc w:val="center"/>
              <w:rPr>
                <w:rFonts w:cs="宋体"/>
                <w:color w:val="auto"/>
                <w:szCs w:val="21"/>
              </w:rPr>
            </w:pPr>
            <w:r>
              <w:rPr>
                <w:rFonts w:hint="eastAsia" w:cs="宋体"/>
                <w:color w:val="auto"/>
                <w:szCs w:val="21"/>
              </w:rPr>
              <w:t>职称</w:t>
            </w:r>
          </w:p>
        </w:tc>
        <w:tc>
          <w:tcPr>
            <w:tcW w:w="1889" w:type="pct"/>
            <w:tcBorders>
              <w:top w:val="single" w:color="auto" w:sz="12" w:space="0"/>
              <w:bottom w:val="double" w:color="auto" w:sz="6" w:space="0"/>
            </w:tcBorders>
            <w:vAlign w:val="center"/>
          </w:tcPr>
          <w:p w14:paraId="3B943A1B">
            <w:pPr>
              <w:keepNext/>
              <w:spacing w:line="360" w:lineRule="auto"/>
              <w:jc w:val="center"/>
              <w:rPr>
                <w:rFonts w:cs="宋体"/>
                <w:color w:val="auto"/>
                <w:szCs w:val="21"/>
              </w:rPr>
            </w:pPr>
            <w:r>
              <w:rPr>
                <w:rFonts w:hint="eastAsia" w:cs="宋体"/>
                <w:color w:val="auto"/>
                <w:szCs w:val="21"/>
              </w:rPr>
              <w:t>主要资历、经验及承担过的项目</w:t>
            </w:r>
          </w:p>
        </w:tc>
        <w:tc>
          <w:tcPr>
            <w:tcW w:w="739" w:type="pct"/>
            <w:tcBorders>
              <w:top w:val="single" w:color="auto" w:sz="12" w:space="0"/>
              <w:bottom w:val="double" w:color="auto" w:sz="6" w:space="0"/>
            </w:tcBorders>
            <w:vAlign w:val="center"/>
          </w:tcPr>
          <w:p w14:paraId="4B3116B1">
            <w:pPr>
              <w:keepNext/>
              <w:spacing w:line="360" w:lineRule="auto"/>
              <w:jc w:val="center"/>
              <w:rPr>
                <w:rFonts w:cs="宋体"/>
                <w:color w:val="auto"/>
                <w:szCs w:val="21"/>
              </w:rPr>
            </w:pPr>
            <w:r>
              <w:rPr>
                <w:rFonts w:hint="eastAsia" w:cs="宋体"/>
                <w:color w:val="auto"/>
                <w:szCs w:val="21"/>
              </w:rPr>
              <w:t>身份证号码</w:t>
            </w:r>
          </w:p>
        </w:tc>
      </w:tr>
      <w:tr w14:paraId="5FD5A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7BFD411B">
            <w:pPr>
              <w:keepNext/>
              <w:spacing w:line="360" w:lineRule="auto"/>
              <w:jc w:val="center"/>
              <w:rPr>
                <w:rFonts w:cs="宋体"/>
                <w:color w:val="auto"/>
                <w:szCs w:val="21"/>
              </w:rPr>
            </w:pPr>
            <w:r>
              <w:rPr>
                <w:rFonts w:hint="eastAsia" w:cs="宋体"/>
                <w:color w:val="auto"/>
                <w:szCs w:val="21"/>
              </w:rPr>
              <w:t>一、总部人员</w:t>
            </w:r>
          </w:p>
        </w:tc>
        <w:tc>
          <w:tcPr>
            <w:tcW w:w="739" w:type="pct"/>
            <w:tcBorders>
              <w:top w:val="double" w:color="auto" w:sz="6" w:space="0"/>
            </w:tcBorders>
            <w:vAlign w:val="center"/>
          </w:tcPr>
          <w:p w14:paraId="55BD60AD">
            <w:pPr>
              <w:keepNext/>
              <w:spacing w:line="360" w:lineRule="auto"/>
              <w:jc w:val="center"/>
              <w:rPr>
                <w:rFonts w:cs="宋体"/>
                <w:color w:val="auto"/>
                <w:szCs w:val="21"/>
              </w:rPr>
            </w:pPr>
          </w:p>
        </w:tc>
      </w:tr>
      <w:tr w14:paraId="1AE56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101BAF12">
            <w:pPr>
              <w:keepNext/>
              <w:spacing w:line="360" w:lineRule="auto"/>
              <w:jc w:val="center"/>
              <w:rPr>
                <w:rFonts w:cs="宋体"/>
                <w:color w:val="auto"/>
                <w:szCs w:val="21"/>
              </w:rPr>
            </w:pPr>
            <w:r>
              <w:rPr>
                <w:rFonts w:hint="eastAsia" w:cs="宋体"/>
                <w:color w:val="auto"/>
                <w:szCs w:val="21"/>
              </w:rPr>
              <w:t>项目主管</w:t>
            </w:r>
          </w:p>
        </w:tc>
        <w:tc>
          <w:tcPr>
            <w:tcW w:w="641" w:type="pct"/>
            <w:tcBorders>
              <w:top w:val="nil"/>
            </w:tcBorders>
            <w:vAlign w:val="center"/>
          </w:tcPr>
          <w:p w14:paraId="012E9DBC">
            <w:pPr>
              <w:keepNext/>
              <w:spacing w:line="360" w:lineRule="auto"/>
              <w:jc w:val="center"/>
              <w:rPr>
                <w:rFonts w:cs="宋体"/>
                <w:color w:val="auto"/>
                <w:szCs w:val="21"/>
              </w:rPr>
            </w:pPr>
          </w:p>
        </w:tc>
        <w:tc>
          <w:tcPr>
            <w:tcW w:w="513" w:type="pct"/>
            <w:tcBorders>
              <w:top w:val="nil"/>
            </w:tcBorders>
            <w:vAlign w:val="center"/>
          </w:tcPr>
          <w:p w14:paraId="28CE5787">
            <w:pPr>
              <w:keepNext/>
              <w:spacing w:line="360" w:lineRule="auto"/>
              <w:jc w:val="center"/>
              <w:rPr>
                <w:rFonts w:cs="宋体"/>
                <w:color w:val="auto"/>
                <w:szCs w:val="21"/>
              </w:rPr>
            </w:pPr>
          </w:p>
        </w:tc>
        <w:tc>
          <w:tcPr>
            <w:tcW w:w="373" w:type="pct"/>
            <w:tcBorders>
              <w:top w:val="nil"/>
            </w:tcBorders>
            <w:vAlign w:val="center"/>
          </w:tcPr>
          <w:p w14:paraId="42198DC2">
            <w:pPr>
              <w:keepNext/>
              <w:spacing w:line="360" w:lineRule="auto"/>
              <w:jc w:val="center"/>
              <w:rPr>
                <w:rFonts w:cs="宋体"/>
                <w:color w:val="auto"/>
                <w:szCs w:val="21"/>
              </w:rPr>
            </w:pPr>
          </w:p>
        </w:tc>
        <w:tc>
          <w:tcPr>
            <w:tcW w:w="1889" w:type="pct"/>
            <w:tcBorders>
              <w:top w:val="nil"/>
            </w:tcBorders>
            <w:vAlign w:val="center"/>
          </w:tcPr>
          <w:p w14:paraId="517DA224">
            <w:pPr>
              <w:keepNext/>
              <w:spacing w:line="360" w:lineRule="auto"/>
              <w:jc w:val="center"/>
              <w:rPr>
                <w:rFonts w:cs="宋体"/>
                <w:color w:val="auto"/>
                <w:szCs w:val="21"/>
              </w:rPr>
            </w:pPr>
          </w:p>
        </w:tc>
        <w:tc>
          <w:tcPr>
            <w:tcW w:w="739" w:type="pct"/>
            <w:tcBorders>
              <w:top w:val="nil"/>
            </w:tcBorders>
            <w:vAlign w:val="center"/>
          </w:tcPr>
          <w:p w14:paraId="137AAA7C">
            <w:pPr>
              <w:keepNext/>
              <w:spacing w:line="360" w:lineRule="auto"/>
              <w:jc w:val="center"/>
              <w:rPr>
                <w:rFonts w:cs="宋体"/>
                <w:color w:val="auto"/>
                <w:szCs w:val="21"/>
              </w:rPr>
            </w:pPr>
          </w:p>
        </w:tc>
      </w:tr>
      <w:tr w14:paraId="7CE29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51F83504">
            <w:pPr>
              <w:keepNext/>
              <w:spacing w:line="360" w:lineRule="auto"/>
              <w:jc w:val="center"/>
              <w:rPr>
                <w:rFonts w:cs="宋体"/>
                <w:color w:val="auto"/>
                <w:szCs w:val="21"/>
              </w:rPr>
            </w:pPr>
            <w:r>
              <w:rPr>
                <w:rFonts w:hint="eastAsia" w:cs="宋体"/>
                <w:color w:val="auto"/>
                <w:szCs w:val="21"/>
              </w:rPr>
              <w:t>其他人员</w:t>
            </w:r>
          </w:p>
        </w:tc>
        <w:tc>
          <w:tcPr>
            <w:tcW w:w="641" w:type="pct"/>
            <w:vAlign w:val="center"/>
          </w:tcPr>
          <w:p w14:paraId="43387631">
            <w:pPr>
              <w:keepNext/>
              <w:spacing w:line="360" w:lineRule="auto"/>
              <w:jc w:val="center"/>
              <w:rPr>
                <w:rFonts w:cs="宋体"/>
                <w:color w:val="auto"/>
                <w:szCs w:val="21"/>
              </w:rPr>
            </w:pPr>
          </w:p>
        </w:tc>
        <w:tc>
          <w:tcPr>
            <w:tcW w:w="513" w:type="pct"/>
            <w:vAlign w:val="center"/>
          </w:tcPr>
          <w:p w14:paraId="31E63B35">
            <w:pPr>
              <w:keepNext/>
              <w:spacing w:line="360" w:lineRule="auto"/>
              <w:jc w:val="center"/>
              <w:rPr>
                <w:rFonts w:cs="宋体"/>
                <w:color w:val="auto"/>
                <w:szCs w:val="21"/>
              </w:rPr>
            </w:pPr>
          </w:p>
        </w:tc>
        <w:tc>
          <w:tcPr>
            <w:tcW w:w="373" w:type="pct"/>
            <w:vAlign w:val="center"/>
          </w:tcPr>
          <w:p w14:paraId="682EF0A7">
            <w:pPr>
              <w:keepNext/>
              <w:spacing w:line="360" w:lineRule="auto"/>
              <w:jc w:val="center"/>
              <w:rPr>
                <w:rFonts w:cs="宋体"/>
                <w:color w:val="auto"/>
                <w:szCs w:val="21"/>
              </w:rPr>
            </w:pPr>
          </w:p>
        </w:tc>
        <w:tc>
          <w:tcPr>
            <w:tcW w:w="1889" w:type="pct"/>
            <w:vAlign w:val="center"/>
          </w:tcPr>
          <w:p w14:paraId="44204709">
            <w:pPr>
              <w:keepNext/>
              <w:spacing w:line="360" w:lineRule="auto"/>
              <w:jc w:val="center"/>
              <w:rPr>
                <w:rFonts w:cs="宋体"/>
                <w:color w:val="auto"/>
                <w:szCs w:val="21"/>
              </w:rPr>
            </w:pPr>
          </w:p>
        </w:tc>
        <w:tc>
          <w:tcPr>
            <w:tcW w:w="739" w:type="pct"/>
            <w:vAlign w:val="center"/>
          </w:tcPr>
          <w:p w14:paraId="2EEA00DD">
            <w:pPr>
              <w:keepNext/>
              <w:spacing w:line="360" w:lineRule="auto"/>
              <w:jc w:val="center"/>
              <w:rPr>
                <w:rFonts w:cs="宋体"/>
                <w:color w:val="auto"/>
                <w:szCs w:val="21"/>
              </w:rPr>
            </w:pPr>
          </w:p>
        </w:tc>
      </w:tr>
      <w:tr w14:paraId="7AA46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6812C9FA">
            <w:pPr>
              <w:keepNext/>
              <w:spacing w:line="360" w:lineRule="auto"/>
              <w:jc w:val="center"/>
              <w:rPr>
                <w:rFonts w:cs="宋体"/>
                <w:color w:val="auto"/>
                <w:szCs w:val="21"/>
              </w:rPr>
            </w:pPr>
          </w:p>
        </w:tc>
        <w:tc>
          <w:tcPr>
            <w:tcW w:w="641" w:type="pct"/>
            <w:vAlign w:val="center"/>
          </w:tcPr>
          <w:p w14:paraId="41D8935A">
            <w:pPr>
              <w:keepNext/>
              <w:spacing w:line="360" w:lineRule="auto"/>
              <w:jc w:val="center"/>
              <w:rPr>
                <w:rFonts w:cs="宋体"/>
                <w:color w:val="auto"/>
                <w:szCs w:val="21"/>
              </w:rPr>
            </w:pPr>
          </w:p>
        </w:tc>
        <w:tc>
          <w:tcPr>
            <w:tcW w:w="513" w:type="pct"/>
            <w:vAlign w:val="center"/>
          </w:tcPr>
          <w:p w14:paraId="79E2A699">
            <w:pPr>
              <w:keepNext/>
              <w:spacing w:line="360" w:lineRule="auto"/>
              <w:jc w:val="center"/>
              <w:rPr>
                <w:rFonts w:cs="宋体"/>
                <w:color w:val="auto"/>
                <w:szCs w:val="21"/>
              </w:rPr>
            </w:pPr>
          </w:p>
        </w:tc>
        <w:tc>
          <w:tcPr>
            <w:tcW w:w="373" w:type="pct"/>
            <w:vAlign w:val="center"/>
          </w:tcPr>
          <w:p w14:paraId="18655856">
            <w:pPr>
              <w:keepNext/>
              <w:spacing w:line="360" w:lineRule="auto"/>
              <w:jc w:val="center"/>
              <w:rPr>
                <w:rFonts w:cs="宋体"/>
                <w:color w:val="auto"/>
                <w:szCs w:val="21"/>
              </w:rPr>
            </w:pPr>
          </w:p>
        </w:tc>
        <w:tc>
          <w:tcPr>
            <w:tcW w:w="1889" w:type="pct"/>
            <w:vAlign w:val="center"/>
          </w:tcPr>
          <w:p w14:paraId="5F153B22">
            <w:pPr>
              <w:keepNext/>
              <w:spacing w:line="360" w:lineRule="auto"/>
              <w:jc w:val="center"/>
              <w:rPr>
                <w:rFonts w:cs="宋体"/>
                <w:color w:val="auto"/>
                <w:szCs w:val="21"/>
              </w:rPr>
            </w:pPr>
          </w:p>
        </w:tc>
        <w:tc>
          <w:tcPr>
            <w:tcW w:w="739" w:type="pct"/>
            <w:vAlign w:val="center"/>
          </w:tcPr>
          <w:p w14:paraId="41C431D9">
            <w:pPr>
              <w:keepNext/>
              <w:spacing w:line="360" w:lineRule="auto"/>
              <w:jc w:val="center"/>
              <w:rPr>
                <w:rFonts w:cs="宋体"/>
                <w:color w:val="auto"/>
                <w:szCs w:val="21"/>
              </w:rPr>
            </w:pPr>
          </w:p>
        </w:tc>
      </w:tr>
      <w:tr w14:paraId="175FA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028946C0">
            <w:pPr>
              <w:keepNext/>
              <w:spacing w:line="360" w:lineRule="auto"/>
              <w:jc w:val="center"/>
              <w:rPr>
                <w:rFonts w:cs="宋体"/>
                <w:color w:val="auto"/>
                <w:szCs w:val="21"/>
              </w:rPr>
            </w:pPr>
          </w:p>
        </w:tc>
        <w:tc>
          <w:tcPr>
            <w:tcW w:w="641" w:type="pct"/>
            <w:vAlign w:val="center"/>
          </w:tcPr>
          <w:p w14:paraId="5485C8BE">
            <w:pPr>
              <w:keepNext/>
              <w:spacing w:line="360" w:lineRule="auto"/>
              <w:jc w:val="center"/>
              <w:rPr>
                <w:rFonts w:cs="宋体"/>
                <w:color w:val="auto"/>
                <w:szCs w:val="21"/>
              </w:rPr>
            </w:pPr>
          </w:p>
        </w:tc>
        <w:tc>
          <w:tcPr>
            <w:tcW w:w="513" w:type="pct"/>
            <w:vAlign w:val="center"/>
          </w:tcPr>
          <w:p w14:paraId="1FE37812">
            <w:pPr>
              <w:keepNext/>
              <w:spacing w:line="360" w:lineRule="auto"/>
              <w:jc w:val="center"/>
              <w:rPr>
                <w:rFonts w:cs="宋体"/>
                <w:color w:val="auto"/>
                <w:szCs w:val="21"/>
              </w:rPr>
            </w:pPr>
          </w:p>
        </w:tc>
        <w:tc>
          <w:tcPr>
            <w:tcW w:w="373" w:type="pct"/>
            <w:vAlign w:val="center"/>
          </w:tcPr>
          <w:p w14:paraId="3F160EED">
            <w:pPr>
              <w:keepNext/>
              <w:spacing w:line="360" w:lineRule="auto"/>
              <w:jc w:val="center"/>
              <w:rPr>
                <w:rFonts w:cs="宋体"/>
                <w:color w:val="auto"/>
                <w:szCs w:val="21"/>
              </w:rPr>
            </w:pPr>
          </w:p>
        </w:tc>
        <w:tc>
          <w:tcPr>
            <w:tcW w:w="1889" w:type="pct"/>
            <w:vAlign w:val="center"/>
          </w:tcPr>
          <w:p w14:paraId="4CE23C38">
            <w:pPr>
              <w:keepNext/>
              <w:spacing w:line="360" w:lineRule="auto"/>
              <w:jc w:val="center"/>
              <w:rPr>
                <w:rFonts w:cs="宋体"/>
                <w:color w:val="auto"/>
                <w:szCs w:val="21"/>
              </w:rPr>
            </w:pPr>
          </w:p>
        </w:tc>
        <w:tc>
          <w:tcPr>
            <w:tcW w:w="739" w:type="pct"/>
            <w:vAlign w:val="center"/>
          </w:tcPr>
          <w:p w14:paraId="060238CB">
            <w:pPr>
              <w:keepNext/>
              <w:spacing w:line="360" w:lineRule="auto"/>
              <w:jc w:val="center"/>
              <w:rPr>
                <w:rFonts w:cs="宋体"/>
                <w:color w:val="auto"/>
                <w:szCs w:val="21"/>
              </w:rPr>
            </w:pPr>
          </w:p>
        </w:tc>
      </w:tr>
      <w:tr w14:paraId="5EF37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2108F01">
            <w:pPr>
              <w:keepNext/>
              <w:spacing w:line="360" w:lineRule="auto"/>
              <w:jc w:val="center"/>
              <w:rPr>
                <w:rFonts w:cs="宋体"/>
                <w:color w:val="auto"/>
                <w:szCs w:val="21"/>
              </w:rPr>
            </w:pPr>
            <w:r>
              <w:rPr>
                <w:rFonts w:hint="eastAsia" w:cs="宋体"/>
                <w:color w:val="auto"/>
                <w:szCs w:val="21"/>
              </w:rPr>
              <w:t>二、现场人员</w:t>
            </w:r>
          </w:p>
        </w:tc>
        <w:tc>
          <w:tcPr>
            <w:tcW w:w="739" w:type="pct"/>
            <w:vAlign w:val="center"/>
          </w:tcPr>
          <w:p w14:paraId="02F4C031">
            <w:pPr>
              <w:keepNext/>
              <w:spacing w:line="360" w:lineRule="auto"/>
              <w:jc w:val="center"/>
              <w:rPr>
                <w:rFonts w:cs="宋体"/>
                <w:color w:val="auto"/>
                <w:szCs w:val="21"/>
              </w:rPr>
            </w:pPr>
          </w:p>
        </w:tc>
      </w:tr>
      <w:tr w14:paraId="47E80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26A1F81">
            <w:pPr>
              <w:spacing w:line="360" w:lineRule="auto"/>
              <w:jc w:val="center"/>
              <w:rPr>
                <w:rFonts w:cs="宋体"/>
                <w:color w:val="auto"/>
                <w:szCs w:val="22"/>
              </w:rPr>
            </w:pPr>
            <w:r>
              <w:rPr>
                <w:rFonts w:hint="eastAsia" w:cs="宋体"/>
                <w:color w:val="auto"/>
                <w:szCs w:val="22"/>
              </w:rPr>
              <w:t>项目经理</w:t>
            </w:r>
          </w:p>
        </w:tc>
        <w:tc>
          <w:tcPr>
            <w:tcW w:w="641" w:type="pct"/>
            <w:vAlign w:val="center"/>
          </w:tcPr>
          <w:p w14:paraId="13370EEB">
            <w:pPr>
              <w:keepNext/>
              <w:spacing w:line="360" w:lineRule="auto"/>
              <w:jc w:val="center"/>
              <w:rPr>
                <w:rFonts w:cs="宋体"/>
                <w:color w:val="auto"/>
                <w:szCs w:val="21"/>
              </w:rPr>
            </w:pPr>
          </w:p>
        </w:tc>
        <w:tc>
          <w:tcPr>
            <w:tcW w:w="513" w:type="pct"/>
            <w:vAlign w:val="center"/>
          </w:tcPr>
          <w:p w14:paraId="520F62ED">
            <w:pPr>
              <w:keepNext/>
              <w:spacing w:line="360" w:lineRule="auto"/>
              <w:jc w:val="center"/>
              <w:rPr>
                <w:rFonts w:cs="宋体"/>
                <w:color w:val="auto"/>
                <w:szCs w:val="21"/>
              </w:rPr>
            </w:pPr>
          </w:p>
        </w:tc>
        <w:tc>
          <w:tcPr>
            <w:tcW w:w="373" w:type="pct"/>
            <w:vAlign w:val="center"/>
          </w:tcPr>
          <w:p w14:paraId="648F7499">
            <w:pPr>
              <w:keepNext/>
              <w:spacing w:line="360" w:lineRule="auto"/>
              <w:jc w:val="center"/>
              <w:rPr>
                <w:rFonts w:cs="宋体"/>
                <w:color w:val="auto"/>
                <w:szCs w:val="21"/>
              </w:rPr>
            </w:pPr>
          </w:p>
        </w:tc>
        <w:tc>
          <w:tcPr>
            <w:tcW w:w="1889" w:type="pct"/>
            <w:vAlign w:val="center"/>
          </w:tcPr>
          <w:p w14:paraId="2C40A565">
            <w:pPr>
              <w:keepNext/>
              <w:spacing w:line="360" w:lineRule="auto"/>
              <w:jc w:val="center"/>
              <w:rPr>
                <w:rFonts w:cs="宋体"/>
                <w:color w:val="auto"/>
                <w:szCs w:val="21"/>
              </w:rPr>
            </w:pPr>
          </w:p>
        </w:tc>
        <w:tc>
          <w:tcPr>
            <w:tcW w:w="739" w:type="pct"/>
            <w:vAlign w:val="center"/>
          </w:tcPr>
          <w:p w14:paraId="1B41E2E3">
            <w:pPr>
              <w:keepNext/>
              <w:spacing w:line="360" w:lineRule="auto"/>
              <w:jc w:val="center"/>
              <w:rPr>
                <w:rFonts w:cs="宋体"/>
                <w:color w:val="auto"/>
                <w:szCs w:val="21"/>
              </w:rPr>
            </w:pPr>
          </w:p>
        </w:tc>
      </w:tr>
      <w:tr w14:paraId="0F7BD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B36D235">
            <w:pPr>
              <w:spacing w:line="360" w:lineRule="auto"/>
              <w:jc w:val="center"/>
              <w:rPr>
                <w:rFonts w:cs="宋体"/>
                <w:color w:val="auto"/>
                <w:szCs w:val="22"/>
              </w:rPr>
            </w:pPr>
            <w:r>
              <w:rPr>
                <w:rFonts w:hint="eastAsia" w:cs="宋体"/>
                <w:color w:val="auto"/>
                <w:szCs w:val="22"/>
              </w:rPr>
              <w:t>项目副经理</w:t>
            </w:r>
          </w:p>
        </w:tc>
        <w:tc>
          <w:tcPr>
            <w:tcW w:w="641" w:type="pct"/>
            <w:vAlign w:val="center"/>
          </w:tcPr>
          <w:p w14:paraId="098F07C2">
            <w:pPr>
              <w:keepNext/>
              <w:spacing w:line="360" w:lineRule="auto"/>
              <w:jc w:val="center"/>
              <w:rPr>
                <w:rFonts w:cs="宋体"/>
                <w:color w:val="auto"/>
                <w:szCs w:val="21"/>
              </w:rPr>
            </w:pPr>
          </w:p>
        </w:tc>
        <w:tc>
          <w:tcPr>
            <w:tcW w:w="513" w:type="pct"/>
            <w:vAlign w:val="center"/>
          </w:tcPr>
          <w:p w14:paraId="5571FEC9">
            <w:pPr>
              <w:keepNext/>
              <w:spacing w:line="360" w:lineRule="auto"/>
              <w:jc w:val="center"/>
              <w:rPr>
                <w:rFonts w:cs="宋体"/>
                <w:color w:val="auto"/>
                <w:szCs w:val="21"/>
              </w:rPr>
            </w:pPr>
          </w:p>
        </w:tc>
        <w:tc>
          <w:tcPr>
            <w:tcW w:w="373" w:type="pct"/>
            <w:vAlign w:val="center"/>
          </w:tcPr>
          <w:p w14:paraId="13F4DE98">
            <w:pPr>
              <w:keepNext/>
              <w:spacing w:line="360" w:lineRule="auto"/>
              <w:jc w:val="center"/>
              <w:rPr>
                <w:rFonts w:cs="宋体"/>
                <w:color w:val="auto"/>
                <w:szCs w:val="21"/>
              </w:rPr>
            </w:pPr>
          </w:p>
        </w:tc>
        <w:tc>
          <w:tcPr>
            <w:tcW w:w="1889" w:type="pct"/>
            <w:vAlign w:val="center"/>
          </w:tcPr>
          <w:p w14:paraId="4547A3AD">
            <w:pPr>
              <w:keepNext/>
              <w:spacing w:line="360" w:lineRule="auto"/>
              <w:jc w:val="center"/>
              <w:rPr>
                <w:rFonts w:cs="宋体"/>
                <w:color w:val="auto"/>
                <w:szCs w:val="21"/>
              </w:rPr>
            </w:pPr>
          </w:p>
        </w:tc>
        <w:tc>
          <w:tcPr>
            <w:tcW w:w="739" w:type="pct"/>
            <w:vAlign w:val="center"/>
          </w:tcPr>
          <w:p w14:paraId="0A51CB7D">
            <w:pPr>
              <w:keepNext/>
              <w:spacing w:line="360" w:lineRule="auto"/>
              <w:jc w:val="center"/>
              <w:rPr>
                <w:rFonts w:cs="宋体"/>
                <w:color w:val="auto"/>
                <w:szCs w:val="21"/>
              </w:rPr>
            </w:pPr>
          </w:p>
        </w:tc>
      </w:tr>
      <w:tr w14:paraId="3BF67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D3815E5">
            <w:pPr>
              <w:spacing w:line="360" w:lineRule="auto"/>
              <w:jc w:val="center"/>
              <w:rPr>
                <w:rFonts w:cs="宋体"/>
                <w:color w:val="auto"/>
                <w:szCs w:val="22"/>
              </w:rPr>
            </w:pPr>
            <w:r>
              <w:rPr>
                <w:rFonts w:hint="eastAsia" w:cs="宋体"/>
                <w:color w:val="auto"/>
                <w:szCs w:val="22"/>
              </w:rPr>
              <w:t>项目技术负责人</w:t>
            </w:r>
          </w:p>
        </w:tc>
        <w:tc>
          <w:tcPr>
            <w:tcW w:w="641" w:type="pct"/>
            <w:vAlign w:val="center"/>
          </w:tcPr>
          <w:p w14:paraId="7EF2C77A">
            <w:pPr>
              <w:keepNext/>
              <w:spacing w:line="360" w:lineRule="auto"/>
              <w:jc w:val="center"/>
              <w:rPr>
                <w:rFonts w:cs="宋体"/>
                <w:color w:val="auto"/>
                <w:szCs w:val="21"/>
              </w:rPr>
            </w:pPr>
          </w:p>
        </w:tc>
        <w:tc>
          <w:tcPr>
            <w:tcW w:w="513" w:type="pct"/>
            <w:vAlign w:val="center"/>
          </w:tcPr>
          <w:p w14:paraId="1C198FD1">
            <w:pPr>
              <w:keepNext/>
              <w:spacing w:line="360" w:lineRule="auto"/>
              <w:jc w:val="center"/>
              <w:rPr>
                <w:rFonts w:cs="宋体"/>
                <w:color w:val="auto"/>
                <w:szCs w:val="21"/>
              </w:rPr>
            </w:pPr>
          </w:p>
        </w:tc>
        <w:tc>
          <w:tcPr>
            <w:tcW w:w="373" w:type="pct"/>
            <w:vAlign w:val="center"/>
          </w:tcPr>
          <w:p w14:paraId="2A1046C4">
            <w:pPr>
              <w:keepNext/>
              <w:spacing w:line="360" w:lineRule="auto"/>
              <w:jc w:val="center"/>
              <w:rPr>
                <w:rFonts w:cs="宋体"/>
                <w:color w:val="auto"/>
                <w:szCs w:val="21"/>
              </w:rPr>
            </w:pPr>
          </w:p>
        </w:tc>
        <w:tc>
          <w:tcPr>
            <w:tcW w:w="1889" w:type="pct"/>
            <w:vAlign w:val="center"/>
          </w:tcPr>
          <w:p w14:paraId="68289A19">
            <w:pPr>
              <w:keepNext/>
              <w:spacing w:line="360" w:lineRule="auto"/>
              <w:jc w:val="center"/>
              <w:rPr>
                <w:rFonts w:cs="宋体"/>
                <w:color w:val="auto"/>
                <w:szCs w:val="21"/>
              </w:rPr>
            </w:pPr>
          </w:p>
        </w:tc>
        <w:tc>
          <w:tcPr>
            <w:tcW w:w="739" w:type="pct"/>
            <w:vAlign w:val="center"/>
          </w:tcPr>
          <w:p w14:paraId="29D77B69">
            <w:pPr>
              <w:keepNext/>
              <w:spacing w:line="360" w:lineRule="auto"/>
              <w:jc w:val="center"/>
              <w:rPr>
                <w:rFonts w:cs="宋体"/>
                <w:color w:val="auto"/>
                <w:szCs w:val="21"/>
              </w:rPr>
            </w:pPr>
          </w:p>
        </w:tc>
      </w:tr>
      <w:tr w14:paraId="0B672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B2C137F">
            <w:pPr>
              <w:spacing w:line="360" w:lineRule="auto"/>
              <w:jc w:val="center"/>
              <w:rPr>
                <w:rFonts w:cs="宋体"/>
                <w:color w:val="auto"/>
                <w:szCs w:val="22"/>
              </w:rPr>
            </w:pPr>
            <w:r>
              <w:rPr>
                <w:rFonts w:hint="eastAsia" w:cs="宋体"/>
                <w:color w:val="auto"/>
                <w:szCs w:val="22"/>
              </w:rPr>
              <w:t>施工员</w:t>
            </w:r>
          </w:p>
        </w:tc>
        <w:tc>
          <w:tcPr>
            <w:tcW w:w="641" w:type="pct"/>
            <w:vAlign w:val="center"/>
          </w:tcPr>
          <w:p w14:paraId="14E4179D">
            <w:pPr>
              <w:keepNext/>
              <w:spacing w:line="360" w:lineRule="auto"/>
              <w:jc w:val="center"/>
              <w:rPr>
                <w:rFonts w:cs="宋体"/>
                <w:color w:val="auto"/>
                <w:szCs w:val="21"/>
              </w:rPr>
            </w:pPr>
          </w:p>
        </w:tc>
        <w:tc>
          <w:tcPr>
            <w:tcW w:w="513" w:type="pct"/>
            <w:vAlign w:val="center"/>
          </w:tcPr>
          <w:p w14:paraId="31705079">
            <w:pPr>
              <w:keepNext/>
              <w:spacing w:line="360" w:lineRule="auto"/>
              <w:jc w:val="center"/>
              <w:rPr>
                <w:rFonts w:cs="宋体"/>
                <w:color w:val="auto"/>
                <w:szCs w:val="21"/>
              </w:rPr>
            </w:pPr>
          </w:p>
        </w:tc>
        <w:tc>
          <w:tcPr>
            <w:tcW w:w="373" w:type="pct"/>
            <w:vAlign w:val="center"/>
          </w:tcPr>
          <w:p w14:paraId="61F5FF88">
            <w:pPr>
              <w:keepNext/>
              <w:spacing w:line="360" w:lineRule="auto"/>
              <w:jc w:val="center"/>
              <w:rPr>
                <w:rFonts w:cs="宋体"/>
                <w:color w:val="auto"/>
                <w:szCs w:val="21"/>
              </w:rPr>
            </w:pPr>
          </w:p>
        </w:tc>
        <w:tc>
          <w:tcPr>
            <w:tcW w:w="1889" w:type="pct"/>
            <w:vAlign w:val="center"/>
          </w:tcPr>
          <w:p w14:paraId="7AC211AA">
            <w:pPr>
              <w:keepNext/>
              <w:spacing w:line="360" w:lineRule="auto"/>
              <w:jc w:val="center"/>
              <w:rPr>
                <w:rFonts w:cs="宋体"/>
                <w:color w:val="auto"/>
                <w:szCs w:val="21"/>
              </w:rPr>
            </w:pPr>
          </w:p>
        </w:tc>
        <w:tc>
          <w:tcPr>
            <w:tcW w:w="739" w:type="pct"/>
            <w:vAlign w:val="center"/>
          </w:tcPr>
          <w:p w14:paraId="60DD26BA">
            <w:pPr>
              <w:keepNext/>
              <w:spacing w:line="360" w:lineRule="auto"/>
              <w:jc w:val="center"/>
              <w:rPr>
                <w:rFonts w:cs="宋体"/>
                <w:color w:val="auto"/>
                <w:szCs w:val="21"/>
              </w:rPr>
            </w:pPr>
          </w:p>
        </w:tc>
      </w:tr>
      <w:tr w14:paraId="772A8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4C02895">
            <w:pPr>
              <w:spacing w:line="360" w:lineRule="auto"/>
              <w:jc w:val="center"/>
              <w:rPr>
                <w:rFonts w:cs="宋体"/>
                <w:color w:val="auto"/>
                <w:szCs w:val="22"/>
              </w:rPr>
            </w:pPr>
            <w:r>
              <w:rPr>
                <w:rFonts w:hint="eastAsia" w:cs="宋体"/>
                <w:color w:val="auto"/>
                <w:szCs w:val="22"/>
              </w:rPr>
              <w:t>质检员（质量员）</w:t>
            </w:r>
          </w:p>
        </w:tc>
        <w:tc>
          <w:tcPr>
            <w:tcW w:w="641" w:type="pct"/>
            <w:vAlign w:val="center"/>
          </w:tcPr>
          <w:p w14:paraId="662ABB40">
            <w:pPr>
              <w:keepNext/>
              <w:spacing w:line="360" w:lineRule="auto"/>
              <w:jc w:val="center"/>
              <w:rPr>
                <w:rFonts w:cs="宋体"/>
                <w:color w:val="auto"/>
                <w:szCs w:val="21"/>
              </w:rPr>
            </w:pPr>
          </w:p>
        </w:tc>
        <w:tc>
          <w:tcPr>
            <w:tcW w:w="513" w:type="pct"/>
            <w:vAlign w:val="center"/>
          </w:tcPr>
          <w:p w14:paraId="11B0A357">
            <w:pPr>
              <w:keepNext/>
              <w:spacing w:line="360" w:lineRule="auto"/>
              <w:jc w:val="center"/>
              <w:rPr>
                <w:rFonts w:cs="宋体"/>
                <w:color w:val="auto"/>
                <w:szCs w:val="21"/>
              </w:rPr>
            </w:pPr>
          </w:p>
        </w:tc>
        <w:tc>
          <w:tcPr>
            <w:tcW w:w="373" w:type="pct"/>
            <w:vAlign w:val="center"/>
          </w:tcPr>
          <w:p w14:paraId="1B484DD3">
            <w:pPr>
              <w:keepNext/>
              <w:spacing w:line="360" w:lineRule="auto"/>
              <w:jc w:val="center"/>
              <w:rPr>
                <w:rFonts w:cs="宋体"/>
                <w:color w:val="auto"/>
                <w:szCs w:val="21"/>
              </w:rPr>
            </w:pPr>
          </w:p>
        </w:tc>
        <w:tc>
          <w:tcPr>
            <w:tcW w:w="1889" w:type="pct"/>
            <w:vAlign w:val="center"/>
          </w:tcPr>
          <w:p w14:paraId="2C6BF2DC">
            <w:pPr>
              <w:keepNext/>
              <w:spacing w:line="360" w:lineRule="auto"/>
              <w:jc w:val="center"/>
              <w:rPr>
                <w:rFonts w:cs="宋体"/>
                <w:color w:val="auto"/>
                <w:szCs w:val="21"/>
              </w:rPr>
            </w:pPr>
          </w:p>
        </w:tc>
        <w:tc>
          <w:tcPr>
            <w:tcW w:w="739" w:type="pct"/>
            <w:vAlign w:val="center"/>
          </w:tcPr>
          <w:p w14:paraId="2AA93CA0">
            <w:pPr>
              <w:keepNext/>
              <w:spacing w:line="360" w:lineRule="auto"/>
              <w:jc w:val="center"/>
              <w:rPr>
                <w:rFonts w:cs="宋体"/>
                <w:color w:val="auto"/>
                <w:szCs w:val="21"/>
              </w:rPr>
            </w:pPr>
          </w:p>
        </w:tc>
      </w:tr>
      <w:tr w14:paraId="3B2B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69C1D2E">
            <w:pPr>
              <w:spacing w:line="360" w:lineRule="auto"/>
              <w:jc w:val="center"/>
              <w:rPr>
                <w:rFonts w:cs="宋体"/>
                <w:color w:val="auto"/>
                <w:szCs w:val="22"/>
              </w:rPr>
            </w:pPr>
            <w:r>
              <w:rPr>
                <w:rFonts w:hint="eastAsia" w:cs="宋体"/>
                <w:color w:val="auto"/>
                <w:szCs w:val="22"/>
              </w:rPr>
              <w:t>安全员</w:t>
            </w:r>
          </w:p>
        </w:tc>
        <w:tc>
          <w:tcPr>
            <w:tcW w:w="641" w:type="pct"/>
            <w:vAlign w:val="center"/>
          </w:tcPr>
          <w:p w14:paraId="185B4A79">
            <w:pPr>
              <w:keepNext/>
              <w:spacing w:line="360" w:lineRule="auto"/>
              <w:jc w:val="center"/>
              <w:rPr>
                <w:rFonts w:cs="宋体"/>
                <w:color w:val="auto"/>
                <w:szCs w:val="21"/>
              </w:rPr>
            </w:pPr>
          </w:p>
        </w:tc>
        <w:tc>
          <w:tcPr>
            <w:tcW w:w="513" w:type="pct"/>
            <w:vAlign w:val="center"/>
          </w:tcPr>
          <w:p w14:paraId="4DFB1ABE">
            <w:pPr>
              <w:keepNext/>
              <w:spacing w:line="360" w:lineRule="auto"/>
              <w:jc w:val="center"/>
              <w:rPr>
                <w:rFonts w:cs="宋体"/>
                <w:color w:val="auto"/>
                <w:szCs w:val="21"/>
              </w:rPr>
            </w:pPr>
          </w:p>
        </w:tc>
        <w:tc>
          <w:tcPr>
            <w:tcW w:w="373" w:type="pct"/>
            <w:vAlign w:val="center"/>
          </w:tcPr>
          <w:p w14:paraId="13C8A198">
            <w:pPr>
              <w:keepNext/>
              <w:spacing w:line="360" w:lineRule="auto"/>
              <w:jc w:val="center"/>
              <w:rPr>
                <w:rFonts w:cs="宋体"/>
                <w:color w:val="auto"/>
                <w:szCs w:val="21"/>
              </w:rPr>
            </w:pPr>
          </w:p>
        </w:tc>
        <w:tc>
          <w:tcPr>
            <w:tcW w:w="1889" w:type="pct"/>
            <w:vAlign w:val="center"/>
          </w:tcPr>
          <w:p w14:paraId="6489B6CC">
            <w:pPr>
              <w:keepNext/>
              <w:spacing w:line="360" w:lineRule="auto"/>
              <w:jc w:val="center"/>
              <w:rPr>
                <w:rFonts w:cs="宋体"/>
                <w:color w:val="auto"/>
                <w:szCs w:val="21"/>
              </w:rPr>
            </w:pPr>
          </w:p>
        </w:tc>
        <w:tc>
          <w:tcPr>
            <w:tcW w:w="739" w:type="pct"/>
            <w:vAlign w:val="center"/>
          </w:tcPr>
          <w:p w14:paraId="74EA9C2D">
            <w:pPr>
              <w:keepNext/>
              <w:spacing w:line="360" w:lineRule="auto"/>
              <w:jc w:val="center"/>
              <w:rPr>
                <w:rFonts w:cs="宋体"/>
                <w:color w:val="auto"/>
                <w:szCs w:val="21"/>
              </w:rPr>
            </w:pPr>
          </w:p>
        </w:tc>
      </w:tr>
      <w:tr w14:paraId="45AEE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3CA38E7B">
            <w:pPr>
              <w:spacing w:line="360" w:lineRule="auto"/>
              <w:jc w:val="center"/>
              <w:rPr>
                <w:rFonts w:cs="宋体"/>
                <w:color w:val="auto"/>
                <w:szCs w:val="22"/>
              </w:rPr>
            </w:pPr>
            <w:r>
              <w:rPr>
                <w:rFonts w:hint="eastAsia" w:cs="宋体"/>
                <w:color w:val="auto"/>
                <w:szCs w:val="22"/>
              </w:rPr>
              <w:t>资料员</w:t>
            </w:r>
          </w:p>
        </w:tc>
        <w:tc>
          <w:tcPr>
            <w:tcW w:w="641" w:type="pct"/>
            <w:vAlign w:val="center"/>
          </w:tcPr>
          <w:p w14:paraId="16C1540B">
            <w:pPr>
              <w:keepNext/>
              <w:spacing w:line="360" w:lineRule="auto"/>
              <w:jc w:val="center"/>
              <w:rPr>
                <w:rFonts w:cs="宋体"/>
                <w:color w:val="auto"/>
                <w:szCs w:val="21"/>
              </w:rPr>
            </w:pPr>
          </w:p>
        </w:tc>
        <w:tc>
          <w:tcPr>
            <w:tcW w:w="513" w:type="pct"/>
            <w:vAlign w:val="center"/>
          </w:tcPr>
          <w:p w14:paraId="1A7973B6">
            <w:pPr>
              <w:keepNext/>
              <w:spacing w:line="360" w:lineRule="auto"/>
              <w:jc w:val="center"/>
              <w:rPr>
                <w:rFonts w:cs="宋体"/>
                <w:color w:val="auto"/>
                <w:szCs w:val="21"/>
              </w:rPr>
            </w:pPr>
          </w:p>
        </w:tc>
        <w:tc>
          <w:tcPr>
            <w:tcW w:w="373" w:type="pct"/>
            <w:vAlign w:val="center"/>
          </w:tcPr>
          <w:p w14:paraId="159355DB">
            <w:pPr>
              <w:keepNext/>
              <w:spacing w:line="360" w:lineRule="auto"/>
              <w:jc w:val="center"/>
              <w:rPr>
                <w:rFonts w:cs="宋体"/>
                <w:color w:val="auto"/>
                <w:szCs w:val="21"/>
              </w:rPr>
            </w:pPr>
          </w:p>
        </w:tc>
        <w:tc>
          <w:tcPr>
            <w:tcW w:w="1889" w:type="pct"/>
            <w:vAlign w:val="center"/>
          </w:tcPr>
          <w:p w14:paraId="49095543">
            <w:pPr>
              <w:keepNext/>
              <w:spacing w:line="360" w:lineRule="auto"/>
              <w:jc w:val="center"/>
              <w:rPr>
                <w:rFonts w:cs="宋体"/>
                <w:color w:val="auto"/>
                <w:szCs w:val="21"/>
              </w:rPr>
            </w:pPr>
          </w:p>
        </w:tc>
        <w:tc>
          <w:tcPr>
            <w:tcW w:w="739" w:type="pct"/>
            <w:vAlign w:val="center"/>
          </w:tcPr>
          <w:p w14:paraId="1ACBF7B6">
            <w:pPr>
              <w:keepNext/>
              <w:spacing w:line="360" w:lineRule="auto"/>
              <w:jc w:val="center"/>
              <w:rPr>
                <w:rFonts w:cs="宋体"/>
                <w:color w:val="auto"/>
                <w:szCs w:val="21"/>
              </w:rPr>
            </w:pPr>
          </w:p>
        </w:tc>
      </w:tr>
      <w:tr w14:paraId="04877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40C94402">
            <w:pPr>
              <w:keepNext/>
              <w:spacing w:line="360" w:lineRule="auto"/>
              <w:jc w:val="center"/>
              <w:rPr>
                <w:rFonts w:cs="宋体"/>
                <w:color w:val="auto"/>
                <w:szCs w:val="21"/>
              </w:rPr>
            </w:pPr>
            <w:r>
              <w:rPr>
                <w:rFonts w:hint="eastAsia" w:cs="宋体"/>
                <w:color w:val="auto"/>
                <w:szCs w:val="21"/>
              </w:rPr>
              <w:t>其他人员</w:t>
            </w:r>
          </w:p>
        </w:tc>
        <w:tc>
          <w:tcPr>
            <w:tcW w:w="641" w:type="pct"/>
            <w:vAlign w:val="center"/>
          </w:tcPr>
          <w:p w14:paraId="27539E41">
            <w:pPr>
              <w:keepNext/>
              <w:spacing w:line="360" w:lineRule="auto"/>
              <w:jc w:val="center"/>
              <w:rPr>
                <w:rFonts w:cs="宋体"/>
                <w:color w:val="auto"/>
                <w:szCs w:val="21"/>
              </w:rPr>
            </w:pPr>
          </w:p>
        </w:tc>
        <w:tc>
          <w:tcPr>
            <w:tcW w:w="513" w:type="pct"/>
            <w:vAlign w:val="center"/>
          </w:tcPr>
          <w:p w14:paraId="23F26181">
            <w:pPr>
              <w:keepNext/>
              <w:spacing w:line="360" w:lineRule="auto"/>
              <w:jc w:val="center"/>
              <w:rPr>
                <w:rFonts w:cs="宋体"/>
                <w:color w:val="auto"/>
                <w:szCs w:val="21"/>
              </w:rPr>
            </w:pPr>
          </w:p>
        </w:tc>
        <w:tc>
          <w:tcPr>
            <w:tcW w:w="373" w:type="pct"/>
            <w:vAlign w:val="center"/>
          </w:tcPr>
          <w:p w14:paraId="0C02DEB3">
            <w:pPr>
              <w:keepNext/>
              <w:spacing w:line="360" w:lineRule="auto"/>
              <w:jc w:val="center"/>
              <w:rPr>
                <w:rFonts w:cs="宋体"/>
                <w:color w:val="auto"/>
                <w:szCs w:val="21"/>
              </w:rPr>
            </w:pPr>
          </w:p>
        </w:tc>
        <w:tc>
          <w:tcPr>
            <w:tcW w:w="1889" w:type="pct"/>
            <w:vAlign w:val="center"/>
          </w:tcPr>
          <w:p w14:paraId="1C955891">
            <w:pPr>
              <w:keepNext/>
              <w:spacing w:line="360" w:lineRule="auto"/>
              <w:jc w:val="center"/>
              <w:rPr>
                <w:rFonts w:cs="宋体"/>
                <w:color w:val="auto"/>
                <w:szCs w:val="21"/>
              </w:rPr>
            </w:pPr>
          </w:p>
        </w:tc>
        <w:tc>
          <w:tcPr>
            <w:tcW w:w="739" w:type="pct"/>
            <w:vAlign w:val="center"/>
          </w:tcPr>
          <w:p w14:paraId="558BB243">
            <w:pPr>
              <w:keepNext/>
              <w:spacing w:line="360" w:lineRule="auto"/>
              <w:jc w:val="center"/>
              <w:rPr>
                <w:rFonts w:cs="宋体"/>
                <w:color w:val="auto"/>
                <w:szCs w:val="21"/>
              </w:rPr>
            </w:pPr>
          </w:p>
        </w:tc>
      </w:tr>
      <w:tr w14:paraId="57FC8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E085393">
            <w:pPr>
              <w:keepNext/>
              <w:spacing w:line="360" w:lineRule="auto"/>
              <w:jc w:val="center"/>
              <w:rPr>
                <w:rFonts w:cs="宋体"/>
                <w:color w:val="auto"/>
                <w:szCs w:val="21"/>
              </w:rPr>
            </w:pPr>
          </w:p>
        </w:tc>
        <w:tc>
          <w:tcPr>
            <w:tcW w:w="641" w:type="pct"/>
            <w:tcBorders>
              <w:bottom w:val="nil"/>
            </w:tcBorders>
            <w:vAlign w:val="center"/>
          </w:tcPr>
          <w:p w14:paraId="1A71904C">
            <w:pPr>
              <w:keepNext/>
              <w:spacing w:line="360" w:lineRule="auto"/>
              <w:jc w:val="center"/>
              <w:rPr>
                <w:rFonts w:cs="宋体"/>
                <w:color w:val="auto"/>
                <w:szCs w:val="21"/>
              </w:rPr>
            </w:pPr>
          </w:p>
        </w:tc>
        <w:tc>
          <w:tcPr>
            <w:tcW w:w="513" w:type="pct"/>
            <w:tcBorders>
              <w:bottom w:val="nil"/>
            </w:tcBorders>
            <w:vAlign w:val="center"/>
          </w:tcPr>
          <w:p w14:paraId="2FE2D1E9">
            <w:pPr>
              <w:keepNext/>
              <w:spacing w:line="360" w:lineRule="auto"/>
              <w:jc w:val="center"/>
              <w:rPr>
                <w:rFonts w:cs="宋体"/>
                <w:color w:val="auto"/>
                <w:szCs w:val="21"/>
              </w:rPr>
            </w:pPr>
          </w:p>
        </w:tc>
        <w:tc>
          <w:tcPr>
            <w:tcW w:w="373" w:type="pct"/>
            <w:tcBorders>
              <w:bottom w:val="nil"/>
            </w:tcBorders>
            <w:vAlign w:val="center"/>
          </w:tcPr>
          <w:p w14:paraId="53EAB3AE">
            <w:pPr>
              <w:keepNext/>
              <w:spacing w:line="360" w:lineRule="auto"/>
              <w:jc w:val="center"/>
              <w:rPr>
                <w:rFonts w:cs="宋体"/>
                <w:color w:val="auto"/>
                <w:szCs w:val="21"/>
              </w:rPr>
            </w:pPr>
          </w:p>
        </w:tc>
        <w:tc>
          <w:tcPr>
            <w:tcW w:w="1889" w:type="pct"/>
            <w:tcBorders>
              <w:bottom w:val="nil"/>
            </w:tcBorders>
            <w:vAlign w:val="center"/>
          </w:tcPr>
          <w:p w14:paraId="4A0B0F27">
            <w:pPr>
              <w:keepNext/>
              <w:spacing w:line="360" w:lineRule="auto"/>
              <w:jc w:val="center"/>
              <w:rPr>
                <w:rFonts w:cs="宋体"/>
                <w:color w:val="auto"/>
                <w:szCs w:val="21"/>
              </w:rPr>
            </w:pPr>
          </w:p>
        </w:tc>
        <w:tc>
          <w:tcPr>
            <w:tcW w:w="739" w:type="pct"/>
            <w:tcBorders>
              <w:bottom w:val="nil"/>
            </w:tcBorders>
            <w:vAlign w:val="center"/>
          </w:tcPr>
          <w:p w14:paraId="53A82D76">
            <w:pPr>
              <w:keepNext/>
              <w:spacing w:line="360" w:lineRule="auto"/>
              <w:jc w:val="center"/>
              <w:rPr>
                <w:rFonts w:cs="宋体"/>
                <w:color w:val="auto"/>
                <w:szCs w:val="21"/>
              </w:rPr>
            </w:pPr>
          </w:p>
        </w:tc>
      </w:tr>
      <w:tr w14:paraId="6CAFF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4000063D">
            <w:pPr>
              <w:keepNext/>
              <w:spacing w:line="360" w:lineRule="auto"/>
              <w:jc w:val="center"/>
              <w:rPr>
                <w:rFonts w:cs="宋体"/>
                <w:color w:val="auto"/>
                <w:szCs w:val="21"/>
              </w:rPr>
            </w:pPr>
          </w:p>
        </w:tc>
        <w:tc>
          <w:tcPr>
            <w:tcW w:w="641" w:type="pct"/>
            <w:vAlign w:val="center"/>
          </w:tcPr>
          <w:p w14:paraId="31D75EE7">
            <w:pPr>
              <w:keepNext/>
              <w:spacing w:line="360" w:lineRule="auto"/>
              <w:jc w:val="center"/>
              <w:rPr>
                <w:rFonts w:cs="宋体"/>
                <w:color w:val="auto"/>
                <w:szCs w:val="21"/>
              </w:rPr>
            </w:pPr>
          </w:p>
        </w:tc>
        <w:tc>
          <w:tcPr>
            <w:tcW w:w="513" w:type="pct"/>
            <w:vAlign w:val="center"/>
          </w:tcPr>
          <w:p w14:paraId="5333F420">
            <w:pPr>
              <w:keepNext/>
              <w:spacing w:line="360" w:lineRule="auto"/>
              <w:jc w:val="center"/>
              <w:rPr>
                <w:rFonts w:cs="宋体"/>
                <w:color w:val="auto"/>
                <w:szCs w:val="21"/>
              </w:rPr>
            </w:pPr>
          </w:p>
        </w:tc>
        <w:tc>
          <w:tcPr>
            <w:tcW w:w="373" w:type="pct"/>
            <w:vAlign w:val="center"/>
          </w:tcPr>
          <w:p w14:paraId="45F57ADA">
            <w:pPr>
              <w:keepNext/>
              <w:spacing w:line="360" w:lineRule="auto"/>
              <w:jc w:val="center"/>
              <w:rPr>
                <w:rFonts w:cs="宋体"/>
                <w:color w:val="auto"/>
                <w:szCs w:val="21"/>
              </w:rPr>
            </w:pPr>
          </w:p>
        </w:tc>
        <w:tc>
          <w:tcPr>
            <w:tcW w:w="1889" w:type="pct"/>
            <w:vAlign w:val="center"/>
          </w:tcPr>
          <w:p w14:paraId="57FC771B">
            <w:pPr>
              <w:keepNext/>
              <w:spacing w:line="360" w:lineRule="auto"/>
              <w:jc w:val="center"/>
              <w:rPr>
                <w:rFonts w:cs="宋体"/>
                <w:color w:val="auto"/>
                <w:szCs w:val="21"/>
              </w:rPr>
            </w:pPr>
          </w:p>
        </w:tc>
        <w:tc>
          <w:tcPr>
            <w:tcW w:w="739" w:type="pct"/>
            <w:vAlign w:val="center"/>
          </w:tcPr>
          <w:p w14:paraId="4988C429">
            <w:pPr>
              <w:keepNext/>
              <w:spacing w:line="360" w:lineRule="auto"/>
              <w:jc w:val="center"/>
              <w:rPr>
                <w:rFonts w:cs="宋体"/>
                <w:color w:val="auto"/>
                <w:szCs w:val="21"/>
              </w:rPr>
            </w:pPr>
          </w:p>
        </w:tc>
      </w:tr>
      <w:tr w14:paraId="730A9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30A4482">
            <w:pPr>
              <w:keepNext/>
              <w:spacing w:line="360" w:lineRule="auto"/>
              <w:jc w:val="center"/>
              <w:rPr>
                <w:rFonts w:cs="宋体"/>
                <w:color w:val="auto"/>
                <w:szCs w:val="21"/>
              </w:rPr>
            </w:pPr>
          </w:p>
        </w:tc>
        <w:tc>
          <w:tcPr>
            <w:tcW w:w="641" w:type="pct"/>
            <w:vAlign w:val="center"/>
          </w:tcPr>
          <w:p w14:paraId="3F8085E3">
            <w:pPr>
              <w:keepNext/>
              <w:spacing w:line="360" w:lineRule="auto"/>
              <w:jc w:val="center"/>
              <w:rPr>
                <w:rFonts w:cs="宋体"/>
                <w:color w:val="auto"/>
                <w:szCs w:val="21"/>
              </w:rPr>
            </w:pPr>
          </w:p>
        </w:tc>
        <w:tc>
          <w:tcPr>
            <w:tcW w:w="513" w:type="pct"/>
            <w:vAlign w:val="center"/>
          </w:tcPr>
          <w:p w14:paraId="7DC758BE">
            <w:pPr>
              <w:keepNext/>
              <w:spacing w:line="360" w:lineRule="auto"/>
              <w:jc w:val="center"/>
              <w:rPr>
                <w:rFonts w:cs="宋体"/>
                <w:color w:val="auto"/>
                <w:szCs w:val="21"/>
              </w:rPr>
            </w:pPr>
          </w:p>
        </w:tc>
        <w:tc>
          <w:tcPr>
            <w:tcW w:w="373" w:type="pct"/>
            <w:vAlign w:val="center"/>
          </w:tcPr>
          <w:p w14:paraId="74926269">
            <w:pPr>
              <w:keepNext/>
              <w:spacing w:line="360" w:lineRule="auto"/>
              <w:jc w:val="center"/>
              <w:rPr>
                <w:rFonts w:cs="宋体"/>
                <w:color w:val="auto"/>
                <w:szCs w:val="21"/>
              </w:rPr>
            </w:pPr>
          </w:p>
        </w:tc>
        <w:tc>
          <w:tcPr>
            <w:tcW w:w="1889" w:type="pct"/>
            <w:vAlign w:val="center"/>
          </w:tcPr>
          <w:p w14:paraId="1041E74E">
            <w:pPr>
              <w:keepNext/>
              <w:spacing w:line="360" w:lineRule="auto"/>
              <w:jc w:val="center"/>
              <w:rPr>
                <w:rFonts w:cs="宋体"/>
                <w:color w:val="auto"/>
                <w:szCs w:val="21"/>
              </w:rPr>
            </w:pPr>
          </w:p>
        </w:tc>
        <w:tc>
          <w:tcPr>
            <w:tcW w:w="739" w:type="pct"/>
            <w:vAlign w:val="center"/>
          </w:tcPr>
          <w:p w14:paraId="2AAC1114">
            <w:pPr>
              <w:keepNext/>
              <w:spacing w:line="360" w:lineRule="auto"/>
              <w:jc w:val="center"/>
              <w:rPr>
                <w:rFonts w:cs="宋体"/>
                <w:color w:val="auto"/>
                <w:szCs w:val="21"/>
              </w:rPr>
            </w:pPr>
          </w:p>
        </w:tc>
      </w:tr>
      <w:tr w14:paraId="14BA4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54FEC74">
            <w:pPr>
              <w:keepNext/>
              <w:spacing w:line="360" w:lineRule="auto"/>
              <w:jc w:val="center"/>
              <w:rPr>
                <w:rFonts w:cs="宋体"/>
                <w:color w:val="auto"/>
                <w:szCs w:val="21"/>
              </w:rPr>
            </w:pPr>
          </w:p>
        </w:tc>
        <w:tc>
          <w:tcPr>
            <w:tcW w:w="641" w:type="pct"/>
            <w:vAlign w:val="center"/>
          </w:tcPr>
          <w:p w14:paraId="1D13AE99">
            <w:pPr>
              <w:keepNext/>
              <w:spacing w:line="360" w:lineRule="auto"/>
              <w:jc w:val="center"/>
              <w:rPr>
                <w:rFonts w:cs="宋体"/>
                <w:color w:val="auto"/>
                <w:szCs w:val="21"/>
              </w:rPr>
            </w:pPr>
          </w:p>
        </w:tc>
        <w:tc>
          <w:tcPr>
            <w:tcW w:w="513" w:type="pct"/>
            <w:vAlign w:val="center"/>
          </w:tcPr>
          <w:p w14:paraId="3DFDFF10">
            <w:pPr>
              <w:keepNext/>
              <w:spacing w:line="360" w:lineRule="auto"/>
              <w:jc w:val="center"/>
              <w:rPr>
                <w:rFonts w:cs="宋体"/>
                <w:color w:val="auto"/>
                <w:szCs w:val="21"/>
              </w:rPr>
            </w:pPr>
          </w:p>
        </w:tc>
        <w:tc>
          <w:tcPr>
            <w:tcW w:w="373" w:type="pct"/>
            <w:vAlign w:val="center"/>
          </w:tcPr>
          <w:p w14:paraId="3B5143D7">
            <w:pPr>
              <w:keepNext/>
              <w:spacing w:line="360" w:lineRule="auto"/>
              <w:jc w:val="center"/>
              <w:rPr>
                <w:rFonts w:cs="宋体"/>
                <w:color w:val="auto"/>
                <w:szCs w:val="21"/>
              </w:rPr>
            </w:pPr>
          </w:p>
        </w:tc>
        <w:tc>
          <w:tcPr>
            <w:tcW w:w="1889" w:type="pct"/>
            <w:vAlign w:val="center"/>
          </w:tcPr>
          <w:p w14:paraId="5863D184">
            <w:pPr>
              <w:keepNext/>
              <w:spacing w:line="360" w:lineRule="auto"/>
              <w:jc w:val="center"/>
              <w:rPr>
                <w:rFonts w:cs="宋体"/>
                <w:color w:val="auto"/>
                <w:szCs w:val="21"/>
              </w:rPr>
            </w:pPr>
          </w:p>
        </w:tc>
        <w:tc>
          <w:tcPr>
            <w:tcW w:w="739" w:type="pct"/>
            <w:vAlign w:val="center"/>
          </w:tcPr>
          <w:p w14:paraId="16D68C80">
            <w:pPr>
              <w:keepNext/>
              <w:spacing w:line="360" w:lineRule="auto"/>
              <w:jc w:val="center"/>
              <w:rPr>
                <w:rFonts w:cs="宋体"/>
                <w:color w:val="auto"/>
                <w:szCs w:val="21"/>
              </w:rPr>
            </w:pPr>
          </w:p>
        </w:tc>
      </w:tr>
      <w:tr w14:paraId="5043C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1A404076">
            <w:pPr>
              <w:keepNext/>
              <w:spacing w:line="360" w:lineRule="auto"/>
              <w:jc w:val="center"/>
              <w:rPr>
                <w:rFonts w:cs="宋体"/>
                <w:color w:val="auto"/>
                <w:szCs w:val="21"/>
              </w:rPr>
            </w:pPr>
          </w:p>
        </w:tc>
        <w:tc>
          <w:tcPr>
            <w:tcW w:w="641" w:type="pct"/>
            <w:tcBorders>
              <w:bottom w:val="single" w:color="auto" w:sz="12" w:space="0"/>
            </w:tcBorders>
            <w:vAlign w:val="center"/>
          </w:tcPr>
          <w:p w14:paraId="74EA16BA">
            <w:pPr>
              <w:keepNext/>
              <w:spacing w:line="360" w:lineRule="auto"/>
              <w:jc w:val="center"/>
              <w:rPr>
                <w:rFonts w:cs="宋体"/>
                <w:color w:val="auto"/>
                <w:szCs w:val="21"/>
              </w:rPr>
            </w:pPr>
          </w:p>
        </w:tc>
        <w:tc>
          <w:tcPr>
            <w:tcW w:w="513" w:type="pct"/>
            <w:tcBorders>
              <w:bottom w:val="single" w:color="auto" w:sz="12" w:space="0"/>
            </w:tcBorders>
            <w:vAlign w:val="center"/>
          </w:tcPr>
          <w:p w14:paraId="55C65095">
            <w:pPr>
              <w:keepNext/>
              <w:spacing w:line="360" w:lineRule="auto"/>
              <w:jc w:val="center"/>
              <w:rPr>
                <w:rFonts w:cs="宋体"/>
                <w:color w:val="auto"/>
                <w:szCs w:val="21"/>
              </w:rPr>
            </w:pPr>
          </w:p>
        </w:tc>
        <w:tc>
          <w:tcPr>
            <w:tcW w:w="373" w:type="pct"/>
            <w:tcBorders>
              <w:bottom w:val="single" w:color="auto" w:sz="12" w:space="0"/>
            </w:tcBorders>
            <w:vAlign w:val="center"/>
          </w:tcPr>
          <w:p w14:paraId="6DFB003D">
            <w:pPr>
              <w:keepNext/>
              <w:spacing w:line="360" w:lineRule="auto"/>
              <w:jc w:val="center"/>
              <w:rPr>
                <w:rFonts w:cs="宋体"/>
                <w:color w:val="auto"/>
                <w:szCs w:val="21"/>
              </w:rPr>
            </w:pPr>
          </w:p>
        </w:tc>
        <w:tc>
          <w:tcPr>
            <w:tcW w:w="1889" w:type="pct"/>
            <w:tcBorders>
              <w:bottom w:val="single" w:color="auto" w:sz="12" w:space="0"/>
            </w:tcBorders>
            <w:vAlign w:val="center"/>
          </w:tcPr>
          <w:p w14:paraId="23992023">
            <w:pPr>
              <w:keepNext/>
              <w:spacing w:line="360" w:lineRule="auto"/>
              <w:jc w:val="center"/>
              <w:rPr>
                <w:rFonts w:cs="宋体"/>
                <w:color w:val="auto"/>
                <w:szCs w:val="21"/>
              </w:rPr>
            </w:pPr>
          </w:p>
        </w:tc>
        <w:tc>
          <w:tcPr>
            <w:tcW w:w="739" w:type="pct"/>
            <w:tcBorders>
              <w:bottom w:val="single" w:color="auto" w:sz="12" w:space="0"/>
            </w:tcBorders>
            <w:vAlign w:val="center"/>
          </w:tcPr>
          <w:p w14:paraId="4D0D4305">
            <w:pPr>
              <w:keepNext/>
              <w:spacing w:line="360" w:lineRule="auto"/>
              <w:jc w:val="center"/>
              <w:rPr>
                <w:rFonts w:cs="宋体"/>
                <w:color w:val="auto"/>
                <w:szCs w:val="21"/>
              </w:rPr>
            </w:pPr>
          </w:p>
        </w:tc>
      </w:tr>
    </w:tbl>
    <w:p w14:paraId="2102BFCC">
      <w:pPr>
        <w:spacing w:before="312" w:beforeLines="100" w:after="312" w:afterLines="100"/>
        <w:outlineLvl w:val="2"/>
        <w:rPr>
          <w:rFonts w:hint="eastAsia" w:ascii="Times New Roman" w:eastAsia="黑体"/>
          <w:color w:val="auto"/>
          <w:szCs w:val="24"/>
        </w:rPr>
      </w:pPr>
      <w:bookmarkStart w:id="1148" w:name="_Toc128950243"/>
    </w:p>
    <w:p w14:paraId="1EB0D606">
      <w:pPr>
        <w:spacing w:before="312" w:beforeLines="100" w:after="312" w:afterLines="100"/>
        <w:outlineLvl w:val="2"/>
        <w:rPr>
          <w:rFonts w:hint="eastAsia" w:ascii="Times New Roman" w:eastAsia="黑体"/>
          <w:color w:val="auto"/>
          <w:szCs w:val="24"/>
        </w:rPr>
      </w:pPr>
    </w:p>
    <w:p w14:paraId="0796DAF1">
      <w:pPr>
        <w:spacing w:before="312" w:beforeLines="100" w:after="312" w:afterLines="100"/>
        <w:outlineLvl w:val="2"/>
        <w:rPr>
          <w:rFonts w:hint="eastAsia" w:ascii="Times New Roman" w:eastAsia="黑体"/>
          <w:color w:val="auto"/>
          <w:szCs w:val="24"/>
        </w:rPr>
      </w:pPr>
    </w:p>
    <w:p w14:paraId="2AFC646D">
      <w:pPr>
        <w:spacing w:before="312" w:beforeLines="100" w:after="312" w:afterLines="100"/>
        <w:outlineLvl w:val="2"/>
        <w:rPr>
          <w:rFonts w:hint="eastAsia" w:ascii="Times New Roman" w:eastAsia="黑体"/>
          <w:color w:val="auto"/>
          <w:szCs w:val="24"/>
        </w:rPr>
      </w:pPr>
    </w:p>
    <w:p w14:paraId="16F72A22">
      <w:pPr>
        <w:spacing w:before="312" w:beforeLines="100" w:after="312" w:afterLines="100"/>
        <w:outlineLvl w:val="2"/>
        <w:rPr>
          <w:rFonts w:hint="eastAsia" w:ascii="Times New Roman" w:eastAsia="黑体"/>
          <w:color w:val="auto"/>
          <w:szCs w:val="24"/>
        </w:rPr>
      </w:pPr>
    </w:p>
    <w:p w14:paraId="703E6668">
      <w:pPr>
        <w:spacing w:before="312" w:beforeLines="100" w:after="312" w:afterLines="100"/>
        <w:outlineLvl w:val="2"/>
        <w:rPr>
          <w:rFonts w:hint="eastAsia" w:ascii="Times New Roman" w:eastAsia="黑体"/>
          <w:color w:val="auto"/>
          <w:szCs w:val="24"/>
        </w:rPr>
      </w:pPr>
    </w:p>
    <w:p w14:paraId="1FADCBC7">
      <w:pPr>
        <w:spacing w:before="312" w:beforeLines="100" w:after="312" w:afterLines="100"/>
        <w:outlineLvl w:val="2"/>
        <w:rPr>
          <w:rFonts w:hint="eastAsia" w:ascii="Times New Roman" w:eastAsia="黑体"/>
          <w:color w:val="auto"/>
          <w:szCs w:val="24"/>
        </w:rPr>
      </w:pPr>
    </w:p>
    <w:p w14:paraId="4238BD0B">
      <w:pPr>
        <w:spacing w:before="312" w:beforeLines="100" w:after="312" w:afterLines="100"/>
        <w:outlineLvl w:val="2"/>
        <w:rPr>
          <w:rFonts w:ascii="Times New Roman" w:eastAsia="黑体"/>
          <w:color w:val="auto"/>
          <w:szCs w:val="24"/>
        </w:rPr>
      </w:pPr>
      <w:r>
        <w:rPr>
          <w:rFonts w:hint="eastAsia" w:ascii="Times New Roman" w:eastAsia="黑体"/>
          <w:color w:val="auto"/>
          <w:szCs w:val="24"/>
        </w:rPr>
        <w:t>附</w:t>
      </w:r>
      <w:bookmarkStart w:id="1149" w:name="_Toc296347230"/>
      <w:bookmarkStart w:id="1150" w:name="_Toc296891059"/>
      <w:bookmarkStart w:id="1151" w:name="_Toc296346732"/>
      <w:bookmarkStart w:id="1152" w:name="_Toc296503231"/>
      <w:bookmarkStart w:id="1153" w:name="_Toc296891271"/>
      <w:bookmarkStart w:id="1154" w:name="_Toc296944570"/>
      <w:r>
        <w:rPr>
          <w:rFonts w:hint="eastAsia" w:ascii="Times New Roman" w:eastAsia="黑体"/>
          <w:color w:val="auto"/>
          <w:szCs w:val="24"/>
        </w:rPr>
        <w:t>件</w:t>
      </w:r>
      <w:r>
        <w:rPr>
          <w:rFonts w:ascii="Times New Roman" w:eastAsia="黑体"/>
          <w:color w:val="auto"/>
          <w:szCs w:val="24"/>
        </w:rPr>
        <w:t>8</w:t>
      </w:r>
      <w:r>
        <w:rPr>
          <w:rFonts w:hint="eastAsia" w:ascii="Times New Roman" w:eastAsia="黑体"/>
          <w:color w:val="auto"/>
          <w:szCs w:val="24"/>
        </w:rPr>
        <w:t>：廉政协议</w:t>
      </w:r>
      <w:bookmarkEnd w:id="1148"/>
    </w:p>
    <w:bookmarkEnd w:id="1149"/>
    <w:bookmarkEnd w:id="1150"/>
    <w:bookmarkEnd w:id="1151"/>
    <w:bookmarkEnd w:id="1152"/>
    <w:bookmarkEnd w:id="1153"/>
    <w:bookmarkEnd w:id="1154"/>
    <w:p w14:paraId="60D43C74">
      <w:pPr>
        <w:widowControl/>
        <w:spacing w:line="360" w:lineRule="auto"/>
        <w:ind w:firstLine="643"/>
        <w:jc w:val="center"/>
        <w:rPr>
          <w:rFonts w:cs="宋体"/>
          <w:b/>
          <w:bCs/>
          <w:color w:val="auto"/>
          <w:sz w:val="32"/>
          <w:szCs w:val="32"/>
        </w:rPr>
      </w:pPr>
      <w:r>
        <w:rPr>
          <w:rFonts w:hint="eastAsia" w:cs="宋体"/>
          <w:b/>
          <w:bCs/>
          <w:color w:val="auto"/>
          <w:sz w:val="32"/>
          <w:szCs w:val="32"/>
        </w:rPr>
        <w:t>廉政协议</w:t>
      </w:r>
    </w:p>
    <w:p w14:paraId="10B62952">
      <w:pPr>
        <w:widowControl/>
        <w:spacing w:line="360" w:lineRule="auto"/>
        <w:ind w:firstLine="420" w:firstLineChars="200"/>
        <w:jc w:val="left"/>
        <w:rPr>
          <w:rFonts w:cs="宋体"/>
          <w:color w:val="auto"/>
          <w:sz w:val="21"/>
          <w:szCs w:val="21"/>
        </w:rPr>
      </w:pPr>
      <w:r>
        <w:rPr>
          <w:rFonts w:hint="eastAsia" w:cs="宋体"/>
          <w:color w:val="auto"/>
          <w:sz w:val="21"/>
          <w:szCs w:val="21"/>
        </w:rPr>
        <w:t>为促进双方诚信经营、廉洁从业，防范商业贿赂，保护国家、集体和当事人的合法权益，根据国家有关法律法规和安徽省、</w:t>
      </w:r>
      <w:r>
        <w:rPr>
          <w:rFonts w:hint="eastAsia" w:cs="宋体"/>
          <w:color w:val="auto"/>
          <w:sz w:val="21"/>
          <w:szCs w:val="21"/>
          <w:lang w:val="en-US" w:eastAsia="zh-CN"/>
        </w:rPr>
        <w:t>铜陵</w:t>
      </w:r>
      <w:r>
        <w:rPr>
          <w:rFonts w:hint="eastAsia" w:cs="宋体"/>
          <w:color w:val="auto"/>
          <w:sz w:val="21"/>
          <w:szCs w:val="21"/>
        </w:rPr>
        <w:t>市廉政建设的规定，</w:t>
      </w:r>
      <w:r>
        <w:rPr>
          <w:rFonts w:hint="eastAsia" w:cs="宋体"/>
          <w:color w:val="auto"/>
          <w:sz w:val="21"/>
          <w:szCs w:val="21"/>
          <w:u w:val="single"/>
        </w:rPr>
        <w:t xml:space="preserve">     </w:t>
      </w:r>
      <w:r>
        <w:rPr>
          <w:rFonts w:hint="eastAsia" w:cs="宋体"/>
          <w:color w:val="auto"/>
          <w:sz w:val="21"/>
          <w:szCs w:val="21"/>
        </w:rPr>
        <w:t>（以下称甲方）与</w:t>
      </w:r>
      <w:r>
        <w:rPr>
          <w:rFonts w:hint="eastAsia" w:cs="宋体"/>
          <w:color w:val="auto"/>
          <w:sz w:val="21"/>
          <w:szCs w:val="21"/>
          <w:u w:val="single"/>
        </w:rPr>
        <w:t xml:space="preserve">             （</w:t>
      </w:r>
      <w:r>
        <w:rPr>
          <w:rFonts w:hint="eastAsia" w:cs="宋体"/>
          <w:color w:val="auto"/>
          <w:sz w:val="21"/>
          <w:szCs w:val="21"/>
        </w:rPr>
        <w:t>以下称乙方），特此订立本协议共同遵照执行。</w:t>
      </w:r>
    </w:p>
    <w:p w14:paraId="2EB03D15">
      <w:pPr>
        <w:widowControl/>
        <w:spacing w:line="360" w:lineRule="auto"/>
        <w:ind w:firstLine="420" w:firstLineChars="200"/>
        <w:jc w:val="left"/>
        <w:rPr>
          <w:rFonts w:cs="宋体"/>
          <w:color w:val="auto"/>
          <w:sz w:val="21"/>
          <w:szCs w:val="21"/>
        </w:rPr>
      </w:pPr>
      <w:r>
        <w:rPr>
          <w:rFonts w:hint="eastAsia" w:cs="宋体"/>
          <w:color w:val="auto"/>
          <w:sz w:val="21"/>
          <w:szCs w:val="21"/>
        </w:rPr>
        <w:t>第一条 甲乙双方的权利和义务</w:t>
      </w:r>
    </w:p>
    <w:p w14:paraId="598BA565">
      <w:pPr>
        <w:widowControl/>
        <w:spacing w:line="360" w:lineRule="auto"/>
        <w:ind w:firstLine="420" w:firstLineChars="200"/>
        <w:jc w:val="left"/>
        <w:rPr>
          <w:rFonts w:cs="宋体"/>
          <w:color w:val="auto"/>
          <w:sz w:val="21"/>
          <w:szCs w:val="21"/>
        </w:rPr>
      </w:pPr>
      <w:r>
        <w:rPr>
          <w:rFonts w:hint="eastAsia" w:cs="宋体"/>
          <w:color w:val="auto"/>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1E91544">
      <w:pPr>
        <w:widowControl/>
        <w:spacing w:line="360" w:lineRule="auto"/>
        <w:ind w:firstLine="420" w:firstLineChars="200"/>
        <w:jc w:val="left"/>
        <w:rPr>
          <w:rFonts w:cs="宋体"/>
          <w:color w:val="auto"/>
          <w:sz w:val="21"/>
          <w:szCs w:val="21"/>
        </w:rPr>
      </w:pPr>
      <w:r>
        <w:rPr>
          <w:rFonts w:hint="eastAsia" w:cs="宋体"/>
          <w:color w:val="auto"/>
          <w:sz w:val="21"/>
          <w:szCs w:val="21"/>
        </w:rPr>
        <w:t>（二）严格执行</w:t>
      </w:r>
      <w:r>
        <w:rPr>
          <w:rFonts w:hint="eastAsia" w:cs="宋体"/>
          <w:color w:val="auto"/>
          <w:sz w:val="21"/>
          <w:szCs w:val="21"/>
          <w:u w:val="single"/>
        </w:rPr>
        <w:t xml:space="preserve">                       </w:t>
      </w:r>
      <w:r>
        <w:rPr>
          <w:rFonts w:hint="eastAsia" w:cs="宋体"/>
          <w:color w:val="auto"/>
          <w:sz w:val="21"/>
          <w:szCs w:val="21"/>
        </w:rPr>
        <w:t>的合同要求，自觉履行合同约定的相关义务。</w:t>
      </w:r>
    </w:p>
    <w:p w14:paraId="42B2D3AF">
      <w:pPr>
        <w:widowControl/>
        <w:spacing w:line="360" w:lineRule="auto"/>
        <w:ind w:firstLine="420" w:firstLineChars="200"/>
        <w:jc w:val="left"/>
        <w:rPr>
          <w:rFonts w:cs="宋体"/>
          <w:color w:val="auto"/>
          <w:sz w:val="21"/>
          <w:szCs w:val="21"/>
        </w:rPr>
      </w:pPr>
      <w:r>
        <w:rPr>
          <w:rFonts w:hint="eastAsia" w:cs="宋体"/>
          <w:color w:val="auto"/>
          <w:sz w:val="21"/>
          <w:szCs w:val="21"/>
        </w:rPr>
        <w:t>（三）在业务活动中坚持公开、公正、诚信、透明的原则，不得损害国家、集体利益。</w:t>
      </w:r>
    </w:p>
    <w:p w14:paraId="4D719C4B">
      <w:pPr>
        <w:widowControl/>
        <w:spacing w:line="360" w:lineRule="auto"/>
        <w:ind w:firstLine="420" w:firstLineChars="200"/>
        <w:jc w:val="left"/>
        <w:rPr>
          <w:rFonts w:cs="宋体"/>
          <w:color w:val="auto"/>
          <w:sz w:val="21"/>
          <w:szCs w:val="21"/>
        </w:rPr>
      </w:pPr>
      <w:r>
        <w:rPr>
          <w:rFonts w:hint="eastAsia" w:cs="宋体"/>
          <w:color w:val="auto"/>
          <w:sz w:val="21"/>
          <w:szCs w:val="21"/>
        </w:rPr>
        <w:t>（四）建立健全廉政制度，开展廉政教育，公布举报电话，监督并认真查处违法违纪行为。</w:t>
      </w:r>
    </w:p>
    <w:p w14:paraId="3001241D">
      <w:pPr>
        <w:widowControl/>
        <w:spacing w:line="360" w:lineRule="auto"/>
        <w:ind w:firstLine="420" w:firstLineChars="200"/>
        <w:jc w:val="left"/>
        <w:rPr>
          <w:rFonts w:cs="宋体"/>
          <w:color w:val="auto"/>
          <w:sz w:val="21"/>
          <w:szCs w:val="21"/>
        </w:rPr>
      </w:pPr>
      <w:r>
        <w:rPr>
          <w:rFonts w:hint="eastAsia" w:cs="宋体"/>
          <w:color w:val="auto"/>
          <w:sz w:val="21"/>
          <w:szCs w:val="21"/>
        </w:rPr>
        <w:t>（五）发现对方在业务活动中有违反廉政规定的行为，应及时提醒对方纠正。情节严重的，应向其上级有关部门举报、建议给予处理，并有权要求告知处理结果。</w:t>
      </w:r>
    </w:p>
    <w:p w14:paraId="7187ECCE">
      <w:pPr>
        <w:widowControl/>
        <w:spacing w:line="360" w:lineRule="auto"/>
        <w:ind w:firstLine="420" w:firstLineChars="200"/>
        <w:jc w:val="left"/>
        <w:rPr>
          <w:rFonts w:cs="宋体"/>
          <w:color w:val="auto"/>
          <w:sz w:val="21"/>
          <w:szCs w:val="21"/>
        </w:rPr>
      </w:pPr>
      <w:r>
        <w:rPr>
          <w:rFonts w:hint="eastAsia" w:cs="宋体"/>
          <w:color w:val="auto"/>
          <w:sz w:val="21"/>
          <w:szCs w:val="21"/>
        </w:rPr>
        <w:t>第二条 甲方的义务</w:t>
      </w:r>
    </w:p>
    <w:p w14:paraId="61BC7E88">
      <w:pPr>
        <w:widowControl/>
        <w:spacing w:line="360" w:lineRule="auto"/>
        <w:ind w:firstLine="525" w:firstLineChars="250"/>
        <w:jc w:val="left"/>
        <w:rPr>
          <w:rFonts w:cs="宋体"/>
          <w:color w:val="auto"/>
          <w:sz w:val="21"/>
          <w:szCs w:val="21"/>
        </w:rPr>
      </w:pPr>
      <w:r>
        <w:rPr>
          <w:rFonts w:hint="eastAsia" w:cs="宋体"/>
          <w:color w:val="auto"/>
          <w:sz w:val="21"/>
          <w:szCs w:val="21"/>
        </w:rPr>
        <w:t>（一）甲方及其工作人员不得索要或接受乙方的礼金、有价证券和贵重物品，不得在乙方报销任何应由甲方单位或个人支付的费用等。</w:t>
      </w:r>
    </w:p>
    <w:p w14:paraId="564815C7">
      <w:pPr>
        <w:widowControl/>
        <w:spacing w:line="360" w:lineRule="auto"/>
        <w:ind w:firstLine="420" w:firstLineChars="200"/>
        <w:jc w:val="left"/>
        <w:rPr>
          <w:rFonts w:cs="宋体"/>
          <w:color w:val="auto"/>
          <w:sz w:val="21"/>
          <w:szCs w:val="21"/>
        </w:rPr>
      </w:pPr>
      <w:r>
        <w:rPr>
          <w:rFonts w:hint="eastAsia" w:cs="宋体"/>
          <w:color w:val="auto"/>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AB102E5">
      <w:pPr>
        <w:widowControl/>
        <w:spacing w:line="360" w:lineRule="auto"/>
        <w:ind w:firstLine="420" w:firstLineChars="200"/>
        <w:jc w:val="left"/>
        <w:rPr>
          <w:rFonts w:cs="宋体"/>
          <w:color w:val="auto"/>
          <w:sz w:val="21"/>
          <w:szCs w:val="21"/>
        </w:rPr>
      </w:pPr>
      <w:r>
        <w:rPr>
          <w:rFonts w:hint="eastAsia" w:cs="宋体"/>
          <w:color w:val="auto"/>
          <w:sz w:val="21"/>
          <w:szCs w:val="21"/>
        </w:rPr>
        <w:t>（三） 甲方及其工作人员不得要求或者接受乙方为其住房装修、婚丧嫁娶活动、配偶子女工作安排以及出国出境、旅游等提供方便等。</w:t>
      </w:r>
    </w:p>
    <w:p w14:paraId="6BF72D48">
      <w:pPr>
        <w:widowControl/>
        <w:spacing w:line="360" w:lineRule="auto"/>
        <w:ind w:firstLine="420" w:firstLineChars="200"/>
        <w:jc w:val="left"/>
        <w:rPr>
          <w:rFonts w:cs="宋体"/>
          <w:color w:val="auto"/>
          <w:sz w:val="21"/>
          <w:szCs w:val="21"/>
        </w:rPr>
      </w:pPr>
      <w:r>
        <w:rPr>
          <w:rFonts w:hint="eastAsia" w:cs="宋体"/>
          <w:color w:val="auto"/>
          <w:sz w:val="21"/>
          <w:szCs w:val="21"/>
        </w:rPr>
        <w:t>（四） 甲方工作人员不得在乙方有股权关联的企业兼职，不得向乙方介绍家属或者亲友从事与甲方业务有关的经济活动。</w:t>
      </w:r>
    </w:p>
    <w:p w14:paraId="5B17D0C8">
      <w:pPr>
        <w:widowControl/>
        <w:spacing w:line="360" w:lineRule="auto"/>
        <w:ind w:firstLine="420" w:firstLineChars="200"/>
        <w:jc w:val="left"/>
        <w:rPr>
          <w:rFonts w:cs="宋体"/>
          <w:color w:val="auto"/>
          <w:sz w:val="21"/>
          <w:szCs w:val="21"/>
        </w:rPr>
      </w:pPr>
      <w:r>
        <w:rPr>
          <w:rFonts w:hint="eastAsia" w:cs="宋体"/>
          <w:color w:val="auto"/>
          <w:sz w:val="21"/>
          <w:szCs w:val="21"/>
        </w:rPr>
        <w:t>（五）甲方工作人员不得以明显低于市场的价格向乙方购买房屋、汽车等物品；不得以明显高于市场的价格向乙方出售房屋、汽车等物品；不得以其他交易形式非法收受请托人财物。</w:t>
      </w:r>
    </w:p>
    <w:p w14:paraId="12B7F551">
      <w:pPr>
        <w:widowControl/>
        <w:spacing w:line="360" w:lineRule="auto"/>
        <w:ind w:firstLine="420" w:firstLineChars="200"/>
        <w:jc w:val="left"/>
        <w:rPr>
          <w:rFonts w:cs="宋体"/>
          <w:color w:val="auto"/>
          <w:sz w:val="21"/>
          <w:szCs w:val="21"/>
        </w:rPr>
      </w:pPr>
      <w:r>
        <w:rPr>
          <w:rFonts w:hint="eastAsia" w:cs="宋体"/>
          <w:color w:val="auto"/>
          <w:sz w:val="21"/>
          <w:szCs w:val="21"/>
        </w:rPr>
        <w:t>（六）甲方工作人员不得利用职务之便收受乙方以回扣、手续费、加班费、咨询费、劳务费、协调费、辛苦费等各种名义给予或赠送的钱物。</w:t>
      </w:r>
    </w:p>
    <w:p w14:paraId="29347C6F">
      <w:pPr>
        <w:widowControl/>
        <w:spacing w:line="360" w:lineRule="auto"/>
        <w:ind w:firstLine="420" w:firstLineChars="200"/>
        <w:jc w:val="left"/>
        <w:rPr>
          <w:rFonts w:cs="宋体"/>
          <w:color w:val="auto"/>
          <w:sz w:val="21"/>
          <w:szCs w:val="21"/>
        </w:rPr>
      </w:pPr>
      <w:r>
        <w:rPr>
          <w:rFonts w:hint="eastAsia" w:cs="宋体"/>
          <w:color w:val="auto"/>
          <w:sz w:val="21"/>
          <w:szCs w:val="21"/>
        </w:rPr>
        <w:t>（七）甲方工作人员不得接受乙方给予或赠送的干股或红利。</w:t>
      </w:r>
    </w:p>
    <w:p w14:paraId="43AC34D6">
      <w:pPr>
        <w:widowControl/>
        <w:spacing w:line="360" w:lineRule="auto"/>
        <w:ind w:firstLine="420" w:firstLineChars="200"/>
        <w:jc w:val="left"/>
        <w:rPr>
          <w:rFonts w:cs="宋体"/>
          <w:color w:val="auto"/>
          <w:sz w:val="21"/>
          <w:szCs w:val="21"/>
        </w:rPr>
      </w:pPr>
      <w:r>
        <w:rPr>
          <w:rFonts w:hint="eastAsia" w:cs="宋体"/>
          <w:color w:val="auto"/>
          <w:sz w:val="21"/>
          <w:szCs w:val="21"/>
        </w:rPr>
        <w:t>（八）甲方任何人不得以个人的名义向乙方推荐设备、部件等供货商以及其他合作单位。</w:t>
      </w:r>
    </w:p>
    <w:p w14:paraId="75C95EA3">
      <w:pPr>
        <w:widowControl/>
        <w:spacing w:line="360" w:lineRule="auto"/>
        <w:ind w:firstLine="420" w:firstLineChars="200"/>
        <w:jc w:val="left"/>
        <w:rPr>
          <w:rFonts w:cs="宋体"/>
          <w:color w:val="auto"/>
          <w:sz w:val="21"/>
          <w:szCs w:val="21"/>
        </w:rPr>
      </w:pPr>
      <w:r>
        <w:rPr>
          <w:rFonts w:hint="eastAsia" w:cs="宋体"/>
          <w:color w:val="auto"/>
          <w:sz w:val="21"/>
          <w:szCs w:val="21"/>
        </w:rPr>
        <w:t>第三条 乙方的义务</w:t>
      </w:r>
    </w:p>
    <w:p w14:paraId="5A742380">
      <w:pPr>
        <w:widowControl/>
        <w:spacing w:line="360" w:lineRule="auto"/>
        <w:ind w:firstLine="525" w:firstLineChars="250"/>
        <w:jc w:val="left"/>
        <w:rPr>
          <w:rFonts w:cs="宋体"/>
          <w:color w:val="auto"/>
          <w:sz w:val="21"/>
          <w:szCs w:val="21"/>
        </w:rPr>
      </w:pPr>
      <w:r>
        <w:rPr>
          <w:rFonts w:hint="eastAsia" w:cs="宋体"/>
          <w:color w:val="auto"/>
          <w:sz w:val="21"/>
          <w:szCs w:val="21"/>
        </w:rPr>
        <w:t>（一）乙方不得以任何理由向甲方及其工作人员行贿或馈赠礼金、有价证券、贵重礼品。</w:t>
      </w:r>
    </w:p>
    <w:p w14:paraId="4A28F57E">
      <w:pPr>
        <w:widowControl/>
        <w:spacing w:line="360" w:lineRule="auto"/>
        <w:ind w:firstLine="420" w:firstLineChars="200"/>
        <w:jc w:val="left"/>
        <w:rPr>
          <w:rFonts w:cs="宋体"/>
          <w:color w:val="auto"/>
          <w:sz w:val="21"/>
          <w:szCs w:val="21"/>
        </w:rPr>
      </w:pPr>
      <w:r>
        <w:rPr>
          <w:rFonts w:hint="eastAsia" w:cs="宋体"/>
          <w:color w:val="auto"/>
          <w:sz w:val="21"/>
          <w:szCs w:val="21"/>
        </w:rPr>
        <w:t>（二）乙方不得以任何名义为甲方及其工作人员报销应由甲方单位或个人支付的任何费用。</w:t>
      </w:r>
    </w:p>
    <w:p w14:paraId="05AFCDEC">
      <w:pPr>
        <w:widowControl/>
        <w:spacing w:line="360" w:lineRule="auto"/>
        <w:ind w:firstLine="420" w:firstLineChars="200"/>
        <w:jc w:val="left"/>
        <w:rPr>
          <w:rFonts w:cs="宋体"/>
          <w:color w:val="auto"/>
          <w:sz w:val="21"/>
          <w:szCs w:val="21"/>
        </w:rPr>
      </w:pPr>
      <w:r>
        <w:rPr>
          <w:rFonts w:hint="eastAsia" w:cs="宋体"/>
          <w:color w:val="auto"/>
          <w:sz w:val="21"/>
          <w:szCs w:val="21"/>
        </w:rPr>
        <w:t>（三）乙方不得以任何理由安排甲方工作人员参加可能影响相关业务公开、公正、公平性的宴请及娱乐活动。</w:t>
      </w:r>
    </w:p>
    <w:p w14:paraId="1C0E7831">
      <w:pPr>
        <w:widowControl/>
        <w:spacing w:line="360" w:lineRule="auto"/>
        <w:ind w:firstLine="420" w:firstLineChars="200"/>
        <w:jc w:val="left"/>
        <w:rPr>
          <w:rFonts w:cs="宋体"/>
          <w:color w:val="auto"/>
          <w:sz w:val="21"/>
          <w:szCs w:val="21"/>
        </w:rPr>
      </w:pPr>
      <w:r>
        <w:rPr>
          <w:rFonts w:hint="eastAsia" w:cs="宋体"/>
          <w:color w:val="auto"/>
          <w:sz w:val="21"/>
          <w:szCs w:val="21"/>
        </w:rPr>
        <w:t>（四）乙方不得为甲方单位和个人购置或提供通讯工具和高档办公用品等物品，也不得为甲方提供与工作无关的房屋、汽车等。</w:t>
      </w:r>
    </w:p>
    <w:p w14:paraId="7180D099">
      <w:pPr>
        <w:widowControl/>
        <w:spacing w:line="360" w:lineRule="auto"/>
        <w:ind w:firstLine="420" w:firstLineChars="200"/>
        <w:jc w:val="left"/>
        <w:rPr>
          <w:rFonts w:cs="宋体"/>
          <w:color w:val="auto"/>
          <w:sz w:val="21"/>
          <w:szCs w:val="21"/>
        </w:rPr>
      </w:pPr>
      <w:r>
        <w:rPr>
          <w:rFonts w:hint="eastAsia" w:cs="宋体"/>
          <w:color w:val="auto"/>
          <w:sz w:val="21"/>
          <w:szCs w:val="21"/>
        </w:rPr>
        <w:t>（五）乙方不得与甲方工作人员就合同中的质量、数量、价格、工程量、验收等条款进行私下商谈或者达成默契。</w:t>
      </w:r>
    </w:p>
    <w:p w14:paraId="5DBEA191">
      <w:pPr>
        <w:widowControl/>
        <w:spacing w:line="360" w:lineRule="auto"/>
        <w:ind w:firstLine="420" w:firstLineChars="200"/>
        <w:jc w:val="left"/>
        <w:rPr>
          <w:rFonts w:cs="宋体"/>
          <w:color w:val="auto"/>
          <w:sz w:val="21"/>
          <w:szCs w:val="21"/>
        </w:rPr>
      </w:pPr>
      <w:r>
        <w:rPr>
          <w:rFonts w:hint="eastAsia" w:cs="宋体"/>
          <w:color w:val="auto"/>
          <w:sz w:val="21"/>
          <w:szCs w:val="21"/>
        </w:rPr>
        <w:t>（六）乙方不得以回扣、手续费、加班费、咨询费、劳务费、协调费、辛苦费等各种名义向甲方工作人员给予或赠送钱物。</w:t>
      </w:r>
    </w:p>
    <w:p w14:paraId="0615CB4C">
      <w:pPr>
        <w:widowControl/>
        <w:spacing w:line="360" w:lineRule="auto"/>
        <w:ind w:firstLine="420" w:firstLineChars="200"/>
        <w:jc w:val="left"/>
        <w:rPr>
          <w:rFonts w:cs="宋体"/>
          <w:color w:val="auto"/>
          <w:sz w:val="21"/>
          <w:szCs w:val="21"/>
        </w:rPr>
      </w:pPr>
      <w:r>
        <w:rPr>
          <w:rFonts w:hint="eastAsia" w:cs="宋体"/>
          <w:color w:val="auto"/>
          <w:sz w:val="21"/>
          <w:szCs w:val="21"/>
        </w:rPr>
        <w:t>（七）乙方不得向甲方工作人员提供干股或红利。</w:t>
      </w:r>
    </w:p>
    <w:p w14:paraId="7C55E2BA">
      <w:pPr>
        <w:widowControl/>
        <w:spacing w:line="360" w:lineRule="auto"/>
        <w:ind w:firstLine="420" w:firstLineChars="200"/>
        <w:jc w:val="left"/>
        <w:rPr>
          <w:rFonts w:cs="宋体"/>
          <w:color w:val="auto"/>
          <w:sz w:val="21"/>
          <w:szCs w:val="21"/>
        </w:rPr>
      </w:pPr>
      <w:r>
        <w:rPr>
          <w:rFonts w:hint="eastAsia" w:cs="宋体"/>
          <w:color w:val="auto"/>
          <w:sz w:val="21"/>
          <w:szCs w:val="21"/>
        </w:rPr>
        <w:t>（八）乙方须按</w:t>
      </w:r>
      <w:r>
        <w:rPr>
          <w:rFonts w:hint="eastAsia" w:cs="宋体"/>
          <w:color w:val="auto"/>
          <w:sz w:val="21"/>
          <w:szCs w:val="21"/>
          <w:u w:val="single"/>
        </w:rPr>
        <w:t xml:space="preserve">         </w:t>
      </w:r>
      <w:r>
        <w:rPr>
          <w:rFonts w:hint="eastAsia" w:cs="宋体"/>
          <w:color w:val="auto"/>
          <w:sz w:val="21"/>
          <w:szCs w:val="21"/>
        </w:rPr>
        <w:t>专项纪检监察工作组（如有）要求开展相关工作。</w:t>
      </w:r>
    </w:p>
    <w:p w14:paraId="152624A7">
      <w:pPr>
        <w:widowControl/>
        <w:spacing w:line="360" w:lineRule="auto"/>
        <w:ind w:firstLine="420" w:firstLineChars="200"/>
        <w:jc w:val="left"/>
        <w:rPr>
          <w:rFonts w:cs="宋体"/>
          <w:color w:val="auto"/>
          <w:sz w:val="21"/>
          <w:szCs w:val="21"/>
        </w:rPr>
      </w:pPr>
      <w:r>
        <w:rPr>
          <w:rFonts w:hint="eastAsia" w:cs="宋体"/>
          <w:color w:val="auto"/>
          <w:sz w:val="21"/>
          <w:szCs w:val="21"/>
        </w:rPr>
        <w:t>第四条 违约责任</w:t>
      </w:r>
    </w:p>
    <w:p w14:paraId="4359EDFD">
      <w:pPr>
        <w:widowControl/>
        <w:spacing w:line="360" w:lineRule="auto"/>
        <w:ind w:firstLine="420" w:firstLineChars="200"/>
        <w:jc w:val="left"/>
        <w:rPr>
          <w:rFonts w:cs="宋体"/>
          <w:color w:val="auto"/>
          <w:sz w:val="21"/>
          <w:szCs w:val="21"/>
        </w:rPr>
      </w:pPr>
      <w:r>
        <w:rPr>
          <w:rFonts w:hint="eastAsia" w:cs="宋体"/>
          <w:color w:val="auto"/>
          <w:sz w:val="21"/>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6E59EF2F">
      <w:pPr>
        <w:widowControl/>
        <w:spacing w:line="360" w:lineRule="auto"/>
        <w:ind w:firstLine="420" w:firstLineChars="200"/>
        <w:jc w:val="left"/>
        <w:rPr>
          <w:rFonts w:cs="宋体"/>
          <w:color w:val="auto"/>
          <w:sz w:val="21"/>
          <w:szCs w:val="21"/>
        </w:rPr>
      </w:pPr>
      <w:r>
        <w:rPr>
          <w:rFonts w:hint="eastAsia" w:cs="宋体"/>
          <w:color w:val="auto"/>
          <w:sz w:val="21"/>
          <w:szCs w:val="21"/>
        </w:rPr>
        <w:t>甲方投诉联系部门：</w:t>
      </w:r>
      <w:r>
        <w:rPr>
          <w:rFonts w:hint="eastAsia" w:cs="宋体"/>
          <w:color w:val="auto"/>
          <w:sz w:val="21"/>
          <w:szCs w:val="21"/>
          <w:u w:val="single"/>
        </w:rPr>
        <w:t xml:space="preserve">           </w:t>
      </w:r>
      <w:r>
        <w:rPr>
          <w:rFonts w:hint="eastAsia" w:cs="宋体"/>
          <w:color w:val="auto"/>
          <w:sz w:val="21"/>
          <w:szCs w:val="21"/>
        </w:rPr>
        <w:t>，联系电话：</w:t>
      </w:r>
      <w:r>
        <w:rPr>
          <w:rFonts w:hint="eastAsia" w:cs="宋体"/>
          <w:color w:val="auto"/>
          <w:sz w:val="21"/>
          <w:szCs w:val="21"/>
          <w:u w:val="single"/>
        </w:rPr>
        <w:t xml:space="preserve">           </w:t>
      </w:r>
      <w:r>
        <w:rPr>
          <w:rFonts w:hint="eastAsia" w:cs="宋体"/>
          <w:color w:val="auto"/>
          <w:sz w:val="21"/>
          <w:szCs w:val="21"/>
        </w:rPr>
        <w:t>。</w:t>
      </w:r>
    </w:p>
    <w:p w14:paraId="2C0D67D3">
      <w:pPr>
        <w:widowControl/>
        <w:spacing w:line="360" w:lineRule="auto"/>
        <w:ind w:firstLine="420" w:firstLineChars="200"/>
        <w:jc w:val="left"/>
        <w:rPr>
          <w:rFonts w:cs="宋体"/>
          <w:color w:val="auto"/>
          <w:sz w:val="21"/>
          <w:szCs w:val="21"/>
        </w:rPr>
      </w:pPr>
      <w:r>
        <w:rPr>
          <w:rFonts w:hint="eastAsia" w:cs="宋体"/>
          <w:color w:val="auto"/>
          <w:sz w:val="21"/>
          <w:szCs w:val="21"/>
        </w:rPr>
        <w:t>（二）乙方及其工作人员违反本协议第一、三条规定。根据具体情节和造成的后果，甲方有权对乙方采取以下一种或多种处理办法：</w:t>
      </w:r>
    </w:p>
    <w:p w14:paraId="240D4B38">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1. 全额收取乙方合同履约保证金不予退还； </w:t>
      </w:r>
    </w:p>
    <w:p w14:paraId="4A157BD9">
      <w:pPr>
        <w:widowControl/>
        <w:spacing w:line="360" w:lineRule="auto"/>
        <w:ind w:firstLine="420" w:firstLineChars="200"/>
        <w:jc w:val="left"/>
        <w:rPr>
          <w:rFonts w:cs="宋体"/>
          <w:color w:val="auto"/>
          <w:sz w:val="21"/>
          <w:szCs w:val="21"/>
        </w:rPr>
      </w:pPr>
      <w:r>
        <w:rPr>
          <w:rFonts w:hint="eastAsia" w:cs="宋体"/>
          <w:color w:val="auto"/>
          <w:sz w:val="21"/>
          <w:szCs w:val="21"/>
        </w:rPr>
        <w:t>2. 追究乙方其他违约责任；</w:t>
      </w:r>
    </w:p>
    <w:p w14:paraId="4DBB3E2E">
      <w:pPr>
        <w:widowControl/>
        <w:spacing w:line="360" w:lineRule="auto"/>
        <w:ind w:firstLine="420" w:firstLineChars="200"/>
        <w:jc w:val="left"/>
        <w:rPr>
          <w:rFonts w:cs="宋体"/>
          <w:color w:val="auto"/>
          <w:sz w:val="21"/>
          <w:szCs w:val="21"/>
        </w:rPr>
      </w:pPr>
      <w:r>
        <w:rPr>
          <w:rFonts w:hint="eastAsia" w:cs="宋体"/>
          <w:color w:val="auto"/>
          <w:sz w:val="21"/>
          <w:szCs w:val="21"/>
        </w:rPr>
        <w:t>3. 终止或解除双方已签订的包括本合同在内的所有合同；</w:t>
      </w:r>
    </w:p>
    <w:p w14:paraId="6C9FA21B">
      <w:pPr>
        <w:widowControl/>
        <w:spacing w:line="360" w:lineRule="auto"/>
        <w:ind w:firstLine="420" w:firstLineChars="200"/>
        <w:jc w:val="left"/>
        <w:rPr>
          <w:rFonts w:cs="宋体"/>
          <w:color w:val="auto"/>
          <w:sz w:val="21"/>
          <w:szCs w:val="21"/>
        </w:rPr>
      </w:pPr>
      <w:r>
        <w:rPr>
          <w:rFonts w:hint="eastAsia" w:cs="宋体"/>
          <w:color w:val="auto"/>
          <w:sz w:val="21"/>
          <w:szCs w:val="21"/>
        </w:rPr>
        <w:t>4. 乙方一定期限内（6个月至3年，具体由甲方根据情况而定）不得参与甲方作为发包人（业主）的工程项目投标。</w:t>
      </w:r>
    </w:p>
    <w:p w14:paraId="7DDBCBF7">
      <w:pPr>
        <w:widowControl/>
        <w:spacing w:line="360" w:lineRule="auto"/>
        <w:ind w:firstLine="420" w:firstLineChars="200"/>
        <w:jc w:val="left"/>
        <w:rPr>
          <w:rFonts w:cs="宋体"/>
          <w:color w:val="auto"/>
          <w:sz w:val="21"/>
          <w:szCs w:val="21"/>
        </w:rPr>
      </w:pPr>
      <w:r>
        <w:rPr>
          <w:rFonts w:hint="eastAsia" w:cs="宋体"/>
          <w:color w:val="auto"/>
          <w:sz w:val="21"/>
          <w:szCs w:val="21"/>
        </w:rPr>
        <w:t>甲方作出的处理意见，乙方应无条件接受并承担给甲方造成的损失，全额返还通过不正当手段从甲方获取的非法所得，并承担相应的法律责任。</w:t>
      </w:r>
    </w:p>
    <w:p w14:paraId="77D5502F">
      <w:pPr>
        <w:widowControl/>
        <w:spacing w:line="360" w:lineRule="auto"/>
        <w:ind w:firstLine="420" w:firstLineChars="200"/>
        <w:jc w:val="left"/>
        <w:rPr>
          <w:rFonts w:cs="宋体"/>
          <w:color w:val="auto"/>
          <w:sz w:val="21"/>
          <w:szCs w:val="21"/>
        </w:rPr>
      </w:pPr>
      <w:r>
        <w:rPr>
          <w:rFonts w:hint="eastAsia" w:cs="宋体"/>
          <w:color w:val="auto"/>
          <w:sz w:val="21"/>
          <w:szCs w:val="21"/>
        </w:rPr>
        <w:t>第五条 双方约定</w:t>
      </w:r>
    </w:p>
    <w:p w14:paraId="24CCCC22">
      <w:pPr>
        <w:widowControl/>
        <w:spacing w:line="360" w:lineRule="auto"/>
        <w:ind w:firstLine="420" w:firstLineChars="200"/>
        <w:jc w:val="left"/>
        <w:rPr>
          <w:rFonts w:cs="宋体"/>
          <w:color w:val="auto"/>
          <w:sz w:val="21"/>
          <w:szCs w:val="21"/>
        </w:rPr>
      </w:pPr>
      <w:r>
        <w:rPr>
          <w:rFonts w:hint="eastAsia" w:cs="宋体"/>
          <w:color w:val="auto"/>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6A06D0EA">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第六条  本协议有效期为甲乙双方签署之日起至合同终止。  </w:t>
      </w:r>
    </w:p>
    <w:p w14:paraId="7E4C2A5C">
      <w:pPr>
        <w:widowControl/>
        <w:spacing w:line="360" w:lineRule="auto"/>
        <w:ind w:firstLine="420" w:firstLineChars="200"/>
        <w:jc w:val="left"/>
        <w:rPr>
          <w:rFonts w:cs="宋体"/>
          <w:color w:val="auto"/>
          <w:sz w:val="21"/>
          <w:szCs w:val="21"/>
        </w:rPr>
      </w:pPr>
      <w:r>
        <w:rPr>
          <w:rFonts w:hint="eastAsia" w:cs="宋体"/>
          <w:color w:val="auto"/>
          <w:sz w:val="21"/>
          <w:szCs w:val="21"/>
        </w:rPr>
        <w:t>第七条  本协议作为合同的附件，与本合同具有同等法律效力。</w:t>
      </w:r>
    </w:p>
    <w:p w14:paraId="7CC99A4D">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 </w:t>
      </w:r>
    </w:p>
    <w:p w14:paraId="53AA5C73">
      <w:pPr>
        <w:widowControl/>
        <w:spacing w:line="360" w:lineRule="auto"/>
        <w:ind w:firstLine="420" w:firstLineChars="200"/>
        <w:jc w:val="left"/>
        <w:rPr>
          <w:rFonts w:cs="宋体"/>
          <w:color w:val="auto"/>
          <w:sz w:val="21"/>
          <w:szCs w:val="21"/>
        </w:rPr>
      </w:pPr>
      <w:r>
        <w:rPr>
          <w:rFonts w:hint="eastAsia" w:cs="宋体"/>
          <w:color w:val="auto"/>
          <w:sz w:val="21"/>
          <w:szCs w:val="21"/>
        </w:rPr>
        <w:t xml:space="preserve">甲方（盖章）： </w:t>
      </w:r>
      <w:r>
        <w:rPr>
          <w:rFonts w:hint="eastAsia" w:cs="宋体"/>
          <w:color w:val="auto"/>
          <w:sz w:val="21"/>
          <w:szCs w:val="21"/>
          <w:u w:val="single"/>
        </w:rPr>
        <w:t xml:space="preserve">                  </w:t>
      </w:r>
      <w:r>
        <w:rPr>
          <w:rFonts w:hint="eastAsia" w:cs="宋体"/>
          <w:color w:val="auto"/>
          <w:sz w:val="21"/>
          <w:szCs w:val="21"/>
        </w:rPr>
        <w:t xml:space="preserve">     乙方（盖章）：</w:t>
      </w:r>
      <w:r>
        <w:rPr>
          <w:rFonts w:hint="eastAsia" w:cs="宋体"/>
          <w:color w:val="auto"/>
          <w:sz w:val="21"/>
          <w:szCs w:val="21"/>
          <w:u w:val="single"/>
        </w:rPr>
        <w:t xml:space="preserve">             </w:t>
      </w:r>
    </w:p>
    <w:p w14:paraId="6F902CC2">
      <w:pPr>
        <w:widowControl/>
        <w:spacing w:line="360" w:lineRule="auto"/>
        <w:ind w:firstLine="420" w:firstLineChars="200"/>
        <w:jc w:val="left"/>
        <w:rPr>
          <w:rFonts w:cs="宋体"/>
          <w:color w:val="auto"/>
          <w:sz w:val="21"/>
          <w:szCs w:val="21"/>
        </w:rPr>
      </w:pPr>
      <w:r>
        <w:rPr>
          <w:rFonts w:hint="eastAsia" w:cs="宋体"/>
          <w:color w:val="auto"/>
          <w:sz w:val="21"/>
          <w:szCs w:val="21"/>
        </w:rPr>
        <w:t>法定代表人或                          法定代表人或</w:t>
      </w:r>
    </w:p>
    <w:p w14:paraId="46B3652E">
      <w:pPr>
        <w:widowControl/>
        <w:spacing w:line="360" w:lineRule="auto"/>
        <w:ind w:firstLine="420" w:firstLineChars="200"/>
        <w:jc w:val="left"/>
        <w:rPr>
          <w:rFonts w:cs="宋体"/>
          <w:color w:val="auto"/>
          <w:sz w:val="21"/>
          <w:szCs w:val="21"/>
        </w:rPr>
      </w:pPr>
      <w:r>
        <w:rPr>
          <w:rFonts w:hint="eastAsia" w:cs="宋体"/>
          <w:color w:val="auto"/>
          <w:sz w:val="21"/>
          <w:szCs w:val="21"/>
        </w:rPr>
        <w:t>授权代表：</w:t>
      </w:r>
      <w:r>
        <w:rPr>
          <w:rFonts w:hint="eastAsia" w:cs="宋体"/>
          <w:color w:val="auto"/>
          <w:sz w:val="21"/>
          <w:szCs w:val="21"/>
          <w:u w:val="single"/>
        </w:rPr>
        <w:t xml:space="preserve">              </w:t>
      </w:r>
      <w:r>
        <w:rPr>
          <w:rFonts w:hint="eastAsia" w:cs="宋体"/>
          <w:color w:val="auto"/>
          <w:sz w:val="21"/>
          <w:szCs w:val="21"/>
          <w:u w:val="single"/>
          <w:lang w:eastAsia="zh-CN"/>
        </w:rPr>
        <w:t>（</w:t>
      </w:r>
      <w:r>
        <w:rPr>
          <w:rFonts w:hint="eastAsia" w:cs="宋体"/>
          <w:color w:val="auto"/>
          <w:sz w:val="21"/>
          <w:szCs w:val="21"/>
        </w:rPr>
        <w:t>职务</w:t>
      </w:r>
      <w:r>
        <w:rPr>
          <w:rFonts w:hint="eastAsia" w:cs="宋体"/>
          <w:color w:val="auto"/>
          <w:sz w:val="21"/>
          <w:szCs w:val="21"/>
          <w:lang w:eastAsia="zh-CN"/>
        </w:rPr>
        <w:t>）</w:t>
      </w:r>
      <w:r>
        <w:rPr>
          <w:rFonts w:hint="eastAsia" w:cs="宋体"/>
          <w:color w:val="auto"/>
          <w:sz w:val="21"/>
          <w:szCs w:val="21"/>
        </w:rPr>
        <w:t xml:space="preserve">         授权代表：</w:t>
      </w:r>
      <w:r>
        <w:rPr>
          <w:rFonts w:hint="eastAsia" w:cs="宋体"/>
          <w:color w:val="auto"/>
          <w:sz w:val="21"/>
          <w:szCs w:val="21"/>
          <w:u w:val="single"/>
        </w:rPr>
        <w:t xml:space="preserve">             </w:t>
      </w:r>
      <w:r>
        <w:rPr>
          <w:rFonts w:hint="eastAsia" w:cs="宋体"/>
          <w:color w:val="auto"/>
          <w:sz w:val="21"/>
          <w:szCs w:val="21"/>
          <w:u w:val="single"/>
          <w:lang w:eastAsia="zh-CN"/>
        </w:rPr>
        <w:t>（</w:t>
      </w:r>
      <w:r>
        <w:rPr>
          <w:rFonts w:hint="eastAsia" w:cs="宋体"/>
          <w:color w:val="auto"/>
          <w:sz w:val="21"/>
          <w:szCs w:val="21"/>
        </w:rPr>
        <w:t>职务</w:t>
      </w:r>
      <w:r>
        <w:rPr>
          <w:rFonts w:hint="eastAsia" w:cs="宋体"/>
          <w:color w:val="auto"/>
          <w:sz w:val="21"/>
          <w:szCs w:val="21"/>
          <w:lang w:eastAsia="zh-CN"/>
        </w:rPr>
        <w:t>）</w:t>
      </w:r>
    </w:p>
    <w:p w14:paraId="7B893D84">
      <w:pPr>
        <w:widowControl/>
        <w:spacing w:line="360" w:lineRule="auto"/>
        <w:ind w:firstLine="420" w:firstLineChars="200"/>
        <w:jc w:val="left"/>
        <w:rPr>
          <w:rFonts w:cs="宋体"/>
          <w:color w:val="auto"/>
          <w:sz w:val="21"/>
          <w:szCs w:val="21"/>
        </w:rPr>
      </w:pPr>
      <w:r>
        <w:rPr>
          <w:rFonts w:hint="eastAsia" w:cs="宋体"/>
          <w:color w:val="auto"/>
          <w:sz w:val="21"/>
          <w:szCs w:val="21"/>
        </w:rPr>
        <w:t>姓名：</w:t>
      </w:r>
      <w:r>
        <w:rPr>
          <w:rFonts w:hint="eastAsia" w:cs="宋体"/>
          <w:color w:val="auto"/>
          <w:sz w:val="21"/>
          <w:szCs w:val="21"/>
          <w:u w:val="single"/>
        </w:rPr>
        <w:t xml:space="preserve">             </w:t>
      </w:r>
      <w:r>
        <w:rPr>
          <w:rFonts w:hint="eastAsia" w:cs="宋体"/>
          <w:color w:val="auto"/>
          <w:sz w:val="21"/>
          <w:szCs w:val="21"/>
        </w:rPr>
        <w:t xml:space="preserve">                   姓名：</w:t>
      </w:r>
      <w:r>
        <w:rPr>
          <w:rFonts w:hint="eastAsia" w:cs="宋体"/>
          <w:color w:val="auto"/>
          <w:sz w:val="21"/>
          <w:szCs w:val="21"/>
          <w:u w:val="single"/>
        </w:rPr>
        <w:t xml:space="preserve">             </w:t>
      </w:r>
    </w:p>
    <w:p w14:paraId="7099A8C1">
      <w:pPr>
        <w:widowControl/>
        <w:spacing w:line="360" w:lineRule="auto"/>
        <w:ind w:firstLine="420" w:firstLineChars="200"/>
        <w:jc w:val="left"/>
        <w:rPr>
          <w:rFonts w:cs="宋体"/>
          <w:color w:val="auto"/>
          <w:sz w:val="21"/>
          <w:szCs w:val="21"/>
        </w:rPr>
      </w:pPr>
      <w:r>
        <w:rPr>
          <w:rFonts w:hint="eastAsia" w:cs="宋体"/>
          <w:color w:val="auto"/>
          <w:sz w:val="21"/>
          <w:szCs w:val="21"/>
        </w:rPr>
        <w:t>签字：</w:t>
      </w:r>
      <w:r>
        <w:rPr>
          <w:rFonts w:hint="eastAsia" w:cs="宋体"/>
          <w:color w:val="auto"/>
          <w:sz w:val="21"/>
          <w:szCs w:val="21"/>
          <w:u w:val="single"/>
        </w:rPr>
        <w:t xml:space="preserve">             </w:t>
      </w:r>
      <w:r>
        <w:rPr>
          <w:rFonts w:hint="eastAsia" w:cs="宋体"/>
          <w:color w:val="auto"/>
          <w:sz w:val="21"/>
          <w:szCs w:val="21"/>
        </w:rPr>
        <w:t xml:space="preserve">                   签字：</w:t>
      </w:r>
      <w:r>
        <w:rPr>
          <w:rFonts w:hint="eastAsia" w:cs="宋体"/>
          <w:color w:val="auto"/>
          <w:sz w:val="21"/>
          <w:szCs w:val="21"/>
          <w:u w:val="single"/>
        </w:rPr>
        <w:t xml:space="preserve">             </w:t>
      </w:r>
    </w:p>
    <w:p w14:paraId="60E7702C">
      <w:pPr>
        <w:widowControl/>
        <w:spacing w:line="360" w:lineRule="auto"/>
        <w:ind w:firstLine="420" w:firstLineChars="200"/>
        <w:jc w:val="left"/>
        <w:rPr>
          <w:rFonts w:cs="宋体"/>
          <w:color w:val="auto"/>
          <w:sz w:val="21"/>
          <w:szCs w:val="21"/>
        </w:rPr>
      </w:pPr>
    </w:p>
    <w:p w14:paraId="3F20E46B">
      <w:pPr>
        <w:widowControl/>
        <w:spacing w:line="360" w:lineRule="auto"/>
        <w:ind w:firstLine="420" w:firstLineChars="200"/>
        <w:jc w:val="left"/>
        <w:rPr>
          <w:rFonts w:cs="宋体"/>
          <w:color w:val="auto"/>
          <w:sz w:val="21"/>
          <w:szCs w:val="21"/>
        </w:rPr>
      </w:pPr>
      <w:r>
        <w:rPr>
          <w:rFonts w:hint="eastAsia" w:cs="宋体"/>
          <w:color w:val="auto"/>
          <w:sz w:val="21"/>
          <w:szCs w:val="21"/>
        </w:rPr>
        <w:t>廉政监督联系人                        廉政监督联系人</w:t>
      </w:r>
    </w:p>
    <w:p w14:paraId="72C3C18D">
      <w:pPr>
        <w:widowControl/>
        <w:spacing w:line="360" w:lineRule="auto"/>
        <w:ind w:firstLine="420" w:firstLineChars="200"/>
        <w:jc w:val="left"/>
        <w:rPr>
          <w:rFonts w:cs="宋体"/>
          <w:color w:val="auto"/>
          <w:sz w:val="21"/>
          <w:szCs w:val="21"/>
        </w:rPr>
      </w:pPr>
      <w:r>
        <w:rPr>
          <w:rFonts w:hint="eastAsia" w:cs="宋体"/>
          <w:color w:val="auto"/>
          <w:sz w:val="21"/>
          <w:szCs w:val="21"/>
        </w:rPr>
        <w:t>姓名：</w:t>
      </w:r>
      <w:r>
        <w:rPr>
          <w:rFonts w:hint="eastAsia" w:cs="宋体"/>
          <w:color w:val="auto"/>
          <w:sz w:val="21"/>
          <w:szCs w:val="21"/>
          <w:u w:val="single"/>
        </w:rPr>
        <w:t xml:space="preserve">                       </w:t>
      </w:r>
      <w:r>
        <w:rPr>
          <w:rFonts w:hint="eastAsia" w:cs="宋体"/>
          <w:color w:val="auto"/>
          <w:sz w:val="21"/>
          <w:szCs w:val="21"/>
        </w:rPr>
        <w:t xml:space="preserve">         姓名：</w:t>
      </w:r>
      <w:r>
        <w:rPr>
          <w:rFonts w:hint="eastAsia" w:cs="宋体"/>
          <w:color w:val="auto"/>
          <w:sz w:val="21"/>
          <w:szCs w:val="21"/>
          <w:u w:val="single"/>
        </w:rPr>
        <w:t xml:space="preserve">                     </w:t>
      </w:r>
    </w:p>
    <w:p w14:paraId="5C972FA9">
      <w:pPr>
        <w:widowControl/>
        <w:spacing w:line="360" w:lineRule="auto"/>
        <w:ind w:firstLine="420" w:firstLineChars="200"/>
        <w:jc w:val="left"/>
        <w:rPr>
          <w:rFonts w:cs="宋体"/>
          <w:color w:val="auto"/>
          <w:sz w:val="21"/>
          <w:szCs w:val="21"/>
        </w:rPr>
      </w:pPr>
      <w:r>
        <w:rPr>
          <w:rFonts w:hint="eastAsia" w:cs="宋体"/>
          <w:color w:val="auto"/>
          <w:sz w:val="21"/>
          <w:szCs w:val="21"/>
        </w:rPr>
        <w:t>签字：</w:t>
      </w:r>
      <w:r>
        <w:rPr>
          <w:rFonts w:hint="eastAsia" w:cs="宋体"/>
          <w:color w:val="auto"/>
          <w:sz w:val="21"/>
          <w:szCs w:val="21"/>
          <w:u w:val="single"/>
        </w:rPr>
        <w:t xml:space="preserve">                       </w:t>
      </w:r>
      <w:r>
        <w:rPr>
          <w:rFonts w:hint="eastAsia" w:cs="宋体"/>
          <w:color w:val="auto"/>
          <w:sz w:val="21"/>
          <w:szCs w:val="21"/>
        </w:rPr>
        <w:t xml:space="preserve">         签字：</w:t>
      </w:r>
      <w:r>
        <w:rPr>
          <w:rFonts w:hint="eastAsia" w:cs="宋体"/>
          <w:color w:val="auto"/>
          <w:sz w:val="21"/>
          <w:szCs w:val="21"/>
          <w:u w:val="single"/>
        </w:rPr>
        <w:t xml:space="preserve">                     </w:t>
      </w:r>
    </w:p>
    <w:p w14:paraId="4274B814">
      <w:pPr>
        <w:widowControl/>
        <w:spacing w:line="360" w:lineRule="auto"/>
        <w:ind w:firstLine="420" w:firstLineChars="200"/>
        <w:jc w:val="left"/>
        <w:rPr>
          <w:rFonts w:cs="宋体"/>
          <w:color w:val="auto"/>
          <w:sz w:val="21"/>
          <w:szCs w:val="21"/>
        </w:rPr>
      </w:pPr>
      <w:r>
        <w:rPr>
          <w:rFonts w:hint="eastAsia" w:cs="宋体"/>
          <w:color w:val="auto"/>
          <w:sz w:val="21"/>
          <w:szCs w:val="21"/>
        </w:rPr>
        <w:t>电话：</w:t>
      </w:r>
      <w:r>
        <w:rPr>
          <w:rFonts w:hint="eastAsia" w:cs="宋体"/>
          <w:color w:val="auto"/>
          <w:sz w:val="21"/>
          <w:szCs w:val="21"/>
          <w:u w:val="single"/>
        </w:rPr>
        <w:t xml:space="preserve">                       </w:t>
      </w:r>
      <w:r>
        <w:rPr>
          <w:rFonts w:hint="eastAsia" w:cs="宋体"/>
          <w:color w:val="auto"/>
          <w:sz w:val="21"/>
          <w:szCs w:val="21"/>
        </w:rPr>
        <w:t xml:space="preserve">         电话：</w:t>
      </w:r>
      <w:r>
        <w:rPr>
          <w:rFonts w:hint="eastAsia" w:cs="宋体"/>
          <w:color w:val="auto"/>
          <w:sz w:val="21"/>
          <w:szCs w:val="21"/>
          <w:u w:val="single"/>
        </w:rPr>
        <w:t xml:space="preserve">                     </w:t>
      </w:r>
    </w:p>
    <w:p w14:paraId="6A793D50">
      <w:pPr>
        <w:widowControl/>
        <w:spacing w:line="360" w:lineRule="auto"/>
        <w:ind w:firstLine="420" w:firstLineChars="200"/>
        <w:jc w:val="left"/>
        <w:rPr>
          <w:rFonts w:cs="宋体"/>
          <w:color w:val="auto"/>
          <w:sz w:val="21"/>
          <w:szCs w:val="21"/>
        </w:rPr>
      </w:pPr>
      <w:r>
        <w:rPr>
          <w:rFonts w:hint="eastAsia" w:cs="宋体"/>
          <w:color w:val="auto"/>
          <w:sz w:val="21"/>
          <w:szCs w:val="21"/>
        </w:rPr>
        <w:t>地址：</w:t>
      </w:r>
      <w:r>
        <w:rPr>
          <w:rFonts w:hint="eastAsia" w:cs="宋体"/>
          <w:color w:val="auto"/>
          <w:sz w:val="21"/>
          <w:szCs w:val="21"/>
          <w:u w:val="single"/>
        </w:rPr>
        <w:t xml:space="preserve">                       </w:t>
      </w:r>
      <w:r>
        <w:rPr>
          <w:rFonts w:hint="eastAsia" w:cs="宋体"/>
          <w:color w:val="auto"/>
          <w:sz w:val="21"/>
          <w:szCs w:val="21"/>
        </w:rPr>
        <w:t xml:space="preserve">         地址：</w:t>
      </w:r>
      <w:r>
        <w:rPr>
          <w:rFonts w:hint="eastAsia" w:cs="宋体"/>
          <w:color w:val="auto"/>
          <w:sz w:val="21"/>
          <w:szCs w:val="21"/>
          <w:u w:val="single"/>
        </w:rPr>
        <w:t xml:space="preserve">                     </w:t>
      </w:r>
    </w:p>
    <w:p w14:paraId="63E70471">
      <w:pPr>
        <w:widowControl/>
        <w:spacing w:line="360" w:lineRule="auto"/>
        <w:ind w:firstLine="420" w:firstLineChars="200"/>
        <w:jc w:val="left"/>
        <w:rPr>
          <w:rFonts w:cs="宋体"/>
          <w:color w:val="auto"/>
          <w:sz w:val="21"/>
          <w:szCs w:val="21"/>
        </w:rPr>
      </w:pPr>
      <w:r>
        <w:rPr>
          <w:rFonts w:hint="eastAsia" w:cs="宋体"/>
          <w:color w:val="auto"/>
          <w:sz w:val="21"/>
          <w:szCs w:val="21"/>
        </w:rPr>
        <w:t>日期：</w:t>
      </w:r>
      <w:r>
        <w:rPr>
          <w:rFonts w:hint="eastAsia" w:cs="宋体"/>
          <w:color w:val="auto"/>
          <w:sz w:val="21"/>
          <w:szCs w:val="21"/>
          <w:u w:val="single"/>
        </w:rPr>
        <w:t xml:space="preserve">                       </w:t>
      </w:r>
      <w:r>
        <w:rPr>
          <w:rFonts w:hint="eastAsia" w:cs="宋体"/>
          <w:color w:val="auto"/>
          <w:sz w:val="21"/>
          <w:szCs w:val="21"/>
        </w:rPr>
        <w:t xml:space="preserve">         日期：</w:t>
      </w:r>
      <w:r>
        <w:rPr>
          <w:rFonts w:hint="eastAsia" w:cs="宋体"/>
          <w:color w:val="auto"/>
          <w:sz w:val="21"/>
          <w:szCs w:val="21"/>
          <w:u w:val="single"/>
        </w:rPr>
        <w:t xml:space="preserve">                     </w:t>
      </w:r>
    </w:p>
    <w:p w14:paraId="589DEE07">
      <w:pPr>
        <w:spacing w:before="312" w:beforeLines="100" w:after="312" w:afterLines="100"/>
        <w:outlineLvl w:val="2"/>
        <w:rPr>
          <w:rFonts w:hint="eastAsia" w:ascii="Times New Roman" w:eastAsia="黑体"/>
          <w:color w:val="auto"/>
          <w:szCs w:val="24"/>
        </w:rPr>
      </w:pPr>
      <w:bookmarkStart w:id="1155" w:name="_Toc128950244"/>
    </w:p>
    <w:p w14:paraId="429E9D7C">
      <w:pPr>
        <w:spacing w:before="312" w:beforeLines="100" w:after="312" w:afterLines="100"/>
        <w:outlineLvl w:val="2"/>
        <w:rPr>
          <w:rFonts w:hint="eastAsia" w:ascii="Times New Roman" w:eastAsia="黑体"/>
          <w:color w:val="auto"/>
          <w:szCs w:val="24"/>
        </w:rPr>
      </w:pPr>
    </w:p>
    <w:p w14:paraId="5EA73B55">
      <w:pPr>
        <w:spacing w:before="312" w:beforeLines="100" w:after="312" w:afterLines="100"/>
        <w:outlineLvl w:val="2"/>
        <w:rPr>
          <w:rFonts w:hint="eastAsia" w:ascii="Times New Roman" w:eastAsia="黑体"/>
          <w:color w:val="auto"/>
          <w:szCs w:val="24"/>
        </w:rPr>
      </w:pPr>
    </w:p>
    <w:p w14:paraId="26057847">
      <w:pPr>
        <w:spacing w:before="312" w:beforeLines="100" w:after="312" w:afterLines="100"/>
        <w:outlineLvl w:val="2"/>
        <w:rPr>
          <w:rFonts w:hint="eastAsia" w:ascii="Times New Roman" w:eastAsia="黑体"/>
          <w:color w:val="auto"/>
          <w:szCs w:val="24"/>
        </w:rPr>
      </w:pPr>
    </w:p>
    <w:p w14:paraId="5480AA5D">
      <w:pPr>
        <w:spacing w:before="312" w:beforeLines="100" w:after="312" w:afterLines="100"/>
        <w:outlineLvl w:val="2"/>
        <w:rPr>
          <w:rFonts w:hint="eastAsia" w:ascii="Times New Roman" w:eastAsia="黑体"/>
          <w:color w:val="auto"/>
          <w:szCs w:val="24"/>
        </w:rPr>
      </w:pPr>
    </w:p>
    <w:p w14:paraId="00A2615D">
      <w:pPr>
        <w:spacing w:before="312" w:beforeLines="100" w:after="312" w:afterLines="100"/>
        <w:outlineLvl w:val="2"/>
        <w:rPr>
          <w:rFonts w:hint="eastAsia" w:ascii="Times New Roman" w:eastAsia="黑体"/>
          <w:color w:val="auto"/>
          <w:szCs w:val="24"/>
        </w:rPr>
      </w:pPr>
    </w:p>
    <w:p w14:paraId="3317F4E9">
      <w:pPr>
        <w:spacing w:before="312" w:beforeLines="100" w:after="312" w:afterLines="100"/>
        <w:outlineLvl w:val="2"/>
        <w:rPr>
          <w:rFonts w:hint="eastAsia" w:ascii="Times New Roman" w:eastAsia="黑体"/>
          <w:color w:val="auto"/>
          <w:szCs w:val="24"/>
        </w:rPr>
      </w:pPr>
    </w:p>
    <w:p w14:paraId="48894554">
      <w:pPr>
        <w:spacing w:before="312" w:beforeLines="100" w:after="312" w:afterLines="100"/>
        <w:outlineLvl w:val="2"/>
        <w:rPr>
          <w:rFonts w:hint="eastAsia" w:ascii="Times New Roman" w:eastAsia="黑体"/>
          <w:color w:val="auto"/>
          <w:szCs w:val="24"/>
        </w:rPr>
      </w:pPr>
    </w:p>
    <w:p w14:paraId="61BE39EC">
      <w:pPr>
        <w:spacing w:before="312" w:beforeLines="100" w:after="312" w:afterLines="100"/>
        <w:outlineLvl w:val="2"/>
        <w:rPr>
          <w:rFonts w:hint="eastAsia" w:ascii="Times New Roman" w:eastAsia="黑体"/>
          <w:color w:val="auto"/>
          <w:szCs w:val="24"/>
        </w:rPr>
      </w:pPr>
    </w:p>
    <w:p w14:paraId="6BAB935E">
      <w:pPr>
        <w:spacing w:before="312" w:beforeLines="100" w:after="312" w:afterLines="100"/>
        <w:outlineLvl w:val="2"/>
        <w:rPr>
          <w:rFonts w:hint="eastAsia" w:ascii="Times New Roman" w:eastAsia="黑体"/>
          <w:color w:val="auto"/>
          <w:szCs w:val="24"/>
        </w:rPr>
      </w:pPr>
    </w:p>
    <w:p w14:paraId="10738BA5">
      <w:pPr>
        <w:spacing w:before="312" w:beforeLines="100" w:after="312" w:afterLines="100"/>
        <w:outlineLvl w:val="2"/>
        <w:rPr>
          <w:rFonts w:hint="eastAsia" w:ascii="Times New Roman" w:eastAsia="黑体"/>
          <w:color w:val="auto"/>
          <w:szCs w:val="24"/>
        </w:rPr>
      </w:pPr>
    </w:p>
    <w:p w14:paraId="49E9AA8D">
      <w:pPr>
        <w:spacing w:before="312" w:beforeLines="100" w:after="312" w:afterLines="100"/>
        <w:outlineLvl w:val="2"/>
        <w:rPr>
          <w:rFonts w:hint="eastAsia" w:ascii="Times New Roman" w:eastAsia="黑体"/>
          <w:color w:val="auto"/>
          <w:szCs w:val="24"/>
        </w:rPr>
      </w:pPr>
    </w:p>
    <w:p w14:paraId="71ADEC4A">
      <w:pPr>
        <w:spacing w:before="312" w:beforeLines="100" w:after="312" w:afterLines="100"/>
        <w:outlineLvl w:val="2"/>
        <w:rPr>
          <w:rFonts w:hint="eastAsia" w:ascii="Times New Roman" w:eastAsia="黑体"/>
          <w:color w:val="auto"/>
          <w:szCs w:val="24"/>
        </w:rPr>
      </w:pPr>
    </w:p>
    <w:p w14:paraId="37686CB2">
      <w:pPr>
        <w:spacing w:before="312" w:beforeLines="100" w:after="312" w:afterLines="100"/>
        <w:outlineLvl w:val="2"/>
        <w:rPr>
          <w:rFonts w:hint="eastAsia" w:ascii="Times New Roman" w:eastAsia="黑体"/>
          <w:color w:val="auto"/>
          <w:szCs w:val="24"/>
        </w:rPr>
      </w:pPr>
    </w:p>
    <w:p w14:paraId="77AF1664">
      <w:pPr>
        <w:spacing w:before="312" w:beforeLines="100" w:after="312" w:afterLines="100"/>
        <w:outlineLvl w:val="2"/>
        <w:rPr>
          <w:rFonts w:hint="eastAsia" w:ascii="Times New Roman" w:eastAsia="黑体"/>
          <w:color w:val="auto"/>
          <w:szCs w:val="24"/>
        </w:rPr>
      </w:pPr>
    </w:p>
    <w:p w14:paraId="795D7192">
      <w:pPr>
        <w:spacing w:before="312" w:beforeLines="100" w:after="312" w:afterLines="100"/>
        <w:outlineLvl w:val="2"/>
        <w:rPr>
          <w:rFonts w:hint="eastAsia" w:ascii="Times New Roman" w:eastAsia="黑体"/>
          <w:color w:val="auto"/>
          <w:szCs w:val="24"/>
        </w:rPr>
      </w:pPr>
    </w:p>
    <w:p w14:paraId="64D5BDE0">
      <w:pPr>
        <w:spacing w:before="312" w:beforeLines="100" w:after="312" w:afterLines="100"/>
        <w:outlineLvl w:val="2"/>
        <w:rPr>
          <w:rFonts w:hint="eastAsia" w:ascii="Times New Roman" w:eastAsia="黑体"/>
          <w:color w:val="auto"/>
          <w:szCs w:val="24"/>
        </w:rPr>
      </w:pPr>
    </w:p>
    <w:p w14:paraId="40383D62">
      <w:pPr>
        <w:spacing w:before="312" w:beforeLines="100" w:after="312" w:afterLines="100"/>
        <w:outlineLvl w:val="2"/>
        <w:rPr>
          <w:rFonts w:hint="eastAsia" w:ascii="Times New Roman" w:eastAsia="黑体"/>
          <w:color w:val="auto"/>
          <w:szCs w:val="24"/>
        </w:rPr>
      </w:pPr>
    </w:p>
    <w:p w14:paraId="0BE8304D">
      <w:pPr>
        <w:spacing w:before="312" w:beforeLines="100" w:after="312" w:afterLines="100"/>
        <w:outlineLvl w:val="2"/>
        <w:rPr>
          <w:rFonts w:hint="eastAsia" w:ascii="Times New Roman" w:eastAsia="黑体"/>
          <w:color w:val="auto"/>
          <w:szCs w:val="24"/>
        </w:rPr>
      </w:pPr>
    </w:p>
    <w:p w14:paraId="477FA900">
      <w:pPr>
        <w:spacing w:before="312" w:beforeLines="100" w:after="312" w:afterLines="100"/>
        <w:outlineLvl w:val="2"/>
        <w:rPr>
          <w:rFonts w:hint="eastAsia" w:ascii="Times New Roman" w:eastAsia="黑体"/>
          <w:color w:val="auto"/>
          <w:szCs w:val="24"/>
        </w:rPr>
      </w:pPr>
    </w:p>
    <w:p w14:paraId="43B82CD6">
      <w:pPr>
        <w:spacing w:before="312" w:beforeLines="100" w:after="312" w:afterLines="100"/>
        <w:outlineLvl w:val="2"/>
        <w:rPr>
          <w:rFonts w:ascii="Times New Roman" w:eastAsia="黑体"/>
          <w:color w:val="auto"/>
          <w:szCs w:val="24"/>
        </w:rPr>
      </w:pPr>
      <w:r>
        <w:rPr>
          <w:rFonts w:hint="eastAsia" w:ascii="Times New Roman" w:eastAsia="黑体"/>
          <w:color w:val="auto"/>
          <w:szCs w:val="24"/>
        </w:rPr>
        <w:t>附件9：履约保证金</w:t>
      </w:r>
      <w:bookmarkEnd w:id="1155"/>
    </w:p>
    <w:p w14:paraId="307963E8">
      <w:pPr>
        <w:spacing w:line="360" w:lineRule="auto"/>
        <w:jc w:val="center"/>
        <w:rPr>
          <w:rFonts w:cs="宋体"/>
          <w:b/>
          <w:bCs/>
          <w:color w:val="auto"/>
          <w:sz w:val="32"/>
          <w:szCs w:val="32"/>
        </w:rPr>
      </w:pPr>
      <w:r>
        <w:rPr>
          <w:rFonts w:hint="eastAsia" w:cs="宋体"/>
          <w:b/>
          <w:bCs/>
          <w:color w:val="auto"/>
          <w:sz w:val="32"/>
          <w:szCs w:val="32"/>
        </w:rPr>
        <w:t>履约保函示范文本</w:t>
      </w:r>
    </w:p>
    <w:p w14:paraId="4AB2D98A">
      <w:pPr>
        <w:wordWrap w:val="0"/>
        <w:spacing w:line="360" w:lineRule="auto"/>
        <w:jc w:val="right"/>
        <w:rPr>
          <w:rFonts w:ascii="Times New Roman"/>
          <w:color w:val="auto"/>
          <w:szCs w:val="21"/>
        </w:rPr>
      </w:pPr>
      <w:r>
        <w:rPr>
          <w:rFonts w:hint="eastAsia" w:ascii="Times New Roman"/>
          <w:color w:val="auto"/>
          <w:szCs w:val="21"/>
        </w:rPr>
        <w:t>编号：</w:t>
      </w:r>
      <w:r>
        <w:rPr>
          <w:rFonts w:hint="eastAsia" w:ascii="Times New Roman"/>
          <w:color w:val="auto"/>
          <w:szCs w:val="21"/>
          <w:u w:val="single"/>
        </w:rPr>
        <w:t xml:space="preserve"> </w:t>
      </w:r>
      <w:r>
        <w:rPr>
          <w:rFonts w:ascii="Times New Roman"/>
          <w:color w:val="auto"/>
          <w:szCs w:val="21"/>
          <w:u w:val="single"/>
        </w:rPr>
        <w:t xml:space="preserve">          </w:t>
      </w:r>
    </w:p>
    <w:p w14:paraId="502C7244">
      <w:pPr>
        <w:keepNext w:val="0"/>
        <w:keepLines w:val="0"/>
        <w:pageBreakBefore w:val="0"/>
        <w:widowControl w:val="0"/>
        <w:kinsoku/>
        <w:wordWrap/>
        <w:overflowPunct/>
        <w:topLinePunct w:val="0"/>
        <w:autoSpaceDE/>
        <w:autoSpaceDN/>
        <w:bidi w:val="0"/>
        <w:adjustRightInd/>
        <w:snapToGrid/>
        <w:spacing w:line="370" w:lineRule="exact"/>
        <w:ind w:left="0" w:leftChars="0"/>
        <w:textAlignment w:val="auto"/>
        <w:rPr>
          <w:rFonts w:cs="宋体"/>
          <w:color w:val="auto"/>
          <w:sz w:val="21"/>
          <w:szCs w:val="21"/>
        </w:rPr>
      </w:pPr>
      <w:r>
        <w:rPr>
          <w:rFonts w:hint="eastAsia" w:cs="宋体"/>
          <w:color w:val="auto"/>
          <w:sz w:val="21"/>
          <w:szCs w:val="21"/>
          <w:u w:val="single"/>
        </w:rPr>
        <w:t xml:space="preserve">              </w:t>
      </w:r>
      <w:r>
        <w:rPr>
          <w:rFonts w:hint="eastAsia" w:cs="宋体"/>
          <w:color w:val="auto"/>
          <w:sz w:val="21"/>
          <w:szCs w:val="21"/>
        </w:rPr>
        <w:t xml:space="preserve">（受益人名称）： </w:t>
      </w:r>
    </w:p>
    <w:p w14:paraId="73DE88A5">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鉴于</w:t>
      </w:r>
      <w:r>
        <w:rPr>
          <w:rFonts w:hint="eastAsia" w:cs="宋体"/>
          <w:color w:val="auto"/>
          <w:sz w:val="21"/>
          <w:szCs w:val="21"/>
          <w:u w:val="single"/>
        </w:rPr>
        <w:t xml:space="preserve">        </w:t>
      </w:r>
      <w:r>
        <w:rPr>
          <w:rFonts w:hint="eastAsia" w:cs="宋体"/>
          <w:color w:val="auto"/>
          <w:sz w:val="21"/>
          <w:szCs w:val="21"/>
        </w:rPr>
        <w:t>（以下简称“受益人”）与</w:t>
      </w:r>
      <w:r>
        <w:rPr>
          <w:rFonts w:hint="eastAsia" w:cs="宋体"/>
          <w:color w:val="auto"/>
          <w:sz w:val="21"/>
          <w:szCs w:val="21"/>
          <w:u w:val="single"/>
        </w:rPr>
        <w:t xml:space="preserve">         </w:t>
      </w:r>
      <w:r>
        <w:rPr>
          <w:rFonts w:hint="eastAsia" w:cs="宋体"/>
          <w:color w:val="auto"/>
          <w:sz w:val="21"/>
          <w:szCs w:val="21"/>
        </w:rPr>
        <w:t>（以下简称“申请人”）于</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日就</w:t>
      </w:r>
      <w:r>
        <w:rPr>
          <w:rFonts w:hint="eastAsia" w:cs="宋体"/>
          <w:snapToGrid w:val="0"/>
          <w:color w:val="auto"/>
          <w:sz w:val="21"/>
          <w:szCs w:val="21"/>
          <w:u w:val="single"/>
        </w:rPr>
        <w:t xml:space="preserve">        </w:t>
      </w:r>
      <w:r>
        <w:rPr>
          <w:rFonts w:hint="eastAsia" w:cs="宋体"/>
          <w:snapToGrid w:val="0"/>
          <w:color w:val="auto"/>
          <w:sz w:val="21"/>
          <w:szCs w:val="21"/>
        </w:rPr>
        <w:t>（项目编号）的</w:t>
      </w:r>
      <w:r>
        <w:rPr>
          <w:rFonts w:hint="eastAsia" w:cs="宋体"/>
          <w:snapToGrid w:val="0"/>
          <w:color w:val="auto"/>
          <w:sz w:val="21"/>
          <w:szCs w:val="21"/>
          <w:u w:val="single"/>
        </w:rPr>
        <w:t xml:space="preserve">         </w:t>
      </w:r>
      <w:r>
        <w:rPr>
          <w:rFonts w:hint="eastAsia" w:cs="宋体"/>
          <w:snapToGrid w:val="0"/>
          <w:color w:val="auto"/>
          <w:sz w:val="21"/>
          <w:szCs w:val="21"/>
        </w:rPr>
        <w:t>（项目名称）</w:t>
      </w:r>
      <w:r>
        <w:rPr>
          <w:rFonts w:hint="eastAsia" w:cs="宋体"/>
          <w:color w:val="auto"/>
          <w:sz w:val="21"/>
          <w:szCs w:val="21"/>
        </w:rPr>
        <w:t>有关事项协商一致共同签订</w:t>
      </w:r>
      <w:r>
        <w:rPr>
          <w:rFonts w:hint="eastAsia" w:cs="宋体"/>
          <w:color w:val="auto"/>
          <w:sz w:val="21"/>
          <w:szCs w:val="21"/>
          <w:u w:val="single"/>
        </w:rPr>
        <w:t>《        》</w:t>
      </w:r>
      <w:r>
        <w:rPr>
          <w:rFonts w:hint="eastAsia" w:cs="宋体"/>
          <w:color w:val="auto"/>
          <w:sz w:val="21"/>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7D4E8399">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一、本保函担保范围：承包人未按照基础合同的约定履行义务，应当向受益人承担的违约责任和赔偿因此造成的损失、利息、律师费、诉讼费用等实现债权的费用。</w:t>
      </w:r>
    </w:p>
    <w:p w14:paraId="543B8EB2">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二、本保函担保金额最高不超过人民币（大写）</w:t>
      </w:r>
      <w:r>
        <w:rPr>
          <w:rFonts w:hint="eastAsia" w:cs="宋体"/>
          <w:color w:val="auto"/>
          <w:sz w:val="21"/>
          <w:szCs w:val="21"/>
          <w:u w:val="single"/>
        </w:rPr>
        <w:t xml:space="preserve">          </w:t>
      </w:r>
      <w:r>
        <w:rPr>
          <w:rFonts w:hint="eastAsia" w:cs="宋体"/>
          <w:color w:val="auto"/>
          <w:sz w:val="21"/>
          <w:szCs w:val="21"/>
        </w:rPr>
        <w:t>元（¥</w:t>
      </w:r>
      <w:r>
        <w:rPr>
          <w:rFonts w:hint="eastAsia" w:cs="宋体"/>
          <w:color w:val="auto"/>
          <w:sz w:val="21"/>
          <w:szCs w:val="21"/>
          <w:u w:val="single"/>
        </w:rPr>
        <w:t xml:space="preserve">       </w:t>
      </w:r>
      <w:r>
        <w:rPr>
          <w:rFonts w:hint="eastAsia" w:cs="宋体"/>
          <w:color w:val="auto"/>
          <w:sz w:val="21"/>
          <w:szCs w:val="21"/>
        </w:rPr>
        <w:t xml:space="preserve">）。 </w:t>
      </w:r>
    </w:p>
    <w:p w14:paraId="5BEBDDB3">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 xml:space="preserve">三、本保函有效期自开立之日起至基础合同约定的缺陷责任期满之日止。 </w:t>
      </w:r>
    </w:p>
    <w:p w14:paraId="5B79ECA8">
      <w:pPr>
        <w:keepNext w:val="0"/>
        <w:keepLines w:val="0"/>
        <w:pageBreakBefore w:val="0"/>
        <w:widowControl w:val="0"/>
        <w:kinsoku/>
        <w:wordWrap/>
        <w:overflowPunct/>
        <w:topLinePunct w:val="0"/>
        <w:autoSpaceDE/>
        <w:autoSpaceDN/>
        <w:bidi w:val="0"/>
        <w:adjustRightInd/>
        <w:snapToGrid/>
        <w:spacing w:line="370" w:lineRule="exact"/>
        <w:ind w:left="0" w:leftChars="0" w:firstLine="480"/>
        <w:textAlignment w:val="auto"/>
        <w:rPr>
          <w:rFonts w:cs="宋体"/>
          <w:color w:val="auto"/>
          <w:sz w:val="21"/>
          <w:szCs w:val="21"/>
        </w:rPr>
      </w:pPr>
      <w:bookmarkStart w:id="1156" w:name="_Hlk40302764"/>
      <w:r>
        <w:rPr>
          <w:rFonts w:hint="eastAsia" w:cs="宋体"/>
          <w:color w:val="auto"/>
          <w:sz w:val="21"/>
          <w:szCs w:val="21"/>
        </w:rPr>
        <w:t>四、开立人承诺，在收到受益人发来的书面付款通知后的七日内无条件支付，前述书面付款通知即为付款要求之单据，且应满足以下要求：</w:t>
      </w:r>
    </w:p>
    <w:bookmarkEnd w:id="1156"/>
    <w:p w14:paraId="04051831">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（1）付款通知到达的日期在本保函的有效期内；</w:t>
      </w:r>
    </w:p>
    <w:p w14:paraId="462DEFA1">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（2）载明要求支付的金额；</w:t>
      </w:r>
    </w:p>
    <w:p w14:paraId="4EB3EE53">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（3）载明申请人违反合同义务的条款和内容；</w:t>
      </w:r>
    </w:p>
    <w:p w14:paraId="42654C6E">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（4）声明不存在合同文件约定或我国法律规定免除申请人或开立人支付责任的情形；</w:t>
      </w:r>
    </w:p>
    <w:p w14:paraId="1D26F609">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（5）付款通知应在本保函有效期内到达的地址是：</w:t>
      </w:r>
      <w:r>
        <w:rPr>
          <w:rFonts w:hint="eastAsia" w:cs="宋体"/>
          <w:color w:val="auto"/>
          <w:sz w:val="21"/>
          <w:szCs w:val="21"/>
          <w:u w:val="single"/>
        </w:rPr>
        <w:t xml:space="preserve">             </w:t>
      </w:r>
      <w:r>
        <w:rPr>
          <w:rFonts w:hint="eastAsia" w:cs="宋体"/>
          <w:color w:val="auto"/>
          <w:sz w:val="21"/>
          <w:szCs w:val="21"/>
        </w:rPr>
        <w:t>。</w:t>
      </w:r>
    </w:p>
    <w:p w14:paraId="55474B56">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bookmarkStart w:id="1157" w:name="_Hlk40303486"/>
      <w:r>
        <w:rPr>
          <w:rFonts w:hint="eastAsia" w:cs="宋体"/>
          <w:color w:val="auto"/>
          <w:sz w:val="21"/>
          <w:szCs w:val="21"/>
        </w:rPr>
        <w:t>受益人发出的书面付款通知应由其法定代表人（负责人）或授权代理人签字并加盖公章。</w:t>
      </w:r>
      <w:bookmarkEnd w:id="1157"/>
    </w:p>
    <w:p w14:paraId="43F1D175">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 xml:space="preserve">五、本保函项下的权利不得转让，不得设定担保。受益人未经我方书面同意转 让本保函或其项下任何权利，对我方不发生法律效力。 </w:t>
      </w:r>
    </w:p>
    <w:p w14:paraId="5DAC5034">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 xml:space="preserve">六、与本保函有关的基础合同不成立、不生效、无效、被撤销、被解除，不影响本保函的独立有效。 </w:t>
      </w:r>
    </w:p>
    <w:p w14:paraId="7840CD12">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bookmarkStart w:id="1158" w:name="_Hlk40303383"/>
      <w:bookmarkStart w:id="1159" w:name="_Hlk40354981"/>
      <w:r>
        <w:rPr>
          <w:rFonts w:hint="eastAsia" w:cs="宋体"/>
          <w:color w:val="auto"/>
          <w:sz w:val="21"/>
          <w:szCs w:val="21"/>
        </w:rPr>
        <w:t xml:space="preserve">七、本保函项下的义务和责任均在保函有效期到期后自动消灭。 </w:t>
      </w:r>
    </w:p>
    <w:p w14:paraId="27BCF234">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八、本保函适用的法律为中华人民共和国法律，因本保函产生的纠纷案件，</w:t>
      </w:r>
      <w:bookmarkEnd w:id="1158"/>
      <w:r>
        <w:rPr>
          <w:rFonts w:hint="eastAsia" w:cs="宋体"/>
          <w:color w:val="auto"/>
          <w:sz w:val="21"/>
          <w:szCs w:val="21"/>
        </w:rPr>
        <w:t xml:space="preserve">由受益人所在地人民法院管辖。 </w:t>
      </w:r>
    </w:p>
    <w:bookmarkEnd w:id="1159"/>
    <w:p w14:paraId="5A176DDC">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 xml:space="preserve">九、本保函自我方法定代表人或授权代表签字并加盖公章之日起生效。 </w:t>
      </w:r>
    </w:p>
    <w:p w14:paraId="6B8704B5">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开 立 人：</w:t>
      </w:r>
      <w:r>
        <w:rPr>
          <w:rFonts w:hint="eastAsia" w:cs="宋体"/>
          <w:color w:val="auto"/>
          <w:sz w:val="21"/>
          <w:szCs w:val="21"/>
          <w:u w:val="single"/>
        </w:rPr>
        <w:t xml:space="preserve">                              </w:t>
      </w:r>
      <w:r>
        <w:rPr>
          <w:rFonts w:hint="eastAsia" w:cs="宋体"/>
          <w:color w:val="auto"/>
          <w:sz w:val="21"/>
          <w:szCs w:val="21"/>
        </w:rPr>
        <w:t xml:space="preserve">（公章） </w:t>
      </w:r>
    </w:p>
    <w:p w14:paraId="6D19F00F">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法定代表人（或授权代表）：</w:t>
      </w:r>
      <w:r>
        <w:rPr>
          <w:rFonts w:hint="eastAsia" w:cs="宋体"/>
          <w:color w:val="auto"/>
          <w:sz w:val="21"/>
          <w:szCs w:val="21"/>
          <w:u w:val="single"/>
        </w:rPr>
        <w:t xml:space="preserve">               </w:t>
      </w:r>
      <w:r>
        <w:rPr>
          <w:rFonts w:hint="eastAsia" w:cs="宋体"/>
          <w:color w:val="auto"/>
          <w:sz w:val="21"/>
          <w:szCs w:val="21"/>
        </w:rPr>
        <w:t xml:space="preserve">（签字） </w:t>
      </w:r>
    </w:p>
    <w:p w14:paraId="609521D5">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w:t>
      </w:r>
    </w:p>
    <w:p w14:paraId="7C3DF1A2">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w:t>
      </w:r>
    </w:p>
    <w:p w14:paraId="2EFE8DB6">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p>
    <w:p w14:paraId="3A36C353">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u w:val="single"/>
        </w:rPr>
      </w:pPr>
      <w:r>
        <w:rPr>
          <w:rFonts w:hint="eastAsia" w:cs="宋体"/>
          <w:color w:val="auto"/>
          <w:sz w:val="21"/>
          <w:szCs w:val="21"/>
        </w:rPr>
        <w:t>传    真：</w:t>
      </w:r>
      <w:r>
        <w:rPr>
          <w:rFonts w:hint="eastAsia" w:cs="宋体"/>
          <w:color w:val="auto"/>
          <w:sz w:val="21"/>
          <w:szCs w:val="21"/>
          <w:u w:val="single"/>
        </w:rPr>
        <w:t xml:space="preserve">                 </w:t>
      </w:r>
    </w:p>
    <w:p w14:paraId="71788714">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cs="宋体"/>
          <w:color w:val="auto"/>
          <w:sz w:val="21"/>
          <w:szCs w:val="21"/>
        </w:rPr>
      </w:pPr>
      <w:r>
        <w:rPr>
          <w:rFonts w:hint="eastAsia" w:cs="宋体"/>
          <w:color w:val="auto"/>
          <w:sz w:val="21"/>
          <w:szCs w:val="21"/>
        </w:rPr>
        <w:t>开立时间：</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w:t>
      </w:r>
    </w:p>
    <w:p w14:paraId="013EE090">
      <w:pPr>
        <w:spacing w:before="312" w:beforeLines="100" w:after="312" w:afterLines="100"/>
        <w:outlineLvl w:val="2"/>
        <w:rPr>
          <w:rFonts w:ascii="Times New Roman" w:eastAsia="黑体"/>
          <w:color w:val="auto"/>
          <w:szCs w:val="24"/>
        </w:rPr>
      </w:pPr>
      <w:bookmarkStart w:id="1160" w:name="_Toc128950245"/>
      <w:r>
        <w:rPr>
          <w:rFonts w:hint="eastAsia" w:ascii="Times New Roman" w:eastAsia="黑体"/>
          <w:color w:val="auto"/>
          <w:szCs w:val="24"/>
        </w:rPr>
        <w:t>附</w:t>
      </w:r>
      <w:bookmarkStart w:id="1161" w:name="_Toc296891060"/>
      <w:bookmarkStart w:id="1162" w:name="_Toc296891272"/>
      <w:bookmarkStart w:id="1163" w:name="_Toc296944571"/>
      <w:bookmarkStart w:id="1164" w:name="_Toc296346733"/>
      <w:bookmarkStart w:id="1165" w:name="_Toc267261702"/>
      <w:bookmarkStart w:id="1166" w:name="_Toc296503232"/>
      <w:bookmarkStart w:id="1167" w:name="_Toc296347231"/>
      <w:r>
        <w:rPr>
          <w:rFonts w:hint="eastAsia" w:ascii="Times New Roman" w:eastAsia="黑体"/>
          <w:color w:val="auto"/>
          <w:szCs w:val="24"/>
        </w:rPr>
        <w:t>件10：预付款担保</w:t>
      </w:r>
      <w:bookmarkEnd w:id="1160"/>
    </w:p>
    <w:bookmarkEnd w:id="1161"/>
    <w:bookmarkEnd w:id="1162"/>
    <w:bookmarkEnd w:id="1163"/>
    <w:bookmarkEnd w:id="1164"/>
    <w:bookmarkEnd w:id="1165"/>
    <w:bookmarkEnd w:id="1166"/>
    <w:bookmarkEnd w:id="1167"/>
    <w:p w14:paraId="5C1B6365">
      <w:pPr>
        <w:spacing w:line="360" w:lineRule="auto"/>
        <w:jc w:val="center"/>
        <w:rPr>
          <w:rFonts w:cs="宋体"/>
          <w:b/>
          <w:bCs/>
          <w:color w:val="auto"/>
          <w:sz w:val="32"/>
          <w:szCs w:val="32"/>
        </w:rPr>
      </w:pPr>
      <w:r>
        <w:rPr>
          <w:rFonts w:hint="eastAsia" w:cs="宋体"/>
          <w:b/>
          <w:bCs/>
          <w:color w:val="auto"/>
          <w:sz w:val="32"/>
          <w:szCs w:val="32"/>
        </w:rPr>
        <w:t>预付款保函示范文本</w:t>
      </w:r>
    </w:p>
    <w:p w14:paraId="1474EE8D">
      <w:pPr>
        <w:wordWrap w:val="0"/>
        <w:spacing w:line="360" w:lineRule="auto"/>
        <w:jc w:val="right"/>
        <w:rPr>
          <w:rFonts w:ascii="Times New Roman"/>
          <w:color w:val="auto"/>
          <w:szCs w:val="21"/>
        </w:rPr>
      </w:pPr>
      <w:r>
        <w:rPr>
          <w:rFonts w:hint="eastAsia" w:ascii="Times New Roman"/>
          <w:color w:val="auto"/>
          <w:szCs w:val="21"/>
        </w:rPr>
        <w:t>编号：</w:t>
      </w:r>
      <w:r>
        <w:rPr>
          <w:rFonts w:hint="eastAsia" w:ascii="Times New Roman"/>
          <w:color w:val="auto"/>
          <w:szCs w:val="21"/>
          <w:u w:val="single"/>
        </w:rPr>
        <w:t xml:space="preserve"> </w:t>
      </w:r>
      <w:r>
        <w:rPr>
          <w:rFonts w:ascii="Times New Roman"/>
          <w:color w:val="auto"/>
          <w:szCs w:val="21"/>
          <w:u w:val="single"/>
        </w:rPr>
        <w:t xml:space="preserve">          </w:t>
      </w:r>
    </w:p>
    <w:p w14:paraId="166437B2">
      <w:pPr>
        <w:keepNext w:val="0"/>
        <w:keepLines w:val="0"/>
        <w:pageBreakBefore w:val="0"/>
        <w:widowControl w:val="0"/>
        <w:kinsoku/>
        <w:wordWrap/>
        <w:overflowPunct/>
        <w:topLinePunct w:val="0"/>
        <w:autoSpaceDE/>
        <w:autoSpaceDN/>
        <w:bidi w:val="0"/>
        <w:adjustRightInd/>
        <w:snapToGrid/>
        <w:spacing w:line="370" w:lineRule="exact"/>
        <w:ind w:left="0" w:leftChars="0"/>
        <w:textAlignment w:val="auto"/>
        <w:rPr>
          <w:rFonts w:cs="宋体"/>
          <w:color w:val="auto"/>
          <w:sz w:val="21"/>
          <w:szCs w:val="21"/>
        </w:rPr>
      </w:pPr>
      <w:r>
        <w:rPr>
          <w:rFonts w:hint="eastAsia" w:cs="宋体"/>
          <w:color w:val="auto"/>
          <w:sz w:val="21"/>
          <w:szCs w:val="21"/>
          <w:u w:val="single"/>
        </w:rPr>
        <w:t xml:space="preserve">              </w:t>
      </w:r>
      <w:r>
        <w:rPr>
          <w:rFonts w:hint="eastAsia" w:cs="宋体"/>
          <w:color w:val="auto"/>
          <w:sz w:val="21"/>
          <w:szCs w:val="21"/>
        </w:rPr>
        <w:t xml:space="preserve">（受益人名称）： </w:t>
      </w:r>
    </w:p>
    <w:p w14:paraId="54534EF1">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鉴于</w:t>
      </w:r>
      <w:r>
        <w:rPr>
          <w:rFonts w:hint="eastAsia" w:cs="宋体"/>
          <w:color w:val="auto"/>
          <w:sz w:val="21"/>
          <w:szCs w:val="21"/>
          <w:u w:val="single"/>
        </w:rPr>
        <w:t xml:space="preserve">     </w:t>
      </w:r>
      <w:r>
        <w:rPr>
          <w:rFonts w:hint="eastAsia" w:cs="宋体"/>
          <w:color w:val="auto"/>
          <w:sz w:val="21"/>
          <w:szCs w:val="21"/>
        </w:rPr>
        <w:t>（以下简称“受益人”）与</w:t>
      </w:r>
      <w:r>
        <w:rPr>
          <w:rFonts w:hint="eastAsia" w:cs="宋体"/>
          <w:color w:val="auto"/>
          <w:sz w:val="21"/>
          <w:szCs w:val="21"/>
          <w:u w:val="single"/>
        </w:rPr>
        <w:t xml:space="preserve">     </w:t>
      </w:r>
      <w:r>
        <w:rPr>
          <w:rFonts w:hint="eastAsia" w:cs="宋体"/>
          <w:color w:val="auto"/>
          <w:sz w:val="21"/>
          <w:szCs w:val="21"/>
        </w:rPr>
        <w:t>（以下简称“申请人”）于</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日就</w:t>
      </w:r>
      <w:r>
        <w:rPr>
          <w:rFonts w:hint="eastAsia" w:cs="宋体"/>
          <w:snapToGrid w:val="0"/>
          <w:color w:val="auto"/>
          <w:sz w:val="21"/>
          <w:szCs w:val="21"/>
          <w:u w:val="single"/>
        </w:rPr>
        <w:t xml:space="preserve">        </w:t>
      </w:r>
      <w:r>
        <w:rPr>
          <w:rFonts w:hint="eastAsia" w:cs="宋体"/>
          <w:snapToGrid w:val="0"/>
          <w:color w:val="auto"/>
          <w:sz w:val="21"/>
          <w:szCs w:val="21"/>
        </w:rPr>
        <w:t>（项目编号）的</w:t>
      </w:r>
      <w:r>
        <w:rPr>
          <w:rFonts w:hint="eastAsia" w:cs="宋体"/>
          <w:snapToGrid w:val="0"/>
          <w:color w:val="auto"/>
          <w:sz w:val="21"/>
          <w:szCs w:val="21"/>
          <w:u w:val="single"/>
        </w:rPr>
        <w:t xml:space="preserve">     </w:t>
      </w:r>
      <w:r>
        <w:rPr>
          <w:rFonts w:hint="eastAsia" w:cs="宋体"/>
          <w:snapToGrid w:val="0"/>
          <w:color w:val="auto"/>
          <w:sz w:val="21"/>
          <w:szCs w:val="21"/>
        </w:rPr>
        <w:t>（项目名称）</w:t>
      </w:r>
      <w:r>
        <w:rPr>
          <w:rFonts w:hint="eastAsia" w:cs="宋体"/>
          <w:color w:val="auto"/>
          <w:sz w:val="21"/>
          <w:szCs w:val="21"/>
        </w:rPr>
        <w:t>有关事项协商一致共同签订</w:t>
      </w:r>
      <w:r>
        <w:rPr>
          <w:rFonts w:hint="eastAsia" w:cs="宋体"/>
          <w:color w:val="auto"/>
          <w:sz w:val="21"/>
          <w:szCs w:val="21"/>
          <w:u w:val="single"/>
        </w:rPr>
        <w:t>《        》</w:t>
      </w:r>
      <w:r>
        <w:rPr>
          <w:rFonts w:hint="eastAsia" w:cs="宋体"/>
          <w:color w:val="auto"/>
          <w:sz w:val="21"/>
          <w:szCs w:val="21"/>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578DEDE8">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一、本保函担保范围：申请人未按照合同约定正确和合理地为合同目的使用预付款，应当向受益人承担的违约责任和赔偿因此造成的损失、利息、律师费、诉讼费用等实现债权的费用。</w:t>
      </w:r>
    </w:p>
    <w:p w14:paraId="50292C0C">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二、本保函担保金额最高不超过人民币（大写）</w:t>
      </w:r>
      <w:r>
        <w:rPr>
          <w:rFonts w:hint="eastAsia" w:cs="宋体"/>
          <w:color w:val="auto"/>
          <w:sz w:val="21"/>
          <w:szCs w:val="21"/>
          <w:u w:val="single"/>
        </w:rPr>
        <w:t xml:space="preserve">          </w:t>
      </w:r>
      <w:r>
        <w:rPr>
          <w:rFonts w:hint="eastAsia" w:cs="宋体"/>
          <w:color w:val="auto"/>
          <w:sz w:val="21"/>
          <w:szCs w:val="21"/>
        </w:rPr>
        <w:t>元（¥</w:t>
      </w:r>
      <w:r>
        <w:rPr>
          <w:rFonts w:hint="eastAsia" w:cs="宋体"/>
          <w:color w:val="auto"/>
          <w:sz w:val="21"/>
          <w:szCs w:val="21"/>
          <w:u w:val="single"/>
        </w:rPr>
        <w:t xml:space="preserve">       </w:t>
      </w:r>
      <w:r>
        <w:rPr>
          <w:rFonts w:hint="eastAsia" w:cs="宋体"/>
          <w:color w:val="auto"/>
          <w:sz w:val="21"/>
          <w:szCs w:val="21"/>
        </w:rPr>
        <w:t xml:space="preserve">）。 </w:t>
      </w:r>
    </w:p>
    <w:p w14:paraId="36C10D7F">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hint="eastAsia" w:cs="宋体"/>
          <w:color w:val="auto"/>
          <w:sz w:val="21"/>
          <w:szCs w:val="21"/>
        </w:rPr>
      </w:pPr>
      <w:r>
        <w:rPr>
          <w:rFonts w:hint="eastAsia" w:cs="宋体"/>
          <w:color w:val="auto"/>
          <w:sz w:val="21"/>
          <w:szCs w:val="21"/>
        </w:rPr>
        <w:t>三、本保函有效期自开立之日起至发包人全额扣回预付款之日止。</w:t>
      </w:r>
    </w:p>
    <w:p w14:paraId="6C4E531B">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四、开立人承诺，在收到受益人发来的书面付款通知后的七日内无条件支付，前述书面付款通知即为付款要求之单据，且应满足以下要求：</w:t>
      </w:r>
    </w:p>
    <w:p w14:paraId="1FF97C6F">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（1）付款通知到达的日期在本保函的有效期内；</w:t>
      </w:r>
    </w:p>
    <w:p w14:paraId="659326C1">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（2）载明要求支付的金额；</w:t>
      </w:r>
    </w:p>
    <w:p w14:paraId="45A36BE2">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（3）载明申请人违反合同义务的条款和内容；</w:t>
      </w:r>
    </w:p>
    <w:p w14:paraId="6914D664">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（4）声明不存在合同文件约定或我国法律规定免除申请人或开立人支付责任的情形；</w:t>
      </w:r>
    </w:p>
    <w:p w14:paraId="5FE5BA76">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hint="eastAsia" w:cs="宋体"/>
          <w:color w:val="auto"/>
          <w:sz w:val="21"/>
          <w:szCs w:val="21"/>
        </w:rPr>
      </w:pPr>
      <w:r>
        <w:rPr>
          <w:rFonts w:hint="eastAsia" w:cs="宋体"/>
          <w:color w:val="auto"/>
          <w:sz w:val="21"/>
          <w:szCs w:val="21"/>
        </w:rPr>
        <w:t>（5）付款通知应在本保函有效期内到达的地址是：</w:t>
      </w:r>
      <w:r>
        <w:rPr>
          <w:rFonts w:hint="eastAsia" w:cs="宋体"/>
          <w:color w:val="auto"/>
          <w:sz w:val="21"/>
          <w:szCs w:val="21"/>
          <w:u w:val="single"/>
        </w:rPr>
        <w:t xml:space="preserve">             </w:t>
      </w:r>
      <w:r>
        <w:rPr>
          <w:rFonts w:hint="eastAsia" w:cs="宋体"/>
          <w:color w:val="auto"/>
          <w:sz w:val="21"/>
          <w:szCs w:val="21"/>
        </w:rPr>
        <w:t>。</w:t>
      </w:r>
    </w:p>
    <w:p w14:paraId="681F8106">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受益人发出的书面付款通知应由其法定代表人（负责人）或授权代理人签字并加盖公章。</w:t>
      </w:r>
    </w:p>
    <w:p w14:paraId="0492CEE4">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 xml:space="preserve">五、本保函项下的权利不得转让，不得设定担保。受益人未经开立人书面同意转让本保函或其项下任何权利，对开立人不发生法律效力。 </w:t>
      </w:r>
    </w:p>
    <w:p w14:paraId="5F880E3F">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Style w:val="24"/>
          <w:rFonts w:cs="宋体"/>
          <w:color w:val="auto"/>
        </w:rPr>
      </w:pPr>
      <w:r>
        <w:rPr>
          <w:rFonts w:hint="eastAsia" w:cs="宋体"/>
          <w:color w:val="auto"/>
          <w:sz w:val="21"/>
          <w:szCs w:val="21"/>
        </w:rPr>
        <w:t>六、本保函项下的基础交易不成立、不生效、无效、被撤销、被解除，不影响本保函的独立有效。</w:t>
      </w:r>
    </w:p>
    <w:p w14:paraId="6B83E031">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 xml:space="preserve">七、本保函项下的义务和责任均在保函有效期到期后自动消灭。 </w:t>
      </w:r>
    </w:p>
    <w:p w14:paraId="2CE4B68C">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 xml:space="preserve">八、本保函适用的法律为中华人民共和国法律，因本保函产生的纠纷案件，由受益人所在地人民法院管辖。 </w:t>
      </w:r>
    </w:p>
    <w:p w14:paraId="29A73162">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 xml:space="preserve">九、本保函自我方法定代表人或授权代表签字并加盖公章之日起生效。 </w:t>
      </w:r>
    </w:p>
    <w:p w14:paraId="5937ECD7">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开 立 人：</w:t>
      </w:r>
      <w:r>
        <w:rPr>
          <w:rFonts w:hint="eastAsia" w:cs="宋体"/>
          <w:color w:val="auto"/>
          <w:sz w:val="21"/>
          <w:szCs w:val="21"/>
          <w:u w:val="single"/>
        </w:rPr>
        <w:t xml:space="preserve">                              </w:t>
      </w:r>
      <w:r>
        <w:rPr>
          <w:rFonts w:hint="eastAsia" w:cs="宋体"/>
          <w:color w:val="auto"/>
          <w:sz w:val="21"/>
          <w:szCs w:val="21"/>
        </w:rPr>
        <w:t xml:space="preserve">（公章） </w:t>
      </w:r>
    </w:p>
    <w:p w14:paraId="70EB69E9">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法定代表人（或授权代表）：</w:t>
      </w:r>
      <w:r>
        <w:rPr>
          <w:rFonts w:hint="eastAsia" w:cs="宋体"/>
          <w:color w:val="auto"/>
          <w:sz w:val="21"/>
          <w:szCs w:val="21"/>
          <w:u w:val="single"/>
        </w:rPr>
        <w:t xml:space="preserve">               </w:t>
      </w:r>
      <w:r>
        <w:rPr>
          <w:rFonts w:hint="eastAsia" w:cs="宋体"/>
          <w:color w:val="auto"/>
          <w:sz w:val="21"/>
          <w:szCs w:val="21"/>
        </w:rPr>
        <w:t xml:space="preserve">（签字） </w:t>
      </w:r>
    </w:p>
    <w:p w14:paraId="569B0E15">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w:t>
      </w:r>
    </w:p>
    <w:p w14:paraId="0FA0CAC4">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w:t>
      </w:r>
    </w:p>
    <w:p w14:paraId="667C255C">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p>
    <w:p w14:paraId="042B2AB4">
      <w:pPr>
        <w:keepNext w:val="0"/>
        <w:keepLines w:val="0"/>
        <w:pageBreakBefore w:val="0"/>
        <w:widowControl w:val="0"/>
        <w:kinsoku/>
        <w:wordWrap/>
        <w:overflowPunct/>
        <w:topLinePunct w:val="0"/>
        <w:autoSpaceDE/>
        <w:autoSpaceDN/>
        <w:bidi w:val="0"/>
        <w:adjustRightInd/>
        <w:snapToGrid/>
        <w:spacing w:line="370" w:lineRule="exact"/>
        <w:ind w:left="0" w:leftChars="0" w:firstLine="420" w:firstLineChars="200"/>
        <w:textAlignment w:val="auto"/>
        <w:rPr>
          <w:rFonts w:cs="宋体"/>
          <w:color w:val="auto"/>
          <w:sz w:val="21"/>
          <w:szCs w:val="21"/>
          <w:u w:val="single"/>
        </w:rPr>
      </w:pPr>
      <w:r>
        <w:rPr>
          <w:rFonts w:hint="eastAsia" w:cs="宋体"/>
          <w:color w:val="auto"/>
          <w:sz w:val="21"/>
          <w:szCs w:val="21"/>
        </w:rPr>
        <w:t>传    真：</w:t>
      </w:r>
      <w:r>
        <w:rPr>
          <w:rFonts w:hint="eastAsia" w:cs="宋体"/>
          <w:color w:val="auto"/>
          <w:sz w:val="21"/>
          <w:szCs w:val="21"/>
          <w:u w:val="single"/>
        </w:rPr>
        <w:t xml:space="preserve">                 </w:t>
      </w:r>
    </w:p>
    <w:p w14:paraId="716537AE">
      <w:pPr>
        <w:keepNext w:val="0"/>
        <w:keepLines w:val="0"/>
        <w:pageBreakBefore w:val="0"/>
        <w:widowControl w:val="0"/>
        <w:kinsoku/>
        <w:wordWrap/>
        <w:overflowPunct/>
        <w:topLinePunct w:val="0"/>
        <w:autoSpaceDE/>
        <w:autoSpaceDN/>
        <w:bidi w:val="0"/>
        <w:adjustRightInd/>
        <w:snapToGrid/>
        <w:spacing w:line="370" w:lineRule="exact"/>
        <w:ind w:left="900" w:leftChars="200" w:hanging="480" w:hangingChars="229"/>
        <w:textAlignment w:val="auto"/>
        <w:rPr>
          <w:rFonts w:cs="宋体"/>
          <w:color w:val="auto"/>
          <w:sz w:val="21"/>
          <w:szCs w:val="21"/>
        </w:rPr>
      </w:pPr>
      <w:r>
        <w:rPr>
          <w:rFonts w:hint="eastAsia" w:cs="宋体"/>
          <w:color w:val="auto"/>
          <w:sz w:val="21"/>
          <w:szCs w:val="21"/>
        </w:rPr>
        <w:t>开立时间：</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w:t>
      </w:r>
    </w:p>
    <w:p w14:paraId="28499D08">
      <w:pPr>
        <w:spacing w:before="312" w:beforeLines="100" w:after="312" w:afterLines="100"/>
        <w:outlineLvl w:val="2"/>
        <w:rPr>
          <w:rFonts w:ascii="Times New Roman" w:eastAsia="黑体"/>
          <w:color w:val="auto"/>
          <w:szCs w:val="24"/>
        </w:rPr>
      </w:pPr>
      <w:bookmarkStart w:id="1168" w:name="_Toc128950246"/>
      <w:r>
        <w:rPr>
          <w:rFonts w:hint="eastAsia" w:ascii="Times New Roman" w:eastAsia="黑体"/>
          <w:color w:val="auto"/>
          <w:szCs w:val="24"/>
        </w:rPr>
        <w:t>附</w:t>
      </w:r>
      <w:bookmarkStart w:id="1169" w:name="_Toc296347232"/>
      <w:bookmarkStart w:id="1170" w:name="_Toc296503233"/>
      <w:bookmarkStart w:id="1171" w:name="_Toc296891273"/>
      <w:bookmarkStart w:id="1172" w:name="_Toc296891061"/>
      <w:bookmarkStart w:id="1173" w:name="_Toc296944572"/>
      <w:bookmarkStart w:id="1174" w:name="_Toc296346734"/>
      <w:r>
        <w:rPr>
          <w:rFonts w:hint="eastAsia" w:ascii="Times New Roman" w:eastAsia="黑体"/>
          <w:color w:val="auto"/>
          <w:szCs w:val="24"/>
        </w:rPr>
        <w:t>件</w:t>
      </w:r>
      <w:r>
        <w:rPr>
          <w:rFonts w:ascii="Times New Roman" w:eastAsia="黑体"/>
          <w:color w:val="auto"/>
          <w:szCs w:val="24"/>
        </w:rPr>
        <w:t>1</w:t>
      </w:r>
      <w:r>
        <w:rPr>
          <w:rFonts w:hint="eastAsia" w:ascii="Times New Roman" w:eastAsia="黑体"/>
          <w:color w:val="auto"/>
          <w:szCs w:val="24"/>
        </w:rPr>
        <w:t>1：支付担保</w:t>
      </w:r>
      <w:bookmarkEnd w:id="1168"/>
      <w:bookmarkEnd w:id="1169"/>
      <w:bookmarkEnd w:id="1170"/>
      <w:bookmarkEnd w:id="1171"/>
      <w:bookmarkEnd w:id="1172"/>
      <w:bookmarkEnd w:id="1173"/>
      <w:bookmarkEnd w:id="1174"/>
    </w:p>
    <w:p w14:paraId="7493B37C">
      <w:pPr>
        <w:spacing w:line="360" w:lineRule="auto"/>
        <w:jc w:val="center"/>
        <w:rPr>
          <w:rFonts w:cs="宋体"/>
          <w:b/>
          <w:bCs/>
          <w:color w:val="auto"/>
          <w:sz w:val="32"/>
          <w:szCs w:val="32"/>
        </w:rPr>
      </w:pPr>
      <w:r>
        <w:rPr>
          <w:rFonts w:hint="eastAsia" w:cs="宋体"/>
          <w:b/>
          <w:bCs/>
          <w:color w:val="auto"/>
          <w:sz w:val="32"/>
          <w:szCs w:val="32"/>
        </w:rPr>
        <w:t>支付保函示范文本</w:t>
      </w:r>
    </w:p>
    <w:p w14:paraId="3630F26A">
      <w:pPr>
        <w:keepNext w:val="0"/>
        <w:keepLines w:val="0"/>
        <w:pageBreakBefore w:val="0"/>
        <w:widowControl w:val="0"/>
        <w:kinsoku/>
        <w:wordWrap w:val="0"/>
        <w:overflowPunct/>
        <w:topLinePunct w:val="0"/>
        <w:autoSpaceDE/>
        <w:autoSpaceDN/>
        <w:bidi w:val="0"/>
        <w:adjustRightInd/>
        <w:snapToGrid/>
        <w:spacing w:line="356" w:lineRule="exact"/>
        <w:ind w:left="0" w:leftChars="0"/>
        <w:jc w:val="right"/>
        <w:textAlignment w:val="auto"/>
        <w:rPr>
          <w:rFonts w:ascii="Times New Roman"/>
          <w:color w:val="auto"/>
          <w:szCs w:val="21"/>
        </w:rPr>
      </w:pPr>
      <w:r>
        <w:rPr>
          <w:rFonts w:hint="eastAsia" w:ascii="Times New Roman"/>
          <w:color w:val="auto"/>
          <w:szCs w:val="21"/>
        </w:rPr>
        <w:t>编号：</w:t>
      </w:r>
      <w:r>
        <w:rPr>
          <w:rFonts w:hint="eastAsia" w:ascii="Times New Roman"/>
          <w:color w:val="auto"/>
          <w:szCs w:val="21"/>
          <w:u w:val="single"/>
        </w:rPr>
        <w:t xml:space="preserve"> </w:t>
      </w:r>
      <w:r>
        <w:rPr>
          <w:rFonts w:ascii="Times New Roman"/>
          <w:color w:val="auto"/>
          <w:szCs w:val="21"/>
          <w:u w:val="single"/>
        </w:rPr>
        <w:t xml:space="preserve">          </w:t>
      </w:r>
    </w:p>
    <w:p w14:paraId="0E7F38B0">
      <w:pPr>
        <w:keepNext w:val="0"/>
        <w:keepLines w:val="0"/>
        <w:pageBreakBefore w:val="0"/>
        <w:widowControl w:val="0"/>
        <w:kinsoku/>
        <w:wordWrap/>
        <w:overflowPunct/>
        <w:topLinePunct w:val="0"/>
        <w:autoSpaceDE/>
        <w:autoSpaceDN/>
        <w:bidi w:val="0"/>
        <w:adjustRightInd/>
        <w:snapToGrid/>
        <w:spacing w:line="356" w:lineRule="exact"/>
        <w:ind w:left="0" w:leftChars="0"/>
        <w:textAlignment w:val="auto"/>
        <w:rPr>
          <w:rFonts w:cs="宋体"/>
          <w:color w:val="auto"/>
          <w:sz w:val="21"/>
          <w:szCs w:val="21"/>
        </w:rPr>
      </w:pPr>
      <w:bookmarkStart w:id="1175" w:name="_Hlk40355074"/>
      <w:r>
        <w:rPr>
          <w:rFonts w:hint="eastAsia" w:cs="宋体"/>
          <w:color w:val="auto"/>
          <w:sz w:val="21"/>
          <w:szCs w:val="21"/>
          <w:u w:val="single"/>
        </w:rPr>
        <w:t xml:space="preserve">              </w:t>
      </w:r>
      <w:r>
        <w:rPr>
          <w:rFonts w:hint="eastAsia" w:cs="宋体"/>
          <w:color w:val="auto"/>
          <w:sz w:val="21"/>
          <w:szCs w:val="21"/>
        </w:rPr>
        <w:t xml:space="preserve">（受益人名称）： </w:t>
      </w:r>
    </w:p>
    <w:bookmarkEnd w:id="1175"/>
    <w:p w14:paraId="2A907945">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鉴于</w:t>
      </w:r>
      <w:r>
        <w:rPr>
          <w:rFonts w:hint="eastAsia" w:cs="宋体"/>
          <w:color w:val="auto"/>
          <w:sz w:val="21"/>
          <w:szCs w:val="21"/>
          <w:u w:val="single"/>
        </w:rPr>
        <w:t xml:space="preserve">        </w:t>
      </w:r>
      <w:r>
        <w:rPr>
          <w:rFonts w:hint="eastAsia" w:cs="宋体"/>
          <w:color w:val="auto"/>
          <w:sz w:val="21"/>
          <w:szCs w:val="21"/>
        </w:rPr>
        <w:t>（以下简称“受益人”）与</w:t>
      </w:r>
      <w:r>
        <w:rPr>
          <w:rFonts w:hint="eastAsia" w:cs="宋体"/>
          <w:color w:val="auto"/>
          <w:sz w:val="21"/>
          <w:szCs w:val="21"/>
          <w:u w:val="single"/>
        </w:rPr>
        <w:t xml:space="preserve">         </w:t>
      </w:r>
      <w:r>
        <w:rPr>
          <w:rFonts w:hint="eastAsia" w:cs="宋体"/>
          <w:color w:val="auto"/>
          <w:sz w:val="21"/>
          <w:szCs w:val="21"/>
        </w:rPr>
        <w:t>（以下简称“申请人”）于</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日就</w:t>
      </w:r>
      <w:r>
        <w:rPr>
          <w:rFonts w:hint="eastAsia" w:cs="宋体"/>
          <w:snapToGrid w:val="0"/>
          <w:color w:val="auto"/>
          <w:sz w:val="21"/>
          <w:szCs w:val="21"/>
          <w:u w:val="single"/>
        </w:rPr>
        <w:t xml:space="preserve">        </w:t>
      </w:r>
      <w:r>
        <w:rPr>
          <w:rFonts w:hint="eastAsia" w:cs="宋体"/>
          <w:snapToGrid w:val="0"/>
          <w:color w:val="auto"/>
          <w:sz w:val="21"/>
          <w:szCs w:val="21"/>
        </w:rPr>
        <w:t>（项目编号）的</w:t>
      </w:r>
      <w:r>
        <w:rPr>
          <w:rFonts w:hint="eastAsia" w:cs="宋体"/>
          <w:snapToGrid w:val="0"/>
          <w:color w:val="auto"/>
          <w:sz w:val="21"/>
          <w:szCs w:val="21"/>
          <w:u w:val="single"/>
        </w:rPr>
        <w:t xml:space="preserve">         </w:t>
      </w:r>
      <w:r>
        <w:rPr>
          <w:rFonts w:hint="eastAsia" w:cs="宋体"/>
          <w:snapToGrid w:val="0"/>
          <w:color w:val="auto"/>
          <w:sz w:val="21"/>
          <w:szCs w:val="21"/>
        </w:rPr>
        <w:t>（项目名称）</w:t>
      </w:r>
      <w:r>
        <w:rPr>
          <w:rFonts w:hint="eastAsia" w:cs="宋体"/>
          <w:color w:val="auto"/>
          <w:sz w:val="21"/>
          <w:szCs w:val="21"/>
        </w:rPr>
        <w:t>有关事项协商一致共同签订</w:t>
      </w:r>
      <w:r>
        <w:rPr>
          <w:rFonts w:hint="eastAsia" w:cs="宋体"/>
          <w:color w:val="auto"/>
          <w:sz w:val="21"/>
          <w:szCs w:val="21"/>
          <w:u w:val="single"/>
        </w:rPr>
        <w:t>《        》</w:t>
      </w:r>
      <w:r>
        <w:rPr>
          <w:rFonts w:hint="eastAsia" w:cs="宋体"/>
          <w:color w:val="auto"/>
          <w:sz w:val="21"/>
          <w:szCs w:val="21"/>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9F3FAB0">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一、本保函担保范围：申请人未履行基础合同约定的工程款支付义务，应当向受益人承担的违约责任和赔偿因此造成的损失、利息、律师费、诉讼费用等实现债权的费用。</w:t>
      </w:r>
    </w:p>
    <w:p w14:paraId="22D77891">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二、本保函担保金额最高不超过人民币（大写）</w:t>
      </w:r>
      <w:r>
        <w:rPr>
          <w:rFonts w:hint="eastAsia" w:cs="宋体"/>
          <w:color w:val="auto"/>
          <w:sz w:val="21"/>
          <w:szCs w:val="21"/>
          <w:u w:val="single"/>
        </w:rPr>
        <w:t xml:space="preserve">          </w:t>
      </w:r>
      <w:r>
        <w:rPr>
          <w:rFonts w:hint="eastAsia" w:cs="宋体"/>
          <w:color w:val="auto"/>
          <w:sz w:val="21"/>
          <w:szCs w:val="21"/>
        </w:rPr>
        <w:t>元（¥</w:t>
      </w:r>
      <w:r>
        <w:rPr>
          <w:rFonts w:hint="eastAsia" w:cs="宋体"/>
          <w:color w:val="auto"/>
          <w:sz w:val="21"/>
          <w:szCs w:val="21"/>
          <w:u w:val="single"/>
        </w:rPr>
        <w:t xml:space="preserve">       </w:t>
      </w:r>
      <w:r>
        <w:rPr>
          <w:rFonts w:hint="eastAsia" w:cs="宋体"/>
          <w:color w:val="auto"/>
          <w:sz w:val="21"/>
          <w:szCs w:val="21"/>
        </w:rPr>
        <w:t xml:space="preserve">）。 </w:t>
      </w:r>
    </w:p>
    <w:p w14:paraId="016C21BD">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三、本保函有效期自开立之日起至基础合同约定的除工程质量保修金以外的全部工程结算款项支付之日后</w:t>
      </w:r>
      <w:r>
        <w:rPr>
          <w:rFonts w:hint="eastAsia" w:cs="宋体"/>
          <w:color w:val="auto"/>
          <w:sz w:val="21"/>
          <w:szCs w:val="21"/>
          <w:u w:val="single"/>
        </w:rPr>
        <w:t xml:space="preserve">    </w:t>
      </w:r>
      <w:r>
        <w:rPr>
          <w:rFonts w:hint="eastAsia" w:cs="宋体"/>
          <w:color w:val="auto"/>
          <w:sz w:val="21"/>
          <w:szCs w:val="21"/>
        </w:rPr>
        <w:t xml:space="preserve">日止。 </w:t>
      </w:r>
    </w:p>
    <w:p w14:paraId="0BB6D826">
      <w:pPr>
        <w:keepNext w:val="0"/>
        <w:keepLines w:val="0"/>
        <w:pageBreakBefore w:val="0"/>
        <w:widowControl w:val="0"/>
        <w:kinsoku/>
        <w:wordWrap/>
        <w:overflowPunct/>
        <w:topLinePunct w:val="0"/>
        <w:autoSpaceDE/>
        <w:autoSpaceDN/>
        <w:bidi w:val="0"/>
        <w:adjustRightInd/>
        <w:snapToGrid/>
        <w:spacing w:line="356" w:lineRule="exact"/>
        <w:ind w:left="0" w:leftChars="0" w:firstLine="480"/>
        <w:textAlignment w:val="auto"/>
        <w:rPr>
          <w:rFonts w:cs="宋体"/>
          <w:color w:val="auto"/>
          <w:sz w:val="21"/>
          <w:szCs w:val="21"/>
        </w:rPr>
      </w:pPr>
      <w:r>
        <w:rPr>
          <w:rFonts w:hint="eastAsia" w:cs="宋体"/>
          <w:color w:val="auto"/>
          <w:sz w:val="21"/>
          <w:szCs w:val="21"/>
        </w:rPr>
        <w:t>四、开立人承诺，在收到受益人发来的书面付款通知后的七日内无条件支付，前述书面付款通知即为付款要求之单据，且应满足以下要求：</w:t>
      </w:r>
    </w:p>
    <w:p w14:paraId="7E3B5C4B">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（1）付款通知到达的日期在本保函的有效期内；</w:t>
      </w:r>
    </w:p>
    <w:p w14:paraId="59572E85">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（2）载明要求支付的金额；</w:t>
      </w:r>
    </w:p>
    <w:p w14:paraId="740117F9">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（3）载明申请人违反合同义务的条款和内容；</w:t>
      </w:r>
    </w:p>
    <w:p w14:paraId="6B0A1A12">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（4）声明不存在合同文件约定或我国法律规定免除申请人或开立人支付责任的情形；</w:t>
      </w:r>
    </w:p>
    <w:p w14:paraId="354EE5CD">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（5）付款通知应在本保函有效期内到达的地址是：</w:t>
      </w:r>
      <w:r>
        <w:rPr>
          <w:rFonts w:hint="eastAsia" w:cs="宋体"/>
          <w:color w:val="auto"/>
          <w:sz w:val="21"/>
          <w:szCs w:val="21"/>
          <w:u w:val="single"/>
        </w:rPr>
        <w:t xml:space="preserve">             </w:t>
      </w:r>
      <w:r>
        <w:rPr>
          <w:rFonts w:hint="eastAsia" w:cs="宋体"/>
          <w:color w:val="auto"/>
          <w:sz w:val="21"/>
          <w:szCs w:val="21"/>
        </w:rPr>
        <w:t>。</w:t>
      </w:r>
    </w:p>
    <w:p w14:paraId="2AB8E42E">
      <w:pPr>
        <w:keepNext w:val="0"/>
        <w:keepLines w:val="0"/>
        <w:pageBreakBefore w:val="0"/>
        <w:widowControl w:val="0"/>
        <w:kinsoku/>
        <w:wordWrap/>
        <w:overflowPunct/>
        <w:topLinePunct w:val="0"/>
        <w:autoSpaceDE/>
        <w:autoSpaceDN/>
        <w:bidi w:val="0"/>
        <w:adjustRightInd/>
        <w:snapToGrid/>
        <w:spacing w:line="356" w:lineRule="exact"/>
        <w:ind w:left="0" w:leftChars="0"/>
        <w:textAlignment w:val="auto"/>
        <w:rPr>
          <w:rFonts w:cs="宋体"/>
          <w:color w:val="auto"/>
          <w:sz w:val="21"/>
          <w:szCs w:val="21"/>
        </w:rPr>
      </w:pPr>
      <w:r>
        <w:rPr>
          <w:rFonts w:hint="eastAsia" w:cs="宋体"/>
          <w:color w:val="auto"/>
          <w:sz w:val="21"/>
          <w:szCs w:val="21"/>
        </w:rPr>
        <w:t xml:space="preserve">    受益人发出的书面付款通知应由其法定代表人（负责人）或授权代理人签字并加盖公章。</w:t>
      </w:r>
    </w:p>
    <w:p w14:paraId="137A1AF5">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 xml:space="preserve">五、本保函项下的权利不得转让，不得设定担保。受益人未经开立人书面同意转让本保函或其项下任何权利，对开立人不发生法律效力。 </w:t>
      </w:r>
    </w:p>
    <w:p w14:paraId="4B2E13F0">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Style w:val="24"/>
          <w:rFonts w:cs="宋体"/>
          <w:color w:val="auto"/>
        </w:rPr>
      </w:pPr>
      <w:r>
        <w:rPr>
          <w:rFonts w:hint="eastAsia" w:cs="宋体"/>
          <w:color w:val="auto"/>
          <w:sz w:val="21"/>
          <w:szCs w:val="21"/>
        </w:rPr>
        <w:t>六、本保函项下的基础交易不成立、不生效、无效、被撤销、被解除，不影响本保函的独立有效。</w:t>
      </w:r>
    </w:p>
    <w:p w14:paraId="7F190FF9">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 xml:space="preserve">七、本保函项下的义务和责任均在保函有效期到期后自动消灭。 </w:t>
      </w:r>
    </w:p>
    <w:p w14:paraId="33360B7A">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 xml:space="preserve">八、本保函适用的法律为中华人民共和国法律，因本保函产生的纠纷案件，由申请人所在地人民法院管辖。 </w:t>
      </w:r>
    </w:p>
    <w:p w14:paraId="7BF77F58">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 xml:space="preserve">九、本保函自我方法定代表人或授权代表签字并加盖公章之日起生效。 </w:t>
      </w:r>
    </w:p>
    <w:p w14:paraId="189C4523">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开 立 人：</w:t>
      </w:r>
      <w:r>
        <w:rPr>
          <w:rFonts w:hint="eastAsia" w:cs="宋体"/>
          <w:color w:val="auto"/>
          <w:sz w:val="21"/>
          <w:szCs w:val="21"/>
          <w:u w:val="single"/>
        </w:rPr>
        <w:t xml:space="preserve">                              </w:t>
      </w:r>
      <w:r>
        <w:rPr>
          <w:rFonts w:hint="eastAsia" w:cs="宋体"/>
          <w:color w:val="auto"/>
          <w:sz w:val="21"/>
          <w:szCs w:val="21"/>
        </w:rPr>
        <w:t xml:space="preserve">（公章） </w:t>
      </w:r>
    </w:p>
    <w:p w14:paraId="44E3689E">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法定代表人（或授权代表）：</w:t>
      </w:r>
      <w:r>
        <w:rPr>
          <w:rFonts w:hint="eastAsia" w:cs="宋体"/>
          <w:color w:val="auto"/>
          <w:sz w:val="21"/>
          <w:szCs w:val="21"/>
          <w:u w:val="single"/>
        </w:rPr>
        <w:t xml:space="preserve">               </w:t>
      </w:r>
      <w:r>
        <w:rPr>
          <w:rFonts w:hint="eastAsia" w:cs="宋体"/>
          <w:color w:val="auto"/>
          <w:sz w:val="21"/>
          <w:szCs w:val="21"/>
        </w:rPr>
        <w:t xml:space="preserve">（签字） </w:t>
      </w:r>
    </w:p>
    <w:p w14:paraId="4CE1A0CB">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w:t>
      </w:r>
    </w:p>
    <w:p w14:paraId="0D67911C">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w:t>
      </w:r>
    </w:p>
    <w:p w14:paraId="13E98CDB">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p>
    <w:p w14:paraId="729B3BB6">
      <w:pPr>
        <w:keepNext w:val="0"/>
        <w:keepLines w:val="0"/>
        <w:pageBreakBefore w:val="0"/>
        <w:widowControl w:val="0"/>
        <w:kinsoku/>
        <w:wordWrap/>
        <w:overflowPunct/>
        <w:topLinePunct w:val="0"/>
        <w:autoSpaceDE/>
        <w:autoSpaceDN/>
        <w:bidi w:val="0"/>
        <w:adjustRightInd/>
        <w:snapToGrid/>
        <w:spacing w:line="356" w:lineRule="exact"/>
        <w:ind w:left="0" w:leftChars="0" w:firstLine="420" w:firstLineChars="200"/>
        <w:textAlignment w:val="auto"/>
        <w:rPr>
          <w:rFonts w:cs="宋体"/>
          <w:color w:val="auto"/>
          <w:sz w:val="21"/>
          <w:szCs w:val="21"/>
          <w:u w:val="single"/>
        </w:rPr>
      </w:pPr>
      <w:r>
        <w:rPr>
          <w:rFonts w:hint="eastAsia" w:cs="宋体"/>
          <w:color w:val="auto"/>
          <w:sz w:val="21"/>
          <w:szCs w:val="21"/>
        </w:rPr>
        <w:t>传    真：</w:t>
      </w:r>
      <w:r>
        <w:rPr>
          <w:rFonts w:hint="eastAsia" w:cs="宋体"/>
          <w:color w:val="auto"/>
          <w:sz w:val="21"/>
          <w:szCs w:val="21"/>
          <w:u w:val="single"/>
        </w:rPr>
        <w:t xml:space="preserve">                 </w:t>
      </w:r>
    </w:p>
    <w:p w14:paraId="30EBC25C">
      <w:pPr>
        <w:keepNext w:val="0"/>
        <w:keepLines w:val="0"/>
        <w:pageBreakBefore w:val="0"/>
        <w:widowControl w:val="0"/>
        <w:kinsoku/>
        <w:wordWrap/>
        <w:overflowPunct/>
        <w:topLinePunct w:val="0"/>
        <w:autoSpaceDE/>
        <w:autoSpaceDN/>
        <w:bidi w:val="0"/>
        <w:adjustRightInd/>
        <w:snapToGrid/>
        <w:spacing w:line="356" w:lineRule="exact"/>
        <w:ind w:left="474" w:leftChars="199" w:hanging="56" w:hangingChars="27"/>
        <w:textAlignment w:val="auto"/>
        <w:rPr>
          <w:rFonts w:cs="宋体"/>
          <w:color w:val="auto"/>
          <w:sz w:val="21"/>
          <w:szCs w:val="21"/>
        </w:rPr>
      </w:pPr>
      <w:r>
        <w:rPr>
          <w:rFonts w:hint="eastAsia" w:cs="宋体"/>
          <w:color w:val="auto"/>
          <w:sz w:val="21"/>
          <w:szCs w:val="21"/>
        </w:rPr>
        <w:t>开立时间：</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w:t>
      </w:r>
    </w:p>
    <w:p w14:paraId="7A961622">
      <w:pPr>
        <w:spacing w:before="312" w:beforeLines="100" w:after="312" w:afterLines="100"/>
        <w:outlineLvl w:val="2"/>
        <w:rPr>
          <w:rFonts w:ascii="Times New Roman" w:eastAsia="黑体"/>
          <w:color w:val="auto"/>
          <w:szCs w:val="24"/>
        </w:rPr>
      </w:pPr>
      <w:bookmarkStart w:id="1176" w:name="_Toc128950247"/>
      <w:r>
        <w:rPr>
          <w:rFonts w:hint="eastAsia" w:ascii="Times New Roman" w:eastAsia="黑体"/>
          <w:color w:val="auto"/>
          <w:szCs w:val="24"/>
        </w:rPr>
        <w:t>附件</w:t>
      </w:r>
      <w:r>
        <w:rPr>
          <w:rFonts w:ascii="Times New Roman" w:eastAsia="黑体"/>
          <w:color w:val="auto"/>
          <w:szCs w:val="24"/>
        </w:rPr>
        <w:t>1</w:t>
      </w:r>
      <w:r>
        <w:rPr>
          <w:rFonts w:hint="eastAsia" w:ascii="Times New Roman" w:eastAsia="黑体"/>
          <w:color w:val="auto"/>
          <w:szCs w:val="24"/>
        </w:rPr>
        <w:t>2：暂估价一览表</w:t>
      </w:r>
      <w:bookmarkEnd w:id="1176"/>
    </w:p>
    <w:p w14:paraId="10D15BA8">
      <w:pPr>
        <w:spacing w:before="156" w:beforeLines="50" w:after="156" w:afterLines="50" w:line="440" w:lineRule="exact"/>
        <w:jc w:val="center"/>
        <w:rPr>
          <w:rFonts w:cs="宋体"/>
          <w:color w:val="auto"/>
          <w:szCs w:val="21"/>
        </w:rPr>
      </w:pPr>
      <w:r>
        <w:rPr>
          <w:rFonts w:hint="eastAsia" w:cs="宋体"/>
          <w:color w:val="auto"/>
          <w:szCs w:val="21"/>
        </w:rPr>
        <w:t>12-1：材料暂估价表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3"/>
        <w:gridCol w:w="1942"/>
        <w:gridCol w:w="831"/>
        <w:gridCol w:w="756"/>
        <w:gridCol w:w="1323"/>
        <w:gridCol w:w="1386"/>
        <w:gridCol w:w="1665"/>
      </w:tblGrid>
      <w:tr w14:paraId="64261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25247D98">
            <w:pPr>
              <w:keepNext/>
              <w:spacing w:line="440" w:lineRule="exact"/>
              <w:jc w:val="center"/>
              <w:rPr>
                <w:rFonts w:cs="宋体"/>
                <w:color w:val="auto"/>
                <w:szCs w:val="21"/>
              </w:rPr>
            </w:pPr>
            <w:r>
              <w:rPr>
                <w:rFonts w:hint="eastAsia" w:cs="宋体"/>
                <w:color w:val="auto"/>
                <w:szCs w:val="21"/>
              </w:rPr>
              <w:t>序号</w:t>
            </w:r>
          </w:p>
        </w:tc>
        <w:tc>
          <w:tcPr>
            <w:tcW w:w="1094" w:type="pct"/>
            <w:tcBorders>
              <w:top w:val="single" w:color="auto" w:sz="12" w:space="0"/>
              <w:bottom w:val="double" w:color="auto" w:sz="6" w:space="0"/>
            </w:tcBorders>
            <w:vAlign w:val="center"/>
          </w:tcPr>
          <w:p w14:paraId="72E06D9E">
            <w:pPr>
              <w:keepNext/>
              <w:spacing w:line="440" w:lineRule="exact"/>
              <w:jc w:val="center"/>
              <w:rPr>
                <w:rFonts w:cs="宋体"/>
                <w:color w:val="auto"/>
                <w:szCs w:val="21"/>
              </w:rPr>
            </w:pPr>
            <w:r>
              <w:rPr>
                <w:rFonts w:hint="eastAsia" w:cs="宋体"/>
                <w:color w:val="auto"/>
                <w:szCs w:val="21"/>
              </w:rPr>
              <w:t>名称</w:t>
            </w:r>
          </w:p>
        </w:tc>
        <w:tc>
          <w:tcPr>
            <w:tcW w:w="468" w:type="pct"/>
            <w:tcBorders>
              <w:top w:val="single" w:color="auto" w:sz="12" w:space="0"/>
              <w:bottom w:val="double" w:color="auto" w:sz="6" w:space="0"/>
            </w:tcBorders>
            <w:vAlign w:val="center"/>
          </w:tcPr>
          <w:p w14:paraId="45D6207E">
            <w:pPr>
              <w:keepNext/>
              <w:spacing w:line="440" w:lineRule="exact"/>
              <w:jc w:val="center"/>
              <w:rPr>
                <w:rFonts w:cs="宋体"/>
                <w:color w:val="auto"/>
                <w:szCs w:val="21"/>
              </w:rPr>
            </w:pPr>
            <w:r>
              <w:rPr>
                <w:rFonts w:hint="eastAsia" w:cs="宋体"/>
                <w:color w:val="auto"/>
                <w:szCs w:val="21"/>
              </w:rPr>
              <w:t>单位</w:t>
            </w:r>
          </w:p>
        </w:tc>
        <w:tc>
          <w:tcPr>
            <w:tcW w:w="426" w:type="pct"/>
            <w:tcBorders>
              <w:top w:val="single" w:color="auto" w:sz="12" w:space="0"/>
              <w:bottom w:val="double" w:color="auto" w:sz="6" w:space="0"/>
            </w:tcBorders>
            <w:vAlign w:val="center"/>
          </w:tcPr>
          <w:p w14:paraId="2F22D7E6">
            <w:pPr>
              <w:keepNext/>
              <w:spacing w:line="440" w:lineRule="exact"/>
              <w:jc w:val="center"/>
              <w:rPr>
                <w:rFonts w:cs="宋体"/>
                <w:color w:val="auto"/>
                <w:szCs w:val="21"/>
              </w:rPr>
            </w:pPr>
            <w:r>
              <w:rPr>
                <w:rFonts w:hint="eastAsia" w:cs="宋体"/>
                <w:color w:val="auto"/>
                <w:szCs w:val="21"/>
              </w:rPr>
              <w:t>数量</w:t>
            </w:r>
          </w:p>
        </w:tc>
        <w:tc>
          <w:tcPr>
            <w:tcW w:w="745" w:type="pct"/>
            <w:tcBorders>
              <w:top w:val="single" w:color="auto" w:sz="12" w:space="0"/>
              <w:bottom w:val="double" w:color="auto" w:sz="6" w:space="0"/>
            </w:tcBorders>
            <w:vAlign w:val="center"/>
          </w:tcPr>
          <w:p w14:paraId="51658DB9">
            <w:pPr>
              <w:keepNext/>
              <w:spacing w:line="440" w:lineRule="exact"/>
              <w:jc w:val="center"/>
              <w:rPr>
                <w:rFonts w:cs="宋体"/>
                <w:color w:val="auto"/>
                <w:szCs w:val="21"/>
              </w:rPr>
            </w:pPr>
            <w:r>
              <w:rPr>
                <w:rFonts w:hint="eastAsia" w:cs="宋体"/>
                <w:color w:val="auto"/>
                <w:szCs w:val="21"/>
              </w:rPr>
              <w:t>单价（元）</w:t>
            </w:r>
          </w:p>
        </w:tc>
        <w:tc>
          <w:tcPr>
            <w:tcW w:w="781" w:type="pct"/>
            <w:tcBorders>
              <w:top w:val="single" w:color="auto" w:sz="12" w:space="0"/>
              <w:bottom w:val="double" w:color="auto" w:sz="6" w:space="0"/>
            </w:tcBorders>
            <w:vAlign w:val="center"/>
          </w:tcPr>
          <w:p w14:paraId="420EE350">
            <w:pPr>
              <w:keepNext/>
              <w:spacing w:line="440" w:lineRule="exact"/>
              <w:jc w:val="center"/>
              <w:rPr>
                <w:rFonts w:cs="宋体"/>
                <w:color w:val="auto"/>
                <w:szCs w:val="21"/>
              </w:rPr>
            </w:pPr>
            <w:r>
              <w:rPr>
                <w:rFonts w:hint="eastAsia" w:cs="宋体"/>
                <w:color w:val="auto"/>
                <w:szCs w:val="21"/>
              </w:rPr>
              <w:t>合价（元）</w:t>
            </w:r>
          </w:p>
        </w:tc>
        <w:tc>
          <w:tcPr>
            <w:tcW w:w="938" w:type="pct"/>
            <w:tcBorders>
              <w:top w:val="single" w:color="auto" w:sz="12" w:space="0"/>
              <w:bottom w:val="double" w:color="auto" w:sz="6" w:space="0"/>
            </w:tcBorders>
            <w:vAlign w:val="center"/>
          </w:tcPr>
          <w:p w14:paraId="5877CB28">
            <w:pPr>
              <w:keepNext/>
              <w:spacing w:line="440" w:lineRule="exact"/>
              <w:jc w:val="center"/>
              <w:rPr>
                <w:rFonts w:cs="宋体"/>
                <w:color w:val="auto"/>
                <w:szCs w:val="21"/>
              </w:rPr>
            </w:pPr>
            <w:r>
              <w:rPr>
                <w:rFonts w:hint="eastAsia" w:cs="宋体"/>
                <w:color w:val="auto"/>
                <w:szCs w:val="21"/>
              </w:rPr>
              <w:t>备注</w:t>
            </w:r>
          </w:p>
        </w:tc>
      </w:tr>
      <w:tr w14:paraId="0B541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FC79D9F">
            <w:pPr>
              <w:keepNext/>
              <w:spacing w:line="440" w:lineRule="exact"/>
              <w:jc w:val="center"/>
              <w:rPr>
                <w:rFonts w:cs="宋体"/>
                <w:color w:val="auto"/>
                <w:szCs w:val="21"/>
              </w:rPr>
            </w:pPr>
          </w:p>
        </w:tc>
        <w:tc>
          <w:tcPr>
            <w:tcW w:w="1094" w:type="pct"/>
            <w:tcBorders>
              <w:top w:val="double" w:color="auto" w:sz="6" w:space="0"/>
            </w:tcBorders>
            <w:vAlign w:val="center"/>
          </w:tcPr>
          <w:p w14:paraId="6FEEF0B1">
            <w:pPr>
              <w:keepNext/>
              <w:spacing w:line="440" w:lineRule="exact"/>
              <w:jc w:val="center"/>
              <w:rPr>
                <w:rFonts w:cs="宋体"/>
                <w:color w:val="auto"/>
                <w:szCs w:val="21"/>
              </w:rPr>
            </w:pPr>
          </w:p>
        </w:tc>
        <w:tc>
          <w:tcPr>
            <w:tcW w:w="468" w:type="pct"/>
            <w:tcBorders>
              <w:top w:val="double" w:color="auto" w:sz="6" w:space="0"/>
            </w:tcBorders>
            <w:vAlign w:val="center"/>
          </w:tcPr>
          <w:p w14:paraId="24F0CFAD">
            <w:pPr>
              <w:keepNext/>
              <w:spacing w:line="440" w:lineRule="exact"/>
              <w:jc w:val="center"/>
              <w:rPr>
                <w:rFonts w:cs="宋体"/>
                <w:color w:val="auto"/>
                <w:szCs w:val="21"/>
              </w:rPr>
            </w:pPr>
          </w:p>
        </w:tc>
        <w:tc>
          <w:tcPr>
            <w:tcW w:w="426" w:type="pct"/>
            <w:tcBorders>
              <w:top w:val="double" w:color="auto" w:sz="6" w:space="0"/>
            </w:tcBorders>
            <w:vAlign w:val="center"/>
          </w:tcPr>
          <w:p w14:paraId="39FAEA97">
            <w:pPr>
              <w:keepNext/>
              <w:spacing w:line="440" w:lineRule="exact"/>
              <w:jc w:val="center"/>
              <w:rPr>
                <w:rFonts w:cs="宋体"/>
                <w:color w:val="auto"/>
                <w:szCs w:val="21"/>
              </w:rPr>
            </w:pPr>
          </w:p>
        </w:tc>
        <w:tc>
          <w:tcPr>
            <w:tcW w:w="745" w:type="pct"/>
            <w:tcBorders>
              <w:top w:val="double" w:color="auto" w:sz="6" w:space="0"/>
            </w:tcBorders>
            <w:vAlign w:val="center"/>
          </w:tcPr>
          <w:p w14:paraId="09A8A410">
            <w:pPr>
              <w:keepNext/>
              <w:spacing w:line="440" w:lineRule="exact"/>
              <w:jc w:val="center"/>
              <w:rPr>
                <w:rFonts w:cs="宋体"/>
                <w:color w:val="auto"/>
                <w:szCs w:val="21"/>
              </w:rPr>
            </w:pPr>
          </w:p>
        </w:tc>
        <w:tc>
          <w:tcPr>
            <w:tcW w:w="781" w:type="pct"/>
            <w:tcBorders>
              <w:top w:val="double" w:color="auto" w:sz="6" w:space="0"/>
            </w:tcBorders>
            <w:vAlign w:val="center"/>
          </w:tcPr>
          <w:p w14:paraId="4126BB1F">
            <w:pPr>
              <w:keepNext/>
              <w:spacing w:line="440" w:lineRule="exact"/>
              <w:jc w:val="center"/>
              <w:rPr>
                <w:rFonts w:cs="宋体"/>
                <w:color w:val="auto"/>
                <w:szCs w:val="21"/>
              </w:rPr>
            </w:pPr>
          </w:p>
        </w:tc>
        <w:tc>
          <w:tcPr>
            <w:tcW w:w="938" w:type="pct"/>
            <w:tcBorders>
              <w:top w:val="double" w:color="auto" w:sz="6" w:space="0"/>
            </w:tcBorders>
            <w:vAlign w:val="center"/>
          </w:tcPr>
          <w:p w14:paraId="4404F636">
            <w:pPr>
              <w:keepNext/>
              <w:spacing w:line="440" w:lineRule="exact"/>
              <w:jc w:val="center"/>
              <w:rPr>
                <w:rFonts w:cs="宋体"/>
                <w:color w:val="auto"/>
                <w:szCs w:val="21"/>
              </w:rPr>
            </w:pPr>
          </w:p>
        </w:tc>
      </w:tr>
      <w:tr w14:paraId="50B12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5B9AA6FA">
            <w:pPr>
              <w:keepNext/>
              <w:spacing w:line="440" w:lineRule="exact"/>
              <w:jc w:val="center"/>
              <w:rPr>
                <w:rFonts w:cs="宋体"/>
                <w:color w:val="auto"/>
                <w:szCs w:val="21"/>
              </w:rPr>
            </w:pPr>
          </w:p>
        </w:tc>
        <w:tc>
          <w:tcPr>
            <w:tcW w:w="1094" w:type="pct"/>
            <w:tcBorders>
              <w:top w:val="nil"/>
            </w:tcBorders>
            <w:vAlign w:val="center"/>
          </w:tcPr>
          <w:p w14:paraId="65A50328">
            <w:pPr>
              <w:keepNext/>
              <w:spacing w:line="440" w:lineRule="exact"/>
              <w:jc w:val="center"/>
              <w:rPr>
                <w:rFonts w:cs="宋体"/>
                <w:color w:val="auto"/>
                <w:szCs w:val="21"/>
              </w:rPr>
            </w:pPr>
          </w:p>
        </w:tc>
        <w:tc>
          <w:tcPr>
            <w:tcW w:w="468" w:type="pct"/>
            <w:tcBorders>
              <w:top w:val="nil"/>
            </w:tcBorders>
            <w:vAlign w:val="center"/>
          </w:tcPr>
          <w:p w14:paraId="5BE4E042">
            <w:pPr>
              <w:keepNext/>
              <w:spacing w:line="440" w:lineRule="exact"/>
              <w:jc w:val="center"/>
              <w:rPr>
                <w:rFonts w:cs="宋体"/>
                <w:color w:val="auto"/>
                <w:szCs w:val="21"/>
              </w:rPr>
            </w:pPr>
          </w:p>
        </w:tc>
        <w:tc>
          <w:tcPr>
            <w:tcW w:w="426" w:type="pct"/>
            <w:tcBorders>
              <w:top w:val="nil"/>
            </w:tcBorders>
            <w:vAlign w:val="center"/>
          </w:tcPr>
          <w:p w14:paraId="69218F76">
            <w:pPr>
              <w:keepNext/>
              <w:spacing w:line="440" w:lineRule="exact"/>
              <w:jc w:val="center"/>
              <w:rPr>
                <w:rFonts w:cs="宋体"/>
                <w:color w:val="auto"/>
                <w:szCs w:val="21"/>
              </w:rPr>
            </w:pPr>
          </w:p>
        </w:tc>
        <w:tc>
          <w:tcPr>
            <w:tcW w:w="745" w:type="pct"/>
            <w:tcBorders>
              <w:top w:val="nil"/>
            </w:tcBorders>
            <w:vAlign w:val="center"/>
          </w:tcPr>
          <w:p w14:paraId="580FCF06">
            <w:pPr>
              <w:keepNext/>
              <w:spacing w:line="440" w:lineRule="exact"/>
              <w:jc w:val="center"/>
              <w:rPr>
                <w:rFonts w:cs="宋体"/>
                <w:color w:val="auto"/>
                <w:szCs w:val="21"/>
              </w:rPr>
            </w:pPr>
          </w:p>
        </w:tc>
        <w:tc>
          <w:tcPr>
            <w:tcW w:w="781" w:type="pct"/>
            <w:tcBorders>
              <w:top w:val="nil"/>
            </w:tcBorders>
            <w:vAlign w:val="center"/>
          </w:tcPr>
          <w:p w14:paraId="5C2F8694">
            <w:pPr>
              <w:keepNext/>
              <w:spacing w:line="440" w:lineRule="exact"/>
              <w:jc w:val="center"/>
              <w:rPr>
                <w:rFonts w:cs="宋体"/>
                <w:color w:val="auto"/>
                <w:szCs w:val="21"/>
              </w:rPr>
            </w:pPr>
          </w:p>
        </w:tc>
        <w:tc>
          <w:tcPr>
            <w:tcW w:w="938" w:type="pct"/>
            <w:tcBorders>
              <w:top w:val="nil"/>
            </w:tcBorders>
            <w:vAlign w:val="center"/>
          </w:tcPr>
          <w:p w14:paraId="6E4AAA76">
            <w:pPr>
              <w:keepNext/>
              <w:spacing w:line="440" w:lineRule="exact"/>
              <w:jc w:val="center"/>
              <w:rPr>
                <w:rFonts w:cs="宋体"/>
                <w:color w:val="auto"/>
                <w:szCs w:val="21"/>
              </w:rPr>
            </w:pPr>
          </w:p>
        </w:tc>
      </w:tr>
      <w:tr w14:paraId="6EE18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F5BC671">
            <w:pPr>
              <w:keepNext/>
              <w:spacing w:line="440" w:lineRule="exact"/>
              <w:jc w:val="center"/>
              <w:rPr>
                <w:rFonts w:cs="宋体"/>
                <w:color w:val="auto"/>
                <w:szCs w:val="21"/>
              </w:rPr>
            </w:pPr>
          </w:p>
        </w:tc>
        <w:tc>
          <w:tcPr>
            <w:tcW w:w="1094" w:type="pct"/>
            <w:vAlign w:val="center"/>
          </w:tcPr>
          <w:p w14:paraId="610E4030">
            <w:pPr>
              <w:keepNext/>
              <w:spacing w:line="440" w:lineRule="exact"/>
              <w:jc w:val="center"/>
              <w:rPr>
                <w:rFonts w:cs="宋体"/>
                <w:color w:val="auto"/>
                <w:szCs w:val="21"/>
              </w:rPr>
            </w:pPr>
          </w:p>
        </w:tc>
        <w:tc>
          <w:tcPr>
            <w:tcW w:w="468" w:type="pct"/>
            <w:vAlign w:val="center"/>
          </w:tcPr>
          <w:p w14:paraId="4BA209B6">
            <w:pPr>
              <w:keepNext/>
              <w:spacing w:line="440" w:lineRule="exact"/>
              <w:jc w:val="center"/>
              <w:rPr>
                <w:rFonts w:cs="宋体"/>
                <w:color w:val="auto"/>
                <w:szCs w:val="21"/>
              </w:rPr>
            </w:pPr>
          </w:p>
        </w:tc>
        <w:tc>
          <w:tcPr>
            <w:tcW w:w="426" w:type="pct"/>
            <w:vAlign w:val="center"/>
          </w:tcPr>
          <w:p w14:paraId="558B71F9">
            <w:pPr>
              <w:keepNext/>
              <w:spacing w:line="440" w:lineRule="exact"/>
              <w:jc w:val="center"/>
              <w:rPr>
                <w:rFonts w:cs="宋体"/>
                <w:color w:val="auto"/>
                <w:szCs w:val="21"/>
              </w:rPr>
            </w:pPr>
          </w:p>
        </w:tc>
        <w:tc>
          <w:tcPr>
            <w:tcW w:w="745" w:type="pct"/>
            <w:vAlign w:val="center"/>
          </w:tcPr>
          <w:p w14:paraId="2A0B0764">
            <w:pPr>
              <w:keepNext/>
              <w:spacing w:line="440" w:lineRule="exact"/>
              <w:jc w:val="center"/>
              <w:rPr>
                <w:rFonts w:cs="宋体"/>
                <w:color w:val="auto"/>
                <w:szCs w:val="21"/>
              </w:rPr>
            </w:pPr>
          </w:p>
        </w:tc>
        <w:tc>
          <w:tcPr>
            <w:tcW w:w="781" w:type="pct"/>
            <w:vAlign w:val="center"/>
          </w:tcPr>
          <w:p w14:paraId="18CAFECC">
            <w:pPr>
              <w:keepNext/>
              <w:spacing w:line="440" w:lineRule="exact"/>
              <w:jc w:val="center"/>
              <w:rPr>
                <w:rFonts w:cs="宋体"/>
                <w:color w:val="auto"/>
                <w:szCs w:val="21"/>
              </w:rPr>
            </w:pPr>
          </w:p>
        </w:tc>
        <w:tc>
          <w:tcPr>
            <w:tcW w:w="938" w:type="pct"/>
            <w:vAlign w:val="center"/>
          </w:tcPr>
          <w:p w14:paraId="54976321">
            <w:pPr>
              <w:keepNext/>
              <w:spacing w:line="440" w:lineRule="exact"/>
              <w:jc w:val="center"/>
              <w:rPr>
                <w:rFonts w:cs="宋体"/>
                <w:color w:val="auto"/>
                <w:szCs w:val="21"/>
              </w:rPr>
            </w:pPr>
          </w:p>
        </w:tc>
      </w:tr>
      <w:tr w14:paraId="0CA61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5DF69619">
            <w:pPr>
              <w:keepNext/>
              <w:spacing w:line="440" w:lineRule="exact"/>
              <w:jc w:val="center"/>
              <w:rPr>
                <w:rFonts w:cs="宋体"/>
                <w:color w:val="auto"/>
                <w:szCs w:val="21"/>
              </w:rPr>
            </w:pPr>
          </w:p>
        </w:tc>
        <w:tc>
          <w:tcPr>
            <w:tcW w:w="1094" w:type="pct"/>
            <w:vAlign w:val="center"/>
          </w:tcPr>
          <w:p w14:paraId="5FF5A383">
            <w:pPr>
              <w:keepNext/>
              <w:spacing w:line="440" w:lineRule="exact"/>
              <w:jc w:val="center"/>
              <w:rPr>
                <w:rFonts w:cs="宋体"/>
                <w:color w:val="auto"/>
                <w:szCs w:val="21"/>
              </w:rPr>
            </w:pPr>
          </w:p>
        </w:tc>
        <w:tc>
          <w:tcPr>
            <w:tcW w:w="468" w:type="pct"/>
            <w:vAlign w:val="center"/>
          </w:tcPr>
          <w:p w14:paraId="3640170B">
            <w:pPr>
              <w:keepNext/>
              <w:spacing w:line="440" w:lineRule="exact"/>
              <w:jc w:val="center"/>
              <w:rPr>
                <w:rFonts w:cs="宋体"/>
                <w:color w:val="auto"/>
                <w:szCs w:val="21"/>
              </w:rPr>
            </w:pPr>
          </w:p>
        </w:tc>
        <w:tc>
          <w:tcPr>
            <w:tcW w:w="426" w:type="pct"/>
            <w:vAlign w:val="center"/>
          </w:tcPr>
          <w:p w14:paraId="4F84F43B">
            <w:pPr>
              <w:keepNext/>
              <w:spacing w:line="440" w:lineRule="exact"/>
              <w:jc w:val="center"/>
              <w:rPr>
                <w:rFonts w:cs="宋体"/>
                <w:color w:val="auto"/>
                <w:szCs w:val="21"/>
              </w:rPr>
            </w:pPr>
          </w:p>
        </w:tc>
        <w:tc>
          <w:tcPr>
            <w:tcW w:w="745" w:type="pct"/>
            <w:vAlign w:val="center"/>
          </w:tcPr>
          <w:p w14:paraId="01856406">
            <w:pPr>
              <w:keepNext/>
              <w:spacing w:line="440" w:lineRule="exact"/>
              <w:jc w:val="center"/>
              <w:rPr>
                <w:rFonts w:cs="宋体"/>
                <w:color w:val="auto"/>
                <w:szCs w:val="21"/>
              </w:rPr>
            </w:pPr>
          </w:p>
        </w:tc>
        <w:tc>
          <w:tcPr>
            <w:tcW w:w="781" w:type="pct"/>
            <w:vAlign w:val="center"/>
          </w:tcPr>
          <w:p w14:paraId="583ACE72">
            <w:pPr>
              <w:keepNext/>
              <w:spacing w:line="440" w:lineRule="exact"/>
              <w:jc w:val="center"/>
              <w:rPr>
                <w:rFonts w:cs="宋体"/>
                <w:color w:val="auto"/>
                <w:szCs w:val="21"/>
              </w:rPr>
            </w:pPr>
          </w:p>
        </w:tc>
        <w:tc>
          <w:tcPr>
            <w:tcW w:w="938" w:type="pct"/>
            <w:vAlign w:val="center"/>
          </w:tcPr>
          <w:p w14:paraId="65C30C2A">
            <w:pPr>
              <w:keepNext/>
              <w:spacing w:line="440" w:lineRule="exact"/>
              <w:jc w:val="center"/>
              <w:rPr>
                <w:rFonts w:cs="宋体"/>
                <w:color w:val="auto"/>
                <w:szCs w:val="21"/>
              </w:rPr>
            </w:pPr>
          </w:p>
        </w:tc>
      </w:tr>
      <w:tr w14:paraId="6BE28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C2CCF20">
            <w:pPr>
              <w:keepNext/>
              <w:spacing w:line="440" w:lineRule="exact"/>
              <w:jc w:val="center"/>
              <w:rPr>
                <w:rFonts w:cs="宋体"/>
                <w:color w:val="auto"/>
                <w:szCs w:val="21"/>
              </w:rPr>
            </w:pPr>
          </w:p>
        </w:tc>
        <w:tc>
          <w:tcPr>
            <w:tcW w:w="1094" w:type="pct"/>
            <w:tcBorders>
              <w:bottom w:val="single" w:color="auto" w:sz="12" w:space="0"/>
            </w:tcBorders>
            <w:vAlign w:val="center"/>
          </w:tcPr>
          <w:p w14:paraId="6C89483D">
            <w:pPr>
              <w:keepNext/>
              <w:spacing w:line="440" w:lineRule="exact"/>
              <w:jc w:val="center"/>
              <w:rPr>
                <w:rFonts w:cs="宋体"/>
                <w:color w:val="auto"/>
                <w:szCs w:val="21"/>
              </w:rPr>
            </w:pPr>
          </w:p>
        </w:tc>
        <w:tc>
          <w:tcPr>
            <w:tcW w:w="468" w:type="pct"/>
            <w:tcBorders>
              <w:bottom w:val="single" w:color="auto" w:sz="12" w:space="0"/>
            </w:tcBorders>
            <w:vAlign w:val="center"/>
          </w:tcPr>
          <w:p w14:paraId="47FF101F">
            <w:pPr>
              <w:keepNext/>
              <w:spacing w:line="440" w:lineRule="exact"/>
              <w:jc w:val="center"/>
              <w:rPr>
                <w:rFonts w:cs="宋体"/>
                <w:color w:val="auto"/>
                <w:szCs w:val="21"/>
              </w:rPr>
            </w:pPr>
          </w:p>
        </w:tc>
        <w:tc>
          <w:tcPr>
            <w:tcW w:w="426" w:type="pct"/>
            <w:tcBorders>
              <w:bottom w:val="single" w:color="auto" w:sz="12" w:space="0"/>
            </w:tcBorders>
            <w:vAlign w:val="center"/>
          </w:tcPr>
          <w:p w14:paraId="53B9D695">
            <w:pPr>
              <w:keepNext/>
              <w:spacing w:line="440" w:lineRule="exact"/>
              <w:jc w:val="center"/>
              <w:rPr>
                <w:rFonts w:cs="宋体"/>
                <w:color w:val="auto"/>
                <w:szCs w:val="21"/>
              </w:rPr>
            </w:pPr>
          </w:p>
        </w:tc>
        <w:tc>
          <w:tcPr>
            <w:tcW w:w="745" w:type="pct"/>
            <w:tcBorders>
              <w:bottom w:val="single" w:color="auto" w:sz="12" w:space="0"/>
            </w:tcBorders>
            <w:vAlign w:val="center"/>
          </w:tcPr>
          <w:p w14:paraId="33F7D150">
            <w:pPr>
              <w:keepNext/>
              <w:spacing w:line="440" w:lineRule="exact"/>
              <w:jc w:val="center"/>
              <w:rPr>
                <w:rFonts w:cs="宋体"/>
                <w:color w:val="auto"/>
                <w:szCs w:val="21"/>
              </w:rPr>
            </w:pPr>
          </w:p>
        </w:tc>
        <w:tc>
          <w:tcPr>
            <w:tcW w:w="781" w:type="pct"/>
            <w:tcBorders>
              <w:bottom w:val="single" w:color="auto" w:sz="12" w:space="0"/>
            </w:tcBorders>
            <w:vAlign w:val="center"/>
          </w:tcPr>
          <w:p w14:paraId="06BA8710">
            <w:pPr>
              <w:keepNext/>
              <w:spacing w:line="440" w:lineRule="exact"/>
              <w:jc w:val="center"/>
              <w:rPr>
                <w:rFonts w:cs="宋体"/>
                <w:color w:val="auto"/>
                <w:szCs w:val="21"/>
              </w:rPr>
            </w:pPr>
          </w:p>
        </w:tc>
        <w:tc>
          <w:tcPr>
            <w:tcW w:w="938" w:type="pct"/>
            <w:tcBorders>
              <w:bottom w:val="single" w:color="auto" w:sz="12" w:space="0"/>
            </w:tcBorders>
            <w:vAlign w:val="center"/>
          </w:tcPr>
          <w:p w14:paraId="2EF95563">
            <w:pPr>
              <w:keepNext/>
              <w:spacing w:line="440" w:lineRule="exact"/>
              <w:jc w:val="center"/>
              <w:rPr>
                <w:rFonts w:cs="宋体"/>
                <w:color w:val="auto"/>
                <w:szCs w:val="21"/>
              </w:rPr>
            </w:pPr>
          </w:p>
        </w:tc>
      </w:tr>
    </w:tbl>
    <w:p w14:paraId="5CD203F4">
      <w:pPr>
        <w:spacing w:before="156" w:beforeLines="50" w:after="156" w:afterLines="50" w:line="440" w:lineRule="exact"/>
        <w:jc w:val="center"/>
        <w:rPr>
          <w:rFonts w:cs="宋体"/>
          <w:color w:val="auto"/>
          <w:szCs w:val="21"/>
        </w:rPr>
      </w:pPr>
      <w:r>
        <w:rPr>
          <w:rFonts w:hint="eastAsia" w:cs="宋体"/>
          <w:color w:val="auto"/>
          <w:szCs w:val="21"/>
        </w:rPr>
        <w:t>12-2：工程设备暂估价表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3"/>
        <w:gridCol w:w="1942"/>
        <w:gridCol w:w="831"/>
        <w:gridCol w:w="756"/>
        <w:gridCol w:w="1323"/>
        <w:gridCol w:w="1386"/>
        <w:gridCol w:w="1665"/>
      </w:tblGrid>
      <w:tr w14:paraId="7BBB5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1B2F3E4">
            <w:pPr>
              <w:keepNext/>
              <w:spacing w:line="440" w:lineRule="exact"/>
              <w:jc w:val="center"/>
              <w:rPr>
                <w:rFonts w:cs="宋体"/>
                <w:color w:val="auto"/>
                <w:szCs w:val="21"/>
              </w:rPr>
            </w:pPr>
            <w:r>
              <w:rPr>
                <w:rFonts w:hint="eastAsia" w:cs="宋体"/>
                <w:color w:val="auto"/>
                <w:szCs w:val="21"/>
              </w:rPr>
              <w:t>序号</w:t>
            </w:r>
          </w:p>
        </w:tc>
        <w:tc>
          <w:tcPr>
            <w:tcW w:w="1094" w:type="pct"/>
            <w:tcBorders>
              <w:top w:val="single" w:color="auto" w:sz="12" w:space="0"/>
              <w:bottom w:val="double" w:color="auto" w:sz="6" w:space="0"/>
            </w:tcBorders>
            <w:vAlign w:val="center"/>
          </w:tcPr>
          <w:p w14:paraId="6AB7E505">
            <w:pPr>
              <w:keepNext/>
              <w:spacing w:line="440" w:lineRule="exact"/>
              <w:jc w:val="center"/>
              <w:rPr>
                <w:rFonts w:cs="宋体"/>
                <w:color w:val="auto"/>
                <w:szCs w:val="21"/>
              </w:rPr>
            </w:pPr>
            <w:r>
              <w:rPr>
                <w:rFonts w:hint="eastAsia" w:cs="宋体"/>
                <w:color w:val="auto"/>
                <w:szCs w:val="21"/>
              </w:rPr>
              <w:t>名称</w:t>
            </w:r>
          </w:p>
        </w:tc>
        <w:tc>
          <w:tcPr>
            <w:tcW w:w="468" w:type="pct"/>
            <w:tcBorders>
              <w:top w:val="single" w:color="auto" w:sz="12" w:space="0"/>
              <w:bottom w:val="double" w:color="auto" w:sz="6" w:space="0"/>
            </w:tcBorders>
            <w:vAlign w:val="center"/>
          </w:tcPr>
          <w:p w14:paraId="3266F24D">
            <w:pPr>
              <w:keepNext/>
              <w:spacing w:line="440" w:lineRule="exact"/>
              <w:jc w:val="center"/>
              <w:rPr>
                <w:rFonts w:cs="宋体"/>
                <w:color w:val="auto"/>
                <w:szCs w:val="21"/>
              </w:rPr>
            </w:pPr>
            <w:r>
              <w:rPr>
                <w:rFonts w:hint="eastAsia" w:cs="宋体"/>
                <w:color w:val="auto"/>
                <w:szCs w:val="21"/>
              </w:rPr>
              <w:t>单位</w:t>
            </w:r>
          </w:p>
        </w:tc>
        <w:tc>
          <w:tcPr>
            <w:tcW w:w="426" w:type="pct"/>
            <w:tcBorders>
              <w:top w:val="single" w:color="auto" w:sz="12" w:space="0"/>
              <w:bottom w:val="double" w:color="auto" w:sz="6" w:space="0"/>
            </w:tcBorders>
            <w:vAlign w:val="center"/>
          </w:tcPr>
          <w:p w14:paraId="573A7960">
            <w:pPr>
              <w:keepNext/>
              <w:spacing w:line="440" w:lineRule="exact"/>
              <w:jc w:val="center"/>
              <w:rPr>
                <w:rFonts w:cs="宋体"/>
                <w:color w:val="auto"/>
                <w:szCs w:val="21"/>
              </w:rPr>
            </w:pPr>
            <w:r>
              <w:rPr>
                <w:rFonts w:hint="eastAsia" w:cs="宋体"/>
                <w:color w:val="auto"/>
                <w:szCs w:val="21"/>
              </w:rPr>
              <w:t>数量</w:t>
            </w:r>
          </w:p>
        </w:tc>
        <w:tc>
          <w:tcPr>
            <w:tcW w:w="745" w:type="pct"/>
            <w:tcBorders>
              <w:top w:val="single" w:color="auto" w:sz="12" w:space="0"/>
              <w:bottom w:val="double" w:color="auto" w:sz="6" w:space="0"/>
            </w:tcBorders>
            <w:vAlign w:val="center"/>
          </w:tcPr>
          <w:p w14:paraId="40EACECE">
            <w:pPr>
              <w:keepNext/>
              <w:spacing w:line="440" w:lineRule="exact"/>
              <w:jc w:val="center"/>
              <w:rPr>
                <w:rFonts w:cs="宋体"/>
                <w:color w:val="auto"/>
                <w:szCs w:val="21"/>
              </w:rPr>
            </w:pPr>
            <w:r>
              <w:rPr>
                <w:rFonts w:hint="eastAsia" w:cs="宋体"/>
                <w:color w:val="auto"/>
                <w:szCs w:val="21"/>
              </w:rPr>
              <w:t>单价（元）</w:t>
            </w:r>
          </w:p>
        </w:tc>
        <w:tc>
          <w:tcPr>
            <w:tcW w:w="781" w:type="pct"/>
            <w:tcBorders>
              <w:top w:val="single" w:color="auto" w:sz="12" w:space="0"/>
              <w:bottom w:val="double" w:color="auto" w:sz="6" w:space="0"/>
            </w:tcBorders>
            <w:vAlign w:val="center"/>
          </w:tcPr>
          <w:p w14:paraId="6CDC89DF">
            <w:pPr>
              <w:keepNext/>
              <w:spacing w:line="440" w:lineRule="exact"/>
              <w:jc w:val="center"/>
              <w:rPr>
                <w:rFonts w:cs="宋体"/>
                <w:color w:val="auto"/>
                <w:szCs w:val="21"/>
              </w:rPr>
            </w:pPr>
            <w:r>
              <w:rPr>
                <w:rFonts w:hint="eastAsia" w:cs="宋体"/>
                <w:color w:val="auto"/>
                <w:szCs w:val="21"/>
              </w:rPr>
              <w:t>合价（元）</w:t>
            </w:r>
          </w:p>
        </w:tc>
        <w:tc>
          <w:tcPr>
            <w:tcW w:w="938" w:type="pct"/>
            <w:tcBorders>
              <w:top w:val="single" w:color="auto" w:sz="12" w:space="0"/>
              <w:bottom w:val="double" w:color="auto" w:sz="6" w:space="0"/>
            </w:tcBorders>
            <w:vAlign w:val="center"/>
          </w:tcPr>
          <w:p w14:paraId="69E3E80C">
            <w:pPr>
              <w:keepNext/>
              <w:spacing w:line="440" w:lineRule="exact"/>
              <w:jc w:val="center"/>
              <w:rPr>
                <w:rFonts w:cs="宋体"/>
                <w:color w:val="auto"/>
                <w:szCs w:val="21"/>
              </w:rPr>
            </w:pPr>
            <w:r>
              <w:rPr>
                <w:rFonts w:hint="eastAsia" w:cs="宋体"/>
                <w:color w:val="auto"/>
                <w:szCs w:val="21"/>
              </w:rPr>
              <w:t>备注</w:t>
            </w:r>
          </w:p>
        </w:tc>
      </w:tr>
      <w:tr w14:paraId="4AE75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58790ADB">
            <w:pPr>
              <w:keepNext/>
              <w:spacing w:line="440" w:lineRule="exact"/>
              <w:jc w:val="center"/>
              <w:rPr>
                <w:rFonts w:cs="宋体"/>
                <w:color w:val="auto"/>
                <w:szCs w:val="21"/>
              </w:rPr>
            </w:pPr>
          </w:p>
        </w:tc>
        <w:tc>
          <w:tcPr>
            <w:tcW w:w="1094" w:type="pct"/>
            <w:tcBorders>
              <w:top w:val="double" w:color="auto" w:sz="6" w:space="0"/>
            </w:tcBorders>
            <w:vAlign w:val="center"/>
          </w:tcPr>
          <w:p w14:paraId="042AA03C">
            <w:pPr>
              <w:keepNext/>
              <w:spacing w:line="440" w:lineRule="exact"/>
              <w:jc w:val="center"/>
              <w:rPr>
                <w:rFonts w:cs="宋体"/>
                <w:color w:val="auto"/>
                <w:szCs w:val="21"/>
              </w:rPr>
            </w:pPr>
          </w:p>
        </w:tc>
        <w:tc>
          <w:tcPr>
            <w:tcW w:w="468" w:type="pct"/>
            <w:tcBorders>
              <w:top w:val="double" w:color="auto" w:sz="6" w:space="0"/>
            </w:tcBorders>
            <w:vAlign w:val="center"/>
          </w:tcPr>
          <w:p w14:paraId="7CFADA06">
            <w:pPr>
              <w:keepNext/>
              <w:spacing w:line="440" w:lineRule="exact"/>
              <w:jc w:val="center"/>
              <w:rPr>
                <w:rFonts w:cs="宋体"/>
                <w:color w:val="auto"/>
                <w:szCs w:val="21"/>
              </w:rPr>
            </w:pPr>
          </w:p>
        </w:tc>
        <w:tc>
          <w:tcPr>
            <w:tcW w:w="426" w:type="pct"/>
            <w:tcBorders>
              <w:top w:val="double" w:color="auto" w:sz="6" w:space="0"/>
            </w:tcBorders>
            <w:vAlign w:val="center"/>
          </w:tcPr>
          <w:p w14:paraId="251181CD">
            <w:pPr>
              <w:keepNext/>
              <w:spacing w:line="440" w:lineRule="exact"/>
              <w:jc w:val="center"/>
              <w:rPr>
                <w:rFonts w:cs="宋体"/>
                <w:color w:val="auto"/>
                <w:szCs w:val="21"/>
              </w:rPr>
            </w:pPr>
          </w:p>
        </w:tc>
        <w:tc>
          <w:tcPr>
            <w:tcW w:w="745" w:type="pct"/>
            <w:tcBorders>
              <w:top w:val="double" w:color="auto" w:sz="6" w:space="0"/>
            </w:tcBorders>
            <w:vAlign w:val="center"/>
          </w:tcPr>
          <w:p w14:paraId="5E963D30">
            <w:pPr>
              <w:keepNext/>
              <w:spacing w:line="440" w:lineRule="exact"/>
              <w:jc w:val="center"/>
              <w:rPr>
                <w:rFonts w:cs="宋体"/>
                <w:color w:val="auto"/>
                <w:szCs w:val="21"/>
              </w:rPr>
            </w:pPr>
          </w:p>
        </w:tc>
        <w:tc>
          <w:tcPr>
            <w:tcW w:w="781" w:type="pct"/>
            <w:tcBorders>
              <w:top w:val="double" w:color="auto" w:sz="6" w:space="0"/>
            </w:tcBorders>
            <w:vAlign w:val="center"/>
          </w:tcPr>
          <w:p w14:paraId="0FAC1C25">
            <w:pPr>
              <w:keepNext/>
              <w:spacing w:line="440" w:lineRule="exact"/>
              <w:jc w:val="center"/>
              <w:rPr>
                <w:rFonts w:cs="宋体"/>
                <w:color w:val="auto"/>
                <w:szCs w:val="21"/>
              </w:rPr>
            </w:pPr>
          </w:p>
        </w:tc>
        <w:tc>
          <w:tcPr>
            <w:tcW w:w="938" w:type="pct"/>
            <w:tcBorders>
              <w:top w:val="double" w:color="auto" w:sz="6" w:space="0"/>
            </w:tcBorders>
            <w:vAlign w:val="center"/>
          </w:tcPr>
          <w:p w14:paraId="288AB124">
            <w:pPr>
              <w:keepNext/>
              <w:spacing w:line="440" w:lineRule="exact"/>
              <w:jc w:val="center"/>
              <w:rPr>
                <w:rFonts w:cs="宋体"/>
                <w:color w:val="auto"/>
                <w:szCs w:val="21"/>
              </w:rPr>
            </w:pPr>
          </w:p>
        </w:tc>
      </w:tr>
      <w:tr w14:paraId="3DF11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133B85A9">
            <w:pPr>
              <w:keepNext/>
              <w:spacing w:line="440" w:lineRule="exact"/>
              <w:jc w:val="center"/>
              <w:rPr>
                <w:rFonts w:cs="宋体"/>
                <w:color w:val="auto"/>
                <w:szCs w:val="21"/>
              </w:rPr>
            </w:pPr>
          </w:p>
        </w:tc>
        <w:tc>
          <w:tcPr>
            <w:tcW w:w="1094" w:type="pct"/>
            <w:tcBorders>
              <w:top w:val="nil"/>
            </w:tcBorders>
            <w:vAlign w:val="center"/>
          </w:tcPr>
          <w:p w14:paraId="2BE9A82E">
            <w:pPr>
              <w:keepNext/>
              <w:spacing w:line="440" w:lineRule="exact"/>
              <w:jc w:val="center"/>
              <w:rPr>
                <w:rFonts w:cs="宋体"/>
                <w:color w:val="auto"/>
                <w:szCs w:val="21"/>
              </w:rPr>
            </w:pPr>
          </w:p>
        </w:tc>
        <w:tc>
          <w:tcPr>
            <w:tcW w:w="468" w:type="pct"/>
            <w:tcBorders>
              <w:top w:val="nil"/>
            </w:tcBorders>
            <w:vAlign w:val="center"/>
          </w:tcPr>
          <w:p w14:paraId="191D6283">
            <w:pPr>
              <w:keepNext/>
              <w:spacing w:line="440" w:lineRule="exact"/>
              <w:jc w:val="center"/>
              <w:rPr>
                <w:rFonts w:cs="宋体"/>
                <w:color w:val="auto"/>
                <w:szCs w:val="21"/>
              </w:rPr>
            </w:pPr>
          </w:p>
        </w:tc>
        <w:tc>
          <w:tcPr>
            <w:tcW w:w="426" w:type="pct"/>
            <w:tcBorders>
              <w:top w:val="nil"/>
            </w:tcBorders>
            <w:vAlign w:val="center"/>
          </w:tcPr>
          <w:p w14:paraId="278C53C1">
            <w:pPr>
              <w:keepNext/>
              <w:spacing w:line="440" w:lineRule="exact"/>
              <w:jc w:val="center"/>
              <w:rPr>
                <w:rFonts w:cs="宋体"/>
                <w:color w:val="auto"/>
                <w:szCs w:val="21"/>
              </w:rPr>
            </w:pPr>
          </w:p>
        </w:tc>
        <w:tc>
          <w:tcPr>
            <w:tcW w:w="745" w:type="pct"/>
            <w:tcBorders>
              <w:top w:val="nil"/>
            </w:tcBorders>
            <w:vAlign w:val="center"/>
          </w:tcPr>
          <w:p w14:paraId="27F29C75">
            <w:pPr>
              <w:keepNext/>
              <w:spacing w:line="440" w:lineRule="exact"/>
              <w:jc w:val="center"/>
              <w:rPr>
                <w:rFonts w:cs="宋体"/>
                <w:color w:val="auto"/>
                <w:szCs w:val="21"/>
              </w:rPr>
            </w:pPr>
          </w:p>
        </w:tc>
        <w:tc>
          <w:tcPr>
            <w:tcW w:w="781" w:type="pct"/>
            <w:tcBorders>
              <w:top w:val="nil"/>
            </w:tcBorders>
            <w:vAlign w:val="center"/>
          </w:tcPr>
          <w:p w14:paraId="3D4EEFFA">
            <w:pPr>
              <w:keepNext/>
              <w:spacing w:line="440" w:lineRule="exact"/>
              <w:jc w:val="center"/>
              <w:rPr>
                <w:rFonts w:cs="宋体"/>
                <w:color w:val="auto"/>
                <w:szCs w:val="21"/>
              </w:rPr>
            </w:pPr>
          </w:p>
        </w:tc>
        <w:tc>
          <w:tcPr>
            <w:tcW w:w="938" w:type="pct"/>
            <w:tcBorders>
              <w:top w:val="nil"/>
            </w:tcBorders>
            <w:vAlign w:val="center"/>
          </w:tcPr>
          <w:p w14:paraId="37DE2279">
            <w:pPr>
              <w:keepNext/>
              <w:spacing w:line="440" w:lineRule="exact"/>
              <w:jc w:val="center"/>
              <w:rPr>
                <w:rFonts w:cs="宋体"/>
                <w:color w:val="auto"/>
                <w:szCs w:val="21"/>
              </w:rPr>
            </w:pPr>
          </w:p>
        </w:tc>
      </w:tr>
      <w:tr w14:paraId="0B8E2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3DF426CB">
            <w:pPr>
              <w:keepNext/>
              <w:spacing w:line="440" w:lineRule="exact"/>
              <w:jc w:val="center"/>
              <w:rPr>
                <w:rFonts w:cs="宋体"/>
                <w:color w:val="auto"/>
                <w:szCs w:val="21"/>
              </w:rPr>
            </w:pPr>
          </w:p>
        </w:tc>
        <w:tc>
          <w:tcPr>
            <w:tcW w:w="1094" w:type="pct"/>
            <w:vAlign w:val="center"/>
          </w:tcPr>
          <w:p w14:paraId="4333F34B">
            <w:pPr>
              <w:keepNext/>
              <w:spacing w:line="440" w:lineRule="exact"/>
              <w:jc w:val="center"/>
              <w:rPr>
                <w:rFonts w:cs="宋体"/>
                <w:color w:val="auto"/>
                <w:szCs w:val="21"/>
              </w:rPr>
            </w:pPr>
          </w:p>
        </w:tc>
        <w:tc>
          <w:tcPr>
            <w:tcW w:w="468" w:type="pct"/>
            <w:vAlign w:val="center"/>
          </w:tcPr>
          <w:p w14:paraId="60364904">
            <w:pPr>
              <w:keepNext/>
              <w:spacing w:line="440" w:lineRule="exact"/>
              <w:jc w:val="center"/>
              <w:rPr>
                <w:rFonts w:cs="宋体"/>
                <w:color w:val="auto"/>
                <w:szCs w:val="21"/>
              </w:rPr>
            </w:pPr>
          </w:p>
        </w:tc>
        <w:tc>
          <w:tcPr>
            <w:tcW w:w="426" w:type="pct"/>
            <w:vAlign w:val="center"/>
          </w:tcPr>
          <w:p w14:paraId="20953DDA">
            <w:pPr>
              <w:keepNext/>
              <w:spacing w:line="440" w:lineRule="exact"/>
              <w:jc w:val="center"/>
              <w:rPr>
                <w:rFonts w:cs="宋体"/>
                <w:color w:val="auto"/>
                <w:szCs w:val="21"/>
              </w:rPr>
            </w:pPr>
          </w:p>
        </w:tc>
        <w:tc>
          <w:tcPr>
            <w:tcW w:w="745" w:type="pct"/>
            <w:vAlign w:val="center"/>
          </w:tcPr>
          <w:p w14:paraId="6E01BB0A">
            <w:pPr>
              <w:keepNext/>
              <w:spacing w:line="440" w:lineRule="exact"/>
              <w:jc w:val="center"/>
              <w:rPr>
                <w:rFonts w:cs="宋体"/>
                <w:color w:val="auto"/>
                <w:szCs w:val="21"/>
              </w:rPr>
            </w:pPr>
          </w:p>
        </w:tc>
        <w:tc>
          <w:tcPr>
            <w:tcW w:w="781" w:type="pct"/>
            <w:vAlign w:val="center"/>
          </w:tcPr>
          <w:p w14:paraId="05BB18D6">
            <w:pPr>
              <w:keepNext/>
              <w:spacing w:line="440" w:lineRule="exact"/>
              <w:jc w:val="center"/>
              <w:rPr>
                <w:rFonts w:cs="宋体"/>
                <w:color w:val="auto"/>
                <w:szCs w:val="21"/>
              </w:rPr>
            </w:pPr>
          </w:p>
        </w:tc>
        <w:tc>
          <w:tcPr>
            <w:tcW w:w="938" w:type="pct"/>
            <w:vAlign w:val="center"/>
          </w:tcPr>
          <w:p w14:paraId="1E4B9079">
            <w:pPr>
              <w:keepNext/>
              <w:spacing w:line="440" w:lineRule="exact"/>
              <w:jc w:val="center"/>
              <w:rPr>
                <w:rFonts w:cs="宋体"/>
                <w:color w:val="auto"/>
                <w:szCs w:val="21"/>
              </w:rPr>
            </w:pPr>
          </w:p>
        </w:tc>
      </w:tr>
      <w:tr w14:paraId="795E1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6FAF85E9">
            <w:pPr>
              <w:keepNext/>
              <w:spacing w:line="440" w:lineRule="exact"/>
              <w:jc w:val="center"/>
              <w:rPr>
                <w:rFonts w:cs="宋体"/>
                <w:color w:val="auto"/>
                <w:szCs w:val="21"/>
              </w:rPr>
            </w:pPr>
          </w:p>
        </w:tc>
        <w:tc>
          <w:tcPr>
            <w:tcW w:w="1094" w:type="pct"/>
            <w:tcBorders>
              <w:bottom w:val="single" w:color="auto" w:sz="12" w:space="0"/>
            </w:tcBorders>
            <w:vAlign w:val="center"/>
          </w:tcPr>
          <w:p w14:paraId="099727C9">
            <w:pPr>
              <w:keepNext/>
              <w:spacing w:line="440" w:lineRule="exact"/>
              <w:jc w:val="center"/>
              <w:rPr>
                <w:rFonts w:cs="宋体"/>
                <w:color w:val="auto"/>
                <w:szCs w:val="21"/>
              </w:rPr>
            </w:pPr>
          </w:p>
        </w:tc>
        <w:tc>
          <w:tcPr>
            <w:tcW w:w="468" w:type="pct"/>
            <w:tcBorders>
              <w:bottom w:val="single" w:color="auto" w:sz="12" w:space="0"/>
            </w:tcBorders>
            <w:vAlign w:val="center"/>
          </w:tcPr>
          <w:p w14:paraId="4EF1F01E">
            <w:pPr>
              <w:keepNext/>
              <w:spacing w:line="440" w:lineRule="exact"/>
              <w:jc w:val="center"/>
              <w:rPr>
                <w:rFonts w:cs="宋体"/>
                <w:color w:val="auto"/>
                <w:szCs w:val="21"/>
              </w:rPr>
            </w:pPr>
          </w:p>
        </w:tc>
        <w:tc>
          <w:tcPr>
            <w:tcW w:w="426" w:type="pct"/>
            <w:tcBorders>
              <w:bottom w:val="single" w:color="auto" w:sz="12" w:space="0"/>
            </w:tcBorders>
            <w:vAlign w:val="center"/>
          </w:tcPr>
          <w:p w14:paraId="2421097A">
            <w:pPr>
              <w:keepNext/>
              <w:spacing w:line="440" w:lineRule="exact"/>
              <w:jc w:val="center"/>
              <w:rPr>
                <w:rFonts w:cs="宋体"/>
                <w:color w:val="auto"/>
                <w:szCs w:val="21"/>
              </w:rPr>
            </w:pPr>
          </w:p>
        </w:tc>
        <w:tc>
          <w:tcPr>
            <w:tcW w:w="745" w:type="pct"/>
            <w:tcBorders>
              <w:bottom w:val="single" w:color="auto" w:sz="12" w:space="0"/>
            </w:tcBorders>
            <w:vAlign w:val="center"/>
          </w:tcPr>
          <w:p w14:paraId="3CB58028">
            <w:pPr>
              <w:keepNext/>
              <w:spacing w:line="440" w:lineRule="exact"/>
              <w:jc w:val="center"/>
              <w:rPr>
                <w:rFonts w:cs="宋体"/>
                <w:color w:val="auto"/>
                <w:szCs w:val="21"/>
              </w:rPr>
            </w:pPr>
          </w:p>
        </w:tc>
        <w:tc>
          <w:tcPr>
            <w:tcW w:w="781" w:type="pct"/>
            <w:tcBorders>
              <w:bottom w:val="single" w:color="auto" w:sz="12" w:space="0"/>
            </w:tcBorders>
            <w:vAlign w:val="center"/>
          </w:tcPr>
          <w:p w14:paraId="7E736197">
            <w:pPr>
              <w:keepNext/>
              <w:spacing w:line="440" w:lineRule="exact"/>
              <w:jc w:val="center"/>
              <w:rPr>
                <w:rFonts w:cs="宋体"/>
                <w:color w:val="auto"/>
                <w:szCs w:val="21"/>
              </w:rPr>
            </w:pPr>
          </w:p>
        </w:tc>
        <w:tc>
          <w:tcPr>
            <w:tcW w:w="938" w:type="pct"/>
            <w:tcBorders>
              <w:bottom w:val="single" w:color="auto" w:sz="12" w:space="0"/>
            </w:tcBorders>
            <w:vAlign w:val="center"/>
          </w:tcPr>
          <w:p w14:paraId="7C526509">
            <w:pPr>
              <w:keepNext/>
              <w:spacing w:line="440" w:lineRule="exact"/>
              <w:jc w:val="center"/>
              <w:rPr>
                <w:rFonts w:cs="宋体"/>
                <w:color w:val="auto"/>
                <w:szCs w:val="21"/>
              </w:rPr>
            </w:pPr>
          </w:p>
        </w:tc>
      </w:tr>
    </w:tbl>
    <w:p w14:paraId="634FA04C">
      <w:pPr>
        <w:spacing w:before="156" w:beforeLines="50" w:after="156" w:afterLines="50" w:line="440" w:lineRule="exact"/>
        <w:jc w:val="center"/>
        <w:rPr>
          <w:rFonts w:cs="宋体"/>
          <w:color w:val="auto"/>
          <w:szCs w:val="21"/>
        </w:rPr>
      </w:pPr>
      <w:r>
        <w:rPr>
          <w:rFonts w:hint="eastAsia" w:cs="宋体"/>
          <w:color w:val="auto"/>
          <w:szCs w:val="21"/>
        </w:rPr>
        <w:t>12-3：专业工程暂估价表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3"/>
        <w:gridCol w:w="1942"/>
        <w:gridCol w:w="831"/>
        <w:gridCol w:w="756"/>
        <w:gridCol w:w="1323"/>
        <w:gridCol w:w="1386"/>
        <w:gridCol w:w="1665"/>
      </w:tblGrid>
      <w:tr w14:paraId="72B94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28656618">
            <w:pPr>
              <w:keepNext/>
              <w:spacing w:line="440" w:lineRule="exact"/>
              <w:jc w:val="center"/>
              <w:rPr>
                <w:rFonts w:cs="宋体"/>
                <w:color w:val="auto"/>
                <w:szCs w:val="21"/>
              </w:rPr>
            </w:pPr>
            <w:r>
              <w:rPr>
                <w:rFonts w:hint="eastAsia" w:cs="宋体"/>
                <w:color w:val="auto"/>
                <w:szCs w:val="21"/>
              </w:rPr>
              <w:t>序号</w:t>
            </w:r>
          </w:p>
        </w:tc>
        <w:tc>
          <w:tcPr>
            <w:tcW w:w="1094" w:type="pct"/>
            <w:tcBorders>
              <w:top w:val="single" w:color="auto" w:sz="12" w:space="0"/>
              <w:bottom w:val="double" w:color="auto" w:sz="6" w:space="0"/>
            </w:tcBorders>
            <w:vAlign w:val="center"/>
          </w:tcPr>
          <w:p w14:paraId="32A48B5B">
            <w:pPr>
              <w:keepNext/>
              <w:spacing w:line="440" w:lineRule="exact"/>
              <w:jc w:val="center"/>
              <w:rPr>
                <w:rFonts w:cs="宋体"/>
                <w:color w:val="auto"/>
                <w:szCs w:val="21"/>
              </w:rPr>
            </w:pPr>
            <w:r>
              <w:rPr>
                <w:rFonts w:hint="eastAsia" w:cs="宋体"/>
                <w:color w:val="auto"/>
                <w:szCs w:val="21"/>
              </w:rPr>
              <w:t>名称</w:t>
            </w:r>
          </w:p>
        </w:tc>
        <w:tc>
          <w:tcPr>
            <w:tcW w:w="468" w:type="pct"/>
            <w:tcBorders>
              <w:top w:val="single" w:color="auto" w:sz="12" w:space="0"/>
              <w:bottom w:val="double" w:color="auto" w:sz="6" w:space="0"/>
            </w:tcBorders>
            <w:vAlign w:val="center"/>
          </w:tcPr>
          <w:p w14:paraId="6A6D7A83">
            <w:pPr>
              <w:keepNext/>
              <w:spacing w:line="440" w:lineRule="exact"/>
              <w:jc w:val="center"/>
              <w:rPr>
                <w:rFonts w:cs="宋体"/>
                <w:color w:val="auto"/>
                <w:szCs w:val="21"/>
              </w:rPr>
            </w:pPr>
            <w:r>
              <w:rPr>
                <w:rFonts w:hint="eastAsia" w:cs="宋体"/>
                <w:color w:val="auto"/>
                <w:szCs w:val="21"/>
              </w:rPr>
              <w:t>单位</w:t>
            </w:r>
          </w:p>
        </w:tc>
        <w:tc>
          <w:tcPr>
            <w:tcW w:w="426" w:type="pct"/>
            <w:tcBorders>
              <w:top w:val="single" w:color="auto" w:sz="12" w:space="0"/>
              <w:bottom w:val="double" w:color="auto" w:sz="6" w:space="0"/>
            </w:tcBorders>
            <w:vAlign w:val="center"/>
          </w:tcPr>
          <w:p w14:paraId="3519B27D">
            <w:pPr>
              <w:keepNext/>
              <w:spacing w:line="440" w:lineRule="exact"/>
              <w:jc w:val="center"/>
              <w:rPr>
                <w:rFonts w:cs="宋体"/>
                <w:color w:val="auto"/>
                <w:szCs w:val="21"/>
              </w:rPr>
            </w:pPr>
            <w:r>
              <w:rPr>
                <w:rFonts w:hint="eastAsia" w:cs="宋体"/>
                <w:color w:val="auto"/>
                <w:szCs w:val="21"/>
              </w:rPr>
              <w:t>数量</w:t>
            </w:r>
          </w:p>
        </w:tc>
        <w:tc>
          <w:tcPr>
            <w:tcW w:w="745" w:type="pct"/>
            <w:tcBorders>
              <w:top w:val="single" w:color="auto" w:sz="12" w:space="0"/>
              <w:bottom w:val="double" w:color="auto" w:sz="6" w:space="0"/>
            </w:tcBorders>
            <w:vAlign w:val="center"/>
          </w:tcPr>
          <w:p w14:paraId="757FFE25">
            <w:pPr>
              <w:keepNext/>
              <w:spacing w:line="440" w:lineRule="exact"/>
              <w:jc w:val="center"/>
              <w:rPr>
                <w:rFonts w:cs="宋体"/>
                <w:color w:val="auto"/>
                <w:szCs w:val="21"/>
              </w:rPr>
            </w:pPr>
            <w:r>
              <w:rPr>
                <w:rFonts w:hint="eastAsia" w:cs="宋体"/>
                <w:color w:val="auto"/>
                <w:szCs w:val="21"/>
              </w:rPr>
              <w:t>单价（元）</w:t>
            </w:r>
          </w:p>
        </w:tc>
        <w:tc>
          <w:tcPr>
            <w:tcW w:w="781" w:type="pct"/>
            <w:tcBorders>
              <w:top w:val="single" w:color="auto" w:sz="12" w:space="0"/>
              <w:bottom w:val="double" w:color="auto" w:sz="6" w:space="0"/>
            </w:tcBorders>
            <w:vAlign w:val="center"/>
          </w:tcPr>
          <w:p w14:paraId="31AE3D25">
            <w:pPr>
              <w:keepNext/>
              <w:spacing w:line="440" w:lineRule="exact"/>
              <w:jc w:val="center"/>
              <w:rPr>
                <w:rFonts w:cs="宋体"/>
                <w:color w:val="auto"/>
                <w:szCs w:val="21"/>
              </w:rPr>
            </w:pPr>
            <w:r>
              <w:rPr>
                <w:rFonts w:hint="eastAsia" w:cs="宋体"/>
                <w:color w:val="auto"/>
                <w:szCs w:val="21"/>
              </w:rPr>
              <w:t>合价（元）</w:t>
            </w:r>
          </w:p>
        </w:tc>
        <w:tc>
          <w:tcPr>
            <w:tcW w:w="938" w:type="pct"/>
            <w:tcBorders>
              <w:top w:val="single" w:color="auto" w:sz="12" w:space="0"/>
              <w:bottom w:val="double" w:color="auto" w:sz="6" w:space="0"/>
            </w:tcBorders>
            <w:vAlign w:val="center"/>
          </w:tcPr>
          <w:p w14:paraId="055304FF">
            <w:pPr>
              <w:keepNext/>
              <w:spacing w:line="440" w:lineRule="exact"/>
              <w:jc w:val="center"/>
              <w:rPr>
                <w:rFonts w:cs="宋体"/>
                <w:color w:val="auto"/>
                <w:szCs w:val="21"/>
              </w:rPr>
            </w:pPr>
            <w:r>
              <w:rPr>
                <w:rFonts w:hint="eastAsia" w:cs="宋体"/>
                <w:color w:val="auto"/>
                <w:szCs w:val="21"/>
              </w:rPr>
              <w:t>备注</w:t>
            </w:r>
          </w:p>
        </w:tc>
      </w:tr>
      <w:tr w14:paraId="6F48D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14CA5DA3">
            <w:pPr>
              <w:keepNext/>
              <w:spacing w:line="440" w:lineRule="exact"/>
              <w:jc w:val="center"/>
              <w:rPr>
                <w:rFonts w:cs="宋体"/>
                <w:color w:val="auto"/>
                <w:szCs w:val="21"/>
              </w:rPr>
            </w:pPr>
          </w:p>
        </w:tc>
        <w:tc>
          <w:tcPr>
            <w:tcW w:w="1094" w:type="pct"/>
            <w:tcBorders>
              <w:top w:val="double" w:color="auto" w:sz="6" w:space="0"/>
            </w:tcBorders>
            <w:vAlign w:val="center"/>
          </w:tcPr>
          <w:p w14:paraId="0B59C6D0">
            <w:pPr>
              <w:keepNext/>
              <w:spacing w:line="440" w:lineRule="exact"/>
              <w:jc w:val="center"/>
              <w:rPr>
                <w:rFonts w:cs="宋体"/>
                <w:color w:val="auto"/>
                <w:szCs w:val="21"/>
              </w:rPr>
            </w:pPr>
          </w:p>
        </w:tc>
        <w:tc>
          <w:tcPr>
            <w:tcW w:w="468" w:type="pct"/>
            <w:tcBorders>
              <w:top w:val="double" w:color="auto" w:sz="6" w:space="0"/>
            </w:tcBorders>
            <w:vAlign w:val="center"/>
          </w:tcPr>
          <w:p w14:paraId="22F6F321">
            <w:pPr>
              <w:keepNext/>
              <w:spacing w:line="440" w:lineRule="exact"/>
              <w:jc w:val="center"/>
              <w:rPr>
                <w:rFonts w:cs="宋体"/>
                <w:color w:val="auto"/>
                <w:szCs w:val="21"/>
              </w:rPr>
            </w:pPr>
          </w:p>
        </w:tc>
        <w:tc>
          <w:tcPr>
            <w:tcW w:w="426" w:type="pct"/>
            <w:tcBorders>
              <w:top w:val="double" w:color="auto" w:sz="6" w:space="0"/>
            </w:tcBorders>
            <w:vAlign w:val="center"/>
          </w:tcPr>
          <w:p w14:paraId="7E6173E7">
            <w:pPr>
              <w:keepNext/>
              <w:spacing w:line="440" w:lineRule="exact"/>
              <w:jc w:val="center"/>
              <w:rPr>
                <w:rFonts w:cs="宋体"/>
                <w:color w:val="auto"/>
                <w:szCs w:val="21"/>
              </w:rPr>
            </w:pPr>
          </w:p>
        </w:tc>
        <w:tc>
          <w:tcPr>
            <w:tcW w:w="745" w:type="pct"/>
            <w:tcBorders>
              <w:top w:val="double" w:color="auto" w:sz="6" w:space="0"/>
            </w:tcBorders>
            <w:vAlign w:val="center"/>
          </w:tcPr>
          <w:p w14:paraId="0166A996">
            <w:pPr>
              <w:keepNext/>
              <w:spacing w:line="440" w:lineRule="exact"/>
              <w:jc w:val="center"/>
              <w:rPr>
                <w:rFonts w:cs="宋体"/>
                <w:color w:val="auto"/>
                <w:szCs w:val="21"/>
              </w:rPr>
            </w:pPr>
          </w:p>
        </w:tc>
        <w:tc>
          <w:tcPr>
            <w:tcW w:w="781" w:type="pct"/>
            <w:tcBorders>
              <w:top w:val="double" w:color="auto" w:sz="6" w:space="0"/>
            </w:tcBorders>
            <w:vAlign w:val="center"/>
          </w:tcPr>
          <w:p w14:paraId="4C782191">
            <w:pPr>
              <w:keepNext/>
              <w:spacing w:line="440" w:lineRule="exact"/>
              <w:jc w:val="center"/>
              <w:rPr>
                <w:rFonts w:cs="宋体"/>
                <w:color w:val="auto"/>
                <w:szCs w:val="21"/>
              </w:rPr>
            </w:pPr>
          </w:p>
        </w:tc>
        <w:tc>
          <w:tcPr>
            <w:tcW w:w="938" w:type="pct"/>
            <w:tcBorders>
              <w:top w:val="double" w:color="auto" w:sz="6" w:space="0"/>
            </w:tcBorders>
            <w:vAlign w:val="center"/>
          </w:tcPr>
          <w:p w14:paraId="2F4F6B91">
            <w:pPr>
              <w:keepNext/>
              <w:spacing w:line="440" w:lineRule="exact"/>
              <w:jc w:val="center"/>
              <w:rPr>
                <w:rFonts w:cs="宋体"/>
                <w:color w:val="auto"/>
                <w:szCs w:val="21"/>
              </w:rPr>
            </w:pPr>
          </w:p>
        </w:tc>
      </w:tr>
      <w:tr w14:paraId="3036E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30D5B36A">
            <w:pPr>
              <w:keepNext/>
              <w:spacing w:line="440" w:lineRule="exact"/>
              <w:jc w:val="center"/>
              <w:rPr>
                <w:rFonts w:cs="宋体"/>
                <w:color w:val="auto"/>
                <w:szCs w:val="21"/>
              </w:rPr>
            </w:pPr>
          </w:p>
        </w:tc>
        <w:tc>
          <w:tcPr>
            <w:tcW w:w="1094" w:type="pct"/>
            <w:tcBorders>
              <w:top w:val="nil"/>
            </w:tcBorders>
            <w:vAlign w:val="center"/>
          </w:tcPr>
          <w:p w14:paraId="5E2DB58D">
            <w:pPr>
              <w:keepNext/>
              <w:spacing w:line="440" w:lineRule="exact"/>
              <w:jc w:val="center"/>
              <w:rPr>
                <w:rFonts w:cs="宋体"/>
                <w:color w:val="auto"/>
                <w:szCs w:val="21"/>
              </w:rPr>
            </w:pPr>
          </w:p>
        </w:tc>
        <w:tc>
          <w:tcPr>
            <w:tcW w:w="468" w:type="pct"/>
            <w:tcBorders>
              <w:top w:val="nil"/>
            </w:tcBorders>
            <w:vAlign w:val="center"/>
          </w:tcPr>
          <w:p w14:paraId="7499D44D">
            <w:pPr>
              <w:keepNext/>
              <w:spacing w:line="440" w:lineRule="exact"/>
              <w:jc w:val="center"/>
              <w:rPr>
                <w:rFonts w:cs="宋体"/>
                <w:color w:val="auto"/>
                <w:szCs w:val="21"/>
              </w:rPr>
            </w:pPr>
          </w:p>
        </w:tc>
        <w:tc>
          <w:tcPr>
            <w:tcW w:w="426" w:type="pct"/>
            <w:tcBorders>
              <w:top w:val="nil"/>
            </w:tcBorders>
            <w:vAlign w:val="center"/>
          </w:tcPr>
          <w:p w14:paraId="7523A6E5">
            <w:pPr>
              <w:keepNext/>
              <w:spacing w:line="440" w:lineRule="exact"/>
              <w:jc w:val="center"/>
              <w:rPr>
                <w:rFonts w:cs="宋体"/>
                <w:color w:val="auto"/>
                <w:szCs w:val="21"/>
              </w:rPr>
            </w:pPr>
          </w:p>
        </w:tc>
        <w:tc>
          <w:tcPr>
            <w:tcW w:w="745" w:type="pct"/>
            <w:tcBorders>
              <w:top w:val="nil"/>
            </w:tcBorders>
            <w:vAlign w:val="center"/>
          </w:tcPr>
          <w:p w14:paraId="25A9C257">
            <w:pPr>
              <w:keepNext/>
              <w:spacing w:line="440" w:lineRule="exact"/>
              <w:jc w:val="center"/>
              <w:rPr>
                <w:rFonts w:cs="宋体"/>
                <w:color w:val="auto"/>
                <w:szCs w:val="21"/>
              </w:rPr>
            </w:pPr>
          </w:p>
        </w:tc>
        <w:tc>
          <w:tcPr>
            <w:tcW w:w="781" w:type="pct"/>
            <w:tcBorders>
              <w:top w:val="nil"/>
            </w:tcBorders>
            <w:vAlign w:val="center"/>
          </w:tcPr>
          <w:p w14:paraId="4C28B029">
            <w:pPr>
              <w:keepNext/>
              <w:spacing w:line="440" w:lineRule="exact"/>
              <w:jc w:val="center"/>
              <w:rPr>
                <w:rFonts w:cs="宋体"/>
                <w:color w:val="auto"/>
                <w:szCs w:val="21"/>
              </w:rPr>
            </w:pPr>
          </w:p>
        </w:tc>
        <w:tc>
          <w:tcPr>
            <w:tcW w:w="938" w:type="pct"/>
            <w:tcBorders>
              <w:top w:val="nil"/>
            </w:tcBorders>
            <w:vAlign w:val="center"/>
          </w:tcPr>
          <w:p w14:paraId="3481875F">
            <w:pPr>
              <w:keepNext/>
              <w:spacing w:line="440" w:lineRule="exact"/>
              <w:jc w:val="center"/>
              <w:rPr>
                <w:rFonts w:cs="宋体"/>
                <w:color w:val="auto"/>
                <w:szCs w:val="21"/>
              </w:rPr>
            </w:pPr>
          </w:p>
        </w:tc>
      </w:tr>
      <w:tr w14:paraId="39F6D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37637D10">
            <w:pPr>
              <w:keepNext/>
              <w:spacing w:line="440" w:lineRule="exact"/>
              <w:jc w:val="center"/>
              <w:rPr>
                <w:rFonts w:cs="宋体"/>
                <w:color w:val="auto"/>
                <w:szCs w:val="21"/>
              </w:rPr>
            </w:pPr>
          </w:p>
        </w:tc>
        <w:tc>
          <w:tcPr>
            <w:tcW w:w="1094" w:type="pct"/>
            <w:vAlign w:val="center"/>
          </w:tcPr>
          <w:p w14:paraId="358D1C43">
            <w:pPr>
              <w:keepNext/>
              <w:spacing w:line="440" w:lineRule="exact"/>
              <w:jc w:val="center"/>
              <w:rPr>
                <w:rFonts w:cs="宋体"/>
                <w:color w:val="auto"/>
                <w:szCs w:val="21"/>
              </w:rPr>
            </w:pPr>
          </w:p>
        </w:tc>
        <w:tc>
          <w:tcPr>
            <w:tcW w:w="468" w:type="pct"/>
            <w:vAlign w:val="center"/>
          </w:tcPr>
          <w:p w14:paraId="250255CF">
            <w:pPr>
              <w:keepNext/>
              <w:spacing w:line="440" w:lineRule="exact"/>
              <w:jc w:val="center"/>
              <w:rPr>
                <w:rFonts w:cs="宋体"/>
                <w:color w:val="auto"/>
                <w:szCs w:val="21"/>
              </w:rPr>
            </w:pPr>
          </w:p>
        </w:tc>
        <w:tc>
          <w:tcPr>
            <w:tcW w:w="426" w:type="pct"/>
            <w:vAlign w:val="center"/>
          </w:tcPr>
          <w:p w14:paraId="78DB6622">
            <w:pPr>
              <w:keepNext/>
              <w:spacing w:line="440" w:lineRule="exact"/>
              <w:jc w:val="center"/>
              <w:rPr>
                <w:rFonts w:cs="宋体"/>
                <w:color w:val="auto"/>
                <w:szCs w:val="21"/>
              </w:rPr>
            </w:pPr>
          </w:p>
        </w:tc>
        <w:tc>
          <w:tcPr>
            <w:tcW w:w="745" w:type="pct"/>
            <w:vAlign w:val="center"/>
          </w:tcPr>
          <w:p w14:paraId="21B79D38">
            <w:pPr>
              <w:keepNext/>
              <w:spacing w:line="440" w:lineRule="exact"/>
              <w:jc w:val="center"/>
              <w:rPr>
                <w:rFonts w:cs="宋体"/>
                <w:color w:val="auto"/>
                <w:szCs w:val="21"/>
              </w:rPr>
            </w:pPr>
          </w:p>
        </w:tc>
        <w:tc>
          <w:tcPr>
            <w:tcW w:w="781" w:type="pct"/>
            <w:vAlign w:val="center"/>
          </w:tcPr>
          <w:p w14:paraId="66DDE6DD">
            <w:pPr>
              <w:keepNext/>
              <w:spacing w:line="440" w:lineRule="exact"/>
              <w:jc w:val="center"/>
              <w:rPr>
                <w:rFonts w:cs="宋体"/>
                <w:color w:val="auto"/>
                <w:szCs w:val="21"/>
              </w:rPr>
            </w:pPr>
          </w:p>
        </w:tc>
        <w:tc>
          <w:tcPr>
            <w:tcW w:w="938" w:type="pct"/>
            <w:vAlign w:val="center"/>
          </w:tcPr>
          <w:p w14:paraId="18AD18BF">
            <w:pPr>
              <w:keepNext/>
              <w:spacing w:line="440" w:lineRule="exact"/>
              <w:jc w:val="center"/>
              <w:rPr>
                <w:rFonts w:cs="宋体"/>
                <w:color w:val="auto"/>
                <w:szCs w:val="21"/>
              </w:rPr>
            </w:pPr>
          </w:p>
        </w:tc>
      </w:tr>
      <w:tr w14:paraId="2C575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1A270EB9">
            <w:pPr>
              <w:keepNext/>
              <w:spacing w:line="440" w:lineRule="exact"/>
              <w:jc w:val="center"/>
              <w:rPr>
                <w:rFonts w:cs="宋体"/>
                <w:color w:val="auto"/>
                <w:szCs w:val="21"/>
              </w:rPr>
            </w:pPr>
          </w:p>
        </w:tc>
        <w:tc>
          <w:tcPr>
            <w:tcW w:w="1094" w:type="pct"/>
            <w:tcBorders>
              <w:bottom w:val="single" w:color="auto" w:sz="12" w:space="0"/>
            </w:tcBorders>
            <w:vAlign w:val="center"/>
          </w:tcPr>
          <w:p w14:paraId="629FDD7C">
            <w:pPr>
              <w:keepNext/>
              <w:spacing w:line="440" w:lineRule="exact"/>
              <w:jc w:val="center"/>
              <w:rPr>
                <w:rFonts w:cs="宋体"/>
                <w:color w:val="auto"/>
                <w:szCs w:val="21"/>
              </w:rPr>
            </w:pPr>
          </w:p>
        </w:tc>
        <w:tc>
          <w:tcPr>
            <w:tcW w:w="468" w:type="pct"/>
            <w:tcBorders>
              <w:bottom w:val="single" w:color="auto" w:sz="12" w:space="0"/>
            </w:tcBorders>
            <w:vAlign w:val="center"/>
          </w:tcPr>
          <w:p w14:paraId="3D836544">
            <w:pPr>
              <w:keepNext/>
              <w:spacing w:line="440" w:lineRule="exact"/>
              <w:jc w:val="center"/>
              <w:rPr>
                <w:rFonts w:cs="宋体"/>
                <w:color w:val="auto"/>
                <w:szCs w:val="21"/>
              </w:rPr>
            </w:pPr>
          </w:p>
        </w:tc>
        <w:tc>
          <w:tcPr>
            <w:tcW w:w="426" w:type="pct"/>
            <w:tcBorders>
              <w:bottom w:val="single" w:color="auto" w:sz="12" w:space="0"/>
            </w:tcBorders>
            <w:vAlign w:val="center"/>
          </w:tcPr>
          <w:p w14:paraId="01D02411">
            <w:pPr>
              <w:keepNext/>
              <w:spacing w:line="440" w:lineRule="exact"/>
              <w:jc w:val="center"/>
              <w:rPr>
                <w:rFonts w:cs="宋体"/>
                <w:color w:val="auto"/>
                <w:szCs w:val="21"/>
              </w:rPr>
            </w:pPr>
          </w:p>
        </w:tc>
        <w:tc>
          <w:tcPr>
            <w:tcW w:w="745" w:type="pct"/>
            <w:tcBorders>
              <w:bottom w:val="single" w:color="auto" w:sz="12" w:space="0"/>
            </w:tcBorders>
            <w:vAlign w:val="center"/>
          </w:tcPr>
          <w:p w14:paraId="69D74E42">
            <w:pPr>
              <w:keepNext/>
              <w:spacing w:line="440" w:lineRule="exact"/>
              <w:jc w:val="center"/>
              <w:rPr>
                <w:rFonts w:cs="宋体"/>
                <w:color w:val="auto"/>
                <w:szCs w:val="21"/>
              </w:rPr>
            </w:pPr>
          </w:p>
        </w:tc>
        <w:tc>
          <w:tcPr>
            <w:tcW w:w="781" w:type="pct"/>
            <w:tcBorders>
              <w:bottom w:val="single" w:color="auto" w:sz="12" w:space="0"/>
            </w:tcBorders>
            <w:vAlign w:val="center"/>
          </w:tcPr>
          <w:p w14:paraId="15B3E6A0">
            <w:pPr>
              <w:keepNext/>
              <w:spacing w:line="440" w:lineRule="exact"/>
              <w:jc w:val="center"/>
              <w:rPr>
                <w:rFonts w:cs="宋体"/>
                <w:color w:val="auto"/>
                <w:szCs w:val="21"/>
              </w:rPr>
            </w:pPr>
          </w:p>
        </w:tc>
        <w:tc>
          <w:tcPr>
            <w:tcW w:w="938" w:type="pct"/>
            <w:tcBorders>
              <w:bottom w:val="single" w:color="auto" w:sz="12" w:space="0"/>
            </w:tcBorders>
            <w:vAlign w:val="center"/>
          </w:tcPr>
          <w:p w14:paraId="20D77159">
            <w:pPr>
              <w:keepNext/>
              <w:spacing w:line="440" w:lineRule="exact"/>
              <w:jc w:val="center"/>
              <w:rPr>
                <w:rFonts w:cs="宋体"/>
                <w:color w:val="auto"/>
                <w:szCs w:val="21"/>
              </w:rPr>
            </w:pPr>
          </w:p>
        </w:tc>
      </w:tr>
    </w:tbl>
    <w:p w14:paraId="6227A90F">
      <w:pPr>
        <w:rPr>
          <w:rFonts w:cs="宋体"/>
          <w:color w:val="auto"/>
          <w:szCs w:val="21"/>
        </w:rPr>
      </w:pPr>
    </w:p>
    <w:p w14:paraId="7560A264">
      <w:pPr>
        <w:spacing w:before="312" w:beforeLines="100" w:after="312" w:afterLines="100"/>
        <w:outlineLvl w:val="2"/>
        <w:rPr>
          <w:rFonts w:hint="eastAsia" w:ascii="Times New Roman" w:eastAsia="黑体"/>
          <w:color w:val="auto"/>
          <w:szCs w:val="24"/>
        </w:rPr>
      </w:pPr>
      <w:bookmarkStart w:id="1177" w:name="_Toc128950248"/>
    </w:p>
    <w:p w14:paraId="7588281B">
      <w:pPr>
        <w:spacing w:before="312" w:beforeLines="100" w:after="312" w:afterLines="100"/>
        <w:outlineLvl w:val="2"/>
        <w:rPr>
          <w:rFonts w:hint="eastAsia" w:ascii="Times New Roman" w:eastAsia="黑体"/>
          <w:color w:val="auto"/>
          <w:szCs w:val="24"/>
        </w:rPr>
      </w:pPr>
    </w:p>
    <w:p w14:paraId="697E6083">
      <w:pPr>
        <w:spacing w:before="312" w:beforeLines="100" w:after="312" w:afterLines="100"/>
        <w:outlineLvl w:val="2"/>
        <w:rPr>
          <w:rFonts w:hint="eastAsia" w:ascii="Times New Roman" w:eastAsia="黑体"/>
          <w:color w:val="auto"/>
          <w:szCs w:val="24"/>
        </w:rPr>
      </w:pPr>
    </w:p>
    <w:p w14:paraId="764F38C1">
      <w:pPr>
        <w:spacing w:before="312" w:beforeLines="100" w:after="312" w:afterLines="100"/>
        <w:outlineLvl w:val="2"/>
        <w:rPr>
          <w:rFonts w:hint="eastAsia" w:ascii="Times New Roman" w:eastAsia="黑体"/>
          <w:color w:val="auto"/>
          <w:szCs w:val="24"/>
        </w:rPr>
      </w:pPr>
    </w:p>
    <w:p w14:paraId="17E020A4">
      <w:pPr>
        <w:spacing w:before="312" w:beforeLines="100" w:after="312" w:afterLines="100"/>
        <w:outlineLvl w:val="2"/>
        <w:rPr>
          <w:rFonts w:hint="eastAsia" w:ascii="Times New Roman" w:eastAsia="黑体"/>
          <w:color w:val="auto"/>
          <w:szCs w:val="24"/>
        </w:rPr>
      </w:pPr>
    </w:p>
    <w:p w14:paraId="6F6DDF2B">
      <w:pPr>
        <w:spacing w:before="312" w:beforeLines="100" w:after="312" w:afterLines="100"/>
        <w:outlineLvl w:val="2"/>
        <w:rPr>
          <w:rFonts w:hint="eastAsia" w:ascii="Times New Roman" w:eastAsia="黑体"/>
          <w:color w:val="auto"/>
          <w:szCs w:val="24"/>
        </w:rPr>
      </w:pPr>
    </w:p>
    <w:p w14:paraId="3769C697">
      <w:pPr>
        <w:spacing w:before="312" w:beforeLines="100" w:after="312" w:afterLines="100"/>
        <w:outlineLvl w:val="2"/>
        <w:rPr>
          <w:rFonts w:hint="eastAsia" w:ascii="Times New Roman" w:eastAsia="黑体"/>
          <w:color w:val="auto"/>
          <w:szCs w:val="24"/>
        </w:rPr>
      </w:pPr>
    </w:p>
    <w:p w14:paraId="239728F5">
      <w:pPr>
        <w:spacing w:before="312" w:beforeLines="100" w:after="312" w:afterLines="100"/>
        <w:outlineLvl w:val="2"/>
        <w:rPr>
          <w:rFonts w:ascii="Times New Roman" w:eastAsia="黑体"/>
          <w:color w:val="auto"/>
          <w:szCs w:val="24"/>
        </w:rPr>
      </w:pPr>
      <w:r>
        <w:rPr>
          <w:rFonts w:hint="eastAsia" w:ascii="Times New Roman" w:eastAsia="黑体"/>
          <w:color w:val="auto"/>
          <w:szCs w:val="24"/>
        </w:rPr>
        <w:t>附件13：安全生产合同</w:t>
      </w:r>
      <w:bookmarkEnd w:id="1177"/>
    </w:p>
    <w:p w14:paraId="6E3E99B9">
      <w:pPr>
        <w:spacing w:before="156" w:beforeLines="50" w:after="156" w:afterLines="50" w:line="360" w:lineRule="auto"/>
        <w:jc w:val="center"/>
        <w:rPr>
          <w:rFonts w:cs="宋体"/>
          <w:b/>
          <w:color w:val="auto"/>
          <w:sz w:val="32"/>
          <w:szCs w:val="32"/>
        </w:rPr>
      </w:pPr>
      <w:bookmarkStart w:id="1178" w:name="_Toc23792"/>
      <w:bookmarkStart w:id="1179" w:name="_Toc11475"/>
      <w:r>
        <w:rPr>
          <w:rFonts w:hint="eastAsia" w:cs="宋体"/>
          <w:b/>
          <w:color w:val="auto"/>
          <w:sz w:val="32"/>
          <w:szCs w:val="32"/>
        </w:rPr>
        <w:t>安全生产合同</w:t>
      </w:r>
      <w:bookmarkEnd w:id="1178"/>
      <w:bookmarkEnd w:id="1179"/>
    </w:p>
    <w:p w14:paraId="7169A55A">
      <w:pPr>
        <w:spacing w:line="360" w:lineRule="auto"/>
        <w:ind w:firstLine="420" w:firstLineChars="200"/>
        <w:rPr>
          <w:rFonts w:cs="宋体"/>
          <w:color w:val="auto"/>
          <w:sz w:val="21"/>
          <w:szCs w:val="21"/>
        </w:rPr>
      </w:pPr>
      <w:r>
        <w:rPr>
          <w:rFonts w:hint="eastAsia" w:cs="宋体"/>
          <w:color w:val="auto"/>
          <w:sz w:val="21"/>
          <w:szCs w:val="21"/>
        </w:rPr>
        <w:t>为在</w:t>
      </w:r>
      <w:r>
        <w:rPr>
          <w:rFonts w:hint="eastAsia" w:cs="宋体"/>
          <w:color w:val="auto"/>
          <w:sz w:val="21"/>
          <w:szCs w:val="21"/>
          <w:u w:val="single"/>
        </w:rPr>
        <w:t xml:space="preserve">          </w:t>
      </w:r>
      <w:r>
        <w:rPr>
          <w:rFonts w:hint="eastAsia" w:cs="宋体"/>
          <w:color w:val="auto"/>
          <w:sz w:val="21"/>
          <w:szCs w:val="21"/>
        </w:rPr>
        <w:t>（项目名称）施工合同的实施过程中创造安全、高效的施工环境，切实</w:t>
      </w:r>
      <w:r>
        <w:rPr>
          <w:rFonts w:hint="eastAsia" w:cs="宋体"/>
          <w:color w:val="auto"/>
          <w:sz w:val="21"/>
          <w:szCs w:val="21"/>
          <w:lang w:eastAsia="zh-CN"/>
        </w:rPr>
        <w:t>做好</w:t>
      </w:r>
      <w:r>
        <w:rPr>
          <w:rFonts w:hint="eastAsia" w:cs="宋体"/>
          <w:color w:val="auto"/>
          <w:sz w:val="21"/>
          <w:szCs w:val="21"/>
        </w:rPr>
        <w:t>本项目的安全管理工作，本项目发包人</w:t>
      </w:r>
      <w:r>
        <w:rPr>
          <w:rFonts w:hint="eastAsia" w:cs="宋体"/>
          <w:color w:val="auto"/>
          <w:sz w:val="21"/>
          <w:szCs w:val="21"/>
          <w:u w:val="single"/>
        </w:rPr>
        <w:t xml:space="preserve">     </w:t>
      </w:r>
      <w:r>
        <w:rPr>
          <w:rFonts w:hint="eastAsia" w:cs="宋体"/>
          <w:color w:val="auto"/>
          <w:sz w:val="21"/>
          <w:szCs w:val="21"/>
        </w:rPr>
        <w:t>（发包人名称，以下简称“发包人”）与承包人</w:t>
      </w:r>
      <w:r>
        <w:rPr>
          <w:rFonts w:hint="eastAsia" w:cs="宋体"/>
          <w:color w:val="auto"/>
          <w:sz w:val="21"/>
          <w:szCs w:val="21"/>
          <w:u w:val="single"/>
        </w:rPr>
        <w:t xml:space="preserve">         </w:t>
      </w:r>
      <w:r>
        <w:rPr>
          <w:rFonts w:hint="eastAsia" w:cs="宋体"/>
          <w:color w:val="auto"/>
          <w:sz w:val="21"/>
          <w:szCs w:val="21"/>
        </w:rPr>
        <w:t>（承包人名称，以下简称“承包人”）特此签订安全生产合同：</w:t>
      </w:r>
    </w:p>
    <w:p w14:paraId="7C6FF777">
      <w:pPr>
        <w:spacing w:line="360" w:lineRule="auto"/>
        <w:ind w:firstLine="420" w:firstLineChars="200"/>
        <w:rPr>
          <w:rFonts w:cs="宋体"/>
          <w:color w:val="auto"/>
          <w:sz w:val="21"/>
          <w:szCs w:val="21"/>
        </w:rPr>
      </w:pPr>
      <w:r>
        <w:rPr>
          <w:rFonts w:hint="eastAsia" w:cs="宋体"/>
          <w:color w:val="auto"/>
          <w:sz w:val="21"/>
          <w:szCs w:val="21"/>
        </w:rPr>
        <w:t>1.发包人职责</w:t>
      </w:r>
    </w:p>
    <w:p w14:paraId="02576BF9">
      <w:pPr>
        <w:spacing w:line="360" w:lineRule="auto"/>
        <w:ind w:firstLine="420" w:firstLineChars="200"/>
        <w:rPr>
          <w:rFonts w:cs="宋体"/>
          <w:color w:val="auto"/>
          <w:sz w:val="21"/>
          <w:szCs w:val="21"/>
        </w:rPr>
      </w:pPr>
      <w:r>
        <w:rPr>
          <w:rFonts w:hint="eastAsia" w:cs="宋体"/>
          <w:color w:val="auto"/>
          <w:sz w:val="21"/>
          <w:szCs w:val="21"/>
        </w:rPr>
        <w:t>（1）严格遵守国家有关安全生产的法律法规，认真执行工程承包合同中的有关安全要求。</w:t>
      </w:r>
    </w:p>
    <w:p w14:paraId="0878ED7B">
      <w:pPr>
        <w:spacing w:line="360" w:lineRule="auto"/>
        <w:ind w:firstLine="420" w:firstLineChars="200"/>
        <w:rPr>
          <w:rFonts w:cs="宋体"/>
          <w:color w:val="auto"/>
          <w:sz w:val="21"/>
          <w:szCs w:val="21"/>
        </w:rPr>
      </w:pPr>
      <w:r>
        <w:rPr>
          <w:rFonts w:hint="eastAsia" w:cs="宋体"/>
          <w:color w:val="auto"/>
          <w:sz w:val="21"/>
          <w:szCs w:val="21"/>
        </w:rPr>
        <w:t>（2）按照“安全第一、预防为主”和坚持“管生产必须管安全”的原则进行安全生产管理，做到生产与安全工作同时计划、布置、检查、总结和评比。</w:t>
      </w:r>
    </w:p>
    <w:p w14:paraId="7A4A9F34">
      <w:pPr>
        <w:spacing w:line="360" w:lineRule="auto"/>
        <w:ind w:firstLine="420" w:firstLineChars="200"/>
        <w:rPr>
          <w:rFonts w:cs="宋体"/>
          <w:color w:val="auto"/>
          <w:sz w:val="21"/>
          <w:szCs w:val="21"/>
        </w:rPr>
      </w:pPr>
      <w:r>
        <w:rPr>
          <w:rFonts w:hint="eastAsia" w:cs="宋体"/>
          <w:color w:val="auto"/>
          <w:sz w:val="21"/>
          <w:szCs w:val="21"/>
        </w:rPr>
        <w:t>（3）重要的安全设施必须坚持与主体工程“三同时”的原则，即：同时设计、审批，同时施工，同时验收，投入使用。</w:t>
      </w:r>
    </w:p>
    <w:p w14:paraId="4D46B1B6">
      <w:pPr>
        <w:spacing w:line="360" w:lineRule="auto"/>
        <w:ind w:firstLine="420" w:firstLineChars="200"/>
        <w:rPr>
          <w:rFonts w:cs="宋体"/>
          <w:color w:val="auto"/>
          <w:sz w:val="21"/>
          <w:szCs w:val="21"/>
        </w:rPr>
      </w:pPr>
      <w:r>
        <w:rPr>
          <w:rFonts w:hint="eastAsia" w:cs="宋体"/>
          <w:color w:val="auto"/>
          <w:sz w:val="21"/>
          <w:szCs w:val="21"/>
        </w:rPr>
        <w:t>（4）定期召开安全生产调度会，及时传达中央及地方有关安全生产的精神。</w:t>
      </w:r>
    </w:p>
    <w:p w14:paraId="7DAEB565">
      <w:pPr>
        <w:spacing w:line="360" w:lineRule="auto"/>
        <w:ind w:firstLine="420" w:firstLineChars="200"/>
        <w:rPr>
          <w:rFonts w:cs="宋体"/>
          <w:color w:val="auto"/>
          <w:sz w:val="21"/>
          <w:szCs w:val="21"/>
        </w:rPr>
      </w:pPr>
      <w:r>
        <w:rPr>
          <w:rFonts w:hint="eastAsia" w:cs="宋体"/>
          <w:color w:val="auto"/>
          <w:sz w:val="21"/>
          <w:szCs w:val="21"/>
        </w:rPr>
        <w:t>（5）组织对承包人施工现场安全生产检查，监督承包人及时处理发现的各种安全隐患。</w:t>
      </w:r>
    </w:p>
    <w:p w14:paraId="320514A2">
      <w:pPr>
        <w:spacing w:line="360" w:lineRule="auto"/>
        <w:ind w:firstLine="420" w:firstLineChars="200"/>
        <w:rPr>
          <w:rFonts w:cs="宋体"/>
          <w:color w:val="auto"/>
          <w:sz w:val="21"/>
          <w:szCs w:val="21"/>
        </w:rPr>
      </w:pPr>
      <w:r>
        <w:rPr>
          <w:rFonts w:hint="eastAsia" w:cs="宋体"/>
          <w:color w:val="auto"/>
          <w:sz w:val="21"/>
          <w:szCs w:val="21"/>
        </w:rPr>
        <w:t>2.承包人职责</w:t>
      </w:r>
    </w:p>
    <w:p w14:paraId="1C6F89D6">
      <w:pPr>
        <w:spacing w:line="360" w:lineRule="auto"/>
        <w:ind w:firstLine="420" w:firstLineChars="200"/>
        <w:rPr>
          <w:rFonts w:cs="宋体"/>
          <w:color w:val="auto"/>
          <w:sz w:val="21"/>
          <w:szCs w:val="21"/>
        </w:rPr>
      </w:pPr>
      <w:r>
        <w:rPr>
          <w:rFonts w:hint="eastAsia" w:cs="宋体"/>
          <w:color w:val="auto"/>
          <w:sz w:val="21"/>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71A147BD">
      <w:pPr>
        <w:spacing w:line="360" w:lineRule="auto"/>
        <w:ind w:firstLine="420" w:firstLineChars="200"/>
        <w:rPr>
          <w:rFonts w:cs="宋体"/>
          <w:color w:val="auto"/>
          <w:sz w:val="21"/>
          <w:szCs w:val="21"/>
        </w:rPr>
      </w:pPr>
      <w:r>
        <w:rPr>
          <w:rFonts w:hint="eastAsia" w:cs="宋体"/>
          <w:color w:val="auto"/>
          <w:sz w:val="2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16EC6EE">
      <w:pPr>
        <w:spacing w:line="360" w:lineRule="auto"/>
        <w:ind w:firstLine="420" w:firstLineChars="200"/>
        <w:rPr>
          <w:rFonts w:cs="宋体"/>
          <w:color w:val="auto"/>
          <w:sz w:val="21"/>
          <w:szCs w:val="21"/>
        </w:rPr>
      </w:pPr>
      <w:r>
        <w:rPr>
          <w:rFonts w:hint="eastAsia" w:cs="宋体"/>
          <w:color w:val="auto"/>
          <w:sz w:val="21"/>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w:t>
      </w:r>
      <w:r>
        <w:rPr>
          <w:rFonts w:hint="eastAsia" w:cs="宋体"/>
          <w:color w:val="auto"/>
          <w:sz w:val="21"/>
          <w:szCs w:val="21"/>
          <w:lang w:eastAsia="zh-CN"/>
        </w:rPr>
        <w:t>规定</w:t>
      </w:r>
      <w:r>
        <w:rPr>
          <w:rFonts w:hint="eastAsia" w:cs="宋体"/>
          <w:color w:val="auto"/>
          <w:sz w:val="21"/>
          <w:szCs w:val="21"/>
        </w:rPr>
        <w:t>配备专职安全生产管理人员，专职负责所有员工的安全和治安保卫工作及预防事故的发生。安全机构人员有权按有关规定发布指令，并采取保护性措施防止事故发生。</w:t>
      </w:r>
    </w:p>
    <w:p w14:paraId="40306298">
      <w:pPr>
        <w:spacing w:line="360" w:lineRule="auto"/>
        <w:ind w:firstLine="420" w:firstLineChars="200"/>
        <w:rPr>
          <w:rFonts w:cs="宋体"/>
          <w:color w:val="auto"/>
          <w:sz w:val="21"/>
          <w:szCs w:val="21"/>
        </w:rPr>
      </w:pPr>
      <w:r>
        <w:rPr>
          <w:rFonts w:hint="eastAsia" w:cs="宋体"/>
          <w:color w:val="auto"/>
          <w:sz w:val="21"/>
          <w:szCs w:val="21"/>
        </w:rPr>
        <w:t>（4）承包人在任何时候都应采取各种合理的预防措施，防止其员工发生任何违法、违禁、暴力或妨碍治安的行为。</w:t>
      </w:r>
    </w:p>
    <w:p w14:paraId="44D1924C">
      <w:pPr>
        <w:spacing w:line="360" w:lineRule="auto"/>
        <w:ind w:firstLine="420" w:firstLineChars="200"/>
        <w:rPr>
          <w:rFonts w:cs="宋体"/>
          <w:color w:val="auto"/>
          <w:sz w:val="21"/>
          <w:szCs w:val="21"/>
        </w:rPr>
      </w:pPr>
      <w:r>
        <w:rPr>
          <w:rFonts w:hint="eastAsia" w:cs="宋体"/>
          <w:color w:val="auto"/>
          <w:sz w:val="21"/>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68824DB">
      <w:pPr>
        <w:spacing w:line="360" w:lineRule="auto"/>
        <w:ind w:firstLine="420" w:firstLineChars="200"/>
        <w:rPr>
          <w:rFonts w:cs="宋体"/>
          <w:color w:val="auto"/>
          <w:sz w:val="21"/>
          <w:szCs w:val="21"/>
        </w:rPr>
      </w:pPr>
      <w:r>
        <w:rPr>
          <w:rFonts w:hint="eastAsia" w:cs="宋体"/>
          <w:color w:val="auto"/>
          <w:sz w:val="21"/>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87B2A16">
      <w:pPr>
        <w:spacing w:line="360" w:lineRule="auto"/>
        <w:ind w:firstLine="420" w:firstLineChars="200"/>
        <w:rPr>
          <w:rFonts w:cs="宋体"/>
          <w:color w:val="auto"/>
          <w:sz w:val="21"/>
          <w:szCs w:val="21"/>
        </w:rPr>
      </w:pPr>
      <w:r>
        <w:rPr>
          <w:rFonts w:hint="eastAsia" w:cs="宋体"/>
          <w:color w:val="auto"/>
          <w:sz w:val="21"/>
          <w:szCs w:val="21"/>
        </w:rPr>
        <w:t>（7）操作人员上岗，必须按规定穿戴防护用品。施工负责人和安全检查员应随时检查劳动防护用品的穿戴情况，不按规定穿戴防护用品的人员不得上岗。</w:t>
      </w:r>
    </w:p>
    <w:p w14:paraId="4C9B85FF">
      <w:pPr>
        <w:spacing w:line="360" w:lineRule="auto"/>
        <w:ind w:firstLine="420" w:firstLineChars="200"/>
        <w:rPr>
          <w:rFonts w:cs="宋体"/>
          <w:color w:val="auto"/>
          <w:sz w:val="21"/>
          <w:szCs w:val="21"/>
        </w:rPr>
      </w:pPr>
      <w:r>
        <w:rPr>
          <w:rFonts w:hint="eastAsia" w:cs="宋体"/>
          <w:color w:val="auto"/>
          <w:sz w:val="21"/>
          <w:szCs w:val="21"/>
        </w:rPr>
        <w:t>（8）所有施工机具设备和高空作业的设备均应定期检查，并有安全员的签字记录，保证其经常处于完好状态；不合格的机具、设备和劳动保护用品严禁使用：</w:t>
      </w:r>
    </w:p>
    <w:p w14:paraId="3D24C466">
      <w:pPr>
        <w:spacing w:line="360" w:lineRule="auto"/>
        <w:ind w:firstLine="420" w:firstLineChars="200"/>
        <w:rPr>
          <w:rFonts w:cs="宋体"/>
          <w:color w:val="auto"/>
          <w:sz w:val="21"/>
          <w:szCs w:val="21"/>
        </w:rPr>
      </w:pPr>
      <w:r>
        <w:rPr>
          <w:rFonts w:hint="eastAsia" w:cs="宋体"/>
          <w:color w:val="auto"/>
          <w:sz w:val="21"/>
          <w:szCs w:val="21"/>
        </w:rPr>
        <w:t>（9）施工中采用新技术、新工艺、新设备、新材料时，必须制定相应的安全技术措施，施工现场必须具有相关的安全标志牌。</w:t>
      </w:r>
    </w:p>
    <w:p w14:paraId="4FB32A4A">
      <w:pPr>
        <w:spacing w:line="360" w:lineRule="auto"/>
        <w:ind w:firstLine="420" w:firstLineChars="200"/>
        <w:rPr>
          <w:rFonts w:cs="宋体"/>
          <w:color w:val="auto"/>
          <w:sz w:val="21"/>
          <w:szCs w:val="21"/>
        </w:rPr>
      </w:pPr>
      <w:r>
        <w:rPr>
          <w:rFonts w:hint="eastAsia" w:cs="宋体"/>
          <w:color w:val="auto"/>
          <w:sz w:val="21"/>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65380D9">
      <w:pPr>
        <w:spacing w:line="360" w:lineRule="auto"/>
        <w:ind w:firstLine="420" w:firstLineChars="200"/>
        <w:rPr>
          <w:rFonts w:cs="宋体"/>
          <w:color w:val="auto"/>
          <w:sz w:val="21"/>
          <w:szCs w:val="21"/>
        </w:rPr>
      </w:pPr>
      <w:r>
        <w:rPr>
          <w:rFonts w:hint="eastAsia" w:cs="宋体"/>
          <w:color w:val="auto"/>
          <w:sz w:val="21"/>
          <w:szCs w:val="21"/>
        </w:rPr>
        <w:t>（11）安全生产费用按照《建设工程安全生产管理条例》的相关规定使用和管理。</w:t>
      </w:r>
    </w:p>
    <w:p w14:paraId="625E2B98">
      <w:pPr>
        <w:spacing w:line="360" w:lineRule="auto"/>
        <w:ind w:firstLine="420" w:firstLineChars="200"/>
        <w:rPr>
          <w:rFonts w:cs="宋体"/>
          <w:color w:val="auto"/>
          <w:sz w:val="21"/>
          <w:szCs w:val="21"/>
        </w:rPr>
      </w:pPr>
      <w:r>
        <w:rPr>
          <w:rFonts w:hint="eastAsia" w:cs="宋体"/>
          <w:color w:val="auto"/>
          <w:sz w:val="21"/>
          <w:szCs w:val="21"/>
        </w:rPr>
        <w:t>3.违约责任</w:t>
      </w:r>
    </w:p>
    <w:p w14:paraId="6920890D">
      <w:pPr>
        <w:spacing w:line="360" w:lineRule="auto"/>
        <w:ind w:firstLine="420" w:firstLineChars="200"/>
        <w:rPr>
          <w:rFonts w:cs="宋体"/>
          <w:color w:val="auto"/>
          <w:sz w:val="21"/>
          <w:szCs w:val="21"/>
        </w:rPr>
      </w:pPr>
      <w:r>
        <w:rPr>
          <w:rFonts w:hint="eastAsia" w:cs="宋体"/>
          <w:color w:val="auto"/>
          <w:sz w:val="21"/>
          <w:szCs w:val="21"/>
        </w:rPr>
        <w:t>如因发包人或承包人违约造成安全事故，将依法追究责任。</w:t>
      </w:r>
    </w:p>
    <w:p w14:paraId="7677A2F2">
      <w:pPr>
        <w:spacing w:line="360" w:lineRule="auto"/>
        <w:ind w:firstLine="420" w:firstLineChars="200"/>
        <w:rPr>
          <w:rFonts w:cs="宋体"/>
          <w:color w:val="auto"/>
          <w:sz w:val="21"/>
          <w:szCs w:val="21"/>
        </w:rPr>
      </w:pPr>
      <w:r>
        <w:rPr>
          <w:rFonts w:hint="eastAsia" w:cs="宋体"/>
          <w:color w:val="auto"/>
          <w:sz w:val="21"/>
          <w:szCs w:val="21"/>
        </w:rPr>
        <w:t>4.本合同由双方法定代表人或其授权的代理人签署并加盖单位章后生效，全部工程竣工验收后失效。</w:t>
      </w:r>
    </w:p>
    <w:p w14:paraId="169E8C8A">
      <w:pPr>
        <w:spacing w:line="360" w:lineRule="auto"/>
        <w:ind w:firstLine="420" w:firstLineChars="200"/>
        <w:rPr>
          <w:rFonts w:cs="宋体"/>
          <w:color w:val="auto"/>
          <w:sz w:val="21"/>
          <w:szCs w:val="21"/>
        </w:rPr>
      </w:pPr>
      <w:r>
        <w:rPr>
          <w:rFonts w:hint="eastAsia" w:cs="宋体"/>
          <w:color w:val="auto"/>
          <w:sz w:val="21"/>
          <w:szCs w:val="21"/>
        </w:rPr>
        <w:t>5.本合同正本—式</w:t>
      </w:r>
      <w:r>
        <w:rPr>
          <w:rFonts w:hint="eastAsia" w:cs="宋体"/>
          <w:color w:val="auto"/>
          <w:sz w:val="21"/>
          <w:szCs w:val="21"/>
          <w:u w:val="single"/>
        </w:rPr>
        <w:t xml:space="preserve">   </w:t>
      </w:r>
      <w:r>
        <w:rPr>
          <w:rFonts w:hint="eastAsia" w:cs="宋体"/>
          <w:color w:val="auto"/>
          <w:sz w:val="21"/>
          <w:szCs w:val="21"/>
        </w:rPr>
        <w:t>份，副本</w:t>
      </w:r>
      <w:r>
        <w:rPr>
          <w:rFonts w:hint="eastAsia" w:cs="宋体"/>
          <w:color w:val="auto"/>
          <w:sz w:val="21"/>
          <w:szCs w:val="21"/>
          <w:u w:val="single"/>
        </w:rPr>
        <w:t xml:space="preserve">  </w:t>
      </w:r>
      <w:r>
        <w:rPr>
          <w:rFonts w:hint="eastAsia" w:cs="宋体"/>
          <w:color w:val="auto"/>
          <w:sz w:val="21"/>
          <w:szCs w:val="21"/>
        </w:rPr>
        <w:t>份，合同双方各执正本—份，副本</w:t>
      </w:r>
      <w:r>
        <w:rPr>
          <w:rFonts w:hint="eastAsia" w:cs="宋体"/>
          <w:color w:val="auto"/>
          <w:sz w:val="21"/>
          <w:szCs w:val="21"/>
          <w:u w:val="single"/>
        </w:rPr>
        <w:t xml:space="preserve">  </w:t>
      </w:r>
      <w:r>
        <w:rPr>
          <w:rFonts w:hint="eastAsia" w:cs="宋体"/>
          <w:color w:val="auto"/>
          <w:sz w:val="21"/>
          <w:szCs w:val="21"/>
        </w:rPr>
        <w:t>份，当正本与副本的内容不一致时，以正本为准。</w:t>
      </w:r>
    </w:p>
    <w:p w14:paraId="58D8FB85">
      <w:pPr>
        <w:spacing w:line="360" w:lineRule="auto"/>
        <w:rPr>
          <w:rFonts w:cs="宋体"/>
          <w:color w:val="auto"/>
          <w:sz w:val="21"/>
          <w:szCs w:val="21"/>
        </w:rPr>
      </w:pPr>
    </w:p>
    <w:p w14:paraId="619B840E">
      <w:pPr>
        <w:spacing w:line="360" w:lineRule="auto"/>
        <w:rPr>
          <w:rFonts w:cs="宋体"/>
          <w:color w:val="auto"/>
          <w:sz w:val="21"/>
          <w:szCs w:val="21"/>
        </w:rPr>
      </w:pPr>
    </w:p>
    <w:p w14:paraId="010C3182">
      <w:pPr>
        <w:spacing w:line="360" w:lineRule="auto"/>
        <w:rPr>
          <w:rFonts w:cs="宋体"/>
          <w:color w:val="auto"/>
          <w:sz w:val="21"/>
          <w:szCs w:val="21"/>
        </w:rPr>
      </w:pPr>
      <w:r>
        <w:rPr>
          <w:rFonts w:hint="eastAsia" w:cs="宋体"/>
          <w:color w:val="auto"/>
          <w:sz w:val="21"/>
          <w:szCs w:val="21"/>
        </w:rPr>
        <w:t>发包人：</w:t>
      </w:r>
      <w:r>
        <w:rPr>
          <w:rFonts w:hint="eastAsia" w:cs="宋体"/>
          <w:color w:val="auto"/>
          <w:sz w:val="21"/>
          <w:szCs w:val="21"/>
          <w:u w:val="single"/>
        </w:rPr>
        <w:t xml:space="preserve">            </w:t>
      </w:r>
      <w:r>
        <w:rPr>
          <w:rFonts w:hint="eastAsia" w:cs="宋体"/>
          <w:color w:val="auto"/>
          <w:sz w:val="21"/>
          <w:szCs w:val="21"/>
        </w:rPr>
        <w:t>（盖单位章）          承包人：</w:t>
      </w:r>
      <w:r>
        <w:rPr>
          <w:rFonts w:hint="eastAsia" w:cs="宋体"/>
          <w:color w:val="auto"/>
          <w:sz w:val="21"/>
          <w:szCs w:val="21"/>
          <w:u w:val="single"/>
        </w:rPr>
        <w:t xml:space="preserve">        </w:t>
      </w:r>
      <w:r>
        <w:rPr>
          <w:rFonts w:hint="eastAsia" w:cs="宋体"/>
          <w:color w:val="auto"/>
          <w:sz w:val="21"/>
          <w:szCs w:val="21"/>
        </w:rPr>
        <w:t>（盖单位章）</w:t>
      </w:r>
    </w:p>
    <w:p w14:paraId="35BA0882">
      <w:pPr>
        <w:spacing w:line="360" w:lineRule="auto"/>
        <w:rPr>
          <w:rFonts w:cs="宋体"/>
          <w:color w:val="auto"/>
          <w:sz w:val="21"/>
          <w:szCs w:val="21"/>
        </w:rPr>
      </w:pPr>
    </w:p>
    <w:p w14:paraId="56D06A7D">
      <w:pPr>
        <w:spacing w:line="360" w:lineRule="auto"/>
        <w:rPr>
          <w:rFonts w:cs="宋体"/>
          <w:color w:val="auto"/>
          <w:sz w:val="21"/>
          <w:szCs w:val="21"/>
        </w:rPr>
      </w:pPr>
      <w:r>
        <w:rPr>
          <w:rFonts w:hint="eastAsia" w:cs="宋体"/>
          <w:color w:val="auto"/>
          <w:sz w:val="21"/>
          <w:szCs w:val="21"/>
        </w:rPr>
        <w:t>法定代表人或其委托代理人：</w:t>
      </w:r>
      <w:r>
        <w:rPr>
          <w:rFonts w:hint="eastAsia" w:cs="宋体"/>
          <w:color w:val="auto"/>
          <w:sz w:val="21"/>
          <w:szCs w:val="21"/>
          <w:u w:val="single"/>
        </w:rPr>
        <w:t xml:space="preserve">  </w:t>
      </w:r>
      <w:r>
        <w:rPr>
          <w:rFonts w:hint="eastAsia" w:cs="宋体"/>
          <w:color w:val="auto"/>
          <w:sz w:val="21"/>
          <w:szCs w:val="21"/>
        </w:rPr>
        <w:t>（签字）     法定代表人或其委托代理人：</w:t>
      </w:r>
      <w:r>
        <w:rPr>
          <w:rFonts w:hint="eastAsia" w:cs="宋体"/>
          <w:color w:val="auto"/>
          <w:sz w:val="21"/>
          <w:szCs w:val="21"/>
          <w:u w:val="single"/>
        </w:rPr>
        <w:t xml:space="preserve">   </w:t>
      </w:r>
      <w:r>
        <w:rPr>
          <w:rFonts w:hint="eastAsia" w:cs="宋体"/>
          <w:color w:val="auto"/>
          <w:sz w:val="21"/>
          <w:szCs w:val="21"/>
        </w:rPr>
        <w:t>（签字）</w:t>
      </w:r>
    </w:p>
    <w:p w14:paraId="450BBE4D">
      <w:pPr>
        <w:spacing w:line="360" w:lineRule="auto"/>
        <w:rPr>
          <w:rFonts w:cs="宋体"/>
          <w:color w:val="auto"/>
          <w:sz w:val="21"/>
          <w:szCs w:val="21"/>
        </w:rPr>
      </w:pPr>
    </w:p>
    <w:p w14:paraId="1F3CB4D2">
      <w:pPr>
        <w:spacing w:line="360" w:lineRule="auto"/>
        <w:ind w:firstLine="840"/>
        <w:rPr>
          <w:rFonts w:cs="宋体"/>
          <w:color w:val="auto"/>
          <w:sz w:val="21"/>
          <w:szCs w:val="21"/>
        </w:rPr>
      </w:pP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 xml:space="preserve">日                </w:t>
      </w:r>
      <w:r>
        <w:rPr>
          <w:rFonts w:hint="eastAsia" w:cs="宋体"/>
          <w:color w:val="auto"/>
          <w:sz w:val="21"/>
          <w:szCs w:val="21"/>
          <w:u w:val="single"/>
        </w:rPr>
        <w:t xml:space="preserve">      </w:t>
      </w:r>
      <w:r>
        <w:rPr>
          <w:rFonts w:hint="eastAsia" w:cs="宋体"/>
          <w:color w:val="auto"/>
          <w:sz w:val="21"/>
          <w:szCs w:val="21"/>
        </w:rPr>
        <w:t>年</w:t>
      </w:r>
      <w:r>
        <w:rPr>
          <w:rFonts w:hint="eastAsia" w:cs="宋体"/>
          <w:color w:val="auto"/>
          <w:sz w:val="21"/>
          <w:szCs w:val="21"/>
          <w:u w:val="single"/>
        </w:rPr>
        <w:t xml:space="preserve">    </w:t>
      </w:r>
      <w:r>
        <w:rPr>
          <w:rFonts w:hint="eastAsia" w:cs="宋体"/>
          <w:color w:val="auto"/>
          <w:sz w:val="21"/>
          <w:szCs w:val="21"/>
        </w:rPr>
        <w:t>月</w:t>
      </w:r>
      <w:r>
        <w:rPr>
          <w:rFonts w:hint="eastAsia" w:cs="宋体"/>
          <w:color w:val="auto"/>
          <w:sz w:val="21"/>
          <w:szCs w:val="21"/>
          <w:u w:val="single"/>
        </w:rPr>
        <w:t xml:space="preserve">    </w:t>
      </w:r>
      <w:r>
        <w:rPr>
          <w:rFonts w:hint="eastAsia" w:cs="宋体"/>
          <w:color w:val="auto"/>
          <w:sz w:val="21"/>
          <w:szCs w:val="21"/>
        </w:rPr>
        <w:t>日</w:t>
      </w:r>
    </w:p>
    <w:p w14:paraId="0F008ABF">
      <w:pPr>
        <w:spacing w:before="312" w:beforeLines="100" w:after="312" w:afterLines="100"/>
        <w:outlineLvl w:val="2"/>
        <w:rPr>
          <w:rFonts w:hint="eastAsia" w:ascii="Times New Roman" w:eastAsia="黑体"/>
          <w:color w:val="auto"/>
          <w:szCs w:val="24"/>
        </w:rPr>
      </w:pPr>
      <w:bookmarkStart w:id="1180" w:name="_Toc128950249"/>
    </w:p>
    <w:p w14:paraId="004A2207">
      <w:pPr>
        <w:spacing w:before="312" w:beforeLines="100" w:after="312" w:afterLines="100"/>
        <w:outlineLvl w:val="2"/>
        <w:rPr>
          <w:rFonts w:hint="eastAsia" w:ascii="Times New Roman" w:eastAsia="黑体"/>
          <w:color w:val="auto"/>
          <w:szCs w:val="24"/>
        </w:rPr>
      </w:pPr>
    </w:p>
    <w:p w14:paraId="7B5FBB66">
      <w:pPr>
        <w:spacing w:before="312" w:beforeLines="100" w:after="312" w:afterLines="100"/>
        <w:outlineLvl w:val="2"/>
        <w:rPr>
          <w:rFonts w:hint="eastAsia" w:ascii="Times New Roman" w:eastAsia="黑体"/>
          <w:color w:val="auto"/>
          <w:szCs w:val="24"/>
        </w:rPr>
      </w:pPr>
    </w:p>
    <w:p w14:paraId="0060E5D9">
      <w:pPr>
        <w:spacing w:before="312" w:beforeLines="100" w:after="312" w:afterLines="100"/>
        <w:outlineLvl w:val="2"/>
        <w:rPr>
          <w:rFonts w:hint="eastAsia" w:ascii="Times New Roman" w:eastAsia="黑体"/>
          <w:color w:val="auto"/>
          <w:szCs w:val="24"/>
        </w:rPr>
      </w:pPr>
    </w:p>
    <w:p w14:paraId="35804922">
      <w:pPr>
        <w:spacing w:before="312" w:beforeLines="100" w:after="312" w:afterLines="100"/>
        <w:outlineLvl w:val="2"/>
        <w:rPr>
          <w:rFonts w:hint="eastAsia" w:ascii="Times New Roman" w:eastAsia="黑体"/>
          <w:color w:val="auto"/>
          <w:szCs w:val="24"/>
        </w:rPr>
      </w:pPr>
    </w:p>
    <w:p w14:paraId="31C96716">
      <w:pPr>
        <w:spacing w:before="312" w:beforeLines="100" w:after="312" w:afterLines="100"/>
        <w:outlineLvl w:val="2"/>
        <w:rPr>
          <w:rFonts w:hint="eastAsia" w:ascii="Times New Roman" w:eastAsia="黑体"/>
          <w:color w:val="auto"/>
          <w:szCs w:val="24"/>
        </w:rPr>
      </w:pPr>
    </w:p>
    <w:p w14:paraId="07D7855A">
      <w:pPr>
        <w:spacing w:before="312" w:beforeLines="100" w:after="312" w:afterLines="100"/>
        <w:outlineLvl w:val="2"/>
        <w:rPr>
          <w:rFonts w:ascii="Times New Roman" w:eastAsia="黑体"/>
          <w:color w:val="auto"/>
          <w:szCs w:val="24"/>
        </w:rPr>
      </w:pPr>
      <w:r>
        <w:rPr>
          <w:rFonts w:hint="eastAsia" w:ascii="Times New Roman" w:eastAsia="黑体"/>
          <w:color w:val="auto"/>
          <w:szCs w:val="24"/>
        </w:rPr>
        <w:t>附件14：项目经理质量终身责任制承诺</w:t>
      </w:r>
      <w:bookmarkEnd w:id="1180"/>
    </w:p>
    <w:p w14:paraId="2AB3F849">
      <w:pPr>
        <w:spacing w:before="156" w:beforeLines="50" w:after="156" w:afterLines="50" w:line="360" w:lineRule="auto"/>
        <w:jc w:val="center"/>
        <w:rPr>
          <w:rFonts w:hint="eastAsia" w:cs="宋体"/>
          <w:b/>
          <w:color w:val="auto"/>
          <w:sz w:val="32"/>
          <w:szCs w:val="32"/>
        </w:rPr>
      </w:pPr>
      <w:bookmarkStart w:id="1181" w:name="_Toc14540"/>
      <w:bookmarkStart w:id="1182" w:name="_Toc19417"/>
      <w:bookmarkStart w:id="1183" w:name="_Toc128950250"/>
    </w:p>
    <w:p w14:paraId="74D8CE8A">
      <w:pPr>
        <w:spacing w:before="156" w:beforeLines="50" w:after="156" w:afterLines="50" w:line="360" w:lineRule="auto"/>
        <w:jc w:val="center"/>
        <w:rPr>
          <w:rFonts w:cs="宋体"/>
          <w:b/>
          <w:color w:val="auto"/>
          <w:sz w:val="32"/>
          <w:szCs w:val="32"/>
        </w:rPr>
      </w:pPr>
      <w:r>
        <w:rPr>
          <w:rFonts w:hint="eastAsia" w:cs="宋体"/>
          <w:b/>
          <w:color w:val="auto"/>
          <w:sz w:val="32"/>
          <w:szCs w:val="32"/>
        </w:rPr>
        <w:t>项目经理质量终身责任制承诺</w:t>
      </w:r>
      <w:bookmarkEnd w:id="1181"/>
      <w:bookmarkEnd w:id="1182"/>
      <w:bookmarkEnd w:id="1183"/>
    </w:p>
    <w:p w14:paraId="4A821477">
      <w:pPr>
        <w:spacing w:line="360" w:lineRule="auto"/>
        <w:rPr>
          <w:rFonts w:hint="eastAsia" w:cs="宋体"/>
          <w:bCs/>
          <w:color w:val="auto"/>
          <w:sz w:val="21"/>
          <w:szCs w:val="21"/>
        </w:rPr>
      </w:pPr>
    </w:p>
    <w:p w14:paraId="0AC9690C">
      <w:pPr>
        <w:spacing w:line="360" w:lineRule="auto"/>
        <w:rPr>
          <w:rFonts w:cs="宋体"/>
          <w:bCs/>
          <w:color w:val="auto"/>
          <w:sz w:val="21"/>
          <w:szCs w:val="21"/>
        </w:rPr>
      </w:pPr>
      <w:r>
        <w:rPr>
          <w:rFonts w:hint="eastAsia" w:cs="宋体"/>
          <w:bCs/>
          <w:color w:val="auto"/>
          <w:sz w:val="21"/>
          <w:szCs w:val="21"/>
        </w:rPr>
        <w:t>致：</w:t>
      </w:r>
      <w:r>
        <w:rPr>
          <w:rFonts w:hint="eastAsia" w:cs="宋体"/>
          <w:bCs/>
          <w:color w:val="auto"/>
          <w:sz w:val="21"/>
          <w:szCs w:val="21"/>
          <w:u w:val="single"/>
        </w:rPr>
        <w:t>（采购人）</w:t>
      </w:r>
    </w:p>
    <w:p w14:paraId="0B8C708F">
      <w:pPr>
        <w:spacing w:line="360" w:lineRule="auto"/>
        <w:ind w:firstLine="420" w:firstLineChars="200"/>
        <w:rPr>
          <w:rFonts w:cs="宋体"/>
          <w:bCs/>
          <w:color w:val="auto"/>
          <w:sz w:val="21"/>
          <w:szCs w:val="21"/>
        </w:rPr>
      </w:pPr>
      <w:r>
        <w:rPr>
          <w:rFonts w:hint="eastAsia" w:cs="宋体"/>
          <w:bCs/>
          <w:color w:val="auto"/>
          <w:sz w:val="21"/>
          <w:szCs w:val="21"/>
        </w:rPr>
        <w:t>本人作为施工项目经理，承担相关质量终身责任，现郑重承诺如下：</w:t>
      </w:r>
    </w:p>
    <w:p w14:paraId="05B049D8">
      <w:pPr>
        <w:spacing w:line="360" w:lineRule="auto"/>
        <w:ind w:firstLine="420" w:firstLineChars="200"/>
        <w:rPr>
          <w:rFonts w:cs="宋体"/>
          <w:bCs/>
          <w:color w:val="auto"/>
          <w:sz w:val="21"/>
          <w:szCs w:val="21"/>
        </w:rPr>
      </w:pPr>
      <w:r>
        <w:rPr>
          <w:rFonts w:hint="eastAsia" w:cs="宋体"/>
          <w:bCs/>
          <w:color w:val="auto"/>
          <w:sz w:val="21"/>
          <w:szCs w:val="21"/>
        </w:rPr>
        <w:t>一、在取得施工许可证后进行施工。</w:t>
      </w:r>
    </w:p>
    <w:p w14:paraId="5F6278D2">
      <w:pPr>
        <w:spacing w:line="360" w:lineRule="auto"/>
        <w:ind w:firstLine="420" w:firstLineChars="200"/>
        <w:rPr>
          <w:rFonts w:cs="宋体"/>
          <w:bCs/>
          <w:color w:val="auto"/>
          <w:sz w:val="21"/>
          <w:szCs w:val="21"/>
        </w:rPr>
      </w:pPr>
      <w:r>
        <w:rPr>
          <w:rFonts w:hint="eastAsia" w:cs="宋体"/>
          <w:bCs/>
          <w:color w:val="auto"/>
          <w:sz w:val="21"/>
          <w:szCs w:val="21"/>
        </w:rPr>
        <w:t>二、严格执行施工规范及标准。</w:t>
      </w:r>
    </w:p>
    <w:p w14:paraId="7FBEE557">
      <w:pPr>
        <w:spacing w:line="360" w:lineRule="auto"/>
        <w:ind w:firstLine="420" w:firstLineChars="200"/>
        <w:rPr>
          <w:rFonts w:cs="宋体"/>
          <w:bCs/>
          <w:color w:val="auto"/>
          <w:sz w:val="21"/>
          <w:szCs w:val="21"/>
        </w:rPr>
      </w:pPr>
      <w:r>
        <w:rPr>
          <w:rFonts w:hint="eastAsia" w:cs="宋体"/>
          <w:bCs/>
          <w:color w:val="auto"/>
          <w:sz w:val="21"/>
          <w:szCs w:val="21"/>
        </w:rPr>
        <w:t>三、严格按规定配备施工项目部关键岗位人员，并确保所有人员到岗履职。</w:t>
      </w:r>
    </w:p>
    <w:p w14:paraId="226926CA">
      <w:pPr>
        <w:spacing w:line="360" w:lineRule="auto"/>
        <w:ind w:firstLine="420" w:firstLineChars="200"/>
        <w:rPr>
          <w:rFonts w:cs="宋体"/>
          <w:bCs/>
          <w:color w:val="auto"/>
          <w:sz w:val="21"/>
          <w:szCs w:val="21"/>
        </w:rPr>
      </w:pPr>
      <w:r>
        <w:rPr>
          <w:rFonts w:hint="eastAsia" w:cs="宋体"/>
          <w:bCs/>
          <w:color w:val="auto"/>
          <w:sz w:val="21"/>
          <w:szCs w:val="21"/>
        </w:rPr>
        <w:t>四、严格按照经施工图审查机构审查合格的工程设计文件及合同约定的质量标准精心组织施工。</w:t>
      </w:r>
    </w:p>
    <w:p w14:paraId="68AC198A">
      <w:pPr>
        <w:spacing w:line="360" w:lineRule="auto"/>
        <w:ind w:firstLine="420" w:firstLineChars="200"/>
        <w:rPr>
          <w:rFonts w:cs="宋体"/>
          <w:bCs/>
          <w:color w:val="auto"/>
          <w:sz w:val="21"/>
          <w:szCs w:val="21"/>
        </w:rPr>
      </w:pPr>
      <w:r>
        <w:rPr>
          <w:rFonts w:hint="eastAsia" w:cs="宋体"/>
          <w:bCs/>
          <w:color w:val="auto"/>
          <w:sz w:val="21"/>
          <w:szCs w:val="21"/>
        </w:rPr>
        <w:t>五、施工中采用合格的建筑材料、建筑构配件和设备等，并严格按规定执行见证取样制度。</w:t>
      </w:r>
    </w:p>
    <w:p w14:paraId="0E5F5613">
      <w:pPr>
        <w:spacing w:line="360" w:lineRule="auto"/>
        <w:ind w:firstLine="420" w:firstLineChars="200"/>
        <w:rPr>
          <w:rFonts w:cs="宋体"/>
          <w:bCs/>
          <w:color w:val="auto"/>
          <w:sz w:val="21"/>
          <w:szCs w:val="21"/>
        </w:rPr>
      </w:pPr>
      <w:r>
        <w:rPr>
          <w:rFonts w:hint="eastAsia" w:cs="宋体"/>
          <w:bCs/>
          <w:color w:val="auto"/>
          <w:sz w:val="21"/>
          <w:szCs w:val="21"/>
        </w:rPr>
        <w:t>六、建立、健全质量检查、验收制度，严格工序管理，做好隐蔽工程质量的检查和记录。</w:t>
      </w:r>
    </w:p>
    <w:p w14:paraId="5524E62B">
      <w:pPr>
        <w:spacing w:line="360" w:lineRule="auto"/>
        <w:ind w:firstLine="420" w:firstLineChars="200"/>
        <w:rPr>
          <w:rFonts w:cs="宋体"/>
          <w:bCs/>
          <w:color w:val="auto"/>
          <w:sz w:val="21"/>
          <w:szCs w:val="21"/>
        </w:rPr>
      </w:pPr>
      <w:r>
        <w:rPr>
          <w:rFonts w:hint="eastAsia" w:cs="宋体"/>
          <w:bCs/>
          <w:color w:val="auto"/>
          <w:sz w:val="21"/>
          <w:szCs w:val="21"/>
        </w:rPr>
        <w:t>七、对施工中出现的质量问题，及时进行整改。严格依法依规履行义务。</w:t>
      </w:r>
    </w:p>
    <w:p w14:paraId="078CCBAC">
      <w:pPr>
        <w:spacing w:line="360" w:lineRule="auto"/>
        <w:ind w:firstLine="420" w:firstLineChars="200"/>
        <w:rPr>
          <w:rFonts w:cs="宋体"/>
          <w:bCs/>
          <w:color w:val="auto"/>
          <w:sz w:val="21"/>
          <w:szCs w:val="21"/>
        </w:rPr>
      </w:pPr>
      <w:r>
        <w:rPr>
          <w:rFonts w:hint="eastAsia" w:cs="宋体"/>
          <w:bCs/>
          <w:color w:val="auto"/>
          <w:sz w:val="21"/>
          <w:szCs w:val="21"/>
        </w:rPr>
        <w:t>八、履行相关工程质量检查、验收及事故处理等职责。</w:t>
      </w:r>
    </w:p>
    <w:p w14:paraId="185728DA">
      <w:pPr>
        <w:spacing w:line="360" w:lineRule="auto"/>
        <w:ind w:firstLine="420" w:firstLineChars="200"/>
        <w:rPr>
          <w:rFonts w:cs="宋体"/>
          <w:bCs/>
          <w:color w:val="auto"/>
          <w:sz w:val="21"/>
          <w:szCs w:val="21"/>
        </w:rPr>
      </w:pPr>
      <w:r>
        <w:rPr>
          <w:rFonts w:hint="eastAsia" w:cs="宋体"/>
          <w:bCs/>
          <w:color w:val="auto"/>
          <w:sz w:val="21"/>
          <w:szCs w:val="21"/>
        </w:rPr>
        <w:t>九、履行其他法律法规规定的职责。</w:t>
      </w:r>
    </w:p>
    <w:p w14:paraId="3A832B67">
      <w:pPr>
        <w:spacing w:line="360" w:lineRule="auto"/>
        <w:ind w:left="359" w:leftChars="171" w:firstLine="630" w:firstLineChars="300"/>
        <w:rPr>
          <w:rFonts w:cs="宋体"/>
          <w:bCs/>
          <w:color w:val="auto"/>
          <w:sz w:val="21"/>
          <w:szCs w:val="21"/>
        </w:rPr>
      </w:pPr>
    </w:p>
    <w:p w14:paraId="1FB30F81">
      <w:pPr>
        <w:spacing w:line="360" w:lineRule="auto"/>
        <w:ind w:left="359" w:leftChars="171" w:firstLine="630" w:firstLineChars="300"/>
        <w:rPr>
          <w:rFonts w:cs="宋体"/>
          <w:bCs/>
          <w:color w:val="auto"/>
          <w:sz w:val="21"/>
          <w:szCs w:val="21"/>
        </w:rPr>
      </w:pPr>
    </w:p>
    <w:p w14:paraId="2E998C41">
      <w:pPr>
        <w:spacing w:line="360" w:lineRule="auto"/>
        <w:ind w:left="359" w:leftChars="171" w:firstLine="630" w:firstLineChars="300"/>
        <w:rPr>
          <w:rFonts w:cs="宋体"/>
          <w:bCs/>
          <w:color w:val="auto"/>
          <w:sz w:val="21"/>
          <w:szCs w:val="21"/>
        </w:rPr>
      </w:pPr>
      <w:r>
        <w:rPr>
          <w:rFonts w:hint="eastAsia" w:cs="宋体"/>
          <w:bCs/>
          <w:color w:val="auto"/>
          <w:sz w:val="21"/>
          <w:szCs w:val="21"/>
        </w:rPr>
        <w:t>项目经理：</w:t>
      </w:r>
      <w:r>
        <w:rPr>
          <w:rFonts w:hint="eastAsia" w:cs="宋体"/>
          <w:bCs/>
          <w:color w:val="auto"/>
          <w:sz w:val="21"/>
          <w:szCs w:val="21"/>
          <w:u w:val="single"/>
        </w:rPr>
        <w:t xml:space="preserve">                   </w:t>
      </w:r>
      <w:r>
        <w:rPr>
          <w:rFonts w:hint="eastAsia" w:cs="宋体"/>
          <w:bCs/>
          <w:color w:val="auto"/>
          <w:sz w:val="21"/>
          <w:szCs w:val="21"/>
        </w:rPr>
        <w:t>（签字）</w:t>
      </w:r>
    </w:p>
    <w:p w14:paraId="50515689">
      <w:pPr>
        <w:spacing w:line="360" w:lineRule="auto"/>
        <w:ind w:left="359" w:leftChars="171" w:firstLine="630" w:firstLineChars="300"/>
        <w:rPr>
          <w:rFonts w:cs="宋体"/>
          <w:bCs/>
          <w:color w:val="auto"/>
          <w:sz w:val="21"/>
          <w:szCs w:val="21"/>
        </w:rPr>
      </w:pPr>
      <w:r>
        <w:rPr>
          <w:rFonts w:hint="eastAsia" w:cs="宋体"/>
          <w:bCs/>
          <w:color w:val="auto"/>
          <w:sz w:val="21"/>
          <w:szCs w:val="21"/>
        </w:rPr>
        <w:t>日期：_____年____月____日</w:t>
      </w:r>
    </w:p>
    <w:p w14:paraId="4B04B3AA">
      <w:pPr>
        <w:pStyle w:val="8"/>
        <w:tabs>
          <w:tab w:val="left" w:pos="567"/>
        </w:tabs>
        <w:rPr>
          <w:rFonts w:ascii="宋体" w:hAnsi="宋体" w:eastAsia="宋体" w:cs="宋体"/>
          <w:bCs/>
          <w:color w:val="auto"/>
          <w:sz w:val="21"/>
          <w:szCs w:val="21"/>
        </w:rPr>
      </w:pPr>
    </w:p>
    <w:p w14:paraId="7B649C0E">
      <w:pPr>
        <w:wordWrap/>
        <w:adjustRightInd/>
        <w:snapToGrid w:val="0"/>
        <w:spacing w:line="360" w:lineRule="auto"/>
        <w:ind w:firstLine="480" w:firstLineChars="200"/>
        <w:textAlignment w:val="auto"/>
        <w:rPr>
          <w:rFonts w:hint="eastAsia" w:ascii="宋体" w:hAnsi="宋体" w:eastAsia="宋体" w:cs="宋体"/>
          <w:color w:val="auto"/>
          <w:sz w:val="24"/>
          <w:szCs w:val="21"/>
          <w:u w:val="single"/>
          <w:lang w:val="zh-CN"/>
        </w:rPr>
      </w:pPr>
    </w:p>
    <w:p w14:paraId="066E8511">
      <w:pPr>
        <w:rPr>
          <w:rFonts w:hint="eastAsia" w:ascii="宋体" w:hAnsi="宋体" w:eastAsia="宋体" w:cs="宋体"/>
          <w:color w:val="auto"/>
          <w:kern w:val="0"/>
          <w:sz w:val="18"/>
          <w:szCs w:val="18"/>
        </w:rPr>
      </w:pPr>
    </w:p>
    <w:p w14:paraId="06D5B6D1">
      <w:pPr>
        <w:rPr>
          <w:rFonts w:hint="eastAsia" w:ascii="宋体" w:hAnsi="宋体" w:eastAsia="宋体" w:cs="宋体"/>
          <w:color w:val="auto"/>
          <w:kern w:val="0"/>
          <w:sz w:val="18"/>
          <w:szCs w:val="18"/>
        </w:rPr>
      </w:pPr>
    </w:p>
    <w:p w14:paraId="60F87E1B">
      <w:pPr>
        <w:rPr>
          <w:rFonts w:hint="eastAsia" w:ascii="宋体" w:hAnsi="宋体" w:eastAsia="宋体" w:cs="宋体"/>
          <w:color w:val="auto"/>
          <w:kern w:val="0"/>
          <w:sz w:val="18"/>
          <w:szCs w:val="18"/>
        </w:rPr>
      </w:pPr>
    </w:p>
    <w:p w14:paraId="63FA8206">
      <w:pPr>
        <w:rPr>
          <w:rFonts w:hint="eastAsia" w:ascii="宋体" w:hAnsi="宋体" w:eastAsia="宋体" w:cs="宋体"/>
          <w:color w:val="auto"/>
          <w:kern w:val="0"/>
          <w:sz w:val="18"/>
          <w:szCs w:val="18"/>
        </w:rPr>
      </w:pPr>
    </w:p>
    <w:p w14:paraId="41B70AF3">
      <w:pPr>
        <w:rPr>
          <w:rFonts w:hint="eastAsia" w:ascii="宋体" w:hAnsi="宋体" w:eastAsia="宋体" w:cs="宋体"/>
          <w:color w:val="auto"/>
          <w:kern w:val="0"/>
          <w:sz w:val="18"/>
          <w:szCs w:val="18"/>
        </w:rPr>
      </w:pPr>
    </w:p>
    <w:p w14:paraId="39A68E87">
      <w:pPr>
        <w:numPr>
          <w:ilvl w:val="0"/>
          <w:numId w:val="0"/>
        </w:numPr>
        <w:spacing w:line="360" w:lineRule="auto"/>
        <w:jc w:val="both"/>
        <w:outlineLvl w:val="0"/>
        <w:rPr>
          <w:rFonts w:hint="eastAsia" w:ascii="宋体" w:hAnsi="宋体" w:eastAsia="宋体" w:cs="宋体"/>
          <w:b/>
          <w:color w:val="auto"/>
          <w:kern w:val="2"/>
          <w:sz w:val="36"/>
          <w:szCs w:val="36"/>
          <w:lang w:val="en-US" w:eastAsia="zh-CN" w:bidi="ar-SA"/>
        </w:rPr>
      </w:pPr>
      <w:r>
        <w:rPr>
          <w:rFonts w:hint="eastAsia" w:ascii="宋体" w:hAnsi="宋体" w:cs="宋体"/>
          <w:b/>
          <w:color w:val="auto"/>
          <w:kern w:val="2"/>
          <w:sz w:val="28"/>
          <w:szCs w:val="28"/>
          <w:lang w:val="en-US" w:eastAsia="zh-CN" w:bidi="ar-SA"/>
        </w:rPr>
        <w:t>以实际签订合同为准，保留双方对合同条款进行再细化量化的权义。</w:t>
      </w:r>
    </w:p>
    <w:p w14:paraId="691242B9">
      <w:pPr>
        <w:pStyle w:val="8"/>
        <w:tabs>
          <w:tab w:val="left" w:pos="567"/>
        </w:tabs>
        <w:rPr>
          <w:rFonts w:hint="eastAsia"/>
          <w:color w:val="auto"/>
          <w:lang w:val="en-US" w:eastAsia="zh-CN"/>
        </w:rPr>
      </w:pPr>
    </w:p>
    <w:p w14:paraId="464AD363">
      <w:pPr>
        <w:pStyle w:val="8"/>
        <w:tabs>
          <w:tab w:val="left" w:pos="567"/>
        </w:tabs>
        <w:rPr>
          <w:rFonts w:hint="eastAsia"/>
          <w:color w:val="auto"/>
          <w:lang w:val="en-US" w:eastAsia="zh-CN"/>
        </w:rPr>
      </w:pPr>
    </w:p>
    <w:p w14:paraId="2F3F182C">
      <w:pPr>
        <w:pStyle w:val="8"/>
        <w:tabs>
          <w:tab w:val="left" w:pos="567"/>
        </w:tabs>
        <w:rPr>
          <w:rFonts w:hint="eastAsia"/>
          <w:color w:val="auto"/>
          <w:lang w:val="en-US" w:eastAsia="zh-CN"/>
        </w:rPr>
      </w:pPr>
    </w:p>
    <w:p w14:paraId="6EE46CB0">
      <w:pPr>
        <w:pStyle w:val="8"/>
        <w:tabs>
          <w:tab w:val="left" w:pos="567"/>
        </w:tabs>
        <w:rPr>
          <w:rFonts w:hint="eastAsia"/>
          <w:color w:val="auto"/>
          <w:lang w:val="en-US" w:eastAsia="zh-CN"/>
        </w:rPr>
      </w:pPr>
    </w:p>
    <w:p w14:paraId="37A8A5C6">
      <w:pPr>
        <w:pStyle w:val="8"/>
        <w:tabs>
          <w:tab w:val="left" w:pos="567"/>
        </w:tabs>
        <w:rPr>
          <w:rFonts w:hint="eastAsia"/>
          <w:color w:val="auto"/>
          <w:lang w:val="en-US" w:eastAsia="zh-CN"/>
        </w:rPr>
      </w:pPr>
    </w:p>
    <w:p w14:paraId="7C9AE960">
      <w:pPr>
        <w:pStyle w:val="8"/>
        <w:tabs>
          <w:tab w:val="left" w:pos="567"/>
        </w:tabs>
        <w:rPr>
          <w:rFonts w:hint="eastAsia"/>
          <w:color w:val="auto"/>
          <w:lang w:val="en-US" w:eastAsia="zh-CN"/>
        </w:rPr>
      </w:pPr>
    </w:p>
    <w:p w14:paraId="3D84990A">
      <w:pPr>
        <w:pStyle w:val="8"/>
        <w:tabs>
          <w:tab w:val="left" w:pos="567"/>
        </w:tabs>
        <w:rPr>
          <w:rFonts w:hint="eastAsia"/>
          <w:color w:val="auto"/>
          <w:lang w:val="en-US" w:eastAsia="zh-CN"/>
        </w:rPr>
      </w:pPr>
    </w:p>
    <w:p w14:paraId="520FEC43">
      <w:pPr>
        <w:pageBreakBefore w:val="0"/>
        <w:kinsoku/>
        <w:wordWrap/>
        <w:overflowPunct w:val="0"/>
        <w:topLinePunct w:val="0"/>
        <w:bidi w:val="0"/>
        <w:spacing w:line="273" w:lineRule="auto"/>
        <w:rPr>
          <w:rFonts w:hint="eastAsia" w:ascii="宋体" w:hAnsi="宋体" w:eastAsia="宋体" w:cs="宋体"/>
          <w:highlight w:val="none"/>
          <w:lang w:eastAsia="zh-CN"/>
        </w:rPr>
      </w:pPr>
    </w:p>
    <w:p w14:paraId="6496D023">
      <w:pPr>
        <w:pStyle w:val="8"/>
        <w:pageBreakBefore w:val="0"/>
        <w:kinsoku/>
        <w:wordWrap/>
        <w:overflowPunct w:val="0"/>
        <w:topLinePunct w:val="0"/>
        <w:bidi w:val="0"/>
        <w:spacing w:before="91" w:line="219" w:lineRule="auto"/>
        <w:jc w:val="center"/>
        <w:outlineLvl w:val="1"/>
        <w:rPr>
          <w:rFonts w:hint="eastAsia" w:ascii="宋体" w:hAnsi="宋体" w:eastAsia="宋体" w:cs="宋体"/>
          <w:sz w:val="32"/>
          <w:szCs w:val="32"/>
          <w:highlight w:val="none"/>
          <w:lang w:eastAsia="zh-CN"/>
        </w:rPr>
      </w:pPr>
    </w:p>
    <w:p w14:paraId="4AF77A38">
      <w:pPr>
        <w:pStyle w:val="8"/>
        <w:pageBreakBefore w:val="0"/>
        <w:kinsoku/>
        <w:wordWrap/>
        <w:overflowPunct w:val="0"/>
        <w:topLinePunct w:val="0"/>
        <w:bidi w:val="0"/>
        <w:spacing w:before="91" w:line="219" w:lineRule="auto"/>
        <w:jc w:val="center"/>
        <w:outlineLvl w:val="1"/>
        <w:rPr>
          <w:rFonts w:hint="eastAsia" w:ascii="宋体" w:hAnsi="宋体" w:eastAsia="宋体" w:cs="宋体"/>
          <w:sz w:val="32"/>
          <w:szCs w:val="32"/>
          <w:highlight w:val="none"/>
          <w:lang w:eastAsia="zh-CN"/>
        </w:rPr>
      </w:pPr>
    </w:p>
    <w:p w14:paraId="1D87CC76">
      <w:pPr>
        <w:pStyle w:val="8"/>
        <w:pageBreakBefore w:val="0"/>
        <w:kinsoku/>
        <w:wordWrap/>
        <w:overflowPunct w:val="0"/>
        <w:topLinePunct w:val="0"/>
        <w:bidi w:val="0"/>
        <w:spacing w:before="91" w:line="219" w:lineRule="auto"/>
        <w:jc w:val="center"/>
        <w:outlineLvl w:val="1"/>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第六章</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eastAsia="zh-CN"/>
        </w:rPr>
        <w:t>响应文件格式</w:t>
      </w:r>
    </w:p>
    <w:p w14:paraId="7509EE5A">
      <w:pPr>
        <w:pageBreakBefore w:val="0"/>
        <w:kinsoku/>
        <w:wordWrap/>
        <w:overflowPunct w:val="0"/>
        <w:topLinePunct w:val="0"/>
        <w:bidi w:val="0"/>
        <w:spacing w:line="242" w:lineRule="auto"/>
        <w:rPr>
          <w:rFonts w:hint="eastAsia" w:ascii="宋体" w:hAnsi="宋体" w:eastAsia="宋体" w:cs="宋体"/>
          <w:highlight w:val="none"/>
          <w:lang w:eastAsia="zh-CN"/>
        </w:rPr>
      </w:pPr>
    </w:p>
    <w:p w14:paraId="5CDFD756">
      <w:pPr>
        <w:pageBreakBefore w:val="0"/>
        <w:kinsoku/>
        <w:wordWrap/>
        <w:overflowPunct w:val="0"/>
        <w:topLinePunct w:val="0"/>
        <w:bidi w:val="0"/>
        <w:spacing w:line="242" w:lineRule="auto"/>
        <w:rPr>
          <w:rFonts w:hint="eastAsia" w:ascii="宋体" w:hAnsi="宋体" w:eastAsia="宋体" w:cs="宋体"/>
          <w:highlight w:val="none"/>
          <w:lang w:eastAsia="zh-CN"/>
        </w:rPr>
      </w:pPr>
    </w:p>
    <w:p w14:paraId="7CD7827C">
      <w:pPr>
        <w:pageBreakBefore w:val="0"/>
        <w:kinsoku/>
        <w:wordWrap/>
        <w:overflowPunct w:val="0"/>
        <w:topLinePunct w:val="0"/>
        <w:bidi w:val="0"/>
        <w:spacing w:line="242" w:lineRule="auto"/>
        <w:rPr>
          <w:rFonts w:hint="eastAsia" w:ascii="宋体" w:hAnsi="宋体" w:eastAsia="宋体" w:cs="宋体"/>
          <w:highlight w:val="none"/>
          <w:lang w:eastAsia="zh-CN"/>
        </w:rPr>
      </w:pPr>
    </w:p>
    <w:p w14:paraId="6541DBBE">
      <w:pPr>
        <w:pageBreakBefore w:val="0"/>
        <w:kinsoku/>
        <w:wordWrap/>
        <w:overflowPunct w:val="0"/>
        <w:topLinePunct w:val="0"/>
        <w:bidi w:val="0"/>
        <w:spacing w:line="242" w:lineRule="auto"/>
        <w:rPr>
          <w:rFonts w:hint="eastAsia" w:ascii="宋体" w:hAnsi="宋体" w:eastAsia="宋体" w:cs="宋体"/>
          <w:highlight w:val="none"/>
          <w:lang w:eastAsia="zh-CN"/>
        </w:rPr>
      </w:pPr>
    </w:p>
    <w:p w14:paraId="4E6F9D04">
      <w:pPr>
        <w:pageBreakBefore w:val="0"/>
        <w:kinsoku/>
        <w:wordWrap/>
        <w:overflowPunct w:val="0"/>
        <w:topLinePunct w:val="0"/>
        <w:bidi w:val="0"/>
        <w:spacing w:line="242" w:lineRule="auto"/>
        <w:rPr>
          <w:rFonts w:hint="eastAsia" w:ascii="宋体" w:hAnsi="宋体" w:eastAsia="宋体" w:cs="宋体"/>
          <w:highlight w:val="none"/>
          <w:lang w:eastAsia="zh-CN"/>
        </w:rPr>
      </w:pPr>
    </w:p>
    <w:p w14:paraId="7A7CBD0E">
      <w:pPr>
        <w:pageBreakBefore w:val="0"/>
        <w:kinsoku/>
        <w:wordWrap/>
        <w:overflowPunct w:val="0"/>
        <w:topLinePunct w:val="0"/>
        <w:bidi w:val="0"/>
        <w:spacing w:line="242" w:lineRule="auto"/>
        <w:rPr>
          <w:rFonts w:hint="eastAsia" w:ascii="宋体" w:hAnsi="宋体" w:eastAsia="宋体" w:cs="宋体"/>
          <w:highlight w:val="none"/>
          <w:lang w:eastAsia="zh-CN"/>
        </w:rPr>
      </w:pPr>
    </w:p>
    <w:p w14:paraId="4CCD1E88">
      <w:pPr>
        <w:pageBreakBefore w:val="0"/>
        <w:kinsoku/>
        <w:wordWrap/>
        <w:overflowPunct w:val="0"/>
        <w:topLinePunct w:val="0"/>
        <w:bidi w:val="0"/>
        <w:spacing w:line="242" w:lineRule="auto"/>
        <w:rPr>
          <w:rFonts w:hint="eastAsia" w:ascii="宋体" w:hAnsi="宋体" w:eastAsia="宋体" w:cs="宋体"/>
          <w:highlight w:val="none"/>
          <w:lang w:eastAsia="zh-CN"/>
        </w:rPr>
      </w:pPr>
    </w:p>
    <w:p w14:paraId="130F6F73">
      <w:pPr>
        <w:pStyle w:val="8"/>
        <w:pageBreakBefore w:val="0"/>
        <w:kinsoku/>
        <w:wordWrap/>
        <w:overflowPunct w:val="0"/>
        <w:topLinePunct w:val="0"/>
        <w:bidi w:val="0"/>
        <w:spacing w:before="91" w:line="220" w:lineRule="auto"/>
        <w:ind w:left="3334" w:firstLine="278" w:firstLineChars="100"/>
        <w:rPr>
          <w:rFonts w:hint="eastAsia" w:ascii="宋体" w:hAnsi="宋体" w:eastAsia="宋体" w:cs="宋体"/>
          <w:highlight w:val="none"/>
          <w:lang w:eastAsia="zh-CN"/>
        </w:rPr>
      </w:pPr>
      <w:r>
        <w:rPr>
          <w:rFonts w:hint="eastAsia" w:ascii="宋体" w:hAnsi="宋体" w:eastAsia="宋体" w:cs="宋体"/>
          <w:spacing w:val="-1"/>
          <w:highlight w:val="none"/>
          <w:lang w:eastAsia="zh-CN"/>
        </w:rPr>
        <w:t>响应文件</w:t>
      </w:r>
    </w:p>
    <w:p w14:paraId="7AE1E8FE">
      <w:pPr>
        <w:pageBreakBefore w:val="0"/>
        <w:kinsoku/>
        <w:wordWrap/>
        <w:overflowPunct w:val="0"/>
        <w:topLinePunct w:val="0"/>
        <w:bidi w:val="0"/>
        <w:spacing w:line="272" w:lineRule="auto"/>
        <w:rPr>
          <w:rFonts w:hint="eastAsia" w:ascii="宋体" w:hAnsi="宋体" w:eastAsia="宋体" w:cs="宋体"/>
          <w:highlight w:val="none"/>
          <w:lang w:eastAsia="zh-CN"/>
        </w:rPr>
      </w:pPr>
    </w:p>
    <w:p w14:paraId="0AA35B83">
      <w:pPr>
        <w:pageBreakBefore w:val="0"/>
        <w:kinsoku/>
        <w:wordWrap/>
        <w:overflowPunct w:val="0"/>
        <w:topLinePunct w:val="0"/>
        <w:bidi w:val="0"/>
        <w:spacing w:line="273" w:lineRule="auto"/>
        <w:rPr>
          <w:rFonts w:hint="eastAsia" w:ascii="宋体" w:hAnsi="宋体" w:eastAsia="宋体" w:cs="宋体"/>
          <w:highlight w:val="none"/>
          <w:lang w:eastAsia="zh-CN"/>
        </w:rPr>
      </w:pPr>
    </w:p>
    <w:p w14:paraId="7A7ADEBA">
      <w:pPr>
        <w:pageBreakBefore w:val="0"/>
        <w:kinsoku/>
        <w:wordWrap/>
        <w:overflowPunct w:val="0"/>
        <w:topLinePunct w:val="0"/>
        <w:bidi w:val="0"/>
        <w:spacing w:line="273" w:lineRule="auto"/>
        <w:rPr>
          <w:rFonts w:hint="eastAsia" w:ascii="宋体" w:hAnsi="宋体" w:eastAsia="宋体" w:cs="宋体"/>
          <w:highlight w:val="none"/>
          <w:lang w:eastAsia="zh-CN"/>
        </w:rPr>
      </w:pPr>
    </w:p>
    <w:p w14:paraId="154CB3F3">
      <w:pPr>
        <w:pStyle w:val="8"/>
        <w:pageBreakBefore w:val="0"/>
        <w:kinsoku/>
        <w:wordWrap/>
        <w:overflowPunct w:val="0"/>
        <w:topLinePunct w:val="0"/>
        <w:bidi w:val="0"/>
        <w:spacing w:before="91" w:line="624" w:lineRule="exact"/>
        <w:ind w:left="377"/>
        <w:rPr>
          <w:rFonts w:hint="eastAsia" w:ascii="宋体" w:hAnsi="宋体" w:eastAsia="宋体" w:cs="宋体"/>
          <w:highlight w:val="none"/>
          <w:lang w:eastAsia="zh-CN"/>
        </w:rPr>
      </w:pPr>
      <w:r>
        <w:rPr>
          <w:rFonts w:hint="eastAsia" w:ascii="宋体" w:hAnsi="宋体" w:eastAsia="宋体" w:cs="宋体"/>
          <w:spacing w:val="-3"/>
          <w:position w:val="26"/>
          <w:highlight w:val="none"/>
          <w:lang w:eastAsia="zh-CN"/>
        </w:rPr>
        <w:t>项目编号：</w:t>
      </w:r>
    </w:p>
    <w:p w14:paraId="40A1202A">
      <w:pPr>
        <w:pStyle w:val="8"/>
        <w:pageBreakBefore w:val="0"/>
        <w:kinsoku/>
        <w:wordWrap/>
        <w:overflowPunct w:val="0"/>
        <w:topLinePunct w:val="0"/>
        <w:bidi w:val="0"/>
        <w:spacing w:before="1" w:line="220" w:lineRule="auto"/>
        <w:ind w:left="377"/>
        <w:rPr>
          <w:rFonts w:hint="eastAsia" w:ascii="宋体" w:hAnsi="宋体" w:eastAsia="宋体" w:cs="宋体"/>
          <w:highlight w:val="none"/>
          <w:lang w:eastAsia="zh-CN"/>
        </w:rPr>
      </w:pPr>
      <w:r>
        <w:rPr>
          <w:rFonts w:hint="eastAsia" w:ascii="宋体" w:hAnsi="宋体" w:eastAsia="宋体" w:cs="宋体"/>
          <w:spacing w:val="-3"/>
          <w:highlight w:val="none"/>
          <w:lang w:eastAsia="zh-CN"/>
        </w:rPr>
        <w:t>项目名称：</w:t>
      </w:r>
    </w:p>
    <w:p w14:paraId="04C6255D">
      <w:pPr>
        <w:pageBreakBefore w:val="0"/>
        <w:kinsoku/>
        <w:wordWrap/>
        <w:overflowPunct w:val="0"/>
        <w:topLinePunct w:val="0"/>
        <w:bidi w:val="0"/>
        <w:spacing w:line="252" w:lineRule="auto"/>
        <w:rPr>
          <w:rFonts w:hint="eastAsia" w:ascii="宋体" w:hAnsi="宋体" w:eastAsia="宋体" w:cs="宋体"/>
          <w:highlight w:val="none"/>
          <w:lang w:eastAsia="zh-CN"/>
        </w:rPr>
      </w:pPr>
    </w:p>
    <w:p w14:paraId="16A5474A">
      <w:pPr>
        <w:pageBreakBefore w:val="0"/>
        <w:kinsoku/>
        <w:wordWrap/>
        <w:overflowPunct w:val="0"/>
        <w:topLinePunct w:val="0"/>
        <w:bidi w:val="0"/>
        <w:spacing w:line="252" w:lineRule="auto"/>
        <w:rPr>
          <w:rFonts w:hint="eastAsia" w:ascii="宋体" w:hAnsi="宋体" w:eastAsia="宋体" w:cs="宋体"/>
          <w:highlight w:val="none"/>
          <w:lang w:eastAsia="zh-CN"/>
        </w:rPr>
      </w:pPr>
    </w:p>
    <w:p w14:paraId="6BC75AFC">
      <w:pPr>
        <w:pageBreakBefore w:val="0"/>
        <w:kinsoku/>
        <w:wordWrap/>
        <w:overflowPunct w:val="0"/>
        <w:topLinePunct w:val="0"/>
        <w:bidi w:val="0"/>
        <w:spacing w:line="252" w:lineRule="auto"/>
        <w:rPr>
          <w:rFonts w:hint="eastAsia" w:ascii="宋体" w:hAnsi="宋体" w:eastAsia="宋体" w:cs="宋体"/>
          <w:highlight w:val="none"/>
          <w:lang w:eastAsia="zh-CN"/>
        </w:rPr>
      </w:pPr>
    </w:p>
    <w:p w14:paraId="6C0B5826">
      <w:pPr>
        <w:pageBreakBefore w:val="0"/>
        <w:kinsoku/>
        <w:wordWrap/>
        <w:overflowPunct w:val="0"/>
        <w:topLinePunct w:val="0"/>
        <w:bidi w:val="0"/>
        <w:spacing w:line="252" w:lineRule="auto"/>
        <w:rPr>
          <w:rFonts w:hint="eastAsia" w:ascii="宋体" w:hAnsi="宋体" w:eastAsia="宋体" w:cs="宋体"/>
          <w:highlight w:val="none"/>
          <w:lang w:eastAsia="zh-CN"/>
        </w:rPr>
      </w:pPr>
    </w:p>
    <w:p w14:paraId="7AB2D470">
      <w:pPr>
        <w:pageBreakBefore w:val="0"/>
        <w:kinsoku/>
        <w:wordWrap/>
        <w:overflowPunct w:val="0"/>
        <w:topLinePunct w:val="0"/>
        <w:bidi w:val="0"/>
        <w:spacing w:line="252" w:lineRule="auto"/>
        <w:rPr>
          <w:rFonts w:hint="eastAsia" w:ascii="宋体" w:hAnsi="宋体" w:eastAsia="宋体" w:cs="宋体"/>
          <w:highlight w:val="none"/>
          <w:lang w:eastAsia="zh-CN"/>
        </w:rPr>
      </w:pPr>
    </w:p>
    <w:p w14:paraId="35F6FBA5">
      <w:pPr>
        <w:pageBreakBefore w:val="0"/>
        <w:kinsoku/>
        <w:wordWrap/>
        <w:overflowPunct w:val="0"/>
        <w:topLinePunct w:val="0"/>
        <w:bidi w:val="0"/>
        <w:spacing w:line="252" w:lineRule="auto"/>
        <w:rPr>
          <w:rFonts w:hint="eastAsia" w:ascii="宋体" w:hAnsi="宋体" w:eastAsia="宋体" w:cs="宋体"/>
          <w:highlight w:val="none"/>
          <w:lang w:eastAsia="zh-CN"/>
        </w:rPr>
      </w:pPr>
    </w:p>
    <w:p w14:paraId="1DF5ACCA">
      <w:pPr>
        <w:pageBreakBefore w:val="0"/>
        <w:kinsoku/>
        <w:wordWrap/>
        <w:overflowPunct w:val="0"/>
        <w:topLinePunct w:val="0"/>
        <w:bidi w:val="0"/>
        <w:spacing w:line="252" w:lineRule="auto"/>
        <w:rPr>
          <w:rFonts w:hint="eastAsia" w:ascii="宋体" w:hAnsi="宋体" w:eastAsia="宋体" w:cs="宋体"/>
          <w:highlight w:val="none"/>
          <w:lang w:eastAsia="zh-CN"/>
        </w:rPr>
      </w:pPr>
    </w:p>
    <w:p w14:paraId="718FC57F">
      <w:pPr>
        <w:pageBreakBefore w:val="0"/>
        <w:kinsoku/>
        <w:wordWrap/>
        <w:overflowPunct w:val="0"/>
        <w:topLinePunct w:val="0"/>
        <w:bidi w:val="0"/>
        <w:spacing w:line="252" w:lineRule="auto"/>
        <w:rPr>
          <w:rFonts w:hint="eastAsia" w:ascii="宋体" w:hAnsi="宋体" w:eastAsia="宋体" w:cs="宋体"/>
          <w:highlight w:val="none"/>
          <w:lang w:eastAsia="zh-CN"/>
        </w:rPr>
      </w:pPr>
    </w:p>
    <w:p w14:paraId="311CA99E">
      <w:pPr>
        <w:pageBreakBefore w:val="0"/>
        <w:kinsoku/>
        <w:wordWrap/>
        <w:overflowPunct w:val="0"/>
        <w:topLinePunct w:val="0"/>
        <w:bidi w:val="0"/>
        <w:spacing w:line="252" w:lineRule="auto"/>
        <w:rPr>
          <w:rFonts w:hint="eastAsia" w:ascii="宋体" w:hAnsi="宋体" w:eastAsia="宋体" w:cs="宋体"/>
          <w:highlight w:val="none"/>
          <w:lang w:eastAsia="zh-CN"/>
        </w:rPr>
      </w:pPr>
    </w:p>
    <w:p w14:paraId="0F451E60">
      <w:pPr>
        <w:pageBreakBefore w:val="0"/>
        <w:kinsoku/>
        <w:wordWrap/>
        <w:overflowPunct w:val="0"/>
        <w:topLinePunct w:val="0"/>
        <w:bidi w:val="0"/>
        <w:spacing w:line="252" w:lineRule="auto"/>
        <w:rPr>
          <w:rFonts w:hint="eastAsia" w:ascii="宋体" w:hAnsi="宋体" w:eastAsia="宋体" w:cs="宋体"/>
          <w:highlight w:val="none"/>
          <w:lang w:eastAsia="zh-CN"/>
        </w:rPr>
      </w:pPr>
    </w:p>
    <w:p w14:paraId="182CE198">
      <w:pPr>
        <w:pageBreakBefore w:val="0"/>
        <w:kinsoku/>
        <w:wordWrap/>
        <w:overflowPunct w:val="0"/>
        <w:topLinePunct w:val="0"/>
        <w:bidi w:val="0"/>
        <w:spacing w:line="252" w:lineRule="auto"/>
        <w:rPr>
          <w:rFonts w:hint="eastAsia" w:ascii="宋体" w:hAnsi="宋体" w:eastAsia="宋体" w:cs="宋体"/>
          <w:highlight w:val="none"/>
          <w:lang w:eastAsia="zh-CN"/>
        </w:rPr>
      </w:pPr>
    </w:p>
    <w:p w14:paraId="5B7EF0E5">
      <w:pPr>
        <w:pageBreakBefore w:val="0"/>
        <w:kinsoku/>
        <w:wordWrap/>
        <w:overflowPunct w:val="0"/>
        <w:topLinePunct w:val="0"/>
        <w:bidi w:val="0"/>
        <w:spacing w:line="252" w:lineRule="auto"/>
        <w:rPr>
          <w:rFonts w:hint="eastAsia" w:ascii="宋体" w:hAnsi="宋体" w:eastAsia="宋体" w:cs="宋体"/>
          <w:highlight w:val="none"/>
          <w:lang w:eastAsia="zh-CN"/>
        </w:rPr>
      </w:pPr>
    </w:p>
    <w:p w14:paraId="5B12B267">
      <w:pPr>
        <w:pageBreakBefore w:val="0"/>
        <w:kinsoku/>
        <w:wordWrap/>
        <w:overflowPunct w:val="0"/>
        <w:topLinePunct w:val="0"/>
        <w:bidi w:val="0"/>
        <w:spacing w:line="252" w:lineRule="auto"/>
        <w:rPr>
          <w:rFonts w:hint="eastAsia" w:ascii="宋体" w:hAnsi="宋体" w:eastAsia="宋体" w:cs="宋体"/>
          <w:highlight w:val="none"/>
          <w:lang w:eastAsia="zh-CN"/>
        </w:rPr>
      </w:pPr>
    </w:p>
    <w:p w14:paraId="4DD560E0">
      <w:pPr>
        <w:pageBreakBefore w:val="0"/>
        <w:kinsoku/>
        <w:wordWrap/>
        <w:overflowPunct w:val="0"/>
        <w:topLinePunct w:val="0"/>
        <w:bidi w:val="0"/>
        <w:spacing w:line="252" w:lineRule="auto"/>
        <w:rPr>
          <w:rFonts w:hint="eastAsia" w:ascii="宋体" w:hAnsi="宋体" w:eastAsia="宋体" w:cs="宋体"/>
          <w:highlight w:val="none"/>
          <w:lang w:eastAsia="zh-CN"/>
        </w:rPr>
      </w:pPr>
    </w:p>
    <w:p w14:paraId="62F4E205">
      <w:pPr>
        <w:pageBreakBefore w:val="0"/>
        <w:kinsoku/>
        <w:wordWrap/>
        <w:overflowPunct w:val="0"/>
        <w:topLinePunct w:val="0"/>
        <w:bidi w:val="0"/>
        <w:spacing w:line="253" w:lineRule="auto"/>
        <w:rPr>
          <w:rFonts w:hint="eastAsia" w:ascii="宋体" w:hAnsi="宋体" w:eastAsia="宋体" w:cs="宋体"/>
          <w:highlight w:val="none"/>
          <w:lang w:eastAsia="zh-CN"/>
        </w:rPr>
      </w:pPr>
    </w:p>
    <w:p w14:paraId="49A5FEBD">
      <w:pPr>
        <w:pageBreakBefore w:val="0"/>
        <w:kinsoku/>
        <w:wordWrap/>
        <w:overflowPunct w:val="0"/>
        <w:topLinePunct w:val="0"/>
        <w:bidi w:val="0"/>
        <w:spacing w:line="253" w:lineRule="auto"/>
        <w:rPr>
          <w:rFonts w:hint="eastAsia" w:ascii="宋体" w:hAnsi="宋体" w:eastAsia="宋体" w:cs="宋体"/>
          <w:highlight w:val="none"/>
          <w:lang w:eastAsia="zh-CN"/>
        </w:rPr>
      </w:pPr>
    </w:p>
    <w:p w14:paraId="0458E385">
      <w:pPr>
        <w:pageBreakBefore w:val="0"/>
        <w:kinsoku/>
        <w:wordWrap/>
        <w:overflowPunct w:val="0"/>
        <w:topLinePunct w:val="0"/>
        <w:bidi w:val="0"/>
        <w:spacing w:line="253" w:lineRule="auto"/>
        <w:rPr>
          <w:rFonts w:hint="eastAsia" w:ascii="宋体" w:hAnsi="宋体" w:eastAsia="宋体" w:cs="宋体"/>
          <w:highlight w:val="none"/>
          <w:lang w:eastAsia="zh-CN"/>
        </w:rPr>
      </w:pPr>
    </w:p>
    <w:p w14:paraId="25454253">
      <w:pPr>
        <w:pStyle w:val="8"/>
        <w:pageBreakBefore w:val="0"/>
        <w:kinsoku/>
        <w:wordWrap/>
        <w:overflowPunct w:val="0"/>
        <w:topLinePunct w:val="0"/>
        <w:bidi w:val="0"/>
        <w:spacing w:before="91" w:line="219" w:lineRule="auto"/>
        <w:ind w:left="1774"/>
        <w:rPr>
          <w:rFonts w:hint="eastAsia" w:ascii="宋体" w:hAnsi="宋体" w:eastAsia="宋体" w:cs="宋体"/>
          <w:spacing w:val="-24"/>
          <w:highlight w:val="none"/>
          <w:lang w:eastAsia="zh-CN"/>
        </w:rPr>
      </w:pPr>
      <w:r>
        <w:rPr>
          <w:rFonts w:hint="eastAsia" w:ascii="宋体" w:hAnsi="宋体" w:eastAsia="宋体" w:cs="宋体"/>
          <w:spacing w:val="-24"/>
          <w:highlight w:val="none"/>
          <w:lang w:eastAsia="zh-CN"/>
        </w:rPr>
        <w:t>供应商</w:t>
      </w:r>
      <w:r>
        <w:rPr>
          <w:rFonts w:hint="eastAsia" w:ascii="宋体" w:hAnsi="宋体" w:eastAsia="宋体" w:cs="宋体"/>
          <w:spacing w:val="1"/>
          <w:highlight w:val="none"/>
          <w:lang w:eastAsia="zh-CN"/>
        </w:rPr>
        <w:t>：（</w:t>
      </w:r>
      <w:r>
        <w:rPr>
          <w:rFonts w:hint="eastAsia" w:ascii="宋体" w:hAnsi="宋体" w:eastAsia="宋体" w:cs="宋体"/>
          <w:spacing w:val="-24"/>
          <w:highlight w:val="none"/>
          <w:lang w:eastAsia="zh-CN"/>
        </w:rPr>
        <w:t>供应商</w:t>
      </w:r>
      <w:r>
        <w:rPr>
          <w:rFonts w:hint="eastAsia" w:ascii="宋体" w:hAnsi="宋体" w:eastAsia="宋体" w:cs="宋体"/>
          <w:spacing w:val="-24"/>
          <w:highlight w:val="none"/>
          <w:lang w:val="en-US" w:eastAsia="zh-CN"/>
        </w:rPr>
        <w:t>公</w:t>
      </w:r>
      <w:r>
        <w:rPr>
          <w:rFonts w:hint="eastAsia" w:ascii="宋体" w:hAnsi="宋体" w:eastAsia="宋体" w:cs="宋体"/>
          <w:spacing w:val="-24"/>
          <w:highlight w:val="none"/>
          <w:lang w:eastAsia="zh-CN"/>
        </w:rPr>
        <w:t>章）</w:t>
      </w:r>
    </w:p>
    <w:p w14:paraId="0C486C27">
      <w:pPr>
        <w:pStyle w:val="8"/>
        <w:pageBreakBefore w:val="0"/>
        <w:kinsoku/>
        <w:wordWrap/>
        <w:overflowPunct w:val="0"/>
        <w:topLinePunct w:val="0"/>
        <w:bidi w:val="0"/>
        <w:spacing w:before="91" w:line="219" w:lineRule="auto"/>
        <w:ind w:left="1774"/>
        <w:rPr>
          <w:rFonts w:hint="eastAsia" w:ascii="宋体" w:hAnsi="宋体" w:eastAsia="宋体" w:cs="宋体"/>
          <w:spacing w:val="-3"/>
          <w:highlight w:val="none"/>
          <w:lang w:val="en-US" w:eastAsia="zh-CN"/>
        </w:rPr>
      </w:pPr>
    </w:p>
    <w:p w14:paraId="470B8117">
      <w:pPr>
        <w:pStyle w:val="8"/>
        <w:pageBreakBefore w:val="0"/>
        <w:kinsoku/>
        <w:wordWrap/>
        <w:overflowPunct w:val="0"/>
        <w:topLinePunct w:val="0"/>
        <w:bidi w:val="0"/>
        <w:spacing w:before="91" w:line="219" w:lineRule="auto"/>
        <w:ind w:left="1774"/>
        <w:rPr>
          <w:rFonts w:hint="eastAsia" w:ascii="宋体" w:hAnsi="宋体" w:eastAsia="宋体" w:cs="宋体"/>
          <w:spacing w:val="-3"/>
          <w:highlight w:val="none"/>
          <w:lang w:val="en-US" w:eastAsia="zh-CN"/>
        </w:rPr>
      </w:pPr>
    </w:p>
    <w:p w14:paraId="50884FF7">
      <w:pPr>
        <w:pStyle w:val="8"/>
        <w:pageBreakBefore w:val="0"/>
        <w:kinsoku/>
        <w:wordWrap/>
        <w:overflowPunct w:val="0"/>
        <w:topLinePunct w:val="0"/>
        <w:bidi w:val="0"/>
        <w:spacing w:before="91" w:line="219" w:lineRule="auto"/>
        <w:ind w:left="1774"/>
        <w:rPr>
          <w:rFonts w:hint="eastAsia" w:ascii="宋体" w:hAnsi="宋体" w:eastAsia="宋体" w:cs="宋体"/>
          <w:highlight w:val="none"/>
          <w:lang w:eastAsia="zh-CN"/>
        </w:rPr>
      </w:pPr>
      <w:r>
        <w:rPr>
          <w:rFonts w:hint="eastAsia" w:ascii="宋体" w:hAnsi="宋体" w:eastAsia="宋体" w:cs="宋体"/>
          <w:spacing w:val="-3"/>
          <w:highlight w:val="none"/>
          <w:lang w:val="en-US" w:eastAsia="zh-CN"/>
        </w:rPr>
        <w:t>日  期：</w:t>
      </w:r>
      <w:r>
        <w:rPr>
          <w:rFonts w:hint="eastAsia" w:ascii="宋体" w:hAnsi="宋体" w:eastAsia="宋体" w:cs="宋体"/>
          <w:spacing w:val="-3"/>
          <w:highlight w:val="none"/>
          <w:lang w:eastAsia="zh-CN"/>
        </w:rPr>
        <w:t>年</w:t>
      </w:r>
      <w:r>
        <w:rPr>
          <w:rFonts w:hint="eastAsia" w:ascii="宋体" w:hAnsi="宋体" w:eastAsia="宋体" w:cs="宋体"/>
          <w:spacing w:val="-3"/>
          <w:highlight w:val="none"/>
          <w:lang w:val="en-US" w:eastAsia="zh-CN"/>
        </w:rPr>
        <w:t xml:space="preserve">  </w:t>
      </w:r>
      <w:r>
        <w:rPr>
          <w:rFonts w:hint="eastAsia" w:ascii="宋体" w:hAnsi="宋体" w:eastAsia="宋体" w:cs="宋体"/>
          <w:spacing w:val="-3"/>
          <w:highlight w:val="none"/>
          <w:lang w:eastAsia="zh-CN"/>
        </w:rPr>
        <w:t>月</w:t>
      </w:r>
      <w:r>
        <w:rPr>
          <w:rFonts w:hint="eastAsia" w:ascii="宋体" w:hAnsi="宋体" w:eastAsia="宋体" w:cs="宋体"/>
          <w:spacing w:val="-3"/>
          <w:highlight w:val="none"/>
          <w:lang w:val="en-US" w:eastAsia="zh-CN"/>
        </w:rPr>
        <w:t xml:space="preserve">  </w:t>
      </w:r>
      <w:r>
        <w:rPr>
          <w:rFonts w:hint="eastAsia" w:ascii="宋体" w:hAnsi="宋体" w:eastAsia="宋体" w:cs="宋体"/>
          <w:spacing w:val="-3"/>
          <w:highlight w:val="none"/>
          <w:lang w:eastAsia="zh-CN"/>
        </w:rPr>
        <w:t>日</w:t>
      </w:r>
    </w:p>
    <w:p w14:paraId="2381DC70">
      <w:pPr>
        <w:pageBreakBefore w:val="0"/>
        <w:kinsoku/>
        <w:wordWrap/>
        <w:overflowPunct w:val="0"/>
        <w:topLinePunct w:val="0"/>
        <w:bidi w:val="0"/>
        <w:spacing w:line="275" w:lineRule="auto"/>
        <w:rPr>
          <w:rFonts w:hint="eastAsia" w:ascii="宋体" w:hAnsi="宋体" w:eastAsia="宋体" w:cs="宋体"/>
          <w:highlight w:val="none"/>
          <w:lang w:eastAsia="zh-CN"/>
        </w:rPr>
      </w:pPr>
    </w:p>
    <w:p w14:paraId="0A607A3A">
      <w:pPr>
        <w:pageBreakBefore w:val="0"/>
        <w:kinsoku/>
        <w:wordWrap/>
        <w:overflowPunct w:val="0"/>
        <w:topLinePunct w:val="0"/>
        <w:bidi w:val="0"/>
        <w:spacing w:line="275" w:lineRule="auto"/>
        <w:rPr>
          <w:rFonts w:hint="eastAsia" w:ascii="宋体" w:hAnsi="宋体" w:eastAsia="宋体" w:cs="宋体"/>
          <w:highlight w:val="none"/>
          <w:lang w:eastAsia="zh-CN"/>
        </w:rPr>
      </w:pPr>
    </w:p>
    <w:p w14:paraId="7A27BC7E">
      <w:pPr>
        <w:pageBreakBefore w:val="0"/>
        <w:kinsoku/>
        <w:wordWrap/>
        <w:overflowPunct w:val="0"/>
        <w:topLinePunct w:val="0"/>
        <w:bidi w:val="0"/>
        <w:spacing w:line="275" w:lineRule="auto"/>
        <w:rPr>
          <w:rFonts w:hint="eastAsia" w:ascii="宋体" w:hAnsi="宋体" w:eastAsia="宋体" w:cs="宋体"/>
          <w:highlight w:val="none"/>
          <w:lang w:eastAsia="zh-CN"/>
        </w:rPr>
      </w:pPr>
    </w:p>
    <w:p w14:paraId="346DEF19">
      <w:pPr>
        <w:pageBreakBefore w:val="0"/>
        <w:kinsoku/>
        <w:wordWrap/>
        <w:overflowPunct w:val="0"/>
        <w:topLinePunct w:val="0"/>
        <w:bidi w:val="0"/>
        <w:spacing w:line="275" w:lineRule="auto"/>
        <w:rPr>
          <w:rFonts w:hint="eastAsia" w:ascii="宋体" w:hAnsi="宋体" w:eastAsia="宋体" w:cs="宋体"/>
          <w:highlight w:val="none"/>
          <w:lang w:eastAsia="zh-CN"/>
        </w:rPr>
      </w:pPr>
    </w:p>
    <w:p w14:paraId="65E2C933">
      <w:pPr>
        <w:pageBreakBefore w:val="0"/>
        <w:kinsoku/>
        <w:wordWrap/>
        <w:overflowPunct w:val="0"/>
        <w:topLinePunct w:val="0"/>
        <w:bidi w:val="0"/>
        <w:spacing w:line="275" w:lineRule="auto"/>
        <w:rPr>
          <w:rFonts w:hint="eastAsia" w:ascii="宋体" w:hAnsi="宋体" w:eastAsia="宋体" w:cs="宋体"/>
          <w:highlight w:val="none"/>
          <w:lang w:eastAsia="zh-CN"/>
        </w:rPr>
      </w:pPr>
    </w:p>
    <w:p w14:paraId="3F8CECE9">
      <w:pPr>
        <w:pStyle w:val="8"/>
        <w:pageBreakBefore w:val="0"/>
        <w:kinsoku/>
        <w:wordWrap/>
        <w:overflowPunct w:val="0"/>
        <w:topLinePunct w:val="0"/>
        <w:bidi w:val="0"/>
        <w:spacing w:before="91" w:line="222" w:lineRule="auto"/>
        <w:rPr>
          <w:rFonts w:hint="eastAsia" w:ascii="宋体" w:hAnsi="宋体" w:eastAsia="宋体" w:cs="宋体"/>
          <w:spacing w:val="-32"/>
          <w:highlight w:val="none"/>
          <w:lang w:eastAsia="zh-CN"/>
        </w:rPr>
      </w:pPr>
    </w:p>
    <w:p w14:paraId="40ACFD2B">
      <w:pPr>
        <w:pStyle w:val="8"/>
        <w:pageBreakBefore w:val="0"/>
        <w:kinsoku/>
        <w:wordWrap/>
        <w:overflowPunct w:val="0"/>
        <w:topLinePunct w:val="0"/>
        <w:bidi w:val="0"/>
        <w:spacing w:before="91" w:line="222" w:lineRule="auto"/>
        <w:ind w:left="3856"/>
        <w:rPr>
          <w:rFonts w:hint="eastAsia" w:ascii="宋体" w:hAnsi="宋体" w:eastAsia="宋体" w:cs="宋体"/>
          <w:spacing w:val="-32"/>
          <w:highlight w:val="none"/>
          <w:lang w:eastAsia="zh-CN"/>
        </w:rPr>
      </w:pPr>
    </w:p>
    <w:p w14:paraId="253C2DD1">
      <w:pPr>
        <w:pStyle w:val="8"/>
        <w:pageBreakBefore w:val="0"/>
        <w:kinsoku/>
        <w:wordWrap/>
        <w:overflowPunct w:val="0"/>
        <w:topLinePunct w:val="0"/>
        <w:bidi w:val="0"/>
        <w:spacing w:before="91" w:line="222" w:lineRule="auto"/>
        <w:ind w:left="3856"/>
        <w:rPr>
          <w:rFonts w:hint="eastAsia" w:ascii="宋体" w:hAnsi="宋体" w:eastAsia="宋体" w:cs="宋体"/>
          <w:spacing w:val="-32"/>
          <w:highlight w:val="none"/>
          <w:lang w:eastAsia="zh-CN"/>
        </w:rPr>
      </w:pPr>
    </w:p>
    <w:p w14:paraId="56AC5FC5">
      <w:pPr>
        <w:pStyle w:val="8"/>
        <w:pageBreakBefore w:val="0"/>
        <w:kinsoku/>
        <w:wordWrap/>
        <w:overflowPunct w:val="0"/>
        <w:topLinePunct w:val="0"/>
        <w:bidi w:val="0"/>
        <w:spacing w:before="91" w:line="222" w:lineRule="auto"/>
        <w:ind w:left="3856"/>
        <w:rPr>
          <w:rFonts w:hint="eastAsia" w:ascii="宋体" w:hAnsi="宋体" w:eastAsia="宋体" w:cs="宋体"/>
          <w:highlight w:val="none"/>
          <w:lang w:eastAsia="zh-CN"/>
        </w:rPr>
      </w:pPr>
      <w:r>
        <w:rPr>
          <w:rFonts w:hint="eastAsia" w:ascii="宋体" w:hAnsi="宋体" w:eastAsia="宋体" w:cs="宋体"/>
          <w:spacing w:val="-32"/>
          <w:highlight w:val="none"/>
          <w:lang w:eastAsia="zh-CN"/>
        </w:rPr>
        <w:t>目</w:t>
      </w:r>
      <w:r>
        <w:rPr>
          <w:rFonts w:hint="eastAsia" w:ascii="宋体" w:hAnsi="宋体" w:eastAsia="宋体" w:cs="宋体"/>
          <w:spacing w:val="-32"/>
          <w:highlight w:val="none"/>
          <w:lang w:val="en-US" w:eastAsia="zh-CN"/>
        </w:rPr>
        <w:t xml:space="preserve">   </w:t>
      </w:r>
      <w:r>
        <w:rPr>
          <w:rFonts w:hint="eastAsia" w:ascii="宋体" w:hAnsi="宋体" w:eastAsia="宋体" w:cs="宋体"/>
          <w:spacing w:val="-32"/>
          <w:highlight w:val="none"/>
          <w:lang w:eastAsia="zh-CN"/>
        </w:rPr>
        <w:t>录</w:t>
      </w:r>
    </w:p>
    <w:p w14:paraId="2AD17288">
      <w:pPr>
        <w:pStyle w:val="8"/>
        <w:pageBreakBefore w:val="0"/>
        <w:kinsoku/>
        <w:wordWrap/>
        <w:overflowPunct w:val="0"/>
        <w:topLinePunct w:val="0"/>
        <w:bidi w:val="0"/>
        <w:spacing w:before="287" w:line="360" w:lineRule="auto"/>
        <w:ind w:left="5"/>
        <w:rPr>
          <w:rFonts w:hint="eastAsia" w:ascii="宋体" w:hAnsi="宋体" w:eastAsia="宋体" w:cs="宋体"/>
          <w:highlight w:val="none"/>
          <w:lang w:eastAsia="zh-CN"/>
        </w:rPr>
      </w:pPr>
      <w:r>
        <w:rPr>
          <w:rFonts w:hint="eastAsia" w:ascii="宋体" w:hAnsi="宋体" w:eastAsia="宋体" w:cs="宋体"/>
          <w:spacing w:val="-2"/>
          <w:highlight w:val="none"/>
          <w:lang w:eastAsia="zh-CN"/>
        </w:rPr>
        <w:t>一、资格、技术商务部分</w:t>
      </w:r>
    </w:p>
    <w:p w14:paraId="47D8EE6B">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1、资格审查资料</w:t>
      </w:r>
    </w:p>
    <w:p w14:paraId="1EF9D4F0">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2、磋商响应授权书</w:t>
      </w:r>
    </w:p>
    <w:p w14:paraId="6A21420F">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3、磋商响应函</w:t>
      </w:r>
    </w:p>
    <w:p w14:paraId="15868A32">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4、诚信履约承诺函</w:t>
      </w:r>
    </w:p>
    <w:p w14:paraId="02F82919">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5、项目实施方案</w:t>
      </w:r>
    </w:p>
    <w:p w14:paraId="29C2A1C5">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6、履行合同所必需的设备专业技术能力证明文件</w:t>
      </w:r>
    </w:p>
    <w:p w14:paraId="4794631F">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7、质保及售后服务</w:t>
      </w:r>
    </w:p>
    <w:p w14:paraId="659B54FB">
      <w:pPr>
        <w:pStyle w:val="8"/>
        <w:pageBreakBefore w:val="0"/>
        <w:kinsoku/>
        <w:wordWrap/>
        <w:overflowPunct w:val="0"/>
        <w:topLinePunct w:val="0"/>
        <w:bidi w:val="0"/>
        <w:spacing w:line="360" w:lineRule="auto"/>
        <w:ind w:left="2"/>
        <w:rPr>
          <w:rFonts w:hint="eastAsia" w:ascii="宋体" w:hAnsi="宋体" w:eastAsia="宋体" w:cs="宋体"/>
          <w:spacing w:val="-1"/>
          <w:sz w:val="24"/>
          <w:szCs w:val="24"/>
          <w:highlight w:val="none"/>
          <w:lang w:eastAsia="zh-CN"/>
        </w:rPr>
      </w:pPr>
      <w:r>
        <w:rPr>
          <w:rFonts w:hint="eastAsia" w:ascii="宋体" w:hAnsi="宋体" w:eastAsia="宋体" w:cs="宋体"/>
          <w:spacing w:val="-1"/>
          <w:highlight w:val="none"/>
          <w:lang w:eastAsia="zh-CN"/>
        </w:rPr>
        <w:t>8、业绩一览表</w:t>
      </w:r>
    </w:p>
    <w:p w14:paraId="7DB01947">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9、业绩合同</w:t>
      </w:r>
    </w:p>
    <w:p w14:paraId="6F4D7027">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10、中小企业材料</w:t>
      </w:r>
    </w:p>
    <w:p w14:paraId="24EDC5B1">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11、其他证明材料</w:t>
      </w:r>
    </w:p>
    <w:p w14:paraId="295CFFBD">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p>
    <w:p w14:paraId="2475087A">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二、报价部分</w:t>
      </w:r>
    </w:p>
    <w:p w14:paraId="48248433">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1、磋商响应报价表（第一轮）</w:t>
      </w:r>
    </w:p>
    <w:p w14:paraId="2E87C6C5">
      <w:pPr>
        <w:pStyle w:val="8"/>
        <w:pageBreakBefore w:val="0"/>
        <w:kinsoku/>
        <w:wordWrap/>
        <w:overflowPunct w:val="0"/>
        <w:topLinePunct w:val="0"/>
        <w:bidi w:val="0"/>
        <w:spacing w:line="360" w:lineRule="auto"/>
        <w:ind w:left="2"/>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2、主要标的一览表</w:t>
      </w:r>
    </w:p>
    <w:p w14:paraId="3464184E">
      <w:pPr>
        <w:pageBreakBefore w:val="0"/>
        <w:kinsoku/>
        <w:wordWrap/>
        <w:overflowPunct w:val="0"/>
        <w:topLinePunct w:val="0"/>
        <w:bidi w:val="0"/>
        <w:spacing w:line="274" w:lineRule="auto"/>
        <w:rPr>
          <w:rFonts w:hint="eastAsia" w:ascii="宋体" w:hAnsi="宋体" w:eastAsia="宋体" w:cs="宋体"/>
          <w:highlight w:val="none"/>
          <w:lang w:eastAsia="zh-CN"/>
        </w:rPr>
      </w:pPr>
    </w:p>
    <w:p w14:paraId="3FDDB373">
      <w:pPr>
        <w:pageBreakBefore w:val="0"/>
        <w:kinsoku/>
        <w:wordWrap/>
        <w:overflowPunct w:val="0"/>
        <w:topLinePunct w:val="0"/>
        <w:bidi w:val="0"/>
        <w:spacing w:line="275" w:lineRule="auto"/>
        <w:rPr>
          <w:rFonts w:hint="eastAsia" w:ascii="宋体" w:hAnsi="宋体" w:eastAsia="宋体" w:cs="宋体"/>
          <w:highlight w:val="none"/>
          <w:lang w:eastAsia="zh-CN"/>
        </w:rPr>
      </w:pPr>
    </w:p>
    <w:p w14:paraId="4C8CE6E0">
      <w:pPr>
        <w:pageBreakBefore w:val="0"/>
        <w:kinsoku/>
        <w:wordWrap/>
        <w:overflowPunct w:val="0"/>
        <w:topLinePunct w:val="0"/>
        <w:bidi w:val="0"/>
        <w:spacing w:line="275" w:lineRule="auto"/>
        <w:rPr>
          <w:rFonts w:hint="eastAsia" w:ascii="宋体" w:hAnsi="宋体" w:eastAsia="宋体" w:cs="宋体"/>
          <w:highlight w:val="none"/>
          <w:lang w:eastAsia="zh-CN"/>
        </w:rPr>
      </w:pPr>
    </w:p>
    <w:p w14:paraId="134D06EB">
      <w:pPr>
        <w:pageBreakBefore w:val="0"/>
        <w:kinsoku/>
        <w:wordWrap/>
        <w:overflowPunct w:val="0"/>
        <w:topLinePunct w:val="0"/>
        <w:bidi w:val="0"/>
        <w:spacing w:line="275" w:lineRule="auto"/>
        <w:rPr>
          <w:rFonts w:hint="eastAsia" w:ascii="宋体" w:hAnsi="宋体" w:eastAsia="宋体" w:cs="宋体"/>
          <w:highlight w:val="none"/>
          <w:lang w:eastAsia="zh-CN"/>
        </w:rPr>
      </w:pPr>
    </w:p>
    <w:p w14:paraId="5A2470C7">
      <w:pPr>
        <w:pageBreakBefore w:val="0"/>
        <w:kinsoku/>
        <w:wordWrap/>
        <w:overflowPunct w:val="0"/>
        <w:topLinePunct w:val="0"/>
        <w:bidi w:val="0"/>
        <w:spacing w:line="275" w:lineRule="auto"/>
        <w:rPr>
          <w:rFonts w:hint="eastAsia" w:ascii="宋体" w:hAnsi="宋体" w:eastAsia="宋体" w:cs="宋体"/>
          <w:highlight w:val="none"/>
          <w:lang w:eastAsia="zh-CN"/>
        </w:rPr>
      </w:pPr>
    </w:p>
    <w:p w14:paraId="3EDFBB75">
      <w:pPr>
        <w:pageBreakBefore w:val="0"/>
        <w:kinsoku/>
        <w:wordWrap/>
        <w:overflowPunct w:val="0"/>
        <w:topLinePunct w:val="0"/>
        <w:bidi w:val="0"/>
        <w:spacing w:line="275" w:lineRule="auto"/>
        <w:rPr>
          <w:rFonts w:hint="eastAsia" w:ascii="宋体" w:hAnsi="宋体" w:eastAsia="宋体" w:cs="宋体"/>
          <w:highlight w:val="none"/>
          <w:lang w:eastAsia="zh-CN"/>
        </w:rPr>
      </w:pPr>
    </w:p>
    <w:p w14:paraId="2E0246FB">
      <w:pPr>
        <w:pageBreakBefore w:val="0"/>
        <w:kinsoku/>
        <w:wordWrap/>
        <w:overflowPunct w:val="0"/>
        <w:topLinePunct w:val="0"/>
        <w:bidi w:val="0"/>
        <w:spacing w:line="275" w:lineRule="auto"/>
        <w:rPr>
          <w:rFonts w:hint="eastAsia" w:ascii="宋体" w:hAnsi="宋体" w:eastAsia="宋体" w:cs="宋体"/>
          <w:highlight w:val="none"/>
          <w:lang w:eastAsia="zh-CN"/>
        </w:rPr>
      </w:pPr>
    </w:p>
    <w:p w14:paraId="52C767DF">
      <w:pPr>
        <w:pageBreakBefore w:val="0"/>
        <w:kinsoku/>
        <w:wordWrap/>
        <w:overflowPunct w:val="0"/>
        <w:topLinePunct w:val="0"/>
        <w:bidi w:val="0"/>
        <w:spacing w:line="275" w:lineRule="auto"/>
        <w:rPr>
          <w:rFonts w:hint="eastAsia" w:ascii="宋体" w:hAnsi="宋体" w:eastAsia="宋体" w:cs="宋体"/>
          <w:highlight w:val="none"/>
          <w:lang w:eastAsia="zh-CN"/>
        </w:rPr>
      </w:pPr>
    </w:p>
    <w:p w14:paraId="62901C66">
      <w:pPr>
        <w:pageBreakBefore w:val="0"/>
        <w:kinsoku/>
        <w:wordWrap/>
        <w:overflowPunct w:val="0"/>
        <w:topLinePunct w:val="0"/>
        <w:bidi w:val="0"/>
        <w:spacing w:line="275" w:lineRule="auto"/>
        <w:rPr>
          <w:rFonts w:hint="eastAsia" w:ascii="宋体" w:hAnsi="宋体" w:eastAsia="宋体" w:cs="宋体"/>
          <w:highlight w:val="none"/>
          <w:lang w:eastAsia="zh-CN"/>
        </w:rPr>
      </w:pPr>
    </w:p>
    <w:p w14:paraId="37187D13">
      <w:pPr>
        <w:pStyle w:val="8"/>
        <w:pageBreakBefore w:val="0"/>
        <w:kinsoku/>
        <w:wordWrap/>
        <w:overflowPunct w:val="0"/>
        <w:topLinePunct w:val="0"/>
        <w:bidi w:val="0"/>
        <w:spacing w:before="91" w:line="624" w:lineRule="exact"/>
        <w:ind w:left="2827"/>
        <w:rPr>
          <w:rFonts w:hint="eastAsia" w:ascii="宋体" w:hAnsi="宋体" w:eastAsia="宋体" w:cs="宋体"/>
          <w:spacing w:val="-2"/>
          <w:position w:val="26"/>
          <w:highlight w:val="none"/>
          <w:lang w:eastAsia="zh-CN"/>
        </w:rPr>
      </w:pPr>
    </w:p>
    <w:p w14:paraId="677B2648">
      <w:pPr>
        <w:pStyle w:val="8"/>
        <w:pageBreakBefore w:val="0"/>
        <w:kinsoku/>
        <w:wordWrap/>
        <w:overflowPunct w:val="0"/>
        <w:topLinePunct w:val="0"/>
        <w:bidi w:val="0"/>
        <w:spacing w:before="91" w:line="624" w:lineRule="exact"/>
        <w:ind w:left="2827"/>
        <w:rPr>
          <w:rFonts w:hint="eastAsia" w:ascii="宋体" w:hAnsi="宋体" w:eastAsia="宋体" w:cs="宋体"/>
          <w:spacing w:val="-2"/>
          <w:position w:val="26"/>
          <w:highlight w:val="none"/>
          <w:lang w:eastAsia="zh-CN"/>
        </w:rPr>
      </w:pPr>
    </w:p>
    <w:p w14:paraId="1ECAE5A4">
      <w:pPr>
        <w:pStyle w:val="8"/>
        <w:pageBreakBefore w:val="0"/>
        <w:kinsoku/>
        <w:wordWrap/>
        <w:overflowPunct w:val="0"/>
        <w:topLinePunct w:val="0"/>
        <w:bidi w:val="0"/>
        <w:spacing w:before="91" w:line="624" w:lineRule="exact"/>
        <w:ind w:left="2827"/>
        <w:rPr>
          <w:rFonts w:hint="eastAsia" w:ascii="宋体" w:hAnsi="宋体" w:eastAsia="宋体" w:cs="宋体"/>
          <w:highlight w:val="none"/>
          <w:lang w:eastAsia="zh-CN"/>
        </w:rPr>
      </w:pPr>
      <w:r>
        <w:rPr>
          <w:rFonts w:hint="eastAsia" w:ascii="宋体" w:hAnsi="宋体" w:eastAsia="宋体" w:cs="宋体"/>
          <w:spacing w:val="-2"/>
          <w:position w:val="26"/>
          <w:highlight w:val="none"/>
          <w:lang w:eastAsia="zh-CN"/>
        </w:rPr>
        <w:t>一、资格、技术商务部分</w:t>
      </w:r>
    </w:p>
    <w:p w14:paraId="6AE9965A">
      <w:pPr>
        <w:pStyle w:val="8"/>
        <w:pageBreakBefore w:val="0"/>
        <w:kinsoku/>
        <w:wordWrap/>
        <w:overflowPunct w:val="0"/>
        <w:topLinePunct w:val="0"/>
        <w:bidi w:val="0"/>
        <w:spacing w:line="220" w:lineRule="auto"/>
        <w:ind w:left="3333"/>
        <w:rPr>
          <w:rFonts w:hint="eastAsia" w:ascii="宋体" w:hAnsi="宋体" w:eastAsia="宋体" w:cs="宋体"/>
          <w:highlight w:val="none"/>
          <w:lang w:eastAsia="zh-CN"/>
        </w:rPr>
      </w:pPr>
      <w:r>
        <w:rPr>
          <w:rFonts w:hint="eastAsia" w:ascii="宋体" w:hAnsi="宋体" w:eastAsia="宋体" w:cs="宋体"/>
          <w:spacing w:val="-5"/>
          <w:highlight w:val="none"/>
          <w:lang w:eastAsia="zh-CN"/>
        </w:rPr>
        <w:t>1、资格审查资料</w:t>
      </w:r>
    </w:p>
    <w:p w14:paraId="086B0272">
      <w:pPr>
        <w:pStyle w:val="8"/>
        <w:pageBreakBefore w:val="0"/>
        <w:kinsoku/>
        <w:wordWrap/>
        <w:overflowPunct w:val="0"/>
        <w:topLinePunct w:val="0"/>
        <w:bidi w:val="0"/>
        <w:spacing w:before="290" w:line="220" w:lineRule="auto"/>
        <w:jc w:val="center"/>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营业执照、特定资格要求等资料的扫描件</w:t>
      </w:r>
    </w:p>
    <w:p w14:paraId="32B0101A">
      <w:pPr>
        <w:pageBreakBefore w:val="0"/>
        <w:kinsoku/>
        <w:wordWrap/>
        <w:overflowPunct w:val="0"/>
        <w:topLinePunct w:val="0"/>
        <w:bidi w:val="0"/>
        <w:spacing w:line="272" w:lineRule="auto"/>
        <w:rPr>
          <w:rFonts w:hint="eastAsia" w:ascii="宋体" w:hAnsi="宋体" w:eastAsia="宋体" w:cs="宋体"/>
          <w:highlight w:val="none"/>
          <w:lang w:eastAsia="zh-CN"/>
        </w:rPr>
      </w:pPr>
    </w:p>
    <w:p w14:paraId="5B093AB7">
      <w:pPr>
        <w:pageBreakBefore w:val="0"/>
        <w:kinsoku/>
        <w:wordWrap/>
        <w:overflowPunct w:val="0"/>
        <w:topLinePunct w:val="0"/>
        <w:bidi w:val="0"/>
        <w:spacing w:line="273" w:lineRule="auto"/>
        <w:rPr>
          <w:rFonts w:hint="eastAsia" w:ascii="宋体" w:hAnsi="宋体" w:eastAsia="宋体" w:cs="宋体"/>
          <w:highlight w:val="none"/>
          <w:lang w:eastAsia="zh-CN"/>
        </w:rPr>
      </w:pPr>
    </w:p>
    <w:p w14:paraId="1C4AAEB3">
      <w:pPr>
        <w:pageBreakBefore w:val="0"/>
        <w:kinsoku/>
        <w:wordWrap/>
        <w:overflowPunct w:val="0"/>
        <w:topLinePunct w:val="0"/>
        <w:bidi w:val="0"/>
        <w:spacing w:line="273" w:lineRule="auto"/>
        <w:rPr>
          <w:rFonts w:hint="eastAsia" w:ascii="宋体" w:hAnsi="宋体" w:eastAsia="宋体" w:cs="宋体"/>
          <w:highlight w:val="none"/>
          <w:lang w:eastAsia="zh-CN"/>
        </w:rPr>
      </w:pPr>
    </w:p>
    <w:p w14:paraId="1DB76FB0">
      <w:pPr>
        <w:pStyle w:val="8"/>
        <w:pageBreakBefore w:val="0"/>
        <w:kinsoku/>
        <w:wordWrap/>
        <w:overflowPunct w:val="0"/>
        <w:topLinePunct w:val="0"/>
        <w:bidi w:val="0"/>
        <w:spacing w:before="91" w:line="219" w:lineRule="auto"/>
        <w:ind w:left="3457"/>
        <w:rPr>
          <w:rFonts w:hint="eastAsia" w:ascii="宋体" w:hAnsi="宋体" w:eastAsia="宋体" w:cs="宋体"/>
          <w:highlight w:val="none"/>
          <w:lang w:eastAsia="zh-CN"/>
        </w:rPr>
      </w:pPr>
      <w:r>
        <w:rPr>
          <w:rFonts w:hint="eastAsia" w:ascii="宋体" w:hAnsi="宋体" w:eastAsia="宋体" w:cs="宋体"/>
          <w:spacing w:val="-3"/>
          <w:highlight w:val="none"/>
          <w:lang w:eastAsia="zh-CN"/>
        </w:rPr>
        <w:t>2、磋商响应授权书</w:t>
      </w:r>
    </w:p>
    <w:p w14:paraId="6DAB6125">
      <w:pPr>
        <w:wordWrap w:val="0"/>
        <w:snapToGrid w:val="0"/>
        <w:spacing w:line="360" w:lineRule="auto"/>
        <w:rPr>
          <w:rFonts w:hint="eastAsia" w:ascii="宋体" w:hAnsi="宋体" w:eastAsia="宋体" w:cs="宋体"/>
          <w:sz w:val="24"/>
          <w:szCs w:val="21"/>
          <w:highlight w:val="none"/>
        </w:rPr>
      </w:pPr>
    </w:p>
    <w:p w14:paraId="27829030">
      <w:pPr>
        <w:wordWrap w:val="0"/>
        <w:snapToGrid w:val="0"/>
        <w:spacing w:line="360" w:lineRule="auto"/>
        <w:rPr>
          <w:rFonts w:hint="eastAsia" w:ascii="宋体" w:hAnsi="宋体" w:eastAsia="宋体" w:cs="宋体"/>
          <w:sz w:val="24"/>
          <w:szCs w:val="21"/>
          <w:highlight w:val="none"/>
        </w:rPr>
      </w:pPr>
      <w:r>
        <w:rPr>
          <w:rFonts w:hint="eastAsia" w:ascii="宋体" w:hAnsi="宋体" w:eastAsia="宋体" w:cs="宋体"/>
          <w:sz w:val="24"/>
          <w:szCs w:val="21"/>
          <w:highlight w:val="none"/>
        </w:rPr>
        <w:t>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（采购人名称）：</w:t>
      </w:r>
    </w:p>
    <w:p w14:paraId="02FB9A2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本授权书声明：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（供应商名称）授权本单位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（供应商授权代表姓名、职务）代表本单位参加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14:paraId="0BF5E44A">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本授权书自出具之日起生效。</w:t>
      </w:r>
    </w:p>
    <w:p w14:paraId="2A8D11F4">
      <w:pPr>
        <w:wordWrap w:val="0"/>
        <w:snapToGrid w:val="0"/>
        <w:spacing w:line="360" w:lineRule="auto"/>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特此声明。</w:t>
      </w:r>
    </w:p>
    <w:p w14:paraId="6B838659">
      <w:pPr>
        <w:pageBreakBefore w:val="0"/>
        <w:widowControl w:val="0"/>
        <w:kinsoku/>
        <w:wordWrap/>
        <w:overflowPunct w:val="0"/>
        <w:topLinePunct w:val="0"/>
        <w:bidi w:val="0"/>
        <w:adjustRightInd/>
        <w:spacing w:line="360" w:lineRule="auto"/>
        <w:jc w:val="right"/>
        <w:textAlignment w:val="auto"/>
        <w:rPr>
          <w:rFonts w:hint="eastAsia" w:ascii="宋体" w:hAnsi="宋体" w:eastAsia="宋体" w:cs="宋体"/>
          <w:b/>
          <w:bCs/>
          <w:color w:val="auto"/>
          <w:kern w:val="2"/>
          <w:sz w:val="24"/>
          <w:szCs w:val="24"/>
          <w:highlight w:val="none"/>
          <w:lang w:eastAsia="zh-CN"/>
        </w:rPr>
      </w:pPr>
    </w:p>
    <w:p w14:paraId="5324D1DA">
      <w:pPr>
        <w:pStyle w:val="19"/>
        <w:rPr>
          <w:rFonts w:hint="eastAsia" w:ascii="宋体" w:hAnsi="宋体" w:eastAsia="宋体" w:cs="宋体"/>
          <w:highlight w:val="none"/>
          <w:lang w:eastAsia="zh-CN"/>
        </w:rPr>
      </w:pPr>
    </w:p>
    <w:p w14:paraId="636FF5AF">
      <w:pPr>
        <w:pageBreakBefore w:val="0"/>
        <w:widowControl w:val="0"/>
        <w:kinsoku/>
        <w:wordWrap/>
        <w:overflowPunct w:val="0"/>
        <w:topLinePunct w:val="0"/>
        <w:bidi w:val="0"/>
        <w:adjustRightInd/>
        <w:spacing w:line="360" w:lineRule="auto"/>
        <w:ind w:right="840" w:firstLine="472" w:firstLineChars="196"/>
        <w:jc w:val="both"/>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                                   供应商公章：</w:t>
      </w:r>
    </w:p>
    <w:p w14:paraId="58A6903D">
      <w:pPr>
        <w:pageBreakBefore w:val="0"/>
        <w:widowControl w:val="0"/>
        <w:kinsoku/>
        <w:wordWrap/>
        <w:overflowPunct w:val="0"/>
        <w:topLinePunct w:val="0"/>
        <w:bidi w:val="0"/>
        <w:adjustRightInd/>
        <w:spacing w:line="360" w:lineRule="auto"/>
        <w:jc w:val="center"/>
        <w:textAlignment w:val="auto"/>
        <w:rPr>
          <w:rFonts w:hint="eastAsia" w:ascii="宋体" w:hAnsi="宋体" w:eastAsia="宋体" w:cs="宋体"/>
          <w:highlight w:val="none"/>
          <w:lang w:eastAsia="zh-CN"/>
        </w:rPr>
        <w:sectPr>
          <w:headerReference r:id="rId4" w:type="default"/>
          <w:footerReference r:id="rId5" w:type="default"/>
          <w:pgSz w:w="11907" w:h="16839"/>
          <w:pgMar w:top="1440" w:right="1287" w:bottom="1440" w:left="1800" w:header="0" w:footer="857" w:gutter="0"/>
          <w:cols w:space="720" w:num="1"/>
        </w:sectPr>
      </w:pPr>
      <w:r>
        <w:rPr>
          <w:rFonts w:hint="eastAsia" w:ascii="宋体" w:hAnsi="宋体" w:eastAsia="宋体" w:cs="宋体"/>
          <w:b/>
          <w:bCs/>
          <w:color w:val="auto"/>
          <w:kern w:val="2"/>
          <w:sz w:val="24"/>
          <w:szCs w:val="24"/>
          <w:highlight w:val="none"/>
          <w:lang w:eastAsia="zh-CN"/>
        </w:rPr>
        <w:t xml:space="preserve">                                日    期：________________</w:t>
      </w:r>
    </w:p>
    <w:p w14:paraId="562A65D8">
      <w:pPr>
        <w:pStyle w:val="8"/>
        <w:pageBreakBefore w:val="0"/>
        <w:kinsoku/>
        <w:wordWrap/>
        <w:overflowPunct w:val="0"/>
        <w:topLinePunct w:val="0"/>
        <w:bidi w:val="0"/>
        <w:spacing w:before="91" w:line="220" w:lineRule="auto"/>
        <w:rPr>
          <w:rFonts w:hint="eastAsia" w:ascii="宋体" w:hAnsi="宋体" w:eastAsia="宋体" w:cs="宋体"/>
          <w:highlight w:val="none"/>
          <w:lang w:eastAsia="zh-CN"/>
        </w:rPr>
      </w:pPr>
      <w:r>
        <w:rPr>
          <w:rFonts w:hint="eastAsia" w:ascii="宋体" w:hAnsi="宋体" w:eastAsia="宋体" w:cs="宋体"/>
          <w:spacing w:val="-2"/>
          <w:highlight w:val="none"/>
          <w:lang w:eastAsia="zh-CN"/>
        </w:rPr>
        <w:t>3、磋商响应函格式</w:t>
      </w:r>
    </w:p>
    <w:p w14:paraId="0D625D54">
      <w:pPr>
        <w:pageBreakBefore w:val="0"/>
        <w:widowControl w:val="0"/>
        <w:kinsoku/>
        <w:wordWrap/>
        <w:overflowPunct w:val="0"/>
        <w:topLinePunct w:val="0"/>
        <w:bidi w:val="0"/>
        <w:adjustRightInd/>
        <w:spacing w:line="360" w:lineRule="auto"/>
        <w:textAlignment w:val="auto"/>
        <w:rPr>
          <w:rFonts w:hint="eastAsia" w:ascii="宋体" w:hAnsi="宋体" w:eastAsia="宋体" w:cs="宋体"/>
          <w:color w:val="auto"/>
          <w:sz w:val="24"/>
          <w:highlight w:val="none"/>
          <w:lang w:eastAsia="zh-CN"/>
        </w:rPr>
      </w:pPr>
    </w:p>
    <w:p w14:paraId="5BB053F5">
      <w:pPr>
        <w:wordWrap w:val="0"/>
        <w:snapToGrid w:val="0"/>
        <w:spacing w:line="360" w:lineRule="auto"/>
        <w:rPr>
          <w:rFonts w:hint="eastAsia" w:ascii="宋体" w:hAnsi="宋体" w:eastAsia="宋体" w:cs="宋体"/>
          <w:b/>
          <w:sz w:val="24"/>
          <w:szCs w:val="21"/>
          <w:highlight w:val="none"/>
        </w:rPr>
      </w:pPr>
      <w:r>
        <w:rPr>
          <w:rFonts w:hint="eastAsia" w:ascii="宋体" w:hAnsi="宋体" w:eastAsia="宋体" w:cs="宋体"/>
          <w:sz w:val="24"/>
          <w:szCs w:val="21"/>
          <w:highlight w:val="none"/>
        </w:rPr>
        <w:t>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（采购人名称）：</w:t>
      </w:r>
    </w:p>
    <w:p w14:paraId="1C690F06">
      <w:pPr>
        <w:wordWrap w:val="0"/>
        <w:snapToGrid w:val="0"/>
        <w:spacing w:line="360" w:lineRule="auto"/>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1.根据贵方采购公告，我们决定参加贵方组织的</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项目的采购活动。我方授权</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(姓名和职务),代表我方</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（供应商的名称）联系方式(手机号码</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)全权处理本项目响应的有关事宜。</w:t>
      </w:r>
    </w:p>
    <w:p w14:paraId="3E7672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2.我方完全满足《中华人民共和国政府采购法》第二十二条的全部要求，若有虚假，同意按《中华人民共和国政府采购法》第七十七条处理。</w:t>
      </w:r>
    </w:p>
    <w:p w14:paraId="4DF489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14:paraId="0416B5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4.我单位不存在为采购项目提供整体设计、规范编制或者项目管理、监理、检测等服务后，再参加除整体设计、规范编制和项目管理、监理、检测等服务之外的采购活动的情形。</w:t>
      </w:r>
    </w:p>
    <w:p w14:paraId="50670E8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5.我方愿意按照采购文件规定的各项要求，向采购人提供所需的货物与服务。</w:t>
      </w:r>
    </w:p>
    <w:p w14:paraId="750A2E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6.一旦我方成交，我方将严格履行合同规定的责任和义务。</w:t>
      </w:r>
    </w:p>
    <w:p w14:paraId="74B6225A">
      <w:pPr>
        <w:wordWrap w:val="0"/>
        <w:snapToGrid w:val="0"/>
        <w:spacing w:line="360" w:lineRule="auto"/>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7.我方保证已提供和将要提供的文件是真实的、准确的。</w:t>
      </w:r>
    </w:p>
    <w:p w14:paraId="026E82B6">
      <w:pPr>
        <w:pageBreakBefore w:val="0"/>
        <w:widowControl w:val="0"/>
        <w:tabs>
          <w:tab w:val="left" w:pos="0"/>
          <w:tab w:val="left" w:pos="840"/>
        </w:tabs>
        <w:kinsoku/>
        <w:wordWrap/>
        <w:overflowPunct w:val="0"/>
        <w:topLinePunct w:val="0"/>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p>
    <w:p w14:paraId="3DEBF470">
      <w:pPr>
        <w:pageBreakBefore w:val="0"/>
        <w:widowControl w:val="0"/>
        <w:tabs>
          <w:tab w:val="left" w:pos="0"/>
          <w:tab w:val="left" w:pos="840"/>
        </w:tabs>
        <w:kinsoku/>
        <w:wordWrap/>
        <w:overflowPunct w:val="0"/>
        <w:topLinePunct w:val="0"/>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p>
    <w:p w14:paraId="5F54409A">
      <w:pPr>
        <w:pageBreakBefore w:val="0"/>
        <w:widowControl w:val="0"/>
        <w:tabs>
          <w:tab w:val="left" w:pos="0"/>
          <w:tab w:val="left" w:pos="840"/>
        </w:tabs>
        <w:kinsoku/>
        <w:wordWrap/>
        <w:overflowPunct w:val="0"/>
        <w:topLinePunct w:val="0"/>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p>
    <w:p w14:paraId="44B4F8B8">
      <w:pPr>
        <w:pageBreakBefore w:val="0"/>
        <w:widowControl w:val="0"/>
        <w:kinsoku/>
        <w:wordWrap/>
        <w:overflowPunct w:val="0"/>
        <w:topLinePunct w:val="0"/>
        <w:bidi w:val="0"/>
        <w:adjustRightInd/>
        <w:spacing w:line="360" w:lineRule="auto"/>
        <w:ind w:right="980"/>
        <w:jc w:val="both"/>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                                    供应商公章：</w:t>
      </w:r>
    </w:p>
    <w:p w14:paraId="37E58A24">
      <w:pPr>
        <w:pageBreakBefore w:val="0"/>
        <w:widowControl w:val="0"/>
        <w:kinsoku/>
        <w:wordWrap/>
        <w:overflowPunct w:val="0"/>
        <w:topLinePunct w:val="0"/>
        <w:bidi w:val="0"/>
        <w:adjustRightInd/>
        <w:spacing w:line="360" w:lineRule="auto"/>
        <w:jc w:val="center"/>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                              日    期：________________</w:t>
      </w:r>
    </w:p>
    <w:p w14:paraId="57802744">
      <w:pPr>
        <w:pageBreakBefore w:val="0"/>
        <w:kinsoku/>
        <w:wordWrap/>
        <w:overflowPunct w:val="0"/>
        <w:topLinePunct w:val="0"/>
        <w:bidi w:val="0"/>
        <w:spacing w:line="221" w:lineRule="auto"/>
        <w:rPr>
          <w:rFonts w:hint="eastAsia" w:ascii="宋体" w:hAnsi="宋体" w:eastAsia="宋体" w:cs="宋体"/>
          <w:highlight w:val="none"/>
          <w:lang w:eastAsia="zh-CN"/>
        </w:rPr>
      </w:pPr>
    </w:p>
    <w:p w14:paraId="5C70D634">
      <w:pPr>
        <w:pageBreakBefore w:val="0"/>
        <w:kinsoku/>
        <w:wordWrap/>
        <w:overflowPunct w:val="0"/>
        <w:topLinePunct w:val="0"/>
        <w:bidi w:val="0"/>
        <w:spacing w:line="248" w:lineRule="auto"/>
        <w:rPr>
          <w:rFonts w:hint="eastAsia" w:ascii="宋体" w:hAnsi="宋体" w:eastAsia="宋体" w:cs="宋体"/>
          <w:highlight w:val="none"/>
          <w:lang w:eastAsia="zh-CN"/>
        </w:rPr>
      </w:pPr>
    </w:p>
    <w:p w14:paraId="46510D9C">
      <w:pPr>
        <w:pageBreakBefore w:val="0"/>
        <w:kinsoku/>
        <w:wordWrap/>
        <w:overflowPunct w:val="0"/>
        <w:topLinePunct w:val="0"/>
        <w:bidi w:val="0"/>
        <w:spacing w:line="248" w:lineRule="auto"/>
        <w:rPr>
          <w:rFonts w:hint="eastAsia" w:ascii="宋体" w:hAnsi="宋体" w:eastAsia="宋体" w:cs="宋体"/>
          <w:highlight w:val="none"/>
          <w:lang w:eastAsia="zh-CN"/>
        </w:rPr>
      </w:pPr>
    </w:p>
    <w:p w14:paraId="3176AA52">
      <w:pPr>
        <w:pageBreakBefore w:val="0"/>
        <w:kinsoku/>
        <w:wordWrap/>
        <w:overflowPunct w:val="0"/>
        <w:topLinePunct w:val="0"/>
        <w:bidi w:val="0"/>
        <w:spacing w:line="248" w:lineRule="auto"/>
        <w:rPr>
          <w:rFonts w:hint="eastAsia" w:ascii="宋体" w:hAnsi="宋体" w:eastAsia="宋体" w:cs="宋体"/>
          <w:highlight w:val="none"/>
          <w:lang w:eastAsia="zh-CN"/>
        </w:rPr>
      </w:pPr>
    </w:p>
    <w:p w14:paraId="2FC1159B">
      <w:pPr>
        <w:pageBreakBefore w:val="0"/>
        <w:kinsoku/>
        <w:wordWrap/>
        <w:overflowPunct w:val="0"/>
        <w:topLinePunct w:val="0"/>
        <w:bidi w:val="0"/>
        <w:spacing w:line="248" w:lineRule="auto"/>
        <w:rPr>
          <w:rFonts w:hint="eastAsia" w:ascii="宋体" w:hAnsi="宋体" w:eastAsia="宋体" w:cs="宋体"/>
          <w:highlight w:val="none"/>
          <w:lang w:eastAsia="zh-CN"/>
        </w:rPr>
      </w:pPr>
    </w:p>
    <w:p w14:paraId="4E1AFC08">
      <w:pPr>
        <w:pageBreakBefore w:val="0"/>
        <w:kinsoku/>
        <w:wordWrap/>
        <w:overflowPunct w:val="0"/>
        <w:topLinePunct w:val="0"/>
        <w:bidi w:val="0"/>
        <w:spacing w:line="248" w:lineRule="auto"/>
        <w:rPr>
          <w:rFonts w:hint="eastAsia" w:ascii="宋体" w:hAnsi="宋体" w:eastAsia="宋体" w:cs="宋体"/>
          <w:highlight w:val="none"/>
          <w:lang w:eastAsia="zh-CN"/>
        </w:rPr>
      </w:pPr>
    </w:p>
    <w:p w14:paraId="0A33AAF5">
      <w:pPr>
        <w:pageBreakBefore w:val="0"/>
        <w:kinsoku/>
        <w:wordWrap/>
        <w:overflowPunct w:val="0"/>
        <w:topLinePunct w:val="0"/>
        <w:bidi w:val="0"/>
        <w:spacing w:line="248" w:lineRule="auto"/>
        <w:rPr>
          <w:rFonts w:hint="eastAsia" w:ascii="宋体" w:hAnsi="宋体" w:eastAsia="宋体" w:cs="宋体"/>
          <w:highlight w:val="none"/>
          <w:lang w:eastAsia="zh-CN"/>
        </w:rPr>
      </w:pPr>
    </w:p>
    <w:p w14:paraId="00D75153">
      <w:pPr>
        <w:pageBreakBefore w:val="0"/>
        <w:kinsoku/>
        <w:wordWrap/>
        <w:overflowPunct w:val="0"/>
        <w:topLinePunct w:val="0"/>
        <w:bidi w:val="0"/>
        <w:spacing w:line="248" w:lineRule="auto"/>
        <w:rPr>
          <w:rFonts w:hint="eastAsia" w:ascii="宋体" w:hAnsi="宋体" w:eastAsia="宋体" w:cs="宋体"/>
          <w:highlight w:val="none"/>
          <w:lang w:eastAsia="zh-CN"/>
        </w:rPr>
      </w:pPr>
    </w:p>
    <w:p w14:paraId="46A56932">
      <w:pPr>
        <w:pageBreakBefore w:val="0"/>
        <w:kinsoku/>
        <w:wordWrap/>
        <w:overflowPunct w:val="0"/>
        <w:topLinePunct w:val="0"/>
        <w:bidi w:val="0"/>
        <w:spacing w:line="248" w:lineRule="auto"/>
        <w:rPr>
          <w:rFonts w:hint="eastAsia" w:ascii="宋体" w:hAnsi="宋体" w:eastAsia="宋体" w:cs="宋体"/>
          <w:highlight w:val="none"/>
          <w:lang w:eastAsia="zh-CN"/>
        </w:rPr>
      </w:pPr>
    </w:p>
    <w:p w14:paraId="69E36311">
      <w:pPr>
        <w:pageBreakBefore w:val="0"/>
        <w:kinsoku/>
        <w:wordWrap/>
        <w:overflowPunct w:val="0"/>
        <w:topLinePunct w:val="0"/>
        <w:bidi w:val="0"/>
        <w:spacing w:line="248" w:lineRule="auto"/>
        <w:rPr>
          <w:rFonts w:hint="eastAsia" w:ascii="宋体" w:hAnsi="宋体" w:eastAsia="宋体" w:cs="宋体"/>
          <w:highlight w:val="none"/>
          <w:lang w:eastAsia="zh-CN"/>
        </w:rPr>
      </w:pPr>
    </w:p>
    <w:p w14:paraId="49B525C9">
      <w:pPr>
        <w:pageBreakBefore w:val="0"/>
        <w:kinsoku/>
        <w:wordWrap/>
        <w:overflowPunct w:val="0"/>
        <w:topLinePunct w:val="0"/>
        <w:bidi w:val="0"/>
        <w:spacing w:line="248" w:lineRule="auto"/>
        <w:rPr>
          <w:rFonts w:hint="eastAsia" w:ascii="宋体" w:hAnsi="宋体" w:eastAsia="宋体" w:cs="宋体"/>
          <w:highlight w:val="none"/>
          <w:lang w:eastAsia="zh-CN"/>
        </w:rPr>
      </w:pPr>
    </w:p>
    <w:p w14:paraId="45940EC2">
      <w:pPr>
        <w:pageBreakBefore w:val="0"/>
        <w:kinsoku/>
        <w:wordWrap/>
        <w:overflowPunct w:val="0"/>
        <w:topLinePunct w:val="0"/>
        <w:bidi w:val="0"/>
        <w:adjustRightInd/>
        <w:spacing w:line="360" w:lineRule="auto"/>
        <w:jc w:val="center"/>
        <w:textAlignment w:val="auto"/>
        <w:rPr>
          <w:rFonts w:hint="eastAsia" w:ascii="宋体" w:hAnsi="宋体" w:eastAsia="宋体" w:cs="宋体"/>
          <w:highlight w:val="none"/>
          <w:lang w:eastAsia="zh-CN"/>
        </w:rPr>
      </w:pPr>
      <w:r>
        <w:rPr>
          <w:rFonts w:hint="eastAsia" w:ascii="宋体" w:hAnsi="宋体" w:eastAsia="宋体" w:cs="宋体"/>
          <w:b/>
          <w:sz w:val="28"/>
          <w:szCs w:val="28"/>
          <w:highlight w:val="none"/>
          <w:lang w:eastAsia="zh-CN"/>
        </w:rPr>
        <w:t>4.诚信履约承诺函</w:t>
      </w:r>
    </w:p>
    <w:p w14:paraId="49296273">
      <w:pPr>
        <w:pageBreakBefore w:val="0"/>
        <w:widowControl w:val="0"/>
        <w:kinsoku/>
        <w:wordWrap/>
        <w:overflowPunct w:val="0"/>
        <w:topLinePunct w:val="0"/>
        <w:bidi w:val="0"/>
        <w:adjustRightInd/>
        <w:spacing w:line="360" w:lineRule="auto"/>
        <w:textAlignment w:val="auto"/>
        <w:rPr>
          <w:rFonts w:hint="eastAsia" w:ascii="宋体" w:hAnsi="宋体" w:eastAsia="宋体" w:cs="宋体"/>
          <w:color w:val="auto"/>
          <w:sz w:val="24"/>
          <w:szCs w:val="24"/>
          <w:highlight w:val="none"/>
          <w:lang w:eastAsia="zh-CN"/>
        </w:rPr>
      </w:pPr>
    </w:p>
    <w:p w14:paraId="121250BA">
      <w:pPr>
        <w:pageBreakBefore w:val="0"/>
        <w:widowControl w:val="0"/>
        <w:kinsoku/>
        <w:wordWrap/>
        <w:overflowPunct w:val="0"/>
        <w:topLinePunct w:val="0"/>
        <w:bidi w:val="0"/>
        <w:adjustRightIn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致（采购人名称）：</w:t>
      </w:r>
    </w:p>
    <w:p w14:paraId="27B8D350">
      <w:pPr>
        <w:pageBreakBefore w:val="0"/>
        <w:kinsoku/>
        <w:wordWrap/>
        <w:overflowPunct w:val="0"/>
        <w:topLinePunct w:val="0"/>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14:paraId="64ACF502">
      <w:pPr>
        <w:pageBreakBefore w:val="0"/>
        <w:kinsoku/>
        <w:wordWrap/>
        <w:overflowPunct w:val="0"/>
        <w:topLinePunct w:val="0"/>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（1）成交后无正当理由拒不与采购人签订政府采购合同；</w:t>
      </w:r>
    </w:p>
    <w:p w14:paraId="7711F1EC">
      <w:pPr>
        <w:pageBreakBefore w:val="0"/>
        <w:kinsoku/>
        <w:wordWrap/>
        <w:overflowPunct w:val="0"/>
        <w:topLinePunct w:val="0"/>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（2）未按照采购文件确定的事项签订政府采购合同；</w:t>
      </w:r>
    </w:p>
    <w:p w14:paraId="7BAB8EDA">
      <w:pPr>
        <w:pageBreakBefore w:val="0"/>
        <w:kinsoku/>
        <w:wordWrap/>
        <w:overflowPunct w:val="0"/>
        <w:topLinePunct w:val="0"/>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（3）将政府采购合同转包；</w:t>
      </w:r>
    </w:p>
    <w:p w14:paraId="58EE7FC9">
      <w:pPr>
        <w:pageBreakBefore w:val="0"/>
        <w:kinsoku/>
        <w:wordWrap/>
        <w:overflowPunct w:val="0"/>
        <w:topLinePunct w:val="0"/>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（4）提供假冒伪劣产品；</w:t>
      </w:r>
    </w:p>
    <w:p w14:paraId="343DB373">
      <w:pPr>
        <w:pageBreakBefore w:val="0"/>
        <w:kinsoku/>
        <w:wordWrap/>
        <w:overflowPunct w:val="0"/>
        <w:topLinePunct w:val="0"/>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（5）擅自变更、中止或者终止政府采购合同。</w:t>
      </w:r>
    </w:p>
    <w:p w14:paraId="30EC775B">
      <w:pPr>
        <w:pageBreakBefore w:val="0"/>
        <w:kinsoku/>
        <w:wordWrap/>
        <w:overflowPunct w:val="0"/>
        <w:topLinePunct w:val="0"/>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市场监督管理机关吊销营业执照；构成犯罪的，依法追究刑事责任。</w:t>
      </w:r>
    </w:p>
    <w:p w14:paraId="3617ED09">
      <w:pPr>
        <w:pageBreakBefore w:val="0"/>
        <w:kinsoku/>
        <w:wordWrap/>
        <w:overflowPunct w:val="0"/>
        <w:topLinePunct w:val="0"/>
        <w:bidi w:val="0"/>
        <w:rPr>
          <w:rFonts w:hint="eastAsia" w:ascii="宋体" w:hAnsi="宋体" w:eastAsia="宋体" w:cs="宋体"/>
          <w:color w:val="auto"/>
          <w:highlight w:val="none"/>
          <w:lang w:eastAsia="zh-CN"/>
        </w:rPr>
      </w:pPr>
    </w:p>
    <w:p w14:paraId="4EBB0091">
      <w:pPr>
        <w:pStyle w:val="40"/>
        <w:pageBreakBefore w:val="0"/>
        <w:widowControl w:val="0"/>
        <w:kinsoku/>
        <w:wordWrap/>
        <w:overflowPunct w:val="0"/>
        <w:topLinePunct w:val="0"/>
        <w:bidi w:val="0"/>
        <w:spacing w:line="360" w:lineRule="auto"/>
        <w:ind w:right="840" w:firstLine="472" w:firstLineChars="196"/>
        <w:textAlignment w:val="auto"/>
        <w:rPr>
          <w:rFonts w:hint="eastAsia" w:ascii="宋体" w:hAnsi="宋体" w:eastAsia="宋体" w:cs="宋体"/>
          <w:color w:val="auto"/>
          <w:sz w:val="24"/>
          <w:szCs w:val="24"/>
          <w:highlight w:val="none"/>
          <w:lang w:eastAsia="zh-CN"/>
        </w:rPr>
      </w:pPr>
    </w:p>
    <w:p w14:paraId="2F501B6F">
      <w:pPr>
        <w:pStyle w:val="40"/>
        <w:pageBreakBefore w:val="0"/>
        <w:widowControl w:val="0"/>
        <w:kinsoku/>
        <w:wordWrap/>
        <w:overflowPunct w:val="0"/>
        <w:topLinePunct w:val="0"/>
        <w:bidi w:val="0"/>
        <w:spacing w:line="360" w:lineRule="auto"/>
        <w:ind w:right="840" w:firstLine="5301" w:firstLineChars="2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供应商公章：</w:t>
      </w:r>
    </w:p>
    <w:p w14:paraId="762E5E3F">
      <w:pPr>
        <w:pStyle w:val="40"/>
        <w:pageBreakBefore w:val="0"/>
        <w:widowControl w:val="0"/>
        <w:kinsoku/>
        <w:wordWrap/>
        <w:overflowPunct w:val="0"/>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    期：</w:t>
      </w:r>
    </w:p>
    <w:p w14:paraId="14D37CF2">
      <w:pPr>
        <w:pageBreakBefore w:val="0"/>
        <w:kinsoku/>
        <w:wordWrap/>
        <w:overflowPunct w:val="0"/>
        <w:topLinePunct w:val="0"/>
        <w:bidi w:val="0"/>
        <w:spacing w:line="249" w:lineRule="auto"/>
        <w:rPr>
          <w:rFonts w:hint="eastAsia" w:ascii="宋体" w:hAnsi="宋体" w:eastAsia="宋体" w:cs="宋体"/>
          <w:highlight w:val="none"/>
          <w:lang w:eastAsia="zh-CN"/>
        </w:rPr>
      </w:pPr>
    </w:p>
    <w:p w14:paraId="1AC5B4C2">
      <w:pPr>
        <w:pageBreakBefore w:val="0"/>
        <w:kinsoku/>
        <w:wordWrap/>
        <w:overflowPunct w:val="0"/>
        <w:topLinePunct w:val="0"/>
        <w:bidi w:val="0"/>
        <w:spacing w:line="249" w:lineRule="auto"/>
        <w:rPr>
          <w:rFonts w:hint="eastAsia" w:ascii="宋体" w:hAnsi="宋体" w:eastAsia="宋体" w:cs="宋体"/>
          <w:highlight w:val="none"/>
          <w:lang w:eastAsia="zh-CN"/>
        </w:rPr>
      </w:pPr>
    </w:p>
    <w:p w14:paraId="743F6697">
      <w:pPr>
        <w:pageBreakBefore w:val="0"/>
        <w:kinsoku/>
        <w:wordWrap/>
        <w:overflowPunct w:val="0"/>
        <w:topLinePunct w:val="0"/>
        <w:bidi w:val="0"/>
        <w:spacing w:line="249" w:lineRule="auto"/>
        <w:rPr>
          <w:rFonts w:hint="eastAsia" w:ascii="宋体" w:hAnsi="宋体" w:eastAsia="宋体" w:cs="宋体"/>
          <w:highlight w:val="none"/>
          <w:lang w:eastAsia="zh-CN"/>
        </w:rPr>
      </w:pPr>
    </w:p>
    <w:p w14:paraId="1FB7A7C7">
      <w:pPr>
        <w:pageBreakBefore w:val="0"/>
        <w:kinsoku/>
        <w:wordWrap/>
        <w:overflowPunct w:val="0"/>
        <w:topLinePunct w:val="0"/>
        <w:bidi w:val="0"/>
        <w:spacing w:line="249" w:lineRule="auto"/>
        <w:rPr>
          <w:rFonts w:hint="eastAsia" w:ascii="宋体" w:hAnsi="宋体" w:eastAsia="宋体" w:cs="宋体"/>
          <w:highlight w:val="none"/>
          <w:lang w:eastAsia="zh-CN"/>
        </w:rPr>
      </w:pPr>
    </w:p>
    <w:p w14:paraId="111A9511">
      <w:pPr>
        <w:pageBreakBefore w:val="0"/>
        <w:kinsoku/>
        <w:wordWrap/>
        <w:overflowPunct w:val="0"/>
        <w:topLinePunct w:val="0"/>
        <w:bidi w:val="0"/>
        <w:spacing w:line="249" w:lineRule="auto"/>
        <w:rPr>
          <w:rFonts w:hint="eastAsia" w:ascii="宋体" w:hAnsi="宋体" w:eastAsia="宋体" w:cs="宋体"/>
          <w:highlight w:val="none"/>
          <w:lang w:eastAsia="zh-CN"/>
        </w:rPr>
      </w:pPr>
    </w:p>
    <w:p w14:paraId="76FBE401">
      <w:pPr>
        <w:pageBreakBefore w:val="0"/>
        <w:kinsoku/>
        <w:wordWrap/>
        <w:overflowPunct w:val="0"/>
        <w:topLinePunct w:val="0"/>
        <w:bidi w:val="0"/>
        <w:spacing w:line="249" w:lineRule="auto"/>
        <w:rPr>
          <w:rFonts w:hint="eastAsia" w:ascii="宋体" w:hAnsi="宋体" w:eastAsia="宋体" w:cs="宋体"/>
          <w:highlight w:val="none"/>
          <w:lang w:eastAsia="zh-CN"/>
        </w:rPr>
      </w:pPr>
    </w:p>
    <w:p w14:paraId="6327BCE8">
      <w:pPr>
        <w:pageBreakBefore w:val="0"/>
        <w:kinsoku/>
        <w:wordWrap/>
        <w:overflowPunct w:val="0"/>
        <w:topLinePunct w:val="0"/>
        <w:bidi w:val="0"/>
        <w:spacing w:line="249" w:lineRule="auto"/>
        <w:rPr>
          <w:rFonts w:hint="eastAsia" w:ascii="宋体" w:hAnsi="宋体" w:eastAsia="宋体" w:cs="宋体"/>
          <w:highlight w:val="none"/>
          <w:lang w:eastAsia="zh-CN"/>
        </w:rPr>
      </w:pPr>
    </w:p>
    <w:p w14:paraId="6F969CA0">
      <w:pPr>
        <w:pageBreakBefore w:val="0"/>
        <w:kinsoku/>
        <w:wordWrap/>
        <w:overflowPunct w:val="0"/>
        <w:topLinePunct w:val="0"/>
        <w:bidi w:val="0"/>
        <w:spacing w:line="249" w:lineRule="auto"/>
        <w:rPr>
          <w:rFonts w:hint="eastAsia" w:ascii="宋体" w:hAnsi="宋体" w:eastAsia="宋体" w:cs="宋体"/>
          <w:highlight w:val="none"/>
          <w:lang w:eastAsia="zh-CN"/>
        </w:rPr>
      </w:pPr>
    </w:p>
    <w:p w14:paraId="24D93244">
      <w:pPr>
        <w:pageBreakBefore w:val="0"/>
        <w:kinsoku/>
        <w:wordWrap/>
        <w:overflowPunct w:val="0"/>
        <w:topLinePunct w:val="0"/>
        <w:bidi w:val="0"/>
        <w:spacing w:line="249" w:lineRule="auto"/>
        <w:rPr>
          <w:rFonts w:hint="eastAsia" w:ascii="宋体" w:hAnsi="宋体" w:eastAsia="宋体" w:cs="宋体"/>
          <w:highlight w:val="none"/>
          <w:lang w:eastAsia="zh-CN"/>
        </w:rPr>
      </w:pPr>
    </w:p>
    <w:p w14:paraId="2B200CAD">
      <w:pPr>
        <w:pageBreakBefore w:val="0"/>
        <w:kinsoku/>
        <w:wordWrap/>
        <w:overflowPunct w:val="0"/>
        <w:topLinePunct w:val="0"/>
        <w:bidi w:val="0"/>
        <w:spacing w:line="249" w:lineRule="auto"/>
        <w:rPr>
          <w:rFonts w:hint="eastAsia" w:ascii="宋体" w:hAnsi="宋体" w:eastAsia="宋体" w:cs="宋体"/>
          <w:highlight w:val="none"/>
          <w:lang w:eastAsia="zh-CN"/>
        </w:rPr>
      </w:pPr>
    </w:p>
    <w:p w14:paraId="1268CFCA">
      <w:pPr>
        <w:pageBreakBefore w:val="0"/>
        <w:kinsoku/>
        <w:wordWrap/>
        <w:overflowPunct w:val="0"/>
        <w:topLinePunct w:val="0"/>
        <w:bidi w:val="0"/>
        <w:spacing w:line="249" w:lineRule="auto"/>
        <w:rPr>
          <w:rFonts w:hint="eastAsia" w:ascii="宋体" w:hAnsi="宋体" w:eastAsia="宋体" w:cs="宋体"/>
          <w:highlight w:val="none"/>
          <w:lang w:eastAsia="zh-CN"/>
        </w:rPr>
      </w:pPr>
    </w:p>
    <w:p w14:paraId="229135EB">
      <w:pPr>
        <w:pStyle w:val="19"/>
        <w:ind w:left="0" w:leftChars="0" w:firstLine="0" w:firstLineChars="0"/>
        <w:rPr>
          <w:rFonts w:hint="eastAsia" w:ascii="宋体" w:hAnsi="宋体" w:eastAsia="宋体" w:cs="宋体"/>
          <w:highlight w:val="none"/>
          <w:lang w:eastAsia="zh-CN"/>
        </w:rPr>
      </w:pPr>
    </w:p>
    <w:p w14:paraId="6290493D">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textAlignment w:val="baseline"/>
        <w:rPr>
          <w:rFonts w:hint="eastAsia" w:ascii="宋体" w:hAnsi="宋体" w:eastAsia="宋体" w:cs="宋体"/>
          <w:highlight w:val="none"/>
          <w:lang w:eastAsia="zh-CN"/>
        </w:rPr>
      </w:pPr>
      <w:r>
        <w:rPr>
          <w:rFonts w:hint="eastAsia" w:ascii="宋体" w:hAnsi="宋体" w:eastAsia="宋体" w:cs="宋体"/>
          <w:spacing w:val="-2"/>
          <w:position w:val="15"/>
          <w:highlight w:val="none"/>
          <w:lang w:eastAsia="zh-CN"/>
        </w:rPr>
        <w:t>5、项目实施方案</w:t>
      </w:r>
    </w:p>
    <w:p w14:paraId="03F7B47A">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textAlignment w:val="baseline"/>
        <w:rPr>
          <w:rFonts w:hint="eastAsia" w:ascii="宋体" w:hAnsi="宋体" w:eastAsia="宋体" w:cs="宋体"/>
          <w:highlight w:val="none"/>
          <w:lang w:eastAsia="zh-CN"/>
        </w:rPr>
      </w:pPr>
      <w:r>
        <w:rPr>
          <w:rFonts w:hint="eastAsia" w:ascii="宋体" w:hAnsi="宋体" w:eastAsia="宋体" w:cs="宋体"/>
          <w:spacing w:val="-3"/>
          <w:highlight w:val="none"/>
          <w:lang w:eastAsia="zh-CN"/>
        </w:rPr>
        <w:t>（一）供应商简介</w:t>
      </w:r>
    </w:p>
    <w:p w14:paraId="620E3CFD">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textAlignment w:val="baseline"/>
        <w:rPr>
          <w:rFonts w:hint="eastAsia" w:ascii="宋体" w:hAnsi="宋体" w:eastAsia="宋体" w:cs="宋体"/>
          <w:highlight w:val="none"/>
          <w:lang w:eastAsia="zh-CN"/>
        </w:rPr>
      </w:pPr>
      <w:r>
        <w:rPr>
          <w:rFonts w:hint="eastAsia" w:ascii="宋体" w:hAnsi="宋体" w:eastAsia="宋体" w:cs="宋体"/>
          <w:spacing w:val="-16"/>
          <w:highlight w:val="none"/>
          <w:lang w:eastAsia="zh-CN"/>
        </w:rPr>
        <w:t>（二）项目实施方案</w:t>
      </w:r>
    </w:p>
    <w:p w14:paraId="5CDE678B">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textAlignment w:val="baseline"/>
        <w:rPr>
          <w:rFonts w:hint="eastAsia" w:ascii="宋体" w:hAnsi="宋体" w:eastAsia="宋体" w:cs="宋体"/>
          <w:highlight w:val="none"/>
          <w:lang w:eastAsia="zh-CN"/>
        </w:rPr>
      </w:pPr>
      <w:r>
        <w:rPr>
          <w:rFonts w:hint="eastAsia" w:ascii="宋体" w:hAnsi="宋体" w:eastAsia="宋体" w:cs="宋体"/>
          <w:spacing w:val="-6"/>
          <w:highlight w:val="none"/>
          <w:lang w:eastAsia="zh-CN"/>
        </w:rPr>
        <w:t>（详细说明）</w:t>
      </w:r>
    </w:p>
    <w:p w14:paraId="21F7D280">
      <w:pPr>
        <w:pStyle w:val="8"/>
        <w:keepNext w:val="0"/>
        <w:keepLines w:val="0"/>
        <w:pageBreakBefore w:val="0"/>
        <w:widowControl/>
        <w:kinsoku/>
        <w:wordWrap/>
        <w:overflowPunct w:val="0"/>
        <w:topLinePunct w:val="0"/>
        <w:autoSpaceDE w:val="0"/>
        <w:autoSpaceDN w:val="0"/>
        <w:bidi w:val="0"/>
        <w:adjustRightInd w:val="0"/>
        <w:snapToGrid w:val="0"/>
        <w:spacing w:line="360" w:lineRule="auto"/>
        <w:ind w:left="0"/>
        <w:textAlignment w:val="baseline"/>
        <w:rPr>
          <w:rFonts w:hint="eastAsia" w:ascii="宋体" w:hAnsi="宋体" w:eastAsia="宋体" w:cs="宋体"/>
          <w:highlight w:val="none"/>
          <w:lang w:eastAsia="zh-CN"/>
        </w:rPr>
      </w:pPr>
      <w:r>
        <w:rPr>
          <w:rFonts w:hint="eastAsia" w:ascii="宋体" w:hAnsi="宋体" w:eastAsia="宋体" w:cs="宋体"/>
          <w:spacing w:val="-2"/>
          <w:highlight w:val="none"/>
          <w:lang w:eastAsia="zh-CN"/>
        </w:rPr>
        <w:t>6、履行合同所必需的设备专业技术能力证明</w:t>
      </w:r>
    </w:p>
    <w:p w14:paraId="3F90D29C">
      <w:pPr>
        <w:wordWrap w:val="0"/>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（1）服务本项目主要人员一览表</w:t>
      </w:r>
    </w:p>
    <w:tbl>
      <w:tblPr>
        <w:tblStyle w:val="20"/>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2046"/>
        <w:gridCol w:w="1104"/>
        <w:gridCol w:w="1350"/>
        <w:gridCol w:w="2396"/>
      </w:tblGrid>
      <w:tr w14:paraId="182AD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34F4308A">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类别</w:t>
            </w:r>
          </w:p>
        </w:tc>
        <w:tc>
          <w:tcPr>
            <w:tcW w:w="1080" w:type="dxa"/>
            <w:vMerge w:val="restart"/>
            <w:vAlign w:val="center"/>
          </w:tcPr>
          <w:p w14:paraId="7B9CFEF2">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1080" w:type="dxa"/>
            <w:vMerge w:val="restart"/>
            <w:vAlign w:val="center"/>
          </w:tcPr>
          <w:p w14:paraId="2092CF50">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职务</w:t>
            </w:r>
          </w:p>
        </w:tc>
        <w:tc>
          <w:tcPr>
            <w:tcW w:w="2046" w:type="dxa"/>
            <w:vMerge w:val="restart"/>
            <w:vAlign w:val="center"/>
          </w:tcPr>
          <w:p w14:paraId="170F4712">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职称或执业资格</w:t>
            </w:r>
          </w:p>
        </w:tc>
        <w:tc>
          <w:tcPr>
            <w:tcW w:w="1104" w:type="dxa"/>
            <w:vMerge w:val="restart"/>
            <w:vAlign w:val="center"/>
          </w:tcPr>
          <w:p w14:paraId="12C1D396">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学历</w:t>
            </w:r>
          </w:p>
        </w:tc>
        <w:tc>
          <w:tcPr>
            <w:tcW w:w="3746" w:type="dxa"/>
            <w:gridSpan w:val="2"/>
            <w:vAlign w:val="center"/>
          </w:tcPr>
          <w:p w14:paraId="0A4F007A">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证件</w:t>
            </w:r>
          </w:p>
        </w:tc>
      </w:tr>
      <w:tr w14:paraId="7CDE9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32ED8B81">
            <w:pPr>
              <w:wordWrap w:val="0"/>
              <w:spacing w:line="360" w:lineRule="auto"/>
              <w:rPr>
                <w:rFonts w:hint="eastAsia" w:ascii="宋体" w:hAnsi="宋体" w:eastAsia="宋体" w:cs="宋体"/>
                <w:color w:val="auto"/>
                <w:sz w:val="24"/>
                <w:szCs w:val="21"/>
                <w:highlight w:val="none"/>
              </w:rPr>
            </w:pPr>
          </w:p>
        </w:tc>
        <w:tc>
          <w:tcPr>
            <w:tcW w:w="1080" w:type="dxa"/>
            <w:vMerge w:val="continue"/>
            <w:vAlign w:val="center"/>
          </w:tcPr>
          <w:p w14:paraId="73F8C836">
            <w:pPr>
              <w:wordWrap w:val="0"/>
              <w:spacing w:line="360" w:lineRule="auto"/>
              <w:rPr>
                <w:rFonts w:hint="eastAsia" w:ascii="宋体" w:hAnsi="宋体" w:eastAsia="宋体" w:cs="宋体"/>
                <w:color w:val="auto"/>
                <w:sz w:val="24"/>
                <w:szCs w:val="21"/>
                <w:highlight w:val="none"/>
              </w:rPr>
            </w:pPr>
          </w:p>
        </w:tc>
        <w:tc>
          <w:tcPr>
            <w:tcW w:w="1080" w:type="dxa"/>
            <w:vMerge w:val="continue"/>
            <w:vAlign w:val="center"/>
          </w:tcPr>
          <w:p w14:paraId="35C3B4A2">
            <w:pPr>
              <w:wordWrap w:val="0"/>
              <w:spacing w:line="360" w:lineRule="auto"/>
              <w:rPr>
                <w:rFonts w:hint="eastAsia" w:ascii="宋体" w:hAnsi="宋体" w:eastAsia="宋体" w:cs="宋体"/>
                <w:color w:val="auto"/>
                <w:sz w:val="24"/>
                <w:szCs w:val="21"/>
                <w:highlight w:val="none"/>
              </w:rPr>
            </w:pPr>
          </w:p>
        </w:tc>
        <w:tc>
          <w:tcPr>
            <w:tcW w:w="2046" w:type="dxa"/>
            <w:vMerge w:val="continue"/>
            <w:vAlign w:val="center"/>
          </w:tcPr>
          <w:p w14:paraId="5FC8E890">
            <w:pPr>
              <w:wordWrap w:val="0"/>
              <w:spacing w:line="360" w:lineRule="auto"/>
              <w:rPr>
                <w:rFonts w:hint="eastAsia" w:ascii="宋体" w:hAnsi="宋体" w:eastAsia="宋体" w:cs="宋体"/>
                <w:color w:val="auto"/>
                <w:sz w:val="24"/>
                <w:szCs w:val="21"/>
                <w:highlight w:val="none"/>
              </w:rPr>
            </w:pPr>
          </w:p>
        </w:tc>
        <w:tc>
          <w:tcPr>
            <w:tcW w:w="1104" w:type="dxa"/>
            <w:vMerge w:val="continue"/>
            <w:vAlign w:val="center"/>
          </w:tcPr>
          <w:p w14:paraId="4CDFFB3C">
            <w:pPr>
              <w:wordWrap w:val="0"/>
              <w:spacing w:line="360" w:lineRule="auto"/>
              <w:rPr>
                <w:rFonts w:hint="eastAsia" w:ascii="宋体" w:hAnsi="宋体" w:eastAsia="宋体" w:cs="宋体"/>
                <w:color w:val="auto"/>
                <w:sz w:val="24"/>
                <w:szCs w:val="21"/>
                <w:highlight w:val="none"/>
              </w:rPr>
            </w:pPr>
          </w:p>
        </w:tc>
        <w:tc>
          <w:tcPr>
            <w:tcW w:w="1350" w:type="dxa"/>
            <w:vAlign w:val="center"/>
          </w:tcPr>
          <w:p w14:paraId="36E16FC5">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名称</w:t>
            </w:r>
          </w:p>
        </w:tc>
        <w:tc>
          <w:tcPr>
            <w:tcW w:w="2396" w:type="dxa"/>
            <w:vAlign w:val="center"/>
          </w:tcPr>
          <w:p w14:paraId="357556A7">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号码</w:t>
            </w:r>
          </w:p>
        </w:tc>
      </w:tr>
      <w:tr w14:paraId="206C4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28" w:type="dxa"/>
            <w:vMerge w:val="restart"/>
            <w:vAlign w:val="center"/>
          </w:tcPr>
          <w:p w14:paraId="558A7CDC">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管理人员</w:t>
            </w:r>
          </w:p>
        </w:tc>
        <w:tc>
          <w:tcPr>
            <w:tcW w:w="1080" w:type="dxa"/>
            <w:vAlign w:val="center"/>
          </w:tcPr>
          <w:p w14:paraId="1CD30D75">
            <w:pPr>
              <w:wordWrap w:val="0"/>
              <w:spacing w:line="360" w:lineRule="auto"/>
              <w:rPr>
                <w:rFonts w:hint="eastAsia" w:ascii="宋体" w:hAnsi="宋体" w:eastAsia="宋体" w:cs="宋体"/>
                <w:color w:val="auto"/>
                <w:sz w:val="24"/>
                <w:szCs w:val="21"/>
                <w:highlight w:val="none"/>
              </w:rPr>
            </w:pPr>
          </w:p>
        </w:tc>
        <w:tc>
          <w:tcPr>
            <w:tcW w:w="1080" w:type="dxa"/>
            <w:vAlign w:val="center"/>
          </w:tcPr>
          <w:p w14:paraId="47584CA4">
            <w:pPr>
              <w:wordWrap w:val="0"/>
              <w:spacing w:line="360" w:lineRule="auto"/>
              <w:rPr>
                <w:rFonts w:hint="eastAsia" w:ascii="宋体" w:hAnsi="宋体" w:eastAsia="宋体" w:cs="宋体"/>
                <w:color w:val="auto"/>
                <w:sz w:val="24"/>
                <w:szCs w:val="21"/>
                <w:highlight w:val="none"/>
              </w:rPr>
            </w:pPr>
          </w:p>
        </w:tc>
        <w:tc>
          <w:tcPr>
            <w:tcW w:w="2046" w:type="dxa"/>
            <w:vAlign w:val="center"/>
          </w:tcPr>
          <w:p w14:paraId="704FB6EC">
            <w:pPr>
              <w:wordWrap w:val="0"/>
              <w:spacing w:line="360" w:lineRule="auto"/>
              <w:rPr>
                <w:rFonts w:hint="eastAsia" w:ascii="宋体" w:hAnsi="宋体" w:eastAsia="宋体" w:cs="宋体"/>
                <w:color w:val="auto"/>
                <w:sz w:val="24"/>
                <w:szCs w:val="21"/>
                <w:highlight w:val="none"/>
              </w:rPr>
            </w:pPr>
          </w:p>
        </w:tc>
        <w:tc>
          <w:tcPr>
            <w:tcW w:w="1104" w:type="dxa"/>
            <w:vAlign w:val="center"/>
          </w:tcPr>
          <w:p w14:paraId="4E067E97">
            <w:pPr>
              <w:wordWrap w:val="0"/>
              <w:spacing w:line="360" w:lineRule="auto"/>
              <w:rPr>
                <w:rFonts w:hint="eastAsia" w:ascii="宋体" w:hAnsi="宋体" w:eastAsia="宋体" w:cs="宋体"/>
                <w:color w:val="auto"/>
                <w:sz w:val="24"/>
                <w:szCs w:val="21"/>
                <w:highlight w:val="none"/>
              </w:rPr>
            </w:pPr>
          </w:p>
        </w:tc>
        <w:tc>
          <w:tcPr>
            <w:tcW w:w="1350" w:type="dxa"/>
            <w:vAlign w:val="center"/>
          </w:tcPr>
          <w:p w14:paraId="009E52D2">
            <w:pPr>
              <w:wordWrap w:val="0"/>
              <w:spacing w:line="360" w:lineRule="auto"/>
              <w:rPr>
                <w:rFonts w:hint="eastAsia" w:ascii="宋体" w:hAnsi="宋体" w:eastAsia="宋体" w:cs="宋体"/>
                <w:color w:val="auto"/>
                <w:sz w:val="24"/>
                <w:szCs w:val="21"/>
                <w:highlight w:val="none"/>
              </w:rPr>
            </w:pPr>
          </w:p>
        </w:tc>
        <w:tc>
          <w:tcPr>
            <w:tcW w:w="2396" w:type="dxa"/>
            <w:vAlign w:val="center"/>
          </w:tcPr>
          <w:p w14:paraId="5A71ACFF">
            <w:pPr>
              <w:wordWrap w:val="0"/>
              <w:spacing w:line="360" w:lineRule="auto"/>
              <w:rPr>
                <w:rFonts w:hint="eastAsia" w:ascii="宋体" w:hAnsi="宋体" w:eastAsia="宋体" w:cs="宋体"/>
                <w:color w:val="auto"/>
                <w:sz w:val="24"/>
                <w:szCs w:val="21"/>
                <w:highlight w:val="none"/>
              </w:rPr>
            </w:pPr>
          </w:p>
        </w:tc>
      </w:tr>
      <w:tr w14:paraId="614F0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08C70F44">
            <w:pPr>
              <w:wordWrap w:val="0"/>
              <w:spacing w:line="360" w:lineRule="auto"/>
              <w:rPr>
                <w:rFonts w:hint="eastAsia" w:ascii="宋体" w:hAnsi="宋体" w:eastAsia="宋体" w:cs="宋体"/>
                <w:color w:val="auto"/>
                <w:sz w:val="24"/>
                <w:szCs w:val="21"/>
                <w:highlight w:val="none"/>
              </w:rPr>
            </w:pPr>
          </w:p>
        </w:tc>
        <w:tc>
          <w:tcPr>
            <w:tcW w:w="1080" w:type="dxa"/>
            <w:vAlign w:val="center"/>
          </w:tcPr>
          <w:p w14:paraId="20361C17">
            <w:pPr>
              <w:wordWrap w:val="0"/>
              <w:spacing w:line="360" w:lineRule="auto"/>
              <w:rPr>
                <w:rFonts w:hint="eastAsia" w:ascii="宋体" w:hAnsi="宋体" w:eastAsia="宋体" w:cs="宋体"/>
                <w:color w:val="auto"/>
                <w:sz w:val="24"/>
                <w:szCs w:val="21"/>
                <w:highlight w:val="none"/>
              </w:rPr>
            </w:pPr>
          </w:p>
        </w:tc>
        <w:tc>
          <w:tcPr>
            <w:tcW w:w="1080" w:type="dxa"/>
            <w:vAlign w:val="center"/>
          </w:tcPr>
          <w:p w14:paraId="76AC68FC">
            <w:pPr>
              <w:wordWrap w:val="0"/>
              <w:spacing w:line="360" w:lineRule="auto"/>
              <w:rPr>
                <w:rFonts w:hint="eastAsia" w:ascii="宋体" w:hAnsi="宋体" w:eastAsia="宋体" w:cs="宋体"/>
                <w:color w:val="auto"/>
                <w:sz w:val="24"/>
                <w:szCs w:val="21"/>
                <w:highlight w:val="none"/>
              </w:rPr>
            </w:pPr>
          </w:p>
        </w:tc>
        <w:tc>
          <w:tcPr>
            <w:tcW w:w="2046" w:type="dxa"/>
            <w:vAlign w:val="center"/>
          </w:tcPr>
          <w:p w14:paraId="24B38F21">
            <w:pPr>
              <w:wordWrap w:val="0"/>
              <w:spacing w:line="360" w:lineRule="auto"/>
              <w:rPr>
                <w:rFonts w:hint="eastAsia" w:ascii="宋体" w:hAnsi="宋体" w:eastAsia="宋体" w:cs="宋体"/>
                <w:color w:val="auto"/>
                <w:sz w:val="24"/>
                <w:szCs w:val="21"/>
                <w:highlight w:val="none"/>
              </w:rPr>
            </w:pPr>
          </w:p>
        </w:tc>
        <w:tc>
          <w:tcPr>
            <w:tcW w:w="1104" w:type="dxa"/>
            <w:vAlign w:val="center"/>
          </w:tcPr>
          <w:p w14:paraId="3ED7778B">
            <w:pPr>
              <w:wordWrap w:val="0"/>
              <w:spacing w:line="360" w:lineRule="auto"/>
              <w:rPr>
                <w:rFonts w:hint="eastAsia" w:ascii="宋体" w:hAnsi="宋体" w:eastAsia="宋体" w:cs="宋体"/>
                <w:color w:val="auto"/>
                <w:sz w:val="24"/>
                <w:szCs w:val="21"/>
                <w:highlight w:val="none"/>
              </w:rPr>
            </w:pPr>
          </w:p>
        </w:tc>
        <w:tc>
          <w:tcPr>
            <w:tcW w:w="1350" w:type="dxa"/>
            <w:vAlign w:val="center"/>
          </w:tcPr>
          <w:p w14:paraId="40769CA5">
            <w:pPr>
              <w:wordWrap w:val="0"/>
              <w:spacing w:line="360" w:lineRule="auto"/>
              <w:rPr>
                <w:rFonts w:hint="eastAsia" w:ascii="宋体" w:hAnsi="宋体" w:eastAsia="宋体" w:cs="宋体"/>
                <w:color w:val="auto"/>
                <w:sz w:val="24"/>
                <w:szCs w:val="21"/>
                <w:highlight w:val="none"/>
              </w:rPr>
            </w:pPr>
          </w:p>
        </w:tc>
        <w:tc>
          <w:tcPr>
            <w:tcW w:w="2396" w:type="dxa"/>
            <w:vAlign w:val="center"/>
          </w:tcPr>
          <w:p w14:paraId="486DAAA6">
            <w:pPr>
              <w:wordWrap w:val="0"/>
              <w:spacing w:line="360" w:lineRule="auto"/>
              <w:rPr>
                <w:rFonts w:hint="eastAsia" w:ascii="宋体" w:hAnsi="宋体" w:eastAsia="宋体" w:cs="宋体"/>
                <w:color w:val="auto"/>
                <w:sz w:val="24"/>
                <w:szCs w:val="21"/>
                <w:highlight w:val="none"/>
              </w:rPr>
            </w:pPr>
          </w:p>
        </w:tc>
      </w:tr>
      <w:tr w14:paraId="64040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7C63C73B">
            <w:pPr>
              <w:wordWrap w:val="0"/>
              <w:spacing w:line="360" w:lineRule="auto"/>
              <w:rPr>
                <w:rFonts w:hint="eastAsia" w:ascii="宋体" w:hAnsi="宋体" w:eastAsia="宋体" w:cs="宋体"/>
                <w:color w:val="auto"/>
                <w:sz w:val="24"/>
                <w:szCs w:val="21"/>
                <w:highlight w:val="none"/>
              </w:rPr>
            </w:pPr>
          </w:p>
        </w:tc>
        <w:tc>
          <w:tcPr>
            <w:tcW w:w="1080" w:type="dxa"/>
            <w:vAlign w:val="center"/>
          </w:tcPr>
          <w:p w14:paraId="4E6F96D6">
            <w:pPr>
              <w:wordWrap w:val="0"/>
              <w:spacing w:line="360" w:lineRule="auto"/>
              <w:rPr>
                <w:rFonts w:hint="eastAsia" w:ascii="宋体" w:hAnsi="宋体" w:eastAsia="宋体" w:cs="宋体"/>
                <w:color w:val="auto"/>
                <w:sz w:val="24"/>
                <w:szCs w:val="21"/>
                <w:highlight w:val="none"/>
              </w:rPr>
            </w:pPr>
          </w:p>
        </w:tc>
        <w:tc>
          <w:tcPr>
            <w:tcW w:w="1080" w:type="dxa"/>
            <w:vAlign w:val="center"/>
          </w:tcPr>
          <w:p w14:paraId="02AD812D">
            <w:pPr>
              <w:wordWrap w:val="0"/>
              <w:spacing w:line="360" w:lineRule="auto"/>
              <w:rPr>
                <w:rFonts w:hint="eastAsia" w:ascii="宋体" w:hAnsi="宋体" w:eastAsia="宋体" w:cs="宋体"/>
                <w:color w:val="auto"/>
                <w:sz w:val="24"/>
                <w:szCs w:val="21"/>
                <w:highlight w:val="none"/>
              </w:rPr>
            </w:pPr>
          </w:p>
        </w:tc>
        <w:tc>
          <w:tcPr>
            <w:tcW w:w="2046" w:type="dxa"/>
            <w:vAlign w:val="center"/>
          </w:tcPr>
          <w:p w14:paraId="478E94D1">
            <w:pPr>
              <w:wordWrap w:val="0"/>
              <w:spacing w:line="360" w:lineRule="auto"/>
              <w:rPr>
                <w:rFonts w:hint="eastAsia" w:ascii="宋体" w:hAnsi="宋体" w:eastAsia="宋体" w:cs="宋体"/>
                <w:color w:val="auto"/>
                <w:sz w:val="24"/>
                <w:szCs w:val="21"/>
                <w:highlight w:val="none"/>
              </w:rPr>
            </w:pPr>
          </w:p>
        </w:tc>
        <w:tc>
          <w:tcPr>
            <w:tcW w:w="1104" w:type="dxa"/>
            <w:vAlign w:val="center"/>
          </w:tcPr>
          <w:p w14:paraId="582B335C">
            <w:pPr>
              <w:wordWrap w:val="0"/>
              <w:spacing w:line="360" w:lineRule="auto"/>
              <w:rPr>
                <w:rFonts w:hint="eastAsia" w:ascii="宋体" w:hAnsi="宋体" w:eastAsia="宋体" w:cs="宋体"/>
                <w:color w:val="auto"/>
                <w:sz w:val="24"/>
                <w:szCs w:val="21"/>
                <w:highlight w:val="none"/>
              </w:rPr>
            </w:pPr>
          </w:p>
        </w:tc>
        <w:tc>
          <w:tcPr>
            <w:tcW w:w="1350" w:type="dxa"/>
            <w:vAlign w:val="center"/>
          </w:tcPr>
          <w:p w14:paraId="0F73B96C">
            <w:pPr>
              <w:wordWrap w:val="0"/>
              <w:spacing w:line="360" w:lineRule="auto"/>
              <w:rPr>
                <w:rFonts w:hint="eastAsia" w:ascii="宋体" w:hAnsi="宋体" w:eastAsia="宋体" w:cs="宋体"/>
                <w:color w:val="auto"/>
                <w:sz w:val="24"/>
                <w:szCs w:val="21"/>
                <w:highlight w:val="none"/>
              </w:rPr>
            </w:pPr>
          </w:p>
        </w:tc>
        <w:tc>
          <w:tcPr>
            <w:tcW w:w="2396" w:type="dxa"/>
            <w:vAlign w:val="center"/>
          </w:tcPr>
          <w:p w14:paraId="6FA1307D">
            <w:pPr>
              <w:wordWrap w:val="0"/>
              <w:spacing w:line="360" w:lineRule="auto"/>
              <w:rPr>
                <w:rFonts w:hint="eastAsia" w:ascii="宋体" w:hAnsi="宋体" w:eastAsia="宋体" w:cs="宋体"/>
                <w:color w:val="auto"/>
                <w:sz w:val="24"/>
                <w:szCs w:val="21"/>
                <w:highlight w:val="none"/>
              </w:rPr>
            </w:pPr>
          </w:p>
        </w:tc>
      </w:tr>
      <w:tr w14:paraId="336C6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300ACC6C">
            <w:pPr>
              <w:wordWrap w:val="0"/>
              <w:spacing w:line="360" w:lineRule="auto"/>
              <w:rPr>
                <w:rFonts w:hint="eastAsia" w:ascii="宋体" w:hAnsi="宋体" w:eastAsia="宋体" w:cs="宋体"/>
                <w:color w:val="auto"/>
                <w:sz w:val="24"/>
                <w:szCs w:val="21"/>
                <w:highlight w:val="none"/>
              </w:rPr>
            </w:pPr>
          </w:p>
        </w:tc>
        <w:tc>
          <w:tcPr>
            <w:tcW w:w="1080" w:type="dxa"/>
            <w:vAlign w:val="center"/>
          </w:tcPr>
          <w:p w14:paraId="2369C9EC">
            <w:pPr>
              <w:wordWrap w:val="0"/>
              <w:spacing w:line="360" w:lineRule="auto"/>
              <w:rPr>
                <w:rFonts w:hint="eastAsia" w:ascii="宋体" w:hAnsi="宋体" w:eastAsia="宋体" w:cs="宋体"/>
                <w:color w:val="auto"/>
                <w:sz w:val="24"/>
                <w:szCs w:val="21"/>
                <w:highlight w:val="none"/>
              </w:rPr>
            </w:pPr>
          </w:p>
        </w:tc>
        <w:tc>
          <w:tcPr>
            <w:tcW w:w="1080" w:type="dxa"/>
            <w:vAlign w:val="center"/>
          </w:tcPr>
          <w:p w14:paraId="4766C540">
            <w:pPr>
              <w:wordWrap w:val="0"/>
              <w:spacing w:line="360" w:lineRule="auto"/>
              <w:rPr>
                <w:rFonts w:hint="eastAsia" w:ascii="宋体" w:hAnsi="宋体" w:eastAsia="宋体" w:cs="宋体"/>
                <w:color w:val="auto"/>
                <w:sz w:val="24"/>
                <w:szCs w:val="21"/>
                <w:highlight w:val="none"/>
              </w:rPr>
            </w:pPr>
          </w:p>
        </w:tc>
        <w:tc>
          <w:tcPr>
            <w:tcW w:w="2046" w:type="dxa"/>
            <w:vAlign w:val="center"/>
          </w:tcPr>
          <w:p w14:paraId="5324AC12">
            <w:pPr>
              <w:wordWrap w:val="0"/>
              <w:spacing w:line="360" w:lineRule="auto"/>
              <w:rPr>
                <w:rFonts w:hint="eastAsia" w:ascii="宋体" w:hAnsi="宋体" w:eastAsia="宋体" w:cs="宋体"/>
                <w:color w:val="auto"/>
                <w:sz w:val="24"/>
                <w:szCs w:val="21"/>
                <w:highlight w:val="none"/>
              </w:rPr>
            </w:pPr>
          </w:p>
        </w:tc>
        <w:tc>
          <w:tcPr>
            <w:tcW w:w="1104" w:type="dxa"/>
            <w:vAlign w:val="center"/>
          </w:tcPr>
          <w:p w14:paraId="34F31631">
            <w:pPr>
              <w:wordWrap w:val="0"/>
              <w:spacing w:line="360" w:lineRule="auto"/>
              <w:rPr>
                <w:rFonts w:hint="eastAsia" w:ascii="宋体" w:hAnsi="宋体" w:eastAsia="宋体" w:cs="宋体"/>
                <w:color w:val="auto"/>
                <w:sz w:val="24"/>
                <w:szCs w:val="21"/>
                <w:highlight w:val="none"/>
              </w:rPr>
            </w:pPr>
          </w:p>
        </w:tc>
        <w:tc>
          <w:tcPr>
            <w:tcW w:w="1350" w:type="dxa"/>
            <w:vAlign w:val="center"/>
          </w:tcPr>
          <w:p w14:paraId="6592C078">
            <w:pPr>
              <w:wordWrap w:val="0"/>
              <w:spacing w:line="360" w:lineRule="auto"/>
              <w:rPr>
                <w:rFonts w:hint="eastAsia" w:ascii="宋体" w:hAnsi="宋体" w:eastAsia="宋体" w:cs="宋体"/>
                <w:color w:val="auto"/>
                <w:sz w:val="24"/>
                <w:szCs w:val="21"/>
                <w:highlight w:val="none"/>
              </w:rPr>
            </w:pPr>
          </w:p>
        </w:tc>
        <w:tc>
          <w:tcPr>
            <w:tcW w:w="2396" w:type="dxa"/>
            <w:vAlign w:val="center"/>
          </w:tcPr>
          <w:p w14:paraId="3A64C85C">
            <w:pPr>
              <w:wordWrap w:val="0"/>
              <w:spacing w:line="360" w:lineRule="auto"/>
              <w:rPr>
                <w:rFonts w:hint="eastAsia" w:ascii="宋体" w:hAnsi="宋体" w:eastAsia="宋体" w:cs="宋体"/>
                <w:color w:val="auto"/>
                <w:sz w:val="24"/>
                <w:szCs w:val="21"/>
                <w:highlight w:val="none"/>
              </w:rPr>
            </w:pPr>
          </w:p>
        </w:tc>
      </w:tr>
      <w:tr w14:paraId="2A4F4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3FF803D8">
            <w:pPr>
              <w:wordWrap w:val="0"/>
              <w:spacing w:line="360" w:lineRule="auto"/>
              <w:rPr>
                <w:rFonts w:hint="eastAsia" w:ascii="宋体" w:hAnsi="宋体" w:eastAsia="宋体" w:cs="宋体"/>
                <w:color w:val="auto"/>
                <w:sz w:val="24"/>
                <w:szCs w:val="21"/>
                <w:highlight w:val="none"/>
              </w:rPr>
            </w:pPr>
          </w:p>
        </w:tc>
        <w:tc>
          <w:tcPr>
            <w:tcW w:w="1080" w:type="dxa"/>
            <w:vAlign w:val="center"/>
          </w:tcPr>
          <w:p w14:paraId="16D8BB59">
            <w:pPr>
              <w:wordWrap w:val="0"/>
              <w:spacing w:line="360" w:lineRule="auto"/>
              <w:rPr>
                <w:rFonts w:hint="eastAsia" w:ascii="宋体" w:hAnsi="宋体" w:eastAsia="宋体" w:cs="宋体"/>
                <w:color w:val="auto"/>
                <w:sz w:val="24"/>
                <w:szCs w:val="21"/>
                <w:highlight w:val="none"/>
              </w:rPr>
            </w:pPr>
          </w:p>
        </w:tc>
        <w:tc>
          <w:tcPr>
            <w:tcW w:w="1080" w:type="dxa"/>
            <w:vAlign w:val="center"/>
          </w:tcPr>
          <w:p w14:paraId="29F01EF3">
            <w:pPr>
              <w:wordWrap w:val="0"/>
              <w:spacing w:line="360" w:lineRule="auto"/>
              <w:rPr>
                <w:rFonts w:hint="eastAsia" w:ascii="宋体" w:hAnsi="宋体" w:eastAsia="宋体" w:cs="宋体"/>
                <w:color w:val="auto"/>
                <w:sz w:val="24"/>
                <w:szCs w:val="21"/>
                <w:highlight w:val="none"/>
              </w:rPr>
            </w:pPr>
          </w:p>
        </w:tc>
        <w:tc>
          <w:tcPr>
            <w:tcW w:w="2046" w:type="dxa"/>
            <w:vAlign w:val="center"/>
          </w:tcPr>
          <w:p w14:paraId="39EF6915">
            <w:pPr>
              <w:wordWrap w:val="0"/>
              <w:spacing w:line="360" w:lineRule="auto"/>
              <w:rPr>
                <w:rFonts w:hint="eastAsia" w:ascii="宋体" w:hAnsi="宋体" w:eastAsia="宋体" w:cs="宋体"/>
                <w:color w:val="auto"/>
                <w:sz w:val="24"/>
                <w:szCs w:val="21"/>
                <w:highlight w:val="none"/>
              </w:rPr>
            </w:pPr>
          </w:p>
        </w:tc>
        <w:tc>
          <w:tcPr>
            <w:tcW w:w="1104" w:type="dxa"/>
            <w:vAlign w:val="center"/>
          </w:tcPr>
          <w:p w14:paraId="453698B1">
            <w:pPr>
              <w:wordWrap w:val="0"/>
              <w:spacing w:line="360" w:lineRule="auto"/>
              <w:rPr>
                <w:rFonts w:hint="eastAsia" w:ascii="宋体" w:hAnsi="宋体" w:eastAsia="宋体" w:cs="宋体"/>
                <w:color w:val="auto"/>
                <w:sz w:val="24"/>
                <w:szCs w:val="21"/>
                <w:highlight w:val="none"/>
              </w:rPr>
            </w:pPr>
          </w:p>
        </w:tc>
        <w:tc>
          <w:tcPr>
            <w:tcW w:w="1350" w:type="dxa"/>
            <w:vAlign w:val="center"/>
          </w:tcPr>
          <w:p w14:paraId="49EA53D0">
            <w:pPr>
              <w:wordWrap w:val="0"/>
              <w:spacing w:line="360" w:lineRule="auto"/>
              <w:rPr>
                <w:rFonts w:hint="eastAsia" w:ascii="宋体" w:hAnsi="宋体" w:eastAsia="宋体" w:cs="宋体"/>
                <w:color w:val="auto"/>
                <w:sz w:val="24"/>
                <w:szCs w:val="21"/>
                <w:highlight w:val="none"/>
              </w:rPr>
            </w:pPr>
          </w:p>
        </w:tc>
        <w:tc>
          <w:tcPr>
            <w:tcW w:w="2396" w:type="dxa"/>
            <w:vAlign w:val="center"/>
          </w:tcPr>
          <w:p w14:paraId="6BCC69DD">
            <w:pPr>
              <w:wordWrap w:val="0"/>
              <w:spacing w:line="360" w:lineRule="auto"/>
              <w:rPr>
                <w:rFonts w:hint="eastAsia" w:ascii="宋体" w:hAnsi="宋体" w:eastAsia="宋体" w:cs="宋体"/>
                <w:color w:val="auto"/>
                <w:sz w:val="24"/>
                <w:szCs w:val="21"/>
                <w:highlight w:val="none"/>
              </w:rPr>
            </w:pPr>
          </w:p>
        </w:tc>
      </w:tr>
      <w:tr w14:paraId="3C47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1A9A0C9A">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技术人员</w:t>
            </w:r>
          </w:p>
        </w:tc>
        <w:tc>
          <w:tcPr>
            <w:tcW w:w="1080" w:type="dxa"/>
            <w:vAlign w:val="center"/>
          </w:tcPr>
          <w:p w14:paraId="66EF3676">
            <w:pPr>
              <w:wordWrap w:val="0"/>
              <w:spacing w:line="360" w:lineRule="auto"/>
              <w:rPr>
                <w:rFonts w:hint="eastAsia" w:ascii="宋体" w:hAnsi="宋体" w:eastAsia="宋体" w:cs="宋体"/>
                <w:color w:val="auto"/>
                <w:sz w:val="24"/>
                <w:szCs w:val="21"/>
                <w:highlight w:val="none"/>
              </w:rPr>
            </w:pPr>
          </w:p>
        </w:tc>
        <w:tc>
          <w:tcPr>
            <w:tcW w:w="1080" w:type="dxa"/>
            <w:vAlign w:val="center"/>
          </w:tcPr>
          <w:p w14:paraId="1F223A4B">
            <w:pPr>
              <w:wordWrap w:val="0"/>
              <w:spacing w:line="360" w:lineRule="auto"/>
              <w:rPr>
                <w:rFonts w:hint="eastAsia" w:ascii="宋体" w:hAnsi="宋体" w:eastAsia="宋体" w:cs="宋体"/>
                <w:color w:val="auto"/>
                <w:sz w:val="24"/>
                <w:szCs w:val="21"/>
                <w:highlight w:val="none"/>
              </w:rPr>
            </w:pPr>
          </w:p>
        </w:tc>
        <w:tc>
          <w:tcPr>
            <w:tcW w:w="2046" w:type="dxa"/>
            <w:vAlign w:val="center"/>
          </w:tcPr>
          <w:p w14:paraId="5C1BF171">
            <w:pPr>
              <w:wordWrap w:val="0"/>
              <w:spacing w:line="360" w:lineRule="auto"/>
              <w:rPr>
                <w:rFonts w:hint="eastAsia" w:ascii="宋体" w:hAnsi="宋体" w:eastAsia="宋体" w:cs="宋体"/>
                <w:color w:val="auto"/>
                <w:sz w:val="24"/>
                <w:szCs w:val="21"/>
                <w:highlight w:val="none"/>
              </w:rPr>
            </w:pPr>
          </w:p>
        </w:tc>
        <w:tc>
          <w:tcPr>
            <w:tcW w:w="1104" w:type="dxa"/>
            <w:vAlign w:val="center"/>
          </w:tcPr>
          <w:p w14:paraId="23073B5D">
            <w:pPr>
              <w:wordWrap w:val="0"/>
              <w:spacing w:line="360" w:lineRule="auto"/>
              <w:rPr>
                <w:rFonts w:hint="eastAsia" w:ascii="宋体" w:hAnsi="宋体" w:eastAsia="宋体" w:cs="宋体"/>
                <w:color w:val="auto"/>
                <w:sz w:val="24"/>
                <w:szCs w:val="21"/>
                <w:highlight w:val="none"/>
              </w:rPr>
            </w:pPr>
          </w:p>
        </w:tc>
        <w:tc>
          <w:tcPr>
            <w:tcW w:w="1350" w:type="dxa"/>
            <w:vAlign w:val="center"/>
          </w:tcPr>
          <w:p w14:paraId="15A9CA45">
            <w:pPr>
              <w:wordWrap w:val="0"/>
              <w:spacing w:line="360" w:lineRule="auto"/>
              <w:rPr>
                <w:rFonts w:hint="eastAsia" w:ascii="宋体" w:hAnsi="宋体" w:eastAsia="宋体" w:cs="宋体"/>
                <w:color w:val="auto"/>
                <w:sz w:val="24"/>
                <w:szCs w:val="21"/>
                <w:highlight w:val="none"/>
              </w:rPr>
            </w:pPr>
          </w:p>
        </w:tc>
        <w:tc>
          <w:tcPr>
            <w:tcW w:w="2396" w:type="dxa"/>
            <w:vAlign w:val="center"/>
          </w:tcPr>
          <w:p w14:paraId="6AE9147A">
            <w:pPr>
              <w:wordWrap w:val="0"/>
              <w:spacing w:line="360" w:lineRule="auto"/>
              <w:rPr>
                <w:rFonts w:hint="eastAsia" w:ascii="宋体" w:hAnsi="宋体" w:eastAsia="宋体" w:cs="宋体"/>
                <w:color w:val="auto"/>
                <w:sz w:val="24"/>
                <w:szCs w:val="21"/>
                <w:highlight w:val="none"/>
              </w:rPr>
            </w:pPr>
          </w:p>
        </w:tc>
      </w:tr>
      <w:tr w14:paraId="36005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2B1A2F2B">
            <w:pPr>
              <w:wordWrap w:val="0"/>
              <w:spacing w:line="360" w:lineRule="auto"/>
              <w:rPr>
                <w:rFonts w:hint="eastAsia" w:ascii="宋体" w:hAnsi="宋体" w:eastAsia="宋体" w:cs="宋体"/>
                <w:color w:val="auto"/>
                <w:sz w:val="24"/>
                <w:szCs w:val="21"/>
                <w:highlight w:val="none"/>
              </w:rPr>
            </w:pPr>
          </w:p>
        </w:tc>
        <w:tc>
          <w:tcPr>
            <w:tcW w:w="1080" w:type="dxa"/>
            <w:vAlign w:val="center"/>
          </w:tcPr>
          <w:p w14:paraId="7ACA4200">
            <w:pPr>
              <w:wordWrap w:val="0"/>
              <w:spacing w:line="360" w:lineRule="auto"/>
              <w:rPr>
                <w:rFonts w:hint="eastAsia" w:ascii="宋体" w:hAnsi="宋体" w:eastAsia="宋体" w:cs="宋体"/>
                <w:color w:val="auto"/>
                <w:sz w:val="24"/>
                <w:szCs w:val="21"/>
                <w:highlight w:val="none"/>
              </w:rPr>
            </w:pPr>
          </w:p>
        </w:tc>
        <w:tc>
          <w:tcPr>
            <w:tcW w:w="1080" w:type="dxa"/>
            <w:vAlign w:val="center"/>
          </w:tcPr>
          <w:p w14:paraId="3E4EAC87">
            <w:pPr>
              <w:wordWrap w:val="0"/>
              <w:spacing w:line="360" w:lineRule="auto"/>
              <w:rPr>
                <w:rFonts w:hint="eastAsia" w:ascii="宋体" w:hAnsi="宋体" w:eastAsia="宋体" w:cs="宋体"/>
                <w:color w:val="auto"/>
                <w:sz w:val="24"/>
                <w:szCs w:val="21"/>
                <w:highlight w:val="none"/>
              </w:rPr>
            </w:pPr>
          </w:p>
        </w:tc>
        <w:tc>
          <w:tcPr>
            <w:tcW w:w="2046" w:type="dxa"/>
            <w:vAlign w:val="center"/>
          </w:tcPr>
          <w:p w14:paraId="633B323E">
            <w:pPr>
              <w:wordWrap w:val="0"/>
              <w:spacing w:line="360" w:lineRule="auto"/>
              <w:rPr>
                <w:rFonts w:hint="eastAsia" w:ascii="宋体" w:hAnsi="宋体" w:eastAsia="宋体" w:cs="宋体"/>
                <w:color w:val="auto"/>
                <w:sz w:val="24"/>
                <w:szCs w:val="21"/>
                <w:highlight w:val="none"/>
              </w:rPr>
            </w:pPr>
          </w:p>
        </w:tc>
        <w:tc>
          <w:tcPr>
            <w:tcW w:w="1104" w:type="dxa"/>
            <w:vAlign w:val="center"/>
          </w:tcPr>
          <w:p w14:paraId="77D975E5">
            <w:pPr>
              <w:wordWrap w:val="0"/>
              <w:spacing w:line="360" w:lineRule="auto"/>
              <w:rPr>
                <w:rFonts w:hint="eastAsia" w:ascii="宋体" w:hAnsi="宋体" w:eastAsia="宋体" w:cs="宋体"/>
                <w:color w:val="auto"/>
                <w:sz w:val="24"/>
                <w:szCs w:val="21"/>
                <w:highlight w:val="none"/>
              </w:rPr>
            </w:pPr>
          </w:p>
        </w:tc>
        <w:tc>
          <w:tcPr>
            <w:tcW w:w="1350" w:type="dxa"/>
            <w:vAlign w:val="center"/>
          </w:tcPr>
          <w:p w14:paraId="3170172C">
            <w:pPr>
              <w:wordWrap w:val="0"/>
              <w:spacing w:line="360" w:lineRule="auto"/>
              <w:rPr>
                <w:rFonts w:hint="eastAsia" w:ascii="宋体" w:hAnsi="宋体" w:eastAsia="宋体" w:cs="宋体"/>
                <w:color w:val="auto"/>
                <w:sz w:val="24"/>
                <w:szCs w:val="21"/>
                <w:highlight w:val="none"/>
              </w:rPr>
            </w:pPr>
          </w:p>
        </w:tc>
        <w:tc>
          <w:tcPr>
            <w:tcW w:w="2396" w:type="dxa"/>
            <w:vAlign w:val="center"/>
          </w:tcPr>
          <w:p w14:paraId="448A6D00">
            <w:pPr>
              <w:wordWrap w:val="0"/>
              <w:spacing w:line="360" w:lineRule="auto"/>
              <w:rPr>
                <w:rFonts w:hint="eastAsia" w:ascii="宋体" w:hAnsi="宋体" w:eastAsia="宋体" w:cs="宋体"/>
                <w:color w:val="auto"/>
                <w:sz w:val="24"/>
                <w:szCs w:val="21"/>
                <w:highlight w:val="none"/>
              </w:rPr>
            </w:pPr>
          </w:p>
        </w:tc>
      </w:tr>
      <w:tr w14:paraId="48AAF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15740620">
            <w:pPr>
              <w:wordWrap w:val="0"/>
              <w:spacing w:line="360" w:lineRule="auto"/>
              <w:rPr>
                <w:rFonts w:hint="eastAsia" w:ascii="宋体" w:hAnsi="宋体" w:eastAsia="宋体" w:cs="宋体"/>
                <w:color w:val="auto"/>
                <w:sz w:val="24"/>
                <w:szCs w:val="21"/>
                <w:highlight w:val="none"/>
              </w:rPr>
            </w:pPr>
          </w:p>
        </w:tc>
        <w:tc>
          <w:tcPr>
            <w:tcW w:w="1080" w:type="dxa"/>
            <w:vAlign w:val="center"/>
          </w:tcPr>
          <w:p w14:paraId="0624FD1D">
            <w:pPr>
              <w:wordWrap w:val="0"/>
              <w:spacing w:line="360" w:lineRule="auto"/>
              <w:rPr>
                <w:rFonts w:hint="eastAsia" w:ascii="宋体" w:hAnsi="宋体" w:eastAsia="宋体" w:cs="宋体"/>
                <w:color w:val="auto"/>
                <w:sz w:val="24"/>
                <w:szCs w:val="21"/>
                <w:highlight w:val="none"/>
              </w:rPr>
            </w:pPr>
          </w:p>
        </w:tc>
        <w:tc>
          <w:tcPr>
            <w:tcW w:w="1080" w:type="dxa"/>
            <w:vAlign w:val="center"/>
          </w:tcPr>
          <w:p w14:paraId="4E473546">
            <w:pPr>
              <w:wordWrap w:val="0"/>
              <w:spacing w:line="360" w:lineRule="auto"/>
              <w:rPr>
                <w:rFonts w:hint="eastAsia" w:ascii="宋体" w:hAnsi="宋体" w:eastAsia="宋体" w:cs="宋体"/>
                <w:color w:val="auto"/>
                <w:sz w:val="24"/>
                <w:szCs w:val="21"/>
                <w:highlight w:val="none"/>
              </w:rPr>
            </w:pPr>
          </w:p>
        </w:tc>
        <w:tc>
          <w:tcPr>
            <w:tcW w:w="2046" w:type="dxa"/>
            <w:vAlign w:val="center"/>
          </w:tcPr>
          <w:p w14:paraId="08C21B12">
            <w:pPr>
              <w:wordWrap w:val="0"/>
              <w:spacing w:line="360" w:lineRule="auto"/>
              <w:rPr>
                <w:rFonts w:hint="eastAsia" w:ascii="宋体" w:hAnsi="宋体" w:eastAsia="宋体" w:cs="宋体"/>
                <w:color w:val="auto"/>
                <w:sz w:val="24"/>
                <w:szCs w:val="21"/>
                <w:highlight w:val="none"/>
              </w:rPr>
            </w:pPr>
          </w:p>
        </w:tc>
        <w:tc>
          <w:tcPr>
            <w:tcW w:w="1104" w:type="dxa"/>
            <w:vAlign w:val="center"/>
          </w:tcPr>
          <w:p w14:paraId="58DE8005">
            <w:pPr>
              <w:wordWrap w:val="0"/>
              <w:spacing w:line="360" w:lineRule="auto"/>
              <w:rPr>
                <w:rFonts w:hint="eastAsia" w:ascii="宋体" w:hAnsi="宋体" w:eastAsia="宋体" w:cs="宋体"/>
                <w:color w:val="auto"/>
                <w:sz w:val="24"/>
                <w:szCs w:val="21"/>
                <w:highlight w:val="none"/>
              </w:rPr>
            </w:pPr>
          </w:p>
        </w:tc>
        <w:tc>
          <w:tcPr>
            <w:tcW w:w="1350" w:type="dxa"/>
            <w:vAlign w:val="center"/>
          </w:tcPr>
          <w:p w14:paraId="5BE0013B">
            <w:pPr>
              <w:wordWrap w:val="0"/>
              <w:spacing w:line="360" w:lineRule="auto"/>
              <w:rPr>
                <w:rFonts w:hint="eastAsia" w:ascii="宋体" w:hAnsi="宋体" w:eastAsia="宋体" w:cs="宋体"/>
                <w:color w:val="auto"/>
                <w:sz w:val="24"/>
                <w:szCs w:val="21"/>
                <w:highlight w:val="none"/>
              </w:rPr>
            </w:pPr>
          </w:p>
        </w:tc>
        <w:tc>
          <w:tcPr>
            <w:tcW w:w="2396" w:type="dxa"/>
            <w:vAlign w:val="center"/>
          </w:tcPr>
          <w:p w14:paraId="02FECFA8">
            <w:pPr>
              <w:wordWrap w:val="0"/>
              <w:spacing w:line="360" w:lineRule="auto"/>
              <w:rPr>
                <w:rFonts w:hint="eastAsia" w:ascii="宋体" w:hAnsi="宋体" w:eastAsia="宋体" w:cs="宋体"/>
                <w:color w:val="auto"/>
                <w:sz w:val="24"/>
                <w:szCs w:val="21"/>
                <w:highlight w:val="none"/>
              </w:rPr>
            </w:pPr>
          </w:p>
        </w:tc>
      </w:tr>
      <w:tr w14:paraId="0CA79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0452034D">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其它</w:t>
            </w:r>
          </w:p>
        </w:tc>
        <w:tc>
          <w:tcPr>
            <w:tcW w:w="1080" w:type="dxa"/>
            <w:vAlign w:val="center"/>
          </w:tcPr>
          <w:p w14:paraId="4EE04D29">
            <w:pPr>
              <w:wordWrap w:val="0"/>
              <w:spacing w:line="360" w:lineRule="auto"/>
              <w:rPr>
                <w:rFonts w:hint="eastAsia" w:ascii="宋体" w:hAnsi="宋体" w:eastAsia="宋体" w:cs="宋体"/>
                <w:color w:val="auto"/>
                <w:sz w:val="24"/>
                <w:szCs w:val="21"/>
                <w:highlight w:val="none"/>
              </w:rPr>
            </w:pPr>
          </w:p>
        </w:tc>
        <w:tc>
          <w:tcPr>
            <w:tcW w:w="1080" w:type="dxa"/>
            <w:vAlign w:val="center"/>
          </w:tcPr>
          <w:p w14:paraId="7E32DACC">
            <w:pPr>
              <w:wordWrap w:val="0"/>
              <w:spacing w:line="360" w:lineRule="auto"/>
              <w:rPr>
                <w:rFonts w:hint="eastAsia" w:ascii="宋体" w:hAnsi="宋体" w:eastAsia="宋体" w:cs="宋体"/>
                <w:color w:val="auto"/>
                <w:sz w:val="24"/>
                <w:szCs w:val="21"/>
                <w:highlight w:val="none"/>
              </w:rPr>
            </w:pPr>
          </w:p>
        </w:tc>
        <w:tc>
          <w:tcPr>
            <w:tcW w:w="2046" w:type="dxa"/>
            <w:vAlign w:val="center"/>
          </w:tcPr>
          <w:p w14:paraId="1200D818">
            <w:pPr>
              <w:wordWrap w:val="0"/>
              <w:spacing w:line="360" w:lineRule="auto"/>
              <w:rPr>
                <w:rFonts w:hint="eastAsia" w:ascii="宋体" w:hAnsi="宋体" w:eastAsia="宋体" w:cs="宋体"/>
                <w:color w:val="auto"/>
                <w:sz w:val="24"/>
                <w:szCs w:val="21"/>
                <w:highlight w:val="none"/>
              </w:rPr>
            </w:pPr>
          </w:p>
        </w:tc>
        <w:tc>
          <w:tcPr>
            <w:tcW w:w="1104" w:type="dxa"/>
            <w:vAlign w:val="center"/>
          </w:tcPr>
          <w:p w14:paraId="76C60BD3">
            <w:pPr>
              <w:wordWrap w:val="0"/>
              <w:spacing w:line="360" w:lineRule="auto"/>
              <w:rPr>
                <w:rFonts w:hint="eastAsia" w:ascii="宋体" w:hAnsi="宋体" w:eastAsia="宋体" w:cs="宋体"/>
                <w:color w:val="auto"/>
                <w:sz w:val="24"/>
                <w:szCs w:val="21"/>
                <w:highlight w:val="none"/>
              </w:rPr>
            </w:pPr>
          </w:p>
        </w:tc>
        <w:tc>
          <w:tcPr>
            <w:tcW w:w="1350" w:type="dxa"/>
            <w:vAlign w:val="center"/>
          </w:tcPr>
          <w:p w14:paraId="15A941D8">
            <w:pPr>
              <w:wordWrap w:val="0"/>
              <w:spacing w:line="360" w:lineRule="auto"/>
              <w:rPr>
                <w:rFonts w:hint="eastAsia" w:ascii="宋体" w:hAnsi="宋体" w:eastAsia="宋体" w:cs="宋体"/>
                <w:color w:val="auto"/>
                <w:sz w:val="24"/>
                <w:szCs w:val="21"/>
                <w:highlight w:val="none"/>
              </w:rPr>
            </w:pPr>
          </w:p>
        </w:tc>
        <w:tc>
          <w:tcPr>
            <w:tcW w:w="2396" w:type="dxa"/>
            <w:vAlign w:val="center"/>
          </w:tcPr>
          <w:p w14:paraId="1F4FCC8F">
            <w:pPr>
              <w:wordWrap w:val="0"/>
              <w:spacing w:line="360" w:lineRule="auto"/>
              <w:rPr>
                <w:rFonts w:hint="eastAsia" w:ascii="宋体" w:hAnsi="宋体" w:eastAsia="宋体" w:cs="宋体"/>
                <w:color w:val="auto"/>
                <w:sz w:val="24"/>
                <w:szCs w:val="21"/>
                <w:highlight w:val="none"/>
              </w:rPr>
            </w:pPr>
          </w:p>
        </w:tc>
      </w:tr>
      <w:tr w14:paraId="5B2F7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0123AC20">
            <w:pPr>
              <w:wordWrap w:val="0"/>
              <w:spacing w:line="360" w:lineRule="auto"/>
              <w:rPr>
                <w:rFonts w:hint="eastAsia" w:ascii="宋体" w:hAnsi="宋体" w:eastAsia="宋体" w:cs="宋体"/>
                <w:color w:val="auto"/>
                <w:sz w:val="24"/>
                <w:szCs w:val="21"/>
                <w:highlight w:val="none"/>
              </w:rPr>
            </w:pPr>
          </w:p>
        </w:tc>
        <w:tc>
          <w:tcPr>
            <w:tcW w:w="1080" w:type="dxa"/>
            <w:vAlign w:val="center"/>
          </w:tcPr>
          <w:p w14:paraId="2158EDAB">
            <w:pPr>
              <w:wordWrap w:val="0"/>
              <w:spacing w:line="360" w:lineRule="auto"/>
              <w:rPr>
                <w:rFonts w:hint="eastAsia" w:ascii="宋体" w:hAnsi="宋体" w:eastAsia="宋体" w:cs="宋体"/>
                <w:color w:val="auto"/>
                <w:sz w:val="24"/>
                <w:szCs w:val="21"/>
                <w:highlight w:val="none"/>
              </w:rPr>
            </w:pPr>
          </w:p>
        </w:tc>
        <w:tc>
          <w:tcPr>
            <w:tcW w:w="1080" w:type="dxa"/>
            <w:vAlign w:val="center"/>
          </w:tcPr>
          <w:p w14:paraId="0D1F81BD">
            <w:pPr>
              <w:wordWrap w:val="0"/>
              <w:spacing w:line="360" w:lineRule="auto"/>
              <w:rPr>
                <w:rFonts w:hint="eastAsia" w:ascii="宋体" w:hAnsi="宋体" w:eastAsia="宋体" w:cs="宋体"/>
                <w:color w:val="auto"/>
                <w:sz w:val="24"/>
                <w:szCs w:val="21"/>
                <w:highlight w:val="none"/>
              </w:rPr>
            </w:pPr>
          </w:p>
        </w:tc>
        <w:tc>
          <w:tcPr>
            <w:tcW w:w="2046" w:type="dxa"/>
            <w:vAlign w:val="center"/>
          </w:tcPr>
          <w:p w14:paraId="67291ECE">
            <w:pPr>
              <w:wordWrap w:val="0"/>
              <w:spacing w:line="360" w:lineRule="auto"/>
              <w:rPr>
                <w:rFonts w:hint="eastAsia" w:ascii="宋体" w:hAnsi="宋体" w:eastAsia="宋体" w:cs="宋体"/>
                <w:color w:val="auto"/>
                <w:sz w:val="24"/>
                <w:szCs w:val="21"/>
                <w:highlight w:val="none"/>
              </w:rPr>
            </w:pPr>
          </w:p>
        </w:tc>
        <w:tc>
          <w:tcPr>
            <w:tcW w:w="1104" w:type="dxa"/>
            <w:vAlign w:val="center"/>
          </w:tcPr>
          <w:p w14:paraId="2FDF6174">
            <w:pPr>
              <w:wordWrap w:val="0"/>
              <w:spacing w:line="360" w:lineRule="auto"/>
              <w:rPr>
                <w:rFonts w:hint="eastAsia" w:ascii="宋体" w:hAnsi="宋体" w:eastAsia="宋体" w:cs="宋体"/>
                <w:color w:val="auto"/>
                <w:sz w:val="24"/>
                <w:szCs w:val="21"/>
                <w:highlight w:val="none"/>
              </w:rPr>
            </w:pPr>
          </w:p>
        </w:tc>
        <w:tc>
          <w:tcPr>
            <w:tcW w:w="1350" w:type="dxa"/>
            <w:vAlign w:val="center"/>
          </w:tcPr>
          <w:p w14:paraId="49475FDF">
            <w:pPr>
              <w:wordWrap w:val="0"/>
              <w:spacing w:line="360" w:lineRule="auto"/>
              <w:rPr>
                <w:rFonts w:hint="eastAsia" w:ascii="宋体" w:hAnsi="宋体" w:eastAsia="宋体" w:cs="宋体"/>
                <w:color w:val="auto"/>
                <w:sz w:val="24"/>
                <w:szCs w:val="21"/>
                <w:highlight w:val="none"/>
              </w:rPr>
            </w:pPr>
          </w:p>
        </w:tc>
        <w:tc>
          <w:tcPr>
            <w:tcW w:w="2396" w:type="dxa"/>
            <w:vAlign w:val="center"/>
          </w:tcPr>
          <w:p w14:paraId="50DA9E3B">
            <w:pPr>
              <w:wordWrap w:val="0"/>
              <w:spacing w:line="360" w:lineRule="auto"/>
              <w:rPr>
                <w:rFonts w:hint="eastAsia" w:ascii="宋体" w:hAnsi="宋体" w:eastAsia="宋体" w:cs="宋体"/>
                <w:color w:val="auto"/>
                <w:sz w:val="24"/>
                <w:szCs w:val="21"/>
                <w:highlight w:val="none"/>
              </w:rPr>
            </w:pPr>
          </w:p>
        </w:tc>
      </w:tr>
    </w:tbl>
    <w:p w14:paraId="7176F2ED">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注：证件应附复印件或影印件，供应商对其真实性负法律责任。</w:t>
      </w:r>
    </w:p>
    <w:p w14:paraId="2B8A229C">
      <w:pPr>
        <w:wordWrap w:val="0"/>
        <w:spacing w:line="360" w:lineRule="auto"/>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（2）其它证明。</w:t>
      </w:r>
    </w:p>
    <w:p w14:paraId="60A376BF">
      <w:pPr>
        <w:pageBreakBefore w:val="0"/>
        <w:kinsoku/>
        <w:wordWrap/>
        <w:overflowPunct w:val="0"/>
        <w:topLinePunct w:val="0"/>
        <w:bidi w:val="0"/>
        <w:spacing w:line="263" w:lineRule="auto"/>
        <w:rPr>
          <w:rFonts w:hint="eastAsia" w:ascii="宋体" w:hAnsi="宋体" w:eastAsia="宋体" w:cs="宋体"/>
          <w:highlight w:val="none"/>
          <w:lang w:eastAsia="zh-CN"/>
        </w:rPr>
      </w:pPr>
    </w:p>
    <w:p w14:paraId="10092D4D">
      <w:pPr>
        <w:pStyle w:val="8"/>
        <w:pageBreakBefore w:val="0"/>
        <w:kinsoku/>
        <w:wordWrap/>
        <w:overflowPunct w:val="0"/>
        <w:topLinePunct w:val="0"/>
        <w:bidi w:val="0"/>
        <w:spacing w:before="91" w:line="220" w:lineRule="auto"/>
        <w:ind w:left="125"/>
        <w:rPr>
          <w:rFonts w:hint="eastAsia" w:ascii="宋体" w:hAnsi="宋体" w:eastAsia="宋体" w:cs="宋体"/>
          <w:snapToGrid w:val="0"/>
          <w:color w:val="000000"/>
          <w:spacing w:val="-5"/>
          <w:sz w:val="28"/>
          <w:szCs w:val="28"/>
          <w:highlight w:val="none"/>
          <w:lang w:val="en-US" w:eastAsia="zh-CN" w:bidi="ar-SA"/>
        </w:rPr>
      </w:pPr>
      <w:r>
        <w:rPr>
          <w:rFonts w:hint="eastAsia" w:ascii="宋体" w:hAnsi="宋体" w:eastAsia="宋体" w:cs="宋体"/>
          <w:snapToGrid w:val="0"/>
          <w:color w:val="000000"/>
          <w:spacing w:val="-5"/>
          <w:sz w:val="28"/>
          <w:szCs w:val="28"/>
          <w:highlight w:val="none"/>
          <w:lang w:val="en-US" w:eastAsia="zh-CN" w:bidi="ar-SA"/>
        </w:rPr>
        <w:t>7、质保及售后服务</w:t>
      </w:r>
    </w:p>
    <w:p w14:paraId="5506E5AE">
      <w:pPr>
        <w:pStyle w:val="8"/>
        <w:pageBreakBefore w:val="0"/>
        <w:kinsoku/>
        <w:wordWrap/>
        <w:overflowPunct w:val="0"/>
        <w:topLinePunct w:val="0"/>
        <w:bidi w:val="0"/>
        <w:spacing w:before="91" w:line="220" w:lineRule="auto"/>
        <w:jc w:val="center"/>
        <w:rPr>
          <w:rFonts w:hint="eastAsia" w:ascii="宋体" w:hAnsi="宋体" w:eastAsia="宋体" w:cs="宋体"/>
          <w:snapToGrid w:val="0"/>
          <w:color w:val="000000"/>
          <w:spacing w:val="-5"/>
          <w:sz w:val="28"/>
          <w:szCs w:val="28"/>
          <w:highlight w:val="none"/>
          <w:lang w:val="en-US" w:eastAsia="zh-CN" w:bidi="ar-SA"/>
        </w:rPr>
      </w:pPr>
      <w:r>
        <w:rPr>
          <w:rFonts w:hint="eastAsia" w:ascii="宋体" w:hAnsi="宋体" w:eastAsia="宋体" w:cs="宋体"/>
          <w:snapToGrid w:val="0"/>
          <w:color w:val="000000"/>
          <w:spacing w:val="-5"/>
          <w:sz w:val="28"/>
          <w:szCs w:val="28"/>
          <w:highlight w:val="none"/>
          <w:lang w:val="en-US" w:eastAsia="zh-CN" w:bidi="ar-SA"/>
        </w:rPr>
        <w:t>售后服务能力一览表</w:t>
      </w:r>
    </w:p>
    <w:p w14:paraId="1A58A969">
      <w:pPr>
        <w:pageBreakBefore w:val="0"/>
        <w:kinsoku/>
        <w:wordWrap/>
        <w:overflowPunct w:val="0"/>
        <w:topLinePunct w:val="0"/>
        <w:bidi w:val="0"/>
        <w:spacing w:line="15" w:lineRule="exact"/>
        <w:rPr>
          <w:rFonts w:hint="eastAsia" w:ascii="宋体" w:hAnsi="宋体" w:eastAsia="宋体" w:cs="宋体"/>
          <w:highlight w:val="none"/>
        </w:rPr>
      </w:pPr>
    </w:p>
    <w:tbl>
      <w:tblPr>
        <w:tblStyle w:val="26"/>
        <w:tblW w:w="8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286"/>
        <w:gridCol w:w="2155"/>
        <w:gridCol w:w="2894"/>
      </w:tblGrid>
      <w:tr w14:paraId="72FA3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528" w:type="dxa"/>
          </w:tcPr>
          <w:p w14:paraId="4FC4805E">
            <w:pPr>
              <w:pStyle w:val="27"/>
              <w:pageBreakBefore w:val="0"/>
              <w:kinsoku/>
              <w:wordWrap/>
              <w:overflowPunct w:val="0"/>
              <w:topLinePunct w:val="0"/>
              <w:bidi w:val="0"/>
              <w:spacing w:before="85" w:line="206" w:lineRule="auto"/>
              <w:ind w:left="211"/>
              <w:rPr>
                <w:rFonts w:hint="eastAsia" w:ascii="宋体" w:hAnsi="宋体" w:eastAsia="宋体" w:cs="宋体"/>
                <w:highlight w:val="none"/>
              </w:rPr>
            </w:pPr>
            <w:r>
              <w:rPr>
                <w:rFonts w:hint="eastAsia" w:ascii="宋体" w:hAnsi="宋体" w:eastAsia="宋体" w:cs="宋体"/>
                <w:spacing w:val="-3"/>
                <w:highlight w:val="none"/>
              </w:rPr>
              <w:t>详细地址</w:t>
            </w:r>
          </w:p>
        </w:tc>
        <w:tc>
          <w:tcPr>
            <w:tcW w:w="2286" w:type="dxa"/>
          </w:tcPr>
          <w:p w14:paraId="2D25CB09">
            <w:pPr>
              <w:pStyle w:val="27"/>
              <w:pageBreakBefore w:val="0"/>
              <w:kinsoku/>
              <w:wordWrap/>
              <w:overflowPunct w:val="0"/>
              <w:topLinePunct w:val="0"/>
              <w:bidi w:val="0"/>
              <w:spacing w:before="85" w:line="206" w:lineRule="auto"/>
              <w:ind w:left="362"/>
              <w:rPr>
                <w:rFonts w:hint="eastAsia" w:ascii="宋体" w:hAnsi="宋体" w:eastAsia="宋体" w:cs="宋体"/>
                <w:highlight w:val="none"/>
              </w:rPr>
            </w:pPr>
            <w:r>
              <w:rPr>
                <w:rFonts w:hint="eastAsia" w:ascii="宋体" w:hAnsi="宋体" w:eastAsia="宋体" w:cs="宋体"/>
                <w:spacing w:val="-2"/>
                <w:highlight w:val="none"/>
              </w:rPr>
              <w:t>技术人员名单</w:t>
            </w:r>
          </w:p>
        </w:tc>
        <w:tc>
          <w:tcPr>
            <w:tcW w:w="2155" w:type="dxa"/>
          </w:tcPr>
          <w:p w14:paraId="34F3C3C3">
            <w:pPr>
              <w:pStyle w:val="27"/>
              <w:pageBreakBefore w:val="0"/>
              <w:kinsoku/>
              <w:wordWrap/>
              <w:overflowPunct w:val="0"/>
              <w:topLinePunct w:val="0"/>
              <w:bidi w:val="0"/>
              <w:spacing w:before="85" w:line="206" w:lineRule="auto"/>
              <w:ind w:left="271"/>
              <w:rPr>
                <w:rFonts w:hint="eastAsia" w:ascii="宋体" w:hAnsi="宋体" w:eastAsia="宋体" w:cs="宋体"/>
                <w:highlight w:val="none"/>
              </w:rPr>
            </w:pPr>
            <w:r>
              <w:rPr>
                <w:rFonts w:hint="eastAsia" w:ascii="宋体" w:hAnsi="宋体" w:eastAsia="宋体" w:cs="宋体"/>
                <w:spacing w:val="-6"/>
                <w:highlight w:val="none"/>
              </w:rPr>
              <w:t>固定联系电话</w:t>
            </w:r>
          </w:p>
        </w:tc>
        <w:tc>
          <w:tcPr>
            <w:tcW w:w="2894" w:type="dxa"/>
          </w:tcPr>
          <w:p w14:paraId="476D70BA">
            <w:pPr>
              <w:pStyle w:val="27"/>
              <w:pageBreakBefore w:val="0"/>
              <w:kinsoku/>
              <w:wordWrap/>
              <w:overflowPunct w:val="0"/>
              <w:topLinePunct w:val="0"/>
              <w:bidi w:val="0"/>
              <w:spacing w:before="85" w:line="206" w:lineRule="auto"/>
              <w:ind w:left="183"/>
              <w:jc w:val="center"/>
              <w:rPr>
                <w:rFonts w:hint="eastAsia" w:ascii="宋体" w:hAnsi="宋体" w:eastAsia="宋体" w:cs="宋体"/>
                <w:highlight w:val="none"/>
              </w:rPr>
            </w:pPr>
            <w:r>
              <w:rPr>
                <w:rFonts w:hint="eastAsia" w:ascii="宋体" w:hAnsi="宋体" w:eastAsia="宋体" w:cs="宋体"/>
                <w:spacing w:val="-3"/>
                <w:highlight w:val="none"/>
              </w:rPr>
              <w:t>手机</w:t>
            </w:r>
          </w:p>
        </w:tc>
      </w:tr>
      <w:tr w14:paraId="5A89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28" w:type="dxa"/>
          </w:tcPr>
          <w:p w14:paraId="64C95AB3">
            <w:pPr>
              <w:pageBreakBefore w:val="0"/>
              <w:kinsoku/>
              <w:wordWrap/>
              <w:overflowPunct w:val="0"/>
              <w:topLinePunct w:val="0"/>
              <w:bidi w:val="0"/>
              <w:rPr>
                <w:rFonts w:hint="eastAsia" w:ascii="宋体" w:hAnsi="宋体" w:eastAsia="宋体" w:cs="宋体"/>
                <w:highlight w:val="none"/>
              </w:rPr>
            </w:pPr>
          </w:p>
        </w:tc>
        <w:tc>
          <w:tcPr>
            <w:tcW w:w="2286" w:type="dxa"/>
          </w:tcPr>
          <w:p w14:paraId="6E09C940">
            <w:pPr>
              <w:pageBreakBefore w:val="0"/>
              <w:kinsoku/>
              <w:wordWrap/>
              <w:overflowPunct w:val="0"/>
              <w:topLinePunct w:val="0"/>
              <w:bidi w:val="0"/>
              <w:rPr>
                <w:rFonts w:hint="eastAsia" w:ascii="宋体" w:hAnsi="宋体" w:eastAsia="宋体" w:cs="宋体"/>
                <w:highlight w:val="none"/>
              </w:rPr>
            </w:pPr>
          </w:p>
        </w:tc>
        <w:tc>
          <w:tcPr>
            <w:tcW w:w="2155" w:type="dxa"/>
          </w:tcPr>
          <w:p w14:paraId="35A5CEBC">
            <w:pPr>
              <w:pageBreakBefore w:val="0"/>
              <w:kinsoku/>
              <w:wordWrap/>
              <w:overflowPunct w:val="0"/>
              <w:topLinePunct w:val="0"/>
              <w:bidi w:val="0"/>
              <w:rPr>
                <w:rFonts w:hint="eastAsia" w:ascii="宋体" w:hAnsi="宋体" w:eastAsia="宋体" w:cs="宋体"/>
                <w:highlight w:val="none"/>
              </w:rPr>
            </w:pPr>
          </w:p>
        </w:tc>
        <w:tc>
          <w:tcPr>
            <w:tcW w:w="2894" w:type="dxa"/>
          </w:tcPr>
          <w:p w14:paraId="04CB4B0A">
            <w:pPr>
              <w:pageBreakBefore w:val="0"/>
              <w:kinsoku/>
              <w:wordWrap/>
              <w:overflowPunct w:val="0"/>
              <w:topLinePunct w:val="0"/>
              <w:bidi w:val="0"/>
              <w:rPr>
                <w:rFonts w:hint="eastAsia" w:ascii="宋体" w:hAnsi="宋体" w:eastAsia="宋体" w:cs="宋体"/>
                <w:highlight w:val="none"/>
              </w:rPr>
            </w:pPr>
          </w:p>
        </w:tc>
      </w:tr>
      <w:tr w14:paraId="5B21B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528" w:type="dxa"/>
          </w:tcPr>
          <w:p w14:paraId="438FFF28">
            <w:pPr>
              <w:pageBreakBefore w:val="0"/>
              <w:kinsoku/>
              <w:wordWrap/>
              <w:overflowPunct w:val="0"/>
              <w:topLinePunct w:val="0"/>
              <w:bidi w:val="0"/>
              <w:rPr>
                <w:rFonts w:hint="eastAsia" w:ascii="宋体" w:hAnsi="宋体" w:eastAsia="宋体" w:cs="宋体"/>
                <w:highlight w:val="none"/>
              </w:rPr>
            </w:pPr>
          </w:p>
        </w:tc>
        <w:tc>
          <w:tcPr>
            <w:tcW w:w="2286" w:type="dxa"/>
          </w:tcPr>
          <w:p w14:paraId="4F664009">
            <w:pPr>
              <w:pageBreakBefore w:val="0"/>
              <w:kinsoku/>
              <w:wordWrap/>
              <w:overflowPunct w:val="0"/>
              <w:topLinePunct w:val="0"/>
              <w:bidi w:val="0"/>
              <w:rPr>
                <w:rFonts w:hint="eastAsia" w:ascii="宋体" w:hAnsi="宋体" w:eastAsia="宋体" w:cs="宋体"/>
                <w:highlight w:val="none"/>
              </w:rPr>
            </w:pPr>
          </w:p>
        </w:tc>
        <w:tc>
          <w:tcPr>
            <w:tcW w:w="2155" w:type="dxa"/>
          </w:tcPr>
          <w:p w14:paraId="373FECE4">
            <w:pPr>
              <w:pageBreakBefore w:val="0"/>
              <w:kinsoku/>
              <w:wordWrap/>
              <w:overflowPunct w:val="0"/>
              <w:topLinePunct w:val="0"/>
              <w:bidi w:val="0"/>
              <w:rPr>
                <w:rFonts w:hint="eastAsia" w:ascii="宋体" w:hAnsi="宋体" w:eastAsia="宋体" w:cs="宋体"/>
                <w:highlight w:val="none"/>
              </w:rPr>
            </w:pPr>
          </w:p>
        </w:tc>
        <w:tc>
          <w:tcPr>
            <w:tcW w:w="2894" w:type="dxa"/>
          </w:tcPr>
          <w:p w14:paraId="3448A968">
            <w:pPr>
              <w:pageBreakBefore w:val="0"/>
              <w:kinsoku/>
              <w:wordWrap/>
              <w:overflowPunct w:val="0"/>
              <w:topLinePunct w:val="0"/>
              <w:bidi w:val="0"/>
              <w:rPr>
                <w:rFonts w:hint="eastAsia" w:ascii="宋体" w:hAnsi="宋体" w:eastAsia="宋体" w:cs="宋体"/>
                <w:highlight w:val="none"/>
              </w:rPr>
            </w:pPr>
          </w:p>
        </w:tc>
      </w:tr>
    </w:tbl>
    <w:p w14:paraId="13796EDB">
      <w:pPr>
        <w:pStyle w:val="8"/>
        <w:pageBreakBefore w:val="0"/>
        <w:kinsoku/>
        <w:wordWrap/>
        <w:overflowPunct w:val="0"/>
        <w:topLinePunct w:val="0"/>
        <w:bidi w:val="0"/>
        <w:spacing w:before="172" w:line="221" w:lineRule="auto"/>
        <w:ind w:left="130"/>
        <w:rPr>
          <w:rFonts w:hint="eastAsia" w:ascii="宋体" w:hAnsi="宋体" w:eastAsia="宋体" w:cs="宋体"/>
          <w:spacing w:val="-3"/>
          <w:highlight w:val="none"/>
          <w:lang w:eastAsia="zh-CN"/>
        </w:rPr>
      </w:pPr>
    </w:p>
    <w:p w14:paraId="33A27627">
      <w:pPr>
        <w:pStyle w:val="8"/>
        <w:pageBreakBefore w:val="0"/>
        <w:kinsoku/>
        <w:wordWrap/>
        <w:overflowPunct w:val="0"/>
        <w:topLinePunct w:val="0"/>
        <w:bidi w:val="0"/>
        <w:spacing w:before="172" w:line="221" w:lineRule="auto"/>
        <w:ind w:left="130"/>
        <w:rPr>
          <w:rFonts w:hint="eastAsia" w:ascii="宋体" w:hAnsi="宋体" w:eastAsia="宋体" w:cs="宋体"/>
          <w:spacing w:val="-3"/>
          <w:highlight w:val="none"/>
          <w:lang w:eastAsia="zh-CN"/>
        </w:rPr>
      </w:pPr>
    </w:p>
    <w:p w14:paraId="625EEC62">
      <w:pPr>
        <w:pStyle w:val="8"/>
        <w:pageBreakBefore w:val="0"/>
        <w:kinsoku/>
        <w:wordWrap/>
        <w:overflowPunct w:val="0"/>
        <w:topLinePunct w:val="0"/>
        <w:bidi w:val="0"/>
        <w:spacing w:before="172" w:line="221" w:lineRule="auto"/>
        <w:ind w:left="130"/>
        <w:rPr>
          <w:rFonts w:hint="eastAsia" w:ascii="宋体" w:hAnsi="宋体" w:eastAsia="宋体" w:cs="宋体"/>
          <w:spacing w:val="-3"/>
          <w:highlight w:val="none"/>
          <w:lang w:eastAsia="zh-CN"/>
        </w:rPr>
      </w:pPr>
    </w:p>
    <w:p w14:paraId="6A8C19AC">
      <w:pPr>
        <w:pStyle w:val="8"/>
        <w:keepNext w:val="0"/>
        <w:keepLines w:val="0"/>
        <w:pageBreakBefore w:val="0"/>
        <w:kinsoku/>
        <w:wordWrap/>
        <w:overflowPunct w:val="0"/>
        <w:topLinePunct w:val="0"/>
        <w:autoSpaceDE w:val="0"/>
        <w:autoSpaceDN w:val="0"/>
        <w:bidi w:val="0"/>
        <w:snapToGrid w:val="0"/>
        <w:spacing w:line="360" w:lineRule="auto"/>
        <w:ind w:left="0"/>
        <w:rPr>
          <w:rFonts w:hint="eastAsia" w:ascii="宋体" w:hAnsi="宋体" w:eastAsia="宋体" w:cs="宋体"/>
          <w:highlight w:val="none"/>
        </w:rPr>
      </w:pPr>
      <w:r>
        <w:rPr>
          <w:rFonts w:hint="eastAsia" w:ascii="宋体" w:hAnsi="宋体" w:eastAsia="宋体" w:cs="宋体"/>
          <w:spacing w:val="-3"/>
          <w:highlight w:val="none"/>
          <w:lang w:eastAsia="zh-CN"/>
        </w:rPr>
        <w:t>8</w:t>
      </w:r>
      <w:r>
        <w:rPr>
          <w:rFonts w:hint="eastAsia" w:ascii="宋体" w:hAnsi="宋体" w:eastAsia="宋体" w:cs="宋体"/>
          <w:spacing w:val="-3"/>
          <w:highlight w:val="none"/>
        </w:rPr>
        <w:t>、业绩一览表（如有）</w:t>
      </w:r>
    </w:p>
    <w:p w14:paraId="4EE7E40C">
      <w:pPr>
        <w:keepNext w:val="0"/>
        <w:keepLines w:val="0"/>
        <w:pageBreakBefore w:val="0"/>
        <w:widowControl w:val="0"/>
        <w:kinsoku w:val="0"/>
        <w:wordWrap/>
        <w:overflowPunct/>
        <w:topLinePunct w:val="0"/>
        <w:autoSpaceDE w:val="0"/>
        <w:autoSpaceDN w:val="0"/>
        <w:bidi w:val="0"/>
        <w:adjustRightInd/>
        <w:snapToGrid w:val="0"/>
        <w:spacing w:line="360" w:lineRule="auto"/>
        <w:ind w:left="0" w:firstLine="480" w:firstLineChars="200"/>
        <w:jc w:val="both"/>
        <w:textAlignment w:val="auto"/>
        <w:rPr>
          <w:rFonts w:hint="eastAsia" w:ascii="宋体" w:hAnsi="宋体" w:eastAsia="宋体" w:cs="宋体"/>
          <w:highlight w:val="none"/>
        </w:rPr>
      </w:pPr>
      <w:r>
        <w:rPr>
          <w:rFonts w:hint="eastAsia" w:ascii="宋体" w:hAnsi="宋体" w:eastAsia="宋体" w:cs="宋体"/>
          <w:b w:val="0"/>
          <w:bCs w:val="0"/>
          <w:color w:val="auto"/>
          <w:sz w:val="24"/>
          <w:szCs w:val="24"/>
          <w:highlight w:val="none"/>
          <w:lang w:val="en-US" w:eastAsia="zh-CN" w:bidi="ar-SA"/>
        </w:rPr>
        <w:t>如竞争性磋商文件中有业绩要求，此表由磋商供应商填写，业绩一览表内容与磋商响应文件中提供的业绩证明材料需一致，将随成交结果公告一并公告，接受社会监督。</w:t>
      </w:r>
    </w:p>
    <w:p w14:paraId="027CF35A">
      <w:pPr>
        <w:pageBreakBefore w:val="0"/>
        <w:kinsoku/>
        <w:wordWrap/>
        <w:overflowPunct w:val="0"/>
        <w:topLinePunct w:val="0"/>
        <w:bidi w:val="0"/>
        <w:spacing w:line="119" w:lineRule="exact"/>
        <w:rPr>
          <w:rFonts w:hint="eastAsia" w:ascii="宋体" w:hAnsi="宋体" w:eastAsia="宋体" w:cs="宋体"/>
          <w:highlight w:val="none"/>
        </w:rPr>
      </w:pPr>
    </w:p>
    <w:tbl>
      <w:tblPr>
        <w:tblStyle w:val="20"/>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1733"/>
      </w:tblGrid>
      <w:tr w14:paraId="3079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14:paraId="06C1122E">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362" w:type="dxa"/>
            <w:tcBorders>
              <w:top w:val="single" w:color="auto" w:sz="4" w:space="0"/>
              <w:left w:val="single" w:color="auto" w:sz="4" w:space="0"/>
              <w:bottom w:val="single" w:color="auto" w:sz="4" w:space="0"/>
              <w:right w:val="single" w:color="auto" w:sz="4" w:space="0"/>
            </w:tcBorders>
            <w:vAlign w:val="center"/>
          </w:tcPr>
          <w:p w14:paraId="79D29A94">
            <w:pPr>
              <w:pageBreakBefore w:val="0"/>
              <w:kinsoku/>
              <w:wordWrap/>
              <w:overflowPunct w:val="0"/>
              <w:topLinePunct w:val="0"/>
              <w:bidi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业绩名称</w:t>
            </w:r>
          </w:p>
        </w:tc>
        <w:tc>
          <w:tcPr>
            <w:tcW w:w="1731" w:type="dxa"/>
            <w:tcBorders>
              <w:top w:val="single" w:color="auto" w:sz="4" w:space="0"/>
              <w:left w:val="single" w:color="auto" w:sz="4" w:space="0"/>
              <w:bottom w:val="single" w:color="auto" w:sz="4" w:space="0"/>
              <w:right w:val="single" w:color="auto" w:sz="4" w:space="0"/>
            </w:tcBorders>
            <w:vAlign w:val="center"/>
          </w:tcPr>
          <w:p w14:paraId="122A7882">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合同甲方</w:t>
            </w:r>
          </w:p>
        </w:tc>
        <w:tc>
          <w:tcPr>
            <w:tcW w:w="1731" w:type="dxa"/>
            <w:tcBorders>
              <w:top w:val="single" w:color="auto" w:sz="4" w:space="0"/>
              <w:left w:val="single" w:color="auto" w:sz="4" w:space="0"/>
              <w:bottom w:val="single" w:color="auto" w:sz="4" w:space="0"/>
              <w:right w:val="single" w:color="auto" w:sz="4" w:space="0"/>
            </w:tcBorders>
            <w:vAlign w:val="center"/>
          </w:tcPr>
          <w:p w14:paraId="624F4B51">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合同乙方</w:t>
            </w:r>
          </w:p>
        </w:tc>
        <w:tc>
          <w:tcPr>
            <w:tcW w:w="1733" w:type="dxa"/>
            <w:tcBorders>
              <w:top w:val="single" w:color="auto" w:sz="4" w:space="0"/>
              <w:left w:val="single" w:color="auto" w:sz="4" w:space="0"/>
              <w:bottom w:val="single" w:color="auto" w:sz="4" w:space="0"/>
              <w:right w:val="single" w:color="auto" w:sz="4" w:space="0"/>
            </w:tcBorders>
            <w:vAlign w:val="center"/>
          </w:tcPr>
          <w:p w14:paraId="709A2375">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合同签订时间</w:t>
            </w:r>
          </w:p>
        </w:tc>
      </w:tr>
      <w:tr w14:paraId="09E4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11A0F30D">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62" w:type="dxa"/>
            <w:tcBorders>
              <w:top w:val="single" w:color="auto" w:sz="4" w:space="0"/>
              <w:left w:val="single" w:color="auto" w:sz="4" w:space="0"/>
              <w:bottom w:val="single" w:color="auto" w:sz="4" w:space="0"/>
              <w:right w:val="single" w:color="auto" w:sz="4" w:space="0"/>
            </w:tcBorders>
            <w:vAlign w:val="center"/>
          </w:tcPr>
          <w:p w14:paraId="19C02F26">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65E09167">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394E280D">
            <w:pPr>
              <w:pageBreakBefore w:val="0"/>
              <w:kinsoku/>
              <w:wordWrap/>
              <w:overflowPunct w:val="0"/>
              <w:topLinePunct w:val="0"/>
              <w:bidi w:val="0"/>
              <w:rPr>
                <w:rFonts w:hint="eastAsia" w:ascii="宋体" w:hAnsi="宋体" w:eastAsia="宋体" w:cs="宋体"/>
                <w:color w:val="auto"/>
                <w:sz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62FA479D">
            <w:pPr>
              <w:pageBreakBefore w:val="0"/>
              <w:kinsoku/>
              <w:wordWrap/>
              <w:overflowPunct w:val="0"/>
              <w:topLinePunct w:val="0"/>
              <w:bidi w:val="0"/>
              <w:jc w:val="center"/>
              <w:rPr>
                <w:rFonts w:hint="eastAsia" w:ascii="宋体" w:hAnsi="宋体" w:eastAsia="宋体" w:cs="宋体"/>
                <w:color w:val="auto"/>
                <w:sz w:val="24"/>
                <w:highlight w:val="none"/>
              </w:rPr>
            </w:pPr>
          </w:p>
        </w:tc>
      </w:tr>
      <w:tr w14:paraId="0B09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7ECE42D1">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362" w:type="dxa"/>
            <w:tcBorders>
              <w:top w:val="single" w:color="auto" w:sz="4" w:space="0"/>
              <w:left w:val="single" w:color="auto" w:sz="4" w:space="0"/>
              <w:bottom w:val="single" w:color="auto" w:sz="4" w:space="0"/>
              <w:right w:val="single" w:color="auto" w:sz="4" w:space="0"/>
            </w:tcBorders>
            <w:vAlign w:val="center"/>
          </w:tcPr>
          <w:p w14:paraId="4030E88E">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5D265F4C">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19895E3B">
            <w:pPr>
              <w:pageBreakBefore w:val="0"/>
              <w:kinsoku/>
              <w:wordWrap/>
              <w:overflowPunct w:val="0"/>
              <w:topLinePunct w:val="0"/>
              <w:bidi w:val="0"/>
              <w:rPr>
                <w:rFonts w:hint="eastAsia" w:ascii="宋体" w:hAnsi="宋体" w:eastAsia="宋体" w:cs="宋体"/>
                <w:color w:val="auto"/>
                <w:sz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D076F76">
            <w:pPr>
              <w:pageBreakBefore w:val="0"/>
              <w:kinsoku/>
              <w:wordWrap/>
              <w:overflowPunct w:val="0"/>
              <w:topLinePunct w:val="0"/>
              <w:bidi w:val="0"/>
              <w:jc w:val="center"/>
              <w:rPr>
                <w:rFonts w:hint="eastAsia" w:ascii="宋体" w:hAnsi="宋体" w:eastAsia="宋体" w:cs="宋体"/>
                <w:color w:val="auto"/>
                <w:sz w:val="24"/>
                <w:highlight w:val="none"/>
              </w:rPr>
            </w:pPr>
          </w:p>
        </w:tc>
      </w:tr>
      <w:tr w14:paraId="6009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44AD0BA3">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362" w:type="dxa"/>
            <w:tcBorders>
              <w:top w:val="single" w:color="auto" w:sz="4" w:space="0"/>
              <w:left w:val="single" w:color="auto" w:sz="4" w:space="0"/>
              <w:bottom w:val="single" w:color="auto" w:sz="4" w:space="0"/>
              <w:right w:val="single" w:color="auto" w:sz="4" w:space="0"/>
            </w:tcBorders>
            <w:vAlign w:val="center"/>
          </w:tcPr>
          <w:p w14:paraId="25983CB3">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52ECB9CB">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1C4D32F2">
            <w:pPr>
              <w:pageBreakBefore w:val="0"/>
              <w:kinsoku/>
              <w:wordWrap/>
              <w:overflowPunct w:val="0"/>
              <w:topLinePunct w:val="0"/>
              <w:bidi w:val="0"/>
              <w:rPr>
                <w:rFonts w:hint="eastAsia" w:ascii="宋体" w:hAnsi="宋体" w:eastAsia="宋体" w:cs="宋体"/>
                <w:color w:val="auto"/>
                <w:sz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D380CC5">
            <w:pPr>
              <w:pageBreakBefore w:val="0"/>
              <w:kinsoku/>
              <w:wordWrap/>
              <w:overflowPunct w:val="0"/>
              <w:topLinePunct w:val="0"/>
              <w:bidi w:val="0"/>
              <w:jc w:val="center"/>
              <w:rPr>
                <w:rFonts w:hint="eastAsia" w:ascii="宋体" w:hAnsi="宋体" w:eastAsia="宋体" w:cs="宋体"/>
                <w:color w:val="auto"/>
                <w:sz w:val="24"/>
                <w:highlight w:val="none"/>
              </w:rPr>
            </w:pPr>
          </w:p>
        </w:tc>
      </w:tr>
      <w:tr w14:paraId="5111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6A03F8F7">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362" w:type="dxa"/>
            <w:tcBorders>
              <w:top w:val="single" w:color="auto" w:sz="4" w:space="0"/>
              <w:left w:val="single" w:color="auto" w:sz="4" w:space="0"/>
              <w:bottom w:val="single" w:color="auto" w:sz="4" w:space="0"/>
              <w:right w:val="single" w:color="auto" w:sz="4" w:space="0"/>
            </w:tcBorders>
            <w:vAlign w:val="center"/>
          </w:tcPr>
          <w:p w14:paraId="35F9EA37">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1E7A108B">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67E14F77">
            <w:pPr>
              <w:pageBreakBefore w:val="0"/>
              <w:kinsoku/>
              <w:wordWrap/>
              <w:overflowPunct w:val="0"/>
              <w:topLinePunct w:val="0"/>
              <w:bidi w:val="0"/>
              <w:rPr>
                <w:rFonts w:hint="eastAsia" w:ascii="宋体" w:hAnsi="宋体" w:eastAsia="宋体" w:cs="宋体"/>
                <w:color w:val="auto"/>
                <w:sz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D3E4719">
            <w:pPr>
              <w:pageBreakBefore w:val="0"/>
              <w:kinsoku/>
              <w:wordWrap/>
              <w:overflowPunct w:val="0"/>
              <w:topLinePunct w:val="0"/>
              <w:bidi w:val="0"/>
              <w:jc w:val="center"/>
              <w:rPr>
                <w:rFonts w:hint="eastAsia" w:ascii="宋体" w:hAnsi="宋体" w:eastAsia="宋体" w:cs="宋体"/>
                <w:color w:val="auto"/>
                <w:sz w:val="24"/>
                <w:highlight w:val="none"/>
              </w:rPr>
            </w:pPr>
          </w:p>
        </w:tc>
      </w:tr>
      <w:tr w14:paraId="7E75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562086CE">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362" w:type="dxa"/>
            <w:tcBorders>
              <w:top w:val="single" w:color="auto" w:sz="4" w:space="0"/>
              <w:left w:val="single" w:color="auto" w:sz="4" w:space="0"/>
              <w:bottom w:val="single" w:color="auto" w:sz="4" w:space="0"/>
              <w:right w:val="single" w:color="auto" w:sz="4" w:space="0"/>
            </w:tcBorders>
            <w:vAlign w:val="center"/>
          </w:tcPr>
          <w:p w14:paraId="410181C0">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39D66716">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3FB6D022">
            <w:pPr>
              <w:pageBreakBefore w:val="0"/>
              <w:kinsoku/>
              <w:wordWrap/>
              <w:overflowPunct w:val="0"/>
              <w:topLinePunct w:val="0"/>
              <w:bidi w:val="0"/>
              <w:rPr>
                <w:rFonts w:hint="eastAsia" w:ascii="宋体" w:hAnsi="宋体" w:eastAsia="宋体" w:cs="宋体"/>
                <w:color w:val="auto"/>
                <w:sz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0F49FC4">
            <w:pPr>
              <w:pageBreakBefore w:val="0"/>
              <w:kinsoku/>
              <w:wordWrap/>
              <w:overflowPunct w:val="0"/>
              <w:topLinePunct w:val="0"/>
              <w:bidi w:val="0"/>
              <w:jc w:val="center"/>
              <w:rPr>
                <w:rFonts w:hint="eastAsia" w:ascii="宋体" w:hAnsi="宋体" w:eastAsia="宋体" w:cs="宋体"/>
                <w:color w:val="auto"/>
                <w:sz w:val="24"/>
                <w:highlight w:val="none"/>
              </w:rPr>
            </w:pPr>
          </w:p>
        </w:tc>
      </w:tr>
      <w:tr w14:paraId="6A8B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004738CC">
            <w:pPr>
              <w:pageBreakBefore w:val="0"/>
              <w:kinsoku/>
              <w:wordWrap/>
              <w:overflowPunct w:val="0"/>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362" w:type="dxa"/>
            <w:tcBorders>
              <w:top w:val="single" w:color="auto" w:sz="4" w:space="0"/>
              <w:left w:val="single" w:color="auto" w:sz="4" w:space="0"/>
              <w:bottom w:val="single" w:color="auto" w:sz="4" w:space="0"/>
              <w:right w:val="single" w:color="auto" w:sz="4" w:space="0"/>
            </w:tcBorders>
            <w:vAlign w:val="center"/>
          </w:tcPr>
          <w:p w14:paraId="18ED0FA5">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7463E745">
            <w:pPr>
              <w:pageBreakBefore w:val="0"/>
              <w:kinsoku/>
              <w:wordWrap/>
              <w:overflowPunct w:val="0"/>
              <w:topLinePunct w:val="0"/>
              <w:bidi w:val="0"/>
              <w:rPr>
                <w:rFonts w:hint="eastAsia" w:ascii="宋体" w:hAnsi="宋体" w:eastAsia="宋体" w:cs="宋体"/>
                <w:color w:val="auto"/>
                <w:sz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14:paraId="2116BD44">
            <w:pPr>
              <w:pageBreakBefore w:val="0"/>
              <w:kinsoku/>
              <w:wordWrap/>
              <w:overflowPunct w:val="0"/>
              <w:topLinePunct w:val="0"/>
              <w:bidi w:val="0"/>
              <w:rPr>
                <w:rFonts w:hint="eastAsia" w:ascii="宋体" w:hAnsi="宋体" w:eastAsia="宋体" w:cs="宋体"/>
                <w:color w:val="auto"/>
                <w:sz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195092C">
            <w:pPr>
              <w:pageBreakBefore w:val="0"/>
              <w:kinsoku/>
              <w:wordWrap/>
              <w:overflowPunct w:val="0"/>
              <w:topLinePunct w:val="0"/>
              <w:bidi w:val="0"/>
              <w:jc w:val="center"/>
              <w:rPr>
                <w:rFonts w:hint="eastAsia" w:ascii="宋体" w:hAnsi="宋体" w:eastAsia="宋体" w:cs="宋体"/>
                <w:color w:val="auto"/>
                <w:sz w:val="24"/>
                <w:highlight w:val="none"/>
              </w:rPr>
            </w:pPr>
          </w:p>
        </w:tc>
      </w:tr>
    </w:tbl>
    <w:p w14:paraId="331D769E">
      <w:pPr>
        <w:pageBreakBefore w:val="0"/>
        <w:kinsoku/>
        <w:wordWrap/>
        <w:overflowPunct w:val="0"/>
        <w:topLinePunct w:val="0"/>
        <w:bidi w:val="0"/>
        <w:spacing w:line="267" w:lineRule="auto"/>
        <w:rPr>
          <w:rFonts w:hint="eastAsia" w:ascii="宋体" w:hAnsi="宋体" w:eastAsia="宋体" w:cs="宋体"/>
          <w:highlight w:val="none"/>
        </w:rPr>
      </w:pPr>
    </w:p>
    <w:p w14:paraId="3940067F">
      <w:pPr>
        <w:pageBreakBefore w:val="0"/>
        <w:kinsoku/>
        <w:wordWrap/>
        <w:overflowPunct w:val="0"/>
        <w:topLinePunct w:val="0"/>
        <w:bidi w:val="0"/>
        <w:spacing w:line="268" w:lineRule="auto"/>
        <w:rPr>
          <w:rFonts w:hint="eastAsia" w:ascii="宋体" w:hAnsi="宋体" w:eastAsia="宋体" w:cs="宋体"/>
          <w:highlight w:val="none"/>
        </w:rPr>
      </w:pPr>
    </w:p>
    <w:p w14:paraId="42E9334F">
      <w:pPr>
        <w:pageBreakBefore w:val="0"/>
        <w:kinsoku/>
        <w:wordWrap/>
        <w:overflowPunct w:val="0"/>
        <w:topLinePunct w:val="0"/>
        <w:bidi w:val="0"/>
        <w:spacing w:line="268" w:lineRule="auto"/>
        <w:rPr>
          <w:rFonts w:hint="eastAsia" w:ascii="宋体" w:hAnsi="宋体" w:eastAsia="宋体" w:cs="宋体"/>
          <w:highlight w:val="none"/>
        </w:rPr>
      </w:pPr>
    </w:p>
    <w:p w14:paraId="15FD81F2">
      <w:pPr>
        <w:pStyle w:val="8"/>
        <w:pageBreakBefore w:val="0"/>
        <w:kinsoku/>
        <w:wordWrap/>
        <w:overflowPunct w:val="0"/>
        <w:topLinePunct w:val="0"/>
        <w:bidi w:val="0"/>
        <w:spacing w:before="92" w:line="221" w:lineRule="auto"/>
        <w:ind w:left="124"/>
        <w:rPr>
          <w:rFonts w:hint="eastAsia" w:ascii="宋体" w:hAnsi="宋体" w:eastAsia="宋体" w:cs="宋体"/>
          <w:highlight w:val="none"/>
        </w:rPr>
      </w:pPr>
      <w:r>
        <w:rPr>
          <w:rFonts w:hint="eastAsia" w:ascii="宋体" w:hAnsi="宋体" w:eastAsia="宋体" w:cs="宋体"/>
          <w:spacing w:val="-2"/>
          <w:highlight w:val="none"/>
          <w:lang w:eastAsia="zh-CN"/>
        </w:rPr>
        <w:t>9</w:t>
      </w:r>
      <w:r>
        <w:rPr>
          <w:rFonts w:hint="eastAsia" w:ascii="宋体" w:hAnsi="宋体" w:eastAsia="宋体" w:cs="宋体"/>
          <w:spacing w:val="-2"/>
          <w:highlight w:val="none"/>
        </w:rPr>
        <w:t>、业绩合同（如有）</w:t>
      </w:r>
    </w:p>
    <w:p w14:paraId="0F42AA35">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4B92656D">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33EC5217">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396CFAF8">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142B846A">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5996661E">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1F76AD3A">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2E988B93">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1309E117">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1ABDB8EC">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0A36564F">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6E5F0707">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46BF4BD2">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636FA038">
      <w:pPr>
        <w:pStyle w:val="8"/>
        <w:pageBreakBefore w:val="0"/>
        <w:kinsoku/>
        <w:wordWrap/>
        <w:overflowPunct w:val="0"/>
        <w:topLinePunct w:val="0"/>
        <w:bidi w:val="0"/>
        <w:spacing w:before="91" w:line="219" w:lineRule="auto"/>
        <w:ind w:left="6"/>
        <w:rPr>
          <w:rFonts w:hint="eastAsia" w:ascii="宋体" w:hAnsi="宋体" w:eastAsia="宋体" w:cs="宋体"/>
          <w:spacing w:val="-1"/>
          <w:highlight w:val="none"/>
          <w:lang w:eastAsia="zh-CN"/>
        </w:rPr>
      </w:pPr>
    </w:p>
    <w:p w14:paraId="587889AD">
      <w:pPr>
        <w:pStyle w:val="8"/>
        <w:pageBreakBefore w:val="0"/>
        <w:kinsoku/>
        <w:wordWrap/>
        <w:overflowPunct w:val="0"/>
        <w:topLinePunct w:val="0"/>
        <w:bidi w:val="0"/>
        <w:spacing w:before="91" w:line="219" w:lineRule="auto"/>
        <w:rPr>
          <w:rFonts w:hint="eastAsia" w:ascii="宋体" w:hAnsi="宋体" w:eastAsia="宋体" w:cs="宋体"/>
          <w:spacing w:val="-1"/>
          <w:highlight w:val="none"/>
          <w:lang w:eastAsia="zh-CN"/>
        </w:rPr>
      </w:pPr>
    </w:p>
    <w:p w14:paraId="23E59141">
      <w:pPr>
        <w:pStyle w:val="8"/>
        <w:pageBreakBefore w:val="0"/>
        <w:kinsoku/>
        <w:wordWrap/>
        <w:overflowPunct w:val="0"/>
        <w:topLinePunct w:val="0"/>
        <w:bidi w:val="0"/>
        <w:spacing w:before="91" w:line="219" w:lineRule="auto"/>
        <w:ind w:left="6"/>
        <w:jc w:val="center"/>
        <w:rPr>
          <w:rFonts w:hint="eastAsia" w:ascii="宋体" w:hAnsi="宋体" w:eastAsia="宋体" w:cs="宋体"/>
          <w:b/>
          <w:bCs/>
          <w:highlight w:val="none"/>
        </w:rPr>
      </w:pPr>
      <w:r>
        <w:rPr>
          <w:rFonts w:hint="eastAsia" w:ascii="宋体" w:hAnsi="宋体" w:eastAsia="宋体" w:cs="宋体"/>
          <w:b/>
          <w:bCs/>
          <w:spacing w:val="-1"/>
          <w:highlight w:val="none"/>
          <w:lang w:eastAsia="zh-CN"/>
        </w:rPr>
        <w:t>10</w:t>
      </w:r>
      <w:r>
        <w:rPr>
          <w:rFonts w:hint="eastAsia" w:ascii="宋体" w:hAnsi="宋体" w:eastAsia="宋体" w:cs="宋体"/>
          <w:b/>
          <w:bCs/>
          <w:spacing w:val="-1"/>
          <w:highlight w:val="none"/>
        </w:rPr>
        <w:t>、中小企业材料</w:t>
      </w:r>
    </w:p>
    <w:p w14:paraId="5D781D8B">
      <w:pPr>
        <w:keepNext w:val="0"/>
        <w:keepLines w:val="0"/>
        <w:pageBreakBefore w:val="0"/>
        <w:widowControl w:val="0"/>
        <w:kinsoku/>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中小企业证明文件说明：</w:t>
      </w:r>
    </w:p>
    <w:p w14:paraId="31C8A626">
      <w:pPr>
        <w:keepNext w:val="0"/>
        <w:keepLines w:val="0"/>
        <w:pageBreakBefore w:val="0"/>
        <w:widowControl w:val="0"/>
        <w:kinsoku/>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如本项目（标段）预留部分采购项目预算专门面向中小企业采购，且要求获得采购合同的供应商将采购项目中的一定比例分包给一家或者多家中小企业的，响应文件中除须提供《中小企业声明函》或《残疾人福利性单位声明函》或由省级以上监狱管理局、戒毒管理局（含新疆生产建设兵团）出具的属于监狱企业的证明文件，还须同时提供《拟分包情况说明》及《分包意向协议》。</w:t>
      </w:r>
    </w:p>
    <w:p w14:paraId="296523A0">
      <w:pPr>
        <w:keepNext w:val="0"/>
        <w:keepLines w:val="0"/>
        <w:pageBreakBefore w:val="0"/>
        <w:widowControl w:val="0"/>
        <w:kinsoku/>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如本项目（标段）预留部分采购项目预算专门面向中小企业采购，且要求供应商以联合体形式参加采购活动，响应文件中除须提供《中小企业声明函》或《残疾人福利性单位声明函》或由省级以上监狱管理局、戒毒管理局（含新疆生产建设兵团）出具的属于监狱企业的证明文件，还须同时提供《联合体协议书》。</w:t>
      </w:r>
    </w:p>
    <w:p w14:paraId="7638C3F6">
      <w:pPr>
        <w:keepNext w:val="0"/>
        <w:keepLines w:val="0"/>
        <w:pageBreakBefore w:val="0"/>
        <w:widowControl w:val="0"/>
        <w:kinsoku/>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（3）中小企业声明函填写注意事项：</w:t>
      </w:r>
    </w:p>
    <w:p w14:paraId="171EFF0C">
      <w:pPr>
        <w:keepNext w:val="0"/>
        <w:keepLines w:val="0"/>
        <w:pageBreakBefore w:val="0"/>
        <w:widowControl w:val="0"/>
        <w:kinsoku/>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5）《中小企业声明函》由参加政府采购活动的供应商出具。联合体响应的，《中小企业声明函》可由牵头人出具。6）对于联合体中由中小企业承担的部分，或者分包给中小企业的部分，必须全部由中小企业制造、承建或者承接。供应商应当在声明函“标的名称”部分标明联合体中中小企业承担的具体内容或者中小企业的具体分包内容。7）对于多标的采购项目，供应商应充分、准确地了解所提供货物的制造企业、提供服务的承接企业信息。</w:t>
      </w:r>
    </w:p>
    <w:p w14:paraId="5461BA93">
      <w:pPr>
        <w:keepNext w:val="0"/>
        <w:keepLines w:val="0"/>
        <w:pageBreakBefore w:val="0"/>
        <w:widowControl w:val="0"/>
        <w:kinsoku/>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en-US" w:bidi="ar-SA"/>
        </w:rPr>
        <w:t>温馨提示：为方便广大中小企业识别企业规模类型，工业和信息化部组织开发了中小企业规模类型自测小程序，在国务院客户端和工业和信息化部网站上均有链接，</w:t>
      </w:r>
      <w:r>
        <w:rPr>
          <w:rFonts w:hint="eastAsia" w:ascii="宋体" w:hAnsi="宋体" w:eastAsia="宋体" w:cs="宋体"/>
          <w:color w:val="auto"/>
          <w:sz w:val="24"/>
          <w:szCs w:val="24"/>
          <w:highlight w:val="none"/>
          <w:lang w:val="en-US" w:eastAsia="zh-CN" w:bidi="ar-SA"/>
        </w:rPr>
        <w:t>供应商</w:t>
      </w:r>
      <w:r>
        <w:rPr>
          <w:rFonts w:hint="eastAsia" w:ascii="宋体" w:hAnsi="宋体" w:eastAsia="宋体" w:cs="宋体"/>
          <w:color w:val="auto"/>
          <w:sz w:val="24"/>
          <w:szCs w:val="24"/>
          <w:highlight w:val="none"/>
          <w:lang w:val="en-US" w:eastAsia="en-US" w:bidi="ar-SA"/>
        </w:rPr>
        <w:t>填写所属的行业和指标数据可自动生成企业规模类型测试结果。本项目中小企业划分标准所属行业详见第二章《</w:t>
      </w:r>
      <w:r>
        <w:rPr>
          <w:rFonts w:hint="eastAsia" w:ascii="宋体" w:hAnsi="宋体" w:eastAsia="宋体" w:cs="宋体"/>
          <w:color w:val="auto"/>
          <w:sz w:val="24"/>
          <w:szCs w:val="24"/>
          <w:highlight w:val="none"/>
          <w:lang w:val="en-US" w:eastAsia="zh-CN" w:bidi="ar-SA"/>
        </w:rPr>
        <w:t>供应商须知前附表</w:t>
      </w:r>
      <w:r>
        <w:rPr>
          <w:rFonts w:hint="eastAsia" w:ascii="宋体" w:hAnsi="宋体" w:eastAsia="宋体" w:cs="宋体"/>
          <w:color w:val="auto"/>
          <w:sz w:val="24"/>
          <w:szCs w:val="24"/>
          <w:highlight w:val="none"/>
          <w:lang w:val="en-US" w:eastAsia="en-US" w:bidi="ar-SA"/>
        </w:rPr>
        <w:t>》，如在该程序中未找到本项目文件规定的中小企业划分标准所属行业，则按照《关于印发中小企业划型标准规定的通知（工信部联企业﹝2011﹞300号）》及本项目文件规定的中小企业划分标准所属行业执行。</w:t>
      </w:r>
    </w:p>
    <w:p w14:paraId="3A4CCC5A">
      <w:pPr>
        <w:keepNext w:val="0"/>
        <w:keepLines w:val="0"/>
        <w:pageBreakBefore w:val="0"/>
        <w:widowControl w:val="0"/>
        <w:kinsoku/>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（5）本项目将对排名第一的成交候选人提供的中小企业证明材料，随成交结果公告一并公告。</w:t>
      </w:r>
    </w:p>
    <w:p w14:paraId="0694DF30">
      <w:pPr>
        <w:pStyle w:val="40"/>
        <w:wordWrap/>
        <w:adjustRightInd w:val="0"/>
        <w:snapToGrid w:val="0"/>
        <w:spacing w:line="360" w:lineRule="auto"/>
        <w:ind w:left="0" w:leftChars="0" w:firstLine="0" w:firstLineChars="0"/>
        <w:jc w:val="both"/>
        <w:textAlignment w:val="auto"/>
        <w:rPr>
          <w:rFonts w:hint="eastAsia" w:ascii="宋体" w:hAnsi="宋体" w:eastAsia="宋体" w:cs="宋体"/>
          <w:color w:val="auto"/>
          <w:highlight w:val="none"/>
          <w:lang w:val="en-US" w:eastAsia="zh-CN"/>
        </w:rPr>
      </w:pPr>
    </w:p>
    <w:p w14:paraId="26AB7DCD">
      <w:pPr>
        <w:pStyle w:val="40"/>
        <w:wordWrap/>
        <w:adjustRightInd w:val="0"/>
        <w:snapToGrid w:val="0"/>
        <w:spacing w:line="360" w:lineRule="auto"/>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附件：中小企业声明函（工程）</w:t>
      </w:r>
    </w:p>
    <w:p w14:paraId="320B05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b w:val="0"/>
          <w:bCs w:val="0"/>
          <w:i w:val="0"/>
          <w:iCs w:val="0"/>
          <w:color w:val="auto"/>
          <w:sz w:val="24"/>
          <w:szCs w:val="24"/>
          <w:highlight w:val="none"/>
          <w:u w:val="single"/>
        </w:rPr>
        <w:t>（单位名称）</w:t>
      </w:r>
      <w:r>
        <w:rPr>
          <w:rFonts w:hint="eastAsia" w:ascii="宋体" w:hAnsi="宋体" w:eastAsia="宋体" w:cs="宋体"/>
          <w:b w:val="0"/>
          <w:bCs w:val="0"/>
          <w:i w:val="0"/>
          <w:iCs w:val="0"/>
          <w:color w:val="auto"/>
          <w:sz w:val="24"/>
          <w:szCs w:val="24"/>
          <w:highlight w:val="none"/>
        </w:rPr>
        <w:t>的</w:t>
      </w:r>
      <w:r>
        <w:rPr>
          <w:rFonts w:hint="eastAsia" w:ascii="宋体" w:hAnsi="宋体" w:eastAsia="宋体" w:cs="宋体"/>
          <w:b w:val="0"/>
          <w:bCs w:val="0"/>
          <w:i w:val="0"/>
          <w:iCs w:val="0"/>
          <w:color w:val="auto"/>
          <w:sz w:val="24"/>
          <w:szCs w:val="24"/>
          <w:highlight w:val="none"/>
          <w:u w:val="single"/>
        </w:rPr>
        <w:t>（项目名称）</w:t>
      </w:r>
      <w:r>
        <w:rPr>
          <w:rFonts w:hint="eastAsia" w:ascii="宋体" w:hAnsi="宋体" w:eastAsia="宋体" w:cs="宋体"/>
          <w:i w:val="0"/>
          <w:iCs w:val="0"/>
          <w:color w:val="auto"/>
          <w:kern w:val="0"/>
          <w:sz w:val="24"/>
          <w:szCs w:val="24"/>
          <w:highlight w:val="none"/>
        </w:rPr>
        <w:t>采购活动，</w:t>
      </w:r>
      <w:r>
        <w:rPr>
          <w:rFonts w:hint="eastAsia" w:ascii="宋体" w:hAnsi="宋体" w:eastAsia="宋体" w:cs="宋体"/>
          <w:i w:val="0"/>
          <w:iCs w:val="0"/>
          <w:color w:val="auto"/>
          <w:kern w:val="0"/>
          <w:sz w:val="24"/>
          <w:szCs w:val="24"/>
          <w:highlight w:val="none"/>
          <w:lang w:val="en-US" w:eastAsia="zh-CN"/>
        </w:rPr>
        <w:t>工程的施工单位</w:t>
      </w:r>
      <w:r>
        <w:rPr>
          <w:rFonts w:hint="eastAsia" w:ascii="宋体" w:hAnsi="宋体" w:eastAsia="宋体" w:cs="宋体"/>
          <w:i w:val="0"/>
          <w:iCs w:val="0"/>
          <w:color w:val="auto"/>
          <w:kern w:val="0"/>
          <w:sz w:val="24"/>
          <w:szCs w:val="24"/>
          <w:highlight w:val="none"/>
        </w:rPr>
        <w:t>全部由符合政策要求的中小企业承接。相关企业（含联合体中的中小企业、签订分包意向协议的中小企业）的具体情况如下：</w:t>
      </w:r>
    </w:p>
    <w:p w14:paraId="08DCA2B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 xml:space="preserve"> </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rPr>
        <w:t>（标的名称）</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rPr>
        <w:t>，属于</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rPr>
        <w:t>（所属行业）</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；承接企业为</w:t>
      </w:r>
      <w:r>
        <w:rPr>
          <w:rFonts w:hint="eastAsia" w:ascii="宋体" w:hAnsi="宋体" w:eastAsia="宋体" w:cs="宋体"/>
          <w:i w:val="0"/>
          <w:iCs w:val="0"/>
          <w:color w:val="auto"/>
          <w:kern w:val="0"/>
          <w:sz w:val="24"/>
          <w:szCs w:val="24"/>
          <w:highlight w:val="none"/>
          <w:u w:val="single"/>
        </w:rPr>
        <w:t>（企业名称）</w:t>
      </w:r>
      <w:r>
        <w:rPr>
          <w:rFonts w:hint="eastAsia" w:ascii="宋体" w:hAnsi="宋体" w:eastAsia="宋体" w:cs="宋体"/>
          <w:i w:val="0"/>
          <w:iCs w:val="0"/>
          <w:color w:val="auto"/>
          <w:kern w:val="0"/>
          <w:sz w:val="24"/>
          <w:szCs w:val="24"/>
          <w:highlight w:val="none"/>
        </w:rPr>
        <w:t>，从业人员</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人，营业收入为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万元，资产总额为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万元，属于</w:t>
      </w:r>
      <w:r>
        <w:rPr>
          <w:rFonts w:hint="eastAsia" w:ascii="宋体" w:hAnsi="宋体" w:eastAsia="宋体" w:cs="宋体"/>
          <w:i w:val="0"/>
          <w:iCs w:val="0"/>
          <w:color w:val="auto"/>
          <w:kern w:val="0"/>
          <w:sz w:val="24"/>
          <w:szCs w:val="24"/>
          <w:highlight w:val="none"/>
          <w:u w:val="single"/>
        </w:rPr>
        <w:t>（中型企业、小型企业、微型企业）</w:t>
      </w:r>
      <w:r>
        <w:rPr>
          <w:rFonts w:hint="eastAsia" w:ascii="宋体" w:hAnsi="宋体" w:eastAsia="宋体" w:cs="宋体"/>
          <w:i w:val="0"/>
          <w:iCs w:val="0"/>
          <w:color w:val="auto"/>
          <w:kern w:val="0"/>
          <w:sz w:val="24"/>
          <w:szCs w:val="24"/>
          <w:highlight w:val="none"/>
        </w:rPr>
        <w:t xml:space="preserve">； </w:t>
      </w:r>
    </w:p>
    <w:p w14:paraId="12D20B20">
      <w:pPr>
        <w:widowControl w:val="0"/>
        <w:wordWrap/>
        <w:snapToGrid w:val="0"/>
        <w:spacing w:line="360" w:lineRule="auto"/>
        <w:ind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w:t>
      </w:r>
    </w:p>
    <w:p w14:paraId="239137D6">
      <w:pPr>
        <w:widowControl w:val="0"/>
        <w:wordWrap/>
        <w:snapToGrid w:val="0"/>
        <w:spacing w:line="360" w:lineRule="auto"/>
        <w:ind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10A85319">
      <w:pPr>
        <w:widowControl w:val="0"/>
        <w:wordWrap/>
        <w:snapToGrid w:val="0"/>
        <w:spacing w:line="360" w:lineRule="auto"/>
        <w:ind w:firstLine="480" w:firstLineChars="200"/>
        <w:jc w:val="both"/>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本企业对上述声明内容的真实性负责。如有虚假，将依法承担相应责任。</w:t>
      </w:r>
    </w:p>
    <w:p w14:paraId="2625C0C2">
      <w:pPr>
        <w:widowControl w:val="0"/>
        <w:wordWrap/>
        <w:snapToGrid w:val="0"/>
        <w:spacing w:line="360" w:lineRule="auto"/>
        <w:ind w:firstLine="560" w:firstLineChars="200"/>
        <w:jc w:val="center"/>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w:t>
      </w:r>
    </w:p>
    <w:p w14:paraId="6D9E3509">
      <w:pPr>
        <w:widowControl w:val="0"/>
        <w:wordWrap/>
        <w:snapToGrid w:val="0"/>
        <w:spacing w:line="360" w:lineRule="auto"/>
        <w:ind w:firstLine="560" w:firstLineChars="20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企业名称（盖章）</w:t>
      </w:r>
    </w:p>
    <w:p w14:paraId="2585A233">
      <w:pPr>
        <w:widowControl w:val="0"/>
        <w:wordWrap/>
        <w:snapToGrid w:val="0"/>
        <w:spacing w:line="360" w:lineRule="auto"/>
        <w:ind w:firstLine="480" w:firstLineChars="200"/>
        <w:jc w:val="center"/>
        <w:textAlignment w:val="auto"/>
        <w:rPr>
          <w:rFonts w:hint="eastAsia"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日期：</w:t>
      </w:r>
      <w:r>
        <w:rPr>
          <w:rFonts w:hint="eastAsia" w:ascii="宋体" w:hAnsi="宋体" w:eastAsia="宋体" w:cs="宋体"/>
          <w:b w:val="0"/>
          <w:bCs w:val="0"/>
          <w:color w:val="auto"/>
          <w:kern w:val="2"/>
          <w:sz w:val="24"/>
          <w:szCs w:val="24"/>
          <w:highlight w:val="none"/>
          <w:u w:val="single"/>
          <w:lang w:val="en-US" w:eastAsia="zh-CN" w:bidi="ar-SA"/>
        </w:rPr>
        <w:t xml:space="preserve">         </w:t>
      </w:r>
    </w:p>
    <w:p w14:paraId="44DFEDEF">
      <w:pPr>
        <w:widowControl w:val="0"/>
        <w:wordWrap/>
        <w:snapToGrid w:val="0"/>
        <w:spacing w:line="360" w:lineRule="auto"/>
        <w:ind w:firstLine="560" w:firstLineChars="200"/>
        <w:jc w:val="center"/>
        <w:textAlignment w:val="auto"/>
        <w:rPr>
          <w:rFonts w:hint="eastAsia" w:ascii="宋体" w:hAnsi="宋体" w:eastAsia="宋体" w:cs="宋体"/>
          <w:b w:val="0"/>
          <w:bCs w:val="0"/>
          <w:color w:val="auto"/>
          <w:kern w:val="2"/>
          <w:sz w:val="28"/>
          <w:szCs w:val="28"/>
          <w:highlight w:val="none"/>
          <w:u w:val="single"/>
          <w:lang w:val="en-US" w:eastAsia="zh-CN" w:bidi="ar-SA"/>
        </w:rPr>
      </w:pPr>
    </w:p>
    <w:p w14:paraId="29C7DB99">
      <w:pPr>
        <w:widowControl w:val="0"/>
        <w:wordWrap/>
        <w:snapToGrid w:val="0"/>
        <w:spacing w:line="360" w:lineRule="auto"/>
        <w:ind w:firstLine="480" w:firstLineChars="200"/>
        <w:jc w:val="left"/>
        <w:textAlignment w:val="auto"/>
        <w:rPr>
          <w:rFonts w:hint="eastAsia" w:ascii="宋体" w:hAnsi="宋体" w:eastAsia="宋体" w:cs="宋体"/>
          <w:spacing w:val="-2"/>
          <w:highlight w:val="none"/>
          <w:lang w:eastAsia="zh-CN"/>
        </w:rPr>
      </w:pPr>
      <w:r>
        <w:rPr>
          <w:rFonts w:hint="eastAsia" w:ascii="宋体" w:hAnsi="宋体" w:eastAsia="宋体" w:cs="宋体"/>
          <w:b w:val="0"/>
          <w:bCs w:val="0"/>
          <w:color w:val="auto"/>
          <w:kern w:val="2"/>
          <w:sz w:val="24"/>
          <w:szCs w:val="24"/>
          <w:highlight w:val="none"/>
          <w:lang w:val="en-US" w:eastAsia="zh-CN" w:bidi="ar-SA"/>
        </w:rPr>
        <w:t>从业人员、营业收入、资产总额填报上一年度数据，无上一年度数据的新成立企业可不填报。</w:t>
      </w:r>
    </w:p>
    <w:p w14:paraId="11F582DB">
      <w:pPr>
        <w:pStyle w:val="8"/>
        <w:pageBreakBefore w:val="0"/>
        <w:kinsoku/>
        <w:wordWrap/>
        <w:overflowPunct w:val="0"/>
        <w:topLinePunct w:val="0"/>
        <w:bidi w:val="0"/>
        <w:spacing w:before="291" w:line="219" w:lineRule="auto"/>
        <w:jc w:val="center"/>
        <w:rPr>
          <w:rFonts w:hint="eastAsia" w:ascii="宋体" w:hAnsi="宋体" w:eastAsia="宋体" w:cs="宋体"/>
          <w:highlight w:val="none"/>
          <w:lang w:eastAsia="zh-CN"/>
        </w:rPr>
      </w:pPr>
      <w:r>
        <w:rPr>
          <w:rFonts w:hint="eastAsia" w:ascii="宋体" w:hAnsi="宋体" w:eastAsia="宋体" w:cs="宋体"/>
          <w:spacing w:val="-2"/>
          <w:highlight w:val="none"/>
          <w:lang w:eastAsia="zh-CN"/>
        </w:rPr>
        <w:t>1</w:t>
      </w:r>
      <w:r>
        <w:rPr>
          <w:rFonts w:hint="eastAsia" w:ascii="宋体" w:hAnsi="宋体" w:eastAsia="宋体" w:cs="宋体"/>
          <w:spacing w:val="-2"/>
          <w:highlight w:val="none"/>
          <w:lang w:val="en-US" w:eastAsia="zh-CN"/>
        </w:rPr>
        <w:t>1</w:t>
      </w:r>
      <w:r>
        <w:rPr>
          <w:rFonts w:hint="eastAsia" w:ascii="宋体" w:hAnsi="宋体" w:eastAsia="宋体" w:cs="宋体"/>
          <w:spacing w:val="-2"/>
          <w:highlight w:val="none"/>
          <w:lang w:eastAsia="zh-CN"/>
        </w:rPr>
        <w:t>、磋商文件要求的其它材料</w:t>
      </w:r>
    </w:p>
    <w:p w14:paraId="5782B702">
      <w:pPr>
        <w:pageBreakBefore w:val="0"/>
        <w:kinsoku/>
        <w:wordWrap/>
        <w:overflowPunct w:val="0"/>
        <w:topLinePunct w:val="0"/>
        <w:bidi w:val="0"/>
        <w:spacing w:line="274" w:lineRule="auto"/>
        <w:rPr>
          <w:rFonts w:hint="eastAsia" w:ascii="宋体" w:hAnsi="宋体" w:eastAsia="宋体" w:cs="宋体"/>
          <w:highlight w:val="none"/>
          <w:lang w:eastAsia="zh-CN"/>
        </w:rPr>
      </w:pPr>
    </w:p>
    <w:p w14:paraId="38DB3792">
      <w:pPr>
        <w:pageBreakBefore w:val="0"/>
        <w:kinsoku/>
        <w:wordWrap/>
        <w:overflowPunct w:val="0"/>
        <w:topLinePunct w:val="0"/>
        <w:bidi w:val="0"/>
        <w:spacing w:line="275" w:lineRule="auto"/>
        <w:rPr>
          <w:rFonts w:hint="eastAsia" w:ascii="宋体" w:hAnsi="宋体" w:eastAsia="宋体" w:cs="宋体"/>
          <w:highlight w:val="none"/>
          <w:lang w:eastAsia="zh-CN"/>
        </w:rPr>
      </w:pPr>
    </w:p>
    <w:p w14:paraId="129C98F5">
      <w:pPr>
        <w:pStyle w:val="8"/>
        <w:pageBreakBefore w:val="0"/>
        <w:kinsoku/>
        <w:wordWrap/>
        <w:overflowPunct w:val="0"/>
        <w:topLinePunct w:val="0"/>
        <w:bidi w:val="0"/>
        <w:spacing w:before="91" w:line="219" w:lineRule="auto"/>
        <w:jc w:val="center"/>
        <w:rPr>
          <w:rFonts w:hint="eastAsia" w:ascii="宋体" w:hAnsi="宋体" w:eastAsia="宋体" w:cs="宋体"/>
          <w:spacing w:val="-2"/>
          <w:highlight w:val="none"/>
          <w:lang w:eastAsia="zh-CN"/>
        </w:rPr>
      </w:pPr>
    </w:p>
    <w:p w14:paraId="3203524B">
      <w:pPr>
        <w:pStyle w:val="8"/>
        <w:pageBreakBefore w:val="0"/>
        <w:kinsoku/>
        <w:wordWrap/>
        <w:overflowPunct w:val="0"/>
        <w:topLinePunct w:val="0"/>
        <w:bidi w:val="0"/>
        <w:spacing w:before="91" w:line="219" w:lineRule="auto"/>
        <w:jc w:val="center"/>
        <w:rPr>
          <w:rFonts w:hint="eastAsia" w:ascii="宋体" w:hAnsi="宋体" w:eastAsia="宋体" w:cs="宋体"/>
          <w:highlight w:val="none"/>
          <w:lang w:eastAsia="zh-CN"/>
        </w:rPr>
      </w:pPr>
      <w:r>
        <w:rPr>
          <w:rFonts w:hint="eastAsia" w:ascii="宋体" w:hAnsi="宋体" w:eastAsia="宋体" w:cs="宋体"/>
          <w:spacing w:val="-2"/>
          <w:highlight w:val="none"/>
          <w:lang w:eastAsia="zh-CN"/>
        </w:rPr>
        <w:t>二、报价部分</w:t>
      </w:r>
    </w:p>
    <w:p w14:paraId="1A26EE64">
      <w:pPr>
        <w:pStyle w:val="8"/>
        <w:pageBreakBefore w:val="0"/>
        <w:kinsoku/>
        <w:wordWrap/>
        <w:overflowPunct w:val="0"/>
        <w:topLinePunct w:val="0"/>
        <w:bidi w:val="0"/>
        <w:spacing w:before="167" w:line="224" w:lineRule="auto"/>
        <w:ind w:left="2223"/>
        <w:rPr>
          <w:rFonts w:hint="eastAsia" w:ascii="宋体" w:hAnsi="宋体" w:eastAsia="宋体" w:cs="宋体"/>
          <w:sz w:val="31"/>
          <w:szCs w:val="31"/>
          <w:highlight w:val="none"/>
          <w:lang w:eastAsia="zh-CN"/>
        </w:rPr>
      </w:pPr>
      <w:r>
        <w:rPr>
          <w:rFonts w:hint="eastAsia" w:ascii="宋体" w:hAnsi="宋体" w:eastAsia="宋体" w:cs="宋体"/>
          <w:spacing w:val="7"/>
          <w:sz w:val="31"/>
          <w:szCs w:val="31"/>
          <w:highlight w:val="none"/>
          <w:lang w:eastAsia="zh-CN"/>
        </w:rPr>
        <w:t>1、磋商响应报价表（第一轮）</w:t>
      </w:r>
    </w:p>
    <w:p w14:paraId="3A5BB1BC">
      <w:pPr>
        <w:pStyle w:val="8"/>
        <w:pageBreakBefore w:val="0"/>
        <w:kinsoku/>
        <w:wordWrap/>
        <w:overflowPunct w:val="0"/>
        <w:topLinePunct w:val="0"/>
        <w:bidi w:val="0"/>
        <w:spacing w:before="236" w:line="220" w:lineRule="auto"/>
        <w:ind w:left="23"/>
        <w:jc w:val="center"/>
        <w:rPr>
          <w:rFonts w:hint="eastAsia" w:ascii="宋体" w:hAnsi="宋体" w:eastAsia="宋体" w:cs="宋体"/>
          <w:highlight w:val="none"/>
          <w:lang w:eastAsia="zh-CN"/>
        </w:rPr>
      </w:pPr>
      <w:r>
        <w:rPr>
          <w:rFonts w:hint="eastAsia" w:ascii="宋体" w:hAnsi="宋体" w:eastAsia="宋体" w:cs="宋体"/>
          <w:spacing w:val="-2"/>
          <w:highlight w:val="none"/>
          <w:lang w:eastAsia="zh-CN"/>
        </w:rPr>
        <w:t>根据竞争性磋商文件要求可以自行调整，包括但不限于以下内容。</w:t>
      </w:r>
    </w:p>
    <w:p w14:paraId="2EC539AA">
      <w:pPr>
        <w:pageBreakBefore w:val="0"/>
        <w:kinsoku/>
        <w:wordWrap/>
        <w:overflowPunct w:val="0"/>
        <w:topLinePunct w:val="0"/>
        <w:bidi w:val="0"/>
        <w:spacing w:line="251" w:lineRule="auto"/>
        <w:rPr>
          <w:rFonts w:hint="eastAsia" w:ascii="宋体" w:hAnsi="宋体" w:eastAsia="宋体" w:cs="宋体"/>
          <w:highlight w:val="none"/>
          <w:lang w:eastAsia="zh-CN"/>
        </w:rPr>
      </w:pPr>
    </w:p>
    <w:p w14:paraId="555DE96D">
      <w:pPr>
        <w:pageBreakBefore w:val="0"/>
        <w:kinsoku/>
        <w:wordWrap/>
        <w:overflowPunct w:val="0"/>
        <w:topLinePunct w:val="0"/>
        <w:bidi w:val="0"/>
        <w:spacing w:line="251" w:lineRule="auto"/>
        <w:rPr>
          <w:rFonts w:hint="eastAsia" w:ascii="宋体" w:hAnsi="宋体" w:eastAsia="宋体" w:cs="宋体"/>
          <w:highlight w:val="none"/>
          <w:lang w:eastAsia="zh-CN"/>
        </w:rPr>
      </w:pPr>
    </w:p>
    <w:tbl>
      <w:tblPr>
        <w:tblStyle w:val="20"/>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4438"/>
      </w:tblGrid>
      <w:tr w14:paraId="3599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32D8E267">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标题</w:t>
            </w:r>
          </w:p>
        </w:tc>
        <w:tc>
          <w:tcPr>
            <w:tcW w:w="4438" w:type="dxa"/>
            <w:vAlign w:val="center"/>
          </w:tcPr>
          <w:p w14:paraId="23E929BB">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内容</w:t>
            </w:r>
          </w:p>
        </w:tc>
      </w:tr>
      <w:tr w14:paraId="3409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5866815E">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项目名称</w:t>
            </w:r>
          </w:p>
        </w:tc>
        <w:tc>
          <w:tcPr>
            <w:tcW w:w="4438" w:type="dxa"/>
            <w:vAlign w:val="center"/>
          </w:tcPr>
          <w:p w14:paraId="3AF6B2A5">
            <w:pPr>
              <w:shd w:val="clear" w:color="auto" w:fill="auto"/>
              <w:autoSpaceDE w:val="0"/>
              <w:autoSpaceDN w:val="0"/>
              <w:adjustRightInd w:val="0"/>
              <w:jc w:val="left"/>
              <w:rPr>
                <w:rFonts w:hint="eastAsia" w:ascii="宋体" w:hAnsi="宋体" w:eastAsia="宋体" w:cs="宋体"/>
                <w:color w:val="auto"/>
                <w:kern w:val="0"/>
                <w:sz w:val="24"/>
                <w:highlight w:val="none"/>
                <w:shd w:val="clear" w:color="auto" w:fill="auto"/>
              </w:rPr>
            </w:pPr>
          </w:p>
        </w:tc>
      </w:tr>
      <w:tr w14:paraId="669C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166DEA9E">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项目编号</w:t>
            </w:r>
          </w:p>
        </w:tc>
        <w:tc>
          <w:tcPr>
            <w:tcW w:w="4438" w:type="dxa"/>
            <w:vAlign w:val="center"/>
          </w:tcPr>
          <w:p w14:paraId="570B936A">
            <w:pPr>
              <w:shd w:val="clear" w:color="auto" w:fill="auto"/>
              <w:autoSpaceDE w:val="0"/>
              <w:autoSpaceDN w:val="0"/>
              <w:adjustRightInd w:val="0"/>
              <w:jc w:val="left"/>
              <w:rPr>
                <w:rFonts w:hint="eastAsia" w:ascii="宋体" w:hAnsi="宋体" w:eastAsia="宋体" w:cs="宋体"/>
                <w:color w:val="auto"/>
                <w:kern w:val="0"/>
                <w:sz w:val="24"/>
                <w:highlight w:val="none"/>
                <w:shd w:val="clear" w:color="auto" w:fill="auto"/>
              </w:rPr>
            </w:pPr>
          </w:p>
        </w:tc>
      </w:tr>
      <w:tr w14:paraId="4F18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19620796">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eastAsia="zh-CN"/>
              </w:rPr>
              <w:t>响应</w:t>
            </w:r>
            <w:r>
              <w:rPr>
                <w:rFonts w:hint="eastAsia" w:ascii="宋体" w:hAnsi="宋体" w:eastAsia="宋体" w:cs="宋体"/>
                <w:color w:val="auto"/>
                <w:kern w:val="0"/>
                <w:sz w:val="24"/>
                <w:highlight w:val="none"/>
                <w:shd w:val="clear" w:color="auto" w:fill="auto"/>
              </w:rPr>
              <w:t>总报价（人民币大写）</w:t>
            </w:r>
          </w:p>
        </w:tc>
        <w:tc>
          <w:tcPr>
            <w:tcW w:w="4438" w:type="dxa"/>
            <w:vAlign w:val="center"/>
          </w:tcPr>
          <w:p w14:paraId="018F9800">
            <w:pPr>
              <w:shd w:val="clear" w:color="auto" w:fill="auto"/>
              <w:autoSpaceDE w:val="0"/>
              <w:autoSpaceDN w:val="0"/>
              <w:adjustRightInd w:val="0"/>
              <w:jc w:val="right"/>
              <w:rPr>
                <w:rFonts w:hint="eastAsia" w:ascii="宋体" w:hAnsi="宋体" w:eastAsia="宋体" w:cs="宋体"/>
                <w:color w:val="auto"/>
                <w:kern w:val="0"/>
                <w:sz w:val="24"/>
                <w:highlight w:val="none"/>
                <w:shd w:val="clear" w:color="auto" w:fill="auto"/>
              </w:rPr>
            </w:pPr>
          </w:p>
        </w:tc>
      </w:tr>
      <w:tr w14:paraId="31BD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591B7623">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eastAsia="zh-CN"/>
              </w:rPr>
              <w:t>响应</w:t>
            </w:r>
            <w:r>
              <w:rPr>
                <w:rFonts w:hint="eastAsia" w:ascii="宋体" w:hAnsi="宋体" w:eastAsia="宋体" w:cs="宋体"/>
                <w:color w:val="auto"/>
                <w:kern w:val="0"/>
                <w:sz w:val="24"/>
                <w:highlight w:val="none"/>
                <w:shd w:val="clear" w:color="auto" w:fill="auto"/>
              </w:rPr>
              <w:t>总报价（人民币小写）</w:t>
            </w:r>
          </w:p>
        </w:tc>
        <w:tc>
          <w:tcPr>
            <w:tcW w:w="4438" w:type="dxa"/>
            <w:vAlign w:val="center"/>
          </w:tcPr>
          <w:p w14:paraId="5B0201EA">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元</w:t>
            </w:r>
          </w:p>
        </w:tc>
      </w:tr>
    </w:tbl>
    <w:p w14:paraId="08F7F156">
      <w:pPr>
        <w:pageBreakBefore w:val="0"/>
        <w:kinsoku/>
        <w:wordWrap/>
        <w:overflowPunct w:val="0"/>
        <w:topLinePunct w:val="0"/>
        <w:bidi w:val="0"/>
        <w:spacing w:line="253" w:lineRule="auto"/>
        <w:rPr>
          <w:rFonts w:hint="eastAsia" w:ascii="宋体" w:hAnsi="宋体" w:eastAsia="宋体" w:cs="宋体"/>
          <w:highlight w:val="none"/>
        </w:rPr>
      </w:pPr>
    </w:p>
    <w:p w14:paraId="51FB54D7">
      <w:pPr>
        <w:pageBreakBefore w:val="0"/>
        <w:kinsoku/>
        <w:wordWrap/>
        <w:overflowPunct w:val="0"/>
        <w:topLinePunct w:val="0"/>
        <w:bidi w:val="0"/>
        <w:spacing w:line="253" w:lineRule="auto"/>
        <w:rPr>
          <w:rFonts w:hint="eastAsia" w:ascii="宋体" w:hAnsi="宋体" w:eastAsia="宋体" w:cs="宋体"/>
          <w:highlight w:val="none"/>
        </w:rPr>
      </w:pPr>
    </w:p>
    <w:p w14:paraId="3678D5D2">
      <w:pPr>
        <w:pStyle w:val="8"/>
        <w:pageBreakBefore w:val="0"/>
        <w:kinsoku/>
        <w:wordWrap/>
        <w:overflowPunct w:val="0"/>
        <w:topLinePunct w:val="0"/>
        <w:bidi w:val="0"/>
        <w:spacing w:before="92" w:line="219" w:lineRule="auto"/>
        <w:ind w:left="601"/>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 xml:space="preserve">注：1.供应商在报价时，须考虑完成本项目所需的一切费用。 </w:t>
      </w:r>
    </w:p>
    <w:p w14:paraId="134BBF05">
      <w:pPr>
        <w:pStyle w:val="8"/>
        <w:pageBreakBefore w:val="0"/>
        <w:kinsoku/>
        <w:wordWrap/>
        <w:overflowPunct w:val="0"/>
        <w:topLinePunct w:val="0"/>
        <w:bidi w:val="0"/>
        <w:spacing w:before="92" w:line="219" w:lineRule="auto"/>
        <w:ind w:left="601" w:firstLine="552" w:firstLineChars="200"/>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2.总报价按四舍五入原则保留两位小数。</w:t>
      </w:r>
    </w:p>
    <w:p w14:paraId="0D42EC25">
      <w:pPr>
        <w:pageBreakBefore w:val="0"/>
        <w:kinsoku/>
        <w:wordWrap/>
        <w:overflowPunct w:val="0"/>
        <w:topLinePunct w:val="0"/>
        <w:bidi w:val="0"/>
        <w:spacing w:line="253" w:lineRule="auto"/>
        <w:rPr>
          <w:rFonts w:hint="eastAsia" w:ascii="宋体" w:hAnsi="宋体" w:eastAsia="宋体" w:cs="宋体"/>
          <w:highlight w:val="none"/>
          <w:lang w:eastAsia="zh-CN"/>
        </w:rPr>
      </w:pPr>
    </w:p>
    <w:p w14:paraId="1765E746">
      <w:pPr>
        <w:pageBreakBefore w:val="0"/>
        <w:kinsoku/>
        <w:wordWrap/>
        <w:overflowPunct w:val="0"/>
        <w:topLinePunct w:val="0"/>
        <w:bidi w:val="0"/>
        <w:spacing w:line="360" w:lineRule="auto"/>
        <w:ind w:right="560"/>
        <w:rPr>
          <w:rFonts w:hint="eastAsia" w:ascii="宋体" w:hAnsi="宋体" w:eastAsia="宋体" w:cs="宋体"/>
          <w:b/>
          <w:bCs/>
          <w:color w:val="auto"/>
          <w:sz w:val="28"/>
          <w:szCs w:val="28"/>
          <w:highlight w:val="none"/>
          <w:lang w:eastAsia="zh-CN"/>
        </w:rPr>
      </w:pPr>
    </w:p>
    <w:p w14:paraId="4E1A79E4">
      <w:pPr>
        <w:pageBreakBefore w:val="0"/>
        <w:kinsoku/>
        <w:wordWrap/>
        <w:overflowPunct w:val="0"/>
        <w:topLinePunct w:val="0"/>
        <w:bidi w:val="0"/>
        <w:spacing w:line="360" w:lineRule="auto"/>
        <w:ind w:right="560"/>
        <w:rPr>
          <w:rFonts w:hint="eastAsia" w:ascii="宋体" w:hAnsi="宋体" w:eastAsia="宋体" w:cs="宋体"/>
          <w:b/>
          <w:bCs/>
          <w:color w:val="auto"/>
          <w:sz w:val="28"/>
          <w:szCs w:val="28"/>
          <w:highlight w:val="none"/>
          <w:lang w:eastAsia="zh-CN"/>
        </w:rPr>
      </w:pPr>
    </w:p>
    <w:p w14:paraId="0C87C752">
      <w:pPr>
        <w:pageBreakBefore w:val="0"/>
        <w:kinsoku/>
        <w:wordWrap/>
        <w:overflowPunct w:val="0"/>
        <w:topLinePunct w:val="0"/>
        <w:bidi w:val="0"/>
        <w:spacing w:line="360" w:lineRule="auto"/>
        <w:ind w:right="56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供应商公章：</w:t>
      </w:r>
    </w:p>
    <w:p w14:paraId="604DF431">
      <w:pPr>
        <w:pStyle w:val="40"/>
        <w:pageBreakBefore w:val="0"/>
        <w:kinsoku/>
        <w:wordWrap/>
        <w:overflowPunct w:val="0"/>
        <w:topLinePunct w:val="0"/>
        <w:bidi w:val="0"/>
        <w:spacing w:line="360" w:lineRule="auto"/>
        <w:ind w:firstLine="0" w:firstLineChars="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日期：______________</w:t>
      </w:r>
    </w:p>
    <w:p w14:paraId="5282B10B">
      <w:pPr>
        <w:pageBreakBefore w:val="0"/>
        <w:kinsoku/>
        <w:wordWrap/>
        <w:overflowPunct w:val="0"/>
        <w:topLinePunct w:val="0"/>
        <w:bidi w:val="0"/>
        <w:spacing w:line="262" w:lineRule="auto"/>
        <w:rPr>
          <w:rFonts w:hint="eastAsia" w:ascii="宋体" w:hAnsi="宋体" w:eastAsia="宋体" w:cs="宋体"/>
          <w:highlight w:val="none"/>
          <w:lang w:eastAsia="zh-CN"/>
        </w:rPr>
      </w:pPr>
    </w:p>
    <w:p w14:paraId="76A797EF">
      <w:pPr>
        <w:pageBreakBefore w:val="0"/>
        <w:kinsoku/>
        <w:wordWrap/>
        <w:overflowPunct w:val="0"/>
        <w:topLinePunct w:val="0"/>
        <w:bidi w:val="0"/>
        <w:spacing w:line="263" w:lineRule="auto"/>
        <w:rPr>
          <w:rFonts w:hint="eastAsia" w:ascii="宋体" w:hAnsi="宋体" w:eastAsia="宋体" w:cs="宋体"/>
          <w:highlight w:val="none"/>
          <w:lang w:eastAsia="zh-CN"/>
        </w:rPr>
      </w:pPr>
    </w:p>
    <w:p w14:paraId="3E425F9F">
      <w:pPr>
        <w:pageBreakBefore w:val="0"/>
        <w:kinsoku/>
        <w:wordWrap/>
        <w:overflowPunct w:val="0"/>
        <w:topLinePunct w:val="0"/>
        <w:bidi w:val="0"/>
        <w:spacing w:line="263" w:lineRule="auto"/>
        <w:jc w:val="center"/>
        <w:rPr>
          <w:rFonts w:hint="eastAsia" w:ascii="宋体" w:hAnsi="宋体" w:eastAsia="宋体" w:cs="宋体"/>
          <w:b/>
          <w:bCs/>
          <w:snapToGrid w:val="0"/>
          <w:color w:val="000000"/>
          <w:spacing w:val="-2"/>
          <w:sz w:val="28"/>
          <w:szCs w:val="28"/>
          <w:highlight w:val="none"/>
          <w:lang w:val="en-US" w:eastAsia="zh-CN" w:bidi="ar-SA"/>
        </w:rPr>
      </w:pPr>
      <w:r>
        <w:rPr>
          <w:rFonts w:hint="eastAsia" w:ascii="宋体" w:hAnsi="宋体" w:eastAsia="宋体" w:cs="宋体"/>
          <w:b/>
          <w:bCs/>
          <w:snapToGrid w:val="0"/>
          <w:color w:val="000000"/>
          <w:spacing w:val="-2"/>
          <w:sz w:val="28"/>
          <w:szCs w:val="28"/>
          <w:highlight w:val="none"/>
          <w:lang w:val="en-US" w:eastAsia="zh-CN" w:bidi="ar-SA"/>
        </w:rPr>
        <w:t>投标人应按照“工程量清单”的要求逐项填报工程量清单及报价。</w:t>
      </w:r>
    </w:p>
    <w:p w14:paraId="6A28D9C2">
      <w:pPr>
        <w:pageBreakBefore w:val="0"/>
        <w:kinsoku/>
        <w:wordWrap/>
        <w:overflowPunct w:val="0"/>
        <w:topLinePunct w:val="0"/>
        <w:bidi w:val="0"/>
        <w:spacing w:line="263" w:lineRule="auto"/>
        <w:rPr>
          <w:rFonts w:hint="eastAsia" w:ascii="宋体" w:hAnsi="宋体" w:eastAsia="宋体" w:cs="宋体"/>
          <w:snapToGrid w:val="0"/>
          <w:color w:val="000000"/>
          <w:spacing w:val="-2"/>
          <w:sz w:val="28"/>
          <w:szCs w:val="28"/>
          <w:highlight w:val="none"/>
          <w:lang w:val="en-US" w:eastAsia="zh-CN" w:bidi="ar-SA"/>
        </w:rPr>
      </w:pPr>
    </w:p>
    <w:p w14:paraId="01A9D79C">
      <w:pPr>
        <w:pStyle w:val="8"/>
        <w:pageBreakBefore w:val="0"/>
        <w:kinsoku/>
        <w:wordWrap/>
        <w:overflowPunct w:val="0"/>
        <w:topLinePunct w:val="0"/>
        <w:bidi w:val="0"/>
        <w:spacing w:before="91" w:line="221" w:lineRule="auto"/>
        <w:ind w:left="218"/>
        <w:rPr>
          <w:rFonts w:hint="eastAsia" w:ascii="宋体" w:hAnsi="宋体" w:eastAsia="宋体" w:cs="宋体"/>
          <w:spacing w:val="-1"/>
          <w:highlight w:val="none"/>
          <w:lang w:eastAsia="zh-CN"/>
        </w:rPr>
      </w:pPr>
    </w:p>
    <w:p w14:paraId="5A121C56">
      <w:pPr>
        <w:pStyle w:val="8"/>
        <w:pageBreakBefore w:val="0"/>
        <w:kinsoku/>
        <w:wordWrap/>
        <w:overflowPunct w:val="0"/>
        <w:topLinePunct w:val="0"/>
        <w:bidi w:val="0"/>
        <w:spacing w:before="91" w:line="221" w:lineRule="auto"/>
        <w:ind w:left="218"/>
        <w:rPr>
          <w:rFonts w:hint="eastAsia" w:ascii="宋体" w:hAnsi="宋体" w:eastAsia="宋体" w:cs="宋体"/>
          <w:spacing w:val="-1"/>
          <w:highlight w:val="none"/>
          <w:lang w:eastAsia="zh-CN"/>
        </w:rPr>
      </w:pPr>
    </w:p>
    <w:p w14:paraId="4E32D406">
      <w:pPr>
        <w:pStyle w:val="8"/>
        <w:pageBreakBefore w:val="0"/>
        <w:kinsoku/>
        <w:wordWrap/>
        <w:overflowPunct w:val="0"/>
        <w:topLinePunct w:val="0"/>
        <w:bidi w:val="0"/>
        <w:spacing w:before="91" w:line="221" w:lineRule="auto"/>
        <w:ind w:left="218"/>
        <w:rPr>
          <w:rFonts w:hint="eastAsia" w:ascii="宋体" w:hAnsi="宋体" w:eastAsia="宋体" w:cs="宋体"/>
          <w:spacing w:val="-1"/>
          <w:highlight w:val="none"/>
          <w:lang w:eastAsia="zh-CN"/>
        </w:rPr>
      </w:pPr>
    </w:p>
    <w:p w14:paraId="450290D6">
      <w:pPr>
        <w:pStyle w:val="8"/>
        <w:pageBreakBefore w:val="0"/>
        <w:kinsoku/>
        <w:wordWrap/>
        <w:overflowPunct w:val="0"/>
        <w:topLinePunct w:val="0"/>
        <w:bidi w:val="0"/>
        <w:spacing w:before="91" w:line="221" w:lineRule="auto"/>
        <w:ind w:left="218"/>
        <w:rPr>
          <w:rFonts w:hint="eastAsia" w:ascii="宋体" w:hAnsi="宋体" w:eastAsia="宋体" w:cs="宋体"/>
          <w:spacing w:val="-1"/>
          <w:highlight w:val="none"/>
          <w:lang w:eastAsia="zh-CN"/>
        </w:rPr>
      </w:pPr>
    </w:p>
    <w:p w14:paraId="6D4BFB51">
      <w:pPr>
        <w:pStyle w:val="8"/>
        <w:pageBreakBefore w:val="0"/>
        <w:kinsoku/>
        <w:wordWrap/>
        <w:overflowPunct w:val="0"/>
        <w:topLinePunct w:val="0"/>
        <w:bidi w:val="0"/>
        <w:spacing w:before="91" w:line="221" w:lineRule="auto"/>
        <w:ind w:left="218"/>
        <w:rPr>
          <w:rFonts w:hint="eastAsia" w:ascii="宋体" w:hAnsi="宋体" w:eastAsia="宋体" w:cs="宋体"/>
          <w:spacing w:val="-1"/>
          <w:highlight w:val="none"/>
          <w:lang w:eastAsia="zh-CN"/>
        </w:rPr>
      </w:pPr>
    </w:p>
    <w:p w14:paraId="3AB780B5">
      <w:pPr>
        <w:pStyle w:val="8"/>
        <w:pageBreakBefore w:val="0"/>
        <w:kinsoku/>
        <w:wordWrap/>
        <w:overflowPunct w:val="0"/>
        <w:topLinePunct w:val="0"/>
        <w:bidi w:val="0"/>
        <w:spacing w:before="91" w:line="221" w:lineRule="auto"/>
        <w:ind w:left="218"/>
        <w:rPr>
          <w:rFonts w:hint="eastAsia" w:ascii="宋体" w:hAnsi="宋体" w:eastAsia="宋体" w:cs="宋体"/>
          <w:spacing w:val="-1"/>
          <w:highlight w:val="none"/>
          <w:lang w:eastAsia="zh-CN"/>
        </w:rPr>
      </w:pPr>
    </w:p>
    <w:p w14:paraId="27A51072">
      <w:pPr>
        <w:widowControl w:val="0"/>
        <w:snapToGrid w:val="0"/>
        <w:spacing w:line="360" w:lineRule="auto"/>
        <w:ind w:firstLine="0" w:firstLineChars="0"/>
        <w:jc w:val="both"/>
        <w:rPr>
          <w:rFonts w:hint="default" w:ascii="宋体" w:hAnsi="宋体" w:eastAsia="宋体" w:cs="宋体"/>
          <w:spacing w:val="7"/>
          <w:sz w:val="31"/>
          <w:szCs w:val="31"/>
          <w:highlight w:val="none"/>
          <w:lang w:val="en-US" w:eastAsia="zh-CN"/>
        </w:rPr>
      </w:pPr>
    </w:p>
    <w:p w14:paraId="278427DA">
      <w:pPr>
        <w:widowControl w:val="0"/>
        <w:snapToGrid w:val="0"/>
        <w:spacing w:line="360" w:lineRule="auto"/>
        <w:ind w:firstLine="0" w:firstLineChars="0"/>
        <w:jc w:val="center"/>
        <w:rPr>
          <w:rFonts w:hint="eastAsia" w:ascii="宋体" w:hAnsi="宋体" w:eastAsia="宋体" w:cs="宋体"/>
          <w:spacing w:val="7"/>
          <w:sz w:val="31"/>
          <w:szCs w:val="31"/>
          <w:highlight w:val="none"/>
          <w:lang w:val="en-US" w:eastAsia="zh-CN"/>
        </w:rPr>
      </w:pPr>
    </w:p>
    <w:p w14:paraId="17509B09">
      <w:pPr>
        <w:widowControl w:val="0"/>
        <w:snapToGrid w:val="0"/>
        <w:spacing w:line="360" w:lineRule="auto"/>
        <w:ind w:firstLine="0" w:firstLineChars="0"/>
        <w:jc w:val="center"/>
        <w:rPr>
          <w:rFonts w:hint="eastAsia" w:ascii="宋体" w:hAnsi="宋体" w:eastAsia="宋体" w:cs="宋体"/>
          <w:sz w:val="31"/>
          <w:szCs w:val="31"/>
          <w:highlight w:val="none"/>
          <w:lang w:eastAsia="zh-CN"/>
        </w:rPr>
      </w:pPr>
      <w:r>
        <w:rPr>
          <w:rFonts w:hint="eastAsia" w:ascii="宋体" w:hAnsi="宋体" w:eastAsia="宋体" w:cs="宋体"/>
          <w:spacing w:val="7"/>
          <w:sz w:val="31"/>
          <w:szCs w:val="31"/>
          <w:highlight w:val="none"/>
          <w:lang w:eastAsia="zh-CN"/>
        </w:rPr>
        <w:t>磋商响应报价表</w:t>
      </w:r>
      <w:r>
        <w:rPr>
          <w:rFonts w:hint="eastAsia" w:ascii="宋体" w:hAnsi="宋体" w:eastAsia="宋体" w:cs="宋体"/>
          <w:spacing w:val="7"/>
          <w:sz w:val="31"/>
          <w:szCs w:val="31"/>
          <w:highlight w:val="none"/>
          <w:lang w:val="en-US" w:eastAsia="zh-CN"/>
        </w:rPr>
        <w:t>（最终报价）</w:t>
      </w:r>
    </w:p>
    <w:p w14:paraId="388A690E">
      <w:pPr>
        <w:pStyle w:val="8"/>
        <w:pageBreakBefore w:val="0"/>
        <w:kinsoku/>
        <w:wordWrap/>
        <w:overflowPunct w:val="0"/>
        <w:topLinePunct w:val="0"/>
        <w:bidi w:val="0"/>
        <w:spacing w:before="236" w:line="220" w:lineRule="auto"/>
        <w:ind w:left="23"/>
        <w:jc w:val="center"/>
        <w:rPr>
          <w:rFonts w:hint="eastAsia" w:ascii="宋体" w:hAnsi="宋体" w:eastAsia="宋体" w:cs="宋体"/>
          <w:highlight w:val="none"/>
          <w:lang w:eastAsia="zh-CN"/>
        </w:rPr>
      </w:pPr>
      <w:r>
        <w:rPr>
          <w:rFonts w:hint="eastAsia" w:ascii="宋体" w:hAnsi="宋体" w:eastAsia="宋体" w:cs="宋体"/>
          <w:spacing w:val="-2"/>
          <w:highlight w:val="none"/>
          <w:lang w:eastAsia="zh-CN"/>
        </w:rPr>
        <w:t>根据竞争性磋商文件要求可以自行调整，包括但不限于以下内容。</w:t>
      </w:r>
    </w:p>
    <w:p w14:paraId="7E6D13C6">
      <w:pPr>
        <w:pageBreakBefore w:val="0"/>
        <w:kinsoku/>
        <w:wordWrap/>
        <w:overflowPunct w:val="0"/>
        <w:topLinePunct w:val="0"/>
        <w:bidi w:val="0"/>
        <w:spacing w:line="251" w:lineRule="auto"/>
        <w:rPr>
          <w:rFonts w:hint="eastAsia" w:ascii="宋体" w:hAnsi="宋体" w:eastAsia="宋体" w:cs="宋体"/>
          <w:highlight w:val="none"/>
          <w:lang w:eastAsia="zh-CN"/>
        </w:rPr>
      </w:pPr>
    </w:p>
    <w:p w14:paraId="03F276EF">
      <w:pPr>
        <w:pageBreakBefore w:val="0"/>
        <w:kinsoku/>
        <w:wordWrap/>
        <w:overflowPunct w:val="0"/>
        <w:topLinePunct w:val="0"/>
        <w:bidi w:val="0"/>
        <w:spacing w:line="251" w:lineRule="auto"/>
        <w:rPr>
          <w:rFonts w:hint="eastAsia" w:ascii="宋体" w:hAnsi="宋体" w:eastAsia="宋体" w:cs="宋体"/>
          <w:highlight w:val="none"/>
          <w:lang w:eastAsia="zh-CN"/>
        </w:rPr>
      </w:pPr>
    </w:p>
    <w:tbl>
      <w:tblPr>
        <w:tblStyle w:val="20"/>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4438"/>
      </w:tblGrid>
      <w:tr w14:paraId="18AD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0FB4EAB3">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标题</w:t>
            </w:r>
          </w:p>
        </w:tc>
        <w:tc>
          <w:tcPr>
            <w:tcW w:w="4438" w:type="dxa"/>
            <w:vAlign w:val="center"/>
          </w:tcPr>
          <w:p w14:paraId="03FA54AA">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内容</w:t>
            </w:r>
          </w:p>
        </w:tc>
      </w:tr>
      <w:tr w14:paraId="4CA8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02575673">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项目名称</w:t>
            </w:r>
          </w:p>
        </w:tc>
        <w:tc>
          <w:tcPr>
            <w:tcW w:w="4438" w:type="dxa"/>
            <w:vAlign w:val="center"/>
          </w:tcPr>
          <w:p w14:paraId="7B1F3295">
            <w:pPr>
              <w:shd w:val="clear" w:color="auto" w:fill="auto"/>
              <w:autoSpaceDE w:val="0"/>
              <w:autoSpaceDN w:val="0"/>
              <w:adjustRightInd w:val="0"/>
              <w:jc w:val="left"/>
              <w:rPr>
                <w:rFonts w:hint="eastAsia" w:ascii="宋体" w:hAnsi="宋体" w:eastAsia="宋体" w:cs="宋体"/>
                <w:color w:val="auto"/>
                <w:kern w:val="0"/>
                <w:sz w:val="24"/>
                <w:highlight w:val="none"/>
                <w:shd w:val="clear" w:color="auto" w:fill="auto"/>
              </w:rPr>
            </w:pPr>
          </w:p>
        </w:tc>
      </w:tr>
      <w:tr w14:paraId="281D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41820A7E">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项目编号</w:t>
            </w:r>
          </w:p>
        </w:tc>
        <w:tc>
          <w:tcPr>
            <w:tcW w:w="4438" w:type="dxa"/>
            <w:vAlign w:val="center"/>
          </w:tcPr>
          <w:p w14:paraId="5E24673C">
            <w:pPr>
              <w:shd w:val="clear" w:color="auto" w:fill="auto"/>
              <w:autoSpaceDE w:val="0"/>
              <w:autoSpaceDN w:val="0"/>
              <w:adjustRightInd w:val="0"/>
              <w:jc w:val="left"/>
              <w:rPr>
                <w:rFonts w:hint="eastAsia" w:ascii="宋体" w:hAnsi="宋体" w:eastAsia="宋体" w:cs="宋体"/>
                <w:color w:val="auto"/>
                <w:kern w:val="0"/>
                <w:sz w:val="24"/>
                <w:highlight w:val="none"/>
                <w:shd w:val="clear" w:color="auto" w:fill="auto"/>
              </w:rPr>
            </w:pPr>
          </w:p>
        </w:tc>
      </w:tr>
      <w:tr w14:paraId="0397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451C6AFA">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eastAsia="zh-CN"/>
              </w:rPr>
              <w:t>响应</w:t>
            </w:r>
            <w:r>
              <w:rPr>
                <w:rFonts w:hint="eastAsia" w:ascii="宋体" w:hAnsi="宋体" w:eastAsia="宋体" w:cs="宋体"/>
                <w:color w:val="auto"/>
                <w:kern w:val="0"/>
                <w:sz w:val="24"/>
                <w:highlight w:val="none"/>
                <w:shd w:val="clear" w:color="auto" w:fill="auto"/>
              </w:rPr>
              <w:t>总报价（人民币大写）</w:t>
            </w:r>
          </w:p>
        </w:tc>
        <w:tc>
          <w:tcPr>
            <w:tcW w:w="4438" w:type="dxa"/>
            <w:vAlign w:val="center"/>
          </w:tcPr>
          <w:p w14:paraId="1D652166">
            <w:pPr>
              <w:shd w:val="clear" w:color="auto" w:fill="auto"/>
              <w:autoSpaceDE w:val="0"/>
              <w:autoSpaceDN w:val="0"/>
              <w:adjustRightInd w:val="0"/>
              <w:jc w:val="right"/>
              <w:rPr>
                <w:rFonts w:hint="eastAsia" w:ascii="宋体" w:hAnsi="宋体" w:eastAsia="宋体" w:cs="宋体"/>
                <w:color w:val="auto"/>
                <w:kern w:val="0"/>
                <w:sz w:val="24"/>
                <w:highlight w:val="none"/>
                <w:shd w:val="clear" w:color="auto" w:fill="auto"/>
              </w:rPr>
            </w:pPr>
          </w:p>
        </w:tc>
      </w:tr>
      <w:tr w14:paraId="7AA7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79" w:type="dxa"/>
            <w:vAlign w:val="center"/>
          </w:tcPr>
          <w:p w14:paraId="61D16A52">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eastAsia="zh-CN"/>
              </w:rPr>
              <w:t>响应</w:t>
            </w:r>
            <w:r>
              <w:rPr>
                <w:rFonts w:hint="eastAsia" w:ascii="宋体" w:hAnsi="宋体" w:eastAsia="宋体" w:cs="宋体"/>
                <w:color w:val="auto"/>
                <w:kern w:val="0"/>
                <w:sz w:val="24"/>
                <w:highlight w:val="none"/>
                <w:shd w:val="clear" w:color="auto" w:fill="auto"/>
              </w:rPr>
              <w:t>总报价（人民币小写）</w:t>
            </w:r>
          </w:p>
        </w:tc>
        <w:tc>
          <w:tcPr>
            <w:tcW w:w="4438" w:type="dxa"/>
            <w:vAlign w:val="center"/>
          </w:tcPr>
          <w:p w14:paraId="33F19455">
            <w:pPr>
              <w:shd w:val="clear" w:color="auto" w:fill="auto"/>
              <w:autoSpaceDE w:val="0"/>
              <w:autoSpaceDN w:val="0"/>
              <w:adjustRightInd w:val="0"/>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元</w:t>
            </w:r>
          </w:p>
        </w:tc>
      </w:tr>
    </w:tbl>
    <w:p w14:paraId="52FC35DA">
      <w:pPr>
        <w:pageBreakBefore w:val="0"/>
        <w:kinsoku/>
        <w:wordWrap/>
        <w:overflowPunct w:val="0"/>
        <w:topLinePunct w:val="0"/>
        <w:bidi w:val="0"/>
        <w:spacing w:line="253" w:lineRule="auto"/>
        <w:rPr>
          <w:rFonts w:hint="eastAsia" w:ascii="宋体" w:hAnsi="宋体" w:eastAsia="宋体" w:cs="宋体"/>
          <w:highlight w:val="none"/>
        </w:rPr>
      </w:pPr>
    </w:p>
    <w:p w14:paraId="47DCE450">
      <w:pPr>
        <w:pageBreakBefore w:val="0"/>
        <w:kinsoku/>
        <w:wordWrap/>
        <w:overflowPunct w:val="0"/>
        <w:topLinePunct w:val="0"/>
        <w:bidi w:val="0"/>
        <w:spacing w:line="253" w:lineRule="auto"/>
        <w:rPr>
          <w:rFonts w:hint="eastAsia" w:ascii="宋体" w:hAnsi="宋体" w:eastAsia="宋体" w:cs="宋体"/>
          <w:highlight w:val="none"/>
        </w:rPr>
      </w:pPr>
    </w:p>
    <w:p w14:paraId="7E083A32">
      <w:pPr>
        <w:pStyle w:val="8"/>
        <w:pageBreakBefore w:val="0"/>
        <w:kinsoku/>
        <w:wordWrap/>
        <w:overflowPunct w:val="0"/>
        <w:topLinePunct w:val="0"/>
        <w:bidi w:val="0"/>
        <w:spacing w:before="92" w:line="219" w:lineRule="auto"/>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 xml:space="preserve">注：1.供应商在报价时，须考虑完成本项目所需的一切费用。 </w:t>
      </w:r>
    </w:p>
    <w:p w14:paraId="2EE4945C">
      <w:pPr>
        <w:pStyle w:val="8"/>
        <w:pageBreakBefore w:val="0"/>
        <w:kinsoku/>
        <w:wordWrap/>
        <w:overflowPunct w:val="0"/>
        <w:topLinePunct w:val="0"/>
        <w:bidi w:val="0"/>
        <w:spacing w:before="92" w:line="219" w:lineRule="auto"/>
        <w:ind w:left="601"/>
        <w:rPr>
          <w:rFonts w:hint="eastAsia" w:ascii="宋体" w:hAnsi="宋体" w:eastAsia="宋体" w:cs="宋体"/>
          <w:spacing w:val="-2"/>
          <w:highlight w:val="none"/>
          <w:lang w:eastAsia="zh-CN"/>
        </w:rPr>
      </w:pPr>
      <w:r>
        <w:rPr>
          <w:rFonts w:hint="eastAsia" w:ascii="宋体" w:hAnsi="宋体" w:eastAsia="宋体" w:cs="宋体"/>
          <w:spacing w:val="-2"/>
          <w:highlight w:val="none"/>
          <w:lang w:eastAsia="zh-CN"/>
        </w:rPr>
        <w:t>2.总报价按四舍五入原则保留两位小数。</w:t>
      </w:r>
    </w:p>
    <w:p w14:paraId="38712043">
      <w:pPr>
        <w:pStyle w:val="8"/>
        <w:pageBreakBefore w:val="0"/>
        <w:kinsoku/>
        <w:wordWrap/>
        <w:overflowPunct w:val="0"/>
        <w:topLinePunct w:val="0"/>
        <w:bidi w:val="0"/>
        <w:spacing w:before="92" w:line="219" w:lineRule="auto"/>
        <w:ind w:left="601"/>
        <w:rPr>
          <w:rFonts w:hint="default"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3.</w:t>
      </w:r>
      <w:r>
        <w:rPr>
          <w:rFonts w:hint="eastAsia" w:ascii="宋体" w:hAnsi="宋体" w:eastAsia="宋体" w:cs="宋体"/>
          <w:spacing w:val="-2"/>
          <w:highlight w:val="none"/>
          <w:lang w:eastAsia="zh-CN"/>
        </w:rPr>
        <w:t>此报价表由投标人开标时单独携带，最终报价现场填写。</w:t>
      </w:r>
    </w:p>
    <w:p w14:paraId="2DCC04FD">
      <w:pPr>
        <w:pageBreakBefore w:val="0"/>
        <w:kinsoku/>
        <w:wordWrap/>
        <w:overflowPunct w:val="0"/>
        <w:topLinePunct w:val="0"/>
        <w:bidi w:val="0"/>
        <w:spacing w:line="360" w:lineRule="auto"/>
        <w:ind w:right="560"/>
        <w:rPr>
          <w:rFonts w:hint="eastAsia" w:ascii="宋体" w:hAnsi="宋体" w:eastAsia="宋体" w:cs="宋体"/>
          <w:b/>
          <w:bCs/>
          <w:color w:val="auto"/>
          <w:sz w:val="28"/>
          <w:szCs w:val="28"/>
          <w:highlight w:val="none"/>
          <w:lang w:eastAsia="zh-CN"/>
        </w:rPr>
      </w:pPr>
    </w:p>
    <w:p w14:paraId="4A5E7D1B">
      <w:pPr>
        <w:pageBreakBefore w:val="0"/>
        <w:kinsoku/>
        <w:wordWrap/>
        <w:overflowPunct w:val="0"/>
        <w:topLinePunct w:val="0"/>
        <w:bidi w:val="0"/>
        <w:spacing w:line="360" w:lineRule="auto"/>
        <w:ind w:right="56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供应商公章：</w:t>
      </w:r>
    </w:p>
    <w:p w14:paraId="78565BDA">
      <w:pPr>
        <w:pStyle w:val="40"/>
        <w:pageBreakBefore w:val="0"/>
        <w:kinsoku/>
        <w:wordWrap/>
        <w:overflowPunct w:val="0"/>
        <w:topLinePunct w:val="0"/>
        <w:bidi w:val="0"/>
        <w:spacing w:line="360" w:lineRule="auto"/>
        <w:ind w:firstLine="0" w:firstLineChars="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日期：______________</w:t>
      </w:r>
    </w:p>
    <w:p w14:paraId="7C6BE42F">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6C4356E1">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6FE9D70D">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3DCAE81B">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55EFB0B4">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1272A75F">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21233C5F">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2CAF4DB7">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6DC2B69C">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18FD439B">
      <w:pPr>
        <w:pStyle w:val="8"/>
        <w:pageBreakBefore w:val="0"/>
        <w:kinsoku/>
        <w:wordWrap/>
        <w:overflowPunct w:val="0"/>
        <w:topLinePunct w:val="0"/>
        <w:bidi w:val="0"/>
        <w:spacing w:before="91" w:line="221" w:lineRule="auto"/>
        <w:rPr>
          <w:rFonts w:hint="eastAsia" w:ascii="宋体" w:hAnsi="宋体" w:eastAsia="宋体" w:cs="宋体"/>
          <w:spacing w:val="-1"/>
          <w:highlight w:val="none"/>
          <w:lang w:eastAsia="zh-CN"/>
        </w:rPr>
      </w:pPr>
    </w:p>
    <w:p w14:paraId="6643CDE9">
      <w:pPr>
        <w:pStyle w:val="8"/>
        <w:pageBreakBefore w:val="0"/>
        <w:kinsoku/>
        <w:wordWrap/>
        <w:overflowPunct w:val="0"/>
        <w:topLinePunct w:val="0"/>
        <w:bidi w:val="0"/>
        <w:spacing w:before="91" w:line="360" w:lineRule="auto"/>
        <w:rPr>
          <w:rFonts w:hint="eastAsia" w:ascii="宋体" w:hAnsi="宋体" w:eastAsia="宋体" w:cs="宋体"/>
          <w:spacing w:val="-1"/>
          <w:highlight w:val="none"/>
          <w:lang w:eastAsia="zh-CN"/>
        </w:rPr>
      </w:pPr>
      <w:r>
        <w:rPr>
          <w:rFonts w:hint="eastAsia" w:ascii="宋体" w:hAnsi="宋体" w:eastAsia="宋体" w:cs="宋体"/>
          <w:spacing w:val="-1"/>
          <w:highlight w:val="none"/>
          <w:lang w:eastAsia="zh-CN"/>
        </w:rPr>
        <w:t>2、主要标的一览表（工程）</w:t>
      </w:r>
    </w:p>
    <w:p w14:paraId="3C1B38AD">
      <w:pPr>
        <w:pStyle w:val="8"/>
        <w:pageBreakBefore w:val="0"/>
        <w:kinsoku/>
        <w:wordWrap/>
        <w:overflowPunct w:val="0"/>
        <w:topLinePunct w:val="0"/>
        <w:bidi w:val="0"/>
        <w:spacing w:before="91" w:line="360" w:lineRule="auto"/>
        <w:ind w:right="-92" w:rightChars="-44" w:firstLine="476" w:firstLineChars="200"/>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val="en-US" w:eastAsia="zh-CN"/>
        </w:rPr>
        <w:t>此表中名称、施工范围由采购人列出，施工工期、项目经理、执业证书信息由供应商填写</w:t>
      </w:r>
      <w:r>
        <w:rPr>
          <w:rFonts w:hint="eastAsia" w:ascii="宋体" w:hAnsi="宋体" w:eastAsia="宋体" w:cs="宋体"/>
          <w:spacing w:val="-1"/>
          <w:sz w:val="24"/>
          <w:szCs w:val="24"/>
          <w:highlight w:val="none"/>
          <w:lang w:eastAsia="zh-CN"/>
        </w:rPr>
        <w:t>，将随成交结果公告一并</w:t>
      </w:r>
      <w:r>
        <w:rPr>
          <w:rFonts w:hint="eastAsia" w:ascii="宋体" w:hAnsi="宋体" w:eastAsia="宋体" w:cs="宋体"/>
          <w:spacing w:val="-1"/>
          <w:sz w:val="24"/>
          <w:szCs w:val="24"/>
          <w:highlight w:val="none"/>
          <w:lang w:val="en-US" w:eastAsia="zh-CN"/>
        </w:rPr>
        <w:t>公告</w:t>
      </w:r>
      <w:r>
        <w:rPr>
          <w:rFonts w:hint="eastAsia" w:ascii="宋体" w:hAnsi="宋体" w:eastAsia="宋体" w:cs="宋体"/>
          <w:spacing w:val="-1"/>
          <w:sz w:val="24"/>
          <w:szCs w:val="24"/>
          <w:highlight w:val="none"/>
          <w:lang w:eastAsia="zh-CN"/>
        </w:rPr>
        <w:t>，接受社会监</w:t>
      </w:r>
      <w:r>
        <w:rPr>
          <w:rFonts w:hint="eastAsia" w:ascii="宋体" w:hAnsi="宋体" w:eastAsia="宋体" w:cs="宋体"/>
          <w:b w:val="0"/>
          <w:bCs w:val="0"/>
          <w:color w:val="auto"/>
          <w:sz w:val="24"/>
          <w:szCs w:val="24"/>
          <w:highlight w:val="none"/>
        </w:rPr>
        <w:t>督</w:t>
      </w:r>
      <w:r>
        <w:rPr>
          <w:rFonts w:hint="eastAsia" w:ascii="宋体" w:hAnsi="宋体" w:eastAsia="宋体" w:cs="宋体"/>
          <w:b w:val="0"/>
          <w:bCs w:val="0"/>
          <w:color w:val="auto"/>
          <w:sz w:val="24"/>
          <w:szCs w:val="24"/>
          <w:highlight w:val="none"/>
          <w:lang w:val="en-US" w:eastAsia="zh-CN"/>
        </w:rPr>
        <w:t>。</w:t>
      </w:r>
    </w:p>
    <w:tbl>
      <w:tblPr>
        <w:tblStyle w:val="26"/>
        <w:tblW w:w="911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113"/>
      </w:tblGrid>
      <w:tr w14:paraId="17C8F9D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75" w:hRule="atLeast"/>
        </w:trPr>
        <w:tc>
          <w:tcPr>
            <w:tcW w:w="9113" w:type="dxa"/>
            <w:tcBorders>
              <w:bottom w:val="single" w:color="000000" w:sz="4" w:space="0"/>
            </w:tcBorders>
          </w:tcPr>
          <w:p w14:paraId="44911FFB">
            <w:pPr>
              <w:pStyle w:val="27"/>
              <w:pageBreakBefore w:val="0"/>
              <w:kinsoku/>
              <w:wordWrap/>
              <w:overflowPunct w:val="0"/>
              <w:topLinePunct w:val="0"/>
              <w:bidi w:val="0"/>
              <w:spacing w:before="39" w:line="220" w:lineRule="auto"/>
              <w:ind w:left="4189"/>
              <w:rPr>
                <w:rFonts w:hint="eastAsia" w:ascii="宋体" w:hAnsi="宋体" w:eastAsia="宋体" w:cs="宋体"/>
                <w:sz w:val="24"/>
                <w:szCs w:val="24"/>
                <w:highlight w:val="none"/>
              </w:rPr>
            </w:pPr>
            <w:r>
              <w:rPr>
                <w:rFonts w:hint="eastAsia" w:ascii="宋体" w:hAnsi="宋体" w:eastAsia="宋体" w:cs="宋体"/>
                <w:spacing w:val="-3"/>
                <w:sz w:val="24"/>
                <w:szCs w:val="24"/>
                <w:highlight w:val="none"/>
                <w:lang w:eastAsia="zh-CN"/>
              </w:rPr>
              <w:t>工程</w:t>
            </w:r>
            <w:r>
              <w:rPr>
                <w:rFonts w:hint="eastAsia" w:ascii="宋体" w:hAnsi="宋体" w:eastAsia="宋体" w:cs="宋体"/>
                <w:spacing w:val="-3"/>
                <w:sz w:val="24"/>
                <w:szCs w:val="24"/>
                <w:highlight w:val="none"/>
              </w:rPr>
              <w:t>类</w:t>
            </w:r>
          </w:p>
        </w:tc>
      </w:tr>
      <w:tr w14:paraId="76036D4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2971" w:hRule="atLeast"/>
        </w:trPr>
        <w:tc>
          <w:tcPr>
            <w:tcW w:w="9113" w:type="dxa"/>
            <w:tcBorders>
              <w:top w:val="single" w:color="000000" w:sz="4" w:space="0"/>
            </w:tcBorders>
          </w:tcPr>
          <w:p w14:paraId="3870F2E5">
            <w:pPr>
              <w:pStyle w:val="27"/>
              <w:pageBreakBefore w:val="0"/>
              <w:kinsoku/>
              <w:wordWrap/>
              <w:overflowPunct w:val="0"/>
              <w:topLinePunct w:val="0"/>
              <w:bidi w:val="0"/>
              <w:spacing w:before="180" w:line="468" w:lineRule="exact"/>
              <w:ind w:left="104"/>
              <w:rPr>
                <w:rFonts w:hint="eastAsia" w:ascii="宋体" w:hAnsi="宋体" w:eastAsia="宋体" w:cs="宋体"/>
                <w:position w:val="17"/>
                <w:sz w:val="24"/>
                <w:szCs w:val="24"/>
                <w:highlight w:val="none"/>
                <w:lang w:val="en-US" w:eastAsia="zh-CN"/>
              </w:rPr>
            </w:pPr>
            <w:r>
              <w:rPr>
                <w:rFonts w:hint="eastAsia" w:ascii="宋体" w:hAnsi="宋体" w:eastAsia="宋体" w:cs="宋体"/>
                <w:position w:val="17"/>
                <w:sz w:val="24"/>
                <w:szCs w:val="24"/>
                <w:highlight w:val="none"/>
                <w:lang w:val="en-US" w:eastAsia="zh-CN"/>
              </w:rPr>
              <w:t>名称：</w:t>
            </w:r>
            <w:r>
              <w:rPr>
                <w:rFonts w:hint="eastAsia" w:cs="宋体"/>
                <w:position w:val="17"/>
                <w:sz w:val="24"/>
                <w:szCs w:val="24"/>
                <w:highlight w:val="none"/>
                <w:lang w:val="en-US" w:eastAsia="zh-CN"/>
              </w:rPr>
              <w:t>铜陵市公共资源交易中心开标及评标室改造工程</w:t>
            </w:r>
          </w:p>
          <w:p w14:paraId="3D238F07">
            <w:pPr>
              <w:pStyle w:val="27"/>
              <w:pageBreakBefore w:val="0"/>
              <w:kinsoku/>
              <w:wordWrap/>
              <w:overflowPunct w:val="0"/>
              <w:topLinePunct w:val="0"/>
              <w:bidi w:val="0"/>
              <w:spacing w:before="180" w:line="468" w:lineRule="exact"/>
              <w:ind w:left="104"/>
              <w:rPr>
                <w:rFonts w:hint="eastAsia" w:ascii="宋体" w:hAnsi="宋体" w:eastAsia="宋体" w:cs="宋体"/>
                <w:position w:val="17"/>
                <w:sz w:val="24"/>
                <w:szCs w:val="24"/>
                <w:highlight w:val="none"/>
                <w:lang w:val="en-US" w:eastAsia="zh-CN"/>
              </w:rPr>
            </w:pPr>
            <w:r>
              <w:rPr>
                <w:rFonts w:hint="eastAsia" w:ascii="宋体" w:hAnsi="宋体" w:eastAsia="宋体" w:cs="宋体"/>
                <w:position w:val="17"/>
                <w:sz w:val="24"/>
                <w:szCs w:val="24"/>
                <w:highlight w:val="none"/>
                <w:lang w:val="en-US" w:eastAsia="zh-CN"/>
              </w:rPr>
              <w:t>施工范围：主要内容包括铜陵市公共资源交易中心三层、五层和六层的评标室、开标室、代理机构查询室、休息室、过道、卫生间等进行全面改造，包括装修、设备更新、布局调整、家具搬运等。主要施工内容包括：拆除原有部分装修和设施；重新进行室内装修，包括墙面、地面、天花板和水电改造等，具体详见</w:t>
            </w:r>
            <w:r>
              <w:rPr>
                <w:rFonts w:hint="eastAsia" w:cs="宋体"/>
                <w:position w:val="17"/>
                <w:sz w:val="24"/>
                <w:szCs w:val="24"/>
                <w:highlight w:val="none"/>
                <w:lang w:val="en-US" w:eastAsia="zh-CN"/>
              </w:rPr>
              <w:t>施工图纸、</w:t>
            </w:r>
            <w:r>
              <w:rPr>
                <w:rFonts w:hint="eastAsia" w:ascii="宋体" w:hAnsi="宋体" w:eastAsia="宋体" w:cs="宋体"/>
                <w:position w:val="17"/>
                <w:sz w:val="24"/>
                <w:szCs w:val="24"/>
                <w:highlight w:val="none"/>
                <w:lang w:val="en-US" w:eastAsia="zh-CN"/>
              </w:rPr>
              <w:t>竞争性磋商文件及工程量清单</w:t>
            </w:r>
            <w:r>
              <w:rPr>
                <w:rFonts w:hint="eastAsia" w:cs="宋体"/>
                <w:position w:val="17"/>
                <w:sz w:val="24"/>
                <w:szCs w:val="24"/>
                <w:highlight w:val="none"/>
                <w:lang w:val="en-US" w:eastAsia="zh-CN"/>
              </w:rPr>
              <w:t>所载明内容</w:t>
            </w:r>
            <w:r>
              <w:rPr>
                <w:rFonts w:hint="eastAsia" w:ascii="宋体" w:hAnsi="宋体" w:eastAsia="宋体" w:cs="宋体"/>
                <w:position w:val="17"/>
                <w:sz w:val="24"/>
                <w:szCs w:val="24"/>
                <w:highlight w:val="none"/>
                <w:lang w:val="en-US" w:eastAsia="zh-CN"/>
              </w:rPr>
              <w:t>。</w:t>
            </w:r>
          </w:p>
          <w:p w14:paraId="239F5A5E">
            <w:pPr>
              <w:pStyle w:val="27"/>
              <w:pageBreakBefore w:val="0"/>
              <w:kinsoku/>
              <w:wordWrap/>
              <w:overflowPunct w:val="0"/>
              <w:topLinePunct w:val="0"/>
              <w:bidi w:val="0"/>
              <w:spacing w:before="180" w:line="468" w:lineRule="exact"/>
              <w:ind w:left="104"/>
              <w:rPr>
                <w:rFonts w:hint="eastAsia" w:ascii="宋体" w:hAnsi="宋体" w:eastAsia="宋体" w:cs="宋体"/>
                <w:position w:val="17"/>
                <w:sz w:val="24"/>
                <w:szCs w:val="24"/>
                <w:highlight w:val="none"/>
                <w:lang w:val="en-US" w:eastAsia="zh-CN"/>
              </w:rPr>
            </w:pPr>
            <w:r>
              <w:rPr>
                <w:rFonts w:hint="eastAsia" w:ascii="宋体" w:hAnsi="宋体" w:eastAsia="宋体" w:cs="宋体"/>
                <w:position w:val="17"/>
                <w:sz w:val="24"/>
                <w:szCs w:val="24"/>
                <w:highlight w:val="none"/>
                <w:lang w:val="en-US" w:eastAsia="zh-CN"/>
              </w:rPr>
              <w:t>施工工期：</w:t>
            </w:r>
          </w:p>
          <w:p w14:paraId="575822CE">
            <w:pPr>
              <w:pStyle w:val="27"/>
              <w:pageBreakBefore w:val="0"/>
              <w:kinsoku/>
              <w:wordWrap/>
              <w:overflowPunct w:val="0"/>
              <w:topLinePunct w:val="0"/>
              <w:bidi w:val="0"/>
              <w:spacing w:before="180" w:line="468" w:lineRule="exact"/>
              <w:ind w:left="104"/>
              <w:rPr>
                <w:rFonts w:hint="eastAsia" w:ascii="宋体" w:hAnsi="宋体" w:eastAsia="宋体" w:cs="宋体"/>
                <w:position w:val="17"/>
                <w:sz w:val="24"/>
                <w:szCs w:val="24"/>
                <w:highlight w:val="none"/>
                <w:lang w:val="en-US" w:eastAsia="zh-CN"/>
              </w:rPr>
            </w:pPr>
            <w:r>
              <w:rPr>
                <w:rFonts w:hint="eastAsia" w:ascii="宋体" w:hAnsi="宋体" w:eastAsia="宋体" w:cs="宋体"/>
                <w:position w:val="17"/>
                <w:sz w:val="24"/>
                <w:szCs w:val="24"/>
                <w:highlight w:val="none"/>
                <w:lang w:val="en-US" w:eastAsia="zh-CN"/>
              </w:rPr>
              <w:t>项目经理：</w:t>
            </w:r>
          </w:p>
          <w:p w14:paraId="548BD6A4">
            <w:pPr>
              <w:pStyle w:val="27"/>
              <w:pageBreakBefore w:val="0"/>
              <w:kinsoku/>
              <w:wordWrap/>
              <w:overflowPunct w:val="0"/>
              <w:topLinePunct w:val="0"/>
              <w:bidi w:val="0"/>
              <w:spacing w:before="180" w:line="468" w:lineRule="exact"/>
              <w:ind w:left="104"/>
              <w:rPr>
                <w:rFonts w:hint="default" w:ascii="宋体" w:hAnsi="宋体" w:eastAsia="宋体" w:cs="宋体"/>
                <w:sz w:val="24"/>
                <w:szCs w:val="24"/>
                <w:highlight w:val="none"/>
                <w:lang w:val="en-US" w:eastAsia="zh-CN"/>
              </w:rPr>
            </w:pPr>
            <w:r>
              <w:rPr>
                <w:rFonts w:hint="eastAsia" w:ascii="宋体" w:hAnsi="宋体" w:eastAsia="宋体" w:cs="宋体"/>
                <w:position w:val="17"/>
                <w:sz w:val="24"/>
                <w:szCs w:val="24"/>
                <w:highlight w:val="none"/>
                <w:lang w:val="en-US" w:eastAsia="zh-CN"/>
              </w:rPr>
              <w:t>执业证书信息：注册编号：             安全B证编号</w:t>
            </w:r>
          </w:p>
        </w:tc>
      </w:tr>
    </w:tbl>
    <w:p w14:paraId="111224BC">
      <w:pPr>
        <w:pageBreakBefore w:val="0"/>
        <w:kinsoku/>
        <w:wordWrap/>
        <w:overflowPunct w:val="0"/>
        <w:topLinePunct w:val="0"/>
        <w:bidi w:val="0"/>
        <w:rPr>
          <w:rFonts w:hint="eastAsia" w:ascii="宋体" w:hAnsi="宋体" w:eastAsia="宋体" w:cs="宋体"/>
          <w:highlight w:val="none"/>
          <w:lang w:eastAsia="zh-CN"/>
        </w:rPr>
      </w:pPr>
    </w:p>
    <w:p w14:paraId="575434B2">
      <w:pPr>
        <w:pageBreakBefore w:val="0"/>
        <w:kinsoku/>
        <w:wordWrap/>
        <w:overflowPunct w:val="0"/>
        <w:topLinePunct w:val="0"/>
        <w:bidi w:val="0"/>
        <w:rPr>
          <w:rFonts w:hint="eastAsia" w:ascii="宋体" w:hAnsi="宋体" w:eastAsia="宋体" w:cs="宋体"/>
          <w:highlight w:val="none"/>
          <w:lang w:eastAsia="zh-CN"/>
        </w:rPr>
      </w:pPr>
    </w:p>
    <w:p w14:paraId="56CCAC0A">
      <w:pPr>
        <w:pageBreakBefore w:val="0"/>
        <w:kinsoku/>
        <w:wordWrap/>
        <w:overflowPunct w:val="0"/>
        <w:topLinePunct w:val="0"/>
        <w:bidi w:val="0"/>
        <w:rPr>
          <w:rFonts w:hint="eastAsia" w:ascii="宋体" w:hAnsi="宋体" w:eastAsia="宋体" w:cs="宋体"/>
          <w:highlight w:val="none"/>
          <w:lang w:eastAsia="zh-CN"/>
        </w:rPr>
      </w:pPr>
    </w:p>
    <w:p w14:paraId="00B8B790">
      <w:pPr>
        <w:pageBreakBefore w:val="0"/>
        <w:kinsoku/>
        <w:wordWrap/>
        <w:overflowPunct w:val="0"/>
        <w:topLinePunct w:val="0"/>
        <w:bidi w:val="0"/>
        <w:rPr>
          <w:rFonts w:hint="eastAsia" w:ascii="宋体" w:hAnsi="宋体" w:eastAsia="宋体" w:cs="宋体"/>
          <w:highlight w:val="none"/>
          <w:lang w:eastAsia="zh-CN"/>
        </w:rPr>
      </w:pPr>
    </w:p>
    <w:p w14:paraId="4A9EE2E2">
      <w:pPr>
        <w:pageBreakBefore w:val="0"/>
        <w:kinsoku/>
        <w:wordWrap/>
        <w:overflowPunct w:val="0"/>
        <w:topLinePunct w:val="0"/>
        <w:bidi w:val="0"/>
        <w:rPr>
          <w:rFonts w:hint="eastAsia" w:ascii="宋体" w:hAnsi="宋体" w:eastAsia="宋体" w:cs="宋体"/>
          <w:highlight w:val="none"/>
          <w:lang w:eastAsia="zh-CN"/>
        </w:rPr>
      </w:pPr>
    </w:p>
    <w:p w14:paraId="03EA50BF">
      <w:pPr>
        <w:pageBreakBefore w:val="0"/>
        <w:kinsoku/>
        <w:wordWrap/>
        <w:overflowPunct w:val="0"/>
        <w:topLinePunct w:val="0"/>
        <w:bidi w:val="0"/>
        <w:rPr>
          <w:rFonts w:hint="eastAsia" w:ascii="宋体" w:hAnsi="宋体" w:eastAsia="宋体" w:cs="宋体"/>
          <w:highlight w:val="none"/>
          <w:lang w:eastAsia="zh-CN"/>
        </w:rPr>
      </w:pPr>
    </w:p>
    <w:p w14:paraId="613E9962">
      <w:pPr>
        <w:pageBreakBefore w:val="0"/>
        <w:kinsoku/>
        <w:wordWrap/>
        <w:overflowPunct w:val="0"/>
        <w:topLinePunct w:val="0"/>
        <w:bidi w:val="0"/>
        <w:rPr>
          <w:rFonts w:hint="eastAsia" w:ascii="宋体" w:hAnsi="宋体" w:eastAsia="宋体" w:cs="宋体"/>
          <w:highlight w:val="none"/>
          <w:lang w:eastAsia="zh-CN"/>
        </w:rPr>
      </w:pPr>
    </w:p>
    <w:p w14:paraId="621A8CED">
      <w:pPr>
        <w:pageBreakBefore w:val="0"/>
        <w:kinsoku/>
        <w:wordWrap/>
        <w:overflowPunct w:val="0"/>
        <w:topLinePunct w:val="0"/>
        <w:bidi w:val="0"/>
        <w:rPr>
          <w:rFonts w:hint="eastAsia" w:ascii="宋体" w:hAnsi="宋体" w:eastAsia="宋体" w:cs="宋体"/>
          <w:highlight w:val="none"/>
          <w:lang w:eastAsia="zh-CN"/>
        </w:rPr>
      </w:pPr>
    </w:p>
    <w:p w14:paraId="6E07C565">
      <w:pPr>
        <w:pageBreakBefore w:val="0"/>
        <w:kinsoku/>
        <w:wordWrap/>
        <w:overflowPunct w:val="0"/>
        <w:topLinePunct w:val="0"/>
        <w:bidi w:val="0"/>
        <w:rPr>
          <w:rFonts w:hint="eastAsia" w:ascii="宋体" w:hAnsi="宋体" w:eastAsia="宋体" w:cs="宋体"/>
          <w:highlight w:val="none"/>
          <w:lang w:eastAsia="zh-CN"/>
        </w:rPr>
      </w:pPr>
    </w:p>
    <w:p w14:paraId="09C001D9">
      <w:pPr>
        <w:pageBreakBefore w:val="0"/>
        <w:kinsoku/>
        <w:wordWrap/>
        <w:overflowPunct w:val="0"/>
        <w:topLinePunct w:val="0"/>
        <w:bidi w:val="0"/>
        <w:rPr>
          <w:rFonts w:hint="eastAsia" w:ascii="宋体" w:hAnsi="宋体" w:eastAsia="宋体" w:cs="宋体"/>
          <w:highlight w:val="none"/>
          <w:lang w:eastAsia="zh-CN"/>
        </w:rPr>
      </w:pPr>
    </w:p>
    <w:p w14:paraId="66E2F695">
      <w:pPr>
        <w:pageBreakBefore w:val="0"/>
        <w:kinsoku/>
        <w:wordWrap/>
        <w:overflowPunct w:val="0"/>
        <w:topLinePunct w:val="0"/>
        <w:bidi w:val="0"/>
        <w:rPr>
          <w:rFonts w:hint="eastAsia" w:ascii="宋体" w:hAnsi="宋体" w:eastAsia="宋体" w:cs="宋体"/>
          <w:highlight w:val="none"/>
          <w:lang w:eastAsia="zh-CN"/>
        </w:rPr>
      </w:pPr>
    </w:p>
    <w:p w14:paraId="57A2A988">
      <w:pPr>
        <w:pageBreakBefore w:val="0"/>
        <w:kinsoku/>
        <w:wordWrap/>
        <w:overflowPunct w:val="0"/>
        <w:topLinePunct w:val="0"/>
        <w:bidi w:val="0"/>
        <w:rPr>
          <w:rFonts w:hint="eastAsia" w:ascii="宋体" w:hAnsi="宋体" w:eastAsia="宋体" w:cs="宋体"/>
          <w:highlight w:val="none"/>
          <w:lang w:eastAsia="zh-CN"/>
        </w:rPr>
      </w:pPr>
    </w:p>
    <w:p w14:paraId="4DF8B422">
      <w:pPr>
        <w:pageBreakBefore w:val="0"/>
        <w:kinsoku/>
        <w:wordWrap/>
        <w:overflowPunct w:val="0"/>
        <w:topLinePunct w:val="0"/>
        <w:bidi w:val="0"/>
        <w:rPr>
          <w:rFonts w:hint="eastAsia" w:ascii="宋体" w:hAnsi="宋体" w:eastAsia="宋体" w:cs="宋体"/>
          <w:highlight w:val="none"/>
          <w:lang w:eastAsia="zh-CN"/>
        </w:rPr>
      </w:pPr>
    </w:p>
    <w:p w14:paraId="10E2B975">
      <w:pPr>
        <w:pageBreakBefore w:val="0"/>
        <w:kinsoku/>
        <w:wordWrap/>
        <w:overflowPunct w:val="0"/>
        <w:topLinePunct w:val="0"/>
        <w:bidi w:val="0"/>
        <w:rPr>
          <w:rFonts w:hint="eastAsia" w:ascii="宋体" w:hAnsi="宋体" w:eastAsia="宋体" w:cs="宋体"/>
          <w:highlight w:val="none"/>
          <w:lang w:eastAsia="zh-CN"/>
        </w:rPr>
      </w:pPr>
    </w:p>
    <w:p w14:paraId="7013C4AC">
      <w:pPr>
        <w:pageBreakBefore w:val="0"/>
        <w:kinsoku/>
        <w:wordWrap/>
        <w:overflowPunct w:val="0"/>
        <w:topLinePunct w:val="0"/>
        <w:bidi w:val="0"/>
        <w:rPr>
          <w:rFonts w:hint="eastAsia" w:ascii="宋体" w:hAnsi="宋体" w:eastAsia="宋体" w:cs="宋体"/>
          <w:highlight w:val="none"/>
          <w:lang w:eastAsia="zh-CN"/>
        </w:rPr>
      </w:pPr>
    </w:p>
    <w:p w14:paraId="698825C8">
      <w:pPr>
        <w:pageBreakBefore w:val="0"/>
        <w:kinsoku/>
        <w:wordWrap/>
        <w:overflowPunct w:val="0"/>
        <w:topLinePunct w:val="0"/>
        <w:bidi w:val="0"/>
        <w:rPr>
          <w:rFonts w:hint="eastAsia" w:ascii="宋体" w:hAnsi="宋体" w:eastAsia="宋体" w:cs="宋体"/>
          <w:highlight w:val="none"/>
          <w:lang w:eastAsia="zh-CN"/>
        </w:rPr>
      </w:pPr>
    </w:p>
    <w:p w14:paraId="49E0C3F0">
      <w:pPr>
        <w:pageBreakBefore w:val="0"/>
        <w:kinsoku/>
        <w:wordWrap/>
        <w:overflowPunct w:val="0"/>
        <w:topLinePunct w:val="0"/>
        <w:bidi w:val="0"/>
        <w:rPr>
          <w:rFonts w:hint="eastAsia" w:ascii="宋体" w:hAnsi="宋体" w:eastAsia="宋体" w:cs="宋体"/>
          <w:highlight w:val="none"/>
          <w:lang w:eastAsia="zh-CN"/>
        </w:rPr>
      </w:pPr>
    </w:p>
    <w:p w14:paraId="37FF93C8">
      <w:pPr>
        <w:pageBreakBefore w:val="0"/>
        <w:kinsoku/>
        <w:wordWrap/>
        <w:overflowPunct w:val="0"/>
        <w:topLinePunct w:val="0"/>
        <w:bidi w:val="0"/>
        <w:rPr>
          <w:rFonts w:hint="eastAsia" w:ascii="宋体" w:hAnsi="宋体" w:eastAsia="宋体" w:cs="宋体"/>
          <w:highlight w:val="none"/>
          <w:lang w:eastAsia="zh-CN"/>
        </w:rPr>
      </w:pPr>
    </w:p>
    <w:p w14:paraId="46A1CD3A">
      <w:pPr>
        <w:pageBreakBefore w:val="0"/>
        <w:kinsoku/>
        <w:wordWrap/>
        <w:overflowPunct w:val="0"/>
        <w:topLinePunct w:val="0"/>
        <w:bidi w:val="0"/>
        <w:rPr>
          <w:rFonts w:hint="eastAsia" w:ascii="宋体" w:hAnsi="宋体" w:eastAsia="宋体" w:cs="宋体"/>
          <w:highlight w:val="none"/>
          <w:lang w:eastAsia="zh-CN"/>
        </w:rPr>
      </w:pPr>
    </w:p>
    <w:p w14:paraId="3AD1ACB3">
      <w:pPr>
        <w:pageBreakBefore w:val="0"/>
        <w:kinsoku/>
        <w:wordWrap/>
        <w:overflowPunct w:val="0"/>
        <w:topLinePunct w:val="0"/>
        <w:bidi w:val="0"/>
        <w:rPr>
          <w:rFonts w:hint="eastAsia" w:ascii="宋体" w:hAnsi="宋体" w:eastAsia="宋体" w:cs="宋体"/>
          <w:highlight w:val="none"/>
          <w:lang w:eastAsia="zh-CN"/>
        </w:rPr>
      </w:pPr>
    </w:p>
    <w:p w14:paraId="695EA737">
      <w:pPr>
        <w:pStyle w:val="2"/>
        <w:tabs>
          <w:tab w:val="left" w:pos="4386"/>
        </w:tabs>
        <w:spacing w:line="460" w:lineRule="exact"/>
        <w:ind w:right="0"/>
        <w:jc w:val="center"/>
        <w:rPr>
          <w:rFonts w:hint="eastAsia" w:ascii="宋体" w:hAnsi="宋体" w:eastAsia="宋体" w:cs="宋体"/>
          <w:b/>
          <w:bCs/>
          <w:spacing w:val="1"/>
          <w:highlight w:val="none"/>
          <w:lang w:eastAsia="zh-CN"/>
        </w:rPr>
      </w:pPr>
      <w:bookmarkStart w:id="1184" w:name="_Toc60582631"/>
      <w:r>
        <w:rPr>
          <w:rFonts w:hint="eastAsia" w:ascii="宋体" w:hAnsi="宋体" w:eastAsia="宋体" w:cs="宋体"/>
          <w:b/>
          <w:bCs/>
          <w:spacing w:val="1"/>
          <w:highlight w:val="none"/>
          <w:lang w:eastAsia="zh-CN"/>
        </w:rPr>
        <w:t>第</w:t>
      </w:r>
      <w:r>
        <w:rPr>
          <w:rFonts w:hint="eastAsia" w:ascii="宋体" w:hAnsi="宋体" w:eastAsia="宋体" w:cs="宋体"/>
          <w:b/>
          <w:bCs/>
          <w:spacing w:val="1"/>
          <w:highlight w:val="none"/>
          <w:lang w:val="en-US" w:eastAsia="zh-CN"/>
        </w:rPr>
        <w:t>七</w:t>
      </w:r>
      <w:r>
        <w:rPr>
          <w:rFonts w:hint="eastAsia" w:ascii="宋体" w:hAnsi="宋体" w:eastAsia="宋体" w:cs="宋体"/>
          <w:b/>
          <w:bCs/>
          <w:spacing w:val="1"/>
          <w:highlight w:val="none"/>
          <w:lang w:eastAsia="zh-CN"/>
        </w:rPr>
        <w:t>章  政府采购供应商质疑函、</w:t>
      </w:r>
      <w:r>
        <w:rPr>
          <w:rFonts w:hint="eastAsia" w:ascii="宋体" w:hAnsi="宋体" w:eastAsia="宋体" w:cs="宋体"/>
          <w:b/>
          <w:bCs/>
          <w:spacing w:val="1"/>
          <w:highlight w:val="none"/>
          <w:lang w:val="en-US" w:eastAsia="zh-CN"/>
        </w:rPr>
        <w:t>投诉书</w:t>
      </w:r>
      <w:r>
        <w:rPr>
          <w:rFonts w:hint="eastAsia" w:ascii="宋体" w:hAnsi="宋体" w:eastAsia="宋体" w:cs="宋体"/>
          <w:b/>
          <w:bCs/>
          <w:spacing w:val="1"/>
          <w:highlight w:val="none"/>
          <w:lang w:eastAsia="zh-CN"/>
        </w:rPr>
        <w:t>范本</w:t>
      </w:r>
      <w:bookmarkEnd w:id="1184"/>
    </w:p>
    <w:p w14:paraId="64F7ECFC">
      <w:pPr>
        <w:jc w:val="center"/>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质疑函范本</w:t>
      </w:r>
    </w:p>
    <w:p w14:paraId="4202C521">
      <w:pPr>
        <w:adjustRightInd w:val="0"/>
        <w:snapToGrid w:val="0"/>
        <w:spacing w:beforeLines="10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一、质疑供应商基本信息</w:t>
      </w:r>
    </w:p>
    <w:p w14:paraId="21877A0C">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5FF12D2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4EFAAB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06978B95">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2E7DEEA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2621977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0C7337D">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二、质疑项目基本情况</w:t>
      </w:r>
    </w:p>
    <w:p w14:paraId="21BEA292">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2A597A0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1D98E3A1">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4E2619C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3E89C26B">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三、质疑事项具体内容</w:t>
      </w:r>
    </w:p>
    <w:p w14:paraId="08D68AA1">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6BA2A4AA">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7C2B6976">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774D7EA3">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041FA3E3">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279EC98A">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35B0FED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49A6C2D">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四、与质疑事项相关的质疑请求</w:t>
      </w:r>
    </w:p>
    <w:p w14:paraId="05C65616">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6106FA3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6454C2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587E5220">
      <w:pPr>
        <w:widowControl w:val="0"/>
        <w:wordWrap/>
        <w:adjustRightInd/>
        <w:snapToGrid w:val="0"/>
        <w:spacing w:line="360" w:lineRule="auto"/>
        <w:textAlignment w:val="auto"/>
        <w:rPr>
          <w:rFonts w:hint="eastAsia" w:ascii="宋体" w:hAnsi="宋体" w:eastAsia="宋体" w:cs="宋体"/>
          <w:b/>
          <w:sz w:val="28"/>
          <w:szCs w:val="32"/>
          <w:highlight w:val="none"/>
        </w:rPr>
      </w:pPr>
    </w:p>
    <w:p w14:paraId="55609874">
      <w:pPr>
        <w:widowControl w:val="0"/>
        <w:wordWrap/>
        <w:adjustRightInd/>
        <w:snapToGrid w:val="0"/>
        <w:spacing w:line="360" w:lineRule="auto"/>
        <w:textAlignment w:val="auto"/>
        <w:rPr>
          <w:rFonts w:hint="eastAsia" w:ascii="宋体" w:hAnsi="宋体" w:eastAsia="宋体" w:cs="宋体"/>
          <w:b/>
          <w:sz w:val="28"/>
          <w:szCs w:val="32"/>
          <w:highlight w:val="none"/>
        </w:rPr>
      </w:pPr>
    </w:p>
    <w:p w14:paraId="49740B83">
      <w:pPr>
        <w:widowControl w:val="0"/>
        <w:wordWrap/>
        <w:adjustRightInd/>
        <w:snapToGrid w:val="0"/>
        <w:spacing w:line="360" w:lineRule="auto"/>
        <w:textAlignment w:val="auto"/>
        <w:rPr>
          <w:rFonts w:hint="eastAsia" w:ascii="宋体" w:hAnsi="宋体" w:eastAsia="宋体" w:cs="宋体"/>
          <w:b/>
          <w:sz w:val="28"/>
          <w:szCs w:val="32"/>
          <w:highlight w:val="none"/>
        </w:rPr>
      </w:pPr>
    </w:p>
    <w:p w14:paraId="05ED1F0D">
      <w:pPr>
        <w:widowControl w:val="0"/>
        <w:wordWrap/>
        <w:adjustRightInd/>
        <w:snapToGrid w:val="0"/>
        <w:spacing w:line="360" w:lineRule="auto"/>
        <w:textAlignment w:val="auto"/>
        <w:rPr>
          <w:rFonts w:hint="eastAsia" w:ascii="宋体" w:hAnsi="宋体" w:eastAsia="宋体" w:cs="宋体"/>
          <w:b/>
          <w:sz w:val="28"/>
          <w:szCs w:val="32"/>
          <w:highlight w:val="none"/>
        </w:rPr>
      </w:pPr>
    </w:p>
    <w:p w14:paraId="764500C9">
      <w:pPr>
        <w:widowControl w:val="0"/>
        <w:wordWrap/>
        <w:adjustRightInd/>
        <w:snapToGrid w:val="0"/>
        <w:spacing w:line="360" w:lineRule="auto"/>
        <w:textAlignment w:val="auto"/>
        <w:rPr>
          <w:rFonts w:hint="eastAsia" w:ascii="宋体" w:hAnsi="宋体" w:eastAsia="宋体" w:cs="宋体"/>
          <w:b/>
          <w:sz w:val="28"/>
          <w:szCs w:val="32"/>
          <w:highlight w:val="none"/>
        </w:rPr>
      </w:pPr>
      <w:r>
        <w:rPr>
          <w:rFonts w:hint="eastAsia" w:ascii="宋体" w:hAnsi="宋体" w:eastAsia="宋体" w:cs="宋体"/>
          <w:b/>
          <w:sz w:val="28"/>
          <w:szCs w:val="32"/>
          <w:highlight w:val="none"/>
        </w:rPr>
        <w:t>质疑函制作说明：</w:t>
      </w:r>
    </w:p>
    <w:p w14:paraId="65B759BA">
      <w:pPr>
        <w:widowControl w:val="0"/>
        <w:wordWrap/>
        <w:adjustRightInd/>
        <w:snapToGrid w:val="0"/>
        <w:spacing w:line="360" w:lineRule="auto"/>
        <w:ind w:firstLine="435"/>
        <w:textAlignment w:val="auto"/>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5ACB7B95">
      <w:pPr>
        <w:widowControl w:val="0"/>
        <w:wordWrap/>
        <w:adjustRightInd/>
        <w:snapToGrid w:val="0"/>
        <w:spacing w:line="360" w:lineRule="auto"/>
        <w:ind w:firstLine="435"/>
        <w:textAlignment w:val="auto"/>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88C882">
      <w:pPr>
        <w:widowControl w:val="0"/>
        <w:wordWrap/>
        <w:adjustRightInd/>
        <w:snapToGrid w:val="0"/>
        <w:spacing w:line="360" w:lineRule="auto"/>
        <w:ind w:firstLine="435"/>
        <w:textAlignment w:val="auto"/>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310E5630">
      <w:pPr>
        <w:widowControl w:val="0"/>
        <w:wordWrap/>
        <w:adjustRightInd/>
        <w:snapToGrid w:val="0"/>
        <w:spacing w:line="360" w:lineRule="auto"/>
        <w:ind w:firstLine="435"/>
        <w:textAlignment w:val="auto"/>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7455E969">
      <w:pPr>
        <w:widowControl w:val="0"/>
        <w:wordWrap/>
        <w:adjustRightInd/>
        <w:snapToGrid w:val="0"/>
        <w:spacing w:line="360" w:lineRule="auto"/>
        <w:ind w:firstLine="435"/>
        <w:textAlignment w:val="auto"/>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58B2BDFD">
      <w:pPr>
        <w:widowControl w:val="0"/>
        <w:wordWrap/>
        <w:adjustRightInd/>
        <w:snapToGrid w:val="0"/>
        <w:spacing w:line="360" w:lineRule="auto"/>
        <w:ind w:firstLine="435"/>
        <w:textAlignment w:val="auto"/>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028B1590">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62330C1D">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6B3F0A32">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4A65D05A">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185CE05F">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6EE16CA1">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7BF31B7B">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5C39FD7B">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779A4012">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4E6A9490">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093EF06B">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119AB4BF">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lang w:val="en-US" w:eastAsia="zh-CN"/>
        </w:rPr>
      </w:pPr>
    </w:p>
    <w:p w14:paraId="740EB729">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highlight w:val="none"/>
        </w:rPr>
      </w:pPr>
      <w:r>
        <w:rPr>
          <w:rFonts w:hint="eastAsia" w:ascii="宋体" w:hAnsi="宋体" w:eastAsia="宋体" w:cs="宋体"/>
          <w:b/>
          <w:bCs w:val="0"/>
          <w:spacing w:val="6"/>
          <w:kern w:val="2"/>
          <w:sz w:val="32"/>
          <w:szCs w:val="32"/>
          <w:highlight w:val="none"/>
          <w:lang w:val="en-US" w:eastAsia="zh-CN"/>
        </w:rPr>
        <w:t>投诉书范本</w:t>
      </w:r>
    </w:p>
    <w:p w14:paraId="363351E9">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一、投诉相关主体基本情况</w:t>
      </w:r>
    </w:p>
    <w:p w14:paraId="1B641C54">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lang w:val="en-US" w:eastAsia="zh-CN"/>
        </w:rPr>
        <w:t>投诉人：</w:t>
      </w:r>
      <w:r>
        <w:rPr>
          <w:rFonts w:hint="eastAsia" w:ascii="宋体" w:hAnsi="宋体" w:eastAsia="宋体" w:cs="宋体"/>
          <w:kern w:val="2"/>
          <w:sz w:val="24"/>
          <w:szCs w:val="24"/>
          <w:highlight w:val="none"/>
          <w:u w:val="dotted"/>
          <w:lang w:val="en-US" w:eastAsia="zh-CN"/>
        </w:rPr>
        <w:t xml:space="preserve">                                               </w:t>
      </w:r>
    </w:p>
    <w:p w14:paraId="6DB3029E">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地     址：</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邮编：</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u w:val="single"/>
          <w:lang w:val="en-US" w:eastAsia="zh-CN"/>
        </w:rPr>
        <w:t xml:space="preserve">   </w:t>
      </w:r>
    </w:p>
    <w:p w14:paraId="5A9E56CF">
      <w:pPr>
        <w:widowControl w:val="0"/>
        <w:adjustRightInd w:val="0"/>
        <w:spacing w:before="0" w:beforeAutospacing="0" w:after="0" w:afterAutospacing="0" w:line="360" w:lineRule="auto"/>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法定代表人/主要负责人：</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 xml:space="preserve">  </w:t>
      </w:r>
    </w:p>
    <w:p w14:paraId="6B2C5B79">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lang w:val="en-US" w:eastAsia="zh-CN"/>
        </w:rPr>
        <w:t>联系电话：</w:t>
      </w:r>
      <w:r>
        <w:rPr>
          <w:rFonts w:hint="eastAsia" w:ascii="宋体" w:hAnsi="宋体" w:eastAsia="宋体" w:cs="宋体"/>
          <w:kern w:val="2"/>
          <w:sz w:val="24"/>
          <w:szCs w:val="24"/>
          <w:highlight w:val="none"/>
          <w:u w:val="dotted"/>
          <w:lang w:val="en-US" w:eastAsia="zh-CN"/>
        </w:rPr>
        <w:t xml:space="preserve">                                             </w:t>
      </w:r>
    </w:p>
    <w:p w14:paraId="4D69D35A">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lang w:val="en-US" w:eastAsia="zh-CN"/>
        </w:rPr>
        <w:t>授权代表：</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联系电话</w:t>
      </w:r>
      <w:r>
        <w:rPr>
          <w:rFonts w:hint="eastAsia" w:ascii="宋体" w:hAnsi="宋体" w:eastAsia="宋体" w:cs="宋体"/>
          <w:kern w:val="2"/>
          <w:sz w:val="24"/>
          <w:szCs w:val="24"/>
          <w:highlight w:val="none"/>
          <w:u w:val="dotted"/>
          <w:lang w:val="en-US" w:eastAsia="zh-CN"/>
        </w:rPr>
        <w:t xml:space="preserve">：                  </w:t>
      </w:r>
    </w:p>
    <w:p w14:paraId="333799CB">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lang w:val="en-US" w:eastAsia="zh-CN"/>
        </w:rPr>
        <w:t>地     址：</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邮编：</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dotted"/>
          <w:lang w:val="en-US" w:eastAsia="zh-CN"/>
        </w:rPr>
        <w:t xml:space="preserve">                   </w:t>
      </w:r>
    </w:p>
    <w:p w14:paraId="772C53C3">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被投诉人1：</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u w:val="single"/>
          <w:lang w:val="en-US" w:eastAsia="zh-CN"/>
        </w:rPr>
        <w:t xml:space="preserve">  </w:t>
      </w:r>
    </w:p>
    <w:p w14:paraId="579F2443">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地     址：</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邮编：</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u w:val="single"/>
          <w:lang w:val="en-US" w:eastAsia="zh-CN"/>
        </w:rPr>
        <w:t xml:space="preserve"> </w:t>
      </w:r>
    </w:p>
    <w:p w14:paraId="10288CE1">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联系人：</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联系电话：</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u w:val="single"/>
          <w:lang w:val="en-US" w:eastAsia="zh-CN"/>
        </w:rPr>
        <w:t xml:space="preserve"> </w:t>
      </w:r>
    </w:p>
    <w:p w14:paraId="47795B99">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被投诉人2</w:t>
      </w:r>
    </w:p>
    <w:p w14:paraId="2C380F8D">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lang w:val="en-US" w:eastAsia="zh-CN"/>
        </w:rPr>
        <w:t>……</w:t>
      </w:r>
    </w:p>
    <w:p w14:paraId="1AD4EBCF">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相关供应商：</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u w:val="single"/>
          <w:lang w:val="en-US" w:eastAsia="zh-CN"/>
        </w:rPr>
        <w:t xml:space="preserve">    </w:t>
      </w:r>
    </w:p>
    <w:p w14:paraId="74B2FE00">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地     址：</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邮编：</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u w:val="single"/>
          <w:lang w:val="en-US" w:eastAsia="zh-CN"/>
        </w:rPr>
        <w:t xml:space="preserve"> </w:t>
      </w:r>
    </w:p>
    <w:p w14:paraId="5C625772">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联系人：</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联系电话：</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u w:val="single"/>
          <w:lang w:val="en-US" w:eastAsia="zh-CN"/>
        </w:rPr>
        <w:t xml:space="preserve">      </w:t>
      </w:r>
    </w:p>
    <w:p w14:paraId="17BE417E">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二、投诉项目基本情况</w:t>
      </w:r>
    </w:p>
    <w:p w14:paraId="262E6C7F">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lang w:val="en-US" w:eastAsia="zh-CN"/>
        </w:rPr>
        <w:t>采购项目名称：</w:t>
      </w:r>
      <w:r>
        <w:rPr>
          <w:rFonts w:hint="eastAsia" w:ascii="宋体" w:hAnsi="宋体" w:eastAsia="宋体" w:cs="宋体"/>
          <w:kern w:val="2"/>
          <w:sz w:val="24"/>
          <w:szCs w:val="24"/>
          <w:highlight w:val="none"/>
          <w:u w:val="dotted"/>
          <w:lang w:val="en-US" w:eastAsia="zh-CN"/>
        </w:rPr>
        <w:t xml:space="preserve">                                        </w:t>
      </w:r>
    </w:p>
    <w:p w14:paraId="3E9BB011">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采购项目编号：</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包号：</w:t>
      </w:r>
      <w:r>
        <w:rPr>
          <w:rFonts w:hint="eastAsia" w:ascii="宋体" w:hAnsi="宋体" w:eastAsia="宋体" w:cs="宋体"/>
          <w:kern w:val="2"/>
          <w:sz w:val="24"/>
          <w:szCs w:val="24"/>
          <w:highlight w:val="none"/>
          <w:u w:val="dotted"/>
          <w:lang w:val="en-US" w:eastAsia="zh-CN"/>
        </w:rPr>
        <w:t xml:space="preserve">              </w:t>
      </w:r>
    </w:p>
    <w:p w14:paraId="168B2B80">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采购人名称：</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u w:val="single"/>
          <w:lang w:val="en-US" w:eastAsia="zh-CN"/>
        </w:rPr>
        <w:t xml:space="preserve">  </w:t>
      </w:r>
    </w:p>
    <w:p w14:paraId="15992DDE">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代理机构名称：</w:t>
      </w:r>
      <w:r>
        <w:rPr>
          <w:rFonts w:hint="eastAsia" w:ascii="宋体" w:hAnsi="宋体" w:eastAsia="宋体" w:cs="宋体"/>
          <w:kern w:val="2"/>
          <w:sz w:val="24"/>
          <w:szCs w:val="24"/>
          <w:highlight w:val="none"/>
          <w:u w:val="dotted"/>
          <w:lang w:val="en-US" w:eastAsia="zh-CN"/>
        </w:rPr>
        <w:t xml:space="preserve">                                         </w:t>
      </w:r>
    </w:p>
    <w:p w14:paraId="00213E20">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lang w:val="en-US" w:eastAsia="zh-CN"/>
        </w:rPr>
        <w:t>采购文件公告:</w:t>
      </w:r>
      <w:r>
        <w:rPr>
          <w:rFonts w:hint="eastAsia" w:ascii="宋体" w:hAnsi="宋体" w:eastAsia="宋体" w:cs="宋体"/>
          <w:kern w:val="2"/>
          <w:sz w:val="24"/>
          <w:szCs w:val="24"/>
          <w:highlight w:val="none"/>
          <w:u w:val="dotted"/>
          <w:lang w:val="en-US" w:eastAsia="zh-CN"/>
        </w:rPr>
        <w:t xml:space="preserve">是/否 </w:t>
      </w:r>
      <w:r>
        <w:rPr>
          <w:rFonts w:hint="eastAsia" w:ascii="宋体" w:hAnsi="宋体" w:eastAsia="宋体" w:cs="宋体"/>
          <w:kern w:val="2"/>
          <w:sz w:val="24"/>
          <w:szCs w:val="24"/>
          <w:highlight w:val="none"/>
          <w:lang w:val="en-US" w:eastAsia="zh-CN"/>
        </w:rPr>
        <w:t>公告期限：</w:t>
      </w:r>
      <w:r>
        <w:rPr>
          <w:rFonts w:hint="eastAsia" w:ascii="宋体" w:hAnsi="宋体" w:eastAsia="宋体" w:cs="宋体"/>
          <w:kern w:val="2"/>
          <w:sz w:val="24"/>
          <w:szCs w:val="24"/>
          <w:highlight w:val="none"/>
          <w:u w:val="dotted"/>
          <w:lang w:val="en-US" w:eastAsia="zh-CN"/>
        </w:rPr>
        <w:t xml:space="preserve">                                 </w:t>
      </w:r>
    </w:p>
    <w:p w14:paraId="3F07E3E0">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采购结果公告:</w:t>
      </w:r>
      <w:r>
        <w:rPr>
          <w:rFonts w:hint="eastAsia" w:ascii="宋体" w:hAnsi="宋体" w:eastAsia="宋体" w:cs="宋体"/>
          <w:kern w:val="2"/>
          <w:sz w:val="24"/>
          <w:szCs w:val="24"/>
          <w:highlight w:val="none"/>
          <w:u w:val="dotted"/>
          <w:lang w:val="en-US" w:eastAsia="zh-CN"/>
        </w:rPr>
        <w:t xml:space="preserve">是/否 </w:t>
      </w:r>
      <w:r>
        <w:rPr>
          <w:rFonts w:hint="eastAsia" w:ascii="宋体" w:hAnsi="宋体" w:eastAsia="宋体" w:cs="宋体"/>
          <w:kern w:val="2"/>
          <w:sz w:val="24"/>
          <w:szCs w:val="24"/>
          <w:highlight w:val="none"/>
          <w:lang w:val="en-US" w:eastAsia="zh-CN"/>
        </w:rPr>
        <w:t>公告期限：</w:t>
      </w:r>
      <w:r>
        <w:rPr>
          <w:rFonts w:hint="eastAsia" w:ascii="宋体" w:hAnsi="宋体" w:eastAsia="宋体" w:cs="宋体"/>
          <w:kern w:val="2"/>
          <w:sz w:val="24"/>
          <w:szCs w:val="24"/>
          <w:highlight w:val="none"/>
          <w:u w:val="dotted"/>
          <w:lang w:val="en-US" w:eastAsia="zh-CN"/>
        </w:rPr>
        <w:t xml:space="preserve">                        </w:t>
      </w:r>
    </w:p>
    <w:p w14:paraId="2E567119">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三、质疑基本情况</w:t>
      </w:r>
    </w:p>
    <w:p w14:paraId="7FCE7E7E">
      <w:pPr>
        <w:widowControl w:val="0"/>
        <w:adjustRightIn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lang w:val="en-US" w:eastAsia="zh-CN"/>
        </w:rPr>
        <w:t>投诉人于</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年</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月</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日,向</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提出质疑，质疑事项为：</w:t>
      </w:r>
      <w:r>
        <w:rPr>
          <w:rFonts w:hint="eastAsia" w:ascii="宋体" w:hAnsi="宋体" w:eastAsia="宋体" w:cs="宋体"/>
          <w:kern w:val="2"/>
          <w:sz w:val="24"/>
          <w:szCs w:val="24"/>
          <w:highlight w:val="none"/>
          <w:u w:val="dotted"/>
          <w:lang w:val="en-US" w:eastAsia="zh-CN"/>
        </w:rPr>
        <w:t xml:space="preserve">                                </w:t>
      </w:r>
    </w:p>
    <w:p w14:paraId="0E823CC1">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 xml:space="preserve">  </w:t>
      </w:r>
    </w:p>
    <w:p w14:paraId="465176CF">
      <w:pPr>
        <w:widowControl w:val="0"/>
        <w:adjustRightInd w:val="0"/>
        <w:spacing w:before="0" w:beforeAutospacing="0" w:after="0" w:afterAutospacing="0" w:line="360" w:lineRule="auto"/>
        <w:ind w:left="0" w:right="0" w:firstLine="360" w:firstLineChars="1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dotted"/>
          <w:lang w:val="en-US" w:eastAsia="zh-CN"/>
        </w:rPr>
        <w:t>采购人/代理机构</w:t>
      </w:r>
      <w:r>
        <w:rPr>
          <w:rFonts w:hint="eastAsia" w:ascii="宋体" w:hAnsi="宋体" w:eastAsia="宋体" w:cs="宋体"/>
          <w:kern w:val="2"/>
          <w:sz w:val="24"/>
          <w:szCs w:val="24"/>
          <w:highlight w:val="none"/>
          <w:lang w:val="en-US" w:eastAsia="zh-CN"/>
        </w:rPr>
        <w:t>于</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年</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月</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日,就质疑事项作出了答复/没有在法定期限内作出答复。</w:t>
      </w:r>
    </w:p>
    <w:p w14:paraId="64511E4C">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四、投诉事项具体内容</w:t>
      </w:r>
    </w:p>
    <w:p w14:paraId="189B1D2E">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投诉事项 1：</w:t>
      </w:r>
      <w:r>
        <w:rPr>
          <w:rFonts w:hint="eastAsia" w:ascii="宋体" w:hAnsi="宋体" w:eastAsia="宋体" w:cs="宋体"/>
          <w:kern w:val="2"/>
          <w:sz w:val="24"/>
          <w:szCs w:val="24"/>
          <w:highlight w:val="none"/>
          <w:u w:val="dotted"/>
          <w:lang w:val="en-US" w:eastAsia="zh-CN"/>
        </w:rPr>
        <w:t xml:space="preserve">                                       </w:t>
      </w:r>
    </w:p>
    <w:p w14:paraId="3A424BB5">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事实依据：</w:t>
      </w:r>
      <w:r>
        <w:rPr>
          <w:rFonts w:hint="eastAsia" w:ascii="宋体" w:hAnsi="宋体" w:eastAsia="宋体" w:cs="宋体"/>
          <w:kern w:val="2"/>
          <w:sz w:val="24"/>
          <w:szCs w:val="24"/>
          <w:highlight w:val="none"/>
          <w:u w:val="dotted"/>
          <w:lang w:val="en-US" w:eastAsia="zh-CN"/>
        </w:rPr>
        <w:t xml:space="preserve">                                         </w:t>
      </w:r>
    </w:p>
    <w:p w14:paraId="197B557B">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u w:val="dotted"/>
          <w:lang w:val="en-US" w:eastAsia="zh-CN"/>
        </w:rPr>
        <w:t xml:space="preserve">                                                      </w:t>
      </w:r>
    </w:p>
    <w:p w14:paraId="20F91292">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法律依据：</w:t>
      </w:r>
      <w:r>
        <w:rPr>
          <w:rFonts w:hint="eastAsia" w:ascii="宋体" w:hAnsi="宋体" w:eastAsia="宋体" w:cs="宋体"/>
          <w:kern w:val="2"/>
          <w:sz w:val="24"/>
          <w:szCs w:val="24"/>
          <w:highlight w:val="none"/>
          <w:u w:val="dotted"/>
          <w:lang w:val="en-US" w:eastAsia="zh-CN"/>
        </w:rPr>
        <w:t xml:space="preserve">                                          </w:t>
      </w:r>
    </w:p>
    <w:p w14:paraId="431F4AD2">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u w:val="dotted"/>
          <w:lang w:val="en-US" w:eastAsia="zh-CN"/>
        </w:rPr>
        <w:t xml:space="preserve">                                                      </w:t>
      </w:r>
    </w:p>
    <w:p w14:paraId="43195AD2">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投诉事项2</w:t>
      </w:r>
    </w:p>
    <w:p w14:paraId="3E8EDF6E">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dotted"/>
        </w:rPr>
      </w:pPr>
      <w:r>
        <w:rPr>
          <w:rFonts w:hint="eastAsia" w:ascii="宋体" w:hAnsi="宋体" w:eastAsia="宋体" w:cs="宋体"/>
          <w:kern w:val="2"/>
          <w:sz w:val="24"/>
          <w:szCs w:val="24"/>
          <w:highlight w:val="none"/>
          <w:lang w:val="en-US" w:eastAsia="zh-CN"/>
        </w:rPr>
        <w:t>……</w:t>
      </w:r>
    </w:p>
    <w:p w14:paraId="37946D83">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五、与投诉事项相关的投诉请求</w:t>
      </w:r>
    </w:p>
    <w:p w14:paraId="31BAB8A4">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请求：</w:t>
      </w:r>
      <w:r>
        <w:rPr>
          <w:rFonts w:hint="eastAsia" w:ascii="宋体" w:hAnsi="宋体" w:eastAsia="宋体" w:cs="宋体"/>
          <w:kern w:val="2"/>
          <w:sz w:val="24"/>
          <w:szCs w:val="24"/>
          <w:highlight w:val="none"/>
          <w:u w:val="dotted"/>
          <w:lang w:val="en-US" w:eastAsia="zh-CN"/>
        </w:rPr>
        <w:t xml:space="preserve">                                              </w:t>
      </w:r>
      <w:r>
        <w:rPr>
          <w:rFonts w:hint="eastAsia" w:ascii="宋体" w:hAnsi="宋体" w:eastAsia="宋体" w:cs="宋体"/>
          <w:kern w:val="2"/>
          <w:sz w:val="24"/>
          <w:szCs w:val="24"/>
          <w:highlight w:val="none"/>
          <w:lang w:val="en-US" w:eastAsia="zh-CN"/>
        </w:rPr>
        <w:t xml:space="preserve"> </w:t>
      </w:r>
    </w:p>
    <w:p w14:paraId="27D4DD13">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rPr>
        <w:t xml:space="preserve">                                                                                                    </w:t>
      </w:r>
    </w:p>
    <w:p w14:paraId="1A0E2B30">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 xml:space="preserve">签字(签章)：                   公章：                      </w:t>
      </w:r>
    </w:p>
    <w:p w14:paraId="7DC05AD5">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 xml:space="preserve">日期：    </w:t>
      </w:r>
    </w:p>
    <w:p w14:paraId="0878711F">
      <w:pPr>
        <w:widowControl w:val="0"/>
        <w:adjustRightInd w:val="0"/>
        <w:spacing w:before="0" w:beforeAutospacing="0" w:after="0" w:afterAutospacing="0" w:line="360" w:lineRule="auto"/>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rPr>
        <w:t xml:space="preserve"> </w:t>
      </w:r>
    </w:p>
    <w:p w14:paraId="7888824A">
      <w:pPr>
        <w:widowControl w:val="0"/>
        <w:adjustRightInd w:val="0"/>
        <w:spacing w:before="0" w:beforeAutospacing="0" w:after="0" w:afterAutospacing="0" w:line="360" w:lineRule="auto"/>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rPr>
        <w:t xml:space="preserve"> </w:t>
      </w:r>
    </w:p>
    <w:p w14:paraId="5421C44F">
      <w:pPr>
        <w:widowControl w:val="0"/>
        <w:adjustRightInd w:val="0"/>
        <w:spacing w:before="0" w:beforeAutospacing="0" w:after="0" w:afterAutospacing="0" w:line="360" w:lineRule="auto"/>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rPr>
        <w:t>投诉书制作说明：</w:t>
      </w:r>
    </w:p>
    <w:p w14:paraId="2EF9D966">
      <w:pPr>
        <w:widowControl/>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rPr>
        <w:t>1.投诉人提起投诉时，应当提交投诉书和必要的证明材料，并按照被投诉人和与投诉事项有关的供应商数量提供投诉书副本。</w:t>
      </w:r>
    </w:p>
    <w:p w14:paraId="78649802">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rPr>
        <w:t>2.投诉人若委托代理人进行投诉的，投诉书应按照要求列明“授权代表”的有关内容，并在附件中提交由</w:t>
      </w:r>
      <w:r>
        <w:rPr>
          <w:rFonts w:hint="eastAsia" w:ascii="宋体" w:hAnsi="宋体" w:eastAsia="宋体" w:cs="宋体"/>
          <w:kern w:val="0"/>
          <w:sz w:val="24"/>
          <w:szCs w:val="24"/>
          <w:highlight w:val="none"/>
          <w:lang w:val="en-US" w:eastAsia="zh-CN"/>
        </w:rPr>
        <w:t>投诉人签署的授权委托书。授权委托书应当载明代理人的姓名或者名称、代理事项、具体权限、期限和相关事项。</w:t>
      </w:r>
    </w:p>
    <w:p w14:paraId="511C0687">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3.投诉人若对项目的某一分包进行投诉，投诉书应列明具体分包号。</w:t>
      </w:r>
    </w:p>
    <w:p w14:paraId="4A219FD5">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4.投诉书应简要列明质疑事项，质疑函、质疑答复等作为附件材料提供。</w:t>
      </w:r>
    </w:p>
    <w:p w14:paraId="1A15FE48">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5.投诉书的投诉事项应具体、明确，并有必要的事实依据和法律依据。</w:t>
      </w:r>
    </w:p>
    <w:p w14:paraId="04B22237">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6.投诉书的投诉请求应与投诉事项相关。</w:t>
      </w:r>
    </w:p>
    <w:p w14:paraId="7B17C50D">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rPr>
        <w:t>7.投诉人为自然人的，投诉书应当由本人签字；投诉人为法人或者其他组织的，投诉书应当由法定代表人、主要负责人，或者其授权代表签字或者盖章，并加盖公章。</w:t>
      </w:r>
    </w:p>
    <w:p w14:paraId="01013AA6">
      <w:pPr>
        <w:pageBreakBefore w:val="0"/>
        <w:kinsoku/>
        <w:wordWrap/>
        <w:overflowPunct w:val="0"/>
        <w:topLinePunct w:val="0"/>
        <w:bidi w:val="0"/>
        <w:ind w:firstLine="420" w:firstLineChars="200"/>
        <w:rPr>
          <w:rFonts w:hint="eastAsia" w:ascii="宋体" w:hAnsi="宋体" w:eastAsia="宋体" w:cs="宋体"/>
          <w:highlight w:val="none"/>
          <w:lang w:eastAsia="zh-CN"/>
        </w:rPr>
      </w:pPr>
    </w:p>
    <w:sectPr>
      <w:footerReference r:id="rId6" w:type="default"/>
      <w:pgSz w:w="11907" w:h="16839"/>
      <w:pgMar w:top="1440" w:right="1800" w:bottom="1440" w:left="1800" w:header="0" w:footer="8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F13D">
    <w:pPr>
      <w:pStyle w:val="8"/>
      <w:spacing w:line="228" w:lineRule="auto"/>
      <w:ind w:left="4026"/>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CC0C1D">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14:paraId="6CCC0C1D">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D988C">
    <w:pPr>
      <w:pStyle w:val="8"/>
      <w:spacing w:line="228" w:lineRule="auto"/>
      <w:ind w:left="4238"/>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69FB79">
                          <w:pPr>
                            <w:pStyle w:val="1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14:paraId="6C69FB79">
                    <w:pPr>
                      <w:pStyle w:val="1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AFCAE9E">
      <w:pPr>
        <w:bidi w:val="0"/>
        <w:rPr>
          <w:u w:val="none"/>
        </w:rPr>
      </w:pPr>
    </w:p>
  </w:footnote>
  <w:footnote w:id="1">
    <w:p w14:paraId="7F801A63">
      <w:pPr>
        <w:pStyle w:val="17"/>
        <w:rPr>
          <w:i/>
          <w:i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B96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AF20C"/>
    <w:multiLevelType w:val="singleLevel"/>
    <w:tmpl w:val="B63AF20C"/>
    <w:lvl w:ilvl="0" w:tentative="0">
      <w:start w:val="7"/>
      <w:numFmt w:val="decimal"/>
      <w:suff w:val="space"/>
      <w:lvlText w:val="%1."/>
      <w:lvlJc w:val="left"/>
    </w:lvl>
  </w:abstractNum>
  <w:abstractNum w:abstractNumId="1">
    <w:nsid w:val="C37AECF5"/>
    <w:multiLevelType w:val="singleLevel"/>
    <w:tmpl w:val="C37AECF5"/>
    <w:lvl w:ilvl="0" w:tentative="0">
      <w:start w:val="2"/>
      <w:numFmt w:val="decimal"/>
      <w:suff w:val="space"/>
      <w:lvlText w:val="%1."/>
      <w:lvlJc w:val="left"/>
    </w:lvl>
  </w:abstractNum>
  <w:abstractNum w:abstractNumId="2">
    <w:nsid w:val="D59201F4"/>
    <w:multiLevelType w:val="singleLevel"/>
    <w:tmpl w:val="D59201F4"/>
    <w:lvl w:ilvl="0" w:tentative="0">
      <w:start w:val="1"/>
      <w:numFmt w:val="decimal"/>
      <w:lvlText w:val="%1"/>
      <w:lvlJc w:val="left"/>
      <w:pPr>
        <w:tabs>
          <w:tab w:val="left" w:pos="420"/>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4"/>
    <w:footnote w:id="5"/>
  </w:foot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B78A8"/>
    <w:rsid w:val="001750DB"/>
    <w:rsid w:val="001D3449"/>
    <w:rsid w:val="003577A2"/>
    <w:rsid w:val="003B78A8"/>
    <w:rsid w:val="005574FC"/>
    <w:rsid w:val="008E1A8D"/>
    <w:rsid w:val="009F3BE2"/>
    <w:rsid w:val="00B159E5"/>
    <w:rsid w:val="010F7FF3"/>
    <w:rsid w:val="013E4434"/>
    <w:rsid w:val="019B5363"/>
    <w:rsid w:val="01A56691"/>
    <w:rsid w:val="01A73D87"/>
    <w:rsid w:val="02661E94"/>
    <w:rsid w:val="033312BB"/>
    <w:rsid w:val="03892081"/>
    <w:rsid w:val="03D4175B"/>
    <w:rsid w:val="0424260B"/>
    <w:rsid w:val="044E103A"/>
    <w:rsid w:val="04D161FE"/>
    <w:rsid w:val="04DD3F64"/>
    <w:rsid w:val="056D353A"/>
    <w:rsid w:val="057E3D02"/>
    <w:rsid w:val="05CF13A4"/>
    <w:rsid w:val="05D11D1B"/>
    <w:rsid w:val="05E90C9E"/>
    <w:rsid w:val="061547AF"/>
    <w:rsid w:val="063F7597"/>
    <w:rsid w:val="06AE3E0A"/>
    <w:rsid w:val="06B770B2"/>
    <w:rsid w:val="06BB2083"/>
    <w:rsid w:val="06FE7E39"/>
    <w:rsid w:val="0755401B"/>
    <w:rsid w:val="077E37DC"/>
    <w:rsid w:val="07FC382B"/>
    <w:rsid w:val="09731E92"/>
    <w:rsid w:val="09D27E0F"/>
    <w:rsid w:val="09D92CC0"/>
    <w:rsid w:val="09DC3DCE"/>
    <w:rsid w:val="09E35B01"/>
    <w:rsid w:val="09FB7BA1"/>
    <w:rsid w:val="0A2B4E9B"/>
    <w:rsid w:val="0A890A4A"/>
    <w:rsid w:val="0A8F06F4"/>
    <w:rsid w:val="0ABC1124"/>
    <w:rsid w:val="0ABF65E6"/>
    <w:rsid w:val="0AE24082"/>
    <w:rsid w:val="0AFE344A"/>
    <w:rsid w:val="0B060B07"/>
    <w:rsid w:val="0B360004"/>
    <w:rsid w:val="0B386398"/>
    <w:rsid w:val="0BB05F2E"/>
    <w:rsid w:val="0C1E558E"/>
    <w:rsid w:val="0C230DF6"/>
    <w:rsid w:val="0C360E8F"/>
    <w:rsid w:val="0C472848"/>
    <w:rsid w:val="0C492978"/>
    <w:rsid w:val="0C6B00FB"/>
    <w:rsid w:val="0C8A2C23"/>
    <w:rsid w:val="0CA75583"/>
    <w:rsid w:val="0CF462EF"/>
    <w:rsid w:val="0D466B4A"/>
    <w:rsid w:val="0DCE553E"/>
    <w:rsid w:val="0E20163B"/>
    <w:rsid w:val="0E286250"/>
    <w:rsid w:val="0E4A266A"/>
    <w:rsid w:val="0E845E38"/>
    <w:rsid w:val="0E9744DF"/>
    <w:rsid w:val="0F5372FC"/>
    <w:rsid w:val="0FD02FAA"/>
    <w:rsid w:val="100827DD"/>
    <w:rsid w:val="1031756B"/>
    <w:rsid w:val="10470C03"/>
    <w:rsid w:val="10E85BA5"/>
    <w:rsid w:val="112C00C5"/>
    <w:rsid w:val="11531836"/>
    <w:rsid w:val="11B12A00"/>
    <w:rsid w:val="123A0C48"/>
    <w:rsid w:val="12817084"/>
    <w:rsid w:val="12B652F8"/>
    <w:rsid w:val="12ED1816"/>
    <w:rsid w:val="144878C2"/>
    <w:rsid w:val="14B7657F"/>
    <w:rsid w:val="14FB46BE"/>
    <w:rsid w:val="150A2B53"/>
    <w:rsid w:val="151D2886"/>
    <w:rsid w:val="15294DB6"/>
    <w:rsid w:val="152C1B48"/>
    <w:rsid w:val="153B40D2"/>
    <w:rsid w:val="15520056"/>
    <w:rsid w:val="15B92EB0"/>
    <w:rsid w:val="15CE1DD3"/>
    <w:rsid w:val="15F37E48"/>
    <w:rsid w:val="161D68B6"/>
    <w:rsid w:val="163C4F8E"/>
    <w:rsid w:val="169F471C"/>
    <w:rsid w:val="16D17208"/>
    <w:rsid w:val="17934741"/>
    <w:rsid w:val="17AC79FA"/>
    <w:rsid w:val="17B31280"/>
    <w:rsid w:val="17BE5517"/>
    <w:rsid w:val="17E607E2"/>
    <w:rsid w:val="18306958"/>
    <w:rsid w:val="1844478B"/>
    <w:rsid w:val="18516C7A"/>
    <w:rsid w:val="1853036D"/>
    <w:rsid w:val="185F4F64"/>
    <w:rsid w:val="18EB4A4A"/>
    <w:rsid w:val="18FA6A3B"/>
    <w:rsid w:val="194416DD"/>
    <w:rsid w:val="19693EF9"/>
    <w:rsid w:val="197D4E52"/>
    <w:rsid w:val="19AF5A77"/>
    <w:rsid w:val="1A441E0D"/>
    <w:rsid w:val="1A4B710F"/>
    <w:rsid w:val="1A7A42D7"/>
    <w:rsid w:val="1AB62E35"/>
    <w:rsid w:val="1ACA59D4"/>
    <w:rsid w:val="1AFC14AA"/>
    <w:rsid w:val="1B042E56"/>
    <w:rsid w:val="1B721452"/>
    <w:rsid w:val="1B7E2088"/>
    <w:rsid w:val="1B836942"/>
    <w:rsid w:val="1BC752FA"/>
    <w:rsid w:val="1BCC0B62"/>
    <w:rsid w:val="1BD9502D"/>
    <w:rsid w:val="1C055E22"/>
    <w:rsid w:val="1C281B11"/>
    <w:rsid w:val="1C44694B"/>
    <w:rsid w:val="1C5103F0"/>
    <w:rsid w:val="1C890801"/>
    <w:rsid w:val="1C987E01"/>
    <w:rsid w:val="1CB735C0"/>
    <w:rsid w:val="1CC7132A"/>
    <w:rsid w:val="1CEE709A"/>
    <w:rsid w:val="1D1918A7"/>
    <w:rsid w:val="1D6F3E9B"/>
    <w:rsid w:val="1D9B6A3E"/>
    <w:rsid w:val="1DEA687D"/>
    <w:rsid w:val="1E2B7FD1"/>
    <w:rsid w:val="1EDE1910"/>
    <w:rsid w:val="1EE53CE9"/>
    <w:rsid w:val="1EFA3C38"/>
    <w:rsid w:val="1F10520A"/>
    <w:rsid w:val="1F185E6D"/>
    <w:rsid w:val="1F6D61B8"/>
    <w:rsid w:val="1FB45B95"/>
    <w:rsid w:val="20222821"/>
    <w:rsid w:val="203B0963"/>
    <w:rsid w:val="206A6B9C"/>
    <w:rsid w:val="20710D0B"/>
    <w:rsid w:val="208539D6"/>
    <w:rsid w:val="20C204F4"/>
    <w:rsid w:val="20E97FF5"/>
    <w:rsid w:val="21422F5E"/>
    <w:rsid w:val="21645399"/>
    <w:rsid w:val="21C1459A"/>
    <w:rsid w:val="21C47507"/>
    <w:rsid w:val="22084EEC"/>
    <w:rsid w:val="22337491"/>
    <w:rsid w:val="22A42BC0"/>
    <w:rsid w:val="22A53EBB"/>
    <w:rsid w:val="232272BA"/>
    <w:rsid w:val="23481E03"/>
    <w:rsid w:val="2397274B"/>
    <w:rsid w:val="23AB5501"/>
    <w:rsid w:val="23BD0E50"/>
    <w:rsid w:val="23DA1943"/>
    <w:rsid w:val="243E45C7"/>
    <w:rsid w:val="24431BDE"/>
    <w:rsid w:val="24B2529A"/>
    <w:rsid w:val="24B86128"/>
    <w:rsid w:val="24C54C65"/>
    <w:rsid w:val="256E2C8A"/>
    <w:rsid w:val="2585165B"/>
    <w:rsid w:val="25951FC5"/>
    <w:rsid w:val="2597005C"/>
    <w:rsid w:val="26062EC3"/>
    <w:rsid w:val="262B46D7"/>
    <w:rsid w:val="263E265D"/>
    <w:rsid w:val="26881571"/>
    <w:rsid w:val="26BB5A5B"/>
    <w:rsid w:val="26ED275D"/>
    <w:rsid w:val="270E09DC"/>
    <w:rsid w:val="27144597"/>
    <w:rsid w:val="274A5031"/>
    <w:rsid w:val="27934C2A"/>
    <w:rsid w:val="280E42B1"/>
    <w:rsid w:val="284F7D30"/>
    <w:rsid w:val="28575C58"/>
    <w:rsid w:val="286B525F"/>
    <w:rsid w:val="28AE717C"/>
    <w:rsid w:val="28C24E79"/>
    <w:rsid w:val="28D76ABD"/>
    <w:rsid w:val="290B0283"/>
    <w:rsid w:val="2927562A"/>
    <w:rsid w:val="29677131"/>
    <w:rsid w:val="29F6247C"/>
    <w:rsid w:val="29FA3933"/>
    <w:rsid w:val="2A1262DA"/>
    <w:rsid w:val="2A1F0F10"/>
    <w:rsid w:val="2A8308A7"/>
    <w:rsid w:val="2A97233B"/>
    <w:rsid w:val="2AC82E3D"/>
    <w:rsid w:val="2B471FB3"/>
    <w:rsid w:val="2B4D3342"/>
    <w:rsid w:val="2B4D3EA0"/>
    <w:rsid w:val="2B7A4DE8"/>
    <w:rsid w:val="2BB86A0D"/>
    <w:rsid w:val="2BBB474F"/>
    <w:rsid w:val="2BC5737C"/>
    <w:rsid w:val="2BD6464A"/>
    <w:rsid w:val="2C040A80"/>
    <w:rsid w:val="2C576226"/>
    <w:rsid w:val="2C81364F"/>
    <w:rsid w:val="2C9C19E0"/>
    <w:rsid w:val="2CED26E7"/>
    <w:rsid w:val="2D645650"/>
    <w:rsid w:val="2D6C5D01"/>
    <w:rsid w:val="2D7C1CBC"/>
    <w:rsid w:val="2DA60F64"/>
    <w:rsid w:val="2DB41456"/>
    <w:rsid w:val="2DC25921"/>
    <w:rsid w:val="2DCA0C7A"/>
    <w:rsid w:val="2DCA2539"/>
    <w:rsid w:val="2E277E7A"/>
    <w:rsid w:val="2E310CF9"/>
    <w:rsid w:val="2E362579"/>
    <w:rsid w:val="2E5A0250"/>
    <w:rsid w:val="2F154177"/>
    <w:rsid w:val="2F1877C3"/>
    <w:rsid w:val="2F26216F"/>
    <w:rsid w:val="2F5A7DDB"/>
    <w:rsid w:val="2F771BBA"/>
    <w:rsid w:val="2FF07CBC"/>
    <w:rsid w:val="303D5733"/>
    <w:rsid w:val="304732FA"/>
    <w:rsid w:val="30570600"/>
    <w:rsid w:val="306058C5"/>
    <w:rsid w:val="30790319"/>
    <w:rsid w:val="309F019C"/>
    <w:rsid w:val="30BA6D84"/>
    <w:rsid w:val="3129247F"/>
    <w:rsid w:val="31740084"/>
    <w:rsid w:val="317C5755"/>
    <w:rsid w:val="318260E0"/>
    <w:rsid w:val="31915374"/>
    <w:rsid w:val="3221480A"/>
    <w:rsid w:val="322D3A18"/>
    <w:rsid w:val="325A6A70"/>
    <w:rsid w:val="32721408"/>
    <w:rsid w:val="32BA0C0F"/>
    <w:rsid w:val="32DE3624"/>
    <w:rsid w:val="33B242AE"/>
    <w:rsid w:val="34317DB4"/>
    <w:rsid w:val="34394463"/>
    <w:rsid w:val="34BB6A39"/>
    <w:rsid w:val="35357321"/>
    <w:rsid w:val="35611EC4"/>
    <w:rsid w:val="357A4D33"/>
    <w:rsid w:val="35A26B4B"/>
    <w:rsid w:val="35D025B1"/>
    <w:rsid w:val="361B6516"/>
    <w:rsid w:val="36200AE6"/>
    <w:rsid w:val="36413AA3"/>
    <w:rsid w:val="36A71B58"/>
    <w:rsid w:val="36CC7811"/>
    <w:rsid w:val="370C1236"/>
    <w:rsid w:val="374374DF"/>
    <w:rsid w:val="374568F1"/>
    <w:rsid w:val="37626D01"/>
    <w:rsid w:val="37BA58BB"/>
    <w:rsid w:val="37ED5C91"/>
    <w:rsid w:val="383E64EC"/>
    <w:rsid w:val="385E26EA"/>
    <w:rsid w:val="38A87E0A"/>
    <w:rsid w:val="38B62526"/>
    <w:rsid w:val="38DD5D05"/>
    <w:rsid w:val="38F42668"/>
    <w:rsid w:val="38FB262F"/>
    <w:rsid w:val="38FB5D0B"/>
    <w:rsid w:val="39430C4F"/>
    <w:rsid w:val="395D1A99"/>
    <w:rsid w:val="397877DC"/>
    <w:rsid w:val="397C551E"/>
    <w:rsid w:val="39A93E39"/>
    <w:rsid w:val="3A0C3554"/>
    <w:rsid w:val="3A255BB6"/>
    <w:rsid w:val="3A4676F2"/>
    <w:rsid w:val="3A4C11D2"/>
    <w:rsid w:val="3A9172E2"/>
    <w:rsid w:val="3A9C2FEA"/>
    <w:rsid w:val="3AD35612"/>
    <w:rsid w:val="3AE13379"/>
    <w:rsid w:val="3B246281"/>
    <w:rsid w:val="3B3F5D44"/>
    <w:rsid w:val="3B736CE5"/>
    <w:rsid w:val="3B7936BD"/>
    <w:rsid w:val="3BA66882"/>
    <w:rsid w:val="3BF85B07"/>
    <w:rsid w:val="3C1F4887"/>
    <w:rsid w:val="3C3A6B9D"/>
    <w:rsid w:val="3C53008C"/>
    <w:rsid w:val="3C6D73A0"/>
    <w:rsid w:val="3CB74630"/>
    <w:rsid w:val="3CCB2EF6"/>
    <w:rsid w:val="3CCD44E0"/>
    <w:rsid w:val="3D540B39"/>
    <w:rsid w:val="3EC3768F"/>
    <w:rsid w:val="3EC41731"/>
    <w:rsid w:val="3F11495A"/>
    <w:rsid w:val="3F677F4A"/>
    <w:rsid w:val="3FB35A12"/>
    <w:rsid w:val="3FC75019"/>
    <w:rsid w:val="3FF22AE8"/>
    <w:rsid w:val="3FF27145"/>
    <w:rsid w:val="40025B81"/>
    <w:rsid w:val="401465E7"/>
    <w:rsid w:val="4019631E"/>
    <w:rsid w:val="40632F94"/>
    <w:rsid w:val="40776A3F"/>
    <w:rsid w:val="40891E40"/>
    <w:rsid w:val="4124653E"/>
    <w:rsid w:val="418A09F4"/>
    <w:rsid w:val="41B3028E"/>
    <w:rsid w:val="41BA3087"/>
    <w:rsid w:val="41FB71FC"/>
    <w:rsid w:val="43034564"/>
    <w:rsid w:val="43081BD1"/>
    <w:rsid w:val="43197C6A"/>
    <w:rsid w:val="432A3FA6"/>
    <w:rsid w:val="432B2EF5"/>
    <w:rsid w:val="43AE09CA"/>
    <w:rsid w:val="43E04A33"/>
    <w:rsid w:val="44310A69"/>
    <w:rsid w:val="44600872"/>
    <w:rsid w:val="449556E6"/>
    <w:rsid w:val="4496085A"/>
    <w:rsid w:val="44F71EFD"/>
    <w:rsid w:val="455C26A8"/>
    <w:rsid w:val="456D0411"/>
    <w:rsid w:val="45923646"/>
    <w:rsid w:val="45AA3F79"/>
    <w:rsid w:val="45C5024D"/>
    <w:rsid w:val="46255AAE"/>
    <w:rsid w:val="46496788"/>
    <w:rsid w:val="46912A4E"/>
    <w:rsid w:val="46AE7BBD"/>
    <w:rsid w:val="46C44060"/>
    <w:rsid w:val="46C71C07"/>
    <w:rsid w:val="46DC3AA0"/>
    <w:rsid w:val="46DD13C5"/>
    <w:rsid w:val="46F5010E"/>
    <w:rsid w:val="473476FC"/>
    <w:rsid w:val="478F466E"/>
    <w:rsid w:val="47A53E92"/>
    <w:rsid w:val="47BB36B5"/>
    <w:rsid w:val="48235EC9"/>
    <w:rsid w:val="482F7BFF"/>
    <w:rsid w:val="485476CA"/>
    <w:rsid w:val="48E629B4"/>
    <w:rsid w:val="490E5A67"/>
    <w:rsid w:val="496E135D"/>
    <w:rsid w:val="49A87FA9"/>
    <w:rsid w:val="49DB003F"/>
    <w:rsid w:val="4A2160E3"/>
    <w:rsid w:val="4A233794"/>
    <w:rsid w:val="4A6B434D"/>
    <w:rsid w:val="4AA76173"/>
    <w:rsid w:val="4B3B43E2"/>
    <w:rsid w:val="4BD261B6"/>
    <w:rsid w:val="4BD765E4"/>
    <w:rsid w:val="4C012815"/>
    <w:rsid w:val="4C0C543C"/>
    <w:rsid w:val="4C1A4723"/>
    <w:rsid w:val="4C581113"/>
    <w:rsid w:val="4C60256B"/>
    <w:rsid w:val="4C8229F4"/>
    <w:rsid w:val="4C9B3AB5"/>
    <w:rsid w:val="4CC64F20"/>
    <w:rsid w:val="4CC76658"/>
    <w:rsid w:val="4CCC0113"/>
    <w:rsid w:val="4D710AD4"/>
    <w:rsid w:val="4D7F33D7"/>
    <w:rsid w:val="4E3917D8"/>
    <w:rsid w:val="4EC21495"/>
    <w:rsid w:val="4EF27ACF"/>
    <w:rsid w:val="4FC60E49"/>
    <w:rsid w:val="4FD74E04"/>
    <w:rsid w:val="502A5888"/>
    <w:rsid w:val="50936686"/>
    <w:rsid w:val="50AA33A9"/>
    <w:rsid w:val="50B27620"/>
    <w:rsid w:val="50C335DB"/>
    <w:rsid w:val="50C64757"/>
    <w:rsid w:val="50F87728"/>
    <w:rsid w:val="51114346"/>
    <w:rsid w:val="5149325D"/>
    <w:rsid w:val="516A7EFA"/>
    <w:rsid w:val="518C60C3"/>
    <w:rsid w:val="519265DF"/>
    <w:rsid w:val="51A76A58"/>
    <w:rsid w:val="51CB6F99"/>
    <w:rsid w:val="51FC4FF6"/>
    <w:rsid w:val="521B3D51"/>
    <w:rsid w:val="52B311A0"/>
    <w:rsid w:val="52D24131"/>
    <w:rsid w:val="52D63A99"/>
    <w:rsid w:val="530902E3"/>
    <w:rsid w:val="539F20DD"/>
    <w:rsid w:val="53E73A84"/>
    <w:rsid w:val="546E1AAF"/>
    <w:rsid w:val="5517141D"/>
    <w:rsid w:val="55850FB5"/>
    <w:rsid w:val="55B94FAC"/>
    <w:rsid w:val="55BB0D24"/>
    <w:rsid w:val="55CD6D0D"/>
    <w:rsid w:val="55CD72CA"/>
    <w:rsid w:val="55FD30EB"/>
    <w:rsid w:val="56B7773E"/>
    <w:rsid w:val="56D13F20"/>
    <w:rsid w:val="57525C4F"/>
    <w:rsid w:val="57527466"/>
    <w:rsid w:val="578F2469"/>
    <w:rsid w:val="57CE11E3"/>
    <w:rsid w:val="57D278B0"/>
    <w:rsid w:val="57F329F7"/>
    <w:rsid w:val="585A28EC"/>
    <w:rsid w:val="58691E74"/>
    <w:rsid w:val="58E81E30"/>
    <w:rsid w:val="59027D81"/>
    <w:rsid w:val="59222AF2"/>
    <w:rsid w:val="598A2EE8"/>
    <w:rsid w:val="59937726"/>
    <w:rsid w:val="59B91A1F"/>
    <w:rsid w:val="59E940B2"/>
    <w:rsid w:val="5AB506F1"/>
    <w:rsid w:val="5AB75F5E"/>
    <w:rsid w:val="5B3B3017"/>
    <w:rsid w:val="5B4B2B4A"/>
    <w:rsid w:val="5B500161"/>
    <w:rsid w:val="5B834000"/>
    <w:rsid w:val="5B950E73"/>
    <w:rsid w:val="5B9E2C7A"/>
    <w:rsid w:val="5C046D53"/>
    <w:rsid w:val="5C423D89"/>
    <w:rsid w:val="5C5A251F"/>
    <w:rsid w:val="5C814A76"/>
    <w:rsid w:val="5CA408B1"/>
    <w:rsid w:val="5CEF6D1E"/>
    <w:rsid w:val="5D1B161E"/>
    <w:rsid w:val="5D8C2987"/>
    <w:rsid w:val="5E153CA2"/>
    <w:rsid w:val="5E280F21"/>
    <w:rsid w:val="5E9518A7"/>
    <w:rsid w:val="5EC450EE"/>
    <w:rsid w:val="5F530220"/>
    <w:rsid w:val="5F85487D"/>
    <w:rsid w:val="5FE13A7D"/>
    <w:rsid w:val="5FE46C8E"/>
    <w:rsid w:val="60561D75"/>
    <w:rsid w:val="60E70C20"/>
    <w:rsid w:val="61241E74"/>
    <w:rsid w:val="618916D7"/>
    <w:rsid w:val="61907F27"/>
    <w:rsid w:val="61BB08B9"/>
    <w:rsid w:val="61E433B1"/>
    <w:rsid w:val="625B2621"/>
    <w:rsid w:val="62882E90"/>
    <w:rsid w:val="62AD7C47"/>
    <w:rsid w:val="62C27B96"/>
    <w:rsid w:val="634D56A6"/>
    <w:rsid w:val="63A830B1"/>
    <w:rsid w:val="63B81632"/>
    <w:rsid w:val="63BD5289"/>
    <w:rsid w:val="64191A38"/>
    <w:rsid w:val="6462096B"/>
    <w:rsid w:val="651F15D0"/>
    <w:rsid w:val="65717652"/>
    <w:rsid w:val="65764C68"/>
    <w:rsid w:val="657B0DD3"/>
    <w:rsid w:val="6606682E"/>
    <w:rsid w:val="662B5A52"/>
    <w:rsid w:val="664E34EF"/>
    <w:rsid w:val="66630D48"/>
    <w:rsid w:val="671309C0"/>
    <w:rsid w:val="67330A1E"/>
    <w:rsid w:val="67573A9F"/>
    <w:rsid w:val="67656D42"/>
    <w:rsid w:val="67837479"/>
    <w:rsid w:val="67A85DB9"/>
    <w:rsid w:val="680C5410"/>
    <w:rsid w:val="6821710D"/>
    <w:rsid w:val="688D7A89"/>
    <w:rsid w:val="68AA1FF7"/>
    <w:rsid w:val="68AF64C7"/>
    <w:rsid w:val="68E36170"/>
    <w:rsid w:val="691E364C"/>
    <w:rsid w:val="695E1C9B"/>
    <w:rsid w:val="69DB32EB"/>
    <w:rsid w:val="6A2450B2"/>
    <w:rsid w:val="6A5F5CCB"/>
    <w:rsid w:val="6A7A15F2"/>
    <w:rsid w:val="6AFA0F67"/>
    <w:rsid w:val="6B0B7C00"/>
    <w:rsid w:val="6B8005EE"/>
    <w:rsid w:val="6BC77FCB"/>
    <w:rsid w:val="6BEE7306"/>
    <w:rsid w:val="6C57134F"/>
    <w:rsid w:val="6C5A7FF2"/>
    <w:rsid w:val="6C5C4BB7"/>
    <w:rsid w:val="6C81461E"/>
    <w:rsid w:val="6CCB5899"/>
    <w:rsid w:val="6D4713C4"/>
    <w:rsid w:val="6D622806"/>
    <w:rsid w:val="6D62499A"/>
    <w:rsid w:val="6D7F79C8"/>
    <w:rsid w:val="6D990DE8"/>
    <w:rsid w:val="6DA73C10"/>
    <w:rsid w:val="6DBD1686"/>
    <w:rsid w:val="6EED6D2B"/>
    <w:rsid w:val="6F1912C3"/>
    <w:rsid w:val="6F461A01"/>
    <w:rsid w:val="6FD74555"/>
    <w:rsid w:val="702A5F16"/>
    <w:rsid w:val="70BC4089"/>
    <w:rsid w:val="71290DE0"/>
    <w:rsid w:val="715B3690"/>
    <w:rsid w:val="717C1104"/>
    <w:rsid w:val="717C53B4"/>
    <w:rsid w:val="718C44BB"/>
    <w:rsid w:val="71F57FBF"/>
    <w:rsid w:val="71FD4747"/>
    <w:rsid w:val="722C23DA"/>
    <w:rsid w:val="723104F0"/>
    <w:rsid w:val="727367B7"/>
    <w:rsid w:val="72842772"/>
    <w:rsid w:val="73334198"/>
    <w:rsid w:val="73A01815"/>
    <w:rsid w:val="73A4756E"/>
    <w:rsid w:val="74015DB5"/>
    <w:rsid w:val="744A1799"/>
    <w:rsid w:val="74542618"/>
    <w:rsid w:val="74620891"/>
    <w:rsid w:val="74704823"/>
    <w:rsid w:val="74745D74"/>
    <w:rsid w:val="74C96B62"/>
    <w:rsid w:val="759929D8"/>
    <w:rsid w:val="75BC2223"/>
    <w:rsid w:val="75C556E6"/>
    <w:rsid w:val="75E461A8"/>
    <w:rsid w:val="766308F1"/>
    <w:rsid w:val="76793FC6"/>
    <w:rsid w:val="7693567A"/>
    <w:rsid w:val="769E3379"/>
    <w:rsid w:val="76B928AB"/>
    <w:rsid w:val="776E39F1"/>
    <w:rsid w:val="77A746A6"/>
    <w:rsid w:val="77D45F4A"/>
    <w:rsid w:val="78322C70"/>
    <w:rsid w:val="78340796"/>
    <w:rsid w:val="7849718A"/>
    <w:rsid w:val="784D1858"/>
    <w:rsid w:val="78533199"/>
    <w:rsid w:val="793A2159"/>
    <w:rsid w:val="79A731EA"/>
    <w:rsid w:val="79B17BC5"/>
    <w:rsid w:val="7A0743E5"/>
    <w:rsid w:val="7A1573B8"/>
    <w:rsid w:val="7A392094"/>
    <w:rsid w:val="7A5B64AE"/>
    <w:rsid w:val="7A7A445B"/>
    <w:rsid w:val="7A93655B"/>
    <w:rsid w:val="7ACD6C80"/>
    <w:rsid w:val="7AD973D3"/>
    <w:rsid w:val="7B0770F7"/>
    <w:rsid w:val="7B203254"/>
    <w:rsid w:val="7B4927AB"/>
    <w:rsid w:val="7B537186"/>
    <w:rsid w:val="7B6F1AE6"/>
    <w:rsid w:val="7B7914F4"/>
    <w:rsid w:val="7BE07943"/>
    <w:rsid w:val="7C0F66F4"/>
    <w:rsid w:val="7C1F03C2"/>
    <w:rsid w:val="7C464F3C"/>
    <w:rsid w:val="7CB02B6A"/>
    <w:rsid w:val="7CF10940"/>
    <w:rsid w:val="7D762483"/>
    <w:rsid w:val="7D8C2E23"/>
    <w:rsid w:val="7D994DC1"/>
    <w:rsid w:val="7DAF31EC"/>
    <w:rsid w:val="7E4279B8"/>
    <w:rsid w:val="7E6F5C56"/>
    <w:rsid w:val="7E7318ED"/>
    <w:rsid w:val="7E926217"/>
    <w:rsid w:val="7EA241E2"/>
    <w:rsid w:val="7EE2269F"/>
    <w:rsid w:val="7EEA2FA8"/>
    <w:rsid w:val="7F601E71"/>
    <w:rsid w:val="7F622A13"/>
    <w:rsid w:val="7F737DF6"/>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9"/>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240" w:after="120" w:line="300" w:lineRule="auto"/>
      <w:jc w:val="center"/>
      <w:outlineLvl w:val="0"/>
    </w:pPr>
    <w:rPr>
      <w:rFonts w:ascii="宋体"/>
      <w:b/>
      <w:kern w:val="44"/>
      <w:sz w:val="32"/>
    </w:rPr>
  </w:style>
  <w:style w:type="paragraph" w:styleId="3">
    <w:name w:val="heading 2"/>
    <w:basedOn w:val="1"/>
    <w:next w:val="1"/>
    <w:qFormat/>
    <w:uiPriority w:val="0"/>
    <w:pPr>
      <w:autoSpaceDE/>
      <w:autoSpaceDN/>
      <w:spacing w:before="260" w:after="260" w:line="415" w:lineRule="auto"/>
      <w:jc w:val="center"/>
      <w:outlineLvl w:val="1"/>
    </w:pPr>
    <w:rPr>
      <w:rFonts w:eastAsia="黑体"/>
      <w:b/>
      <w:sz w:val="36"/>
    </w:rPr>
  </w:style>
  <w:style w:type="paragraph" w:styleId="4">
    <w:name w:val="heading 3"/>
    <w:basedOn w:val="1"/>
    <w:next w:val="1"/>
    <w:qFormat/>
    <w:uiPriority w:val="0"/>
    <w:pPr>
      <w:keepNext/>
      <w:keepLines/>
      <w:spacing w:before="260" w:after="100" w:afterAutospacing="1"/>
      <w:outlineLvl w:val="2"/>
    </w:pPr>
    <w:rPr>
      <w:b/>
      <w:bCs/>
      <w:kern w:val="0"/>
      <w:szCs w:val="32"/>
    </w:rPr>
  </w:style>
  <w:style w:type="paragraph" w:styleId="5">
    <w:name w:val="heading 4"/>
    <w:basedOn w:val="1"/>
    <w:next w:val="1"/>
    <w:qFormat/>
    <w:uiPriority w:val="0"/>
    <w:pPr>
      <w:keepNext/>
      <w:keepLines/>
      <w:spacing w:before="280" w:after="290" w:line="376" w:lineRule="atLeast"/>
      <w:outlineLvl w:val="3"/>
    </w:pPr>
    <w:rPr>
      <w:rFonts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hAnsi="Times New Roman" w:cs="Times New Roman"/>
      <w:sz w:val="24"/>
    </w:rPr>
  </w:style>
  <w:style w:type="paragraph" w:styleId="7">
    <w:name w:val="annotation text"/>
    <w:basedOn w:val="1"/>
    <w:qFormat/>
    <w:uiPriority w:val="0"/>
    <w:pPr>
      <w:widowControl w:val="0"/>
      <w:autoSpaceDE/>
      <w:autoSpaceDN/>
      <w:spacing w:line="360" w:lineRule="atLeast"/>
    </w:pPr>
    <w:rPr>
      <w:rFonts w:ascii="Times New Roman" w:eastAsia="宋体"/>
      <w:sz w:val="24"/>
    </w:rPr>
  </w:style>
  <w:style w:type="paragraph" w:styleId="8">
    <w:name w:val="Body Text"/>
    <w:basedOn w:val="1"/>
    <w:semiHidden/>
    <w:qFormat/>
    <w:uiPriority w:val="0"/>
    <w:rPr>
      <w:rFonts w:ascii="宋体" w:hAnsi="宋体" w:eastAsia="宋体" w:cs="宋体"/>
      <w:sz w:val="28"/>
      <w:szCs w:val="28"/>
    </w:rPr>
  </w:style>
  <w:style w:type="paragraph" w:styleId="9">
    <w:name w:val="Body Text Indent"/>
    <w:basedOn w:val="1"/>
    <w:next w:val="10"/>
    <w:qFormat/>
    <w:uiPriority w:val="0"/>
    <w:pPr>
      <w:overflowPunct w:val="0"/>
      <w:autoSpaceDE w:val="0"/>
      <w:autoSpaceDN w:val="0"/>
      <w:adjustRightInd w:val="0"/>
      <w:spacing w:line="360" w:lineRule="auto"/>
      <w:ind w:firstLine="540"/>
    </w:pPr>
    <w:rPr>
      <w:rFonts w:ascii="宋体" w:hAnsi="MS Sans Serif"/>
      <w:spacing w:val="12"/>
      <w:sz w:val="24"/>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eastAsia="华文宋体"/>
      <w:sz w:val="28"/>
      <w:szCs w:val="20"/>
    </w:rPr>
  </w:style>
  <w:style w:type="paragraph" w:styleId="12">
    <w:name w:val="Balloon Text"/>
    <w:basedOn w:val="1"/>
    <w:link w:val="42"/>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1"/>
    <w:basedOn w:val="1"/>
    <w:next w:val="1"/>
    <w:qFormat/>
    <w:uiPriority w:val="0"/>
    <w:pPr>
      <w:tabs>
        <w:tab w:val="left" w:pos="1050"/>
        <w:tab w:val="right" w:leader="dot" w:pos="8937"/>
      </w:tabs>
      <w:spacing w:line="300" w:lineRule="auto"/>
    </w:pPr>
    <w:rPr>
      <w:rFonts w:ascii="宋体" w:hAnsi="宋体"/>
      <w:b/>
      <w:sz w:val="24"/>
    </w:rPr>
  </w:style>
  <w:style w:type="paragraph" w:styleId="16">
    <w:name w:val="Subtitle"/>
    <w:basedOn w:val="1"/>
    <w:next w:val="7"/>
    <w:qFormat/>
    <w:uiPriority w:val="0"/>
    <w:pPr>
      <w:widowControl w:val="0"/>
      <w:autoSpaceDE/>
      <w:autoSpaceDN/>
      <w:spacing w:before="240" w:after="60" w:line="312" w:lineRule="auto"/>
      <w:jc w:val="center"/>
      <w:outlineLvl w:val="1"/>
    </w:pPr>
    <w:rPr>
      <w:rFonts w:eastAsia="宋体"/>
      <w:b/>
      <w:sz w:val="32"/>
    </w:rPr>
  </w:style>
  <w:style w:type="paragraph" w:styleId="17">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8">
    <w:name w:val="Normal (Web)"/>
    <w:basedOn w:val="1"/>
    <w:unhideWhenUsed/>
    <w:qFormat/>
    <w:uiPriority w:val="0"/>
    <w:pPr>
      <w:autoSpaceDE/>
      <w:autoSpaceDN/>
      <w:spacing w:before="100" w:beforeAutospacing="1" w:after="100" w:afterAutospacing="1"/>
    </w:pPr>
    <w:rPr>
      <w:sz w:val="24"/>
      <w:szCs w:val="24"/>
    </w:rPr>
  </w:style>
  <w:style w:type="paragraph" w:styleId="19">
    <w:name w:val="Body Text First Indent 2"/>
    <w:basedOn w:val="9"/>
    <w:next w:val="1"/>
    <w:unhideWhenUsed/>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2490F8"/>
      <w:u w:val="single"/>
    </w:rPr>
  </w:style>
  <w:style w:type="character" w:styleId="24">
    <w:name w:val="annotation reference"/>
    <w:basedOn w:val="22"/>
    <w:unhideWhenUsed/>
    <w:qFormat/>
    <w:uiPriority w:val="0"/>
    <w:rPr>
      <w:sz w:val="21"/>
      <w:szCs w:val="21"/>
    </w:rPr>
  </w:style>
  <w:style w:type="character" w:styleId="25">
    <w:name w:val="footnote reference"/>
    <w:unhideWhenUsed/>
    <w:qFormat/>
    <w:uiPriority w:val="0"/>
    <w:rPr>
      <w:vertAlign w:val="superscript"/>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8"/>
      <w:szCs w:val="28"/>
    </w:rPr>
  </w:style>
  <w:style w:type="paragraph" w:customStyle="1" w:styleId="28">
    <w:name w:val="普通(网站)1"/>
    <w:basedOn w:val="1"/>
    <w:next w:val="29"/>
    <w:qFormat/>
    <w:uiPriority w:val="0"/>
    <w:pPr>
      <w:spacing w:before="100" w:beforeAutospacing="1" w:after="100" w:afterAutospacing="1"/>
    </w:pPr>
    <w:rPr>
      <w:sz w:val="24"/>
      <w:lang w:eastAsia="zh-CN"/>
    </w:rPr>
  </w:style>
  <w:style w:type="paragraph" w:customStyle="1" w:styleId="29">
    <w:name w:val="正文文字 8"/>
    <w:basedOn w:val="1"/>
    <w:next w:val="1"/>
    <w:qFormat/>
    <w:uiPriority w:val="0"/>
    <w:pPr>
      <w:ind w:left="240"/>
    </w:pPr>
    <w:rPr>
      <w:sz w:val="16"/>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文本缩进1"/>
    <w:basedOn w:val="1"/>
    <w:qFormat/>
    <w:uiPriority w:val="0"/>
    <w:pPr>
      <w:spacing w:line="480" w:lineRule="exact"/>
      <w:ind w:firstLine="480" w:firstLineChars="200"/>
    </w:pPr>
    <w:rPr>
      <w:rFonts w:eastAsia="宋体"/>
      <w:kern w:val="2"/>
      <w:sz w:val="24"/>
      <w:szCs w:val="24"/>
      <w:lang w:eastAsia="zh-CN"/>
    </w:rPr>
  </w:style>
  <w:style w:type="paragraph" w:customStyle="1" w:styleId="33">
    <w:name w:val="trs_editor"/>
    <w:basedOn w:val="1"/>
    <w:qFormat/>
    <w:uiPriority w:val="0"/>
    <w:pPr>
      <w:adjustRightInd/>
      <w:spacing w:before="100" w:beforeAutospacing="1" w:after="100" w:afterAutospacing="1"/>
    </w:pPr>
    <w:rPr>
      <w:rFonts w:hint="eastAsia" w:ascii="宋体" w:hAnsi="宋体" w:eastAsia="宋体" w:cs="宋体"/>
      <w:sz w:val="24"/>
      <w:szCs w:val="24"/>
      <w:lang w:eastAsia="zh-CN"/>
    </w:rPr>
  </w:style>
  <w:style w:type="paragraph" w:customStyle="1" w:styleId="34">
    <w:name w:val="text-tag1"/>
    <w:qFormat/>
    <w:uiPriority w:val="0"/>
    <w:pPr>
      <w:spacing w:before="100" w:beforeAutospacing="1" w:after="100" w:afterAutospacing="1"/>
    </w:pPr>
    <w:rPr>
      <w:rFonts w:ascii="宋体" w:hAnsi="宋体" w:eastAsia="宋体" w:cs="宋体"/>
      <w:sz w:val="24"/>
      <w:lang w:val="en-US" w:eastAsia="zh-CN" w:bidi="ar-SA"/>
    </w:rPr>
  </w:style>
  <w:style w:type="paragraph" w:customStyle="1" w:styleId="35">
    <w:name w:val="Char Char Char Char Char Char Char1 Char_1"/>
    <w:basedOn w:val="36"/>
    <w:qFormat/>
    <w:uiPriority w:val="0"/>
    <w:rPr>
      <w:rFonts w:ascii="Tahoma" w:hAnsi="Tahoma"/>
      <w:sz w:val="24"/>
    </w:rPr>
  </w:style>
  <w:style w:type="paragraph" w:customStyle="1" w:styleId="36">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Table Paragraph"/>
    <w:basedOn w:val="1"/>
    <w:qFormat/>
    <w:uiPriority w:val="0"/>
    <w:rPr>
      <w:rFonts w:ascii="宋体" w:hAnsi="宋体" w:cs="宋体"/>
      <w:sz w:val="22"/>
      <w:szCs w:val="22"/>
    </w:rPr>
  </w:style>
  <w:style w:type="paragraph" w:customStyle="1" w:styleId="38">
    <w:name w:val="正文2"/>
    <w:basedOn w:val="1"/>
    <w:qFormat/>
    <w:uiPriority w:val="0"/>
    <w:pPr>
      <w:spacing w:before="156" w:line="360" w:lineRule="auto"/>
      <w:ind w:firstLine="510" w:firstLineChars="200"/>
    </w:pPr>
    <w:rPr>
      <w:sz w:val="24"/>
      <w:szCs w:val="20"/>
    </w:rPr>
  </w:style>
  <w:style w:type="character" w:customStyle="1" w:styleId="39">
    <w:name w:val="NormalCharacter"/>
    <w:link w:val="1"/>
    <w:qFormat/>
    <w:uiPriority w:val="0"/>
    <w:rPr>
      <w:rFonts w:ascii="Arial" w:hAnsi="Arial" w:eastAsia="Arial" w:cs="Arial"/>
      <w:snapToGrid w:val="0"/>
      <w:color w:val="000000"/>
      <w:sz w:val="21"/>
      <w:szCs w:val="21"/>
      <w:lang w:val="en-US" w:eastAsia="en-US" w:bidi="ar-SA"/>
    </w:rPr>
  </w:style>
  <w:style w:type="paragraph" w:customStyle="1" w:styleId="40">
    <w:name w:val="02标题二"/>
    <w:basedOn w:val="1"/>
    <w:qFormat/>
    <w:uiPriority w:val="0"/>
    <w:pPr>
      <w:adjustRightInd/>
      <w:ind w:firstLine="562" w:firstLineChars="200"/>
      <w:jc w:val="both"/>
    </w:pPr>
    <w:rPr>
      <w:rFonts w:cs="华文仿宋"/>
      <w:b/>
      <w:bCs/>
      <w:sz w:val="28"/>
      <w:szCs w:val="28"/>
    </w:rPr>
  </w:style>
  <w:style w:type="paragraph" w:customStyle="1" w:styleId="41">
    <w:name w:val="纯文本1"/>
    <w:basedOn w:val="1"/>
    <w:qFormat/>
    <w:uiPriority w:val="0"/>
    <w:rPr>
      <w:rFonts w:hint="eastAsia" w:ascii="宋体" w:hAnsi="Courier New" w:eastAsia="宋体" w:cs="宋体"/>
      <w:kern w:val="2"/>
    </w:rPr>
  </w:style>
  <w:style w:type="character" w:customStyle="1" w:styleId="42">
    <w:name w:val="批注框文本 Char"/>
    <w:basedOn w:val="22"/>
    <w:link w:val="12"/>
    <w:qFormat/>
    <w:uiPriority w:val="0"/>
    <w:rPr>
      <w:rFonts w:ascii="Arial" w:hAnsi="Arial" w:eastAsia="Arial" w:cs="Arial"/>
      <w:snapToGrid w:val="0"/>
      <w:color w:val="000000"/>
      <w:sz w:val="18"/>
      <w:szCs w:val="18"/>
      <w:lang w:eastAsia="en-US"/>
    </w:rPr>
  </w:style>
  <w:style w:type="paragraph" w:customStyle="1" w:styleId="43">
    <w:name w:val="Plain Text"/>
    <w:basedOn w:val="1"/>
    <w:qFormat/>
    <w:uiPriority w:val="0"/>
    <w:rPr>
      <w:rFonts w:hint="eastAsia" w:ascii="宋体" w:hAnsi="Courier New" w:eastAsia="宋体" w:cs="宋体"/>
      <w:kern w:val="2"/>
      <w:sz w:val="21"/>
    </w:rPr>
  </w:style>
  <w:style w:type="paragraph" w:customStyle="1" w:styleId="44">
    <w:name w:val="Normal (Web)"/>
    <w:basedOn w:val="1"/>
    <w:next w:val="29"/>
    <w:qFormat/>
    <w:uiPriority w:val="0"/>
    <w:pPr>
      <w:spacing w:before="100" w:beforeAutospacing="1" w:after="100" w:afterAutospacing="1"/>
      <w:ind w:left="0" w:right="0"/>
      <w:jc w:val="left"/>
    </w:pPr>
    <w:rPr>
      <w:kern w:val="0"/>
      <w:sz w:val="24"/>
      <w:lang w:val="en-US" w:eastAsia="zh-CN"/>
    </w:rPr>
  </w:style>
  <w:style w:type="paragraph" w:customStyle="1" w:styleId="45">
    <w:name w:val="标题 2_0"/>
    <w:basedOn w:val="31"/>
    <w:next w:val="4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4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List Paragraph"/>
    <w:basedOn w:val="1"/>
    <w:qFormat/>
    <w:uiPriority w:val="1"/>
    <w:pPr>
      <w:ind w:left="384" w:hanging="530"/>
    </w:pPr>
    <w:rPr>
      <w:rFonts w:ascii="宋体" w:hAnsi="宋体" w:eastAsia="宋体" w:cs="宋体"/>
      <w:lang w:val="zh-CN" w:eastAsia="zh-CN" w:bidi="zh-CN"/>
    </w:rPr>
  </w:style>
  <w:style w:type="paragraph" w:customStyle="1" w:styleId="48">
    <w:name w:val="样式 ！正文 + 首行缩进:  2 字符"/>
    <w:basedOn w:val="1"/>
    <w:qFormat/>
    <w:uiPriority w:val="0"/>
    <w:pPr>
      <w:ind w:firstLine="480" w:firstLineChars="200"/>
    </w:pPr>
    <w:rPr>
      <w:rFonts w:hint="eastAsia" w:ascii="Arial" w:hAnsi="Arial" w:eastAsia="宋体" w:cs="宋体"/>
      <w:szCs w:val="20"/>
    </w:rPr>
  </w:style>
  <w:style w:type="character" w:customStyle="1" w:styleId="49">
    <w:name w:val="Hyperlink.3"/>
    <w:basedOn w:val="50"/>
    <w:qFormat/>
    <w:uiPriority w:val="0"/>
    <w:rPr>
      <w:rFonts w:cs="Times New Roman"/>
      <w:spacing w:val="0"/>
    </w:rPr>
  </w:style>
  <w:style w:type="character" w:customStyle="1" w:styleId="50">
    <w:name w:val="无"/>
    <w:qFormat/>
    <w:uiPriority w:val="0"/>
  </w:style>
  <w:style w:type="character" w:customStyle="1" w:styleId="51">
    <w:name w:val="Hyperlink.2"/>
    <w:basedOn w:val="50"/>
    <w:qFormat/>
    <w:uiPriority w:val="0"/>
    <w:rPr>
      <w:rFonts w:cs="Times New Roman"/>
      <w:spacing w:val="0"/>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94</Pages>
  <Words>15528</Words>
  <Characters>17035</Characters>
  <Lines>367</Lines>
  <Paragraphs>103</Paragraphs>
  <TotalTime>90</TotalTime>
  <ScaleCrop>false</ScaleCrop>
  <LinksUpToDate>false</LinksUpToDate>
  <CharactersWithSpaces>17142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2024-03-11T01:25:00Z</dcterms:created>
  <dc:creator>User</dc:creator>
  <cp:lastModifiedBy>徐璐</cp:lastModifiedBy>
  <dcterms:modified xsi:type="dcterms:W3CDTF">2025-07-15T09:44:40Z</dcterms:modified>
  <dc:title>铜 陵 市 电 子 政 务 外 网 项 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2024-02-25T13:41:42Z</vt:filetime>
  </property>
  <property fmtid="{D5CDD505-2E9C-101B-9397-08002B2CF9AE}" pid="4" name="KSOProductBuildVer">
    <vt:lpwstr>2052-12.1.0.21915</vt:lpwstr>
  </property>
  <property fmtid="{D5CDD505-2E9C-101B-9397-08002B2CF9AE}" pid="5" name="ICV">
    <vt:lpwstr>818E6EBDAE744D2AAB49E6D451D78085_13</vt:lpwstr>
  </property>
  <property fmtid="{D5CDD505-2E9C-101B-9397-08002B2CF9AE}" pid="6" name="KSOTemplateDocerSaveRecord">
    <vt:lpwstr>eyJoZGlkIjoiN2YzNjBkOTgyNWQ1YTMxYzM3MzMwNWFiODNmOWIzYWMiLCJ1c2VySWQiOiIxNDQ3NzUyODcyIn0=</vt:lpwstr>
  </property>
</Properties>
</file>