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2C2485">
      <w:pPr>
        <w:pStyle w:val="2"/>
        <w:keepNext w:val="0"/>
        <w:keepLines w:val="0"/>
        <w:widowControl/>
        <w:numPr>
          <w:ilvl w:val="0"/>
          <w:numId w:val="0"/>
        </w:numPr>
        <w:suppressLineNumbers w:val="0"/>
        <w:ind w:leftChars="0"/>
        <w:jc w:val="center"/>
        <w:rPr>
          <w:rFonts w:hint="eastAsia" w:ascii="方正小标宋简体" w:hAnsi="方正小标宋简体" w:eastAsia="方正小标宋简体" w:cs="方正小标宋简体"/>
          <w:b w:val="0"/>
          <w:bCs w:val="0"/>
          <w:sz w:val="44"/>
          <w:szCs w:val="44"/>
        </w:rPr>
      </w:pPr>
    </w:p>
    <w:p w14:paraId="14214099">
      <w:pPr>
        <w:pStyle w:val="2"/>
        <w:keepNext w:val="0"/>
        <w:keepLines w:val="0"/>
        <w:widowControl/>
        <w:numPr>
          <w:ilvl w:val="0"/>
          <w:numId w:val="0"/>
        </w:numPr>
        <w:suppressLineNumbers w:val="0"/>
        <w:ind w:leftChars="0"/>
        <w:jc w:val="center"/>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rPr>
        <w:t>铜陵市公共资源交易中心 投标人端视频</w:t>
      </w:r>
      <w:r>
        <w:rPr>
          <w:rFonts w:hint="eastAsia" w:ascii="方正小标宋简体" w:hAnsi="方正小标宋简体" w:eastAsia="方正小标宋简体" w:cs="方正小标宋简体"/>
          <w:b w:val="0"/>
          <w:bCs w:val="0"/>
          <w:sz w:val="44"/>
          <w:szCs w:val="44"/>
          <w:lang w:eastAsia="zh-CN"/>
        </w:rPr>
        <w:t>询标（答辩）</w:t>
      </w:r>
      <w:r>
        <w:rPr>
          <w:rFonts w:hint="eastAsia" w:ascii="方正小标宋简体" w:hAnsi="方正小标宋简体" w:eastAsia="方正小标宋简体" w:cs="方正小标宋简体"/>
          <w:b w:val="0"/>
          <w:bCs w:val="0"/>
          <w:sz w:val="44"/>
          <w:szCs w:val="44"/>
        </w:rPr>
        <w:t>操作手册</w:t>
      </w:r>
      <w:r>
        <w:rPr>
          <w:rFonts w:hint="eastAsia" w:ascii="方正小标宋简体" w:hAnsi="方正小标宋简体" w:eastAsia="方正小标宋简体" w:cs="方正小标宋简体"/>
          <w:b w:val="0"/>
          <w:bCs w:val="0"/>
          <w:sz w:val="44"/>
          <w:szCs w:val="44"/>
          <w:lang w:eastAsia="zh-CN"/>
        </w:rPr>
        <w:t>（文字版）</w:t>
      </w:r>
    </w:p>
    <w:p w14:paraId="151737A6">
      <w:pPr>
        <w:pStyle w:val="2"/>
        <w:bidi w:val="0"/>
        <w:rPr>
          <w:rFonts w:hint="eastAsia"/>
        </w:rPr>
      </w:pPr>
      <w:r>
        <w:rPr>
          <w:rFonts w:hint="eastAsia"/>
          <w:lang w:eastAsia="zh-CN"/>
        </w:rPr>
        <w:t>询标（答辩）注意事项</w:t>
      </w:r>
    </w:p>
    <w:p w14:paraId="3F7558A3">
      <w:pPr>
        <w:pStyle w:val="4"/>
        <w:bidi w:val="0"/>
      </w:pPr>
      <w:r>
        <w:t>电脑与软件准备</w:t>
      </w:r>
    </w:p>
    <w:p w14:paraId="07A2FBED">
      <w:pPr>
        <w:bidi w:val="0"/>
      </w:pPr>
      <w:r>
        <w:t xml:space="preserve">优先用台式机 </w:t>
      </w:r>
      <w:r>
        <w:rPr>
          <w:rFonts w:hint="eastAsia"/>
          <w:lang w:eastAsia="zh-CN"/>
        </w:rPr>
        <w:t>或</w:t>
      </w:r>
      <w:r>
        <w:t>性能稳定的笔记本，不</w:t>
      </w:r>
      <w:r>
        <w:rPr>
          <w:rFonts w:hint="eastAsia"/>
          <w:lang w:eastAsia="zh-CN"/>
        </w:rPr>
        <w:t>可以使用</w:t>
      </w:r>
      <w:r>
        <w:t>平板、手机主答。</w:t>
      </w:r>
    </w:p>
    <w:p w14:paraId="3330689D">
      <w:pPr>
        <w:bidi w:val="0"/>
      </w:pPr>
      <w:r>
        <w:t xml:space="preserve">提前关闭：自动更新、屏保、休眠、杀毒弹窗、微信 </w:t>
      </w:r>
      <w:r>
        <w:rPr>
          <w:rFonts w:hint="eastAsia"/>
          <w:lang w:eastAsia="zh-CN"/>
        </w:rPr>
        <w:t>、</w:t>
      </w:r>
      <w:r>
        <w:t xml:space="preserve"> QQ 自动弹窗。</w:t>
      </w:r>
    </w:p>
    <w:p w14:paraId="253E0264">
      <w:pPr>
        <w:bidi w:val="0"/>
      </w:pPr>
      <w:r>
        <w:t>提前熟悉：</w:t>
      </w:r>
      <w:r>
        <w:rPr>
          <w:rFonts w:hint="eastAsia"/>
          <w:lang w:eastAsia="zh-CN"/>
        </w:rPr>
        <w:t>操作指南、</w:t>
      </w:r>
      <w:r>
        <w:t>共享屏幕、聊天、</w:t>
      </w:r>
      <w:r>
        <w:rPr>
          <w:rFonts w:hint="eastAsia"/>
          <w:lang w:eastAsia="zh-CN"/>
        </w:rPr>
        <w:t>打字等</w:t>
      </w:r>
      <w:r>
        <w:t>功能。</w:t>
      </w:r>
    </w:p>
    <w:p w14:paraId="1FABBE0F">
      <w:pPr>
        <w:pStyle w:val="4"/>
        <w:bidi w:val="0"/>
      </w:pPr>
      <w:r>
        <w:rPr>
          <w:lang w:val="en-US" w:eastAsia="zh-CN"/>
        </w:rPr>
        <w:t>摄像头</w:t>
      </w:r>
    </w:p>
    <w:p w14:paraId="631D0391">
      <w:pPr>
        <w:numPr>
          <w:ilvl w:val="0"/>
          <w:numId w:val="3"/>
        </w:numPr>
        <w:bidi w:val="0"/>
      </w:pPr>
      <w:r>
        <w:t>镜头高度：与眼睛平齐，不要仰拍</w:t>
      </w:r>
      <w:r>
        <w:rPr>
          <w:rFonts w:hint="eastAsia"/>
          <w:lang w:eastAsia="zh-CN"/>
        </w:rPr>
        <w:t>，</w:t>
      </w:r>
      <w:r>
        <w:t>俯拍。</w:t>
      </w:r>
    </w:p>
    <w:p w14:paraId="3442F490">
      <w:pPr>
        <w:numPr>
          <w:ilvl w:val="0"/>
          <w:numId w:val="3"/>
        </w:numPr>
        <w:bidi w:val="0"/>
      </w:pPr>
      <w:r>
        <w:t>画面只露上半身，居中，不要太近或太远。</w:t>
      </w:r>
    </w:p>
    <w:p w14:paraId="51865EEC">
      <w:pPr>
        <w:pStyle w:val="4"/>
        <w:bidi w:val="0"/>
      </w:pPr>
      <w:r>
        <w:rPr>
          <w:lang w:val="en-US" w:eastAsia="zh-CN"/>
        </w:rPr>
        <w:t>背景环境</w:t>
      </w:r>
    </w:p>
    <w:p w14:paraId="2E28A8FB">
      <w:pPr>
        <w:numPr>
          <w:ilvl w:val="0"/>
          <w:numId w:val="4"/>
        </w:numPr>
        <w:bidi w:val="0"/>
      </w:pPr>
      <w:r>
        <w:t>背景简洁：白墙背景板，</w:t>
      </w:r>
      <w:r>
        <w:rPr>
          <w:rFonts w:hint="eastAsia"/>
          <w:lang w:eastAsia="zh-CN"/>
        </w:rPr>
        <w:t>不得出现与本次项目投标答辩相关的暗示性的</w:t>
      </w:r>
      <w:r>
        <w:t>文字</w:t>
      </w:r>
      <w:r>
        <w:rPr>
          <w:rFonts w:hint="eastAsia"/>
          <w:lang w:eastAsia="zh-CN"/>
        </w:rPr>
        <w:t>、人物和电脑桌面图片、海报等背景</w:t>
      </w:r>
      <w:r>
        <w:t>。</w:t>
      </w:r>
    </w:p>
    <w:p w14:paraId="10D54745">
      <w:pPr>
        <w:numPr>
          <w:ilvl w:val="0"/>
          <w:numId w:val="4"/>
        </w:numPr>
        <w:bidi w:val="0"/>
      </w:pPr>
      <w:r>
        <w:t>光线充足：正面补光，避免逆光、阴影。</w:t>
      </w:r>
    </w:p>
    <w:p w14:paraId="496BEDC7">
      <w:pPr>
        <w:numPr>
          <w:ilvl w:val="0"/>
          <w:numId w:val="4"/>
        </w:numPr>
        <w:bidi w:val="0"/>
      </w:pPr>
      <w:r>
        <w:rPr>
          <w:rFonts w:hint="eastAsia"/>
          <w:lang w:eastAsia="zh-CN"/>
        </w:rPr>
        <w:t>视频画面不得</w:t>
      </w:r>
      <w:r>
        <w:t>有人</w:t>
      </w:r>
      <w:r>
        <w:rPr>
          <w:rFonts w:hint="eastAsia"/>
          <w:lang w:eastAsia="zh-CN"/>
        </w:rPr>
        <w:t>随意</w:t>
      </w:r>
      <w:r>
        <w:t>走动。</w:t>
      </w:r>
    </w:p>
    <w:p w14:paraId="00097A30">
      <w:pPr>
        <w:pStyle w:val="4"/>
        <w:bidi w:val="0"/>
      </w:pPr>
      <w:r>
        <w:t>麦克风与声音（关键）</w:t>
      </w:r>
    </w:p>
    <w:p w14:paraId="36885A6C">
      <w:pPr>
        <w:numPr>
          <w:ilvl w:val="0"/>
          <w:numId w:val="5"/>
        </w:numPr>
        <w:bidi w:val="0"/>
      </w:pPr>
      <w:r>
        <w:t>建议</w:t>
      </w:r>
      <w:r>
        <w:rPr>
          <w:rFonts w:hint="eastAsia"/>
          <w:lang w:eastAsia="zh-CN"/>
        </w:rPr>
        <w:t>选用视频摄像头分离式单独的</w:t>
      </w:r>
      <w:r>
        <w:t>外接耳麦。</w:t>
      </w:r>
    </w:p>
    <w:p w14:paraId="0A030695">
      <w:pPr>
        <w:numPr>
          <w:ilvl w:val="0"/>
          <w:numId w:val="5"/>
        </w:numPr>
        <w:bidi w:val="0"/>
        <w:rPr>
          <w:rFonts w:hint="default"/>
          <w:lang w:val="en-US" w:eastAsia="zh-CN"/>
        </w:rPr>
      </w:pPr>
      <w:r>
        <w:rPr>
          <w:rFonts w:hint="eastAsia"/>
          <w:lang w:eastAsia="zh-CN"/>
        </w:rPr>
        <w:t>使用过程中远离手机、</w:t>
      </w:r>
      <w:r>
        <w:t>音箱外放，</w:t>
      </w:r>
      <w:r>
        <w:rPr>
          <w:rFonts w:hint="eastAsia"/>
          <w:lang w:eastAsia="zh-CN"/>
        </w:rPr>
        <w:t>避免</w:t>
      </w:r>
      <w:r>
        <w:t>产生回声、啸叫。</w:t>
      </w:r>
    </w:p>
    <w:p w14:paraId="217A14DE">
      <w:pPr>
        <w:numPr>
          <w:ilvl w:val="0"/>
          <w:numId w:val="5"/>
        </w:numPr>
        <w:bidi w:val="0"/>
      </w:pPr>
      <w:r>
        <w:rPr>
          <w:rFonts w:hint="eastAsia"/>
          <w:lang w:val="en-US" w:eastAsia="zh-CN"/>
        </w:rPr>
        <w:t>提前做好网络和语音测试。</w:t>
      </w:r>
    </w:p>
    <w:p w14:paraId="765291AE">
      <w:pPr>
        <w:pStyle w:val="4"/>
        <w:bidi w:val="0"/>
      </w:pPr>
      <w:r>
        <w:rPr>
          <w:rFonts w:hint="eastAsia"/>
          <w:lang w:val="en-US" w:eastAsia="zh-CN"/>
        </w:rPr>
        <w:t>应急情况处理</w:t>
      </w:r>
    </w:p>
    <w:p w14:paraId="77E2C87B">
      <w:pPr>
        <w:numPr>
          <w:ilvl w:val="0"/>
          <w:numId w:val="6"/>
        </w:numPr>
        <w:bidi w:val="0"/>
      </w:pPr>
      <w:r>
        <w:t>突然断网</w:t>
      </w:r>
      <w:r>
        <w:rPr>
          <w:rFonts w:hint="eastAsia"/>
          <w:lang w:eastAsia="zh-CN"/>
        </w:rPr>
        <w:t>、</w:t>
      </w:r>
      <w:r>
        <w:t>卡顿</w:t>
      </w:r>
      <w:r>
        <w:rPr>
          <w:rFonts w:hint="eastAsia"/>
          <w:lang w:eastAsia="zh-CN"/>
        </w:rPr>
        <w:t>，可在留言区对评标委员会打字说明。</w:t>
      </w:r>
    </w:p>
    <w:p w14:paraId="00BC706F">
      <w:pPr>
        <w:numPr>
          <w:ilvl w:val="0"/>
          <w:numId w:val="6"/>
        </w:numPr>
        <w:bidi w:val="0"/>
        <w:rPr>
          <w:rFonts w:hint="default"/>
          <w:lang w:val="en-US" w:eastAsia="zh-CN"/>
        </w:rPr>
      </w:pPr>
      <w:r>
        <w:rPr>
          <w:rFonts w:hint="eastAsia"/>
          <w:lang w:eastAsia="zh-CN"/>
        </w:rPr>
        <w:t>视频画面、共享黑屏、声音消失，应立即检测设备，在规定时间内排除故障，无法排除的应及时联系招标代理。</w:t>
      </w:r>
    </w:p>
    <w:p w14:paraId="4173CCE4">
      <w:pPr>
        <w:pStyle w:val="2"/>
        <w:bidi w:val="0"/>
        <w:rPr>
          <w:rFonts w:hint="eastAsia"/>
        </w:rPr>
      </w:pPr>
      <w:r>
        <w:rPr>
          <w:rFonts w:hint="eastAsia"/>
          <w:lang w:eastAsia="zh-CN"/>
        </w:rPr>
        <w:t>系统操作</w:t>
      </w:r>
    </w:p>
    <w:p w14:paraId="69D15008">
      <w:pPr>
        <w:pStyle w:val="4"/>
        <w:bidi w:val="0"/>
        <w:rPr>
          <w:rFonts w:hint="eastAsia"/>
        </w:rPr>
      </w:pPr>
      <w:r>
        <w:rPr>
          <w:rFonts w:hint="eastAsia"/>
        </w:rPr>
        <w:t xml:space="preserve"> 系统登录</w:t>
      </w:r>
    </w:p>
    <w:p w14:paraId="7B365C3D">
      <w:pPr>
        <w:numPr>
          <w:ilvl w:val="0"/>
          <w:numId w:val="0"/>
        </w:numPr>
        <w:bidi w:val="0"/>
        <w:ind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 打开铜陵市公共资源交易中心官网首页。</w:t>
      </w:r>
    </w:p>
    <w:p w14:paraId="3CF920A9">
      <w:pPr>
        <w:numPr>
          <w:ilvl w:val="0"/>
          <w:numId w:val="0"/>
        </w:numPr>
        <w:bidi w:val="0"/>
        <w:ind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 点击页面中的【平台登录】按钮，进入系统登录界面。</w:t>
      </w:r>
    </w:p>
    <w:p w14:paraId="2677B1B5">
      <w:pPr>
        <w:numPr>
          <w:ilvl w:val="0"/>
          <w:numId w:val="0"/>
        </w:numPr>
        <w:bidi w:val="0"/>
        <w:ind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进入不见面开标大厅</w:t>
      </w:r>
    </w:p>
    <w:p w14:paraId="2F6E7240">
      <w:pPr>
        <w:numPr>
          <w:ilvl w:val="0"/>
          <w:numId w:val="3"/>
        </w:num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在弹出的登录弹窗中，选择「平台登录」标签页。</w:t>
      </w:r>
    </w:p>
    <w:p w14:paraId="7DFAC51E">
      <w:pPr>
        <w:numPr>
          <w:ilvl w:val="0"/>
          <w:numId w:val="3"/>
        </w:num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在「交易平台登录」区域，点击【不见面开标大厅】选项，进入对应系统。</w:t>
      </w:r>
    </w:p>
    <w:p w14:paraId="56BFE5D5">
      <w:pPr>
        <w:numPr>
          <w:ilvl w:val="0"/>
          <w:numId w:val="3"/>
        </w:num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不见面开标大厅登录</w:t>
      </w:r>
    </w:p>
    <w:p w14:paraId="467D816F">
      <w:pPr>
        <w:numPr>
          <w:ilvl w:val="0"/>
          <w:numId w:val="3"/>
        </w:num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进入铜陵市公共资源交易不见面开标大厅页面后，点击页面右上角的【登录】按钮。</w:t>
      </w:r>
    </w:p>
    <w:p w14:paraId="7F8E3CBD">
      <w:pPr>
        <w:numPr>
          <w:ilvl w:val="0"/>
          <w:numId w:val="3"/>
        </w:num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在弹出的身份选择界面中，选择对应身份完成系统登录。</w:t>
      </w:r>
    </w:p>
    <w:p w14:paraId="11D5DDE9">
      <w:pPr>
        <w:pStyle w:val="4"/>
        <w:bidi w:val="0"/>
        <w:rPr>
          <w:rFonts w:hint="eastAsia"/>
        </w:rPr>
      </w:pPr>
      <w:r>
        <w:rPr>
          <w:rFonts w:hint="eastAsia"/>
        </w:rPr>
        <w:t>项目选择与进入</w:t>
      </w:r>
    </w:p>
    <w:p w14:paraId="138B1901">
      <w:pPr>
        <w:numPr>
          <w:ilvl w:val="0"/>
          <w:numId w:val="0"/>
        </w:numPr>
        <w:bidi w:val="0"/>
        <w:ind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 成功登录铜陵市公共资源交易不见面开标平台后，系统默认进入「我的项目」页面，展示当日需参与的开标项目。</w:t>
      </w:r>
    </w:p>
    <w:p w14:paraId="24D6D6D9">
      <w:pPr>
        <w:numPr>
          <w:ilvl w:val="0"/>
          <w:numId w:val="0"/>
        </w:numPr>
        <w:bidi w:val="0"/>
        <w:ind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 在项目列表中，找到需要进入的目标项目并点击，即可进入该项目的开标/询标（答辩）环节。</w:t>
      </w:r>
    </w:p>
    <w:p w14:paraId="11FB48D5">
      <w:pPr>
        <w:numPr>
          <w:ilvl w:val="0"/>
          <w:numId w:val="0"/>
        </w:numPr>
        <w:bidi w:val="0"/>
        <w:ind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 若需查看历史项目，点击左侧菜单栏的「历史项目」选项，即可查看昨日及之前已完成开标的项目。</w:t>
      </w:r>
    </w:p>
    <w:p w14:paraId="55BFBC4C">
      <w:pPr>
        <w:pStyle w:val="4"/>
        <w:bidi w:val="0"/>
        <w:rPr>
          <w:rFonts w:hint="eastAsia"/>
        </w:rPr>
      </w:pPr>
      <w:r>
        <w:rPr>
          <w:rFonts w:hint="eastAsia"/>
        </w:rPr>
        <w:t>视频</w:t>
      </w:r>
      <w:r>
        <w:rPr>
          <w:rFonts w:hint="eastAsia"/>
          <w:lang w:eastAsia="zh-CN"/>
        </w:rPr>
        <w:t>询标（答辩）</w:t>
      </w:r>
      <w:r>
        <w:rPr>
          <w:rFonts w:hint="eastAsia"/>
        </w:rPr>
        <w:t>核心操作（含互动与结束流程）</w:t>
      </w:r>
    </w:p>
    <w:p w14:paraId="363B3DEF">
      <w:pPr>
        <w:pStyle w:val="5"/>
        <w:numPr>
          <w:ilvl w:val="2"/>
          <w:numId w:val="0"/>
        </w:numPr>
        <w:bidi w:val="0"/>
        <w:ind w:leftChars="200"/>
        <w:rPr>
          <w:rFonts w:hint="eastAsia"/>
          <w:b w:val="0"/>
          <w:bCs w:val="0"/>
        </w:rPr>
      </w:pPr>
      <w:r>
        <w:rPr>
          <w:rFonts w:hint="eastAsia"/>
          <w:b w:val="0"/>
          <w:bCs w:val="0"/>
          <w:lang w:val="en-US" w:eastAsia="zh-CN"/>
        </w:rPr>
        <w:t>进入项目后，等待评委端发起询标（答辩）</w:t>
      </w:r>
    </w:p>
    <w:p w14:paraId="5BE4E7DE">
      <w:pPr>
        <w:numPr>
          <w:ilvl w:val="0"/>
          <w:numId w:val="7"/>
        </w:numPr>
        <w:bidi w:val="0"/>
        <w:rPr>
          <w:rFonts w:hint="eastAsia"/>
        </w:rPr>
      </w:pPr>
      <w:r>
        <w:rPr>
          <w:rFonts w:hint="eastAsia"/>
          <w:lang w:val="en-US" w:eastAsia="zh-CN"/>
        </w:rPr>
        <w:t>当评委端发起询标（答辩）后，投标人端将弹出询标（答辩）信息提醒弹窗，显示“您有一条询标（答辩）信息，请点击视频答辩按钮处理！”。</w:t>
      </w:r>
    </w:p>
    <w:p w14:paraId="4B665D35">
      <w:pPr>
        <w:numPr>
          <w:ilvl w:val="0"/>
          <w:numId w:val="7"/>
        </w:numPr>
        <w:bidi w:val="0"/>
        <w:rPr>
          <w:rFonts w:hint="eastAsia"/>
        </w:rPr>
      </w:pPr>
      <w:r>
        <w:rPr>
          <w:rFonts w:hint="eastAsia"/>
          <w:lang w:val="en-US" w:eastAsia="zh-CN"/>
        </w:rPr>
        <w:t>点击弹窗中的【确定】按钮，关闭提醒，进入询标（答辩）准备环节。</w:t>
      </w:r>
    </w:p>
    <w:p w14:paraId="1016BE9F">
      <w:pPr>
        <w:numPr>
          <w:ilvl w:val="0"/>
          <w:numId w:val="7"/>
        </w:numPr>
        <w:bidi w:val="0"/>
        <w:rPr>
          <w:rFonts w:hint="eastAsia"/>
        </w:rPr>
      </w:pPr>
      <w:r>
        <w:rPr>
          <w:rFonts w:hint="eastAsia"/>
          <w:lang w:val="en-US" w:eastAsia="zh-CN"/>
        </w:rPr>
        <w:t>点击【确定】关闭询标（答辩）提醒弹窗后，点击页面右上角的【视频答辩】按钮，进入视频询标（答辩）会议；使用视频答辩功能前，请提前安装谷歌浏览器或360浏览器兼容模式，以保障功能正常运行。</w:t>
      </w:r>
    </w:p>
    <w:p w14:paraId="0F2048B4">
      <w:pPr>
        <w:numPr>
          <w:ilvl w:val="0"/>
          <w:numId w:val="7"/>
        </w:numPr>
        <w:bidi w:val="0"/>
        <w:rPr>
          <w:rFonts w:hint="eastAsia"/>
        </w:rPr>
      </w:pPr>
      <w:r>
        <w:rPr>
          <w:rFonts w:hint="eastAsia"/>
          <w:lang w:val="en-US" w:eastAsia="zh-CN"/>
        </w:rPr>
        <w:t>点击【视频答辩】后，系统将跳转至谷歌浏览器，进入询标（答辩）接收页面，此时页面将弹出询标（答辩）接收确认弹窗，显示“收到来自XX的询标（答辩），是否接收？”，点击弹窗中的【确认】按钮，即可正式进入视频答辩会议界面。</w:t>
      </w:r>
    </w:p>
    <w:p w14:paraId="4B669FFA">
      <w:pPr>
        <w:pStyle w:val="5"/>
        <w:numPr>
          <w:ilvl w:val="2"/>
          <w:numId w:val="0"/>
        </w:numPr>
        <w:bidi w:val="0"/>
        <w:ind w:leftChars="200"/>
        <w:rPr>
          <w:rFonts w:hint="eastAsia"/>
        </w:rPr>
      </w:pPr>
      <w:r>
        <w:rPr>
          <w:rFonts w:hint="eastAsia"/>
        </w:rPr>
        <w:t>权限授权与基础操作</w:t>
      </w:r>
    </w:p>
    <w:p w14:paraId="577B047E">
      <w:pPr>
        <w:numPr>
          <w:ilvl w:val="0"/>
          <w:numId w:val="8"/>
        </w:numPr>
        <w:bidi w:val="0"/>
        <w:rPr>
          <w:rFonts w:hint="eastAsia"/>
        </w:rPr>
      </w:pPr>
      <w:r>
        <w:rPr>
          <w:rFonts w:hint="eastAsia"/>
          <w:lang w:val="en-US" w:eastAsia="zh-CN"/>
        </w:rPr>
        <w:t>权限授权：当进入视频答辩环节时，系统会依次弹出三个权限申请弹窗，需按提示操作完成权限授权，具体步骤如下：</w:t>
      </w:r>
    </w:p>
    <w:p w14:paraId="642C8D3A">
      <w:pPr>
        <w:numPr>
          <w:ilvl w:val="0"/>
          <w:numId w:val="8"/>
        </w:numPr>
        <w:bidi w:val="0"/>
        <w:rPr>
          <w:rFonts w:hint="eastAsia"/>
        </w:rPr>
      </w:pPr>
      <w:r>
        <w:rPr>
          <w:rFonts w:hint="eastAsia"/>
          <w:lang w:val="en-US" w:eastAsia="zh-CN"/>
        </w:rPr>
        <w:t>麦克风权限授权：当第一个弹窗出现（提示申请麦克风权限）时，点击弹窗中的“访问该网站时允许”（或对应选项中的“允许”），完成麦克风权限的授权。</w:t>
      </w:r>
    </w:p>
    <w:p w14:paraId="4CA6F160">
      <w:pPr>
        <w:numPr>
          <w:ilvl w:val="0"/>
          <w:numId w:val="8"/>
        </w:numPr>
        <w:bidi w:val="0"/>
        <w:rPr>
          <w:rFonts w:hint="eastAsia"/>
        </w:rPr>
      </w:pPr>
      <w:r>
        <w:rPr>
          <w:rFonts w:hint="eastAsia"/>
          <w:lang w:val="en-US" w:eastAsia="zh-CN"/>
        </w:rPr>
        <w:t>视频权限授权：紧接着会弹出视频权限申请弹窗，同样点击弹窗中的“访问该网站时允许”（或对应选项中的“允许”），完成视频权限的授权。</w:t>
      </w:r>
    </w:p>
    <w:p w14:paraId="7459C92C">
      <w:pPr>
        <w:numPr>
          <w:ilvl w:val="0"/>
          <w:numId w:val="8"/>
        </w:numPr>
        <w:bidi w:val="0"/>
        <w:rPr>
          <w:rFonts w:hint="eastAsia"/>
        </w:rPr>
      </w:pPr>
      <w:r>
        <w:rPr>
          <w:rFonts w:hint="eastAsia"/>
          <w:lang w:val="en-US" w:eastAsia="zh-CN"/>
        </w:rPr>
        <w:t>屏幕共享权限授权：最后会弹出屏幕共享权限申请弹窗，点击弹窗中的“允许”，完成屏幕共享权限的授权。</w:t>
      </w:r>
    </w:p>
    <w:p w14:paraId="050ACB27">
      <w:pPr>
        <w:numPr>
          <w:ilvl w:val="0"/>
          <w:numId w:val="8"/>
        </w:numPr>
        <w:bidi w:val="0"/>
        <w:rPr>
          <w:rFonts w:hint="eastAsia"/>
        </w:rPr>
      </w:pPr>
      <w:r>
        <w:rPr>
          <w:rFonts w:hint="eastAsia"/>
          <w:lang w:val="en-US" w:eastAsia="zh-CN"/>
        </w:rPr>
        <w:t>完成以上三步权限的依次授权后，即可正常进入视频答辩会议界面。</w:t>
      </w:r>
    </w:p>
    <w:p w14:paraId="128B5F3E">
      <w:pPr>
        <w:numPr>
          <w:ilvl w:val="0"/>
          <w:numId w:val="8"/>
        </w:numPr>
        <w:bidi w:val="0"/>
        <w:rPr>
          <w:rFonts w:hint="eastAsia"/>
        </w:rPr>
      </w:pPr>
      <w:r>
        <w:rPr>
          <w:rFonts w:hint="eastAsia"/>
          <w:lang w:val="en-US" w:eastAsia="zh-CN"/>
        </w:rPr>
        <w:t>音视频与屏幕共享控制：完成所有权限授权后，可通过页面下方的功能按钮，手动控制音视频与屏幕共享状态——解除静音（控制麦克风开关）、开始视频（控制摄像头开关）、屏幕共享（控制屏幕分享开关）。</w:t>
      </w:r>
    </w:p>
    <w:p w14:paraId="73D57D1B">
      <w:pPr>
        <w:numPr>
          <w:ilvl w:val="0"/>
          <w:numId w:val="8"/>
        </w:numPr>
        <w:bidi w:val="0"/>
        <w:rPr>
          <w:rFonts w:hint="eastAsia"/>
        </w:rPr>
      </w:pPr>
      <w:r>
        <w:rPr>
          <w:rFonts w:hint="eastAsia"/>
          <w:lang w:val="en-US" w:eastAsia="zh-CN"/>
        </w:rPr>
        <w:t>屏幕共享操作：完成权限授权后，如需开启屏幕共享，在屏幕共享选择界面选中需要共享的桌面/窗口内容，点击界面右下角的【分享】按钮，即可向评委端共享所选屏幕内容。</w:t>
      </w:r>
    </w:p>
    <w:p w14:paraId="0BFBFF5B">
      <w:pPr>
        <w:numPr>
          <w:ilvl w:val="0"/>
          <w:numId w:val="8"/>
        </w:numPr>
        <w:bidi w:val="0"/>
        <w:rPr>
          <w:rFonts w:hint="eastAsia"/>
        </w:rPr>
      </w:pPr>
      <w:r>
        <w:rPr>
          <w:rFonts w:hint="eastAsia"/>
          <w:lang w:val="en-US" w:eastAsia="zh-CN"/>
        </w:rPr>
        <w:t>视频源与屏幕共享切换：在视频答辩会议界面中，可通过右上角的设备选择区域，灵活切换视频输入源（点击红框标注的设备下拉菜单，可在摄像头与虚拟屏幕之间切换），同时通过界面底部控制屏幕共享的“停止分享”或“隐藏”操作。</w:t>
      </w:r>
    </w:p>
    <w:p w14:paraId="758BCAA4">
      <w:pPr>
        <w:pStyle w:val="5"/>
        <w:numPr>
          <w:ilvl w:val="2"/>
          <w:numId w:val="0"/>
        </w:numPr>
        <w:bidi w:val="0"/>
        <w:ind w:leftChars="200"/>
        <w:rPr>
          <w:rFonts w:hint="eastAsia"/>
        </w:rPr>
      </w:pPr>
      <w:r>
        <w:rPr>
          <w:rFonts w:hint="eastAsia"/>
        </w:rPr>
        <w:t>互动交流操作</w:t>
      </w:r>
    </w:p>
    <w:p w14:paraId="189C3C32">
      <w:pPr>
        <w:numPr>
          <w:ilvl w:val="0"/>
          <w:numId w:val="9"/>
        </w:numPr>
        <w:bidi w:val="0"/>
        <w:rPr>
          <w:rFonts w:hint="eastAsia"/>
        </w:rPr>
      </w:pPr>
      <w:r>
        <w:rPr>
          <w:rFonts w:hint="eastAsia"/>
          <w:lang w:val="en-US" w:eastAsia="zh-CN"/>
        </w:rPr>
        <w:t>在视频答辩/会议过程中，可通过界面右侧的交流模块完成双向互动，具体操作如下：</w:t>
      </w:r>
    </w:p>
    <w:p w14:paraId="4D4703EB">
      <w:pPr>
        <w:numPr>
          <w:ilvl w:val="0"/>
          <w:numId w:val="9"/>
        </w:numPr>
        <w:bidi w:val="0"/>
        <w:rPr>
          <w:rFonts w:hint="eastAsia"/>
        </w:rPr>
      </w:pPr>
      <w:r>
        <w:rPr>
          <w:rFonts w:hint="eastAsia"/>
          <w:lang w:val="en-US" w:eastAsia="zh-CN"/>
        </w:rPr>
        <w:t>查看评委信息：在交流区域，可实时查看评委端发送的文字、文件等各类信息，清晰掌握沟通内容。</w:t>
      </w:r>
    </w:p>
    <w:p w14:paraId="6320DE72">
      <w:pPr>
        <w:numPr>
          <w:ilvl w:val="0"/>
          <w:numId w:val="9"/>
        </w:numPr>
        <w:bidi w:val="0"/>
        <w:rPr>
          <w:rFonts w:hint="eastAsia"/>
        </w:rPr>
      </w:pPr>
      <w:r>
        <w:rPr>
          <w:rFonts w:hint="eastAsia"/>
          <w:lang w:val="en-US" w:eastAsia="zh-CN"/>
        </w:rPr>
        <w:t>发送内容：</w:t>
      </w:r>
    </w:p>
    <w:p w14:paraId="156597F0">
      <w:pPr>
        <w:numPr>
          <w:ilvl w:val="0"/>
          <w:numId w:val="0"/>
        </w:numPr>
        <w:bidi w:val="0"/>
        <w:ind w:firstLine="320" w:firstLineChars="100"/>
        <w:rPr>
          <w:rFonts w:hint="eastAsia"/>
        </w:rPr>
      </w:pPr>
      <w:r>
        <w:rPr>
          <w:rFonts w:hint="eastAsia"/>
          <w:lang w:val="en-US" w:eastAsia="zh-CN"/>
        </w:rPr>
        <w:t>文字输入：在交流输入框中，输入需要发送的文字内容，点击发送即可传递信息。</w:t>
      </w:r>
    </w:p>
    <w:p w14:paraId="56A1B109">
      <w:pPr>
        <w:numPr>
          <w:ilvl w:val="0"/>
          <w:numId w:val="0"/>
        </w:numPr>
        <w:bidi w:val="0"/>
        <w:ind w:firstLine="320" w:firstLineChars="100"/>
        <w:rPr>
          <w:rFonts w:hint="eastAsia"/>
          <w:lang w:val="en-US" w:eastAsia="zh-CN"/>
        </w:rPr>
      </w:pPr>
      <w:r>
        <w:rPr>
          <w:rFonts w:hint="eastAsia"/>
          <w:lang w:val="en-US" w:eastAsia="zh-CN"/>
        </w:rPr>
        <w:t>文件上传：如需上传文件，点击输入框旁的上传按钮，选择对应文件完成上传，供评委查看。</w:t>
      </w:r>
    </w:p>
    <w:p w14:paraId="3F371EF2">
      <w:pPr>
        <w:pStyle w:val="4"/>
        <w:bidi w:val="0"/>
        <w:rPr>
          <w:rFonts w:hint="default"/>
          <w:lang w:val="en-US" w:eastAsia="zh-CN"/>
        </w:rPr>
      </w:pPr>
      <w:r>
        <w:rPr>
          <w:rFonts w:hint="eastAsia"/>
          <w:lang w:val="en-US" w:eastAsia="zh-CN"/>
        </w:rPr>
        <w:t>评标资料确认盖章</w:t>
      </w:r>
    </w:p>
    <w:p w14:paraId="4A57EB64">
      <w:pPr>
        <w:numPr>
          <w:ilvl w:val="0"/>
          <w:numId w:val="0"/>
        </w:numPr>
        <w:bidi w:val="0"/>
        <w:ind w:firstLine="320" w:firstLineChars="100"/>
        <w:rPr>
          <w:rFonts w:hint="eastAsia"/>
          <w:lang w:val="en-US" w:eastAsia="zh-CN"/>
        </w:rPr>
      </w:pPr>
      <w:r>
        <w:rPr>
          <w:rFonts w:hint="eastAsia"/>
          <w:lang w:val="en-US" w:eastAsia="zh-CN"/>
        </w:rPr>
        <w:t>当评标过程中，评标委员会需要投标人电子签章确认的，评委将通知功能向投标人发起问询，投标人应当随时关注系统提示并在规定时间内于系统中回复问询内容，并签字盖章：</w:t>
      </w:r>
    </w:p>
    <w:p w14:paraId="30038CA5">
      <w:pPr>
        <w:pStyle w:val="4"/>
        <w:bidi w:val="0"/>
        <w:rPr>
          <w:rFonts w:hint="eastAsia"/>
        </w:rPr>
      </w:pPr>
      <w:bookmarkStart w:id="0" w:name="_GoBack"/>
      <w:bookmarkEnd w:id="0"/>
      <w:r>
        <w:rPr>
          <w:rFonts w:hint="eastAsia"/>
        </w:rPr>
        <w:t xml:space="preserve"> 流程结束操作</w:t>
      </w:r>
    </w:p>
    <w:p w14:paraId="7987B924">
      <w:pPr>
        <w:numPr>
          <w:ilvl w:val="0"/>
          <w:numId w:val="10"/>
        </w:numPr>
        <w:bidi w:val="0"/>
        <w:rPr>
          <w:rFonts w:hint="eastAsia"/>
        </w:rPr>
      </w:pPr>
      <w:r>
        <w:rPr>
          <w:rFonts w:hint="eastAsia"/>
          <w:lang w:val="en-US" w:eastAsia="zh-CN"/>
        </w:rPr>
        <w:t>结束屏幕共享：视频答辩结束后，如需手动结束屏幕共享，点击页面下方的【结束共享】按钮，在弹出的提示栏中点击【停止分享】按钮，即可终止屏幕共享。</w:t>
      </w:r>
    </w:p>
    <w:p w14:paraId="678ADF67">
      <w:pPr>
        <w:numPr>
          <w:ilvl w:val="0"/>
          <w:numId w:val="10"/>
        </w:numPr>
        <w:bidi w:val="0"/>
        <w:rPr>
          <w:rFonts w:hint="eastAsia"/>
        </w:rPr>
      </w:pPr>
      <w:r>
        <w:rPr>
          <w:rFonts w:hint="eastAsia"/>
          <w:lang w:val="en-US" w:eastAsia="zh-CN"/>
        </w:rPr>
        <w:t>投标人端结束视频答辩：当投标人端手动结束视频答辩后，系统将弹出提示弹窗，内容为“桌面共享已断，请在浏览器弹出的共享窗口选择屏幕并点击分享，页面将自动刷新！”，点击【确认】按钮即可完成操作。</w:t>
      </w:r>
    </w:p>
    <w:p w14:paraId="225E8711">
      <w:pPr>
        <w:numPr>
          <w:ilvl w:val="0"/>
          <w:numId w:val="10"/>
        </w:numPr>
        <w:bidi w:val="0"/>
        <w:rPr>
          <w:rFonts w:hint="eastAsia"/>
        </w:rPr>
      </w:pPr>
      <w:r>
        <w:rPr>
          <w:rFonts w:hint="eastAsia"/>
          <w:lang w:val="en-US" w:eastAsia="zh-CN"/>
        </w:rPr>
        <w:t>评委端结束视频答辩：若由评委端主动结束视频答辩，投标人端将弹出对应提示弹窗，提示内容为“评委已结束本次视频答辩，本次视频询标（答辩）已终止”，点击【确认】按钮即可关闭弹窗，完成本次视频询标（答辩）流程。</w:t>
      </w:r>
    </w:p>
    <w:p w14:paraId="3608CEEB">
      <w:pPr>
        <w:numPr>
          <w:ilvl w:val="0"/>
          <w:numId w:val="0"/>
        </w:numPr>
        <w:rPr>
          <w:rFonts w:hint="eastAsia"/>
        </w:rPr>
      </w:pPr>
      <w:r>
        <w:rPr>
          <w:rFonts w:hint="eastAsia"/>
          <w:lang w:val="en-US" w:eastAsia="zh-CN"/>
        </w:rPr>
        <w:br w:type="page"/>
      </w:r>
    </w:p>
    <w:p w14:paraId="77B9AF6E">
      <w:pPr>
        <w:numPr>
          <w:ilvl w:val="0"/>
          <w:numId w:val="0"/>
        </w:numPr>
        <w:ind w:leftChars="0"/>
        <w:jc w:val="both"/>
        <w:rPr>
          <w:rFonts w:hint="eastAsia" w:ascii="仿宋" w:hAnsi="仿宋" w:eastAsia="仿宋" w:cs="仿宋"/>
          <w:sz w:val="52"/>
          <w:szCs w:val="52"/>
          <w:lang w:val="en-US" w:eastAsia="zh-CN"/>
        </w:rPr>
      </w:pPr>
    </w:p>
    <w:p w14:paraId="07B9DBE2">
      <w:pPr>
        <w:numPr>
          <w:ilvl w:val="0"/>
          <w:numId w:val="0"/>
        </w:numPr>
        <w:ind w:leftChars="0"/>
        <w:jc w:val="center"/>
        <w:rPr>
          <w:rFonts w:hint="eastAsia" w:ascii="方正小标宋简体" w:hAnsi="方正小标宋简体" w:eastAsia="方正小标宋简体" w:cs="方正小标宋简体"/>
          <w:sz w:val="44"/>
          <w:szCs w:val="44"/>
          <w:lang w:val="en-US" w:eastAsia="zh-CN"/>
        </w:rPr>
        <w:sectPr>
          <w:pgSz w:w="11906" w:h="16838"/>
          <w:pgMar w:top="1440" w:right="1800" w:bottom="1440" w:left="1800" w:header="851" w:footer="992" w:gutter="0"/>
          <w:cols w:space="425" w:num="1"/>
          <w:docGrid w:type="lines" w:linePitch="312" w:charSpace="0"/>
        </w:sectPr>
      </w:pPr>
      <w:r>
        <w:rPr>
          <w:rFonts w:hint="eastAsia" w:ascii="方正小标宋简体" w:hAnsi="方正小标宋简体" w:eastAsia="方正小标宋简体" w:cs="方正小标宋简体"/>
          <w:sz w:val="44"/>
          <w:szCs w:val="44"/>
          <w:lang w:val="en-US" w:eastAsia="zh-CN"/>
        </w:rPr>
        <w:t>铜陵市公共资源交易中心视频询标操作手册——投标人端（图文版）</w:t>
      </w:r>
    </w:p>
    <w:p w14:paraId="5A539FE0">
      <w:pPr>
        <w:numPr>
          <w:ilvl w:val="-1"/>
          <w:numId w:val="0"/>
        </w:numPr>
        <w:adjustRightInd/>
        <w:snapToGrid/>
        <w:spacing w:after="0" w:afterLines="-2147483648" w:line="240" w:lineRule="auto"/>
        <w:ind w:left="0" w:firstLine="0"/>
        <w:jc w:val="center"/>
        <w:rPr>
          <w:rFonts w:asciiTheme="minorHAnsi" w:hAnsiTheme="minorHAnsi" w:eastAsiaTheme="minorEastAsia"/>
          <w:sz w:val="21"/>
          <w:szCs w:val="24"/>
        </w:rPr>
      </w:pPr>
    </w:p>
    <w:p w14:paraId="4D390C47">
      <w:pPr>
        <w:numPr>
          <w:ilvl w:val="0"/>
          <w:numId w:val="0"/>
        </w:numPr>
        <w:adjustRightInd/>
        <w:snapToGrid/>
        <w:spacing w:after="0" w:afterLines="-2147483648" w:line="240" w:lineRule="auto"/>
        <w:ind w:left="0" w:leftChars="0" w:firstLine="0"/>
        <w:jc w:val="both"/>
        <w:rPr>
          <w:rFonts w:hint="default" w:ascii="仿宋" w:hAnsi="仿宋" w:eastAsia="仿宋" w:cs="仿宋"/>
          <w:b/>
          <w:bCs/>
          <w:sz w:val="28"/>
          <w:szCs w:val="28"/>
          <w:lang w:val="en-US" w:eastAsia="zh-CN"/>
        </w:rPr>
      </w:pPr>
      <w:r>
        <w:rPr>
          <w:rFonts w:hint="eastAsia" w:asciiTheme="minorHAnsi" w:hAnsiTheme="minorHAnsi" w:eastAsiaTheme="minorEastAsia"/>
          <w:sz w:val="21"/>
          <w:szCs w:val="24"/>
          <w:lang w:val="en-US" w:eastAsia="zh-CN"/>
        </w:rPr>
        <w:t>1、</w:t>
      </w:r>
      <w:r>
        <w:rPr>
          <w:rFonts w:hint="eastAsia" w:ascii="仿宋" w:hAnsi="仿宋" w:eastAsia="仿宋" w:cs="仿宋"/>
          <w:sz w:val="28"/>
          <w:szCs w:val="28"/>
          <w:lang w:val="en-US" w:eastAsia="zh-CN"/>
        </w:rPr>
        <w:t>登录铜陵市公共资源交易中心官网，主页点击</w:t>
      </w:r>
      <w:r>
        <w:rPr>
          <w:rFonts w:hint="eastAsia" w:ascii="仿宋" w:hAnsi="仿宋" w:eastAsia="仿宋" w:cs="仿宋"/>
          <w:b/>
          <w:bCs/>
          <w:sz w:val="28"/>
          <w:szCs w:val="28"/>
          <w:lang w:val="en-US" w:eastAsia="zh-CN"/>
        </w:rPr>
        <w:t>登录平台</w:t>
      </w:r>
    </w:p>
    <w:p w14:paraId="2D77C407">
      <w:pPr>
        <w:numPr>
          <w:ilvl w:val="-1"/>
          <w:numId w:val="0"/>
        </w:numPr>
        <w:adjustRightInd/>
        <w:snapToGrid/>
        <w:spacing w:after="0" w:afterLines="-2147483648" w:line="240" w:lineRule="auto"/>
        <w:ind w:left="0" w:firstLine="400"/>
        <w:jc w:val="both"/>
        <w:rPr>
          <w:rFonts w:asciiTheme="minorHAnsi" w:hAnsiTheme="minorHAnsi" w:eastAsiaTheme="minorEastAsia"/>
          <w:sz w:val="21"/>
          <w:szCs w:val="24"/>
        </w:rPr>
      </w:pPr>
      <w:r>
        <w:rPr>
          <w:rFonts w:asciiTheme="minorHAnsi" w:hAnsiTheme="minorHAnsi" w:eastAsiaTheme="minorEastAsia"/>
          <w:sz w:val="21"/>
          <w:szCs w:val="24"/>
        </w:rPr>
        <w:drawing>
          <wp:inline distT="0" distB="0" distL="114300" distR="114300">
            <wp:extent cx="5266690" cy="2458085"/>
            <wp:effectExtent l="0" t="0" r="10160" b="184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66690" cy="2458085"/>
                    </a:xfrm>
                    <a:prstGeom prst="rect">
                      <a:avLst/>
                    </a:prstGeom>
                    <a:noFill/>
                    <a:ln>
                      <a:noFill/>
                    </a:ln>
                  </pic:spPr>
                </pic:pic>
              </a:graphicData>
            </a:graphic>
          </wp:inline>
        </w:drawing>
      </w:r>
    </w:p>
    <w:p w14:paraId="4D907506">
      <w:pPr>
        <w:numPr>
          <w:ilvl w:val="0"/>
          <w:numId w:val="0"/>
        </w:numPr>
        <w:adjustRightInd/>
        <w:snapToGrid/>
        <w:spacing w:after="0" w:afterLines="-2147483648" w:line="240" w:lineRule="auto"/>
        <w:ind w:left="0" w:leftChars="0" w:firstLine="0"/>
        <w:jc w:val="both"/>
        <w:rPr>
          <w:rFonts w:hint="default" w:ascii="仿宋" w:hAnsi="仿宋" w:eastAsia="仿宋" w:cs="仿宋"/>
          <w:b/>
          <w:bCs/>
          <w:sz w:val="28"/>
          <w:szCs w:val="28"/>
          <w:lang w:val="en-US" w:eastAsia="zh-CN"/>
        </w:rPr>
      </w:pPr>
      <w:r>
        <w:rPr>
          <w:rFonts w:hint="eastAsia" w:asciiTheme="minorHAnsi" w:hAnsiTheme="minorHAnsi" w:eastAsiaTheme="minorEastAsia"/>
          <w:sz w:val="21"/>
          <w:szCs w:val="24"/>
          <w:lang w:val="en-US" w:eastAsia="zh-CN"/>
        </w:rPr>
        <w:t>2、</w:t>
      </w:r>
      <w:r>
        <w:rPr>
          <w:rFonts w:hint="eastAsia" w:ascii="仿宋" w:hAnsi="仿宋" w:eastAsia="仿宋" w:cs="仿宋"/>
          <w:sz w:val="28"/>
          <w:szCs w:val="28"/>
          <w:lang w:val="en-US" w:eastAsia="zh-CN"/>
        </w:rPr>
        <w:t>先点击</w:t>
      </w:r>
      <w:r>
        <w:rPr>
          <w:rFonts w:hint="eastAsia" w:ascii="仿宋" w:hAnsi="仿宋" w:eastAsia="仿宋" w:cs="仿宋"/>
          <w:b/>
          <w:bCs/>
          <w:sz w:val="28"/>
          <w:szCs w:val="28"/>
          <w:lang w:val="en-US" w:eastAsia="zh-CN"/>
        </w:rPr>
        <w:t>平台登录</w:t>
      </w:r>
      <w:r>
        <w:rPr>
          <w:rFonts w:hint="eastAsia" w:ascii="仿宋" w:hAnsi="仿宋" w:eastAsia="仿宋" w:cs="仿宋"/>
          <w:sz w:val="28"/>
          <w:szCs w:val="28"/>
          <w:lang w:val="en-US" w:eastAsia="zh-CN"/>
        </w:rPr>
        <w:t>，再选择</w:t>
      </w:r>
      <w:r>
        <w:rPr>
          <w:rFonts w:hint="eastAsia" w:ascii="仿宋" w:hAnsi="仿宋" w:eastAsia="仿宋" w:cs="仿宋"/>
          <w:b/>
          <w:bCs/>
          <w:sz w:val="28"/>
          <w:szCs w:val="28"/>
          <w:lang w:val="en-US" w:eastAsia="zh-CN"/>
        </w:rPr>
        <w:t>不见面开标大厅</w:t>
      </w:r>
    </w:p>
    <w:p w14:paraId="66CC0FE4">
      <w:pPr>
        <w:numPr>
          <w:ilvl w:val="-1"/>
          <w:numId w:val="0"/>
        </w:numPr>
        <w:adjustRightInd/>
        <w:snapToGrid/>
        <w:spacing w:after="0" w:afterLines="-2147483648" w:line="240" w:lineRule="auto"/>
        <w:ind w:left="0" w:firstLine="400"/>
        <w:jc w:val="both"/>
        <w:rPr>
          <w:rFonts w:asciiTheme="minorHAnsi" w:hAnsiTheme="minorHAnsi" w:eastAsiaTheme="minorEastAsia"/>
          <w:sz w:val="21"/>
          <w:szCs w:val="24"/>
        </w:rPr>
      </w:pPr>
      <w:r>
        <w:rPr>
          <w:rFonts w:asciiTheme="minorHAnsi" w:hAnsiTheme="minorHAnsi" w:eastAsiaTheme="minorEastAsia"/>
          <w:sz w:val="21"/>
          <w:szCs w:val="24"/>
        </w:rPr>
        <w:drawing>
          <wp:inline distT="0" distB="0" distL="114300" distR="114300">
            <wp:extent cx="5266690" cy="2458085"/>
            <wp:effectExtent l="0" t="0" r="10160"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5266690" cy="2458085"/>
                    </a:xfrm>
                    <a:prstGeom prst="rect">
                      <a:avLst/>
                    </a:prstGeom>
                    <a:noFill/>
                    <a:ln>
                      <a:noFill/>
                    </a:ln>
                  </pic:spPr>
                </pic:pic>
              </a:graphicData>
            </a:graphic>
          </wp:inline>
        </w:drawing>
      </w:r>
    </w:p>
    <w:p w14:paraId="419CF373">
      <w:pPr>
        <w:numPr>
          <w:ilvl w:val="-1"/>
          <w:numId w:val="0"/>
        </w:numPr>
        <w:adjustRightInd/>
        <w:snapToGrid/>
        <w:spacing w:after="0" w:afterLines="-2147483648" w:line="240" w:lineRule="auto"/>
        <w:ind w:left="0" w:firstLine="400"/>
        <w:jc w:val="both"/>
        <w:rPr>
          <w:rFonts w:hint="default" w:ascii="仿宋" w:hAnsi="仿宋" w:eastAsia="仿宋" w:cs="仿宋"/>
          <w:sz w:val="28"/>
          <w:szCs w:val="28"/>
          <w:lang w:val="en-US" w:eastAsia="zh-CN"/>
        </w:rPr>
      </w:pPr>
      <w:r>
        <w:rPr>
          <w:rFonts w:hint="eastAsia" w:asciiTheme="minorHAnsi" w:hAnsiTheme="minorHAnsi" w:eastAsiaTheme="minorEastAsia"/>
          <w:sz w:val="21"/>
          <w:szCs w:val="24"/>
          <w:lang w:val="en-US" w:eastAsia="zh-CN"/>
        </w:rPr>
        <w:t>3、</w:t>
      </w:r>
      <w:r>
        <w:rPr>
          <w:rFonts w:hint="eastAsia" w:ascii="仿宋" w:hAnsi="仿宋" w:eastAsia="仿宋" w:cs="仿宋"/>
          <w:sz w:val="28"/>
          <w:szCs w:val="28"/>
          <w:lang w:val="en-US" w:eastAsia="zh-CN"/>
        </w:rPr>
        <w:t>进入不见面开标大厅点击右上角</w:t>
      </w:r>
      <w:r>
        <w:rPr>
          <w:rFonts w:hint="eastAsia" w:ascii="仿宋" w:hAnsi="仿宋" w:eastAsia="仿宋" w:cs="仿宋"/>
          <w:b/>
          <w:bCs/>
          <w:sz w:val="28"/>
          <w:szCs w:val="28"/>
          <w:lang w:val="en-US" w:eastAsia="zh-CN"/>
        </w:rPr>
        <w:t>登录</w:t>
      </w:r>
      <w:r>
        <w:rPr>
          <w:rFonts w:hint="eastAsia" w:ascii="仿宋" w:hAnsi="仿宋" w:eastAsia="仿宋" w:cs="仿宋"/>
          <w:sz w:val="28"/>
          <w:szCs w:val="28"/>
          <w:lang w:val="en-US" w:eastAsia="zh-CN"/>
        </w:rPr>
        <w:t>进行选择身份登录</w:t>
      </w:r>
    </w:p>
    <w:p w14:paraId="2556316E">
      <w:pPr>
        <w:numPr>
          <w:ilvl w:val="-1"/>
          <w:numId w:val="0"/>
        </w:numPr>
        <w:adjustRightInd/>
        <w:snapToGrid/>
        <w:spacing w:after="0" w:afterLines="-2147483648" w:line="240" w:lineRule="auto"/>
        <w:ind w:left="0" w:firstLine="4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6690" cy="2458085"/>
            <wp:effectExtent l="0" t="0" r="10160" b="184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5266690" cy="2458085"/>
                    </a:xfrm>
                    <a:prstGeom prst="rect">
                      <a:avLst/>
                    </a:prstGeom>
                    <a:noFill/>
                    <a:ln>
                      <a:noFill/>
                    </a:ln>
                  </pic:spPr>
                </pic:pic>
              </a:graphicData>
            </a:graphic>
          </wp:inline>
        </w:drawing>
      </w:r>
    </w:p>
    <w:p w14:paraId="5CB88CF1">
      <w:pPr>
        <w:numPr>
          <w:ilvl w:val="-1"/>
          <w:numId w:val="0"/>
        </w:numPr>
        <w:adjustRightInd/>
        <w:snapToGrid/>
        <w:spacing w:after="0" w:afterLines="-2147483648" w:line="240" w:lineRule="auto"/>
        <w:ind w:left="0" w:firstLine="4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4、登录进入铜陵市公共资源交易不见面开标平台，选择需要进去的</w:t>
      </w:r>
      <w:r>
        <w:rPr>
          <w:rFonts w:hint="eastAsia" w:ascii="仿宋" w:hAnsi="仿宋" w:eastAsia="仿宋" w:cs="仿宋"/>
          <w:b/>
          <w:bCs/>
          <w:sz w:val="28"/>
          <w:szCs w:val="28"/>
          <w:lang w:val="en-US" w:eastAsia="zh-CN"/>
        </w:rPr>
        <w:t>项目</w:t>
      </w:r>
      <w:r>
        <w:rPr>
          <w:rFonts w:hint="eastAsia" w:ascii="仿宋" w:hAnsi="仿宋" w:eastAsia="仿宋" w:cs="仿宋"/>
          <w:sz w:val="28"/>
          <w:szCs w:val="28"/>
          <w:lang w:val="en-US" w:eastAsia="zh-CN"/>
        </w:rPr>
        <w:t>。（</w:t>
      </w:r>
      <w:r>
        <w:rPr>
          <w:rFonts w:hint="eastAsia" w:ascii="仿宋" w:hAnsi="仿宋" w:eastAsia="仿宋" w:cs="仿宋"/>
          <w:sz w:val="30"/>
          <w:szCs w:val="30"/>
          <w:highlight w:val="none"/>
          <w:lang w:val="en-US" w:eastAsia="zh-CN"/>
        </w:rPr>
        <w:t>今日开标项目请在“我的项目”中查看，昨天及以前的项目请在“历史项目”中查找</w:t>
      </w:r>
      <w:r>
        <w:rPr>
          <w:rFonts w:hint="eastAsia" w:ascii="仿宋" w:hAnsi="仿宋" w:eastAsia="仿宋" w:cs="仿宋"/>
          <w:sz w:val="28"/>
          <w:szCs w:val="28"/>
          <w:lang w:val="en-US" w:eastAsia="zh-CN"/>
        </w:rPr>
        <w:t>）</w:t>
      </w:r>
    </w:p>
    <w:p w14:paraId="2613486B">
      <w:pPr>
        <w:numPr>
          <w:ilvl w:val="-1"/>
          <w:numId w:val="0"/>
        </w:numPr>
        <w:adjustRightInd/>
        <w:snapToGrid/>
        <w:spacing w:after="0" w:afterLines="-2147483648" w:line="240" w:lineRule="auto"/>
        <w:ind w:left="0" w:firstLine="400"/>
        <w:jc w:val="both"/>
        <w:rPr>
          <w:rFonts w:asciiTheme="minorHAnsi" w:hAnsiTheme="minorHAnsi" w:eastAsiaTheme="minorEastAsia"/>
          <w:sz w:val="21"/>
          <w:szCs w:val="24"/>
        </w:rPr>
      </w:pPr>
      <w:r>
        <w:rPr>
          <w:rFonts w:asciiTheme="minorHAnsi" w:hAnsiTheme="minorHAnsi" w:eastAsiaTheme="minorEastAsia"/>
          <w:sz w:val="21"/>
          <w:szCs w:val="24"/>
        </w:rPr>
        <w:drawing>
          <wp:inline distT="0" distB="0" distL="114300" distR="114300">
            <wp:extent cx="5266690" cy="2458085"/>
            <wp:effectExtent l="0" t="0" r="10160" b="184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266690" cy="2458085"/>
                    </a:xfrm>
                    <a:prstGeom prst="rect">
                      <a:avLst/>
                    </a:prstGeom>
                    <a:noFill/>
                    <a:ln>
                      <a:noFill/>
                    </a:ln>
                  </pic:spPr>
                </pic:pic>
              </a:graphicData>
            </a:graphic>
          </wp:inline>
        </w:drawing>
      </w:r>
    </w:p>
    <w:p w14:paraId="60329D1F">
      <w:pPr>
        <w:numPr>
          <w:ilvl w:val="-1"/>
          <w:numId w:val="0"/>
        </w:numPr>
        <w:adjustRightInd/>
        <w:snapToGrid/>
        <w:spacing w:after="0" w:afterLines="-2147483648" w:line="240" w:lineRule="auto"/>
        <w:ind w:left="0" w:firstLine="4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5、进入项目等待评委端发起询标，评委端发起询标后，投标人端出现弹窗提醒点击</w:t>
      </w:r>
      <w:r>
        <w:rPr>
          <w:rFonts w:hint="eastAsia" w:ascii="仿宋" w:hAnsi="仿宋" w:eastAsia="仿宋" w:cs="仿宋"/>
          <w:b/>
          <w:bCs/>
          <w:sz w:val="28"/>
          <w:szCs w:val="28"/>
          <w:lang w:val="en-US" w:eastAsia="zh-CN"/>
        </w:rPr>
        <w:t>确定</w:t>
      </w:r>
      <w:r>
        <w:rPr>
          <w:rFonts w:hint="eastAsia" w:ascii="仿宋" w:hAnsi="仿宋" w:eastAsia="仿宋" w:cs="仿宋"/>
          <w:sz w:val="28"/>
          <w:szCs w:val="28"/>
          <w:lang w:val="en-US" w:eastAsia="zh-CN"/>
        </w:rPr>
        <w:t>。</w:t>
      </w:r>
    </w:p>
    <w:p w14:paraId="5AE5FA08">
      <w:pPr>
        <w:numPr>
          <w:ilvl w:val="-1"/>
          <w:numId w:val="0"/>
        </w:numPr>
        <w:adjustRightInd/>
        <w:snapToGrid/>
        <w:spacing w:after="0" w:afterLines="-2147483648" w:line="240" w:lineRule="auto"/>
        <w:ind w:left="0" w:firstLine="400"/>
        <w:jc w:val="both"/>
        <w:rPr>
          <w:rFonts w:asciiTheme="minorHAnsi" w:hAnsiTheme="minorHAnsi" w:eastAsiaTheme="minorEastAsia"/>
          <w:sz w:val="21"/>
          <w:szCs w:val="24"/>
        </w:rPr>
      </w:pPr>
      <w:r>
        <w:rPr>
          <w:rFonts w:asciiTheme="minorHAnsi" w:hAnsiTheme="minorHAnsi" w:eastAsiaTheme="minorEastAsia"/>
          <w:sz w:val="21"/>
          <w:szCs w:val="24"/>
        </w:rPr>
        <w:drawing>
          <wp:inline distT="0" distB="0" distL="114300" distR="114300">
            <wp:extent cx="5263515" cy="2443480"/>
            <wp:effectExtent l="0" t="0" r="13335" b="139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5263515" cy="2443480"/>
                    </a:xfrm>
                    <a:prstGeom prst="rect">
                      <a:avLst/>
                    </a:prstGeom>
                    <a:noFill/>
                    <a:ln>
                      <a:noFill/>
                    </a:ln>
                  </pic:spPr>
                </pic:pic>
              </a:graphicData>
            </a:graphic>
          </wp:inline>
        </w:drawing>
      </w:r>
    </w:p>
    <w:p w14:paraId="78674AB1">
      <w:pPr>
        <w:numPr>
          <w:ilvl w:val="-1"/>
          <w:numId w:val="0"/>
        </w:numPr>
        <w:adjustRightInd/>
        <w:snapToGrid/>
        <w:spacing w:after="0" w:afterLines="-2147483648" w:line="240" w:lineRule="auto"/>
        <w:ind w:left="0" w:firstLine="400"/>
        <w:jc w:val="both"/>
        <w:rPr>
          <w:rFonts w:hint="default" w:asciiTheme="minorHAnsi" w:hAnsiTheme="minorHAnsi" w:eastAsiaTheme="minorEastAsia"/>
          <w:b w:val="0"/>
          <w:bCs w:val="0"/>
          <w:color w:val="FF0000"/>
          <w:sz w:val="21"/>
          <w:szCs w:val="24"/>
          <w:lang w:val="en-US" w:eastAsia="zh-CN"/>
        </w:rPr>
      </w:pPr>
      <w:r>
        <w:rPr>
          <w:rFonts w:hint="eastAsia" w:asciiTheme="minorHAnsi" w:hAnsiTheme="minorHAnsi" w:eastAsiaTheme="minorEastAsia"/>
          <w:sz w:val="21"/>
          <w:szCs w:val="24"/>
          <w:lang w:val="en-US" w:eastAsia="zh-CN"/>
        </w:rPr>
        <w:t>6、</w:t>
      </w:r>
      <w:r>
        <w:rPr>
          <w:rFonts w:hint="eastAsia" w:ascii="仿宋" w:hAnsi="仿宋" w:eastAsia="仿宋" w:cs="仿宋"/>
          <w:sz w:val="28"/>
          <w:szCs w:val="28"/>
          <w:lang w:val="en-US" w:eastAsia="zh-CN"/>
        </w:rPr>
        <w:t>点击确定弹窗消失，即可点击右上角</w:t>
      </w:r>
      <w:r>
        <w:rPr>
          <w:rFonts w:hint="eastAsia" w:ascii="仿宋" w:hAnsi="仿宋" w:eastAsia="仿宋" w:cs="仿宋"/>
          <w:b/>
          <w:bCs/>
          <w:sz w:val="28"/>
          <w:szCs w:val="28"/>
          <w:lang w:val="en-US" w:eastAsia="zh-CN"/>
        </w:rPr>
        <w:t>视频答辩</w:t>
      </w:r>
      <w:r>
        <w:rPr>
          <w:rFonts w:hint="eastAsia" w:ascii="仿宋" w:hAnsi="仿宋" w:eastAsia="仿宋" w:cs="仿宋"/>
          <w:sz w:val="28"/>
          <w:szCs w:val="28"/>
          <w:lang w:val="en-US" w:eastAsia="zh-CN"/>
        </w:rPr>
        <w:t>。</w:t>
      </w:r>
      <w:r>
        <w:rPr>
          <w:rFonts w:hint="eastAsia" w:ascii="仿宋" w:hAnsi="仿宋" w:eastAsia="仿宋" w:cs="仿宋"/>
          <w:color w:val="FF0000"/>
          <w:sz w:val="28"/>
          <w:szCs w:val="28"/>
          <w:lang w:val="en-US" w:eastAsia="zh-CN"/>
        </w:rPr>
        <w:t>注：使用视频答辩，请提前安装谷歌浏览器。</w:t>
      </w:r>
    </w:p>
    <w:p w14:paraId="3B5C842C">
      <w:pPr>
        <w:numPr>
          <w:ilvl w:val="-1"/>
          <w:numId w:val="0"/>
        </w:numPr>
        <w:adjustRightInd/>
        <w:snapToGrid/>
        <w:spacing w:after="0" w:afterLines="-2147483648" w:line="240" w:lineRule="auto"/>
        <w:ind w:left="0" w:firstLine="0"/>
        <w:jc w:val="both"/>
        <w:rPr>
          <w:rFonts w:asciiTheme="minorHAnsi" w:hAnsiTheme="minorHAnsi" w:eastAsiaTheme="minorEastAsia"/>
          <w:sz w:val="21"/>
          <w:szCs w:val="24"/>
        </w:rPr>
      </w:pPr>
    </w:p>
    <w:p w14:paraId="146BD81F">
      <w:pPr>
        <w:numPr>
          <w:ilvl w:val="-1"/>
          <w:numId w:val="0"/>
        </w:numPr>
        <w:adjustRightInd/>
        <w:snapToGrid/>
        <w:spacing w:after="0" w:afterLines="-2147483648" w:line="240" w:lineRule="auto"/>
        <w:ind w:left="0" w:firstLine="400"/>
        <w:jc w:val="both"/>
        <w:rPr>
          <w:rFonts w:asciiTheme="minorHAnsi" w:hAnsiTheme="minorHAnsi" w:eastAsiaTheme="minorEastAsia"/>
          <w:sz w:val="21"/>
          <w:szCs w:val="24"/>
        </w:rPr>
      </w:pPr>
      <w:r>
        <w:rPr>
          <w:rFonts w:asciiTheme="minorHAnsi" w:hAnsiTheme="minorHAnsi" w:eastAsiaTheme="minorEastAsia"/>
          <w:sz w:val="21"/>
          <w:szCs w:val="24"/>
        </w:rPr>
        <w:drawing>
          <wp:inline distT="0" distB="0" distL="114300" distR="114300">
            <wp:extent cx="5266690" cy="2458085"/>
            <wp:effectExtent l="0" t="0" r="10160" b="184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266690" cy="2458085"/>
                    </a:xfrm>
                    <a:prstGeom prst="rect">
                      <a:avLst/>
                    </a:prstGeom>
                    <a:noFill/>
                    <a:ln>
                      <a:noFill/>
                    </a:ln>
                  </pic:spPr>
                </pic:pic>
              </a:graphicData>
            </a:graphic>
          </wp:inline>
        </w:drawing>
      </w:r>
    </w:p>
    <w:p w14:paraId="7C1F8A94">
      <w:pPr>
        <w:numPr>
          <w:ilvl w:val="-1"/>
          <w:numId w:val="0"/>
        </w:numPr>
        <w:adjustRightInd/>
        <w:snapToGrid/>
        <w:spacing w:after="0" w:afterLines="-2147483648" w:line="240" w:lineRule="auto"/>
        <w:ind w:left="0" w:firstLine="400"/>
        <w:jc w:val="both"/>
        <w:rPr>
          <w:rFonts w:hint="default" w:ascii="仿宋" w:hAnsi="仿宋" w:eastAsia="仿宋" w:cs="仿宋"/>
          <w:b w:val="0"/>
          <w:bCs w:val="0"/>
          <w:sz w:val="28"/>
          <w:szCs w:val="28"/>
          <w:lang w:val="en-US" w:eastAsia="zh-CN"/>
        </w:rPr>
      </w:pPr>
      <w:r>
        <w:rPr>
          <w:rFonts w:hint="eastAsia" w:ascii="仿宋" w:hAnsi="仿宋" w:eastAsia="仿宋" w:cs="仿宋"/>
          <w:sz w:val="28"/>
          <w:szCs w:val="28"/>
          <w:lang w:val="en-US" w:eastAsia="zh-CN"/>
        </w:rPr>
        <w:t>7、点击视频答辩跳转至谷歌浏览器，出现弹窗提示点击</w:t>
      </w:r>
      <w:r>
        <w:rPr>
          <w:rFonts w:hint="eastAsia" w:ascii="仿宋" w:hAnsi="仿宋" w:eastAsia="仿宋" w:cs="仿宋"/>
          <w:b/>
          <w:bCs/>
          <w:sz w:val="28"/>
          <w:szCs w:val="28"/>
          <w:lang w:val="en-US" w:eastAsia="zh-CN"/>
        </w:rPr>
        <w:t>确认</w:t>
      </w:r>
      <w:r>
        <w:rPr>
          <w:rFonts w:hint="eastAsia" w:ascii="仿宋" w:hAnsi="仿宋" w:eastAsia="仿宋" w:cs="仿宋"/>
          <w:b w:val="0"/>
          <w:bCs w:val="0"/>
          <w:sz w:val="28"/>
          <w:szCs w:val="28"/>
          <w:lang w:val="en-US" w:eastAsia="zh-CN"/>
        </w:rPr>
        <w:t>进入视频答辩。</w:t>
      </w:r>
    </w:p>
    <w:p w14:paraId="322C8A24">
      <w:pPr>
        <w:numPr>
          <w:ilvl w:val="-1"/>
          <w:numId w:val="0"/>
        </w:numPr>
        <w:adjustRightInd/>
        <w:snapToGrid/>
        <w:spacing w:after="0" w:afterLines="-2147483648" w:line="240" w:lineRule="auto"/>
        <w:ind w:left="0" w:firstLine="400"/>
        <w:jc w:val="both"/>
        <w:rPr>
          <w:rFonts w:asciiTheme="minorHAnsi" w:hAnsiTheme="minorHAnsi" w:eastAsiaTheme="minorEastAsia"/>
          <w:sz w:val="21"/>
          <w:szCs w:val="24"/>
        </w:rPr>
      </w:pPr>
      <w:r>
        <w:rPr>
          <w:rFonts w:asciiTheme="minorHAnsi" w:hAnsiTheme="minorHAnsi" w:eastAsiaTheme="minorEastAsia"/>
          <w:sz w:val="21"/>
          <w:szCs w:val="24"/>
        </w:rPr>
        <w:drawing>
          <wp:inline distT="0" distB="0" distL="114300" distR="114300">
            <wp:extent cx="5267325" cy="2474595"/>
            <wp:effectExtent l="0" t="0" r="952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stretch>
                      <a:fillRect/>
                    </a:stretch>
                  </pic:blipFill>
                  <pic:spPr>
                    <a:xfrm>
                      <a:off x="0" y="0"/>
                      <a:ext cx="5267325" cy="2474595"/>
                    </a:xfrm>
                    <a:prstGeom prst="rect">
                      <a:avLst/>
                    </a:prstGeom>
                    <a:noFill/>
                    <a:ln>
                      <a:noFill/>
                    </a:ln>
                  </pic:spPr>
                </pic:pic>
              </a:graphicData>
            </a:graphic>
          </wp:inline>
        </w:drawing>
      </w:r>
    </w:p>
    <w:p w14:paraId="5ADA028C">
      <w:pPr>
        <w:numPr>
          <w:ilvl w:val="-1"/>
          <w:numId w:val="0"/>
        </w:numPr>
        <w:adjustRightInd/>
        <w:snapToGrid/>
        <w:spacing w:after="0" w:afterLines="-2147483648" w:line="240" w:lineRule="auto"/>
        <w:ind w:left="0" w:firstLine="4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8、进入视频答辩时谷歌浏览器会弹窗三条提示，分别</w:t>
      </w:r>
      <w:r>
        <w:rPr>
          <w:rFonts w:hint="eastAsia" w:ascii="仿宋" w:hAnsi="仿宋" w:eastAsia="仿宋" w:cs="仿宋"/>
          <w:b/>
          <w:bCs/>
          <w:sz w:val="28"/>
          <w:szCs w:val="28"/>
          <w:lang w:val="en-US" w:eastAsia="zh-CN"/>
        </w:rPr>
        <w:t>麦克风权限、视频权限以及屏幕共享权限的询问依次点击允许。</w:t>
      </w:r>
    </w:p>
    <w:p w14:paraId="5A2304BB">
      <w:pPr>
        <w:numPr>
          <w:ilvl w:val="-1"/>
          <w:numId w:val="0"/>
        </w:numPr>
        <w:adjustRightInd/>
        <w:snapToGrid/>
        <w:spacing w:after="0" w:afterLines="-2147483648" w:line="240" w:lineRule="auto"/>
        <w:ind w:left="0" w:firstLine="0"/>
        <w:jc w:val="both"/>
        <w:rPr>
          <w:rFonts w:asciiTheme="minorHAnsi" w:hAnsiTheme="minorHAnsi" w:eastAsiaTheme="minorEastAsia"/>
          <w:sz w:val="21"/>
          <w:szCs w:val="24"/>
        </w:rPr>
      </w:pPr>
    </w:p>
    <w:p w14:paraId="45566CA9">
      <w:pPr>
        <w:numPr>
          <w:ilvl w:val="-1"/>
          <w:numId w:val="0"/>
        </w:numPr>
        <w:adjustRightInd/>
        <w:snapToGrid/>
        <w:spacing w:after="0" w:afterLines="-2147483648" w:line="240" w:lineRule="auto"/>
        <w:ind w:left="0" w:firstLine="400"/>
        <w:jc w:val="both"/>
        <w:rPr>
          <w:rFonts w:asciiTheme="minorHAnsi" w:hAnsiTheme="minorHAnsi" w:eastAsiaTheme="minorEastAsia"/>
          <w:sz w:val="21"/>
          <w:szCs w:val="24"/>
        </w:rPr>
      </w:pPr>
      <w:r>
        <w:rPr>
          <w:rFonts w:asciiTheme="minorHAnsi" w:hAnsiTheme="minorHAnsi" w:eastAsiaTheme="minorEastAsia"/>
          <w:sz w:val="21"/>
          <w:szCs w:val="24"/>
        </w:rPr>
        <w:drawing>
          <wp:inline distT="0" distB="0" distL="114300" distR="114300">
            <wp:extent cx="5265420" cy="2400300"/>
            <wp:effectExtent l="0" t="0" r="1143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5265420" cy="2400300"/>
                    </a:xfrm>
                    <a:prstGeom prst="rect">
                      <a:avLst/>
                    </a:prstGeom>
                    <a:noFill/>
                    <a:ln>
                      <a:noFill/>
                    </a:ln>
                  </pic:spPr>
                </pic:pic>
              </a:graphicData>
            </a:graphic>
          </wp:inline>
        </w:drawing>
      </w:r>
    </w:p>
    <w:p w14:paraId="2AC2570A">
      <w:pPr>
        <w:numPr>
          <w:ilvl w:val="-1"/>
          <w:numId w:val="0"/>
        </w:numPr>
        <w:adjustRightInd/>
        <w:snapToGrid/>
        <w:spacing w:after="0" w:afterLines="-2147483648" w:line="240" w:lineRule="auto"/>
        <w:ind w:left="0" w:firstLine="400"/>
        <w:jc w:val="both"/>
        <w:rPr>
          <w:rFonts w:asciiTheme="minorHAnsi" w:hAnsiTheme="minorHAnsi" w:eastAsiaTheme="minorEastAsia"/>
          <w:sz w:val="21"/>
          <w:szCs w:val="24"/>
        </w:rPr>
      </w:pPr>
      <w:r>
        <w:rPr>
          <w:rFonts w:asciiTheme="minorHAnsi" w:hAnsiTheme="minorHAnsi" w:eastAsiaTheme="minorEastAsia"/>
          <w:sz w:val="21"/>
          <w:szCs w:val="24"/>
        </w:rPr>
        <w:drawing>
          <wp:inline distT="0" distB="0" distL="114300" distR="114300">
            <wp:extent cx="5265420" cy="2409825"/>
            <wp:effectExtent l="0" t="0" r="1143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5265420" cy="2409825"/>
                    </a:xfrm>
                    <a:prstGeom prst="rect">
                      <a:avLst/>
                    </a:prstGeom>
                    <a:noFill/>
                    <a:ln>
                      <a:noFill/>
                    </a:ln>
                  </pic:spPr>
                </pic:pic>
              </a:graphicData>
            </a:graphic>
          </wp:inline>
        </w:drawing>
      </w:r>
    </w:p>
    <w:p w14:paraId="1D18D49A">
      <w:pPr>
        <w:numPr>
          <w:ilvl w:val="-1"/>
          <w:numId w:val="0"/>
        </w:numPr>
        <w:adjustRightInd/>
        <w:snapToGrid/>
        <w:spacing w:after="0" w:afterLines="-2147483648" w:line="240" w:lineRule="auto"/>
        <w:ind w:left="0" w:firstLine="400"/>
        <w:jc w:val="both"/>
        <w:rPr>
          <w:rFonts w:asciiTheme="minorHAnsi" w:hAnsiTheme="minorHAnsi" w:eastAsiaTheme="minorEastAsia"/>
          <w:sz w:val="21"/>
          <w:szCs w:val="24"/>
        </w:rPr>
      </w:pPr>
      <w:r>
        <w:rPr>
          <w:rFonts w:asciiTheme="minorHAnsi" w:hAnsiTheme="minorHAnsi" w:eastAsiaTheme="minorEastAsia"/>
          <w:sz w:val="21"/>
          <w:szCs w:val="24"/>
        </w:rPr>
        <w:drawing>
          <wp:inline distT="0" distB="0" distL="114300" distR="114300">
            <wp:extent cx="5262245" cy="2409825"/>
            <wp:effectExtent l="0" t="0" r="1460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5262245" cy="2409825"/>
                    </a:xfrm>
                    <a:prstGeom prst="rect">
                      <a:avLst/>
                    </a:prstGeom>
                    <a:noFill/>
                    <a:ln>
                      <a:noFill/>
                    </a:ln>
                  </pic:spPr>
                </pic:pic>
              </a:graphicData>
            </a:graphic>
          </wp:inline>
        </w:drawing>
      </w:r>
    </w:p>
    <w:p w14:paraId="1EE82298">
      <w:pPr>
        <w:numPr>
          <w:ilvl w:val="-1"/>
          <w:numId w:val="0"/>
        </w:numPr>
        <w:adjustRightInd/>
        <w:snapToGrid/>
        <w:spacing w:after="0" w:afterLines="-2147483648" w:line="240" w:lineRule="auto"/>
        <w:ind w:left="0" w:firstLine="4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9、允许权限后，可以点击下列按钮手动进行</w:t>
      </w:r>
      <w:r>
        <w:rPr>
          <w:rFonts w:hint="eastAsia" w:ascii="仿宋" w:hAnsi="仿宋" w:eastAsia="仿宋" w:cs="仿宋"/>
          <w:b/>
          <w:bCs/>
          <w:sz w:val="28"/>
          <w:szCs w:val="28"/>
          <w:lang w:val="en-US" w:eastAsia="zh-CN"/>
        </w:rPr>
        <w:t>麦克风、视频</w:t>
      </w:r>
      <w:r>
        <w:rPr>
          <w:rFonts w:hint="eastAsia" w:ascii="仿宋" w:hAnsi="仿宋" w:eastAsia="仿宋" w:cs="仿宋"/>
          <w:sz w:val="28"/>
          <w:szCs w:val="28"/>
          <w:lang w:val="en-US" w:eastAsia="zh-CN"/>
        </w:rPr>
        <w:t>和</w:t>
      </w:r>
      <w:r>
        <w:rPr>
          <w:rFonts w:hint="eastAsia" w:ascii="仿宋" w:hAnsi="仿宋" w:eastAsia="仿宋" w:cs="仿宋"/>
          <w:b/>
          <w:bCs/>
          <w:sz w:val="28"/>
          <w:szCs w:val="28"/>
          <w:lang w:val="en-US" w:eastAsia="zh-CN"/>
        </w:rPr>
        <w:t>屏幕共享</w:t>
      </w:r>
      <w:r>
        <w:rPr>
          <w:rFonts w:hint="eastAsia" w:ascii="仿宋" w:hAnsi="仿宋" w:eastAsia="仿宋" w:cs="仿宋"/>
          <w:b w:val="0"/>
          <w:bCs w:val="0"/>
          <w:sz w:val="28"/>
          <w:szCs w:val="28"/>
          <w:lang w:val="en-US" w:eastAsia="zh-CN"/>
        </w:rPr>
        <w:t>开关</w:t>
      </w:r>
      <w:r>
        <w:rPr>
          <w:rFonts w:hint="eastAsia" w:ascii="仿宋" w:hAnsi="仿宋" w:eastAsia="仿宋" w:cs="仿宋"/>
          <w:sz w:val="28"/>
          <w:szCs w:val="28"/>
          <w:lang w:val="en-US" w:eastAsia="zh-CN"/>
        </w:rPr>
        <w:t>。</w:t>
      </w:r>
    </w:p>
    <w:p w14:paraId="19D62CAA">
      <w:pPr>
        <w:numPr>
          <w:ilvl w:val="-1"/>
          <w:numId w:val="0"/>
        </w:numPr>
        <w:adjustRightInd/>
        <w:snapToGrid/>
        <w:spacing w:after="0" w:afterLines="-2147483648" w:line="240" w:lineRule="auto"/>
        <w:ind w:left="0" w:firstLine="400"/>
        <w:jc w:val="both"/>
        <w:rPr>
          <w:rFonts w:hint="default" w:asciiTheme="minorHAnsi" w:hAnsiTheme="minorHAnsi" w:eastAsiaTheme="minorEastAsia"/>
          <w:sz w:val="21"/>
          <w:szCs w:val="24"/>
          <w:lang w:val="en-US" w:eastAsia="zh-CN"/>
        </w:rPr>
      </w:pPr>
      <w:r>
        <w:rPr>
          <w:rFonts w:asciiTheme="minorHAnsi" w:hAnsiTheme="minorHAnsi" w:eastAsiaTheme="minorEastAsia"/>
          <w:sz w:val="21"/>
          <w:szCs w:val="24"/>
        </w:rPr>
        <w:drawing>
          <wp:inline distT="0" distB="0" distL="114300" distR="114300">
            <wp:extent cx="5265420" cy="2397125"/>
            <wp:effectExtent l="0" t="0" r="1143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65420" cy="2397125"/>
                    </a:xfrm>
                    <a:prstGeom prst="rect">
                      <a:avLst/>
                    </a:prstGeom>
                    <a:noFill/>
                    <a:ln>
                      <a:noFill/>
                    </a:ln>
                  </pic:spPr>
                </pic:pic>
              </a:graphicData>
            </a:graphic>
          </wp:inline>
        </w:drawing>
      </w:r>
    </w:p>
    <w:p w14:paraId="5800E966">
      <w:pPr>
        <w:numPr>
          <w:ilvl w:val="-1"/>
          <w:numId w:val="0"/>
        </w:numPr>
        <w:adjustRightInd/>
        <w:snapToGrid/>
        <w:spacing w:after="0" w:afterLines="-2147483648" w:line="240" w:lineRule="auto"/>
        <w:ind w:left="0" w:firstLine="0"/>
        <w:jc w:val="both"/>
        <w:rPr>
          <w:rFonts w:hint="eastAsia" w:asciiTheme="minorHAnsi" w:hAnsiTheme="minorHAnsi" w:eastAsiaTheme="minorEastAsia"/>
          <w:sz w:val="21"/>
          <w:szCs w:val="24"/>
          <w:lang w:val="en-US" w:eastAsia="zh-CN"/>
        </w:rPr>
      </w:pPr>
    </w:p>
    <w:p w14:paraId="0D018187">
      <w:pPr>
        <w:numPr>
          <w:ilvl w:val="-1"/>
          <w:numId w:val="0"/>
        </w:numPr>
        <w:adjustRightInd/>
        <w:snapToGrid/>
        <w:spacing w:after="0" w:afterLines="-2147483648" w:line="240" w:lineRule="auto"/>
        <w:ind w:left="0" w:firstLine="4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10、权限通过后，步骤1点击需要</w:t>
      </w:r>
      <w:r>
        <w:rPr>
          <w:rFonts w:hint="eastAsia" w:ascii="仿宋" w:hAnsi="仿宋" w:eastAsia="仿宋" w:cs="仿宋"/>
          <w:b/>
          <w:bCs/>
          <w:sz w:val="28"/>
          <w:szCs w:val="28"/>
          <w:lang w:val="en-US" w:eastAsia="zh-CN"/>
        </w:rPr>
        <w:t>共享桌面</w:t>
      </w:r>
      <w:r>
        <w:rPr>
          <w:rFonts w:hint="eastAsia" w:ascii="仿宋" w:hAnsi="仿宋" w:eastAsia="仿宋" w:cs="仿宋"/>
          <w:sz w:val="28"/>
          <w:szCs w:val="28"/>
          <w:lang w:val="en-US" w:eastAsia="zh-CN"/>
        </w:rPr>
        <w:t>，步骤2点击</w:t>
      </w:r>
      <w:r>
        <w:rPr>
          <w:rFonts w:hint="eastAsia" w:ascii="仿宋" w:hAnsi="仿宋" w:eastAsia="仿宋" w:cs="仿宋"/>
          <w:b/>
          <w:bCs/>
          <w:sz w:val="28"/>
          <w:szCs w:val="28"/>
          <w:lang w:val="en-US" w:eastAsia="zh-CN"/>
        </w:rPr>
        <w:t>分享按钮</w:t>
      </w:r>
      <w:r>
        <w:rPr>
          <w:rFonts w:hint="eastAsia" w:ascii="仿宋" w:hAnsi="仿宋" w:eastAsia="仿宋" w:cs="仿宋"/>
          <w:sz w:val="28"/>
          <w:szCs w:val="28"/>
          <w:lang w:val="en-US" w:eastAsia="zh-CN"/>
        </w:rPr>
        <w:t>。</w:t>
      </w:r>
    </w:p>
    <w:p w14:paraId="298244EE">
      <w:pPr>
        <w:numPr>
          <w:ilvl w:val="0"/>
          <w:numId w:val="0"/>
        </w:numPr>
        <w:bidi w:val="0"/>
        <w:ind w:left="400" w:leftChars="0"/>
        <w:rPr>
          <w:rFonts w:hint="eastAsia"/>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Droid Sans Fallback"/>
    <w:panose1 w:val="00000000000000000000"/>
    <w:charset w:val="00"/>
    <w:family w:val="auto"/>
    <w:pitch w:val="default"/>
    <w:sig w:usb0="00000000" w:usb1="00000000" w:usb2="00000000" w:usb3="00000000" w:csb0="00000000" w:csb1="00000000"/>
  </w:font>
  <w:font w:name="Wingdings">
    <w:altName w:val="Noto Color Emoji"/>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Noto Color Emoji"/>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Droid Sans Fallback">
    <w:panose1 w:val="020B0502000000000001"/>
    <w:charset w:val="86"/>
    <w:family w:val="auto"/>
    <w:pitch w:val="default"/>
    <w:sig w:usb0="910002FF" w:usb1="2BDFFCFB" w:usb2="00000036" w:usb3="00000000" w:csb0="203F01FF" w:csb1="D7FF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altName w:val="仿宋_GB2312"/>
    <w:panose1 w:val="02010609060101010101"/>
    <w:charset w:val="86"/>
    <w:family w:val="auto"/>
    <w:pitch w:val="default"/>
    <w:sig w:usb0="00000000" w:usb1="00000000" w:usb2="00000016" w:usb3="00000000" w:csb0="00040001" w:csb1="00000000"/>
  </w:font>
  <w:font w:name="微软雅黑">
    <w:altName w:val="黑体"/>
    <w:panose1 w:val="00000000000000000000"/>
    <w:charset w:val="00"/>
    <w:family w:val="auto"/>
    <w:pitch w:val="default"/>
    <w:sig w:usb0="00000000" w:usb1="00000000" w:usb2="00000000" w:usb3="00000000" w:csb0="00000000" w:csb1="00000000"/>
  </w:font>
  <w:font w:name="Tahoma">
    <w:altName w:val="noto sans thai"/>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D07402"/>
    <w:multiLevelType w:val="multilevel"/>
    <w:tmpl w:val="A6D07402"/>
    <w:lvl w:ilvl="0" w:tentative="0">
      <w:start w:val="1"/>
      <w:numFmt w:val="chineseCounting"/>
      <w:pStyle w:val="2"/>
      <w:suff w:val="nothing"/>
      <w:lvlText w:val="%1、"/>
      <w:lvlJc w:val="left"/>
      <w:pPr>
        <w:tabs>
          <w:tab w:val="left" w:pos="0"/>
        </w:tabs>
        <w:ind w:left="0" w:firstLine="0"/>
      </w:pPr>
      <w:rPr>
        <w:rFonts w:hint="eastAsia" w:ascii="黑体" w:hAnsi="黑体" w:eastAsia="黑体"/>
      </w:rPr>
    </w:lvl>
    <w:lvl w:ilvl="1" w:tentative="0">
      <w:start w:val="1"/>
      <w:numFmt w:val="chineseCounting"/>
      <w:pStyle w:val="4"/>
      <w:suff w:val="nothing"/>
      <w:lvlText w:val="（%2）"/>
      <w:lvlJc w:val="left"/>
      <w:pPr>
        <w:tabs>
          <w:tab w:val="left" w:pos="0"/>
        </w:tabs>
        <w:ind w:left="0" w:firstLine="0"/>
      </w:pPr>
      <w:rPr>
        <w:rFonts w:hint="eastAsia" w:ascii="黑体" w:hAnsi="黑体" w:eastAsia="黑体"/>
      </w:rPr>
    </w:lvl>
    <w:lvl w:ilvl="2" w:tentative="0">
      <w:start w:val="1"/>
      <w:numFmt w:val="decimal"/>
      <w:pStyle w:val="5"/>
      <w:suff w:val="nothing"/>
      <w:lvlText w:val="%3．"/>
      <w:lvlJc w:val="left"/>
      <w:pPr>
        <w:tabs>
          <w:tab w:val="left" w:pos="0"/>
        </w:tabs>
        <w:ind w:left="0" w:firstLine="0"/>
      </w:pPr>
      <w:rPr>
        <w:rFonts w:hint="eastAsia" w:ascii="黑体" w:hAnsi="黑体" w:eastAsia="黑体"/>
      </w:rPr>
    </w:lvl>
    <w:lvl w:ilvl="3" w:tentative="0">
      <w:start w:val="1"/>
      <w:numFmt w:val="decimal"/>
      <w:pStyle w:val="6"/>
      <w:suff w:val="nothing"/>
      <w:lvlText w:val="（%4）"/>
      <w:lvlJc w:val="left"/>
      <w:pPr>
        <w:tabs>
          <w:tab w:val="left" w:pos="0"/>
        </w:tabs>
        <w:ind w:left="0" w:firstLine="0"/>
      </w:pPr>
      <w:rPr>
        <w:rFonts w:hint="eastAsia" w:ascii="黑体" w:hAnsi="黑体" w:eastAsia="黑体"/>
      </w:rPr>
    </w:lvl>
    <w:lvl w:ilvl="4" w:tentative="0">
      <w:start w:val="1"/>
      <w:numFmt w:val="decimalEnclosedCircleChinese"/>
      <w:pStyle w:val="7"/>
      <w:suff w:val="space"/>
      <w:lvlText w:val="%5"/>
      <w:lvlJc w:val="left"/>
      <w:pPr>
        <w:ind w:left="0" w:firstLine="0"/>
      </w:pPr>
      <w:rPr>
        <w:rFonts w:hint="eastAsia" w:ascii="黑体" w:hAnsi="黑体" w:eastAsia="黑体"/>
      </w:rPr>
    </w:lvl>
    <w:lvl w:ilvl="5" w:tentative="0">
      <w:start w:val="1"/>
      <w:numFmt w:val="decimal"/>
      <w:pStyle w:val="8"/>
      <w:suff w:val="nothing"/>
      <w:lvlText w:val="%6）"/>
      <w:lvlJc w:val="left"/>
      <w:pPr>
        <w:ind w:left="0" w:firstLine="0"/>
      </w:pPr>
      <w:rPr>
        <w:rFonts w:hint="eastAsia"/>
      </w:rPr>
    </w:lvl>
    <w:lvl w:ilvl="6" w:tentative="0">
      <w:start w:val="1"/>
      <w:numFmt w:val="lowerLetter"/>
      <w:pStyle w:val="9"/>
      <w:suff w:val="nothing"/>
      <w:lvlText w:val="%7．"/>
      <w:lvlJc w:val="left"/>
      <w:pPr>
        <w:ind w:left="0" w:firstLine="0"/>
      </w:pPr>
      <w:rPr>
        <w:rFonts w:hint="eastAsia"/>
      </w:rPr>
    </w:lvl>
    <w:lvl w:ilvl="7" w:tentative="0">
      <w:start w:val="1"/>
      <w:numFmt w:val="lowerLetter"/>
      <w:pStyle w:val="10"/>
      <w:suff w:val="nothing"/>
      <w:lvlText w:val="%8）"/>
      <w:lvlJc w:val="left"/>
      <w:pPr>
        <w:ind w:left="0" w:firstLine="0"/>
      </w:pPr>
      <w:rPr>
        <w:rFonts w:hint="eastAsia"/>
      </w:rPr>
    </w:lvl>
    <w:lvl w:ilvl="8" w:tentative="0">
      <w:start w:val="1"/>
      <w:numFmt w:val="lowerRoman"/>
      <w:pStyle w:val="11"/>
      <w:suff w:val="nothing"/>
      <w:lvlText w:val="%9 "/>
      <w:lvlJc w:val="left"/>
      <w:pPr>
        <w:ind w:left="0" w:firstLine="0"/>
      </w:pPr>
      <w:rPr>
        <w:rFonts w:hint="eastAsia"/>
      </w:rPr>
    </w:lvl>
  </w:abstractNum>
  <w:abstractNum w:abstractNumId="1">
    <w:nsid w:val="BAB2ACF0"/>
    <w:multiLevelType w:val="singleLevel"/>
    <w:tmpl w:val="BAB2ACF0"/>
    <w:lvl w:ilvl="0" w:tentative="0">
      <w:start w:val="1"/>
      <w:numFmt w:val="decimal"/>
      <w:pStyle w:val="1"/>
      <w:suff w:val="nothing"/>
      <w:lvlText w:val="%1．"/>
      <w:lvlJc w:val="left"/>
      <w:pPr>
        <w:ind w:left="0" w:firstLine="400"/>
      </w:pPr>
      <w:rPr>
        <w:rFonts w:hint="default"/>
      </w:rPr>
    </w:lvl>
  </w:abstractNum>
  <w:abstractNum w:abstractNumId="2">
    <w:nsid w:val="FADED96D"/>
    <w:multiLevelType w:val="singleLevel"/>
    <w:tmpl w:val="FADED96D"/>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2"/>
    <w:lvlOverride w:ilvl="0">
      <w:startOverride w:val="1"/>
    </w:lvlOverride>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AEA0602"/>
    <w:rsid w:val="7DFFCC29"/>
    <w:rsid w:val="7E9F4396"/>
    <w:rsid w:val="7EDF60B1"/>
    <w:rsid w:val="E77F913C"/>
    <w:rsid w:val="F57F41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numPr>
        <w:ilvl w:val="0"/>
        <w:numId w:val="1"/>
      </w:numPr>
      <w:adjustRightInd w:val="0"/>
      <w:snapToGrid w:val="0"/>
      <w:spacing w:after="20" w:afterLines="20" w:line="288" w:lineRule="auto"/>
      <w:ind w:left="0" w:firstLine="0"/>
      <w:jc w:val="left"/>
    </w:pPr>
    <w:rPr>
      <w:rFonts w:ascii="黑体" w:hAnsi="黑体" w:eastAsia="仿宋_GB2312" w:cstheme="minorBidi"/>
      <w:kern w:val="2"/>
      <w:sz w:val="32"/>
      <w:szCs w:val="21"/>
      <w:lang w:val="en-US" w:eastAsia="zh-CN" w:bidi="ar-SA"/>
    </w:rPr>
  </w:style>
  <w:style w:type="paragraph" w:styleId="2">
    <w:name w:val="heading 1"/>
    <w:next w:val="3"/>
    <w:link w:val="36"/>
    <w:qFormat/>
    <w:uiPriority w:val="9"/>
    <w:pPr>
      <w:keepNext/>
      <w:keepLines/>
      <w:numPr>
        <w:ilvl w:val="0"/>
        <w:numId w:val="2"/>
      </w:numPr>
      <w:adjustRightInd w:val="0"/>
      <w:snapToGrid w:val="0"/>
      <w:spacing w:before="100" w:beforeLines="100" w:after="50" w:afterLines="50" w:line="288" w:lineRule="auto"/>
      <w:outlineLvl w:val="0"/>
    </w:pPr>
    <w:rPr>
      <w:rFonts w:ascii="黑体" w:hAnsi="黑体" w:eastAsia="黑体" w:cstheme="minorBidi"/>
      <w:bCs/>
      <w:kern w:val="44"/>
      <w:sz w:val="32"/>
      <w:szCs w:val="36"/>
      <w:lang w:val="en-US" w:eastAsia="zh-CN" w:bidi="ar-SA"/>
    </w:rPr>
  </w:style>
  <w:style w:type="paragraph" w:styleId="4">
    <w:name w:val="heading 2"/>
    <w:next w:val="3"/>
    <w:unhideWhenUsed/>
    <w:qFormat/>
    <w:uiPriority w:val="9"/>
    <w:pPr>
      <w:numPr>
        <w:ilvl w:val="1"/>
        <w:numId w:val="2"/>
      </w:numPr>
      <w:adjustRightInd w:val="0"/>
      <w:snapToGrid w:val="0"/>
      <w:spacing w:before="100" w:beforeLines="100" w:after="50" w:afterLines="50" w:line="288" w:lineRule="auto"/>
      <w:ind w:left="0" w:firstLine="0"/>
      <w:outlineLvl w:val="1"/>
    </w:pPr>
    <w:rPr>
      <w:rFonts w:ascii="黑体" w:hAnsi="黑体" w:eastAsia="黑体" w:cstheme="minorBidi"/>
      <w:bCs/>
      <w:kern w:val="2"/>
      <w:sz w:val="32"/>
      <w:szCs w:val="32"/>
      <w:lang w:val="en-US" w:eastAsia="zh-CN" w:bidi="ar-SA"/>
    </w:rPr>
  </w:style>
  <w:style w:type="paragraph" w:styleId="5">
    <w:name w:val="heading 3"/>
    <w:next w:val="3"/>
    <w:unhideWhenUsed/>
    <w:qFormat/>
    <w:uiPriority w:val="9"/>
    <w:pPr>
      <w:numPr>
        <w:ilvl w:val="2"/>
        <w:numId w:val="2"/>
      </w:numPr>
      <w:tabs>
        <w:tab w:val="left" w:pos="312"/>
        <w:tab w:val="clear" w:pos="0"/>
      </w:tabs>
      <w:adjustRightInd w:val="0"/>
      <w:snapToGrid w:val="0"/>
      <w:spacing w:before="100" w:beforeLines="100" w:after="50" w:afterLines="50" w:line="288" w:lineRule="auto"/>
      <w:ind w:left="0" w:firstLine="880" w:firstLineChars="200"/>
      <w:outlineLvl w:val="2"/>
    </w:pPr>
    <w:rPr>
      <w:rFonts w:ascii="黑体" w:hAnsi="黑体" w:eastAsia="黑体" w:cstheme="minorBidi"/>
      <w:bCs/>
      <w:kern w:val="2"/>
      <w:sz w:val="30"/>
      <w:szCs w:val="30"/>
      <w:lang w:val="en-US" w:eastAsia="zh-CN" w:bidi="ar-SA"/>
    </w:rPr>
  </w:style>
  <w:style w:type="paragraph" w:styleId="6">
    <w:name w:val="heading 4"/>
    <w:next w:val="3"/>
    <w:unhideWhenUsed/>
    <w:qFormat/>
    <w:uiPriority w:val="9"/>
    <w:pPr>
      <w:numPr>
        <w:ilvl w:val="3"/>
        <w:numId w:val="2"/>
      </w:numPr>
      <w:adjustRightInd w:val="0"/>
      <w:snapToGrid w:val="0"/>
      <w:spacing w:before="100" w:beforeLines="100" w:after="50" w:afterLines="50" w:line="288" w:lineRule="auto"/>
      <w:ind w:left="0" w:firstLine="0"/>
      <w:outlineLvl w:val="3"/>
    </w:pPr>
    <w:rPr>
      <w:rFonts w:ascii="黑体" w:hAnsi="黑体" w:eastAsia="黑体" w:cstheme="minorBidi"/>
      <w:b/>
      <w:bCs/>
      <w:sz w:val="28"/>
      <w:szCs w:val="28"/>
      <w:lang w:val="en-US" w:eastAsia="zh-CN" w:bidi="ar-SA"/>
    </w:rPr>
  </w:style>
  <w:style w:type="paragraph" w:styleId="7">
    <w:name w:val="heading 5"/>
    <w:basedOn w:val="1"/>
    <w:next w:val="3"/>
    <w:unhideWhenUsed/>
    <w:qFormat/>
    <w:uiPriority w:val="9"/>
    <w:pPr>
      <w:numPr>
        <w:ilvl w:val="4"/>
        <w:numId w:val="2"/>
      </w:numPr>
      <w:tabs>
        <w:tab w:val="left" w:pos="312"/>
      </w:tabs>
      <w:adjustRightInd w:val="0"/>
      <w:snapToGrid w:val="0"/>
      <w:spacing w:before="100" w:beforeLines="100" w:after="50" w:afterLines="50"/>
      <w:ind w:left="0" w:firstLine="0"/>
      <w:outlineLvl w:val="4"/>
    </w:pPr>
    <w:rPr>
      <w:rFonts w:ascii="黑体" w:hAnsi="黑体" w:eastAsia="黑体"/>
      <w:b/>
      <w:bCs/>
      <w:sz w:val="24"/>
      <w:szCs w:val="24"/>
    </w:rPr>
  </w:style>
  <w:style w:type="paragraph" w:styleId="8">
    <w:name w:val="heading 6"/>
    <w:basedOn w:val="1"/>
    <w:next w:val="3"/>
    <w:unhideWhenUsed/>
    <w:qFormat/>
    <w:uiPriority w:val="0"/>
    <w:pPr>
      <w:numPr>
        <w:ilvl w:val="5"/>
        <w:numId w:val="2"/>
      </w:numPr>
      <w:spacing w:before="30" w:beforeLines="30" w:after="30" w:afterLines="30" w:line="312" w:lineRule="auto"/>
      <w:outlineLvl w:val="5"/>
    </w:pPr>
    <w:rPr>
      <w:b/>
      <w:bCs/>
      <w:sz w:val="24"/>
      <w:szCs w:val="24"/>
    </w:rPr>
  </w:style>
  <w:style w:type="paragraph" w:styleId="9">
    <w:name w:val="heading 7"/>
    <w:basedOn w:val="1"/>
    <w:next w:val="3"/>
    <w:unhideWhenUsed/>
    <w:qFormat/>
    <w:uiPriority w:val="0"/>
    <w:pPr>
      <w:numPr>
        <w:ilvl w:val="6"/>
        <w:numId w:val="2"/>
      </w:numPr>
      <w:spacing w:before="30" w:beforeLines="30" w:after="30" w:afterLines="30" w:line="312" w:lineRule="auto"/>
      <w:outlineLvl w:val="6"/>
    </w:pPr>
    <w:rPr>
      <w:b/>
      <w:bCs/>
      <w:sz w:val="24"/>
      <w:szCs w:val="24"/>
    </w:rPr>
  </w:style>
  <w:style w:type="paragraph" w:styleId="10">
    <w:name w:val="heading 8"/>
    <w:basedOn w:val="1"/>
    <w:next w:val="3"/>
    <w:unhideWhenUsed/>
    <w:qFormat/>
    <w:uiPriority w:val="0"/>
    <w:pPr>
      <w:numPr>
        <w:ilvl w:val="7"/>
        <w:numId w:val="2"/>
      </w:numPr>
      <w:spacing w:before="30" w:beforeLines="30" w:after="30" w:afterLines="30" w:line="312" w:lineRule="auto"/>
      <w:outlineLvl w:val="7"/>
    </w:pPr>
    <w:rPr>
      <w:b/>
      <w:bCs/>
      <w:sz w:val="24"/>
      <w:szCs w:val="24"/>
    </w:rPr>
  </w:style>
  <w:style w:type="paragraph" w:styleId="11">
    <w:name w:val="heading 9"/>
    <w:basedOn w:val="1"/>
    <w:next w:val="3"/>
    <w:unhideWhenUsed/>
    <w:qFormat/>
    <w:uiPriority w:val="0"/>
    <w:pPr>
      <w:numPr>
        <w:ilvl w:val="8"/>
        <w:numId w:val="2"/>
      </w:numPr>
      <w:spacing w:before="30" w:beforeLines="30" w:after="30" w:afterLines="30" w:line="312" w:lineRule="auto"/>
      <w:outlineLvl w:val="8"/>
    </w:pPr>
    <w:rPr>
      <w:b/>
      <w:bCs/>
      <w:sz w:val="24"/>
      <w:szCs w:val="24"/>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before="100" w:after="100" w:afterLines="0" w:afterAutospacing="0" w:line="300" w:lineRule="auto"/>
      <w:ind w:firstLine="1124" w:firstLineChars="200"/>
    </w:pPr>
    <w:rPr>
      <w:rFonts w:ascii="黑体" w:hAnsi="黑体"/>
    </w:rPr>
  </w:style>
  <w:style w:type="paragraph" w:styleId="12">
    <w:name w:val="caption"/>
    <w:basedOn w:val="1"/>
    <w:next w:val="1"/>
    <w:unhideWhenUsed/>
    <w:qFormat/>
    <w:uiPriority w:val="0"/>
    <w:pPr>
      <w:ind w:firstLine="0" w:firstLineChars="0"/>
    </w:pPr>
    <w:rPr>
      <w:rFonts w:cs="Times New Roman"/>
      <w:sz w:val="20"/>
      <w:szCs w:val="20"/>
    </w:rPr>
  </w:style>
  <w:style w:type="paragraph" w:styleId="13">
    <w:name w:val="annotation text"/>
    <w:basedOn w:val="1"/>
    <w:qFormat/>
    <w:uiPriority w:val="0"/>
    <w:pPr>
      <w:jc w:val="left"/>
    </w:pPr>
    <w:rPr>
      <w:color w:val="262626" w:themeColor="text1" w:themeTint="D9"/>
      <w14:textFill>
        <w14:solidFill>
          <w14:schemeClr w14:val="tx1">
            <w14:lumMod w14:val="85000"/>
            <w14:lumOff w14:val="15000"/>
          </w14:schemeClr>
        </w14:solidFill>
      </w14:textFill>
    </w:rPr>
  </w:style>
  <w:style w:type="paragraph" w:styleId="14">
    <w:name w:val="Salutation"/>
    <w:basedOn w:val="1"/>
    <w:next w:val="1"/>
    <w:qFormat/>
    <w:uiPriority w:val="0"/>
    <w:pPr>
      <w:adjustRightInd w:val="0"/>
      <w:snapToGrid w:val="0"/>
      <w:ind w:firstLine="0" w:firstLineChars="0"/>
    </w:pPr>
  </w:style>
  <w:style w:type="paragraph" w:styleId="15">
    <w:name w:val="Date"/>
    <w:basedOn w:val="1"/>
    <w:next w:val="1"/>
    <w:qFormat/>
    <w:uiPriority w:val="0"/>
    <w:pPr>
      <w:ind w:firstLine="0" w:firstLineChars="0"/>
      <w:jc w:val="right"/>
    </w:pPr>
    <w:rPr>
      <w:color w:val="262626" w:themeColor="text1" w:themeTint="D9"/>
      <w14:textFill>
        <w14:solidFill>
          <w14:schemeClr w14:val="tx1">
            <w14:lumMod w14:val="85000"/>
            <w14:lumOff w14:val="15000"/>
          </w14:schemeClr>
        </w14:solidFill>
      </w14:textFill>
    </w:rPr>
  </w:style>
  <w:style w:type="paragraph" w:styleId="16">
    <w:name w:val="endnote text"/>
    <w:basedOn w:val="1"/>
    <w:qFormat/>
    <w:uiPriority w:val="0"/>
    <w:pPr>
      <w:jc w:val="left"/>
    </w:pPr>
    <w:rPr>
      <w:color w:val="262626" w:themeColor="text1" w:themeTint="D9"/>
      <w14:textFill>
        <w14:solidFill>
          <w14:schemeClr w14:val="tx1">
            <w14:lumMod w14:val="85000"/>
            <w14:lumOff w14:val="15000"/>
          </w14:schemeClr>
        </w14:solidFill>
      </w14:textFill>
    </w:rPr>
  </w:style>
  <w:style w:type="paragraph" w:styleId="17">
    <w:name w:val="Balloon Text"/>
    <w:basedOn w:val="1"/>
    <w:qFormat/>
    <w:uiPriority w:val="0"/>
    <w:rPr>
      <w:sz w:val="18"/>
      <w:szCs w:val="18"/>
    </w:rPr>
  </w:style>
  <w:style w:type="paragraph" w:styleId="18">
    <w:name w:val="footer"/>
    <w:basedOn w:val="1"/>
    <w:qFormat/>
    <w:uiPriority w:val="0"/>
    <w:pPr>
      <w:tabs>
        <w:tab w:val="center" w:pos="4153"/>
        <w:tab w:val="right" w:pos="8306"/>
      </w:tabs>
      <w:ind w:firstLine="0" w:firstLineChars="0"/>
      <w:jc w:val="left"/>
    </w:pPr>
    <w:rPr>
      <w:sz w:val="18"/>
      <w:szCs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ind w:firstLine="0" w:firstLineChars="0"/>
    </w:pPr>
    <w:rPr>
      <w:sz w:val="18"/>
      <w:szCs w:val="18"/>
    </w:rPr>
  </w:style>
  <w:style w:type="paragraph" w:styleId="20">
    <w:name w:val="Signature"/>
    <w:basedOn w:val="1"/>
    <w:qFormat/>
    <w:uiPriority w:val="0"/>
    <w:pPr>
      <w:ind w:firstLine="0" w:firstLineChars="0"/>
      <w:jc w:val="right"/>
    </w:pPr>
    <w:rPr>
      <w:color w:val="262626" w:themeColor="text1" w:themeTint="D9"/>
      <w14:textFill>
        <w14:solidFill>
          <w14:schemeClr w14:val="tx1">
            <w14:lumMod w14:val="85000"/>
            <w14:lumOff w14:val="15000"/>
          </w14:schemeClr>
        </w14:solidFill>
      </w14:textFill>
    </w:rPr>
  </w:style>
  <w:style w:type="paragraph" w:styleId="21">
    <w:name w:val="Subtitle"/>
    <w:basedOn w:val="1"/>
    <w:next w:val="3"/>
    <w:qFormat/>
    <w:uiPriority w:val="0"/>
    <w:pPr>
      <w:adjustRightInd w:val="0"/>
      <w:snapToGrid w:val="0"/>
      <w:spacing w:beforeLines="0" w:beforeAutospacing="0" w:after="100" w:afterLines="100" w:afterAutospacing="0" w:line="288" w:lineRule="auto"/>
      <w:jc w:val="center"/>
      <w:outlineLvl w:val="9"/>
    </w:pPr>
    <w:rPr>
      <w:b/>
      <w:kern w:val="28"/>
      <w:sz w:val="32"/>
      <w:szCs w:val="32"/>
    </w:rPr>
  </w:style>
  <w:style w:type="paragraph" w:styleId="22">
    <w:name w:val="footnote text"/>
    <w:basedOn w:val="1"/>
    <w:qFormat/>
    <w:uiPriority w:val="0"/>
    <w:pPr>
      <w:jc w:val="left"/>
    </w:pPr>
    <w:rPr>
      <w:rFonts w:ascii="黑体" w:hAnsi="黑体" w:eastAsia="黑体"/>
      <w:sz w:val="24"/>
      <w:szCs w:val="24"/>
    </w:rPr>
  </w:style>
  <w:style w:type="paragraph" w:styleId="23">
    <w:name w:val="Normal (Web)"/>
    <w:basedOn w:val="1"/>
    <w:qFormat/>
    <w:uiPriority w:val="0"/>
    <w:rPr>
      <w:sz w:val="24"/>
      <w:szCs w:val="24"/>
    </w:rPr>
  </w:style>
  <w:style w:type="paragraph" w:styleId="24">
    <w:name w:val="Title"/>
    <w:basedOn w:val="1"/>
    <w:next w:val="3"/>
    <w:qFormat/>
    <w:uiPriority w:val="10"/>
    <w:pPr>
      <w:adjustRightInd w:val="0"/>
      <w:snapToGrid w:val="0"/>
      <w:spacing w:after="80" w:afterLines="80" w:line="288" w:lineRule="auto"/>
      <w:ind w:firstLine="0" w:firstLineChars="0"/>
      <w:jc w:val="center"/>
      <w:outlineLvl w:val="9"/>
    </w:pPr>
    <w:rPr>
      <w:b/>
      <w:sz w:val="48"/>
      <w:szCs w:val="48"/>
    </w:rPr>
  </w:style>
  <w:style w:type="paragraph" w:styleId="25">
    <w:name w:val="annotation subject"/>
    <w:basedOn w:val="13"/>
    <w:next w:val="13"/>
    <w:qFormat/>
    <w:uiPriority w:val="0"/>
    <w:rPr>
      <w:b/>
      <w:bCs/>
    </w:rPr>
  </w:style>
  <w:style w:type="character" w:styleId="28">
    <w:name w:val="Strong"/>
    <w:basedOn w:val="27"/>
    <w:qFormat/>
    <w:uiPriority w:val="22"/>
    <w:rPr>
      <w:rFonts w:ascii="黑体" w:hAnsi="黑体" w:eastAsia="黑体"/>
      <w:b/>
      <w:bCs/>
      <w:color w:val="4874CB" w:themeColor="accent1"/>
      <w:u w:val="single"/>
      <w14:textFill>
        <w14:solidFill>
          <w14:schemeClr w14:val="accent1"/>
        </w14:solidFill>
      </w14:textFill>
    </w:rPr>
  </w:style>
  <w:style w:type="character" w:styleId="29">
    <w:name w:val="endnote reference"/>
    <w:basedOn w:val="27"/>
    <w:qFormat/>
    <w:uiPriority w:val="0"/>
    <w:rPr>
      <w:rFonts w:ascii="黑体" w:hAnsi="黑体" w:eastAsia="黑体"/>
      <w:color w:val="262626" w:themeColor="text1" w:themeTint="D9"/>
      <w:vertAlign w:val="superscript"/>
      <w14:textFill>
        <w14:solidFill>
          <w14:schemeClr w14:val="tx1">
            <w14:lumMod w14:val="85000"/>
            <w14:lumOff w14:val="15000"/>
          </w14:schemeClr>
        </w14:solidFill>
      </w14:textFill>
    </w:rPr>
  </w:style>
  <w:style w:type="character" w:styleId="30">
    <w:name w:val="page number"/>
    <w:qFormat/>
    <w:uiPriority w:val="0"/>
    <w:rPr>
      <w:rFonts w:ascii="黑体" w:hAnsi="黑体" w:eastAsia="黑体" w:cs="Times New Roman"/>
      <w:color w:val="262626" w:themeColor="text1" w:themeTint="D9"/>
      <w:spacing w:val="-6"/>
      <w:kern w:val="2"/>
      <w:sz w:val="28"/>
      <w:szCs w:val="28"/>
      <w:lang w:val="en-US" w:eastAsia="zh-CN" w:bidi="ar-SA"/>
      <w14:textFill>
        <w14:solidFill>
          <w14:schemeClr w14:val="tx1">
            <w14:lumMod w14:val="85000"/>
            <w14:lumOff w14:val="15000"/>
          </w14:schemeClr>
        </w14:solidFill>
      </w14:textFill>
    </w:rPr>
  </w:style>
  <w:style w:type="character" w:styleId="31">
    <w:name w:val="FollowedHyperlink"/>
    <w:basedOn w:val="27"/>
    <w:qFormat/>
    <w:uiPriority w:val="0"/>
    <w:rPr>
      <w:rFonts w:ascii="黑体" w:hAnsi="黑体" w:eastAsia="黑体" w:cs="Times New Roman"/>
      <w:color w:val="800080"/>
      <w:spacing w:val="-6"/>
      <w:kern w:val="2"/>
      <w:sz w:val="24"/>
      <w:szCs w:val="24"/>
      <w:u w:val="single"/>
      <w:lang w:val="en-US" w:eastAsia="zh-CN" w:bidi="ar-SA"/>
    </w:rPr>
  </w:style>
  <w:style w:type="character" w:styleId="32">
    <w:name w:val="Emphasis"/>
    <w:basedOn w:val="27"/>
    <w:qFormat/>
    <w:uiPriority w:val="20"/>
    <w:rPr>
      <w:rFonts w:ascii="Arial" w:hAnsi="Arial" w:eastAsia="黑体"/>
      <w:b/>
      <w:bCs/>
      <w:i/>
      <w:color w:val="C00000"/>
      <w:sz w:val="24"/>
      <w:szCs w:val="22"/>
    </w:rPr>
  </w:style>
  <w:style w:type="character" w:styleId="33">
    <w:name w:val="Hyperlink"/>
    <w:basedOn w:val="27"/>
    <w:qFormat/>
    <w:uiPriority w:val="0"/>
    <w:rPr>
      <w:rFonts w:ascii="黑体" w:hAnsi="黑体" w:eastAsia="黑体" w:cs="Times New Roman"/>
      <w:caps/>
      <w:color w:val="0000FF"/>
      <w:spacing w:val="-6"/>
      <w:kern w:val="2"/>
      <w:sz w:val="24"/>
      <w:szCs w:val="24"/>
      <w:u w:val="single"/>
      <w:lang w:val="en-US" w:eastAsia="zh-CN" w:bidi="ar-SA"/>
    </w:rPr>
  </w:style>
  <w:style w:type="character" w:styleId="34">
    <w:name w:val="annotation reference"/>
    <w:basedOn w:val="27"/>
    <w:qFormat/>
    <w:uiPriority w:val="0"/>
    <w:rPr>
      <w:rFonts w:ascii="黑体" w:hAnsi="黑体" w:eastAsia="黑体"/>
      <w:color w:val="262626" w:themeColor="text1" w:themeTint="D9"/>
      <w:sz w:val="21"/>
      <w:szCs w:val="21"/>
      <w14:textFill>
        <w14:solidFill>
          <w14:schemeClr w14:val="tx1">
            <w14:lumMod w14:val="85000"/>
            <w14:lumOff w14:val="15000"/>
          </w14:schemeClr>
        </w14:solidFill>
      </w14:textFill>
    </w:rPr>
  </w:style>
  <w:style w:type="character" w:styleId="35">
    <w:name w:val="footnote reference"/>
    <w:basedOn w:val="27"/>
    <w:qFormat/>
    <w:uiPriority w:val="0"/>
    <w:rPr>
      <w:rFonts w:ascii="黑体" w:hAnsi="黑体" w:eastAsia="黑体"/>
      <w:color w:val="262626" w:themeColor="text1" w:themeTint="D9"/>
      <w:vertAlign w:val="superscript"/>
      <w14:textFill>
        <w14:solidFill>
          <w14:schemeClr w14:val="tx1">
            <w14:lumMod w14:val="85000"/>
            <w14:lumOff w14:val="15000"/>
          </w14:schemeClr>
        </w14:solidFill>
      </w14:textFill>
    </w:rPr>
  </w:style>
  <w:style w:type="character" w:customStyle="1" w:styleId="36">
    <w:name w:val="标题 1 Char"/>
    <w:link w:val="2"/>
    <w:qFormat/>
    <w:uiPriority w:val="0"/>
    <w:rPr>
      <w:rFonts w:ascii="黑体" w:hAnsi="黑体" w:eastAsia="黑体" w:cstheme="minorBidi"/>
      <w:bCs/>
      <w:kern w:val="44"/>
      <w:sz w:val="32"/>
      <w:szCs w:val="36"/>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4</TotalTime>
  <ScaleCrop>false</ScaleCrop>
  <LinksUpToDate>false</LinksUpToDate>
  <CharactersWithSpaces>0</CharactersWithSpaces>
  <Application>WPS Office_12.1.2.25838_F1E327BC-269C-435d-A152-05C5408002CA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2026-04-10T10:46:00Z</dcterms:created>
  <dc:creator>Administrator</dc:creator>
  <cp:lastModifiedBy>wux</cp:lastModifiedBy>
  <dcterms:modified xsi:type="dcterms:W3CDTF">2026-04-27T10:22:53Z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2052-12.1.2.25838</vt:lpwstr>
  </property>
  <property fmtid="{D5CDD505-2E9C-101B-9397-08002B2CF9AE}" pid="3" name="KSOTemplateDocerSaveRecord">
    <vt:lpwstr>eyJoZGlkIjoiMTVkODYzNjJiMzg3YzRkZTU0YzcyZGYzNWYzY2ZkNDIiLCJ1c2VySWQiOiIxMTMyMjQzMjc5In0=</vt:lpwstr>
  </property>
  <property fmtid="{D5CDD505-2E9C-101B-9397-08002B2CF9AE}" pid="4" name="ICV">
    <vt:lpwstr>2BB864DF1B2F56A26063E769CA74BA49_43</vt:lpwstr>
  </property>
</Properties>
</file>