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36"/>
          <w:szCs w:val="36"/>
          <w:highlight w:val="none"/>
          <w:lang w:eastAsia="zh-CN"/>
        </w:rPr>
      </w:pPr>
    </w:p>
    <w:p>
      <w:pPr>
        <w:pStyle w:val="7"/>
        <w:wordWrap w:val="0"/>
        <w:jc w:val="center"/>
        <w:rPr>
          <w:rFonts w:hint="eastAsia" w:ascii="宋体" w:hAnsi="宋体" w:eastAsia="宋体" w:cs="宋体"/>
          <w:b w:val="0"/>
          <w:bCs w:val="0"/>
          <w:color w:val="auto"/>
          <w:kern w:val="0"/>
          <w:sz w:val="36"/>
          <w:szCs w:val="36"/>
          <w:highlight w:val="none"/>
          <w:lang w:eastAsia="zh-CN"/>
        </w:rPr>
      </w:pPr>
      <w:r>
        <w:rPr>
          <w:rFonts w:hint="eastAsia" w:ascii="宋体" w:hAnsi="宋体" w:eastAsia="宋体" w:cs="宋体"/>
          <w:b w:val="0"/>
          <w:bCs w:val="0"/>
          <w:color w:val="auto"/>
          <w:kern w:val="0"/>
          <w:sz w:val="36"/>
          <w:szCs w:val="36"/>
          <w:highlight w:val="none"/>
          <w:lang w:val="en-US" w:eastAsia="zh-CN"/>
        </w:rPr>
        <w:t>铜陵市义安区大病医疗保险、城镇职工大额医疗保险、城乡居民意外伤害医疗保险</w:t>
      </w:r>
      <w:r>
        <w:rPr>
          <w:rFonts w:hint="eastAsia" w:hAnsi="宋体" w:eastAsia="宋体" w:cs="宋体"/>
          <w:b w:val="0"/>
          <w:bCs w:val="0"/>
          <w:color w:val="auto"/>
          <w:kern w:val="0"/>
          <w:sz w:val="36"/>
          <w:szCs w:val="36"/>
          <w:highlight w:val="none"/>
          <w:lang w:val="en-US" w:eastAsia="zh-CN"/>
        </w:rPr>
        <w:t>承办</w:t>
      </w:r>
      <w:r>
        <w:rPr>
          <w:rFonts w:hint="eastAsia" w:ascii="宋体" w:hAnsi="宋体" w:eastAsia="宋体" w:cs="宋体"/>
          <w:b w:val="0"/>
          <w:bCs w:val="0"/>
          <w:color w:val="auto"/>
          <w:kern w:val="0"/>
          <w:sz w:val="36"/>
          <w:szCs w:val="36"/>
          <w:highlight w:val="none"/>
          <w:lang w:val="en-US" w:eastAsia="zh-CN"/>
        </w:rPr>
        <w:t>和基本医疗保险经办服务</w:t>
      </w:r>
      <w:r>
        <w:rPr>
          <w:rFonts w:hint="eastAsia" w:hAnsi="宋体" w:eastAsia="宋体" w:cs="宋体"/>
          <w:b w:val="0"/>
          <w:bCs w:val="0"/>
          <w:color w:val="auto"/>
          <w:kern w:val="0"/>
          <w:sz w:val="36"/>
          <w:szCs w:val="36"/>
          <w:highlight w:val="none"/>
          <w:lang w:val="en-US" w:eastAsia="zh-CN"/>
        </w:rPr>
        <w:t>（一标段）</w:t>
      </w:r>
      <w:r>
        <w:rPr>
          <w:rFonts w:hint="eastAsia" w:ascii="宋体" w:hAnsi="宋体" w:eastAsia="宋体" w:cs="宋体"/>
          <w:b w:val="0"/>
          <w:bCs w:val="0"/>
          <w:color w:val="auto"/>
          <w:kern w:val="0"/>
          <w:sz w:val="36"/>
          <w:szCs w:val="36"/>
          <w:highlight w:val="none"/>
          <w:lang w:eastAsia="zh-CN"/>
        </w:rPr>
        <w:t>项目需求</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color w:val="auto"/>
          <w:sz w:val="32"/>
          <w:szCs w:val="32"/>
          <w:highlight w:val="none"/>
          <w:lang w:eastAsia="zh-CN"/>
        </w:rPr>
      </w:pPr>
      <w:r>
        <w:rPr>
          <w:rFonts w:hint="eastAsia" w:ascii="宋体" w:hAnsi="宋体"/>
          <w:color w:val="auto"/>
          <w:sz w:val="32"/>
          <w:szCs w:val="32"/>
          <w:highlight w:val="none"/>
          <w:lang w:eastAsia="zh-CN"/>
        </w:rPr>
        <w:tab/>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采购单位：铜陵市义安区医疗保障管理服务中心</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lang w:val="en-US" w:eastAsia="zh-CN"/>
        </w:rPr>
        <w:t>基本情况、项目</w:t>
      </w:r>
      <w:r>
        <w:rPr>
          <w:rFonts w:hint="eastAsia" w:ascii="宋体" w:hAnsi="宋体" w:eastAsia="宋体" w:cs="宋体"/>
          <w:b/>
          <w:bCs/>
          <w:color w:val="auto"/>
          <w:sz w:val="24"/>
          <w:szCs w:val="24"/>
          <w:highlight w:val="none"/>
          <w:lang w:eastAsia="zh-CN"/>
        </w:rPr>
        <w:t>背景、</w:t>
      </w:r>
      <w:r>
        <w:rPr>
          <w:rFonts w:hint="eastAsia" w:ascii="宋体" w:hAnsi="宋体" w:eastAsia="宋体" w:cs="宋体"/>
          <w:b/>
          <w:bCs/>
          <w:color w:val="auto"/>
          <w:sz w:val="24"/>
          <w:szCs w:val="24"/>
          <w:highlight w:val="none"/>
          <w:lang w:val="en-US" w:eastAsia="zh-CN"/>
        </w:rPr>
        <w:t>采购内容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一、项目基本情况</w:t>
      </w:r>
    </w:p>
    <w:p>
      <w:pPr>
        <w:keepNext w:val="0"/>
        <w:keepLines w:val="0"/>
        <w:pageBreakBefore w:val="0"/>
        <w:widowControl w:val="0"/>
        <w:numPr>
          <w:ilvl w:val="0"/>
          <w:numId w:val="0"/>
        </w:numPr>
        <w:kinsoku/>
        <w:overflowPunct/>
        <w:topLinePunct w:val="0"/>
        <w:bidi w:val="0"/>
        <w:snapToGrid/>
        <w:spacing w:line="360" w:lineRule="auto"/>
        <w:jc w:val="both"/>
        <w:textAlignment w:val="auto"/>
        <w:outlineLvl w:val="9"/>
        <w:rPr>
          <w:rFonts w:hint="eastAsia" w:hAnsi="宋体" w:eastAsia="宋体" w:cs="宋体"/>
          <w:b/>
          <w:color w:val="auto"/>
          <w:szCs w:val="28"/>
          <w:highlight w:val="none"/>
          <w:lang w:val="en-US" w:eastAsia="zh-CN"/>
        </w:rPr>
      </w:pPr>
      <w:r>
        <w:rPr>
          <w:rFonts w:hint="eastAsia" w:ascii="宋体" w:hAnsi="宋体" w:eastAsia="宋体" w:cs="宋体"/>
          <w:color w:val="auto"/>
          <w:kern w:val="0"/>
          <w:sz w:val="24"/>
          <w:szCs w:val="24"/>
          <w:highlight w:val="none"/>
          <w:lang w:val="en-US" w:eastAsia="zh-CN"/>
        </w:rPr>
        <w:t>项目编号：</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项目名称：铜陵市义安区大病医疗保险、城镇职工大额医疗保险、城乡居民意外伤害医疗保险承办和基本医疗保险经办服务项目（一标段）。</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预算金额：</w:t>
      </w:r>
      <w:r>
        <w:rPr>
          <w:rFonts w:hint="eastAsia" w:ascii="宋体" w:hAnsi="宋体" w:eastAsia="宋体" w:cs="宋体"/>
          <w:sz w:val="24"/>
          <w:szCs w:val="22"/>
          <w:highlight w:val="none"/>
          <w:lang w:val="en-US" w:eastAsia="zh-CN" w:bidi="zh-CN"/>
        </w:rPr>
        <w:t>一标段：</w:t>
      </w:r>
      <w:r>
        <w:rPr>
          <w:rFonts w:hint="eastAsia" w:ascii="宋体" w:hAnsi="宋体" w:eastAsia="宋体" w:cs="宋体"/>
          <w:sz w:val="24"/>
          <w:szCs w:val="22"/>
          <w:highlight w:val="none"/>
          <w:lang w:val="zh-CN" w:eastAsia="zh-CN" w:bidi="zh-CN"/>
        </w:rPr>
        <w:t>保险机构承办的服务费不高于年度总保费的5%，约200万元/年。</w:t>
      </w:r>
    </w:p>
    <w:p>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sz w:val="24"/>
          <w:szCs w:val="22"/>
          <w:highlight w:val="none"/>
          <w:lang w:val="en-US" w:eastAsia="zh-CN" w:bidi="zh-CN"/>
        </w:rPr>
        <w:t>一标段：</w:t>
      </w:r>
      <w:r>
        <w:rPr>
          <w:rFonts w:hint="eastAsia" w:ascii="宋体" w:hAnsi="宋体" w:eastAsia="宋体" w:cs="宋体"/>
          <w:sz w:val="24"/>
          <w:szCs w:val="22"/>
          <w:highlight w:val="none"/>
          <w:lang w:val="zh-CN" w:eastAsia="zh-CN" w:bidi="zh-CN"/>
        </w:rPr>
        <w:t>保险机构承办的服务费不高于年度总保费的5%，约200万元/年。</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二、项目背景</w:t>
      </w:r>
      <w:r>
        <w:rPr>
          <w:rFonts w:hint="eastAsia" w:ascii="宋体" w:hAnsi="宋体" w:eastAsia="宋体" w:cs="宋体"/>
          <w:color w:val="auto"/>
          <w:kern w:val="0"/>
          <w:sz w:val="24"/>
          <w:szCs w:val="24"/>
          <w:highlight w:val="none"/>
          <w:lang w:val="en-US" w:eastAsia="zh-CN"/>
        </w:rPr>
        <w:t>：1、为提高我区大病保险、大额保险和意外伤害医疗保险运行效率、提升医保服务水平和质量，根据《安徽省人民政府办公厅关于巩固完善城乡居民大病保险制度的实施意见》(皖政办〔2015〕55 号)、《关于巩固完善城镇居民大病保险制度的意见》（皖人社发〔2016〕1 号）、《铜陵市城乡居民基本医疗保险和大病保险保障待遇实施方案（试行）》（铜政办〔2019〕41号）、《铜陵市统一城乡居民基本医疗保险和大病保险保障待遇实施细则（试行）》（铜医保办〔2019〕20号）、《铜陵市城乡居民和城镇职工大病医疗保险暂行办法》（铜政办[2013]41号）、《铜陵市国家公务员医疗补助试行办法》（铜政办[2000]30号）、《铜陵市城镇职工大额医疗保险暂行办法》（铜政办[2014]48号）等相关文件精神，铜陵市义安区医疗保障管理服务中心将义安区大病医疗保险、城镇职工大额（公务员补助）医疗保险、城乡居民意外伤害医疗保险业务通过竞争性磋商的方式确定承办单位。</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2、项目交付或实施地点：采购单位指定地点 。</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3、项目交付或实施时间：</w:t>
      </w:r>
      <w:r>
        <w:rPr>
          <w:rFonts w:hint="eastAsia" w:ascii="宋体" w:hAnsi="宋体" w:eastAsia="宋体" w:cs="宋体"/>
          <w:sz w:val="24"/>
          <w:szCs w:val="22"/>
          <w:highlight w:val="none"/>
          <w:lang w:val="zh-CN" w:eastAsia="zh-CN" w:bidi="zh-CN"/>
        </w:rPr>
        <w:t>三年/标段（即自2022年1月1日零时起至2024年12月31日24时止</w:t>
      </w:r>
      <w:r>
        <w:rPr>
          <w:rFonts w:hint="eastAsia" w:ascii="宋体" w:hAnsi="宋体" w:cs="宋体"/>
          <w:sz w:val="24"/>
          <w:szCs w:val="22"/>
          <w:highlight w:val="none"/>
          <w:lang w:val="zh-CN" w:eastAsia="zh-CN" w:bidi="zh-CN"/>
        </w:rPr>
        <w:t>）</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4、资金来源：一标段为投保资金 。</w:t>
      </w:r>
    </w:p>
    <w:p>
      <w:pPr>
        <w:pStyle w:val="6"/>
        <w:ind w:firstLine="240" w:firstLineChars="100"/>
        <w:rPr>
          <w:rFonts w:hint="eastAsia" w:eastAsiaTheme="minorEastAsia"/>
          <w:color w:val="auto"/>
          <w:highlight w:val="none"/>
          <w:lang w:val="en-US" w:eastAsia="zh-CN"/>
        </w:rPr>
      </w:pPr>
      <w:r>
        <w:rPr>
          <w:rFonts w:hint="eastAsia" w:ascii="宋体" w:hAnsi="宋体" w:eastAsia="宋体" w:cs="宋体"/>
          <w:color w:val="auto"/>
          <w:kern w:val="0"/>
          <w:sz w:val="24"/>
          <w:szCs w:val="24"/>
          <w:highlight w:val="none"/>
          <w:lang w:val="en-US" w:eastAsia="zh-CN"/>
        </w:rPr>
        <w:t>5、最高限价：一标段：保险机构承办的服务费不高于年度总保费的5%，约200万元/年。</w:t>
      </w:r>
    </w:p>
    <w:p>
      <w:pPr>
        <w:keepNext w:val="0"/>
        <w:keepLines w:val="0"/>
        <w:pageBreakBefore w:val="0"/>
        <w:kinsoku/>
        <w:overflowPunct/>
        <w:topLinePunct w:val="0"/>
        <w:autoSpaceDE/>
        <w:autoSpaceDN/>
        <w:bidi w:val="0"/>
        <w:adjustRightInd/>
        <w:snapToGrid/>
        <w:spacing w:line="360" w:lineRule="auto"/>
        <w:textAlignment w:val="auto"/>
        <w:rPr>
          <w:rFonts w:hint="eastAsia"/>
          <w:lang w:val="zh-CN"/>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lang w:eastAsia="zh-CN"/>
        </w:rPr>
        <w:t>投标人资格要求</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1.满足《中华人民共和国政府采购法》第二十二条规定；本项目允许分公司或支公司（包括中心支公司）参与投标，投标时应当提供总公司出具的愿为其参与项目投标以及履约行为承担民事责任的承诺书。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2.落实政府采购政策需满足的资格要求：本项目非专门面向中小企业采购（供应商应为中小微企业、监狱企业、残疾人福利性单位）。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3.本项目的特定资格要求：投标供应商应具有《保险法人许可证》或《经营保险业务许可证》，且必须在中国银行保险业监管管理委员会安徽监管局2021年8月20日官网公布的《安徽省符合城乡居民大病保险经营条件的保险公司省级机构名单》中。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4.供应商存在以下不良信用记录情形之一的，不得推荐为成交候选人，不得确定为成交供应商：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(1）供应商被人民法院列入失信被执行人的；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(2）供应商或其法定代表人近三年内被人民检察院列入行贿犯罪档案的；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(3）供应商被工商行政管理部门列入企业经营异常名录的；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(4）供应商被税务部门列入重大税收违法案件当事人名单的；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(5）供应商被政府采购监管部门列入政府采购严重违法失信行为记录名单的；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(6）被铜陵市公共资源交易监管部门记录的不良行为累计分值在 10 分（含）-15分（不含），且最近一次不良行为记录公布日距开标日未超过 3个月； </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(7）被铜陵市公共资源交易监管部门记不良行为记录累计分值在 15 分（含）-20 分（不含），且最近一次不良行为记录公布日距开标日未超过6个月； </w:t>
      </w:r>
    </w:p>
    <w:p>
      <w:pPr>
        <w:widowControl/>
        <w:shd w:val="clear" w:color="auto" w:fill="auto"/>
        <w:spacing w:line="360" w:lineRule="auto"/>
        <w:ind w:firstLine="480" w:firstLineChars="200"/>
        <w:jc w:val="left"/>
        <w:rPr>
          <w:rFonts w:hint="eastAsia" w:ascii="宋体" w:hAnsi="宋体" w:eastAsia="宋体" w:cs="宋体"/>
          <w:color w:val="auto"/>
          <w:kern w:val="0"/>
          <w:sz w:val="30"/>
          <w:szCs w:val="30"/>
          <w:highlight w:val="none"/>
        </w:rPr>
      </w:pPr>
      <w:r>
        <w:rPr>
          <w:rFonts w:hint="eastAsia" w:ascii="宋体" w:hAnsi="宋体" w:cs="宋体"/>
          <w:sz w:val="24"/>
          <w:highlight w:val="none"/>
          <w:lang w:val="en-US" w:eastAsia="zh-CN"/>
        </w:rPr>
        <w:t>(8）被铜陵市公共资源交易监管部门记不良行为记录累计分值达 20 分（含）以上，且最近一次不良行为记录公布日距开标日未超过 12 个月。</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四、服务周期</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s="宋体"/>
          <w:sz w:val="24"/>
          <w:szCs w:val="22"/>
          <w:highlight w:val="none"/>
          <w:lang w:val="zh-CN" w:eastAsia="zh-CN" w:bidi="zh-CN"/>
        </w:rPr>
      </w:pPr>
      <w:r>
        <w:rPr>
          <w:rFonts w:hint="eastAsia" w:ascii="宋体" w:hAnsi="宋体" w:eastAsia="宋体" w:cs="宋体"/>
          <w:sz w:val="24"/>
          <w:szCs w:val="22"/>
          <w:highlight w:val="none"/>
          <w:lang w:val="zh-CN" w:eastAsia="zh-CN" w:bidi="zh-CN"/>
        </w:rPr>
        <w:t>三年/标段（即自2022年1月1日零时起至2024年12月31日24时止</w:t>
      </w:r>
      <w:r>
        <w:rPr>
          <w:rFonts w:hint="eastAsia" w:ascii="宋体" w:hAnsi="宋体" w:cs="宋体"/>
          <w:sz w:val="24"/>
          <w:szCs w:val="22"/>
          <w:highlight w:val="none"/>
          <w:lang w:val="zh-CN" w:eastAsia="zh-CN" w:bidi="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eastAsia="zh-CN"/>
        </w:rPr>
        <w:t>付款方式</w:t>
      </w:r>
    </w:p>
    <w:p>
      <w:pPr>
        <w:pStyle w:val="6"/>
        <w:keepNext w:val="0"/>
        <w:keepLines w:val="0"/>
        <w:pageBreakBefore w:val="0"/>
        <w:kinsoku/>
        <w:overflowPunct/>
        <w:topLinePunct w:val="0"/>
        <w:bidi w:val="0"/>
        <w:snapToGrid/>
        <w:spacing w:after="0" w:line="360" w:lineRule="auto"/>
        <w:textAlignment w:val="auto"/>
        <w:rPr>
          <w:rFonts w:hint="eastAsia" w:ascii="仿宋_GB2312" w:hAnsi="仿宋_GB2312" w:eastAsia="仿宋_GB2312" w:cs="仿宋_GB2312"/>
          <w:color w:val="auto"/>
          <w:sz w:val="32"/>
          <w:szCs w:val="32"/>
          <w:highlight w:val="none"/>
        </w:rPr>
      </w:pPr>
      <w:r>
        <w:rPr>
          <w:rFonts w:hint="eastAsia"/>
          <w:color w:val="auto"/>
          <w:highlight w:val="none"/>
          <w:lang w:val="en-US" w:eastAsia="zh-CN"/>
        </w:rPr>
        <w:t>以具体签订的采购合同为准。</w:t>
      </w:r>
    </w:p>
    <w:p>
      <w:pPr>
        <w:keepNext w:val="0"/>
        <w:keepLines w:val="0"/>
        <w:pageBreakBefore w:val="0"/>
        <w:kinsoku/>
        <w:overflowPunct/>
        <w:topLinePunct w:val="0"/>
        <w:bidi w:val="0"/>
        <w:snapToGrid/>
        <w:spacing w:line="360" w:lineRule="auto"/>
        <w:textAlignment w:val="auto"/>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六、采购方式</w:t>
      </w:r>
    </w:p>
    <w:p>
      <w:pPr>
        <w:keepNext w:val="0"/>
        <w:keepLines w:val="0"/>
        <w:pageBreakBefore w:val="0"/>
        <w:kinsoku/>
        <w:overflowPunct/>
        <w:topLinePunct w:val="0"/>
        <w:autoSpaceDE/>
        <w:autoSpaceDN/>
        <w:bidi w:val="0"/>
        <w:adjustRightInd/>
        <w:snapToGrid/>
        <w:spacing w:line="360" w:lineRule="auto"/>
        <w:ind w:firstLine="480" w:firstLineChars="200"/>
        <w:jc w:val="both"/>
        <w:textAlignment w:val="auto"/>
        <w:outlineLvl w:val="9"/>
        <w:rPr>
          <w:rFonts w:hint="eastAsia" w:asciiTheme="minorHAnsi" w:hAnsiTheme="minorHAnsi" w:eastAsiaTheme="minorEastAsia" w:cstheme="minorBidi"/>
          <w:color w:val="auto"/>
          <w:sz w:val="24"/>
          <w:szCs w:val="24"/>
          <w:highlight w:val="none"/>
          <w:lang w:val="en-US" w:eastAsia="zh-CN" w:bidi="ar-SA"/>
        </w:rPr>
      </w:pPr>
      <w:r>
        <w:rPr>
          <w:rFonts w:hint="eastAsia" w:cstheme="minorBidi"/>
          <w:color w:val="auto"/>
          <w:sz w:val="24"/>
          <w:szCs w:val="24"/>
          <w:highlight w:val="none"/>
          <w:lang w:val="en-US" w:eastAsia="zh-CN" w:bidi="ar-SA"/>
        </w:rPr>
        <w:t>竞争性磋商</w:t>
      </w:r>
      <w:r>
        <w:rPr>
          <w:rFonts w:hint="eastAsia" w:asciiTheme="minorHAnsi" w:hAnsiTheme="minorHAnsi" w:eastAsiaTheme="minorEastAsia" w:cstheme="minorBidi"/>
          <w:color w:val="auto"/>
          <w:sz w:val="24"/>
          <w:szCs w:val="24"/>
          <w:highlight w:val="none"/>
          <w:lang w:val="en-US" w:eastAsia="zh-CN" w:bidi="ar-SA"/>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val="en-US" w:eastAsia="zh-CN"/>
        </w:rPr>
        <w:t>七、评标办法的初步意见</w:t>
      </w:r>
    </w:p>
    <w:p>
      <w:pPr>
        <w:keepNext w:val="0"/>
        <w:keepLines w:val="0"/>
        <w:pageBreakBefore w:val="0"/>
        <w:widowControl/>
        <w:kinsoku/>
        <w:overflowPunct/>
        <w:topLinePunct w:val="0"/>
        <w:bidi w:val="0"/>
        <w:adjustRightInd/>
        <w:snapToGrid/>
        <w:spacing w:line="360" w:lineRule="auto"/>
        <w:ind w:firstLine="640" w:firstLineChars="0"/>
        <w:jc w:val="both"/>
        <w:textAlignment w:val="auto"/>
        <w:outlineLvl w:val="9"/>
        <w:rPr>
          <w:rFonts w:hint="eastAsia" w:asciiTheme="minorHAnsi" w:hAnsiTheme="minorHAnsi" w:eastAsiaTheme="minorEastAsia" w:cstheme="minorBidi"/>
          <w:color w:val="auto"/>
          <w:sz w:val="24"/>
          <w:szCs w:val="24"/>
          <w:highlight w:val="none"/>
          <w:lang w:val="en-US" w:eastAsia="zh-CN" w:bidi="ar-SA"/>
        </w:rPr>
      </w:pPr>
      <w:r>
        <w:rPr>
          <w:rFonts w:hint="eastAsia" w:cstheme="minorBidi"/>
          <w:color w:val="auto"/>
          <w:sz w:val="24"/>
          <w:szCs w:val="24"/>
          <w:highlight w:val="none"/>
          <w:lang w:val="en-US" w:eastAsia="zh-CN" w:bidi="ar-SA"/>
        </w:rPr>
        <w:t>评标委员会</w:t>
      </w:r>
      <w:r>
        <w:rPr>
          <w:rFonts w:hint="eastAsia" w:asciiTheme="minorHAnsi" w:hAnsiTheme="minorHAnsi" w:eastAsiaTheme="minorEastAsia" w:cstheme="minorBidi"/>
          <w:color w:val="auto"/>
          <w:sz w:val="24"/>
          <w:szCs w:val="24"/>
          <w:highlight w:val="none"/>
          <w:lang w:val="en-US" w:eastAsia="zh-CN" w:bidi="ar-SA"/>
        </w:rPr>
        <w:t>以</w:t>
      </w:r>
      <w:r>
        <w:rPr>
          <w:rFonts w:hint="eastAsia" w:cstheme="minorBidi"/>
          <w:color w:val="auto"/>
          <w:sz w:val="24"/>
          <w:szCs w:val="24"/>
          <w:highlight w:val="none"/>
          <w:lang w:val="en-US" w:eastAsia="zh-CN" w:bidi="ar-SA"/>
        </w:rPr>
        <w:t>磋商</w:t>
      </w:r>
      <w:r>
        <w:rPr>
          <w:rFonts w:hint="eastAsia" w:asciiTheme="minorHAnsi" w:hAnsiTheme="minorHAnsi" w:eastAsiaTheme="minorEastAsia" w:cstheme="minorBidi"/>
          <w:color w:val="auto"/>
          <w:sz w:val="24"/>
          <w:szCs w:val="24"/>
          <w:highlight w:val="none"/>
          <w:lang w:val="en-US" w:eastAsia="zh-CN" w:bidi="ar-SA"/>
        </w:rPr>
        <w:t>文件为依据，对</w:t>
      </w:r>
      <w:r>
        <w:rPr>
          <w:rFonts w:hint="eastAsia" w:cstheme="minorBidi"/>
          <w:color w:val="auto"/>
          <w:sz w:val="24"/>
          <w:szCs w:val="24"/>
          <w:highlight w:val="none"/>
          <w:lang w:val="en-US" w:eastAsia="zh-CN" w:bidi="ar-SA"/>
        </w:rPr>
        <w:t>磋商响应</w:t>
      </w:r>
      <w:r>
        <w:rPr>
          <w:rFonts w:hint="eastAsia" w:asciiTheme="minorHAnsi" w:hAnsiTheme="minorHAnsi" w:eastAsiaTheme="minorEastAsia" w:cstheme="minorBidi"/>
          <w:color w:val="auto"/>
          <w:sz w:val="24"/>
          <w:szCs w:val="24"/>
          <w:highlight w:val="none"/>
          <w:lang w:val="en-US" w:eastAsia="zh-CN" w:bidi="ar-SA"/>
        </w:rPr>
        <w:t>文件进行评审，对竞标人的报价文件、技术文件、商务文件等内容按百分制打分，总分值为100分。</w:t>
      </w:r>
    </w:p>
    <w:p>
      <w:pPr>
        <w:pStyle w:val="18"/>
        <w:numPr>
          <w:ilvl w:val="0"/>
          <w:numId w:val="0"/>
        </w:numPr>
        <w:wordWrap w:val="0"/>
        <w:adjustRightInd/>
        <w:snapToGrid w:val="0"/>
        <w:spacing w:line="360" w:lineRule="auto"/>
        <w:ind w:firstLine="481"/>
        <w:jc w:val="center"/>
        <w:rPr>
          <w:rFonts w:hint="eastAsia"/>
          <w:b/>
          <w:bCs/>
          <w:color w:val="auto"/>
          <w:highlight w:val="none"/>
          <w:lang w:val="en-US" w:eastAsia="zh-CN"/>
        </w:rPr>
      </w:pPr>
    </w:p>
    <w:p>
      <w:pPr>
        <w:pStyle w:val="18"/>
        <w:numPr>
          <w:ilvl w:val="0"/>
          <w:numId w:val="0"/>
        </w:numPr>
        <w:wordWrap w:val="0"/>
        <w:adjustRightInd/>
        <w:snapToGrid w:val="0"/>
        <w:spacing w:line="360" w:lineRule="auto"/>
        <w:ind w:firstLine="481"/>
        <w:jc w:val="center"/>
        <w:rPr>
          <w:rFonts w:hint="eastAsia"/>
          <w:b/>
          <w:bCs/>
          <w:color w:val="auto"/>
          <w:highlight w:val="none"/>
          <w:lang w:val="en-US" w:eastAsia="zh-CN"/>
        </w:rPr>
      </w:pPr>
      <w:r>
        <w:rPr>
          <w:rFonts w:hint="eastAsia"/>
          <w:b/>
          <w:bCs/>
          <w:color w:val="auto"/>
          <w:highlight w:val="none"/>
          <w:lang w:val="en-US" w:eastAsia="zh-CN"/>
        </w:rPr>
        <w:t>一标段评分指标及评分标准如下表：</w:t>
      </w:r>
    </w:p>
    <w:tbl>
      <w:tblPr>
        <w:tblStyle w:val="11"/>
        <w:tblW w:w="11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59"/>
        <w:gridCol w:w="992"/>
        <w:gridCol w:w="3997"/>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noWrap w:val="0"/>
            <w:vAlign w:val="center"/>
          </w:tcPr>
          <w:p>
            <w:pPr>
              <w:widowControl/>
              <w:spacing w:line="440" w:lineRule="exact"/>
              <w:jc w:val="center"/>
              <w:rPr>
                <w:rFonts w:ascii="微软雅黑" w:hAnsi="微软雅黑" w:eastAsia="微软雅黑"/>
                <w:b/>
                <w:bCs/>
                <w:color w:val="000000"/>
                <w:sz w:val="28"/>
                <w:szCs w:val="28"/>
              </w:rPr>
            </w:pPr>
            <w:r>
              <w:rPr>
                <w:rFonts w:hint="eastAsia" w:ascii="微软雅黑" w:hAnsi="微软雅黑" w:eastAsia="微软雅黑"/>
                <w:b/>
                <w:bCs/>
                <w:color w:val="000000"/>
                <w:sz w:val="28"/>
                <w:szCs w:val="28"/>
              </w:rPr>
              <w:t>序号</w:t>
            </w:r>
          </w:p>
        </w:tc>
        <w:tc>
          <w:tcPr>
            <w:tcW w:w="1559" w:type="dxa"/>
            <w:noWrap/>
            <w:vAlign w:val="center"/>
          </w:tcPr>
          <w:p>
            <w:pPr>
              <w:widowControl/>
              <w:spacing w:line="440" w:lineRule="exact"/>
              <w:jc w:val="center"/>
              <w:rPr>
                <w:rFonts w:ascii="微软雅黑" w:hAnsi="微软雅黑" w:eastAsia="微软雅黑"/>
                <w:b/>
                <w:bCs/>
                <w:color w:val="000000"/>
                <w:sz w:val="28"/>
                <w:szCs w:val="28"/>
              </w:rPr>
            </w:pPr>
            <w:r>
              <w:rPr>
                <w:rFonts w:hint="eastAsia" w:ascii="微软雅黑" w:hAnsi="微软雅黑" w:eastAsia="微软雅黑"/>
                <w:b/>
                <w:bCs/>
                <w:color w:val="000000"/>
                <w:sz w:val="28"/>
                <w:szCs w:val="28"/>
              </w:rPr>
              <w:t>评分项目</w:t>
            </w:r>
          </w:p>
        </w:tc>
        <w:tc>
          <w:tcPr>
            <w:tcW w:w="992" w:type="dxa"/>
            <w:noWrap/>
            <w:vAlign w:val="center"/>
          </w:tcPr>
          <w:p>
            <w:pPr>
              <w:widowControl/>
              <w:spacing w:line="440" w:lineRule="exact"/>
              <w:jc w:val="center"/>
              <w:rPr>
                <w:rFonts w:ascii="微软雅黑" w:hAnsi="微软雅黑" w:eastAsia="微软雅黑"/>
                <w:b/>
                <w:bCs/>
                <w:color w:val="000000"/>
                <w:sz w:val="28"/>
                <w:szCs w:val="28"/>
              </w:rPr>
            </w:pPr>
            <w:r>
              <w:rPr>
                <w:rFonts w:hint="eastAsia" w:ascii="微软雅黑" w:hAnsi="微软雅黑" w:eastAsia="微软雅黑"/>
                <w:b/>
                <w:bCs/>
                <w:color w:val="000000"/>
                <w:sz w:val="28"/>
                <w:szCs w:val="28"/>
              </w:rPr>
              <w:t>分值</w:t>
            </w:r>
          </w:p>
        </w:tc>
        <w:tc>
          <w:tcPr>
            <w:tcW w:w="3997" w:type="dxa"/>
            <w:noWrap/>
            <w:vAlign w:val="center"/>
          </w:tcPr>
          <w:p>
            <w:pPr>
              <w:widowControl/>
              <w:spacing w:line="440" w:lineRule="exact"/>
              <w:jc w:val="center"/>
              <w:rPr>
                <w:rFonts w:ascii="微软雅黑" w:hAnsi="微软雅黑" w:eastAsia="微软雅黑"/>
                <w:b/>
                <w:bCs/>
                <w:color w:val="000000"/>
                <w:sz w:val="28"/>
                <w:szCs w:val="28"/>
              </w:rPr>
            </w:pPr>
            <w:r>
              <w:rPr>
                <w:rFonts w:hint="eastAsia" w:ascii="微软雅黑" w:hAnsi="微软雅黑" w:eastAsia="微软雅黑"/>
                <w:b/>
                <w:bCs/>
                <w:color w:val="000000"/>
                <w:sz w:val="28"/>
                <w:szCs w:val="28"/>
              </w:rPr>
              <w:t>评分标准</w:t>
            </w:r>
          </w:p>
        </w:tc>
        <w:tc>
          <w:tcPr>
            <w:tcW w:w="3997" w:type="dxa"/>
            <w:noWrap/>
            <w:vAlign w:val="center"/>
          </w:tcPr>
          <w:p>
            <w:pPr>
              <w:widowControl/>
              <w:spacing w:line="440" w:lineRule="exact"/>
              <w:jc w:val="center"/>
              <w:rPr>
                <w:rFonts w:hint="default" w:ascii="微软雅黑" w:hAnsi="微软雅黑" w:eastAsia="微软雅黑"/>
                <w:b/>
                <w:bCs/>
                <w:color w:val="000000"/>
                <w:sz w:val="28"/>
                <w:szCs w:val="28"/>
                <w:lang w:val="en-US" w:eastAsia="zh-CN"/>
              </w:rPr>
            </w:pPr>
            <w:r>
              <w:rPr>
                <w:rFonts w:hint="eastAsia" w:ascii="微软雅黑" w:hAnsi="微软雅黑" w:eastAsia="微软雅黑"/>
                <w:b/>
                <w:bCs/>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920" w:type="dxa"/>
            <w:vMerge w:val="restart"/>
            <w:noWrap w:val="0"/>
            <w:vAlign w:val="center"/>
          </w:tcPr>
          <w:p>
            <w:pPr>
              <w:widowControl/>
              <w:spacing w:line="440" w:lineRule="exact"/>
              <w:jc w:val="center"/>
              <w:rPr>
                <w:rFonts w:ascii="微软雅黑" w:hAnsi="微软雅黑" w:eastAsia="微软雅黑"/>
                <w:color w:val="000000"/>
                <w:sz w:val="20"/>
                <w:szCs w:val="20"/>
              </w:rPr>
            </w:pPr>
            <w:r>
              <w:rPr>
                <w:rFonts w:hint="eastAsia" w:ascii="宋体" w:hAnsi="宋体" w:cs="宋体"/>
                <w:b/>
                <w:bCs/>
                <w:color w:val="000000"/>
                <w:kern w:val="0"/>
                <w:sz w:val="22"/>
                <w:szCs w:val="22"/>
              </w:rPr>
              <w:t>履约能力（10分)</w:t>
            </w: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经营评价</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5</w:t>
            </w:r>
          </w:p>
        </w:tc>
        <w:tc>
          <w:tcPr>
            <w:tcW w:w="3997" w:type="dxa"/>
            <w:noWrap w:val="0"/>
            <w:vAlign w:val="top"/>
          </w:tcPr>
          <w:p>
            <w:pPr>
              <w:widowControl/>
              <w:spacing w:line="440" w:lineRule="exact"/>
              <w:rPr>
                <w:rFonts w:hint="eastAsia" w:ascii="微软雅黑" w:hAnsi="微软雅黑" w:eastAsia="微软雅黑"/>
                <w:sz w:val="24"/>
              </w:rPr>
            </w:pPr>
            <w:r>
              <w:rPr>
                <w:rFonts w:hint="eastAsia" w:ascii="微软雅黑" w:hAnsi="微软雅黑" w:eastAsia="微软雅黑"/>
                <w:sz w:val="24"/>
              </w:rPr>
              <w:t>根据投标人或其总公司在中国保险行业协会官网最近一次公布的2019年度经营评价指标。获得A的得5分，获得B的得3分，获得C的得1分，没有不得分。</w:t>
            </w:r>
          </w:p>
          <w:p>
            <w:pPr>
              <w:widowControl/>
              <w:spacing w:line="440" w:lineRule="exact"/>
              <w:rPr>
                <w:rFonts w:hint="eastAsia" w:ascii="微软雅黑" w:hAnsi="微软雅黑" w:eastAsia="微软雅黑"/>
                <w:sz w:val="24"/>
              </w:rPr>
            </w:pPr>
          </w:p>
        </w:tc>
        <w:tc>
          <w:tcPr>
            <w:tcW w:w="3997" w:type="dxa"/>
            <w:noWrap w:val="0"/>
            <w:vAlign w:val="top"/>
          </w:tcPr>
          <w:p>
            <w:pPr>
              <w:widowControl/>
              <w:spacing w:line="440" w:lineRule="exact"/>
              <w:rPr>
                <w:rFonts w:hint="eastAsia" w:ascii="微软雅黑" w:hAnsi="微软雅黑" w:eastAsia="微软雅黑"/>
                <w:sz w:val="24"/>
              </w:rPr>
            </w:pPr>
            <w:r>
              <w:rPr>
                <w:rFonts w:hint="eastAsia" w:ascii="微软雅黑" w:hAnsi="微软雅黑" w:eastAsia="微软雅黑"/>
                <w:sz w:val="24"/>
              </w:rPr>
              <w:t>提供中国保险行业协会官网公布的保险公司法人机构经营评价结果的公告截图证明材料并加盖投标人公章或电子签章，上传至电子投标文件内。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0" w:type="dxa"/>
            <w:vMerge w:val="continue"/>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偿付能力</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5</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投标人或投标人总公司 2021年三季度综合偿付能力充足率情况：</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1.综合偿付能力充足率≥300%（含），得 5分。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2.200%≤综合偿付能力充足率＜300％，得 3分；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3.150%≤综合偿付能力充足率＜200％，得1分；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4.综合偿付能力充足率＜150％，不得分。</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提供投标人总公司在官方网站或</w:t>
            </w:r>
            <w:r>
              <w:rPr>
                <w:rFonts w:ascii="微软雅黑" w:hAnsi="微软雅黑" w:eastAsia="微软雅黑"/>
                <w:sz w:val="24"/>
              </w:rPr>
              <w:t>中国保险行业协会网站</w:t>
            </w:r>
            <w:r>
              <w:rPr>
                <w:rFonts w:hint="eastAsia" w:ascii="微软雅黑" w:hAnsi="微软雅黑" w:eastAsia="微软雅黑"/>
                <w:sz w:val="24"/>
              </w:rPr>
              <w:t>披露的20</w:t>
            </w:r>
            <w:r>
              <w:rPr>
                <w:rFonts w:ascii="微软雅黑" w:hAnsi="微软雅黑" w:eastAsia="微软雅黑"/>
                <w:sz w:val="24"/>
              </w:rPr>
              <w:t>21</w:t>
            </w:r>
            <w:r>
              <w:rPr>
                <w:rFonts w:hint="eastAsia" w:ascii="微软雅黑" w:hAnsi="微软雅黑" w:eastAsia="微软雅黑"/>
                <w:sz w:val="24"/>
              </w:rPr>
              <w:t>年三季度综合偿付能力充足率报告的扫描件，并加盖投标人公章或电子签章，上传至电子投标文件内</w:t>
            </w:r>
            <w:r>
              <w:rPr>
                <w:rFonts w:ascii="微软雅黑" w:hAnsi="微软雅黑" w:eastAsia="微软雅黑"/>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0" w:type="dxa"/>
            <w:vMerge w:val="restart"/>
            <w:tcBorders>
              <w:top w:val="single" w:color="auto" w:sz="4" w:space="0"/>
              <w:left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jc w:val="center"/>
              <w:rPr>
                <w:rFonts w:ascii="宋体" w:hAnsi="宋体" w:cs="宋体"/>
                <w:b/>
                <w:bCs/>
                <w:color w:val="000000"/>
                <w:kern w:val="0"/>
                <w:sz w:val="22"/>
                <w:szCs w:val="22"/>
              </w:rPr>
            </w:pPr>
          </w:p>
          <w:p>
            <w:pPr>
              <w:widowControl/>
              <w:spacing w:line="440" w:lineRule="exact"/>
              <w:rPr>
                <w:rFonts w:ascii="微软雅黑" w:hAnsi="微软雅黑" w:eastAsia="微软雅黑"/>
                <w:color w:val="000000"/>
                <w:sz w:val="20"/>
                <w:szCs w:val="20"/>
              </w:rPr>
            </w:pPr>
            <w:r>
              <w:rPr>
                <w:rFonts w:hint="eastAsia" w:ascii="宋体" w:hAnsi="宋体" w:cs="宋体"/>
                <w:b/>
                <w:bCs/>
                <w:color w:val="000000"/>
                <w:kern w:val="0"/>
                <w:sz w:val="22"/>
                <w:szCs w:val="22"/>
              </w:rPr>
              <w:t>服务能力（70分）</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人员配备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8</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微软雅黑" w:hAnsi="微软雅黑" w:eastAsia="微软雅黑"/>
                <w:sz w:val="24"/>
              </w:rPr>
            </w:pPr>
            <w:r>
              <w:rPr>
                <w:rFonts w:hint="eastAsia" w:ascii="微软雅黑" w:hAnsi="微软雅黑" w:eastAsia="微软雅黑"/>
                <w:sz w:val="24"/>
              </w:rPr>
              <w:t>为保证</w:t>
            </w:r>
            <w:r>
              <w:rPr>
                <w:rFonts w:ascii="微软雅黑" w:hAnsi="微软雅黑" w:eastAsia="微软雅黑"/>
                <w:sz w:val="24"/>
              </w:rPr>
              <w:t>服务质量，</w:t>
            </w:r>
            <w:r>
              <w:rPr>
                <w:rFonts w:hint="eastAsia" w:ascii="微软雅黑" w:hAnsi="微软雅黑" w:eastAsia="微软雅黑"/>
                <w:sz w:val="24"/>
              </w:rPr>
              <w:t>投标人或其</w:t>
            </w:r>
            <w:r>
              <w:rPr>
                <w:rFonts w:ascii="微软雅黑" w:hAnsi="微软雅黑" w:eastAsia="微软雅黑"/>
                <w:sz w:val="24"/>
              </w:rPr>
              <w:t>下属</w:t>
            </w:r>
            <w:r>
              <w:rPr>
                <w:rFonts w:hint="eastAsia" w:ascii="微软雅黑" w:hAnsi="微软雅黑" w:eastAsia="微软雅黑"/>
                <w:sz w:val="24"/>
              </w:rPr>
              <w:t>分支</w:t>
            </w:r>
            <w:r>
              <w:rPr>
                <w:rFonts w:ascii="微软雅黑" w:hAnsi="微软雅黑" w:eastAsia="微软雅黑"/>
                <w:sz w:val="24"/>
              </w:rPr>
              <w:t>机构</w:t>
            </w:r>
            <w:r>
              <w:rPr>
                <w:rFonts w:hint="eastAsia" w:ascii="微软雅黑" w:hAnsi="微软雅黑" w:eastAsia="微软雅黑"/>
                <w:sz w:val="24"/>
              </w:rPr>
              <w:t>在</w:t>
            </w:r>
            <w:r>
              <w:rPr>
                <w:rFonts w:ascii="微软雅黑" w:hAnsi="微软雅黑" w:eastAsia="微软雅黑"/>
                <w:sz w:val="24"/>
              </w:rPr>
              <w:t>本项目服务</w:t>
            </w:r>
            <w:r>
              <w:rPr>
                <w:rFonts w:hint="eastAsia" w:ascii="微软雅黑" w:hAnsi="微软雅黑" w:eastAsia="微软雅黑"/>
                <w:sz w:val="24"/>
              </w:rPr>
              <w:t>区域</w:t>
            </w:r>
            <w:r>
              <w:rPr>
                <w:rFonts w:ascii="微软雅黑" w:hAnsi="微软雅黑" w:eastAsia="微软雅黑"/>
                <w:sz w:val="24"/>
              </w:rPr>
              <w:t>内</w:t>
            </w:r>
            <w:r>
              <w:rPr>
                <w:rFonts w:hint="eastAsia" w:ascii="微软雅黑" w:hAnsi="微软雅黑" w:eastAsia="微软雅黑"/>
                <w:sz w:val="24"/>
              </w:rPr>
              <w:t>拟组建的项目经办</w:t>
            </w:r>
            <w:r>
              <w:rPr>
                <w:rFonts w:ascii="微软雅黑" w:hAnsi="微软雅黑" w:eastAsia="微软雅黑"/>
                <w:sz w:val="24"/>
              </w:rPr>
              <w:t>人员中具有</w:t>
            </w:r>
            <w:r>
              <w:rPr>
                <w:rFonts w:hint="eastAsia" w:ascii="微软雅黑" w:hAnsi="微软雅黑" w:eastAsia="微软雅黑"/>
                <w:sz w:val="24"/>
              </w:rPr>
              <w:t>医学、财务、计算机专业人员：</w:t>
            </w:r>
          </w:p>
          <w:p>
            <w:pPr>
              <w:widowControl/>
              <w:spacing w:line="440" w:lineRule="exact"/>
              <w:rPr>
                <w:rFonts w:ascii="微软雅黑" w:hAnsi="微软雅黑" w:eastAsia="微软雅黑"/>
                <w:sz w:val="24"/>
              </w:rPr>
            </w:pPr>
            <w:r>
              <w:rPr>
                <w:rFonts w:hint="eastAsia" w:ascii="微软雅黑" w:hAnsi="微软雅黑" w:eastAsia="微软雅黑"/>
                <w:sz w:val="24"/>
              </w:rPr>
              <w:t>1.每提供一名具有全日制本科及以上学历的医学类（</w:t>
            </w:r>
            <w:r>
              <w:rPr>
                <w:rFonts w:ascii="微软雅黑" w:hAnsi="微软雅黑" w:eastAsia="微软雅黑"/>
                <w:sz w:val="24"/>
              </w:rPr>
              <w:t>含临床</w:t>
            </w:r>
            <w:r>
              <w:rPr>
                <w:rFonts w:hint="eastAsia" w:ascii="微软雅黑" w:hAnsi="微软雅黑" w:eastAsia="微软雅黑"/>
                <w:sz w:val="24"/>
              </w:rPr>
              <w:t>医学</w:t>
            </w:r>
            <w:r>
              <w:rPr>
                <w:rFonts w:ascii="微软雅黑" w:hAnsi="微软雅黑" w:eastAsia="微软雅黑"/>
                <w:sz w:val="24"/>
              </w:rPr>
              <w:t>、中医学</w:t>
            </w:r>
            <w:r>
              <w:rPr>
                <w:rFonts w:hint="eastAsia" w:ascii="微软雅黑" w:hAnsi="微软雅黑" w:eastAsia="微软雅黑"/>
                <w:sz w:val="24"/>
              </w:rPr>
              <w:t>、</w:t>
            </w:r>
            <w:r>
              <w:rPr>
                <w:rFonts w:ascii="微软雅黑" w:hAnsi="微软雅黑" w:eastAsia="微软雅黑"/>
                <w:sz w:val="24"/>
              </w:rPr>
              <w:t>检验、药学、影像学、护理学等相关卫生专业）</w:t>
            </w:r>
            <w:r>
              <w:rPr>
                <w:rFonts w:hint="eastAsia" w:ascii="微软雅黑" w:hAnsi="微软雅黑" w:eastAsia="微软雅黑"/>
                <w:sz w:val="24"/>
              </w:rPr>
              <w:t>人员得1分，最高得6分</w:t>
            </w:r>
            <w:r>
              <w:rPr>
                <w:rFonts w:ascii="微软雅黑" w:hAnsi="微软雅黑" w:eastAsia="微软雅黑"/>
                <w:sz w:val="24"/>
              </w:rPr>
              <w:t>。</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 xml:space="preserve">. </w:t>
            </w:r>
            <w:r>
              <w:rPr>
                <w:rFonts w:hint="eastAsia" w:ascii="微软雅黑" w:hAnsi="微软雅黑" w:eastAsia="微软雅黑"/>
                <w:sz w:val="24"/>
              </w:rPr>
              <w:t>每提供一名全日制大专及</w:t>
            </w:r>
            <w:r>
              <w:rPr>
                <w:rFonts w:ascii="微软雅黑" w:hAnsi="微软雅黑" w:eastAsia="微软雅黑"/>
                <w:sz w:val="24"/>
              </w:rPr>
              <w:t>以上学历</w:t>
            </w:r>
            <w:r>
              <w:rPr>
                <w:rFonts w:hint="eastAsia" w:ascii="微软雅黑" w:hAnsi="微软雅黑" w:eastAsia="微软雅黑"/>
                <w:sz w:val="24"/>
              </w:rPr>
              <w:t>财务（含统计、审计等相关专业）人员得0.5分，最高得1分；</w:t>
            </w:r>
          </w:p>
          <w:p>
            <w:pPr>
              <w:widowControl/>
              <w:spacing w:line="440" w:lineRule="exact"/>
              <w:rPr>
                <w:rFonts w:ascii="微软雅黑" w:hAnsi="微软雅黑" w:eastAsia="微软雅黑"/>
                <w:sz w:val="24"/>
              </w:rPr>
            </w:pPr>
            <w:r>
              <w:rPr>
                <w:rFonts w:hint="eastAsia" w:ascii="微软雅黑" w:hAnsi="微软雅黑" w:eastAsia="微软雅黑"/>
                <w:sz w:val="24"/>
              </w:rPr>
              <w:t>3</w:t>
            </w:r>
            <w:r>
              <w:rPr>
                <w:rFonts w:ascii="微软雅黑" w:hAnsi="微软雅黑" w:eastAsia="微软雅黑"/>
                <w:sz w:val="24"/>
              </w:rPr>
              <w:t xml:space="preserve">. </w:t>
            </w:r>
            <w:r>
              <w:rPr>
                <w:rFonts w:hint="eastAsia" w:ascii="微软雅黑" w:hAnsi="微软雅黑" w:eastAsia="微软雅黑"/>
                <w:sz w:val="24"/>
              </w:rPr>
              <w:t>每提供一名全日制大专及</w:t>
            </w:r>
            <w:r>
              <w:rPr>
                <w:rFonts w:ascii="微软雅黑" w:hAnsi="微软雅黑" w:eastAsia="微软雅黑"/>
                <w:sz w:val="24"/>
              </w:rPr>
              <w:t>以上学历</w:t>
            </w:r>
            <w:r>
              <w:rPr>
                <w:rFonts w:hint="eastAsia" w:ascii="微软雅黑" w:hAnsi="微软雅黑" w:eastAsia="微软雅黑"/>
                <w:sz w:val="24"/>
              </w:rPr>
              <w:t>计算机技术类人员得0.5分，最高得1分；</w:t>
            </w:r>
          </w:p>
        </w:tc>
        <w:tc>
          <w:tcPr>
            <w:tcW w:w="39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微软雅黑" w:hAnsi="微软雅黑" w:eastAsia="微软雅黑"/>
                <w:sz w:val="24"/>
              </w:rPr>
            </w:pPr>
            <w:r>
              <w:rPr>
                <w:rFonts w:hint="eastAsia" w:ascii="微软雅黑" w:hAnsi="微软雅黑" w:eastAsia="微软雅黑"/>
                <w:sz w:val="24"/>
              </w:rPr>
              <w:t>①投标文件中须提供配备人员花名册（格式自拟），相关身份证</w:t>
            </w:r>
            <w:r>
              <w:rPr>
                <w:rFonts w:ascii="微软雅黑" w:hAnsi="微软雅黑" w:eastAsia="微软雅黑"/>
                <w:sz w:val="24"/>
              </w:rPr>
              <w:t>、</w:t>
            </w:r>
            <w:r>
              <w:rPr>
                <w:rFonts w:hint="eastAsia" w:ascii="微软雅黑" w:hAnsi="微软雅黑" w:eastAsia="微软雅黑"/>
                <w:sz w:val="24"/>
              </w:rPr>
              <w:t>毕业证书扫描件，</w:t>
            </w:r>
            <w:r>
              <w:rPr>
                <w:rFonts w:ascii="微软雅黑" w:hAnsi="微软雅黑" w:eastAsia="微软雅黑"/>
                <w:sz w:val="24"/>
              </w:rPr>
              <w:t>另</w:t>
            </w:r>
            <w:r>
              <w:rPr>
                <w:rFonts w:hint="eastAsia" w:ascii="微软雅黑" w:hAnsi="微软雅黑" w:eastAsia="微软雅黑"/>
                <w:sz w:val="24"/>
              </w:rPr>
              <w:t>提供</w:t>
            </w:r>
            <w:r>
              <w:rPr>
                <w:rFonts w:ascii="微软雅黑" w:hAnsi="微软雅黑" w:eastAsia="微软雅黑"/>
                <w:sz w:val="24"/>
              </w:rPr>
              <w:t>投标人或</w:t>
            </w:r>
            <w:r>
              <w:rPr>
                <w:rFonts w:hint="eastAsia" w:ascii="微软雅黑" w:hAnsi="微软雅黑" w:eastAsia="微软雅黑"/>
                <w:sz w:val="24"/>
              </w:rPr>
              <w:t>其下属</w:t>
            </w:r>
            <w:r>
              <w:rPr>
                <w:rFonts w:ascii="微软雅黑" w:hAnsi="微软雅黑" w:eastAsia="微软雅黑"/>
                <w:sz w:val="24"/>
              </w:rPr>
              <w:t>分支机构</w:t>
            </w:r>
            <w:r>
              <w:rPr>
                <w:rFonts w:hint="eastAsia" w:ascii="微软雅黑" w:hAnsi="微软雅黑" w:eastAsia="微软雅黑"/>
                <w:sz w:val="24"/>
              </w:rPr>
              <w:t>在</w:t>
            </w:r>
            <w:r>
              <w:rPr>
                <w:rFonts w:ascii="微软雅黑" w:hAnsi="微软雅黑" w:eastAsia="微软雅黑"/>
                <w:sz w:val="24"/>
              </w:rPr>
              <w:t>本项目</w:t>
            </w:r>
            <w:r>
              <w:rPr>
                <w:rFonts w:hint="eastAsia" w:ascii="微软雅黑" w:hAnsi="微软雅黑" w:eastAsia="微软雅黑"/>
                <w:sz w:val="24"/>
              </w:rPr>
              <w:t>所属地市行政区域</w:t>
            </w:r>
            <w:r>
              <w:rPr>
                <w:rFonts w:ascii="微软雅黑" w:hAnsi="微软雅黑" w:eastAsia="微软雅黑"/>
                <w:sz w:val="24"/>
              </w:rPr>
              <w:t>为</w:t>
            </w:r>
            <w:r>
              <w:rPr>
                <w:rFonts w:hint="eastAsia" w:ascii="微软雅黑" w:hAnsi="微软雅黑" w:eastAsia="微软雅黑"/>
                <w:sz w:val="24"/>
              </w:rPr>
              <w:t>项目经办</w:t>
            </w:r>
            <w:r>
              <w:rPr>
                <w:rFonts w:ascii="微软雅黑" w:hAnsi="微软雅黑" w:eastAsia="微软雅黑"/>
                <w:sz w:val="24"/>
              </w:rPr>
              <w:t>人员缴纳</w:t>
            </w:r>
            <w:r>
              <w:rPr>
                <w:rFonts w:hint="eastAsia" w:ascii="微软雅黑" w:hAnsi="微软雅黑" w:eastAsia="微软雅黑"/>
                <w:sz w:val="24"/>
              </w:rPr>
              <w:t>的</w:t>
            </w:r>
            <w:r>
              <w:rPr>
                <w:rFonts w:ascii="微软雅黑" w:hAnsi="微软雅黑" w:eastAsia="微软雅黑"/>
                <w:sz w:val="24"/>
              </w:rPr>
              <w:t>近</w:t>
            </w:r>
            <w:r>
              <w:rPr>
                <w:rFonts w:hint="eastAsia" w:ascii="微软雅黑" w:hAnsi="微软雅黑" w:eastAsia="微软雅黑"/>
                <w:sz w:val="24"/>
              </w:rPr>
              <w:t>6个</w:t>
            </w:r>
            <w:r>
              <w:rPr>
                <w:rFonts w:ascii="微软雅黑" w:hAnsi="微软雅黑" w:eastAsia="微软雅黑"/>
                <w:sz w:val="24"/>
              </w:rPr>
              <w:t>月（任意连续三个月）</w:t>
            </w:r>
            <w:r>
              <w:rPr>
                <w:rFonts w:hint="eastAsia" w:ascii="微软雅黑" w:hAnsi="微软雅黑" w:eastAsia="微软雅黑"/>
                <w:sz w:val="24"/>
              </w:rPr>
              <w:t>的</w:t>
            </w:r>
            <w:r>
              <w:rPr>
                <w:rFonts w:ascii="微软雅黑" w:hAnsi="微软雅黑" w:eastAsia="微软雅黑"/>
                <w:sz w:val="24"/>
              </w:rPr>
              <w:t>社保证明材料</w:t>
            </w:r>
            <w:r>
              <w:rPr>
                <w:rFonts w:hint="eastAsia" w:ascii="微软雅黑" w:hAnsi="微软雅黑" w:eastAsia="微软雅黑"/>
                <w:sz w:val="24"/>
              </w:rPr>
              <w:t>扫描件</w:t>
            </w:r>
            <w:r>
              <w:rPr>
                <w:rFonts w:ascii="微软雅黑" w:hAnsi="微软雅黑" w:eastAsia="微软雅黑"/>
                <w:sz w:val="24"/>
              </w:rPr>
              <w:t>。</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②投标人提供</w:t>
            </w:r>
            <w:r>
              <w:rPr>
                <w:rFonts w:ascii="微软雅黑" w:hAnsi="微软雅黑" w:eastAsia="微软雅黑"/>
                <w:sz w:val="24"/>
              </w:rPr>
              <w:t>的</w:t>
            </w:r>
            <w:r>
              <w:rPr>
                <w:rFonts w:hint="eastAsia" w:ascii="微软雅黑" w:hAnsi="微软雅黑" w:eastAsia="微软雅黑"/>
                <w:sz w:val="24"/>
              </w:rPr>
              <w:t>项目</w:t>
            </w:r>
            <w:r>
              <w:rPr>
                <w:rFonts w:ascii="微软雅黑" w:hAnsi="微软雅黑" w:eastAsia="微软雅黑"/>
                <w:sz w:val="24"/>
              </w:rPr>
              <w:t>人员</w:t>
            </w:r>
            <w:r>
              <w:rPr>
                <w:rFonts w:hint="eastAsia" w:ascii="微软雅黑" w:hAnsi="微软雅黑" w:eastAsia="微软雅黑"/>
                <w:sz w:val="24"/>
              </w:rPr>
              <w:t>在</w:t>
            </w:r>
            <w:r>
              <w:rPr>
                <w:rFonts w:ascii="微软雅黑" w:hAnsi="微软雅黑" w:eastAsia="微软雅黑"/>
                <w:sz w:val="24"/>
              </w:rPr>
              <w:t>中标后</w:t>
            </w:r>
            <w:r>
              <w:rPr>
                <w:rFonts w:hint="eastAsia" w:ascii="微软雅黑" w:hAnsi="微软雅黑" w:eastAsia="微软雅黑"/>
                <w:sz w:val="24"/>
              </w:rPr>
              <w:t>30日内</w:t>
            </w:r>
            <w:r>
              <w:rPr>
                <w:rFonts w:ascii="微软雅黑" w:hAnsi="微软雅黑" w:eastAsia="微软雅黑"/>
                <w:sz w:val="24"/>
              </w:rPr>
              <w:t>必须</w:t>
            </w:r>
            <w:r>
              <w:rPr>
                <w:rFonts w:hint="eastAsia" w:ascii="微软雅黑" w:hAnsi="微软雅黑" w:eastAsia="微软雅黑"/>
                <w:sz w:val="24"/>
              </w:rPr>
              <w:t>全部实际</w:t>
            </w:r>
            <w:r>
              <w:rPr>
                <w:rFonts w:ascii="微软雅黑" w:hAnsi="微软雅黑" w:eastAsia="微软雅黑"/>
                <w:sz w:val="24"/>
              </w:rPr>
              <w:t>到岗，</w:t>
            </w:r>
            <w:r>
              <w:rPr>
                <w:rFonts w:hint="eastAsia" w:ascii="微软雅黑" w:hAnsi="微软雅黑" w:eastAsia="微软雅黑"/>
                <w:sz w:val="24"/>
              </w:rPr>
              <w:t>接受</w:t>
            </w:r>
            <w:r>
              <w:rPr>
                <w:rFonts w:ascii="微软雅黑" w:hAnsi="微软雅黑" w:eastAsia="微软雅黑"/>
                <w:sz w:val="24"/>
              </w:rPr>
              <w:t>采购人</w:t>
            </w:r>
            <w:r>
              <w:rPr>
                <w:rFonts w:hint="eastAsia" w:ascii="微软雅黑" w:hAnsi="微软雅黑" w:eastAsia="微软雅黑"/>
                <w:sz w:val="24"/>
              </w:rPr>
              <w:t>的</w:t>
            </w:r>
            <w:r>
              <w:rPr>
                <w:rFonts w:ascii="微软雅黑" w:hAnsi="微软雅黑" w:eastAsia="微软雅黑"/>
                <w:sz w:val="24"/>
              </w:rPr>
              <w:t>统一管理和工作安排。</w:t>
            </w:r>
            <w:r>
              <w:rPr>
                <w:rFonts w:hint="eastAsia" w:ascii="微软雅黑" w:hAnsi="微软雅黑" w:eastAsia="微软雅黑"/>
                <w:sz w:val="24"/>
              </w:rPr>
              <w:t>采购人将</w:t>
            </w:r>
            <w:r>
              <w:rPr>
                <w:rFonts w:ascii="微软雅黑" w:hAnsi="微软雅黑" w:eastAsia="微软雅黑"/>
                <w:sz w:val="24"/>
              </w:rPr>
              <w:t>核实</w:t>
            </w:r>
            <w:r>
              <w:rPr>
                <w:rFonts w:hint="eastAsia" w:ascii="微软雅黑" w:hAnsi="微软雅黑" w:eastAsia="微软雅黑"/>
                <w:sz w:val="24"/>
              </w:rPr>
              <w:t>与</w:t>
            </w:r>
            <w:r>
              <w:rPr>
                <w:rFonts w:ascii="微软雅黑" w:hAnsi="微软雅黑" w:eastAsia="微软雅黑"/>
                <w:sz w:val="24"/>
              </w:rPr>
              <w:t>投标</w:t>
            </w:r>
            <w:r>
              <w:rPr>
                <w:rFonts w:hint="eastAsia" w:ascii="微软雅黑" w:hAnsi="微软雅黑" w:eastAsia="微软雅黑"/>
                <w:sz w:val="24"/>
              </w:rPr>
              <w:t>文件所提供的项目</w:t>
            </w:r>
            <w:r>
              <w:rPr>
                <w:rFonts w:ascii="微软雅黑" w:hAnsi="微软雅黑" w:eastAsia="微软雅黑"/>
                <w:sz w:val="24"/>
              </w:rPr>
              <w:t>人员</w:t>
            </w:r>
            <w:r>
              <w:rPr>
                <w:rFonts w:hint="eastAsia" w:ascii="微软雅黑" w:hAnsi="微软雅黑" w:eastAsia="微软雅黑"/>
                <w:sz w:val="24"/>
              </w:rPr>
              <w:t>信息是否一致。若以提供虚假</w:t>
            </w:r>
            <w:r>
              <w:rPr>
                <w:rFonts w:ascii="微软雅黑" w:hAnsi="微软雅黑" w:eastAsia="微软雅黑"/>
                <w:sz w:val="24"/>
              </w:rPr>
              <w:t>人员</w:t>
            </w:r>
            <w:r>
              <w:rPr>
                <w:rFonts w:hint="eastAsia" w:ascii="微软雅黑" w:hAnsi="微软雅黑" w:eastAsia="微软雅黑"/>
                <w:sz w:val="24"/>
              </w:rPr>
              <w:t>信息</w:t>
            </w:r>
            <w:r>
              <w:rPr>
                <w:rFonts w:ascii="微软雅黑" w:hAnsi="微软雅黑" w:eastAsia="微软雅黑"/>
                <w:sz w:val="24"/>
              </w:rPr>
              <w:t>骗取中标的</w:t>
            </w:r>
            <w:r>
              <w:rPr>
                <w:rFonts w:hint="eastAsia" w:ascii="微软雅黑" w:hAnsi="微软雅黑" w:eastAsia="微软雅黑"/>
                <w:sz w:val="24"/>
              </w:rPr>
              <w:t>，一经发现</w:t>
            </w:r>
            <w:r>
              <w:rPr>
                <w:rFonts w:ascii="微软雅黑" w:hAnsi="微软雅黑" w:eastAsia="微软雅黑"/>
                <w:sz w:val="24"/>
              </w:rPr>
              <w:t>，取消中标资格</w:t>
            </w:r>
            <w:r>
              <w:rPr>
                <w:rFonts w:hint="eastAsia" w:ascii="微软雅黑" w:hAnsi="微软雅黑" w:eastAsia="微软雅黑"/>
                <w:sz w:val="24"/>
              </w:rPr>
              <w:t>，并报监管部门对其进行处罚。</w:t>
            </w:r>
            <w:r>
              <w:rPr>
                <w:rFonts w:ascii="微软雅黑" w:hAnsi="微软雅黑" w:eastAsia="微软雅黑"/>
                <w:sz w:val="24"/>
              </w:rPr>
              <w:t>提供</w:t>
            </w:r>
            <w:r>
              <w:rPr>
                <w:rFonts w:hint="eastAsia" w:ascii="微软雅黑" w:hAnsi="微软雅黑" w:eastAsia="微软雅黑"/>
                <w:sz w:val="24"/>
              </w:rPr>
              <w:t>实际</w:t>
            </w:r>
            <w:r>
              <w:rPr>
                <w:rFonts w:ascii="微软雅黑" w:hAnsi="微软雅黑" w:eastAsia="微软雅黑"/>
                <w:sz w:val="24"/>
              </w:rPr>
              <w:t>到岗人员一致的承诺函并加盖公章。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项目经验</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15</w:t>
            </w:r>
          </w:p>
        </w:tc>
        <w:tc>
          <w:tcPr>
            <w:tcW w:w="3997" w:type="dxa"/>
            <w:noWrap w:val="0"/>
            <w:vAlign w:val="center"/>
          </w:tcPr>
          <w:p>
            <w:pPr>
              <w:widowControl/>
              <w:spacing w:line="440" w:lineRule="exact"/>
              <w:rPr>
                <w:rFonts w:ascii="微软雅黑" w:hAnsi="微软雅黑" w:eastAsia="微软雅黑"/>
                <w:sz w:val="24"/>
              </w:rPr>
            </w:pPr>
            <w:r>
              <w:rPr>
                <w:rFonts w:hint="eastAsia" w:ascii="微软雅黑" w:hAnsi="微软雅黑" w:eastAsia="微软雅黑"/>
                <w:sz w:val="24"/>
              </w:rPr>
              <w:t>投标人或其下属分支机构自2020年1月1日（</w:t>
            </w:r>
            <w:r>
              <w:rPr>
                <w:rFonts w:ascii="微软雅黑" w:hAnsi="微软雅黑" w:eastAsia="微软雅黑"/>
                <w:sz w:val="24"/>
              </w:rPr>
              <w:t>含）以来（以保</w:t>
            </w:r>
            <w:r>
              <w:rPr>
                <w:rFonts w:hint="eastAsia" w:ascii="微软雅黑" w:hAnsi="微软雅黑" w:eastAsia="微软雅黑"/>
                <w:sz w:val="24"/>
              </w:rPr>
              <w:t>险起期为准）与当地医保管理或经办机构开展大病医疗保险、城镇职工大额（公务员补助）医疗保险或意外伤害医疗保险合作，每提供一个市或县（区）级合作项目协议或合同得0.5分，最高得 15分。</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①同一承办项目不同年度的协议或合同不重复计分。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②提供合作项目协议或合同的扫描件，扫描件至少需包括首页、保险期间、服务区域、社会医疗保险险种所在页及盖章页。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服务</w:t>
            </w:r>
            <w:r>
              <w:rPr>
                <w:rFonts w:ascii="微软雅黑" w:hAnsi="微软雅黑" w:eastAsia="微软雅黑"/>
                <w:sz w:val="24"/>
              </w:rPr>
              <w:t>经验</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16</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1、投标人或其下属分支机构与安徽省医疗保障局及其有关处室在基金监管、行风评价、打击欺诈骗保、病历（案）评审、飞行检查或大数据核查有项目合作的，每有一个得3分，满分6分。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2、投标人或其下属分支机构与安徽省内地市级医疗保障局或市级医保中心在基金监管、行风评价、打击欺诈骗保、病历（案）评审或大数据核查有项目合作的，每有一个得1分，满分10分。</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提供医保部门盖章的合作协议扫描件或相关证明材料。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专家团队</w:t>
            </w:r>
          </w:p>
        </w:tc>
        <w:tc>
          <w:tcPr>
            <w:tcW w:w="992" w:type="dxa"/>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17</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投标人或其下属分支机构配有高素质的专业支持服务团队，可为本次招标项目统筹区域提供专业水平较高的病案评估、智能监控系统应用、飞行检查、大数据核查等服务，专家团队具有：</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1.医药卫生类专业人员：每提供一名通过国家社会化中级及以上职称考试的医药卫生类专业人员（如：主治医师、主管护师）得 1分，最高得13分；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2.财务或审计类专业人员：每提供一名财务或审计类中级及以上职称人员得1分，最高得2分；</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3.计算机技术类专业人员：每提供一名计算机类中级及以上职称人员得1分，最高得2分；</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①投标文件中须提相关人员供身份证、相应证书（学历或学位或职称）扫描件，证书须能体现专业类别和职称；</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②投标人或下属分支机构在安徽省内为专业人员缴纳的近6个月（任意连续三个月）社保证明材料扫描件。</w:t>
            </w:r>
          </w:p>
          <w:p>
            <w:pPr>
              <w:widowControl/>
              <w:spacing w:line="440" w:lineRule="exact"/>
              <w:rPr>
                <w:rFonts w:hint="eastAsia" w:ascii="微软雅黑" w:hAnsi="微软雅黑" w:eastAsia="微软雅黑"/>
                <w:sz w:val="24"/>
              </w:rPr>
            </w:pPr>
            <w:r>
              <w:rPr>
                <w:rFonts w:hint="eastAsia" w:ascii="微软雅黑" w:hAnsi="微软雅黑" w:eastAsia="微软雅黑"/>
                <w:sz w:val="24"/>
              </w:rPr>
              <w:t>③本评分项与人员配备评分项人员不重复参与计分。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异地调查</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10</w:t>
            </w:r>
          </w:p>
        </w:tc>
        <w:tc>
          <w:tcPr>
            <w:tcW w:w="3997" w:type="dxa"/>
            <w:noWrap w:val="0"/>
            <w:vAlign w:val="center"/>
          </w:tcPr>
          <w:p>
            <w:pPr>
              <w:widowControl/>
              <w:spacing w:line="440" w:lineRule="exact"/>
              <w:rPr>
                <w:rFonts w:ascii="微软雅黑" w:hAnsi="微软雅黑" w:eastAsia="微软雅黑"/>
                <w:sz w:val="24"/>
              </w:rPr>
            </w:pPr>
            <w:r>
              <w:rPr>
                <w:rFonts w:hint="eastAsia" w:ascii="微软雅黑" w:hAnsi="微软雅黑" w:eastAsia="微软雅黑"/>
                <w:sz w:val="24"/>
              </w:rPr>
              <w:t>投标人总公司</w:t>
            </w:r>
            <w:r>
              <w:rPr>
                <w:rFonts w:ascii="微软雅黑" w:hAnsi="微软雅黑" w:eastAsia="微软雅黑"/>
                <w:sz w:val="24"/>
              </w:rPr>
              <w:t>拥有</w:t>
            </w:r>
            <w:r>
              <w:rPr>
                <w:rFonts w:hint="eastAsia" w:ascii="微软雅黑" w:hAnsi="微软雅黑" w:eastAsia="微软雅黑"/>
                <w:sz w:val="24"/>
              </w:rPr>
              <w:t>健全</w:t>
            </w:r>
            <w:r>
              <w:rPr>
                <w:rFonts w:ascii="微软雅黑" w:hAnsi="微软雅黑" w:eastAsia="微软雅黑"/>
                <w:sz w:val="24"/>
              </w:rPr>
              <w:t>的</w:t>
            </w:r>
            <w:r>
              <w:rPr>
                <w:rFonts w:hint="eastAsia" w:ascii="微软雅黑" w:hAnsi="微软雅黑" w:eastAsia="微软雅黑"/>
                <w:sz w:val="24"/>
              </w:rPr>
              <w:t>机构网络</w:t>
            </w:r>
            <w:r>
              <w:rPr>
                <w:rFonts w:ascii="微软雅黑" w:hAnsi="微软雅黑" w:eastAsia="微软雅黑"/>
                <w:sz w:val="24"/>
              </w:rPr>
              <w:t>，</w:t>
            </w:r>
            <w:r>
              <w:rPr>
                <w:rFonts w:hint="eastAsia" w:ascii="微软雅黑" w:hAnsi="微软雅黑" w:eastAsia="微软雅黑"/>
                <w:sz w:val="24"/>
              </w:rPr>
              <w:t>可为</w:t>
            </w:r>
            <w:r>
              <w:rPr>
                <w:rFonts w:ascii="微软雅黑" w:hAnsi="微软雅黑" w:eastAsia="微软雅黑"/>
                <w:sz w:val="24"/>
              </w:rPr>
              <w:t>本项</w:t>
            </w:r>
            <w:r>
              <w:rPr>
                <w:rFonts w:hint="eastAsia" w:ascii="微软雅黑" w:hAnsi="微软雅黑" w:eastAsia="微软雅黑"/>
                <w:sz w:val="24"/>
              </w:rPr>
              <w:t>目</w:t>
            </w:r>
            <w:r>
              <w:rPr>
                <w:rFonts w:ascii="微软雅黑" w:hAnsi="微软雅黑" w:eastAsia="微软雅黑"/>
                <w:sz w:val="24"/>
              </w:rPr>
              <w:t>参保人员异地就医</w:t>
            </w:r>
            <w:r>
              <w:rPr>
                <w:rFonts w:hint="eastAsia" w:ascii="微软雅黑" w:hAnsi="微软雅黑" w:eastAsia="微软雅黑"/>
                <w:sz w:val="24"/>
              </w:rPr>
              <w:t>的医疗案件在</w:t>
            </w:r>
            <w:r>
              <w:rPr>
                <w:rFonts w:ascii="微软雅黑" w:hAnsi="微软雅黑" w:eastAsia="微软雅黑"/>
                <w:sz w:val="24"/>
              </w:rPr>
              <w:t>全国范围内</w:t>
            </w:r>
            <w:r>
              <w:rPr>
                <w:rFonts w:hint="eastAsia" w:ascii="微软雅黑" w:hAnsi="微软雅黑" w:eastAsia="微软雅黑"/>
                <w:sz w:val="24"/>
              </w:rPr>
              <w:t>快速开展异地调查，</w:t>
            </w:r>
            <w:r>
              <w:rPr>
                <w:rFonts w:ascii="微软雅黑" w:hAnsi="微软雅黑" w:eastAsia="微软雅黑"/>
                <w:sz w:val="24"/>
              </w:rPr>
              <w:t>除安徽省外，在其他省或直辖市设立省级分公司的</w:t>
            </w:r>
            <w:r>
              <w:rPr>
                <w:rFonts w:hint="eastAsia" w:ascii="微软雅黑" w:hAnsi="微软雅黑" w:eastAsia="微软雅黑"/>
                <w:sz w:val="24"/>
              </w:rPr>
              <w:t>，每提供1家得0.5分，最高得10分</w:t>
            </w:r>
            <w:r>
              <w:rPr>
                <w:rFonts w:ascii="微软雅黑" w:hAnsi="微软雅黑" w:eastAsia="微软雅黑"/>
                <w:sz w:val="24"/>
              </w:rPr>
              <w:t>。</w:t>
            </w:r>
          </w:p>
        </w:tc>
        <w:tc>
          <w:tcPr>
            <w:tcW w:w="3997" w:type="dxa"/>
            <w:noWrap w:val="0"/>
            <w:vAlign w:val="center"/>
          </w:tcPr>
          <w:p>
            <w:pPr>
              <w:widowControl/>
              <w:spacing w:line="440" w:lineRule="exact"/>
              <w:rPr>
                <w:rFonts w:hint="eastAsia" w:ascii="微软雅黑" w:hAnsi="微软雅黑" w:eastAsia="微软雅黑"/>
                <w:sz w:val="24"/>
              </w:rPr>
            </w:pPr>
            <w:r>
              <w:rPr>
                <w:rFonts w:ascii="微软雅黑" w:hAnsi="微软雅黑" w:eastAsia="微软雅黑"/>
                <w:sz w:val="24"/>
              </w:rPr>
              <w:t>须</w:t>
            </w:r>
            <w:r>
              <w:rPr>
                <w:rFonts w:hint="eastAsia" w:ascii="微软雅黑" w:hAnsi="微软雅黑" w:eastAsia="微软雅黑"/>
                <w:color w:val="000000"/>
                <w:sz w:val="24"/>
              </w:rPr>
              <w:t>提供</w:t>
            </w:r>
            <w:r>
              <w:rPr>
                <w:rFonts w:hint="eastAsia" w:ascii="微软雅黑" w:hAnsi="微软雅黑" w:eastAsia="微软雅黑"/>
                <w:sz w:val="24"/>
              </w:rPr>
              <w:t>省级或直辖市机构</w:t>
            </w:r>
            <w:r>
              <w:rPr>
                <w:rFonts w:ascii="微软雅黑" w:hAnsi="微软雅黑" w:eastAsia="微软雅黑"/>
                <w:sz w:val="24"/>
              </w:rPr>
              <w:t>的营业执照</w:t>
            </w:r>
            <w:r>
              <w:rPr>
                <w:rFonts w:hint="eastAsia" w:ascii="微软雅黑" w:hAnsi="微软雅黑" w:eastAsia="微软雅黑"/>
                <w:sz w:val="24"/>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智能</w:t>
            </w:r>
            <w:r>
              <w:rPr>
                <w:rFonts w:ascii="微软雅黑" w:hAnsi="微软雅黑" w:eastAsia="微软雅黑"/>
                <w:sz w:val="24"/>
              </w:rPr>
              <w:t>审核</w:t>
            </w:r>
          </w:p>
        </w:tc>
        <w:tc>
          <w:tcPr>
            <w:tcW w:w="992" w:type="dxa"/>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4</w:t>
            </w:r>
          </w:p>
        </w:tc>
        <w:tc>
          <w:tcPr>
            <w:tcW w:w="3997" w:type="dxa"/>
            <w:noWrap w:val="0"/>
            <w:vAlign w:val="center"/>
          </w:tcPr>
          <w:p>
            <w:pPr>
              <w:widowControl/>
              <w:tabs>
                <w:tab w:val="left" w:pos="1181"/>
              </w:tabs>
              <w:spacing w:line="440" w:lineRule="exact"/>
              <w:rPr>
                <w:rFonts w:ascii="微软雅黑" w:hAnsi="微软雅黑" w:eastAsia="微软雅黑"/>
                <w:sz w:val="24"/>
              </w:rPr>
            </w:pPr>
            <w:r>
              <w:rPr>
                <w:rFonts w:hint="eastAsia" w:ascii="微软雅黑" w:hAnsi="微软雅黑" w:eastAsia="微软雅黑"/>
                <w:sz w:val="24"/>
              </w:rPr>
              <w:t>投标人或其下属分支机构为省、市、县医保部门提供医保信息化支持，提供医疗费用智能监控（或审核）系统并发挥作用的，每有一个应用案例的得 1分，最高得4分。</w:t>
            </w:r>
          </w:p>
        </w:tc>
        <w:tc>
          <w:tcPr>
            <w:tcW w:w="3997" w:type="dxa"/>
            <w:noWrap w:val="0"/>
            <w:vAlign w:val="center"/>
          </w:tcPr>
          <w:p>
            <w:pPr>
              <w:widowControl/>
              <w:tabs>
                <w:tab w:val="left" w:pos="1181"/>
              </w:tabs>
              <w:spacing w:line="440" w:lineRule="exact"/>
              <w:rPr>
                <w:rFonts w:hint="eastAsia" w:ascii="微软雅黑" w:hAnsi="微软雅黑" w:eastAsia="微软雅黑"/>
                <w:sz w:val="24"/>
              </w:rPr>
            </w:pPr>
            <w:r>
              <w:rPr>
                <w:rFonts w:hint="eastAsia" w:ascii="微软雅黑" w:hAnsi="微软雅黑" w:eastAsia="微软雅黑"/>
                <w:sz w:val="24"/>
              </w:rPr>
              <w:t>须提供智能监控（或审核）系统专项服务合同的扫描件（若为投标人自有版权，须提供投标人或其总公司的著作权证书扫描件），及医保管理或经办部门提供的应用证明材料。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Merge w:val="restart"/>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r>
              <w:rPr>
                <w:rFonts w:hint="eastAsia" w:ascii="宋体" w:hAnsi="宋体" w:cs="宋体"/>
                <w:b/>
                <w:bCs/>
                <w:color w:val="000000"/>
                <w:kern w:val="0"/>
                <w:sz w:val="22"/>
                <w:szCs w:val="22"/>
              </w:rPr>
              <w:t>服务方案（10分）</w:t>
            </w: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经办流程</w:t>
            </w:r>
          </w:p>
        </w:tc>
        <w:tc>
          <w:tcPr>
            <w:tcW w:w="992" w:type="dxa"/>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5</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经办流程内容齐全、完备、准确，符合项目特点和经办流程要求。方案完整、科学、合理的得5分；方案较完整、较科学、较合理的得3分；方案不完整、不科学、不合理的得1分；未提供方案不得分。</w:t>
            </w:r>
          </w:p>
        </w:tc>
        <w:tc>
          <w:tcPr>
            <w:tcW w:w="3997" w:type="dxa"/>
            <w:noWrap w:val="0"/>
            <w:vAlign w:val="center"/>
          </w:tcPr>
          <w:p>
            <w:pPr>
              <w:widowControl/>
              <w:spacing w:line="440" w:lineRule="exact"/>
              <w:rPr>
                <w:rFonts w:hint="eastAsia" w:ascii="微软雅黑" w:hAnsi="微软雅黑" w:eastAsia="微软雅黑"/>
                <w:sz w:val="24"/>
                <w:lang w:eastAsia="zh-CN"/>
              </w:rPr>
            </w:pPr>
            <w:r>
              <w:rPr>
                <w:rFonts w:hint="eastAsia" w:ascii="微软雅黑" w:hAnsi="微软雅黑" w:eastAsia="微软雅黑"/>
                <w:sz w:val="24"/>
              </w:rPr>
              <w:t>提供经办流程</w:t>
            </w:r>
            <w:r>
              <w:rPr>
                <w:rFonts w:hint="eastAsia" w:ascii="微软雅黑" w:hAnsi="微软雅黑" w:eastAsia="微软雅黑"/>
                <w:sz w:val="24"/>
                <w:lang w:val="en-US" w:eastAsia="zh-CN"/>
              </w:rPr>
              <w:t>方案</w:t>
            </w:r>
            <w:r>
              <w:rPr>
                <w:rFonts w:hint="eastAsia" w:ascii="微软雅黑" w:hAnsi="微软雅黑" w:eastAsia="微软雅黑"/>
                <w:sz w:val="24"/>
              </w:rPr>
              <w:t>装订入投标文件</w:t>
            </w:r>
            <w:r>
              <w:rPr>
                <w:rFonts w:hint="eastAsia" w:ascii="微软雅黑" w:hAnsi="微软雅黑" w:eastAsia="微软雅黑"/>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20" w:type="dxa"/>
            <w:vMerge w:val="continue"/>
            <w:tcBorders>
              <w:left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2"/>
                <w:szCs w:val="22"/>
              </w:rPr>
            </w:pPr>
          </w:p>
        </w:tc>
        <w:tc>
          <w:tcPr>
            <w:tcW w:w="1559" w:type="dxa"/>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监管措施</w:t>
            </w:r>
          </w:p>
        </w:tc>
        <w:tc>
          <w:tcPr>
            <w:tcW w:w="992" w:type="dxa"/>
            <w:noWrap/>
            <w:vAlign w:val="center"/>
          </w:tcPr>
          <w:p>
            <w:pPr>
              <w:widowControl/>
              <w:spacing w:line="440" w:lineRule="exact"/>
              <w:jc w:val="center"/>
              <w:rPr>
                <w:rFonts w:hint="eastAsia" w:ascii="微软雅黑" w:hAnsi="微软雅黑" w:eastAsia="微软雅黑"/>
                <w:sz w:val="24"/>
              </w:rPr>
            </w:pPr>
            <w:r>
              <w:rPr>
                <w:rFonts w:hint="eastAsia" w:ascii="微软雅黑" w:hAnsi="微软雅黑" w:eastAsia="微软雅黑"/>
                <w:sz w:val="24"/>
              </w:rPr>
              <w:t>5</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投标人须提供稽核监管的具体方案措施，视方案的完整性、合理性和可操作性评分。方案完整、科学、合理的得5分；方案较完整、较科学、较合理的得3分；方案不完整、不科学、不合理的得1分；未提供方案不得分。</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sz w:val="24"/>
              </w:rPr>
              <w:t>提供监管措施方案装订入投标文件。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 w:type="dxa"/>
            <w:tcBorders>
              <w:left w:val="single" w:color="auto" w:sz="4" w:space="0"/>
              <w:right w:val="single" w:color="auto" w:sz="4" w:space="0"/>
            </w:tcBorders>
            <w:noWrap w:val="0"/>
            <w:vAlign w:val="center"/>
          </w:tcPr>
          <w:p>
            <w:pPr>
              <w:widowControl/>
              <w:spacing w:line="440" w:lineRule="exact"/>
              <w:jc w:val="center"/>
              <w:rPr>
                <w:rFonts w:ascii="微软雅黑" w:hAnsi="微软雅黑" w:eastAsia="微软雅黑"/>
                <w:color w:val="000000"/>
                <w:sz w:val="20"/>
                <w:szCs w:val="20"/>
              </w:rPr>
            </w:pPr>
            <w:r>
              <w:rPr>
                <w:rFonts w:hint="eastAsia" w:ascii="宋体" w:hAnsi="宋体" w:cs="宋体"/>
                <w:b/>
                <w:bCs/>
                <w:color w:val="000000"/>
                <w:kern w:val="0"/>
                <w:sz w:val="22"/>
                <w:szCs w:val="22"/>
              </w:rPr>
              <w:t>报价部分（10分）</w:t>
            </w:r>
          </w:p>
        </w:tc>
        <w:tc>
          <w:tcPr>
            <w:tcW w:w="1559"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年盈利率</w:t>
            </w:r>
          </w:p>
        </w:tc>
        <w:tc>
          <w:tcPr>
            <w:tcW w:w="992" w:type="dxa"/>
            <w:noWrap/>
            <w:vAlign w:val="center"/>
          </w:tcPr>
          <w:p>
            <w:pPr>
              <w:widowControl/>
              <w:spacing w:line="440" w:lineRule="exact"/>
              <w:jc w:val="center"/>
              <w:rPr>
                <w:rFonts w:ascii="微软雅黑" w:hAnsi="微软雅黑" w:eastAsia="微软雅黑"/>
                <w:sz w:val="24"/>
              </w:rPr>
            </w:pPr>
            <w:r>
              <w:rPr>
                <w:rFonts w:hint="eastAsia" w:ascii="微软雅黑" w:hAnsi="微软雅黑" w:eastAsia="微软雅黑"/>
                <w:sz w:val="24"/>
              </w:rPr>
              <w:t>10</w:t>
            </w:r>
          </w:p>
        </w:tc>
        <w:tc>
          <w:tcPr>
            <w:tcW w:w="3997" w:type="dxa"/>
            <w:noWrap w:val="0"/>
            <w:vAlign w:val="center"/>
          </w:tcPr>
          <w:p>
            <w:pPr>
              <w:widowControl/>
              <w:spacing w:line="440" w:lineRule="exact"/>
              <w:rPr>
                <w:rFonts w:ascii="微软雅黑" w:hAnsi="微软雅黑" w:eastAsia="微软雅黑"/>
                <w:sz w:val="24"/>
              </w:rPr>
            </w:pPr>
            <w:r>
              <w:rPr>
                <w:rFonts w:hint="eastAsia" w:ascii="微软雅黑" w:hAnsi="微软雅黑" w:eastAsia="微软雅黑"/>
                <w:sz w:val="24"/>
              </w:rPr>
              <w:t>投标人投标盈利率得分=（评标基准盈利率/投标人盈利率）×10（四舍五入，精确到小数点后二位）；即满足招标文件要求且投标盈利率最低的有效投标盈利率为评标基准盈利率，其盈利率得分满分10分；投标盈利率高于5%的为无效盈利率。</w:t>
            </w:r>
          </w:p>
        </w:tc>
        <w:tc>
          <w:tcPr>
            <w:tcW w:w="3997" w:type="dxa"/>
            <w:noWrap w:val="0"/>
            <w:vAlign w:val="center"/>
          </w:tcPr>
          <w:p>
            <w:pPr>
              <w:widowControl/>
              <w:spacing w:line="440" w:lineRule="exact"/>
              <w:rPr>
                <w:rFonts w:hint="eastAsia" w:ascii="微软雅黑" w:hAnsi="微软雅黑" w:eastAsia="微软雅黑"/>
                <w:sz w:val="24"/>
              </w:rPr>
            </w:pPr>
            <w:r>
              <w:rPr>
                <w:rFonts w:hint="eastAsia" w:ascii="微软雅黑" w:hAnsi="微软雅黑" w:eastAsia="微软雅黑" w:cs="Times New Roman"/>
                <w:sz w:val="24"/>
                <w:lang w:val="en-US" w:eastAsia="zh-CN"/>
              </w:rPr>
              <w:t>评标委员会认为投标人的报价明显低于其他通过初审的投标人的报价，有可能影响产品质量或者不能诚信履约的，投标人不能证明其报价合理性的，评标委员会应当将其作为无效投标处理。</w:t>
            </w:r>
          </w:p>
        </w:tc>
      </w:tr>
    </w:tbl>
    <w:p>
      <w:pPr>
        <w:rPr>
          <w:color w:val="auto"/>
          <w:highlight w:val="none"/>
        </w:rPr>
      </w:pPr>
    </w:p>
    <w:p>
      <w:pPr>
        <w:pStyle w:val="18"/>
        <w:wordWrap w:val="0"/>
        <w:adjustRightInd/>
        <w:snapToGrid w:val="0"/>
        <w:spacing w:line="360" w:lineRule="auto"/>
        <w:jc w:val="center"/>
        <w:rPr>
          <w:rFonts w:hint="eastAsia"/>
          <w:b/>
          <w:bCs/>
          <w:color w:val="auto"/>
          <w:highlight w:val="none"/>
          <w:lang w:val="en-US" w:eastAsia="zh-CN"/>
        </w:rPr>
      </w:pPr>
    </w:p>
    <w:p>
      <w:pPr>
        <w:pStyle w:val="7"/>
        <w:wordWrap w:val="0"/>
        <w:jc w:val="center"/>
        <w:rPr>
          <w:rFonts w:hint="eastAsia" w:ascii="宋体" w:hAnsi="宋体" w:eastAsia="宋体" w:cs="宋体"/>
          <w:b w:val="0"/>
          <w:bCs w:val="0"/>
          <w:color w:val="auto"/>
          <w:kern w:val="0"/>
          <w:sz w:val="36"/>
          <w:szCs w:val="36"/>
          <w:highlight w:val="none"/>
          <w:lang w:eastAsia="zh-CN"/>
        </w:rPr>
      </w:pPr>
      <w:r>
        <w:rPr>
          <w:rFonts w:hint="eastAsia" w:ascii="宋体" w:hAnsi="宋体" w:eastAsia="宋体" w:cs="宋体"/>
          <w:b w:val="0"/>
          <w:bCs w:val="0"/>
          <w:color w:val="auto"/>
          <w:kern w:val="0"/>
          <w:sz w:val="36"/>
          <w:szCs w:val="36"/>
          <w:highlight w:val="none"/>
          <w:lang w:val="en-US" w:eastAsia="zh-CN"/>
        </w:rPr>
        <w:t>铜陵市义安区大病医疗保险、城镇职工大额医疗保险、城乡居民意外伤害医疗保险</w:t>
      </w:r>
      <w:r>
        <w:rPr>
          <w:rFonts w:hint="eastAsia" w:hAnsi="宋体" w:eastAsia="宋体" w:cs="宋体"/>
          <w:b w:val="0"/>
          <w:bCs w:val="0"/>
          <w:color w:val="auto"/>
          <w:kern w:val="0"/>
          <w:sz w:val="36"/>
          <w:szCs w:val="36"/>
          <w:highlight w:val="none"/>
          <w:lang w:val="en-US" w:eastAsia="zh-CN"/>
        </w:rPr>
        <w:t>承办</w:t>
      </w:r>
      <w:r>
        <w:rPr>
          <w:rFonts w:hint="eastAsia" w:ascii="宋体" w:hAnsi="宋体" w:eastAsia="宋体" w:cs="宋体"/>
          <w:b w:val="0"/>
          <w:bCs w:val="0"/>
          <w:color w:val="auto"/>
          <w:kern w:val="0"/>
          <w:sz w:val="36"/>
          <w:szCs w:val="36"/>
          <w:highlight w:val="none"/>
          <w:lang w:val="en-US" w:eastAsia="zh-CN"/>
        </w:rPr>
        <w:t>和基本医疗保险经办服务</w:t>
      </w:r>
      <w:r>
        <w:rPr>
          <w:rFonts w:hint="eastAsia" w:hAnsi="宋体" w:eastAsia="宋体" w:cs="宋体"/>
          <w:b w:val="0"/>
          <w:bCs w:val="0"/>
          <w:color w:val="auto"/>
          <w:kern w:val="0"/>
          <w:sz w:val="36"/>
          <w:szCs w:val="36"/>
          <w:highlight w:val="none"/>
          <w:lang w:val="en-US" w:eastAsia="zh-CN"/>
        </w:rPr>
        <w:t>（二标段）</w:t>
      </w:r>
      <w:r>
        <w:rPr>
          <w:rFonts w:hint="eastAsia" w:ascii="宋体" w:hAnsi="宋体" w:eastAsia="宋体" w:cs="宋体"/>
          <w:b w:val="0"/>
          <w:bCs w:val="0"/>
          <w:color w:val="auto"/>
          <w:kern w:val="0"/>
          <w:sz w:val="36"/>
          <w:szCs w:val="36"/>
          <w:highlight w:val="none"/>
          <w:lang w:eastAsia="zh-CN"/>
        </w:rPr>
        <w:t>项目需求</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jc w:val="center"/>
        <w:textAlignment w:val="auto"/>
        <w:outlineLvl w:val="0"/>
        <w:rPr>
          <w:rFonts w:hint="eastAsia" w:ascii="宋体" w:hAnsi="宋体"/>
          <w:color w:val="auto"/>
          <w:sz w:val="32"/>
          <w:szCs w:val="32"/>
          <w:highlight w:val="none"/>
          <w:lang w:eastAsia="zh-CN"/>
        </w:rPr>
      </w:pPr>
      <w:r>
        <w:rPr>
          <w:rFonts w:hint="eastAsia" w:ascii="宋体" w:hAnsi="宋体"/>
          <w:color w:val="auto"/>
          <w:sz w:val="32"/>
          <w:szCs w:val="32"/>
          <w:highlight w:val="none"/>
          <w:lang w:eastAsia="zh-CN"/>
        </w:rPr>
        <w:tab/>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采购单位：铜陵市义安区医疗保障管理服务中心</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lang w:val="en-US" w:eastAsia="zh-CN"/>
        </w:rPr>
        <w:t>基本情况、项目</w:t>
      </w:r>
      <w:r>
        <w:rPr>
          <w:rFonts w:hint="eastAsia" w:ascii="宋体" w:hAnsi="宋体" w:eastAsia="宋体" w:cs="宋体"/>
          <w:b/>
          <w:bCs/>
          <w:color w:val="auto"/>
          <w:sz w:val="24"/>
          <w:szCs w:val="24"/>
          <w:highlight w:val="none"/>
          <w:lang w:eastAsia="zh-CN"/>
        </w:rPr>
        <w:t>背景、</w:t>
      </w:r>
      <w:r>
        <w:rPr>
          <w:rFonts w:hint="eastAsia" w:ascii="宋体" w:hAnsi="宋体" w:eastAsia="宋体" w:cs="宋体"/>
          <w:b/>
          <w:bCs/>
          <w:color w:val="auto"/>
          <w:sz w:val="24"/>
          <w:szCs w:val="24"/>
          <w:highlight w:val="none"/>
          <w:lang w:val="en-US" w:eastAsia="zh-CN"/>
        </w:rPr>
        <w:t>采购内容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一、项目基本情况</w:t>
      </w:r>
    </w:p>
    <w:p>
      <w:pPr>
        <w:keepNext w:val="0"/>
        <w:keepLines w:val="0"/>
        <w:pageBreakBefore w:val="0"/>
        <w:widowControl w:val="0"/>
        <w:numPr>
          <w:ilvl w:val="0"/>
          <w:numId w:val="0"/>
        </w:numPr>
        <w:kinsoku/>
        <w:overflowPunct/>
        <w:topLinePunct w:val="0"/>
        <w:bidi w:val="0"/>
        <w:snapToGrid/>
        <w:spacing w:line="360" w:lineRule="auto"/>
        <w:jc w:val="both"/>
        <w:textAlignment w:val="auto"/>
        <w:outlineLvl w:val="9"/>
        <w:rPr>
          <w:rFonts w:hint="eastAsia" w:hAnsi="宋体" w:eastAsia="宋体" w:cs="宋体"/>
          <w:b/>
          <w:color w:val="auto"/>
          <w:szCs w:val="28"/>
          <w:highlight w:val="none"/>
          <w:lang w:val="en-US" w:eastAsia="zh-CN"/>
        </w:rPr>
      </w:pPr>
      <w:r>
        <w:rPr>
          <w:rFonts w:hint="eastAsia" w:ascii="宋体" w:hAnsi="宋体" w:eastAsia="宋体" w:cs="宋体"/>
          <w:color w:val="auto"/>
          <w:kern w:val="0"/>
          <w:sz w:val="24"/>
          <w:szCs w:val="24"/>
          <w:highlight w:val="none"/>
          <w:lang w:val="en-US" w:eastAsia="zh-CN"/>
        </w:rPr>
        <w:t>项目编号：</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项目名称：铜陵市义安区大病医疗保险、城镇职工大额医疗保险、城乡居民意外伤害医疗保险承办和基本医疗保险经办服务项目（二标段）。</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预算金额：</w:t>
      </w:r>
      <w:r>
        <w:rPr>
          <w:rFonts w:hint="eastAsia" w:ascii="宋体" w:hAnsi="宋体" w:eastAsia="宋体" w:cs="宋体"/>
          <w:sz w:val="24"/>
          <w:szCs w:val="22"/>
          <w:highlight w:val="none"/>
          <w:lang w:val="en-US" w:eastAsia="zh-CN" w:bidi="zh-CN"/>
        </w:rPr>
        <w:t>二标段：</w:t>
      </w:r>
      <w:r>
        <w:rPr>
          <w:rFonts w:hint="eastAsia" w:ascii="宋体" w:hAnsi="宋体" w:eastAsia="宋体" w:cs="宋体"/>
          <w:sz w:val="24"/>
          <w:szCs w:val="22"/>
          <w:highlight w:val="none"/>
          <w:lang w:val="zh-CN" w:eastAsia="zh-CN" w:bidi="zh-CN"/>
        </w:rPr>
        <w:t>基本医保经办费用不高于3.</w:t>
      </w:r>
      <w:r>
        <w:rPr>
          <w:rFonts w:hint="eastAsia" w:ascii="宋体" w:hAnsi="宋体" w:eastAsia="宋体" w:cs="宋体"/>
          <w:sz w:val="24"/>
          <w:szCs w:val="22"/>
          <w:highlight w:val="none"/>
          <w:lang w:val="en-US" w:eastAsia="zh-CN" w:bidi="zh-CN"/>
        </w:rPr>
        <w:t>5</w:t>
      </w:r>
      <w:r>
        <w:rPr>
          <w:rFonts w:hint="eastAsia" w:ascii="宋体" w:hAnsi="宋体" w:eastAsia="宋体" w:cs="宋体"/>
          <w:sz w:val="24"/>
          <w:szCs w:val="22"/>
          <w:highlight w:val="none"/>
          <w:lang w:val="zh-CN" w:eastAsia="zh-CN" w:bidi="zh-CN"/>
        </w:rPr>
        <w:t>0元/人，约76万元/年。</w:t>
      </w:r>
    </w:p>
    <w:p>
      <w:pPr>
        <w:widowControl/>
        <w:shd w:val="clear" w:color="auto" w:fill="FFFFFF"/>
        <w:spacing w:line="360" w:lineRule="auto"/>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sz w:val="24"/>
          <w:szCs w:val="22"/>
          <w:highlight w:val="none"/>
          <w:lang w:val="en-US" w:eastAsia="zh-CN" w:bidi="zh-CN"/>
        </w:rPr>
        <w:t>二标段：</w:t>
      </w:r>
      <w:r>
        <w:rPr>
          <w:rFonts w:hint="eastAsia" w:ascii="宋体" w:hAnsi="宋体" w:eastAsia="宋体" w:cs="宋体"/>
          <w:sz w:val="24"/>
          <w:szCs w:val="22"/>
          <w:highlight w:val="none"/>
          <w:lang w:val="zh-CN" w:eastAsia="zh-CN" w:bidi="zh-CN"/>
        </w:rPr>
        <w:t>基本医保经办费用不高于3.</w:t>
      </w:r>
      <w:r>
        <w:rPr>
          <w:rFonts w:hint="eastAsia" w:ascii="宋体" w:hAnsi="宋体" w:eastAsia="宋体" w:cs="宋体"/>
          <w:sz w:val="24"/>
          <w:szCs w:val="22"/>
          <w:highlight w:val="none"/>
          <w:lang w:val="en-US" w:eastAsia="zh-CN" w:bidi="zh-CN"/>
        </w:rPr>
        <w:t>5</w:t>
      </w:r>
      <w:r>
        <w:rPr>
          <w:rFonts w:hint="eastAsia" w:ascii="宋体" w:hAnsi="宋体" w:eastAsia="宋体" w:cs="宋体"/>
          <w:sz w:val="24"/>
          <w:szCs w:val="22"/>
          <w:highlight w:val="none"/>
          <w:lang w:val="zh-CN" w:eastAsia="zh-CN" w:bidi="zh-CN"/>
        </w:rPr>
        <w:t>0元/人，约76万元/年。</w:t>
      </w:r>
    </w:p>
    <w:p>
      <w:pPr>
        <w:widowControl/>
        <w:shd w:val="clear" w:color="auto" w:fill="FFFFFF"/>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二、项目背景</w:t>
      </w:r>
      <w:r>
        <w:rPr>
          <w:rFonts w:hint="eastAsia" w:ascii="宋体" w:hAnsi="宋体" w:eastAsia="宋体" w:cs="宋体"/>
          <w:color w:val="auto"/>
          <w:kern w:val="0"/>
          <w:sz w:val="24"/>
          <w:szCs w:val="24"/>
          <w:highlight w:val="none"/>
          <w:lang w:val="en-US" w:eastAsia="zh-CN"/>
        </w:rPr>
        <w:t>：1、为提升基本医保服务水平和质量，根据《安徽省人民政府办公厅关于推进商业保险机构经办城乡居民基本医疗业务试点的指导意见》（皖政办〔2015〕24 号）、《关于做好商业保险机构经办城乡居民医疗保障业务工作的通知》（皖医保发〔2020〕19 号）等相关文件精神，铜陵市义安区医疗保障管理服务中心将义安区基本医疗保险经办服务通过竞争性磋商的方式确定经办单位。</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2、项目交付或实施地点：采购单位指定地点 。</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3、项目交付或实施时间：</w:t>
      </w:r>
      <w:r>
        <w:rPr>
          <w:rFonts w:hint="eastAsia" w:ascii="宋体" w:hAnsi="宋体" w:eastAsia="宋体" w:cs="宋体"/>
          <w:sz w:val="24"/>
          <w:szCs w:val="22"/>
          <w:highlight w:val="none"/>
          <w:lang w:val="zh-CN" w:eastAsia="zh-CN" w:bidi="zh-CN"/>
        </w:rPr>
        <w:t>三年/标段（即自2022年1月1日零时起至2024年12月31日24时止</w:t>
      </w:r>
      <w:r>
        <w:rPr>
          <w:rFonts w:hint="eastAsia" w:ascii="宋体" w:hAnsi="宋体" w:cs="宋体"/>
          <w:sz w:val="24"/>
          <w:szCs w:val="22"/>
          <w:highlight w:val="none"/>
          <w:lang w:val="zh-CN" w:eastAsia="zh-CN" w:bidi="zh-CN"/>
        </w:rPr>
        <w:t>）</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val="0"/>
        <w:numPr>
          <w:ilvl w:val="0"/>
          <w:numId w:val="0"/>
        </w:numPr>
        <w:kinsoku/>
        <w:overflowPunct/>
        <w:topLinePunct w:val="0"/>
        <w:bidi w:val="0"/>
        <w:snapToGrid/>
        <w:spacing w:line="360" w:lineRule="auto"/>
        <w:ind w:firstLine="240" w:firstLineChars="1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4、资金来源：二标段为财政资金 。</w:t>
      </w:r>
    </w:p>
    <w:p>
      <w:pPr>
        <w:pStyle w:val="6"/>
        <w:ind w:firstLine="240" w:firstLineChars="100"/>
        <w:rPr>
          <w:rFonts w:hint="eastAsia" w:eastAsiaTheme="minorEastAsia"/>
          <w:color w:val="auto"/>
          <w:highlight w:val="none"/>
          <w:lang w:val="en-US" w:eastAsia="zh-CN"/>
        </w:rPr>
      </w:pPr>
      <w:r>
        <w:rPr>
          <w:rFonts w:hint="eastAsia" w:ascii="宋体" w:hAnsi="宋体" w:eastAsia="宋体" w:cs="宋体"/>
          <w:color w:val="auto"/>
          <w:kern w:val="0"/>
          <w:sz w:val="24"/>
          <w:szCs w:val="24"/>
          <w:highlight w:val="none"/>
          <w:lang w:val="en-US" w:eastAsia="zh-CN"/>
        </w:rPr>
        <w:t>5、最高限价：</w:t>
      </w:r>
      <w:r>
        <w:rPr>
          <w:rFonts w:hint="eastAsia" w:ascii="宋体" w:hAnsi="宋体" w:eastAsia="宋体" w:cs="宋体"/>
          <w:sz w:val="24"/>
          <w:szCs w:val="22"/>
          <w:highlight w:val="none"/>
          <w:lang w:val="en-US" w:eastAsia="zh-CN" w:bidi="zh-CN"/>
        </w:rPr>
        <w:t>二标段：</w:t>
      </w:r>
      <w:r>
        <w:rPr>
          <w:rFonts w:hint="eastAsia" w:ascii="宋体" w:hAnsi="宋体" w:eastAsia="宋体" w:cs="宋体"/>
          <w:sz w:val="24"/>
          <w:szCs w:val="22"/>
          <w:highlight w:val="none"/>
          <w:lang w:val="zh-CN" w:eastAsia="zh-CN" w:bidi="zh-CN"/>
        </w:rPr>
        <w:t>基本医保经办费用不高于3.</w:t>
      </w:r>
      <w:r>
        <w:rPr>
          <w:rFonts w:hint="eastAsia" w:ascii="宋体" w:hAnsi="宋体" w:eastAsia="宋体" w:cs="宋体"/>
          <w:sz w:val="24"/>
          <w:szCs w:val="22"/>
          <w:highlight w:val="none"/>
          <w:lang w:val="en-US" w:eastAsia="zh-CN" w:bidi="zh-CN"/>
        </w:rPr>
        <w:t>5</w:t>
      </w:r>
      <w:r>
        <w:rPr>
          <w:rFonts w:hint="eastAsia" w:ascii="宋体" w:hAnsi="宋体" w:eastAsia="宋体" w:cs="宋体"/>
          <w:sz w:val="24"/>
          <w:szCs w:val="22"/>
          <w:highlight w:val="none"/>
          <w:lang w:val="zh-CN" w:eastAsia="zh-CN" w:bidi="zh-CN"/>
        </w:rPr>
        <w:t>0元/人，约76万元/年</w:t>
      </w:r>
      <w:r>
        <w:rPr>
          <w:rFonts w:hint="eastAsia" w:ascii="宋体" w:hAnsi="宋体" w:eastAsia="宋体" w:cs="宋体"/>
          <w:color w:val="auto"/>
          <w:kern w:val="0"/>
          <w:sz w:val="24"/>
          <w:szCs w:val="24"/>
          <w:highlight w:val="none"/>
          <w:lang w:val="en-US"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lang w:val="zh-CN"/>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lang w:eastAsia="zh-CN"/>
        </w:rPr>
        <w:t>投标人资格要求</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 xml:space="preserve">满足《中华人民共和国政府采购法》第二十二条规定；本项目允许分公司或支公司（包括中心支公司）参与投标，投标时应当提供总公司出具的愿为其参与项目投标以及履约行为承担民事责任的承诺书。 </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落实政府采购政策需满足的资格要求：本项目非专门面向中小企业采购（供应商应为中小微企业、监狱企业、残疾人福利性单位）。</w:t>
      </w:r>
    </w:p>
    <w:p>
      <w:pPr>
        <w:widowControl/>
        <w:shd w:val="clear" w:color="auto" w:fill="auto"/>
        <w:spacing w:line="360" w:lineRule="auto"/>
        <w:ind w:firstLine="480" w:firstLineChars="200"/>
        <w:jc w:val="left"/>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cs="宋体"/>
          <w:sz w:val="24"/>
          <w:highlight w:val="none"/>
          <w:lang w:val="en-US" w:eastAsia="zh-CN"/>
        </w:rPr>
        <w:t>本项目的特定资格要求：投标供应商应具有《保险法人许可证》或《经营保险业务许可证》，</w:t>
      </w:r>
      <w:r>
        <w:rPr>
          <w:rFonts w:hint="eastAsia" w:ascii="宋体" w:hAnsi="宋体" w:eastAsia="宋体" w:cs="宋体"/>
          <w:sz w:val="24"/>
          <w:highlight w:val="none"/>
          <w:lang w:val="en-US" w:eastAsia="zh-CN"/>
        </w:rPr>
        <w:t>需满足安徽省卫计委、财政厅等部门《关于做好商业保险机构经办城乡居民基本医疗保险业务试点工作的通知》（皖卫基层[2015]27号）的相关要求（提供文件规定具有承办资格的商业保险机构的证明资料的扫描件或复印件加盖总公司或省公司公章）；</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4、投标人存在以下不良信用记录情形之一的，不得推荐为中标候选供应商，不得确定为中标供应商：</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(1）供应商被人民法院列入失信被执行人的；</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(2）供应商或其法定代表人近三年内被人民检察院列入行贿犯罪档案的；</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(3）供应商被工商行政管理部门列入企业经营异常名录的；</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(4）供应商被税务部门列入重大税收违法案件当事人名单的；</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(5）供应商被政府采购监管部门列入政府采购严重违法失信行为记录名单的；</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(6）被铜陵市公共资源交易监管部门记录的不良行为累计分值在10分（含）-15分（不含），且最近一次不良行为记录公布日距开标日未超过3个月；</w:t>
      </w:r>
    </w:p>
    <w:p>
      <w:pPr>
        <w:widowControl/>
        <w:shd w:val="clear" w:color="auto" w:fill="auto"/>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(7）被铜陵市公共资源交易监管部门记不良行为记录累计分值在15分（含）-20分（不含），且最近一次不良行为记录公布日距开标日未超过6个月；</w:t>
      </w:r>
    </w:p>
    <w:p>
      <w:pPr>
        <w:widowControl/>
        <w:shd w:val="clear" w:color="auto" w:fill="auto"/>
        <w:spacing w:line="360" w:lineRule="auto"/>
        <w:ind w:firstLine="480" w:firstLineChars="200"/>
        <w:jc w:val="left"/>
        <w:rPr>
          <w:rFonts w:hint="eastAsia" w:ascii="宋体" w:hAnsi="宋体" w:eastAsia="宋体" w:cs="宋体"/>
          <w:color w:val="auto"/>
          <w:kern w:val="0"/>
          <w:sz w:val="30"/>
          <w:szCs w:val="30"/>
          <w:highlight w:val="none"/>
        </w:rPr>
      </w:pPr>
      <w:r>
        <w:rPr>
          <w:rFonts w:hint="eastAsia" w:ascii="宋体" w:hAnsi="宋体" w:eastAsia="宋体" w:cs="宋体"/>
          <w:sz w:val="24"/>
          <w:highlight w:val="none"/>
          <w:lang w:val="en-US" w:eastAsia="zh-CN"/>
        </w:rPr>
        <w:t>(8）被铜陵市公共资源交易监管部门记不良行为记录累计分值达20分（含）以上，且最近一次不良行为记录公布日距开标日未超过12个月。</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四、服务周期</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s="宋体"/>
          <w:sz w:val="24"/>
          <w:szCs w:val="22"/>
          <w:highlight w:val="none"/>
          <w:lang w:val="zh-CN" w:eastAsia="zh-CN" w:bidi="zh-CN"/>
        </w:rPr>
      </w:pPr>
      <w:r>
        <w:rPr>
          <w:rFonts w:hint="eastAsia" w:ascii="宋体" w:hAnsi="宋体" w:eastAsia="宋体" w:cs="宋体"/>
          <w:sz w:val="24"/>
          <w:szCs w:val="22"/>
          <w:highlight w:val="none"/>
          <w:lang w:val="zh-CN" w:eastAsia="zh-CN" w:bidi="zh-CN"/>
        </w:rPr>
        <w:t>三年/标段（即自2022年1月1日零时起至2024年12月31日24时止</w:t>
      </w:r>
      <w:r>
        <w:rPr>
          <w:rFonts w:hint="eastAsia" w:ascii="宋体" w:hAnsi="宋体" w:cs="宋体"/>
          <w:sz w:val="24"/>
          <w:szCs w:val="22"/>
          <w:highlight w:val="none"/>
          <w:lang w:val="zh-CN" w:eastAsia="zh-CN" w:bidi="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eastAsia="zh-CN"/>
        </w:rPr>
        <w:t>付款方式</w:t>
      </w:r>
    </w:p>
    <w:p>
      <w:pPr>
        <w:pStyle w:val="6"/>
        <w:keepNext w:val="0"/>
        <w:keepLines w:val="0"/>
        <w:pageBreakBefore w:val="0"/>
        <w:kinsoku/>
        <w:overflowPunct/>
        <w:topLinePunct w:val="0"/>
        <w:bidi w:val="0"/>
        <w:snapToGrid/>
        <w:spacing w:after="0" w:line="360" w:lineRule="auto"/>
        <w:textAlignment w:val="auto"/>
        <w:rPr>
          <w:rFonts w:hint="eastAsia" w:ascii="仿宋_GB2312" w:hAnsi="仿宋_GB2312" w:eastAsia="仿宋_GB2312" w:cs="仿宋_GB2312"/>
          <w:color w:val="auto"/>
          <w:sz w:val="32"/>
          <w:szCs w:val="32"/>
          <w:highlight w:val="none"/>
        </w:rPr>
      </w:pPr>
      <w:r>
        <w:rPr>
          <w:rFonts w:hint="eastAsia"/>
          <w:color w:val="auto"/>
          <w:highlight w:val="none"/>
          <w:lang w:val="en-US" w:eastAsia="zh-CN"/>
        </w:rPr>
        <w:t>以具体签订的采购合同为准。</w:t>
      </w:r>
    </w:p>
    <w:p>
      <w:pPr>
        <w:keepNext w:val="0"/>
        <w:keepLines w:val="0"/>
        <w:pageBreakBefore w:val="0"/>
        <w:kinsoku/>
        <w:overflowPunct/>
        <w:topLinePunct w:val="0"/>
        <w:bidi w:val="0"/>
        <w:snapToGrid/>
        <w:spacing w:line="360" w:lineRule="auto"/>
        <w:textAlignment w:val="auto"/>
        <w:rPr>
          <w:rFonts w:hint="eastAsia" w:ascii="宋体" w:hAnsi="宋体" w:eastAsiaTheme="minorEastAsia" w:cstheme="minorBidi"/>
          <w:b/>
          <w:bCs/>
          <w:color w:val="auto"/>
          <w:sz w:val="28"/>
          <w:szCs w:val="28"/>
          <w:highlight w:val="none"/>
          <w:lang w:val="en-US" w:eastAsia="zh-CN"/>
        </w:rPr>
      </w:pPr>
      <w:r>
        <w:rPr>
          <w:rFonts w:hint="eastAsia" w:ascii="宋体" w:hAnsi="宋体" w:eastAsiaTheme="minorEastAsia" w:cstheme="minorBidi"/>
          <w:b/>
          <w:bCs/>
          <w:color w:val="auto"/>
          <w:sz w:val="28"/>
          <w:szCs w:val="28"/>
          <w:highlight w:val="none"/>
          <w:lang w:val="en-US" w:eastAsia="zh-CN"/>
        </w:rPr>
        <w:t>六、采购方式</w:t>
      </w:r>
    </w:p>
    <w:p>
      <w:pPr>
        <w:keepNext w:val="0"/>
        <w:keepLines w:val="0"/>
        <w:pageBreakBefore w:val="0"/>
        <w:kinsoku/>
        <w:overflowPunct/>
        <w:topLinePunct w:val="0"/>
        <w:autoSpaceDE/>
        <w:autoSpaceDN/>
        <w:bidi w:val="0"/>
        <w:adjustRightInd/>
        <w:snapToGrid/>
        <w:spacing w:line="360" w:lineRule="auto"/>
        <w:ind w:firstLine="480" w:firstLineChars="200"/>
        <w:jc w:val="both"/>
        <w:textAlignment w:val="auto"/>
        <w:outlineLvl w:val="9"/>
        <w:rPr>
          <w:rFonts w:hint="eastAsia" w:asciiTheme="minorHAnsi" w:hAnsiTheme="minorHAnsi" w:eastAsiaTheme="minorEastAsia" w:cstheme="minorBidi"/>
          <w:color w:val="auto"/>
          <w:sz w:val="24"/>
          <w:szCs w:val="24"/>
          <w:highlight w:val="none"/>
          <w:lang w:val="en-US" w:eastAsia="zh-CN" w:bidi="ar-SA"/>
        </w:rPr>
      </w:pPr>
      <w:r>
        <w:rPr>
          <w:rFonts w:hint="eastAsia" w:cstheme="minorBidi"/>
          <w:color w:val="auto"/>
          <w:sz w:val="24"/>
          <w:szCs w:val="24"/>
          <w:highlight w:val="none"/>
          <w:lang w:val="en-US" w:eastAsia="zh-CN" w:bidi="ar-SA"/>
        </w:rPr>
        <w:t>竞争性磋商</w:t>
      </w:r>
      <w:r>
        <w:rPr>
          <w:rFonts w:hint="eastAsia" w:asciiTheme="minorHAnsi" w:hAnsiTheme="minorHAnsi" w:eastAsiaTheme="minorEastAsia" w:cstheme="minorBidi"/>
          <w:color w:val="auto"/>
          <w:sz w:val="24"/>
          <w:szCs w:val="24"/>
          <w:highlight w:val="none"/>
          <w:lang w:val="en-US" w:eastAsia="zh-CN" w:bidi="ar-SA"/>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val="en-US" w:eastAsia="zh-CN"/>
        </w:rPr>
        <w:t>七、评标办法的初步意见</w:t>
      </w:r>
    </w:p>
    <w:p>
      <w:pPr>
        <w:keepNext w:val="0"/>
        <w:keepLines w:val="0"/>
        <w:pageBreakBefore w:val="0"/>
        <w:widowControl/>
        <w:kinsoku/>
        <w:overflowPunct/>
        <w:topLinePunct w:val="0"/>
        <w:bidi w:val="0"/>
        <w:adjustRightInd/>
        <w:snapToGrid/>
        <w:spacing w:line="360" w:lineRule="auto"/>
        <w:ind w:firstLine="640" w:firstLineChars="0"/>
        <w:jc w:val="both"/>
        <w:textAlignment w:val="auto"/>
        <w:outlineLvl w:val="9"/>
        <w:rPr>
          <w:rFonts w:hint="eastAsia" w:asciiTheme="minorHAnsi" w:hAnsiTheme="minorHAnsi" w:eastAsiaTheme="minorEastAsia" w:cstheme="minorBidi"/>
          <w:color w:val="auto"/>
          <w:sz w:val="24"/>
          <w:szCs w:val="24"/>
          <w:highlight w:val="none"/>
          <w:lang w:val="en-US" w:eastAsia="zh-CN" w:bidi="ar-SA"/>
        </w:rPr>
      </w:pPr>
      <w:r>
        <w:rPr>
          <w:rFonts w:hint="eastAsia" w:cstheme="minorBidi"/>
          <w:color w:val="auto"/>
          <w:sz w:val="24"/>
          <w:szCs w:val="24"/>
          <w:highlight w:val="none"/>
          <w:lang w:val="en-US" w:eastAsia="zh-CN" w:bidi="ar-SA"/>
        </w:rPr>
        <w:t>评标委员会</w:t>
      </w:r>
      <w:r>
        <w:rPr>
          <w:rFonts w:hint="eastAsia" w:asciiTheme="minorHAnsi" w:hAnsiTheme="minorHAnsi" w:eastAsiaTheme="minorEastAsia" w:cstheme="minorBidi"/>
          <w:color w:val="auto"/>
          <w:sz w:val="24"/>
          <w:szCs w:val="24"/>
          <w:highlight w:val="none"/>
          <w:lang w:val="en-US" w:eastAsia="zh-CN" w:bidi="ar-SA"/>
        </w:rPr>
        <w:t>以</w:t>
      </w:r>
      <w:r>
        <w:rPr>
          <w:rFonts w:hint="eastAsia" w:cstheme="minorBidi"/>
          <w:color w:val="auto"/>
          <w:sz w:val="24"/>
          <w:szCs w:val="24"/>
          <w:highlight w:val="none"/>
          <w:lang w:val="en-US" w:eastAsia="zh-CN" w:bidi="ar-SA"/>
        </w:rPr>
        <w:t>磋商</w:t>
      </w:r>
      <w:r>
        <w:rPr>
          <w:rFonts w:hint="eastAsia" w:asciiTheme="minorHAnsi" w:hAnsiTheme="minorHAnsi" w:eastAsiaTheme="minorEastAsia" w:cstheme="minorBidi"/>
          <w:color w:val="auto"/>
          <w:sz w:val="24"/>
          <w:szCs w:val="24"/>
          <w:highlight w:val="none"/>
          <w:lang w:val="en-US" w:eastAsia="zh-CN" w:bidi="ar-SA"/>
        </w:rPr>
        <w:t>文件为依据，对</w:t>
      </w:r>
      <w:r>
        <w:rPr>
          <w:rFonts w:hint="eastAsia" w:cstheme="minorBidi"/>
          <w:color w:val="auto"/>
          <w:sz w:val="24"/>
          <w:szCs w:val="24"/>
          <w:highlight w:val="none"/>
          <w:lang w:val="en-US" w:eastAsia="zh-CN" w:bidi="ar-SA"/>
        </w:rPr>
        <w:t>磋商响应</w:t>
      </w:r>
      <w:r>
        <w:rPr>
          <w:rFonts w:hint="eastAsia" w:asciiTheme="minorHAnsi" w:hAnsiTheme="minorHAnsi" w:eastAsiaTheme="minorEastAsia" w:cstheme="minorBidi"/>
          <w:color w:val="auto"/>
          <w:sz w:val="24"/>
          <w:szCs w:val="24"/>
          <w:highlight w:val="none"/>
          <w:lang w:val="en-US" w:eastAsia="zh-CN" w:bidi="ar-SA"/>
        </w:rPr>
        <w:t>文件进行评审，对竞标人的报价文件、技术文件、商务文件等内容按百分制打分，总分值为100分。</w:t>
      </w:r>
    </w:p>
    <w:p>
      <w:pPr>
        <w:pStyle w:val="18"/>
        <w:wordWrap w:val="0"/>
        <w:adjustRightInd/>
        <w:snapToGrid w:val="0"/>
        <w:spacing w:line="360" w:lineRule="auto"/>
        <w:jc w:val="center"/>
        <w:rPr>
          <w:rFonts w:hint="eastAsia"/>
          <w:b/>
          <w:bCs/>
          <w:color w:val="auto"/>
          <w:highlight w:val="none"/>
          <w:lang w:val="en-US" w:eastAsia="zh-CN"/>
        </w:rPr>
      </w:pPr>
      <w:r>
        <w:rPr>
          <w:rFonts w:hint="eastAsia"/>
          <w:b/>
          <w:bCs/>
          <w:color w:val="auto"/>
          <w:highlight w:val="none"/>
          <w:lang w:val="en-US" w:eastAsia="zh-CN"/>
        </w:rPr>
        <w:t>二标段评分指标及评分标准如下表：</w:t>
      </w:r>
    </w:p>
    <w:tbl>
      <w:tblPr>
        <w:tblStyle w:val="11"/>
        <w:tblW w:w="11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490"/>
        <w:gridCol w:w="990"/>
        <w:gridCol w:w="4695"/>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评审项目</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评审内容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分值</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评分标准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5" w:type="dxa"/>
            <w:vMerge w:val="restart"/>
            <w:tcBorders>
              <w:top w:val="single" w:color="000000" w:sz="4" w:space="0"/>
              <w:left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履约能力（27分)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偿付能力</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12</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1、投标人所属总公司2018-2020年间12个季度综合偿付能力充足率进行评价；</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2、其中每个季度综合偿付能力充足率≥220%得1分,满分12分。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综合偿付能力以银保监部门公布的结果为准，须提供相关文件并加盖投标人公章上传至电子投标文件内。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2" w:hRule="atLeast"/>
          <w:jc w:val="center"/>
        </w:trPr>
        <w:tc>
          <w:tcPr>
            <w:tcW w:w="945" w:type="dxa"/>
            <w:vMerge w:val="continue"/>
            <w:tcBorders>
              <w:left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经营评价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1、投标人所属总公司2018-2020年间12个季度风险综合评级（分类监管）评价，其中，每季度风险评级均为A的，得5分；有评级为C、D的不得分；其他情况得3分。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提供中国银保监会偿二代监管信息系统中保险公司（总公司）风险综合评价结果截图，加盖投标人公章，不提供不得分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5" w:type="dxa"/>
            <w:vMerge w:val="continue"/>
            <w:tcBorders>
              <w:left w:val="single" w:color="000000" w:sz="4" w:space="0"/>
              <w:bottom w:val="nil"/>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成本投入</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rPr>
            </w:pPr>
            <w:r>
              <w:rPr>
                <w:rFonts w:hint="eastAsia" w:ascii="微软雅黑" w:hAnsi="微软雅黑" w:eastAsia="微软雅黑" w:cs="Times New Roman"/>
                <w:sz w:val="24"/>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1、本项目经办服务成本预算为3.5元/人。</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2、投标人须对本项目运行成本投入进行承诺，并接受政府部门考核审计且与报价方案相关联。</w:t>
            </w:r>
          </w:p>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3、承诺投入成本预算100%的得10分，减少1个百分点得9分，减少2个百分点得8分，以此类推。投入低于95%的不得分。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提供承诺函（格式自拟）并加盖电子印章上传至电子投标文件内。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服务能力（53分）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服务保障</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rPr>
            </w:pPr>
            <w:r>
              <w:rPr>
                <w:rFonts w:hint="eastAsia" w:ascii="微软雅黑" w:hAnsi="微软雅黑" w:eastAsia="微软雅黑" w:cs="Times New Roman"/>
                <w:sz w:val="24"/>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rPr>
            </w:pPr>
            <w:r>
              <w:rPr>
                <w:rFonts w:hint="eastAsia" w:ascii="微软雅黑" w:hAnsi="微软雅黑" w:eastAsia="微软雅黑" w:cs="Times New Roman"/>
                <w:sz w:val="24"/>
                <w:lang w:val="en-US" w:eastAsia="zh-CN"/>
              </w:rPr>
              <w:t>1、投标人省级公司有专门医疗保险管理部门或机构，并有专业管理团队人员的得5分，没有不得分；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2、投标人省级公司承诺对投标人在经费、信息系统、人才队伍建设及异地调查等方面给予支持的，得3分，没有不得分；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3、投标人有专用车辆的，加2分，没有不得分。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提供省公司文件、承诺函、行驶证影印件或复印件并加盖投标人公章放入投标文件。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项目经验</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8</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1、投标人拥有承办或经办政府医疗保险服务项目经验的得5分；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2、其中投标人有城乡居民或职工基本医疗保险经办项目经验，且合作满3年及以上的加3分。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须提供合作协议扫描件或复印件。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人员配备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1、投标人在铜陵市、区（不含枞阳县）配备20（含）人以上的政府医疗保险服务经办人员得10分；15人（含）-19人得8分；15人以下得6分；无人员配备不得分；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2、其中配备医学类相关专业人员每人加0.5分，最高加5分。</w:t>
            </w:r>
            <w:r>
              <w:rPr>
                <w:rFonts w:hint="eastAsia" w:ascii="微软雅黑" w:hAnsi="微软雅黑" w:eastAsia="微软雅黑" w:cs="Times New Roman"/>
                <w:sz w:val="24"/>
                <w:lang w:val="en-US" w:eastAsia="zh-CN"/>
              </w:rPr>
              <w:br w:type="textWrapping"/>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投标文件中须提供配备人员花名册（格式自拟），经办人员劳动合同（含劳务派遣合同及退休返聘合同等）复印件或扫描件，身份证、毕业证书（证书须能体现专业类别）复印件或扫描件，投标人为其在我市缴纳社会保险近6个月（任意连续三个月）的证明，以及政府合作方所出具的经办服务人员名单的确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rPr>
            </w:pPr>
            <w:r>
              <w:rPr>
                <w:rFonts w:hint="eastAsia" w:ascii="微软雅黑" w:hAnsi="微软雅黑" w:eastAsia="微软雅黑" w:cs="Times New Roman"/>
                <w:sz w:val="24"/>
                <w:lang w:val="en-US" w:eastAsia="zh-CN"/>
              </w:rPr>
              <w:t>异地调查</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sz w:val="24"/>
              </w:rPr>
              <w:t>投标人总公司</w:t>
            </w:r>
            <w:r>
              <w:rPr>
                <w:rFonts w:ascii="微软雅黑" w:hAnsi="微软雅黑" w:eastAsia="微软雅黑"/>
                <w:sz w:val="24"/>
              </w:rPr>
              <w:t>拥有</w:t>
            </w:r>
            <w:r>
              <w:rPr>
                <w:rFonts w:hint="eastAsia" w:ascii="微软雅黑" w:hAnsi="微软雅黑" w:eastAsia="微软雅黑"/>
                <w:sz w:val="24"/>
              </w:rPr>
              <w:t>健全</w:t>
            </w:r>
            <w:r>
              <w:rPr>
                <w:rFonts w:ascii="微软雅黑" w:hAnsi="微软雅黑" w:eastAsia="微软雅黑"/>
                <w:sz w:val="24"/>
              </w:rPr>
              <w:t>的</w:t>
            </w:r>
            <w:r>
              <w:rPr>
                <w:rFonts w:hint="eastAsia" w:ascii="微软雅黑" w:hAnsi="微软雅黑" w:eastAsia="微软雅黑"/>
                <w:sz w:val="24"/>
              </w:rPr>
              <w:t>机构网络</w:t>
            </w:r>
            <w:r>
              <w:rPr>
                <w:rFonts w:ascii="微软雅黑" w:hAnsi="微软雅黑" w:eastAsia="微软雅黑"/>
                <w:sz w:val="24"/>
              </w:rPr>
              <w:t>，</w:t>
            </w:r>
            <w:r>
              <w:rPr>
                <w:rFonts w:hint="eastAsia" w:ascii="微软雅黑" w:hAnsi="微软雅黑" w:eastAsia="微软雅黑"/>
                <w:sz w:val="24"/>
              </w:rPr>
              <w:t>可为</w:t>
            </w:r>
            <w:r>
              <w:rPr>
                <w:rFonts w:ascii="微软雅黑" w:hAnsi="微软雅黑" w:eastAsia="微软雅黑"/>
                <w:sz w:val="24"/>
              </w:rPr>
              <w:t>本项</w:t>
            </w:r>
            <w:r>
              <w:rPr>
                <w:rFonts w:hint="eastAsia" w:ascii="微软雅黑" w:hAnsi="微软雅黑" w:eastAsia="微软雅黑"/>
                <w:sz w:val="24"/>
              </w:rPr>
              <w:t>目</w:t>
            </w:r>
            <w:r>
              <w:rPr>
                <w:rFonts w:ascii="微软雅黑" w:hAnsi="微软雅黑" w:eastAsia="微软雅黑"/>
                <w:sz w:val="24"/>
              </w:rPr>
              <w:t>参保人员异地就医</w:t>
            </w:r>
            <w:r>
              <w:rPr>
                <w:rFonts w:hint="eastAsia" w:ascii="微软雅黑" w:hAnsi="微软雅黑" w:eastAsia="微软雅黑"/>
                <w:sz w:val="24"/>
              </w:rPr>
              <w:t>的医疗案件在</w:t>
            </w:r>
            <w:r>
              <w:rPr>
                <w:rFonts w:ascii="微软雅黑" w:hAnsi="微软雅黑" w:eastAsia="微软雅黑"/>
                <w:sz w:val="24"/>
              </w:rPr>
              <w:t>全国范围内</w:t>
            </w:r>
            <w:r>
              <w:rPr>
                <w:rFonts w:hint="eastAsia" w:ascii="微软雅黑" w:hAnsi="微软雅黑" w:eastAsia="微软雅黑"/>
                <w:sz w:val="24"/>
              </w:rPr>
              <w:t>快速开展异地调查，</w:t>
            </w:r>
            <w:r>
              <w:rPr>
                <w:rFonts w:ascii="微软雅黑" w:hAnsi="微软雅黑" w:eastAsia="微软雅黑"/>
                <w:sz w:val="24"/>
              </w:rPr>
              <w:t>除安徽省外，在其他省或直辖市设立省级分公司的</w:t>
            </w:r>
            <w:r>
              <w:rPr>
                <w:rFonts w:hint="eastAsia" w:ascii="微软雅黑" w:hAnsi="微软雅黑" w:eastAsia="微软雅黑"/>
                <w:sz w:val="24"/>
              </w:rPr>
              <w:t>，每提供1家得0.5分，最高得10分</w:t>
            </w:r>
            <w:r>
              <w:rPr>
                <w:rFonts w:ascii="微软雅黑" w:hAnsi="微软雅黑" w:eastAsia="微软雅黑"/>
                <w:sz w:val="24"/>
              </w:rPr>
              <w:t>。</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ascii="微软雅黑" w:hAnsi="微软雅黑" w:eastAsia="微软雅黑"/>
                <w:sz w:val="24"/>
              </w:rPr>
              <w:t>须</w:t>
            </w:r>
            <w:r>
              <w:rPr>
                <w:rFonts w:hint="eastAsia" w:ascii="微软雅黑" w:hAnsi="微软雅黑" w:eastAsia="微软雅黑"/>
                <w:color w:val="000000"/>
                <w:sz w:val="24"/>
              </w:rPr>
              <w:t>提供</w:t>
            </w:r>
            <w:r>
              <w:rPr>
                <w:rFonts w:hint="eastAsia" w:ascii="微软雅黑" w:hAnsi="微软雅黑" w:eastAsia="微软雅黑"/>
                <w:sz w:val="24"/>
              </w:rPr>
              <w:t>省级或直辖市机构</w:t>
            </w:r>
            <w:r>
              <w:rPr>
                <w:rFonts w:ascii="微软雅黑" w:hAnsi="微软雅黑" w:eastAsia="微软雅黑"/>
                <w:sz w:val="24"/>
              </w:rPr>
              <w:t>的营业执照</w:t>
            </w:r>
            <w:r>
              <w:rPr>
                <w:rFonts w:hint="eastAsia" w:ascii="微软雅黑" w:hAnsi="微软雅黑" w:eastAsia="微软雅黑"/>
                <w:sz w:val="24"/>
              </w:rPr>
              <w:t>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智能审核</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1、投标人所属总公司拥有医保智能审核系统且具有智能化审核系统著作权证书的加5分；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2、医保智能审核系统规则制定全面、符合铜陵医保监管需求切实可行加2分；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3、在铜陵市内有成功上线案例的加3分。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提供智能化审核系统著作权证书影印件、智能审核系统截图及上线地医保经办机构的证明并加盖投标人公章放入投标文件。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5"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承办方案（10分）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经办流程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1、经办流程内容齐全、完备、准确，符合项目特点和经办流程要求。</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2、方案完整、科学、合理的得5分；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3、方案较完整、较科学、较合理的得3分；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4、方案不完整、不科学、不合理的得1分；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5、无此内容不得分。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rPr>
              <w:t>提供经办流程</w:t>
            </w:r>
            <w:r>
              <w:rPr>
                <w:rFonts w:hint="eastAsia" w:ascii="微软雅黑" w:hAnsi="微软雅黑" w:eastAsia="微软雅黑" w:cs="Times New Roman"/>
                <w:sz w:val="24"/>
                <w:lang w:val="en-US" w:eastAsia="zh-CN"/>
              </w:rPr>
              <w:t>方案</w:t>
            </w:r>
            <w:r>
              <w:rPr>
                <w:rFonts w:hint="eastAsia" w:ascii="微软雅黑" w:hAnsi="微软雅黑" w:eastAsia="微软雅黑" w:cs="Times New Roman"/>
                <w:sz w:val="24"/>
              </w:rPr>
              <w:t>装订入投标文件</w:t>
            </w:r>
            <w:r>
              <w:rPr>
                <w:rFonts w:hint="eastAsia" w:ascii="微软雅黑" w:hAnsi="微软雅黑" w:eastAsia="微软雅黑" w:cs="Times New Roman"/>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监管措施</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5</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1、投标人须提供稽核监管的具体方案措施，视方案的完整性、合理性和可操作性评分。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2、方案完整、科学、合理的得5分；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3、方案较完整、较科学、较合理的得3分；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4、方案不完整、不科学、不合理的得1分；</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5、无此内容不得分。</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rPr>
              <w:t>提供监管措施方案装订入投标文件</w:t>
            </w:r>
            <w:r>
              <w:rPr>
                <w:rFonts w:hint="eastAsia" w:ascii="微软雅黑" w:hAnsi="微软雅黑" w:eastAsia="微软雅黑" w:cs="Times New Roman"/>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报价部分（10分）</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报价方案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1、采用低价优先法计算，即满足招标文件要求且投标价格最低的投标报价为评标基准价；</w:t>
            </w:r>
            <w:r>
              <w:rPr>
                <w:rFonts w:hint="eastAsia" w:ascii="微软雅黑" w:hAnsi="微软雅黑" w:eastAsia="微软雅黑" w:cs="Times New Roman"/>
                <w:sz w:val="24"/>
                <w:lang w:val="en-US" w:eastAsia="zh-CN"/>
              </w:rPr>
              <w:br w:type="textWrapping"/>
            </w:r>
            <w:r>
              <w:rPr>
                <w:rFonts w:hint="eastAsia" w:ascii="微软雅黑" w:hAnsi="微软雅黑" w:eastAsia="微软雅黑" w:cs="Times New Roman"/>
                <w:sz w:val="24"/>
                <w:lang w:val="en-US" w:eastAsia="zh-CN"/>
              </w:rPr>
              <w:t>2、报价最终得分按照下列公式计算，投标报价得分=评标基准价÷投标报价×10分，四舍五入取小数点后两位；</w:t>
            </w:r>
            <w:r>
              <w:rPr>
                <w:rFonts w:hint="eastAsia" w:ascii="微软雅黑" w:hAnsi="微软雅黑" w:eastAsia="微软雅黑" w:cs="Times New Roman"/>
                <w:sz w:val="24"/>
                <w:lang w:val="en-US" w:eastAsia="zh-CN"/>
              </w:rPr>
              <w:br w:type="textWrapping"/>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评标委员会认为投标人的报价明显低于其他通过初审的投标人的报价，有可能影响产品质量或者不能诚信履约的，投标人不能证明其报价合理性的，评标委员会应当将其作为无效投标处理；报价以报价表中的金额为准；经办人员待遇按照皖人社明电［2020］171 号， 皖机 14385号公布的月社平工资5455.24 元/人 的标准。</w:t>
            </w:r>
          </w:p>
        </w:tc>
      </w:tr>
    </w:tbl>
    <w:p>
      <w:pPr>
        <w:pStyle w:val="2"/>
        <w:ind w:firstLine="420"/>
        <w:rPr>
          <w:color w:val="auto"/>
          <w:highlight w:val="none"/>
        </w:rPr>
      </w:pPr>
    </w:p>
    <w:p>
      <w:pPr>
        <w:keepNext w:val="0"/>
        <w:keepLines w:val="0"/>
        <w:pageBreakBefore w:val="0"/>
        <w:numPr>
          <w:ilvl w:val="-1"/>
          <w:numId w:val="0"/>
        </w:numPr>
        <w:kinsoku/>
        <w:overflowPunct/>
        <w:topLinePunct w:val="0"/>
        <w:autoSpaceDE/>
        <w:autoSpaceDN/>
        <w:bidi w:val="0"/>
        <w:adjustRightInd/>
        <w:snapToGrid/>
        <w:spacing w:line="360" w:lineRule="auto"/>
        <w:ind w:left="0" w:firstLine="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合同主要条款</w:t>
      </w:r>
    </w:p>
    <w:p>
      <w:pPr>
        <w:keepNext w:val="0"/>
        <w:keepLines w:val="0"/>
        <w:pageBreakBefore w:val="0"/>
        <w:kinsoku/>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（一）甲方的责任与义务</w:t>
      </w:r>
    </w:p>
    <w:p>
      <w:pPr>
        <w:keepNext w:val="0"/>
        <w:keepLines w:val="0"/>
        <w:pageBreakBefore w:val="0"/>
        <w:kinsoku/>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（二）乙方的责任与义务</w:t>
      </w:r>
    </w:p>
    <w:p>
      <w:pPr>
        <w:keepNext w:val="0"/>
        <w:keepLines w:val="0"/>
        <w:pageBreakBefore w:val="0"/>
        <w:kinsoku/>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（三）总费用及支付方式</w:t>
      </w:r>
    </w:p>
    <w:p>
      <w:pPr>
        <w:keepNext w:val="0"/>
        <w:keepLines w:val="0"/>
        <w:pageBreakBefore w:val="0"/>
        <w:kinsoku/>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（四）违约责任</w:t>
      </w:r>
    </w:p>
    <w:p>
      <w:pPr>
        <w:keepNext w:val="0"/>
        <w:keepLines w:val="0"/>
        <w:pageBreakBefore w:val="0"/>
        <w:kinsoku/>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（五）附则</w:t>
      </w:r>
    </w:p>
    <w:p>
      <w:pPr>
        <w:keepNext w:val="0"/>
        <w:keepLines w:val="0"/>
        <w:pageBreakBefore w:val="0"/>
        <w:numPr>
          <w:ilvl w:val="0"/>
          <w:numId w:val="0"/>
        </w:numPr>
        <w:kinsoku/>
        <w:overflowPunct/>
        <w:topLinePunct w:val="0"/>
        <w:bidi w:val="0"/>
        <w:snapToGrid/>
        <w:spacing w:line="360" w:lineRule="auto"/>
        <w:textAlignment w:val="auto"/>
        <w:rPr>
          <w:rFonts w:hint="eastAsia" w:ascii="宋体" w:hAnsi="宋体" w:eastAsiaTheme="minorEastAsia"/>
          <w:b/>
          <w:bCs/>
          <w:color w:val="auto"/>
          <w:sz w:val="28"/>
          <w:szCs w:val="28"/>
          <w:highlight w:val="none"/>
          <w:lang w:val="en-US" w:eastAsia="zh-CN"/>
        </w:rPr>
      </w:pPr>
      <w:r>
        <w:rPr>
          <w:rFonts w:hint="eastAsia" w:ascii="宋体" w:hAnsi="宋体"/>
          <w:b/>
          <w:bCs/>
          <w:color w:val="auto"/>
          <w:sz w:val="28"/>
          <w:szCs w:val="28"/>
          <w:highlight w:val="none"/>
          <w:lang w:val="en-US" w:eastAsia="zh-CN"/>
        </w:rPr>
        <w:t>九、</w:t>
      </w:r>
      <w:r>
        <w:rPr>
          <w:rFonts w:hint="eastAsia" w:ascii="宋体" w:hAnsi="宋体" w:eastAsiaTheme="minorEastAsia"/>
          <w:b/>
          <w:bCs/>
          <w:color w:val="auto"/>
          <w:sz w:val="28"/>
          <w:szCs w:val="28"/>
          <w:highlight w:val="none"/>
          <w:lang w:val="en-US" w:eastAsia="zh-CN"/>
        </w:rPr>
        <w:t>其它</w:t>
      </w:r>
    </w:p>
    <w:p>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color w:val="auto"/>
          <w:sz w:val="32"/>
          <w:szCs w:val="32"/>
          <w:highlight w:val="none"/>
          <w:lang w:eastAsia="zh-CN"/>
        </w:rPr>
      </w:pPr>
    </w:p>
    <w:p>
      <w:pPr>
        <w:keepNext w:val="0"/>
        <w:keepLines w:val="0"/>
        <w:pageBreakBefore w:val="0"/>
        <w:kinsoku/>
        <w:wordWrap w:val="0"/>
        <w:overflowPunct/>
        <w:topLinePunct w:val="0"/>
        <w:bidi w:val="0"/>
        <w:snapToGrid/>
        <w:spacing w:line="360" w:lineRule="auto"/>
        <w:ind w:left="945"/>
        <w:jc w:val="right"/>
        <w:textAlignment w:val="auto"/>
        <w:rPr>
          <w:color w:val="auto"/>
          <w:sz w:val="32"/>
          <w:szCs w:val="32"/>
          <w:highlight w:val="none"/>
        </w:rPr>
      </w:pPr>
      <w:r>
        <w:rPr>
          <w:rFonts w:hint="eastAsia" w:ascii="宋体" w:hAnsi="宋体"/>
          <w:color w:val="auto"/>
          <w:sz w:val="32"/>
          <w:szCs w:val="32"/>
          <w:highlight w:val="none"/>
          <w:lang w:eastAsia="zh-CN"/>
        </w:rPr>
        <w:t>填报日期：</w:t>
      </w:r>
      <w:r>
        <w:rPr>
          <w:rFonts w:hint="default" w:ascii="宋体" w:hAnsi="宋体"/>
          <w:color w:val="auto"/>
          <w:sz w:val="32"/>
          <w:szCs w:val="32"/>
          <w:highlight w:val="none"/>
          <w:lang w:eastAsia="zh-CN"/>
        </w:rPr>
        <w:t>2021</w:t>
      </w:r>
      <w:r>
        <w:rPr>
          <w:rFonts w:hint="eastAsia" w:ascii="宋体" w:hAnsi="宋体"/>
          <w:color w:val="auto"/>
          <w:sz w:val="32"/>
          <w:szCs w:val="32"/>
          <w:highlight w:val="none"/>
          <w:lang w:eastAsia="zh-CN"/>
        </w:rPr>
        <w:t xml:space="preserve">年 </w:t>
      </w:r>
      <w:r>
        <w:rPr>
          <w:rFonts w:hint="eastAsia" w:ascii="宋体" w:hAnsi="宋体"/>
          <w:color w:val="auto"/>
          <w:sz w:val="32"/>
          <w:szCs w:val="32"/>
          <w:highlight w:val="none"/>
          <w:lang w:val="en-US" w:eastAsia="zh-CN"/>
        </w:rPr>
        <w:t>11</w:t>
      </w:r>
      <w:r>
        <w:rPr>
          <w:rFonts w:hint="eastAsia" w:ascii="宋体" w:hAnsi="宋体"/>
          <w:color w:val="auto"/>
          <w:sz w:val="32"/>
          <w:szCs w:val="32"/>
          <w:highlight w:val="none"/>
          <w:lang w:eastAsia="zh-CN"/>
        </w:rPr>
        <w:t>月</w:t>
      </w:r>
      <w:r>
        <w:rPr>
          <w:rFonts w:hint="eastAsia" w:ascii="宋体" w:hAnsi="宋体"/>
          <w:color w:val="auto"/>
          <w:sz w:val="32"/>
          <w:szCs w:val="32"/>
          <w:highlight w:val="none"/>
          <w:lang w:val="en-US" w:eastAsia="zh-CN"/>
        </w:rPr>
        <w:t>2</w:t>
      </w:r>
      <w:bookmarkStart w:id="0" w:name="_GoBack"/>
      <w:bookmarkEnd w:id="0"/>
      <w:r>
        <w:rPr>
          <w:rFonts w:hint="eastAsia" w:ascii="宋体" w:hAnsi="宋体"/>
          <w:color w:val="auto"/>
          <w:sz w:val="32"/>
          <w:szCs w:val="32"/>
          <w:highlight w:val="none"/>
          <w:lang w:val="en-US" w:eastAsia="zh-CN"/>
        </w:rPr>
        <w:t>4</w:t>
      </w:r>
      <w:r>
        <w:rPr>
          <w:rFonts w:hint="eastAsia" w:ascii="宋体" w:hAnsi="宋体"/>
          <w:color w:val="auto"/>
          <w:sz w:val="32"/>
          <w:szCs w:val="32"/>
          <w:highlight w:val="none"/>
          <w:lang w:eastAsia="zh-CN"/>
        </w:rPr>
        <w:t>日</w:t>
      </w:r>
    </w:p>
    <w:sectPr>
      <w:headerReference r:id="rId3" w:type="default"/>
      <w:footerReference r:id="rId4" w:type="default"/>
      <w:pgSz w:w="11909" w:h="16838"/>
      <w:pgMar w:top="1026" w:right="1304" w:bottom="1026" w:left="1304" w:header="0" w:footer="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A71F6"/>
    <w:rsid w:val="0008294E"/>
    <w:rsid w:val="001D5F6F"/>
    <w:rsid w:val="009B1EFA"/>
    <w:rsid w:val="00B10C13"/>
    <w:rsid w:val="00F72415"/>
    <w:rsid w:val="00FA44B2"/>
    <w:rsid w:val="01AF4682"/>
    <w:rsid w:val="02936993"/>
    <w:rsid w:val="02A1276F"/>
    <w:rsid w:val="03113653"/>
    <w:rsid w:val="03815E49"/>
    <w:rsid w:val="03AB76EE"/>
    <w:rsid w:val="04F73723"/>
    <w:rsid w:val="05A5149E"/>
    <w:rsid w:val="082118FB"/>
    <w:rsid w:val="08930BFB"/>
    <w:rsid w:val="08FE5BB6"/>
    <w:rsid w:val="0A3C67A3"/>
    <w:rsid w:val="0AAC77FD"/>
    <w:rsid w:val="0B2F62E7"/>
    <w:rsid w:val="0DA9296B"/>
    <w:rsid w:val="0EB85220"/>
    <w:rsid w:val="0F4C1F70"/>
    <w:rsid w:val="10294E32"/>
    <w:rsid w:val="10515369"/>
    <w:rsid w:val="1111469F"/>
    <w:rsid w:val="12785F02"/>
    <w:rsid w:val="1388670D"/>
    <w:rsid w:val="14524F3E"/>
    <w:rsid w:val="15544529"/>
    <w:rsid w:val="15E41303"/>
    <w:rsid w:val="16A23F89"/>
    <w:rsid w:val="19A56A43"/>
    <w:rsid w:val="1B3817BE"/>
    <w:rsid w:val="1BEA4490"/>
    <w:rsid w:val="1C3A021A"/>
    <w:rsid w:val="1D566DF1"/>
    <w:rsid w:val="1D7A0D67"/>
    <w:rsid w:val="1DAB7B53"/>
    <w:rsid w:val="1E102C6F"/>
    <w:rsid w:val="200113DC"/>
    <w:rsid w:val="20A83477"/>
    <w:rsid w:val="22494DC7"/>
    <w:rsid w:val="22E465E9"/>
    <w:rsid w:val="23027478"/>
    <w:rsid w:val="23AA13EE"/>
    <w:rsid w:val="240850AD"/>
    <w:rsid w:val="2443279B"/>
    <w:rsid w:val="261D4E40"/>
    <w:rsid w:val="27A74179"/>
    <w:rsid w:val="29D00817"/>
    <w:rsid w:val="2A730BAB"/>
    <w:rsid w:val="2AED504D"/>
    <w:rsid w:val="2AEE1FAC"/>
    <w:rsid w:val="2AF63AF2"/>
    <w:rsid w:val="2BE15D02"/>
    <w:rsid w:val="2D2B78A0"/>
    <w:rsid w:val="2F174C40"/>
    <w:rsid w:val="2FFCEA82"/>
    <w:rsid w:val="314A56E9"/>
    <w:rsid w:val="326168A6"/>
    <w:rsid w:val="32BF20B6"/>
    <w:rsid w:val="339326F7"/>
    <w:rsid w:val="34196EA6"/>
    <w:rsid w:val="362D173A"/>
    <w:rsid w:val="386A71F6"/>
    <w:rsid w:val="38F91B77"/>
    <w:rsid w:val="3A0B65DB"/>
    <w:rsid w:val="3A2D1A56"/>
    <w:rsid w:val="3A365CAC"/>
    <w:rsid w:val="3C871BC2"/>
    <w:rsid w:val="3CBA725C"/>
    <w:rsid w:val="3F1F2FBF"/>
    <w:rsid w:val="3FCD2D87"/>
    <w:rsid w:val="41CA4271"/>
    <w:rsid w:val="42121D69"/>
    <w:rsid w:val="423202A0"/>
    <w:rsid w:val="439E3E7B"/>
    <w:rsid w:val="43A34AE3"/>
    <w:rsid w:val="440C47C8"/>
    <w:rsid w:val="44B84E1A"/>
    <w:rsid w:val="45772613"/>
    <w:rsid w:val="461A651A"/>
    <w:rsid w:val="46592708"/>
    <w:rsid w:val="47D3555F"/>
    <w:rsid w:val="483052F6"/>
    <w:rsid w:val="49715549"/>
    <w:rsid w:val="4B441AEF"/>
    <w:rsid w:val="4B9F7619"/>
    <w:rsid w:val="4C4D6501"/>
    <w:rsid w:val="4CE43EEC"/>
    <w:rsid w:val="4E397844"/>
    <w:rsid w:val="4F430207"/>
    <w:rsid w:val="5232101E"/>
    <w:rsid w:val="5351175D"/>
    <w:rsid w:val="53DD0F9D"/>
    <w:rsid w:val="55304CB5"/>
    <w:rsid w:val="55D36695"/>
    <w:rsid w:val="569A7B07"/>
    <w:rsid w:val="56DD044A"/>
    <w:rsid w:val="58B84928"/>
    <w:rsid w:val="5C623DCD"/>
    <w:rsid w:val="5D0420C4"/>
    <w:rsid w:val="5DC47C4D"/>
    <w:rsid w:val="5E286A91"/>
    <w:rsid w:val="5F5F3F1F"/>
    <w:rsid w:val="61665C59"/>
    <w:rsid w:val="63461E91"/>
    <w:rsid w:val="664A0AA0"/>
    <w:rsid w:val="666A0A35"/>
    <w:rsid w:val="68DA0A91"/>
    <w:rsid w:val="696026E9"/>
    <w:rsid w:val="6C2541D8"/>
    <w:rsid w:val="6C292CD9"/>
    <w:rsid w:val="6DCE2427"/>
    <w:rsid w:val="6E08220A"/>
    <w:rsid w:val="6E7B1B95"/>
    <w:rsid w:val="6F3E3025"/>
    <w:rsid w:val="709A446D"/>
    <w:rsid w:val="70D14573"/>
    <w:rsid w:val="72776CBB"/>
    <w:rsid w:val="7290726E"/>
    <w:rsid w:val="7295021A"/>
    <w:rsid w:val="72A923D4"/>
    <w:rsid w:val="732C1F6E"/>
    <w:rsid w:val="738742D3"/>
    <w:rsid w:val="738F0441"/>
    <w:rsid w:val="742272CE"/>
    <w:rsid w:val="74D06ED6"/>
    <w:rsid w:val="75A2C507"/>
    <w:rsid w:val="75FB7CEF"/>
    <w:rsid w:val="76EEC15F"/>
    <w:rsid w:val="776569DB"/>
    <w:rsid w:val="77E10111"/>
    <w:rsid w:val="785A1329"/>
    <w:rsid w:val="79DA67C2"/>
    <w:rsid w:val="7D8B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color w:val="000000"/>
      <w:sz w:val="24"/>
      <w:szCs w:val="24"/>
      <w:lang w:val="zh-TW" w:eastAsia="zh-TW"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eastAsia="宋体"/>
      <w:b/>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ind w:firstLine="480" w:firstLineChars="200"/>
    </w:pPr>
    <w:rPr>
      <w:rFonts w:hint="eastAsia" w:ascii="Arial" w:hAnsi="Arial" w:cs="宋体"/>
      <w:szCs w:val="20"/>
    </w:rPr>
  </w:style>
  <w:style w:type="paragraph" w:styleId="5">
    <w:name w:val="annotation text"/>
    <w:basedOn w:val="1"/>
    <w:unhideWhenUsed/>
    <w:qFormat/>
    <w:uiPriority w:val="0"/>
  </w:style>
  <w:style w:type="paragraph" w:styleId="6">
    <w:name w:val="Body Text"/>
    <w:basedOn w:val="1"/>
    <w:unhideWhenUsed/>
    <w:qFormat/>
    <w:uiPriority w:val="0"/>
    <w:pPr>
      <w:spacing w:after="120"/>
    </w:pPr>
  </w:style>
  <w:style w:type="paragraph" w:styleId="7">
    <w:name w:val="Plain Text"/>
    <w:basedOn w:val="1"/>
    <w:qFormat/>
    <w:uiPriority w:val="0"/>
    <w:rPr>
      <w:rFonts w:ascii="宋体" w:hAnsi="Courier New" w:eastAsia="华文宋体"/>
      <w:sz w:val="28"/>
      <w:szCs w:val="20"/>
    </w:rPr>
  </w:style>
  <w:style w:type="paragraph" w:styleId="8">
    <w:name w:val="footer"/>
    <w:basedOn w:val="1"/>
    <w:link w:val="14"/>
    <w:unhideWhenUsed/>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页脚 字符"/>
    <w:basedOn w:val="12"/>
    <w:link w:val="8"/>
    <w:qFormat/>
    <w:uiPriority w:val="0"/>
    <w:rPr>
      <w:color w:val="000000"/>
      <w:sz w:val="18"/>
      <w:szCs w:val="18"/>
      <w:lang w:val="zh-TW" w:eastAsia="zh-TW"/>
    </w:rPr>
  </w:style>
  <w:style w:type="paragraph" w:customStyle="1" w:styleId="15">
    <w:name w:val="Plain Text1"/>
    <w:basedOn w:val="1"/>
    <w:qFormat/>
    <w:uiPriority w:val="0"/>
    <w:pPr>
      <w:adjustRightInd w:val="0"/>
      <w:textAlignment w:val="baseline"/>
    </w:pPr>
    <w:rPr>
      <w:rFonts w:ascii="宋体" w:hAnsi="Courier New" w:eastAsia="楷体_GB2312"/>
      <w:sz w:val="26"/>
      <w:szCs w:val="20"/>
    </w:rPr>
  </w:style>
  <w:style w:type="paragraph" w:customStyle="1" w:styleId="1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Words>
  <Characters>122</Characters>
  <Lines>1</Lines>
  <Paragraphs>1</Paragraphs>
  <TotalTime>5</TotalTime>
  <ScaleCrop>false</ScaleCrop>
  <LinksUpToDate>false</LinksUpToDate>
  <CharactersWithSpaces>142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2017-11-29T10:44:00Z</dcterms:created>
  <dc:creator>Administrator</dc:creator>
  <cp:lastModifiedBy>程冬--副锁</cp:lastModifiedBy>
  <dcterms:modified xsi:type="dcterms:W3CDTF">2021-11-24T07:43:34Z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59A4B21B681945859EA47D200C019996</vt:lpwstr>
  </property>
</Properties>
</file>