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rPr>
          <w:rFonts w:ascii="宋体" w:hAnsi="宋体" w:eastAsia="宋体" w:cs="宋体"/>
          <w:color w:val="auto"/>
          <w:highlight w:val="none"/>
        </w:rPr>
      </w:pPr>
      <w:bookmarkStart w:id="0" w:name="_Toc183682346"/>
      <w:bookmarkStart w:id="1" w:name="_Toc77400779"/>
      <w:bookmarkStart w:id="2" w:name="_Toc89075875"/>
      <w:bookmarkStart w:id="3" w:name="_Toc217446038"/>
      <w:bookmarkStart w:id="4" w:name="_Toc183582209"/>
      <w:r>
        <w:rPr>
          <w:rFonts w:hint="eastAsia" w:hAnsi="宋体" w:eastAsia="宋体" w:cs="宋体"/>
          <w:b/>
          <w:color w:val="auto"/>
          <w:szCs w:val="28"/>
          <w:highlight w:val="none"/>
        </w:rPr>
        <w:t>项目编号：G21048</w:t>
      </w:r>
    </w:p>
    <w:p>
      <w:pPr>
        <w:pStyle w:val="2"/>
        <w:ind w:firstLine="640"/>
        <w:rPr>
          <w:rFonts w:ascii="宋体" w:hAnsi="宋体" w:eastAsia="宋体" w:cs="宋体"/>
          <w:color w:val="auto"/>
          <w:highlight w:val="none"/>
        </w:rPr>
      </w:pPr>
    </w:p>
    <w:p>
      <w:pPr>
        <w:pStyle w:val="5"/>
        <w:rPr>
          <w:color w:val="auto"/>
          <w:highlight w:val="none"/>
        </w:rPr>
      </w:pPr>
    </w:p>
    <w:p>
      <w:pPr>
        <w:pStyle w:val="12"/>
        <w:wordWrap w:val="0"/>
        <w:snapToGrid w:val="0"/>
        <w:jc w:val="center"/>
        <w:rPr>
          <w:rFonts w:hAnsi="宋体" w:eastAsia="宋体" w:cs="宋体"/>
          <w:b/>
          <w:color w:val="auto"/>
          <w:sz w:val="48"/>
          <w:szCs w:val="48"/>
          <w:highlight w:val="none"/>
        </w:rPr>
      </w:pPr>
      <w:r>
        <w:rPr>
          <w:rFonts w:hint="eastAsia" w:hAnsi="宋体" w:eastAsia="宋体" w:cs="宋体"/>
          <w:b/>
          <w:color w:val="auto"/>
          <w:sz w:val="48"/>
          <w:szCs w:val="48"/>
          <w:highlight w:val="none"/>
        </w:rPr>
        <w:t>高新区铜都大道（红星河至高新区污水处理厂段）污水主管一期工程设计项目</w:t>
      </w:r>
    </w:p>
    <w:p>
      <w:pPr>
        <w:pStyle w:val="12"/>
        <w:wordWrap w:val="0"/>
        <w:snapToGrid w:val="0"/>
        <w:jc w:val="center"/>
        <w:rPr>
          <w:rFonts w:hAnsi="宋体" w:eastAsia="宋体" w:cs="宋体"/>
          <w:b/>
          <w:color w:val="auto"/>
          <w:sz w:val="48"/>
          <w:szCs w:val="48"/>
          <w:highlight w:val="none"/>
        </w:rPr>
      </w:pPr>
    </w:p>
    <w:p>
      <w:pPr>
        <w:pStyle w:val="12"/>
        <w:wordWrap w:val="0"/>
        <w:snapToGrid w:val="0"/>
        <w:jc w:val="center"/>
        <w:rPr>
          <w:rFonts w:hAnsi="宋体" w:eastAsia="宋体" w:cs="宋体"/>
          <w:b/>
          <w:color w:val="auto"/>
          <w:sz w:val="72"/>
          <w:szCs w:val="72"/>
          <w:highlight w:val="none"/>
        </w:rPr>
      </w:pPr>
      <w:r>
        <w:rPr>
          <w:rFonts w:hint="eastAsia" w:hAnsi="宋体" w:eastAsia="宋体" w:cs="宋体"/>
          <w:b/>
          <w:color w:val="auto"/>
          <w:sz w:val="72"/>
          <w:szCs w:val="72"/>
          <w:highlight w:val="none"/>
        </w:rPr>
        <w:t>竞争性磋商文件</w:t>
      </w:r>
    </w:p>
    <w:p>
      <w:pPr>
        <w:pStyle w:val="12"/>
        <w:wordWrap w:val="0"/>
        <w:snapToGrid w:val="0"/>
        <w:rPr>
          <w:rFonts w:hAnsi="宋体" w:eastAsia="宋体" w:cs="宋体"/>
          <w:b/>
          <w:color w:val="auto"/>
          <w:szCs w:val="28"/>
          <w:highlight w:val="none"/>
        </w:rPr>
      </w:pPr>
    </w:p>
    <w:p>
      <w:pPr>
        <w:pStyle w:val="12"/>
        <w:wordWrap w:val="0"/>
        <w:snapToGrid w:val="0"/>
        <w:rPr>
          <w:rFonts w:hAnsi="宋体" w:eastAsia="宋体" w:cs="宋体"/>
          <w:b/>
          <w:color w:val="auto"/>
          <w:szCs w:val="28"/>
          <w:highlight w:val="none"/>
        </w:rPr>
      </w:pPr>
    </w:p>
    <w:p>
      <w:pPr>
        <w:pStyle w:val="12"/>
        <w:wordWrap w:val="0"/>
        <w:snapToGrid w:val="0"/>
        <w:rPr>
          <w:rFonts w:hAnsi="宋体" w:eastAsia="宋体" w:cs="宋体"/>
          <w:b/>
          <w:color w:val="auto"/>
          <w:szCs w:val="28"/>
          <w:highlight w:val="none"/>
        </w:rPr>
      </w:pPr>
    </w:p>
    <w:p>
      <w:pPr>
        <w:pStyle w:val="12"/>
        <w:wordWrap w:val="0"/>
        <w:snapToGrid w:val="0"/>
        <w:rPr>
          <w:rFonts w:hAnsi="宋体" w:eastAsia="宋体" w:cs="宋体"/>
          <w:b/>
          <w:color w:val="auto"/>
          <w:szCs w:val="28"/>
          <w:highlight w:val="none"/>
        </w:rPr>
      </w:pPr>
    </w:p>
    <w:p>
      <w:pPr>
        <w:pStyle w:val="12"/>
        <w:wordWrap w:val="0"/>
        <w:snapToGrid w:val="0"/>
        <w:rPr>
          <w:rFonts w:hAnsi="宋体" w:eastAsia="宋体" w:cs="宋体"/>
          <w:b/>
          <w:color w:val="auto"/>
          <w:szCs w:val="28"/>
          <w:highlight w:val="none"/>
        </w:rPr>
      </w:pPr>
    </w:p>
    <w:p>
      <w:pPr>
        <w:pStyle w:val="12"/>
        <w:wordWrap w:val="0"/>
        <w:snapToGrid w:val="0"/>
        <w:rPr>
          <w:rFonts w:hAnsi="宋体" w:eastAsia="宋体" w:cs="宋体"/>
          <w:b/>
          <w:color w:val="auto"/>
          <w:szCs w:val="28"/>
          <w:highlight w:val="none"/>
        </w:rPr>
      </w:pPr>
    </w:p>
    <w:tbl>
      <w:tblPr>
        <w:tblStyle w:val="15"/>
        <w:tblW w:w="0" w:type="auto"/>
        <w:jc w:val="center"/>
        <w:tblLayout w:type="fixed"/>
        <w:tblCellMar>
          <w:top w:w="0" w:type="dxa"/>
          <w:left w:w="108" w:type="dxa"/>
          <w:bottom w:w="0" w:type="dxa"/>
          <w:right w:w="108" w:type="dxa"/>
        </w:tblCellMar>
      </w:tblPr>
      <w:tblGrid>
        <w:gridCol w:w="2864"/>
        <w:gridCol w:w="484"/>
        <w:gridCol w:w="5511"/>
      </w:tblGrid>
      <w:tr>
        <w:tblPrEx>
          <w:tblCellMar>
            <w:top w:w="0" w:type="dxa"/>
            <w:left w:w="108" w:type="dxa"/>
            <w:bottom w:w="0" w:type="dxa"/>
            <w:right w:w="108" w:type="dxa"/>
          </w:tblCellMar>
        </w:tblPrEx>
        <w:trPr>
          <w:trHeight w:val="1080" w:hRule="atLeast"/>
          <w:jc w:val="center"/>
        </w:trPr>
        <w:tc>
          <w:tcPr>
            <w:tcW w:w="2864" w:type="dxa"/>
            <w:tcBorders>
              <w:top w:val="single" w:color="auto" w:sz="4" w:space="0"/>
              <w:left w:val="single" w:color="auto" w:sz="4" w:space="0"/>
              <w:bottom w:val="single" w:color="auto" w:sz="4" w:space="0"/>
              <w:right w:val="single" w:color="auto" w:sz="4" w:space="0"/>
            </w:tcBorders>
            <w:vAlign w:val="center"/>
          </w:tcPr>
          <w:p>
            <w:pPr>
              <w:pStyle w:val="12"/>
              <w:wordWrap w:val="0"/>
              <w:snapToGrid w:val="0"/>
              <w:rPr>
                <w:rFonts w:hAnsi="宋体" w:eastAsia="宋体" w:cs="宋体"/>
                <w:b/>
                <w:color w:val="auto"/>
                <w:szCs w:val="28"/>
                <w:highlight w:val="none"/>
              </w:rPr>
            </w:pPr>
            <w:r>
              <w:rPr>
                <w:rFonts w:hint="eastAsia" w:hAnsi="宋体" w:eastAsia="宋体" w:cs="宋体"/>
                <w:b/>
                <w:color w:val="auto"/>
                <w:szCs w:val="28"/>
                <w:highlight w:val="none"/>
              </w:rPr>
              <w:t>采     购     人</w:t>
            </w:r>
          </w:p>
        </w:tc>
        <w:tc>
          <w:tcPr>
            <w:tcW w:w="484" w:type="dxa"/>
            <w:tcBorders>
              <w:top w:val="single" w:color="auto" w:sz="4" w:space="0"/>
              <w:left w:val="single" w:color="auto" w:sz="4" w:space="0"/>
              <w:bottom w:val="single" w:color="auto" w:sz="4" w:space="0"/>
              <w:right w:val="single" w:color="auto" w:sz="4" w:space="0"/>
            </w:tcBorders>
            <w:vAlign w:val="center"/>
          </w:tcPr>
          <w:p>
            <w:pPr>
              <w:pStyle w:val="12"/>
              <w:wordWrap w:val="0"/>
              <w:snapToGrid w:val="0"/>
              <w:rPr>
                <w:rFonts w:hAnsi="宋体" w:eastAsia="宋体" w:cs="宋体"/>
                <w:b/>
                <w:color w:val="auto"/>
                <w:szCs w:val="28"/>
                <w:highlight w:val="none"/>
              </w:rPr>
            </w:pPr>
            <w:r>
              <w:rPr>
                <w:rFonts w:hint="eastAsia" w:hAnsi="宋体" w:eastAsia="宋体" w:cs="宋体"/>
                <w:b/>
                <w:color w:val="auto"/>
                <w:spacing w:val="60"/>
                <w:szCs w:val="28"/>
                <w:highlight w:val="none"/>
              </w:rPr>
              <w:t>：</w:t>
            </w:r>
          </w:p>
        </w:tc>
        <w:tc>
          <w:tcPr>
            <w:tcW w:w="5511" w:type="dxa"/>
            <w:tcBorders>
              <w:top w:val="single" w:color="auto" w:sz="4" w:space="0"/>
              <w:left w:val="single" w:color="auto" w:sz="4" w:space="0"/>
              <w:bottom w:val="single" w:color="auto" w:sz="4" w:space="0"/>
              <w:right w:val="single" w:color="auto" w:sz="4" w:space="0"/>
            </w:tcBorders>
            <w:vAlign w:val="center"/>
          </w:tcPr>
          <w:p>
            <w:pPr>
              <w:pStyle w:val="12"/>
              <w:wordWrap w:val="0"/>
              <w:snapToGrid w:val="0"/>
              <w:rPr>
                <w:rFonts w:hAnsi="宋体" w:eastAsia="宋体" w:cs="宋体"/>
                <w:b/>
                <w:color w:val="auto"/>
                <w:szCs w:val="28"/>
                <w:highlight w:val="none"/>
              </w:rPr>
            </w:pPr>
            <w:r>
              <w:rPr>
                <w:rFonts w:hint="eastAsia" w:hAnsi="宋体" w:eastAsia="宋体" w:cs="宋体"/>
                <w:b/>
                <w:bCs/>
                <w:color w:val="auto"/>
                <w:szCs w:val="28"/>
                <w:highlight w:val="none"/>
              </w:rPr>
              <w:t>铜陵狮子山高新技术产业开发区管理委员会</w:t>
            </w:r>
            <w:r>
              <w:rPr>
                <w:rFonts w:hint="eastAsia" w:hAnsi="宋体" w:eastAsia="宋体" w:cs="宋体"/>
                <w:b/>
                <w:color w:val="auto"/>
                <w:szCs w:val="28"/>
                <w:highlight w:val="none"/>
              </w:rPr>
              <w:t>（盖章）</w:t>
            </w:r>
          </w:p>
        </w:tc>
      </w:tr>
      <w:tr>
        <w:tblPrEx>
          <w:tblCellMar>
            <w:top w:w="0" w:type="dxa"/>
            <w:left w:w="108" w:type="dxa"/>
            <w:bottom w:w="0" w:type="dxa"/>
            <w:right w:w="108" w:type="dxa"/>
          </w:tblCellMar>
        </w:tblPrEx>
        <w:trPr>
          <w:trHeight w:val="1080" w:hRule="atLeast"/>
          <w:jc w:val="center"/>
        </w:trPr>
        <w:tc>
          <w:tcPr>
            <w:tcW w:w="2864" w:type="dxa"/>
            <w:tcBorders>
              <w:top w:val="single" w:color="auto" w:sz="4" w:space="0"/>
              <w:left w:val="single" w:color="auto" w:sz="4" w:space="0"/>
              <w:bottom w:val="single" w:color="auto" w:sz="4" w:space="0"/>
              <w:right w:val="single" w:color="auto" w:sz="4" w:space="0"/>
            </w:tcBorders>
            <w:vAlign w:val="center"/>
          </w:tcPr>
          <w:p>
            <w:pPr>
              <w:pStyle w:val="12"/>
              <w:wordWrap w:val="0"/>
              <w:snapToGrid w:val="0"/>
              <w:rPr>
                <w:rFonts w:hAnsi="宋体" w:eastAsia="宋体" w:cs="宋体"/>
                <w:b/>
                <w:color w:val="auto"/>
                <w:szCs w:val="28"/>
                <w:highlight w:val="none"/>
              </w:rPr>
            </w:pPr>
            <w:r>
              <w:rPr>
                <w:rFonts w:hint="eastAsia" w:hAnsi="宋体" w:eastAsia="宋体" w:cs="宋体"/>
                <w:b/>
                <w:color w:val="auto"/>
                <w:spacing w:val="60"/>
                <w:szCs w:val="28"/>
                <w:highlight w:val="none"/>
              </w:rPr>
              <w:t>采购代理机构</w:t>
            </w:r>
          </w:p>
        </w:tc>
        <w:tc>
          <w:tcPr>
            <w:tcW w:w="484" w:type="dxa"/>
            <w:tcBorders>
              <w:top w:val="single" w:color="auto" w:sz="4" w:space="0"/>
              <w:left w:val="single" w:color="auto" w:sz="4" w:space="0"/>
              <w:bottom w:val="single" w:color="auto" w:sz="4" w:space="0"/>
              <w:right w:val="single" w:color="auto" w:sz="4" w:space="0"/>
            </w:tcBorders>
            <w:vAlign w:val="center"/>
          </w:tcPr>
          <w:p>
            <w:pPr>
              <w:pStyle w:val="12"/>
              <w:wordWrap w:val="0"/>
              <w:snapToGrid w:val="0"/>
              <w:rPr>
                <w:rFonts w:hAnsi="宋体" w:eastAsia="宋体" w:cs="宋体"/>
                <w:b/>
                <w:color w:val="auto"/>
                <w:szCs w:val="28"/>
                <w:highlight w:val="none"/>
              </w:rPr>
            </w:pPr>
            <w:r>
              <w:rPr>
                <w:rFonts w:hint="eastAsia" w:hAnsi="宋体" w:eastAsia="宋体" w:cs="宋体"/>
                <w:b/>
                <w:color w:val="auto"/>
                <w:spacing w:val="-20"/>
                <w:szCs w:val="28"/>
                <w:highlight w:val="none"/>
              </w:rPr>
              <w:t>：</w:t>
            </w:r>
          </w:p>
        </w:tc>
        <w:tc>
          <w:tcPr>
            <w:tcW w:w="5511" w:type="dxa"/>
            <w:tcBorders>
              <w:top w:val="single" w:color="auto" w:sz="4" w:space="0"/>
              <w:left w:val="single" w:color="auto" w:sz="4" w:space="0"/>
              <w:bottom w:val="single" w:color="auto" w:sz="4" w:space="0"/>
              <w:right w:val="single" w:color="auto" w:sz="4" w:space="0"/>
            </w:tcBorders>
            <w:vAlign w:val="center"/>
          </w:tcPr>
          <w:p>
            <w:pPr>
              <w:pStyle w:val="12"/>
              <w:wordWrap w:val="0"/>
              <w:snapToGrid w:val="0"/>
              <w:rPr>
                <w:rFonts w:hAnsi="宋体" w:eastAsia="宋体" w:cs="宋体"/>
                <w:b/>
                <w:color w:val="auto"/>
                <w:szCs w:val="28"/>
                <w:highlight w:val="none"/>
              </w:rPr>
            </w:pPr>
            <w:r>
              <w:rPr>
                <w:rFonts w:hint="eastAsia" w:hAnsi="宋体" w:eastAsia="宋体" w:cs="宋体"/>
                <w:b/>
                <w:bCs/>
                <w:color w:val="auto"/>
                <w:szCs w:val="28"/>
                <w:highlight w:val="none"/>
              </w:rPr>
              <w:t>安徽金瑞安工程咨询有限公司</w:t>
            </w:r>
            <w:r>
              <w:rPr>
                <w:rFonts w:hint="eastAsia" w:hAnsi="宋体" w:eastAsia="宋体" w:cs="宋体"/>
                <w:b/>
                <w:color w:val="auto"/>
                <w:szCs w:val="28"/>
                <w:highlight w:val="none"/>
              </w:rPr>
              <w:t>（盖章）</w:t>
            </w:r>
          </w:p>
        </w:tc>
      </w:tr>
    </w:tbl>
    <w:p>
      <w:pPr>
        <w:pStyle w:val="12"/>
        <w:wordWrap w:val="0"/>
        <w:snapToGrid w:val="0"/>
        <w:rPr>
          <w:rFonts w:hAnsi="宋体" w:eastAsia="宋体" w:cs="宋体"/>
          <w:b/>
          <w:color w:val="auto"/>
          <w:szCs w:val="28"/>
          <w:highlight w:val="none"/>
        </w:rPr>
      </w:pPr>
    </w:p>
    <w:p>
      <w:pPr>
        <w:pStyle w:val="12"/>
        <w:snapToGrid w:val="0"/>
        <w:jc w:val="center"/>
        <w:rPr>
          <w:rFonts w:hAnsi="宋体" w:eastAsia="宋体" w:cs="宋体"/>
          <w:b/>
          <w:color w:val="auto"/>
          <w:kern w:val="44"/>
          <w:sz w:val="36"/>
          <w:szCs w:val="36"/>
          <w:highlight w:val="none"/>
        </w:rPr>
      </w:pPr>
      <w:r>
        <w:rPr>
          <w:rFonts w:hint="eastAsia" w:hAnsi="宋体" w:eastAsia="宋体" w:cs="宋体"/>
          <w:b/>
          <w:color w:val="auto"/>
          <w:sz w:val="30"/>
          <w:szCs w:val="30"/>
          <w:highlight w:val="none"/>
        </w:rPr>
        <w:t>2021年7月</w:t>
      </w:r>
    </w:p>
    <w:p>
      <w:pPr>
        <w:pStyle w:val="12"/>
        <w:snapToGrid w:val="0"/>
        <w:jc w:val="center"/>
        <w:rPr>
          <w:rFonts w:hAnsi="宋体" w:eastAsia="宋体" w:cs="宋体"/>
          <w:b/>
          <w:color w:val="auto"/>
          <w:kern w:val="44"/>
          <w:sz w:val="36"/>
          <w:szCs w:val="36"/>
          <w:highlight w:val="none"/>
        </w:rPr>
        <w:sectPr>
          <w:headerReference r:id="rId5" w:type="default"/>
          <w:footerReference r:id="rId6" w:type="default"/>
          <w:footerReference r:id="rId7" w:type="even"/>
          <w:pgSz w:w="11906" w:h="16838"/>
          <w:pgMar w:top="1474" w:right="1474" w:bottom="1474" w:left="1474" w:header="851" w:footer="992" w:gutter="0"/>
          <w:pgNumType w:start="0"/>
          <w:cols w:space="720" w:num="1"/>
          <w:titlePg/>
          <w:docGrid w:type="lines" w:linePitch="312" w:charSpace="0"/>
        </w:sectPr>
      </w:pPr>
    </w:p>
    <w:p>
      <w:pPr>
        <w:pStyle w:val="12"/>
        <w:snapToGrid w:val="0"/>
        <w:jc w:val="center"/>
        <w:rPr>
          <w:rFonts w:hAnsi="宋体" w:eastAsia="宋体" w:cs="宋体"/>
          <w:b/>
          <w:color w:val="auto"/>
          <w:kern w:val="44"/>
          <w:szCs w:val="28"/>
          <w:highlight w:val="none"/>
        </w:rPr>
      </w:pPr>
      <w:r>
        <w:rPr>
          <w:rFonts w:hint="eastAsia" w:hAnsi="宋体" w:eastAsia="宋体" w:cs="宋体"/>
          <w:b/>
          <w:color w:val="auto"/>
          <w:kern w:val="44"/>
          <w:sz w:val="36"/>
          <w:szCs w:val="36"/>
          <w:highlight w:val="none"/>
        </w:rPr>
        <w:t>目  录</w:t>
      </w:r>
    </w:p>
    <w:p>
      <w:pPr>
        <w:pStyle w:val="12"/>
        <w:snapToGrid w:val="0"/>
        <w:rPr>
          <w:rFonts w:hAnsi="宋体" w:eastAsia="宋体" w:cs="宋体"/>
          <w:color w:val="auto"/>
          <w:szCs w:val="28"/>
          <w:highlight w:val="none"/>
        </w:rPr>
      </w:pPr>
      <w:r>
        <w:rPr>
          <w:rFonts w:hint="eastAsia" w:hAnsi="宋体" w:eastAsia="宋体" w:cs="宋体"/>
          <w:color w:val="auto"/>
          <w:szCs w:val="28"/>
          <w:highlight w:val="none"/>
        </w:rPr>
        <w:t>第一章  竞争性磋商公告</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  磋商响应须知前附表</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第三章  磋商响应须知</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（二）竞争性磋商文件</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（三）磋商响应文件的编制</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（四）磋商响应文件的递交</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（五）评标、定标</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（六）磋商办法</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（七）合同的签订、履行及验收</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（八）质疑</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第四章  项目需求</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  磋商响应文件格式</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（一）资格、技术及商务部分</w:t>
      </w:r>
    </w:p>
    <w:p>
      <w:pP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（二）报价部分</w:t>
      </w:r>
    </w:p>
    <w:p>
      <w:pPr>
        <w:pStyle w:val="18"/>
        <w:wordWrap w:val="0"/>
        <w:snapToGrid w:val="0"/>
        <w:jc w:val="both"/>
        <w:rPr>
          <w:rFonts w:eastAsia="宋体" w:cs="宋体"/>
          <w:color w:val="auto"/>
          <w:sz w:val="28"/>
          <w:szCs w:val="28"/>
          <w:highlight w:val="none"/>
        </w:rPr>
      </w:pPr>
    </w:p>
    <w:p>
      <w:pPr>
        <w:pStyle w:val="18"/>
        <w:wordWrap w:val="0"/>
        <w:snapToGrid w:val="0"/>
        <w:jc w:val="both"/>
        <w:rPr>
          <w:rFonts w:eastAsia="宋体" w:cs="宋体"/>
          <w:color w:val="auto"/>
          <w:sz w:val="28"/>
          <w:szCs w:val="28"/>
          <w:highlight w:val="none"/>
        </w:rPr>
      </w:pPr>
    </w:p>
    <w:p>
      <w:pPr>
        <w:pStyle w:val="18"/>
        <w:wordWrap w:val="0"/>
        <w:snapToGrid w:val="0"/>
        <w:jc w:val="both"/>
        <w:rPr>
          <w:rFonts w:eastAsia="宋体" w:cs="宋体"/>
          <w:color w:val="auto"/>
          <w:sz w:val="28"/>
          <w:szCs w:val="28"/>
          <w:highlight w:val="none"/>
        </w:rPr>
      </w:pPr>
    </w:p>
    <w:p>
      <w:pPr>
        <w:pStyle w:val="18"/>
        <w:wordWrap w:val="0"/>
        <w:snapToGrid w:val="0"/>
        <w:jc w:val="both"/>
        <w:rPr>
          <w:rFonts w:eastAsia="宋体" w:cs="宋体"/>
          <w:color w:val="auto"/>
          <w:sz w:val="28"/>
          <w:szCs w:val="28"/>
          <w:highlight w:val="none"/>
        </w:rPr>
      </w:pPr>
    </w:p>
    <w:p>
      <w:pPr>
        <w:pStyle w:val="18"/>
        <w:wordWrap w:val="0"/>
        <w:snapToGrid w:val="0"/>
        <w:jc w:val="both"/>
        <w:rPr>
          <w:rFonts w:eastAsia="宋体" w:cs="宋体"/>
          <w:color w:val="auto"/>
          <w:sz w:val="28"/>
          <w:szCs w:val="28"/>
          <w:highlight w:val="none"/>
        </w:rPr>
      </w:pPr>
    </w:p>
    <w:p>
      <w:pPr>
        <w:pStyle w:val="18"/>
        <w:wordWrap w:val="0"/>
        <w:snapToGrid w:val="0"/>
        <w:jc w:val="both"/>
        <w:rPr>
          <w:rFonts w:eastAsia="宋体" w:cs="宋体"/>
          <w:color w:val="auto"/>
          <w:sz w:val="28"/>
          <w:szCs w:val="28"/>
          <w:highlight w:val="none"/>
        </w:rPr>
      </w:pPr>
    </w:p>
    <w:p>
      <w:pPr>
        <w:pStyle w:val="18"/>
        <w:wordWrap w:val="0"/>
        <w:snapToGrid w:val="0"/>
        <w:jc w:val="both"/>
        <w:rPr>
          <w:rFonts w:eastAsia="宋体" w:cs="宋体"/>
          <w:color w:val="auto"/>
          <w:sz w:val="28"/>
          <w:szCs w:val="28"/>
          <w:highlight w:val="none"/>
        </w:rPr>
      </w:pPr>
    </w:p>
    <w:p>
      <w:pPr>
        <w:pStyle w:val="6"/>
        <w:numPr>
          <w:ilvl w:val="0"/>
          <w:numId w:val="0"/>
        </w:numPr>
        <w:tabs>
          <w:tab w:val="left" w:pos="0"/>
          <w:tab w:val="left" w:pos="3165"/>
          <w:tab w:val="center" w:pos="4153"/>
        </w:tabs>
        <w:autoSpaceDE w:val="0"/>
        <w:autoSpaceDN w:val="0"/>
        <w:adjustRightInd w:val="0"/>
        <w:spacing w:before="0" w:after="0" w:line="360" w:lineRule="auto"/>
        <w:rPr>
          <w:rFonts w:ascii="方正小标宋简体" w:hAnsi="宋体" w:eastAsia="方正小标宋简体" w:cs="宋体"/>
          <w:color w:val="auto"/>
          <w:sz w:val="28"/>
          <w:szCs w:val="28"/>
          <w:highlight w:val="none"/>
        </w:rPr>
      </w:pPr>
      <w:bookmarkStart w:id="5" w:name="_Toc35393789"/>
      <w:bookmarkStart w:id="6" w:name="_Toc28359001"/>
      <w:r>
        <w:rPr>
          <w:rFonts w:hint="eastAsia" w:ascii="方正小标宋简体" w:hAnsi="宋体" w:eastAsia="方正小标宋简体" w:cs="宋体"/>
          <w:color w:val="auto"/>
          <w:sz w:val="28"/>
          <w:szCs w:val="28"/>
          <w:highlight w:val="none"/>
        </w:rPr>
        <w:t>高新区铜都大道（红星河至高新区污水处理厂段）污水主管一期工程设计项目竞争性磋商公告</w:t>
      </w:r>
      <w:bookmarkEnd w:id="5"/>
      <w:bookmarkEnd w:id="6"/>
    </w:p>
    <w:p>
      <w:pPr>
        <w:rPr>
          <w:rFonts w:ascii="宋体" w:hAnsi="宋体" w:eastAsia="宋体" w:cs="宋体"/>
          <w:color w:val="auto"/>
          <w:highlight w:val="none"/>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eastAsia="宋体" w:cs="宋体"/>
          <w:color w:val="auto"/>
          <w:sz w:val="24"/>
          <w:highlight w:val="none"/>
        </w:rPr>
      </w:pPr>
      <w:bookmarkStart w:id="7" w:name="_Hlk24379207"/>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u w:val="single"/>
        </w:rPr>
        <w:t>高新区铜都大道（红星河至高新区污水处理厂段）污水主管一期工程设计项目</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u w:val="single"/>
        </w:rPr>
        <w:t>铜官区政府网站</w:t>
      </w:r>
      <w:r>
        <w:rPr>
          <w:rFonts w:hint="eastAsia" w:ascii="宋体" w:hAnsi="宋体" w:eastAsia="宋体" w:cs="宋体"/>
          <w:color w:val="auto"/>
          <w:sz w:val="24"/>
          <w:highlight w:val="none"/>
        </w:rPr>
        <w:t>免费下载获取采购文件，并于投标文件递交截止时间</w:t>
      </w:r>
      <w:r>
        <w:rPr>
          <w:rFonts w:hint="eastAsia" w:ascii="宋体" w:hAnsi="宋体" w:eastAsia="宋体" w:cs="宋体"/>
          <w:color w:val="auto"/>
          <w:sz w:val="24"/>
          <w:highlight w:val="none"/>
        </w:rPr>
        <w:t>（2021年7月</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）前提交投标文件。</w:t>
      </w:r>
    </w:p>
    <w:p>
      <w:pPr>
        <w:spacing w:line="44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bookmarkEnd w:id="7"/>
    <w:p>
      <w:pPr>
        <w:widowControl/>
        <w:shd w:val="clear" w:color="auto" w:fill="FFFFFF"/>
        <w:snapToGrid w:val="0"/>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安徽金瑞安工程咨询有限公司受铜陵狮子山高新技术产业开发区管理委员会的委托，现对高新区铜都大道（红星河至高新区污水处理厂段）污水主管一期工程设计项目进行竞争性磋商，欢迎具备条件的国内投标人参加磋商。 </w:t>
      </w:r>
    </w:p>
    <w:p>
      <w:pPr>
        <w:widowControl/>
        <w:shd w:val="clear" w:color="auto" w:fill="FFFFFF"/>
        <w:snapToGrid w:val="0"/>
        <w:ind w:firstLine="643"/>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一、项目名称及内容</w:t>
      </w:r>
      <w:r>
        <w:rPr>
          <w:rFonts w:hint="eastAsia" w:ascii="宋体" w:hAnsi="宋体" w:eastAsia="宋体" w:cs="宋体"/>
          <w:color w:val="auto"/>
          <w:kern w:val="0"/>
          <w:sz w:val="24"/>
          <w:highlight w:val="none"/>
        </w:rPr>
        <w:t xml:space="preserve"> </w:t>
      </w:r>
    </w:p>
    <w:p>
      <w:pPr>
        <w:widowControl/>
        <w:shd w:val="clear" w:color="auto" w:fill="FFFFFF"/>
        <w:snapToGrid w:val="0"/>
        <w:ind w:firstLine="64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1．项目编号：</w:t>
      </w:r>
      <w:r>
        <w:rPr>
          <w:rFonts w:hint="eastAsia" w:ascii="宋体" w:hAnsi="宋体" w:eastAsia="宋体" w:cs="宋体"/>
          <w:color w:val="auto"/>
          <w:kern w:val="0"/>
          <w:sz w:val="24"/>
          <w:highlight w:val="none"/>
          <w:lang w:val="en-US" w:eastAsia="zh-CN"/>
        </w:rPr>
        <w:t>G21048</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2．项目名称：高新区铜都大道（红星河至高新区污水处理厂段）污水主管一期工程设计项目 </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3．项目单位：铜陵狮子山高新技术产业开发区管理委员会</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4．项目预算：40万元</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5．设计周期：总周期15日历天。 </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6．标段（包别）划分：一个标段 </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7．施工图设计深度：详见《工程设计深度规定（2016年版）》住建部-建质函【2016】247号文。</w:t>
      </w:r>
    </w:p>
    <w:p>
      <w:pPr>
        <w:snapToGrid w:val="0"/>
        <w:ind w:firstLine="720" w:firstLineChars="300"/>
        <w:rPr>
          <w:rFonts w:ascii="宋体" w:hAnsi="宋体" w:eastAsia="宋体" w:cs="宋体"/>
          <w:bCs/>
          <w:color w:val="auto"/>
          <w:kern w:val="0"/>
          <w:sz w:val="24"/>
          <w:highlight w:val="none"/>
          <w:lang w:val="zh-CN"/>
        </w:rPr>
      </w:pPr>
      <w:r>
        <w:rPr>
          <w:rFonts w:hint="eastAsia" w:ascii="宋体" w:hAnsi="宋体" w:eastAsia="宋体" w:cs="宋体"/>
          <w:color w:val="auto"/>
          <w:sz w:val="24"/>
          <w:highlight w:val="none"/>
        </w:rPr>
        <w:t>8．招标范围：本项目设计内容为铜陵市狮子山高新区铜都大道和沿江快速路以南、芜铜铁路以北、红星河以东围合片区内工业污水进行收集排放，工程主要建设内容为污水收集和提升至狮子山工业污水处理厂等。主要设计内容包括但不限于：方案、初步设计（含评审）、概算、及施工图设计；工程地质勘察；地形图测绘、测量及局部地下管线物探等招标人满足本项目所需要的设计内容。同时还包括：现场指导与监督、竣工验收及质量保修阶段的设计服务工作、现场服务与技术交底及满足招标人对该项目使用要求的配套项目、附属工程等该项目全部设计内容</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rPr>
        <w:t>详见项目需求。</w:t>
      </w:r>
    </w:p>
    <w:p>
      <w:pPr>
        <w:widowControl/>
        <w:shd w:val="clear" w:color="auto" w:fill="FFFFFF"/>
        <w:snapToGrid w:val="0"/>
        <w:ind w:firstLine="482" w:firstLineChars="200"/>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二、投标人资格</w:t>
      </w:r>
      <w:r>
        <w:rPr>
          <w:rFonts w:hint="eastAsia" w:ascii="宋体" w:hAnsi="宋体" w:eastAsia="宋体" w:cs="宋体"/>
          <w:color w:val="auto"/>
          <w:kern w:val="0"/>
          <w:sz w:val="24"/>
          <w:highlight w:val="none"/>
        </w:rPr>
        <w:t xml:space="preserve">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pPr>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2．企业资质：要求同时具有：①独立法人资格，②具有市政</w:t>
      </w:r>
      <w:r>
        <w:rPr>
          <w:rFonts w:ascii="宋体" w:hAnsi="宋体" w:eastAsia="宋体" w:cs="宋体"/>
          <w:color w:val="auto"/>
          <w:sz w:val="24"/>
          <w:highlight w:val="none"/>
        </w:rPr>
        <w:t>行业（</w:t>
      </w:r>
      <w:r>
        <w:rPr>
          <w:rFonts w:hint="eastAsia" w:ascii="宋体" w:hAnsi="宋体" w:eastAsia="宋体" w:cs="宋体"/>
          <w:color w:val="auto"/>
          <w:sz w:val="24"/>
          <w:highlight w:val="none"/>
        </w:rPr>
        <w:t>市政工程</w:t>
      </w:r>
      <w:r>
        <w:rPr>
          <w:rFonts w:ascii="宋体" w:hAnsi="宋体" w:eastAsia="宋体" w:cs="宋体"/>
          <w:color w:val="auto"/>
          <w:sz w:val="24"/>
          <w:highlight w:val="none"/>
        </w:rPr>
        <w:t>）设计乙级（含）以上资质；</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磋商单位拟派的项目负责人须具备具有市政行业相关专业中级及以上职称（项目负责人必须是本单位人员；该负责人为投标单位唯一指定，并自始至终负责本工程的设计、报建、审图及后期服务，投标单位不得提出两名或两名以上的项目负责人，不得由其他人代理中标项目负责人的工作，中标单位项目负责人不得在其单位内转包、分包，投标时须提供开标前半年内在投标单位连续三个月的社保缴纳证明）；</w:t>
      </w:r>
    </w:p>
    <w:p>
      <w:pPr>
        <w:widowControl/>
        <w:shd w:val="clear" w:color="auto" w:fill="FFFFFF"/>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4．投标人存在以下不良信用记录情形之一的，不得推荐为成交候选人，不得确定为成交的服务单位：</w:t>
      </w:r>
    </w:p>
    <w:p>
      <w:pPr>
        <w:widowControl/>
        <w:shd w:val="clear" w:color="auto" w:fill="FFFFFF"/>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(1）投标人被人民法院列入失信被执行人的；</w:t>
      </w:r>
    </w:p>
    <w:p>
      <w:pPr>
        <w:widowControl/>
        <w:shd w:val="clear" w:color="auto" w:fill="FFFFFF"/>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(2）投标人或其法定代表人或拟派项目经理（项目负责人）近三年内被人民检察院列入行贿犯罪档案的；</w:t>
      </w:r>
    </w:p>
    <w:p>
      <w:pPr>
        <w:widowControl/>
        <w:shd w:val="clear" w:color="auto" w:fill="FFFFFF"/>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(3）投标人被市场监管部门列入企业经营异常名录的；</w:t>
      </w:r>
    </w:p>
    <w:p>
      <w:pPr>
        <w:widowControl/>
        <w:shd w:val="clear" w:color="auto" w:fill="FFFFFF"/>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(4）投标人被税务部门列入重大税收违法案件当事人名单的；</w:t>
      </w:r>
    </w:p>
    <w:p>
      <w:pPr>
        <w:widowControl/>
        <w:shd w:val="clear" w:color="auto" w:fill="FFFFFF"/>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(5）投标人被政府采购监管部门列入政府采购严重违法失信行为记录名单的。</w:t>
      </w:r>
    </w:p>
    <w:p>
      <w:pPr>
        <w:widowControl/>
        <w:shd w:val="clear" w:color="auto" w:fill="FFFFFF"/>
        <w:snapToGrid w:val="0"/>
        <w:ind w:firstLine="643"/>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三、报名及磋商文件获取办法 </w:t>
      </w:r>
    </w:p>
    <w:p>
      <w:pPr>
        <w:widowControl/>
        <w:shd w:val="clear" w:color="auto" w:fill="FFFFFF"/>
        <w:snapToGrid w:val="0"/>
        <w:ind w:firstLine="64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磋商文件发售时间：起始为公告挂网时间，终止为开标时间。</w:t>
      </w:r>
    </w:p>
    <w:p>
      <w:pPr>
        <w:widowControl/>
        <w:shd w:val="clear" w:color="auto" w:fill="FFFFFF"/>
        <w:snapToGrid w:val="0"/>
        <w:ind w:firstLine="64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磋商文件价格：无。</w:t>
      </w:r>
    </w:p>
    <w:p>
      <w:pPr>
        <w:widowControl/>
        <w:shd w:val="clear" w:color="auto" w:fill="FFFFFF"/>
        <w:snapToGrid w:val="0"/>
        <w:ind w:firstLine="64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报名方式：不需要现场报名，磋商文件在铜官区政府网自行下载。磋商文件如有修正，将在网站以“变更公告”的形式公布，对所有投标人具有约束力。</w:t>
      </w:r>
    </w:p>
    <w:p>
      <w:pPr>
        <w:widowControl/>
        <w:shd w:val="clear" w:color="auto" w:fill="FFFFFF"/>
        <w:snapToGrid w:val="0"/>
        <w:ind w:firstLine="643"/>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四、磋商时间及地点</w:t>
      </w:r>
      <w:r>
        <w:rPr>
          <w:rFonts w:hint="eastAsia" w:ascii="宋体" w:hAnsi="宋体" w:eastAsia="宋体" w:cs="宋体"/>
          <w:color w:val="auto"/>
          <w:kern w:val="0"/>
          <w:sz w:val="24"/>
          <w:highlight w:val="none"/>
        </w:rPr>
        <w:t xml:space="preserve"> </w:t>
      </w:r>
    </w:p>
    <w:p>
      <w:pPr>
        <w:widowControl/>
        <w:shd w:val="clear" w:color="auto" w:fill="FFFFFF"/>
        <w:snapToGrid w:val="0"/>
        <w:ind w:firstLine="64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磋商时间：2021年7月</w:t>
      </w:r>
      <w:r>
        <w:rPr>
          <w:rFonts w:hint="eastAsia" w:ascii="宋体" w:hAnsi="宋体" w:eastAsia="宋体" w:cs="宋体"/>
          <w:b/>
          <w:bCs/>
          <w:color w:val="auto"/>
          <w:kern w:val="0"/>
          <w:sz w:val="24"/>
          <w:highlight w:val="none"/>
          <w:lang w:val="en-US" w:eastAsia="zh-CN"/>
        </w:rPr>
        <w:t>27</w:t>
      </w:r>
      <w:r>
        <w:rPr>
          <w:rFonts w:hint="eastAsia" w:ascii="宋体" w:hAnsi="宋体" w:eastAsia="宋体" w:cs="宋体"/>
          <w:b/>
          <w:bCs/>
          <w:color w:val="auto"/>
          <w:kern w:val="0"/>
          <w:sz w:val="24"/>
          <w:highlight w:val="none"/>
        </w:rPr>
        <w:t>日</w:t>
      </w:r>
      <w:r>
        <w:rPr>
          <w:rFonts w:hint="eastAsia" w:ascii="宋体" w:hAnsi="宋体" w:eastAsia="宋体" w:cs="宋体"/>
          <w:b/>
          <w:bCs/>
          <w:color w:val="auto"/>
          <w:kern w:val="0"/>
          <w:sz w:val="24"/>
          <w:highlight w:val="none"/>
          <w:lang w:val="en-US" w:eastAsia="zh-CN"/>
        </w:rPr>
        <w:t>09</w:t>
      </w:r>
      <w:r>
        <w:rPr>
          <w:rFonts w:hint="eastAsia" w:ascii="宋体" w:hAnsi="宋体" w:eastAsia="宋体" w:cs="宋体"/>
          <w:b/>
          <w:bCs/>
          <w:color w:val="auto"/>
          <w:kern w:val="0"/>
          <w:sz w:val="24"/>
          <w:highlight w:val="none"/>
        </w:rPr>
        <w:t>时</w:t>
      </w:r>
      <w:r>
        <w:rPr>
          <w:rFonts w:hint="eastAsia" w:ascii="宋体" w:hAnsi="宋体" w:eastAsia="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分</w:t>
      </w:r>
    </w:p>
    <w:p>
      <w:pPr>
        <w:widowControl/>
        <w:shd w:val="clear" w:color="auto" w:fill="FFFFFF"/>
        <w:snapToGrid w:val="0"/>
        <w:ind w:firstLine="64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bookmarkStart w:id="32" w:name="_GoBack"/>
      <w:bookmarkEnd w:id="32"/>
      <w:r>
        <w:rPr>
          <w:rFonts w:hint="eastAsia" w:ascii="宋体" w:hAnsi="宋体" w:eastAsia="宋体" w:cs="宋体"/>
          <w:color w:val="auto"/>
          <w:kern w:val="0"/>
          <w:sz w:val="24"/>
          <w:highlight w:val="none"/>
        </w:rPr>
        <w:t>磋商地点：铜陵市铜官区公共服务中心（铜陵市淮河大道北段111号（华安证券淮河大道营业部对面）二楼开标室</w:t>
      </w:r>
    </w:p>
    <w:p>
      <w:pPr>
        <w:widowControl/>
        <w:shd w:val="clear" w:color="auto" w:fill="FFFFFF"/>
        <w:snapToGrid w:val="0"/>
        <w:ind w:firstLine="643"/>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五、响应文件提交截止时间</w:t>
      </w:r>
      <w:r>
        <w:rPr>
          <w:rFonts w:hint="eastAsia" w:ascii="宋体" w:hAnsi="宋体" w:eastAsia="宋体" w:cs="宋体"/>
          <w:color w:val="auto"/>
          <w:kern w:val="0"/>
          <w:sz w:val="24"/>
          <w:highlight w:val="none"/>
        </w:rPr>
        <w:t xml:space="preserve"> </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同磋商时间 </w:t>
      </w:r>
    </w:p>
    <w:p>
      <w:pPr>
        <w:widowControl/>
        <w:shd w:val="clear" w:color="auto" w:fill="FFFFFF"/>
        <w:snapToGrid w:val="0"/>
        <w:ind w:firstLine="643"/>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六：联系方法</w:t>
      </w:r>
      <w:r>
        <w:rPr>
          <w:rFonts w:hint="eastAsia" w:ascii="宋体" w:hAnsi="宋体" w:eastAsia="宋体" w:cs="宋体"/>
          <w:color w:val="auto"/>
          <w:kern w:val="0"/>
          <w:sz w:val="24"/>
          <w:highlight w:val="none"/>
        </w:rPr>
        <w:t xml:space="preserve"> </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（一）项目单位：铜陵狮子山高新技术产业开发区管理委员会</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联系人：钱工</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rPr>
        <w:t>0562-6865015</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（二）招标代理机构：安徽金瑞安工程咨询有限公司  </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联系人： 任工</w:t>
      </w:r>
    </w:p>
    <w:p>
      <w:pPr>
        <w:widowControl/>
        <w:shd w:val="clear" w:color="auto" w:fill="FFFFFF"/>
        <w:snapToGrid w:val="0"/>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电话：15555112133</w:t>
      </w:r>
    </w:p>
    <w:p>
      <w:pPr>
        <w:widowControl/>
        <w:shd w:val="clear" w:color="auto" w:fill="FFFFFF"/>
        <w:snapToGrid w:val="0"/>
        <w:ind w:firstLine="643"/>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七、磋商保证金缴纳账户 </w:t>
      </w:r>
    </w:p>
    <w:p>
      <w:pPr>
        <w:pStyle w:val="7"/>
        <w:snapToGrid w:val="0"/>
        <w:spacing w:before="0" w:after="0" w:line="360" w:lineRule="auto"/>
        <w:ind w:firstLine="720" w:firstLineChars="300"/>
        <w:jc w:val="center"/>
        <w:rPr>
          <w:rFonts w:ascii="宋体" w:hAnsi="宋体" w:eastAsia="宋体" w:cs="宋体"/>
          <w:color w:val="auto"/>
          <w:sz w:val="28"/>
          <w:szCs w:val="28"/>
          <w:highlight w:val="none"/>
        </w:rPr>
      </w:pPr>
      <w:r>
        <w:rPr>
          <w:rFonts w:hint="eastAsia" w:ascii="宋体" w:hAnsi="宋体" w:eastAsia="宋体" w:cs="宋体"/>
          <w:b w:val="0"/>
          <w:bCs w:val="0"/>
          <w:color w:val="auto"/>
          <w:kern w:val="0"/>
          <w:sz w:val="24"/>
          <w:szCs w:val="24"/>
          <w:highlight w:val="none"/>
        </w:rPr>
        <w:t>无</w:t>
      </w: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第二章 磋商响应须知前附表</w:t>
      </w:r>
    </w:p>
    <w:tbl>
      <w:tblPr>
        <w:tblStyle w:val="15"/>
        <w:tblW w:w="10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4"/>
        <w:gridCol w:w="2920"/>
        <w:gridCol w:w="6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804" w:type="dxa"/>
            <w:tcMar>
              <w:left w:w="113" w:type="dxa"/>
              <w:right w:w="113" w:type="dxa"/>
            </w:tcMar>
            <w:vAlign w:val="center"/>
          </w:tcPr>
          <w:p>
            <w:pPr>
              <w:pStyle w:val="19"/>
              <w:adjustRightInd/>
              <w:snapToGrid w:val="0"/>
              <w:jc w:val="center"/>
              <w:rPr>
                <w:rFonts w:eastAsia="宋体"/>
                <w:b/>
                <w:bCs/>
                <w:color w:val="auto"/>
                <w:highlight w:val="none"/>
                <w:lang w:val="zh-CN"/>
              </w:rPr>
            </w:pPr>
            <w:r>
              <w:rPr>
                <w:rFonts w:hint="eastAsia" w:eastAsia="宋体"/>
                <w:b/>
                <w:bCs/>
                <w:color w:val="auto"/>
                <w:highlight w:val="none"/>
                <w:lang w:val="zh-CN"/>
              </w:rPr>
              <w:t>序号</w:t>
            </w:r>
          </w:p>
        </w:tc>
        <w:tc>
          <w:tcPr>
            <w:tcW w:w="2920" w:type="dxa"/>
            <w:tcMar>
              <w:left w:w="113" w:type="dxa"/>
              <w:right w:w="113" w:type="dxa"/>
            </w:tcMar>
            <w:vAlign w:val="center"/>
          </w:tcPr>
          <w:p>
            <w:pPr>
              <w:pStyle w:val="19"/>
              <w:wordWrap w:val="0"/>
              <w:adjustRightInd/>
              <w:snapToGrid w:val="0"/>
              <w:jc w:val="center"/>
              <w:rPr>
                <w:rFonts w:eastAsia="宋体"/>
                <w:b/>
                <w:bCs/>
                <w:color w:val="auto"/>
                <w:highlight w:val="none"/>
                <w:lang w:val="zh-CN"/>
              </w:rPr>
            </w:pPr>
            <w:r>
              <w:rPr>
                <w:rFonts w:hint="eastAsia" w:eastAsia="宋体"/>
                <w:b/>
                <w:bCs/>
                <w:color w:val="auto"/>
                <w:highlight w:val="none"/>
                <w:lang w:val="zh-CN"/>
              </w:rPr>
              <w:t>条款名称</w:t>
            </w:r>
          </w:p>
        </w:tc>
        <w:tc>
          <w:tcPr>
            <w:tcW w:w="6576" w:type="dxa"/>
            <w:tcMar>
              <w:left w:w="113" w:type="dxa"/>
              <w:right w:w="113" w:type="dxa"/>
            </w:tcMar>
            <w:vAlign w:val="center"/>
          </w:tcPr>
          <w:p>
            <w:pPr>
              <w:pStyle w:val="19"/>
              <w:wordWrap w:val="0"/>
              <w:adjustRightInd/>
              <w:snapToGrid w:val="0"/>
              <w:jc w:val="center"/>
              <w:rPr>
                <w:rFonts w:eastAsia="宋体"/>
                <w:b/>
                <w:bCs/>
                <w:color w:val="auto"/>
                <w:highlight w:val="none"/>
                <w:lang w:val="zh-CN"/>
              </w:rPr>
            </w:pPr>
            <w:r>
              <w:rPr>
                <w:rFonts w:hint="eastAsia" w:eastAsia="宋体"/>
                <w:b/>
                <w:bCs/>
                <w:color w:val="auto"/>
                <w:highlight w:val="none"/>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adjustRightInd/>
              <w:snapToGrid w:val="0"/>
              <w:ind w:firstLine="240" w:firstLineChars="100"/>
              <w:rPr>
                <w:rFonts w:eastAsia="宋体"/>
                <w:color w:val="auto"/>
                <w:highlight w:val="none"/>
                <w:lang w:val="zh-CN"/>
              </w:rPr>
            </w:pPr>
            <w:r>
              <w:rPr>
                <w:rFonts w:hint="eastAsia" w:eastAsia="宋体"/>
                <w:color w:val="auto"/>
                <w:highlight w:val="none"/>
              </w:rPr>
              <w:t>1</w:t>
            </w:r>
          </w:p>
        </w:tc>
        <w:tc>
          <w:tcPr>
            <w:tcW w:w="2920" w:type="dxa"/>
            <w:tcMar>
              <w:left w:w="113" w:type="dxa"/>
              <w:right w:w="113" w:type="dxa"/>
            </w:tcMar>
            <w:vAlign w:val="center"/>
          </w:tcPr>
          <w:p>
            <w:pPr>
              <w:pStyle w:val="19"/>
              <w:adjustRightInd/>
              <w:snapToGrid w:val="0"/>
              <w:jc w:val="center"/>
              <w:rPr>
                <w:rFonts w:eastAsia="宋体"/>
                <w:color w:val="auto"/>
                <w:highlight w:val="none"/>
                <w:lang w:val="zh-CN"/>
              </w:rPr>
            </w:pPr>
            <w:r>
              <w:rPr>
                <w:rFonts w:hint="eastAsia" w:eastAsia="宋体"/>
                <w:color w:val="auto"/>
                <w:highlight w:val="none"/>
              </w:rPr>
              <w:t>设计服务费招标控制单价</w:t>
            </w:r>
          </w:p>
        </w:tc>
        <w:tc>
          <w:tcPr>
            <w:tcW w:w="6576" w:type="dxa"/>
            <w:tcMar>
              <w:left w:w="113" w:type="dxa"/>
              <w:right w:w="113" w:type="dxa"/>
            </w:tcMar>
            <w:vAlign w:val="center"/>
          </w:tcPr>
          <w:p>
            <w:pPr>
              <w:pStyle w:val="19"/>
              <w:wordWrap w:val="0"/>
              <w:adjustRightInd/>
              <w:snapToGrid w:val="0"/>
              <w:rPr>
                <w:rFonts w:eastAsia="宋体"/>
                <w:color w:val="auto"/>
                <w:highlight w:val="none"/>
              </w:rPr>
            </w:pPr>
            <w:r>
              <w:rPr>
                <w:rFonts w:hint="eastAsia" w:eastAsia="宋体"/>
                <w:color w:val="auto"/>
                <w:highlight w:val="none"/>
              </w:rPr>
              <w:t>40万</w:t>
            </w:r>
            <w:r>
              <w:rPr>
                <w:rFonts w:hint="eastAsia" w:eastAsia="宋体"/>
                <w:color w:val="auto"/>
                <w:highlight w:val="none"/>
              </w:rPr>
              <w:t>（含税，图纸审查费用包含在投标报价中）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2</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服务单位资格要求</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rPr>
              <w:t>见竞争性磋商公告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3</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采购方式</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4</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评标方法</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5</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服务期</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总设计周期为</w:t>
            </w:r>
            <w:r>
              <w:rPr>
                <w:rFonts w:hint="eastAsia" w:eastAsia="宋体"/>
                <w:color w:val="auto"/>
                <w:highlight w:val="none"/>
              </w:rPr>
              <w:t>15日历天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6</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是否接受联合体磋商响应</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7</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是否接受分包履约</w:t>
            </w:r>
          </w:p>
        </w:tc>
        <w:tc>
          <w:tcPr>
            <w:tcW w:w="6576" w:type="dxa"/>
            <w:tcMar>
              <w:left w:w="113" w:type="dxa"/>
              <w:right w:w="113" w:type="dxa"/>
            </w:tcMar>
            <w:vAlign w:val="center"/>
          </w:tcPr>
          <w:p>
            <w:pPr>
              <w:pStyle w:val="19"/>
              <w:wordWrap w:val="0"/>
              <w:adjustRightInd/>
              <w:snapToGrid w:val="0"/>
              <w:rPr>
                <w:rFonts w:eastAsia="宋体"/>
                <w:b/>
                <w:color w:val="auto"/>
                <w:highlight w:val="none"/>
              </w:rPr>
            </w:pPr>
            <w:r>
              <w:rPr>
                <w:rFonts w:hint="eastAsia" w:eastAsia="宋体"/>
                <w:color w:val="auto"/>
                <w:highlight w:val="none"/>
                <w:lang w:val="zh-CN"/>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8</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rPr>
              <w:t>标段划分</w:t>
            </w:r>
          </w:p>
        </w:tc>
        <w:tc>
          <w:tcPr>
            <w:tcW w:w="6576" w:type="dxa"/>
            <w:tcMar>
              <w:left w:w="113" w:type="dxa"/>
              <w:right w:w="113" w:type="dxa"/>
            </w:tcMar>
            <w:vAlign w:val="center"/>
          </w:tcPr>
          <w:p>
            <w:pPr>
              <w:pStyle w:val="19"/>
              <w:adjustRightInd/>
              <w:snapToGrid w:val="0"/>
              <w:rPr>
                <w:rFonts w:eastAsia="宋体"/>
                <w:color w:val="auto"/>
                <w:highlight w:val="none"/>
              </w:rPr>
            </w:pPr>
            <w:r>
              <w:rPr>
                <w:rFonts w:hint="eastAsia" w:eastAsia="宋体"/>
                <w:color w:val="auto"/>
                <w:highlight w:val="none"/>
              </w:rPr>
              <w:t>本项目分为一个标段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9</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rPr>
              <w:t>成交候选人的推荐</w:t>
            </w:r>
          </w:p>
        </w:tc>
        <w:tc>
          <w:tcPr>
            <w:tcW w:w="6576" w:type="dxa"/>
            <w:tcMar>
              <w:left w:w="113" w:type="dxa"/>
              <w:right w:w="113" w:type="dxa"/>
            </w:tcMar>
            <w:vAlign w:val="center"/>
          </w:tcPr>
          <w:p>
            <w:pPr>
              <w:pStyle w:val="19"/>
              <w:adjustRightInd/>
              <w:snapToGrid w:val="0"/>
              <w:rPr>
                <w:rFonts w:eastAsia="宋体"/>
                <w:color w:val="auto"/>
                <w:highlight w:val="none"/>
              </w:rPr>
            </w:pPr>
            <w:r>
              <w:rPr>
                <w:rFonts w:hint="eastAsia" w:eastAsia="宋体"/>
                <w:b/>
                <w:color w:val="auto"/>
                <w:highlight w:val="none"/>
              </w:rPr>
              <w:t>磋商小组依据磋商文件规定的评标标准和方法，对合格磋商响应文件分别进行评审和比较，结合信用查询情况，按顺序推荐出有排序的</w:t>
            </w:r>
            <w:r>
              <w:rPr>
                <w:rFonts w:hint="eastAsia" w:eastAsia="宋体"/>
                <w:b/>
                <w:color w:val="auto"/>
                <w:highlight w:val="none"/>
                <w:u w:val="single"/>
              </w:rPr>
              <w:t xml:space="preserve"> 1 </w:t>
            </w:r>
            <w:r>
              <w:rPr>
                <w:rFonts w:hint="eastAsia" w:eastAsia="宋体"/>
                <w:b/>
                <w:color w:val="auto"/>
                <w:highlight w:val="none"/>
              </w:rPr>
              <w:t>名成交候选人。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rPr>
            </w:pPr>
            <w:r>
              <w:rPr>
                <w:rFonts w:hint="eastAsia" w:eastAsia="宋体"/>
                <w:color w:val="auto"/>
                <w:highlight w:val="none"/>
              </w:rPr>
              <w:t>10</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rPr>
            </w:pPr>
            <w:r>
              <w:rPr>
                <w:rFonts w:hint="eastAsia" w:eastAsia="宋体"/>
                <w:color w:val="auto"/>
                <w:highlight w:val="none"/>
              </w:rPr>
              <w:t>磋商响应保证金</w:t>
            </w:r>
          </w:p>
        </w:tc>
        <w:tc>
          <w:tcPr>
            <w:tcW w:w="6576" w:type="dxa"/>
            <w:tcMar>
              <w:left w:w="113" w:type="dxa"/>
              <w:right w:w="113" w:type="dxa"/>
            </w:tcMar>
            <w:vAlign w:val="center"/>
          </w:tcPr>
          <w:p>
            <w:pPr>
              <w:pStyle w:val="19"/>
              <w:adjustRightInd/>
              <w:snapToGrid w:val="0"/>
              <w:rPr>
                <w:rFonts w:eastAsia="宋体"/>
                <w:color w:val="auto"/>
                <w:highlight w:val="none"/>
              </w:rPr>
            </w:pPr>
            <w:r>
              <w:rPr>
                <w:rFonts w:hint="eastAsia" w:eastAsia="宋体"/>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rPr>
            </w:pPr>
            <w:r>
              <w:rPr>
                <w:rFonts w:hint="eastAsia" w:eastAsia="宋体"/>
                <w:color w:val="auto"/>
                <w:highlight w:val="none"/>
              </w:rPr>
              <w:t>11</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rPr>
            </w:pPr>
            <w:r>
              <w:rPr>
                <w:rFonts w:hint="eastAsia" w:eastAsia="宋体"/>
                <w:color w:val="auto"/>
                <w:highlight w:val="none"/>
              </w:rPr>
              <w:t>履约保证金</w:t>
            </w:r>
          </w:p>
        </w:tc>
        <w:tc>
          <w:tcPr>
            <w:tcW w:w="6576" w:type="dxa"/>
            <w:tcMar>
              <w:left w:w="113" w:type="dxa"/>
              <w:right w:w="113" w:type="dxa"/>
            </w:tcMar>
            <w:vAlign w:val="center"/>
          </w:tcPr>
          <w:p>
            <w:pPr>
              <w:pStyle w:val="19"/>
              <w:adjustRightInd/>
              <w:snapToGrid w:val="0"/>
              <w:rPr>
                <w:rFonts w:eastAsia="宋体"/>
                <w:color w:val="auto"/>
                <w:highlight w:val="none"/>
                <w:lang w:val="zh-CN"/>
              </w:rPr>
            </w:pPr>
            <w:r>
              <w:rPr>
                <w:rFonts w:hint="eastAsia" w:eastAsia="宋体"/>
                <w:color w:val="auto"/>
                <w:highlight w:val="none"/>
                <w:lang w:val="zh-CN"/>
              </w:rPr>
              <w:t>履约保证金金额：合同价款的</w:t>
            </w:r>
            <w:r>
              <w:rPr>
                <w:rFonts w:hint="eastAsia" w:eastAsia="宋体"/>
                <w:color w:val="auto"/>
                <w:highlight w:val="none"/>
              </w:rPr>
              <w:t>2</w:t>
            </w:r>
            <w:r>
              <w:rPr>
                <w:rFonts w:hint="eastAsia" w:eastAsia="宋体"/>
                <w:color w:val="auto"/>
                <w:highlight w:val="none"/>
              </w:rPr>
              <w:t>%</w:t>
            </w:r>
            <w:r>
              <w:rPr>
                <w:rFonts w:hint="eastAsia" w:eastAsia="宋体"/>
                <w:color w:val="auto"/>
                <w:highlight w:val="none"/>
                <w:lang w:val="zh-CN"/>
              </w:rPr>
              <w:t>。</w:t>
            </w:r>
          </w:p>
          <w:p>
            <w:pPr>
              <w:pStyle w:val="19"/>
              <w:adjustRightInd/>
              <w:snapToGrid w:val="0"/>
              <w:rPr>
                <w:rFonts w:eastAsia="宋体"/>
                <w:color w:val="auto"/>
                <w:highlight w:val="none"/>
              </w:rPr>
            </w:pPr>
            <w:r>
              <w:rPr>
                <w:rFonts w:hint="eastAsia" w:eastAsia="宋体"/>
                <w:color w:val="auto"/>
                <w:highlight w:val="none"/>
                <w:lang w:val="zh-CN"/>
              </w:rPr>
              <w:t>履约保证金的缴纳：中标人在中标通知书发出后5个工作日内向采购人一次性支付履约保证金。（中标人可以以现金、支票、汇票、本票或者金融机构、担保机构出具的保函、保险等非现金形式提交。）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lang w:val="zh-CN"/>
              </w:rPr>
              <w:t>12</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rPr>
            </w:pPr>
            <w:r>
              <w:rPr>
                <w:rFonts w:hint="eastAsia" w:eastAsia="宋体"/>
                <w:color w:val="auto"/>
                <w:highlight w:val="none"/>
              </w:rPr>
              <w:t>勘察现场的要求</w:t>
            </w:r>
          </w:p>
        </w:tc>
        <w:tc>
          <w:tcPr>
            <w:tcW w:w="6576" w:type="dxa"/>
            <w:tcMar>
              <w:left w:w="113" w:type="dxa"/>
              <w:right w:w="113" w:type="dxa"/>
            </w:tcMar>
            <w:vAlign w:val="center"/>
          </w:tcPr>
          <w:p>
            <w:pPr>
              <w:pStyle w:val="19"/>
              <w:adjustRightInd/>
              <w:snapToGrid w:val="0"/>
              <w:rPr>
                <w:rFonts w:eastAsia="宋体"/>
                <w:color w:val="auto"/>
                <w:highlight w:val="none"/>
              </w:rPr>
            </w:pPr>
            <w:r>
              <w:rPr>
                <w:rFonts w:hint="eastAsia" w:eastAsia="宋体"/>
                <w:color w:val="auto"/>
                <w:highlight w:val="none"/>
              </w:rPr>
              <w:t>投标人应自行对现场和周围环境进行勘察，以获取编制磋商响应文件和签署合同所需的资料。</w:t>
            </w:r>
          </w:p>
          <w:p>
            <w:pPr>
              <w:pStyle w:val="19"/>
              <w:adjustRightInd/>
              <w:snapToGrid w:val="0"/>
              <w:rPr>
                <w:rFonts w:eastAsia="宋体"/>
                <w:color w:val="auto"/>
                <w:highlight w:val="none"/>
              </w:rPr>
            </w:pPr>
            <w:r>
              <w:rPr>
                <w:rFonts w:hint="eastAsia" w:eastAsia="宋体"/>
                <w:color w:val="auto"/>
                <w:highlight w:val="none"/>
              </w:rPr>
              <w:t>勘察现场的地址为：</w:t>
            </w:r>
            <w:r>
              <w:rPr>
                <w:rFonts w:hint="eastAsia" w:eastAsia="宋体"/>
                <w:color w:val="auto"/>
                <w:highlight w:val="none"/>
                <w:lang w:val="zh-CN"/>
              </w:rPr>
              <w:t>铜陵市铜官区</w:t>
            </w:r>
          </w:p>
          <w:p>
            <w:pPr>
              <w:pStyle w:val="19"/>
              <w:adjustRightInd/>
              <w:snapToGrid w:val="0"/>
              <w:rPr>
                <w:rFonts w:eastAsia="宋体"/>
                <w:color w:val="auto"/>
                <w:highlight w:val="none"/>
              </w:rPr>
            </w:pPr>
            <w:r>
              <w:rPr>
                <w:rFonts w:hint="eastAsia" w:eastAsia="宋体"/>
                <w:color w:val="auto"/>
                <w:highlight w:val="none"/>
                <w:lang w:val="zh-CN"/>
              </w:rPr>
              <w:t>联系人：</w:t>
            </w:r>
            <w:r>
              <w:rPr>
                <w:rFonts w:hint="eastAsia" w:eastAsia="宋体"/>
                <w:color w:val="auto"/>
                <w:highlight w:val="none"/>
              </w:rPr>
              <w:t>任工</w:t>
            </w:r>
          </w:p>
          <w:p>
            <w:pPr>
              <w:pStyle w:val="19"/>
              <w:adjustRightInd/>
              <w:snapToGrid w:val="0"/>
              <w:rPr>
                <w:rFonts w:eastAsia="宋体"/>
                <w:color w:val="auto"/>
                <w:highlight w:val="none"/>
              </w:rPr>
            </w:pPr>
            <w:r>
              <w:rPr>
                <w:rFonts w:hint="eastAsia" w:eastAsia="宋体"/>
                <w:color w:val="auto"/>
                <w:highlight w:val="none"/>
                <w:lang w:val="zh-CN"/>
              </w:rPr>
              <w:t>联系电话：</w:t>
            </w:r>
            <w:r>
              <w:rPr>
                <w:rFonts w:hint="eastAsia" w:eastAsia="宋体"/>
                <w:color w:val="auto"/>
                <w:highlight w:val="none"/>
              </w:rPr>
              <w:t>15555112133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13</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构成竞争性磋商文件的其他文件</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竞争性磋商文件的澄清</w:t>
            </w:r>
            <w:r>
              <w:rPr>
                <w:rFonts w:hint="eastAsia" w:eastAsia="宋体"/>
                <w:color w:val="auto"/>
                <w:highlight w:val="none"/>
              </w:rPr>
              <w:t>、修改书及有关补充通知为竞争性磋商文件的有效组成部分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14</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磋商响应有效期</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rPr>
              <w:t>开标后三个月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lang w:val="zh-CN"/>
              </w:rPr>
              <w:t>1</w:t>
            </w:r>
            <w:r>
              <w:rPr>
                <w:rFonts w:hint="eastAsia" w:eastAsia="宋体"/>
                <w:color w:val="auto"/>
                <w:highlight w:val="none"/>
              </w:rPr>
              <w:t>5</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付款方式</w:t>
            </w:r>
          </w:p>
        </w:tc>
        <w:tc>
          <w:tcPr>
            <w:tcW w:w="6576" w:type="dxa"/>
            <w:tcMar>
              <w:left w:w="113" w:type="dxa"/>
              <w:right w:w="113" w:type="dxa"/>
            </w:tcMar>
            <w:vAlign w:val="center"/>
          </w:tcPr>
          <w:p>
            <w:pPr>
              <w:snapToGrid w:val="0"/>
              <w:rPr>
                <w:rFonts w:ascii="宋体" w:hAnsi="宋体" w:eastAsia="宋体" w:cs="宋体"/>
                <w:color w:val="auto"/>
                <w:highlight w:val="none"/>
              </w:rPr>
            </w:pPr>
            <w:r>
              <w:rPr>
                <w:rFonts w:hint="eastAsia" w:ascii="宋体" w:hAnsi="宋体" w:eastAsia="宋体" w:cs="宋体"/>
                <w:color w:val="auto"/>
                <w:kern w:val="0"/>
                <w:sz w:val="24"/>
                <w:highlight w:val="none"/>
                <w:lang w:val="zh-CN"/>
              </w:rPr>
              <w:t>合同签订后，施工图设计完成</w:t>
            </w:r>
            <w:r>
              <w:rPr>
                <w:rFonts w:hint="eastAsia" w:ascii="宋体" w:hAnsi="宋体" w:eastAsia="宋体" w:cs="宋体"/>
                <w:color w:val="auto"/>
                <w:kern w:val="0"/>
                <w:sz w:val="24"/>
                <w:highlight w:val="none"/>
              </w:rPr>
              <w:t>提交成果文件</w:t>
            </w:r>
            <w:r>
              <w:rPr>
                <w:rFonts w:hint="eastAsia" w:ascii="宋体" w:hAnsi="宋体" w:eastAsia="宋体" w:cs="宋体"/>
                <w:color w:val="auto"/>
                <w:kern w:val="0"/>
                <w:sz w:val="24"/>
                <w:highlight w:val="none"/>
                <w:lang w:val="zh-CN"/>
              </w:rPr>
              <w:t>并通过审查后，支付至中标设计费的</w:t>
            </w: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val="zh-CN"/>
              </w:rPr>
              <w:t>0%。剩余</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0%在项目竣工后一个月内支付（一次性无息付清）。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rPr>
            </w:pPr>
            <w:r>
              <w:rPr>
                <w:rFonts w:hint="eastAsia" w:eastAsia="宋体"/>
                <w:color w:val="auto"/>
                <w:highlight w:val="none"/>
              </w:rPr>
              <w:t>16</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项目实施地点</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lang w:val="zh-CN"/>
              </w:rPr>
              <w:t>1</w:t>
            </w:r>
            <w:r>
              <w:rPr>
                <w:rFonts w:hint="eastAsia" w:eastAsia="宋体"/>
                <w:color w:val="auto"/>
                <w:highlight w:val="none"/>
              </w:rPr>
              <w:t>7</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磋商响应文件份数</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 xml:space="preserve">投标文件： </w:t>
            </w:r>
          </w:p>
          <w:p>
            <w:pPr>
              <w:pStyle w:val="19"/>
              <w:wordWrap w:val="0"/>
              <w:adjustRightInd/>
              <w:snapToGrid w:val="0"/>
              <w:rPr>
                <w:rFonts w:eastAsia="宋体"/>
                <w:b/>
                <w:bCs/>
                <w:color w:val="auto"/>
                <w:highlight w:val="none"/>
              </w:rPr>
            </w:pPr>
            <w:r>
              <w:rPr>
                <w:rFonts w:hint="eastAsia" w:eastAsia="宋体"/>
                <w:b/>
                <w:bCs/>
                <w:color w:val="auto"/>
                <w:highlight w:val="none"/>
              </w:rPr>
              <w:t>正本一份，副本两份，共三份。</w:t>
            </w:r>
          </w:p>
          <w:p>
            <w:pPr>
              <w:pStyle w:val="19"/>
              <w:wordWrap w:val="0"/>
              <w:adjustRightInd/>
              <w:snapToGrid w:val="0"/>
              <w:rPr>
                <w:rFonts w:eastAsia="宋体"/>
                <w:color w:val="auto"/>
                <w:highlight w:val="none"/>
              </w:rPr>
            </w:pPr>
            <w:r>
              <w:rPr>
                <w:rFonts w:hint="eastAsia" w:eastAsia="宋体"/>
                <w:b/>
                <w:bCs/>
                <w:color w:val="auto"/>
                <w:highlight w:val="none"/>
              </w:rPr>
              <w:t>中标人在领取中标通知书时另行提供两份原样副本。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lang w:val="zh-CN"/>
              </w:rPr>
              <w:t>1</w:t>
            </w:r>
            <w:r>
              <w:rPr>
                <w:rFonts w:hint="eastAsia" w:eastAsia="宋体"/>
                <w:color w:val="auto"/>
                <w:highlight w:val="none"/>
              </w:rPr>
              <w:t>8</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磋商及磋商响应书递交</w:t>
            </w:r>
          </w:p>
        </w:tc>
        <w:tc>
          <w:tcPr>
            <w:tcW w:w="6576" w:type="dxa"/>
            <w:tcMar>
              <w:left w:w="113" w:type="dxa"/>
              <w:right w:w="113" w:type="dxa"/>
            </w:tcMar>
            <w:vAlign w:val="center"/>
          </w:tcPr>
          <w:p>
            <w:pPr>
              <w:wordWrap w:val="0"/>
              <w:autoSpaceDE w:val="0"/>
              <w:autoSpaceDN w:val="0"/>
              <w:snapToGrid w:val="0"/>
              <w:rPr>
                <w:rFonts w:ascii="宋体" w:hAnsi="宋体" w:eastAsia="宋体" w:cs="宋体"/>
                <w:color w:val="auto"/>
                <w:sz w:val="24"/>
                <w:highlight w:val="none"/>
              </w:rPr>
            </w:pPr>
            <w:r>
              <w:rPr>
                <w:rFonts w:hint="eastAsia" w:ascii="宋体" w:hAnsi="宋体" w:eastAsia="宋体" w:cs="宋体"/>
                <w:color w:val="auto"/>
                <w:kern w:val="0"/>
                <w:sz w:val="24"/>
                <w:highlight w:val="none"/>
              </w:rPr>
              <w:t>见竞争性磋商公告，投标单位应当仔细上网查看地点及时间相关发布或变更信息。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lang w:val="zh-CN"/>
              </w:rPr>
              <w:t>19</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lang w:val="zh-CN"/>
              </w:rPr>
              <w:t>磋商响应截止时间</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color w:val="auto"/>
                <w:highlight w:val="none"/>
                <w:lang w:val="zh-CN"/>
              </w:rPr>
              <w:t>见竞争性磋商公告，迟于磋商响应截止时间递交的文件将不予接受。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20</w:t>
            </w:r>
          </w:p>
        </w:tc>
        <w:tc>
          <w:tcPr>
            <w:tcW w:w="2920" w:type="dxa"/>
            <w:tcMar>
              <w:left w:w="113" w:type="dxa"/>
              <w:right w:w="113" w:type="dxa"/>
            </w:tcMar>
          </w:tcPr>
          <w:p>
            <w:pPr>
              <w:pStyle w:val="20"/>
              <w:spacing w:before="1"/>
              <w:ind w:left="124" w:right="109"/>
              <w:jc w:val="center"/>
              <w:rPr>
                <w:color w:val="auto"/>
                <w:sz w:val="24"/>
                <w:highlight w:val="none"/>
              </w:rPr>
            </w:pPr>
          </w:p>
          <w:p>
            <w:pPr>
              <w:pStyle w:val="20"/>
              <w:spacing w:before="1"/>
              <w:ind w:left="124" w:right="109"/>
              <w:jc w:val="center"/>
              <w:rPr>
                <w:color w:val="auto"/>
                <w:sz w:val="24"/>
                <w:highlight w:val="none"/>
              </w:rPr>
            </w:pPr>
          </w:p>
          <w:p>
            <w:pPr>
              <w:pStyle w:val="20"/>
              <w:spacing w:before="1"/>
              <w:ind w:left="124" w:right="109"/>
              <w:jc w:val="center"/>
              <w:rPr>
                <w:color w:val="auto"/>
                <w:sz w:val="24"/>
                <w:highlight w:val="none"/>
              </w:rPr>
            </w:pPr>
          </w:p>
          <w:p>
            <w:pPr>
              <w:pStyle w:val="20"/>
              <w:spacing w:before="1"/>
              <w:ind w:left="124" w:right="109"/>
              <w:jc w:val="center"/>
              <w:rPr>
                <w:color w:val="auto"/>
                <w:sz w:val="24"/>
                <w:highlight w:val="none"/>
              </w:rPr>
            </w:pPr>
          </w:p>
          <w:p>
            <w:pPr>
              <w:pStyle w:val="20"/>
              <w:spacing w:before="1"/>
              <w:ind w:right="109"/>
              <w:jc w:val="center"/>
              <w:rPr>
                <w:color w:val="auto"/>
                <w:highlight w:val="none"/>
              </w:rPr>
            </w:pPr>
            <w:r>
              <w:rPr>
                <w:rFonts w:hint="eastAsia"/>
                <w:color w:val="auto"/>
                <w:sz w:val="24"/>
                <w:highlight w:val="none"/>
              </w:rPr>
              <w:t>设计费金额和计算办法</w:t>
            </w:r>
          </w:p>
        </w:tc>
        <w:tc>
          <w:tcPr>
            <w:tcW w:w="6576" w:type="dxa"/>
            <w:tcMar>
              <w:left w:w="113" w:type="dxa"/>
              <w:right w:w="113" w:type="dxa"/>
            </w:tcMar>
            <w:vAlign w:val="center"/>
          </w:tcPr>
          <w:p>
            <w:pPr>
              <w:pStyle w:val="19"/>
              <w:wordWrap w:val="0"/>
              <w:adjustRightInd/>
              <w:snapToGrid w:val="0"/>
              <w:rPr>
                <w:rFonts w:eastAsia="宋体"/>
                <w:color w:val="auto"/>
                <w:highlight w:val="none"/>
                <w:lang w:val="zh-CN"/>
              </w:rPr>
            </w:pPr>
            <w:r>
              <w:rPr>
                <w:rFonts w:hint="eastAsia" w:eastAsia="宋体"/>
                <w:bCs/>
                <w:color w:val="auto"/>
                <w:highlight w:val="none"/>
              </w:rPr>
              <w:t xml:space="preserve">  </w:t>
            </w:r>
            <w:r>
              <w:rPr>
                <w:rFonts w:hint="eastAsia" w:eastAsia="宋体"/>
                <w:color w:val="auto"/>
                <w:highlight w:val="none"/>
                <w:lang w:val="zh-CN"/>
              </w:rPr>
              <w:t>招标人估算方案设计（预测污水量、确定管线路由及污水收集方式、确定管道敷设工艺及泵站工艺）；</w:t>
            </w:r>
            <w:r>
              <w:rPr>
                <w:rFonts w:hint="eastAsia" w:eastAsia="宋体"/>
                <w:color w:val="auto"/>
                <w:highlight w:val="none"/>
              </w:rPr>
              <w:t>施工图设计；</w:t>
            </w:r>
            <w:r>
              <w:rPr>
                <w:rFonts w:hint="eastAsia" w:eastAsia="宋体"/>
                <w:color w:val="auto"/>
                <w:highlight w:val="none"/>
                <w:lang w:val="zh-CN"/>
              </w:rPr>
              <w:t>污水重力主管及接入支管平面和纵断设计；污水压力管平面和纵断设计；污水提升泵站设计；管道穿越铁路设计；绿化拆除及恢复设计；路面破除及恢复设计等；最终设计费</w:t>
            </w:r>
            <w:r>
              <w:rPr>
                <w:rFonts w:hint="eastAsia" w:eastAsia="宋体"/>
                <w:color w:val="auto"/>
                <w:highlight w:val="none"/>
              </w:rPr>
              <w:t>以本项目中标价计取（含图审费用）</w:t>
            </w:r>
            <w:r>
              <w:rPr>
                <w:rFonts w:hint="eastAsia" w:eastAsia="宋体"/>
                <w:color w:val="auto"/>
                <w:highlight w:val="none"/>
                <w:lang w:val="zh-CN"/>
              </w:rPr>
              <w:t>；合同实施期间，</w:t>
            </w:r>
            <w:r>
              <w:rPr>
                <w:rFonts w:hint="eastAsia" w:eastAsia="宋体"/>
                <w:color w:val="auto"/>
                <w:highlight w:val="none"/>
              </w:rPr>
              <w:t>总</w:t>
            </w:r>
            <w:r>
              <w:rPr>
                <w:rFonts w:hint="eastAsia" w:eastAsia="宋体"/>
                <w:color w:val="auto"/>
                <w:highlight w:val="none"/>
                <w:lang w:val="zh-CN"/>
              </w:rPr>
              <w:t>价及税金不随国家政策或法规、标准及市场因素变化而进行调整。</w:t>
            </w:r>
          </w:p>
          <w:p>
            <w:pPr>
              <w:pStyle w:val="19"/>
              <w:wordWrap w:val="0"/>
              <w:adjustRightInd/>
              <w:snapToGrid w:val="0"/>
              <w:rPr>
                <w:rFonts w:eastAsia="宋体"/>
                <w:color w:val="auto"/>
                <w:highlight w:val="none"/>
              </w:rPr>
            </w:pPr>
            <w:r>
              <w:rPr>
                <w:rFonts w:hint="eastAsia" w:eastAsia="宋体"/>
                <w:color w:val="auto"/>
                <w:highlight w:val="none"/>
                <w:lang w:val="zh-CN"/>
              </w:rPr>
              <w:t xml:space="preserve">  中标单位须按招标人及规划部门的要求优化方案，招标方不另行补偿各类方案调整和因方案调整而需补充工程勘察的费用。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rPr>
            </w:pPr>
            <w:r>
              <w:rPr>
                <w:rFonts w:hint="eastAsia" w:eastAsia="宋体"/>
                <w:color w:val="auto"/>
                <w:highlight w:val="none"/>
              </w:rPr>
              <w:t>21</w:t>
            </w:r>
          </w:p>
        </w:tc>
        <w:tc>
          <w:tcPr>
            <w:tcW w:w="2920" w:type="dxa"/>
            <w:tcMar>
              <w:left w:w="113" w:type="dxa"/>
              <w:right w:w="113" w:type="dxa"/>
            </w:tcMar>
            <w:vAlign w:val="center"/>
          </w:tcPr>
          <w:p>
            <w:pPr>
              <w:widowControl/>
              <w:shd w:val="clear" w:color="auto" w:fill="FFFFFF"/>
              <w:spacing w:before="100" w:beforeAutospacing="1" w:after="100" w:afterAutospacing="1" w:line="260" w:lineRule="exact"/>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投标设计成果文件补偿费用</w:t>
            </w:r>
          </w:p>
        </w:tc>
        <w:tc>
          <w:tcPr>
            <w:tcW w:w="6576" w:type="dxa"/>
            <w:tcMar>
              <w:left w:w="113" w:type="dxa"/>
              <w:right w:w="113" w:type="dxa"/>
            </w:tcMar>
            <w:vAlign w:val="center"/>
          </w:tcPr>
          <w:p>
            <w:pPr>
              <w:widowControl/>
              <w:shd w:val="clear" w:color="auto" w:fill="FFFFFF"/>
              <w:spacing w:before="100" w:beforeAutospacing="1" w:after="100" w:afterAutospacing="1"/>
              <w:ind w:firstLine="240" w:firstLineChars="100"/>
              <w:jc w:val="left"/>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无论是否为中标候选人均无补偿费；参加本项目的所有投标人在开标后，其成果文件的所有权必须无条件转让给招标人。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22</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lang w:val="zh-CN"/>
              </w:rPr>
            </w:pPr>
            <w:r>
              <w:rPr>
                <w:rFonts w:hint="eastAsia" w:eastAsia="宋体"/>
                <w:color w:val="auto"/>
                <w:highlight w:val="none"/>
              </w:rPr>
              <w:t>费用承担</w:t>
            </w:r>
          </w:p>
        </w:tc>
        <w:tc>
          <w:tcPr>
            <w:tcW w:w="6576" w:type="dxa"/>
            <w:tcMar>
              <w:left w:w="113" w:type="dxa"/>
              <w:right w:w="113" w:type="dxa"/>
            </w:tcMar>
            <w:vAlign w:val="center"/>
          </w:tcPr>
          <w:p>
            <w:pPr>
              <w:pStyle w:val="19"/>
              <w:wordWrap w:val="0"/>
              <w:adjustRightInd/>
              <w:snapToGrid w:val="0"/>
              <w:rPr>
                <w:rFonts w:eastAsia="宋体"/>
                <w:color w:val="auto"/>
                <w:kern w:val="2"/>
                <w:highlight w:val="none"/>
              </w:rPr>
            </w:pPr>
            <w:r>
              <w:rPr>
                <w:rFonts w:hint="eastAsia" w:eastAsia="宋体"/>
                <w:color w:val="auto"/>
                <w:highlight w:val="none"/>
              </w:rPr>
              <w:t>投标人参加磋商响应活动发生的一切费用均自理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lang w:val="zh-CN"/>
              </w:rPr>
            </w:pPr>
            <w:r>
              <w:rPr>
                <w:rFonts w:hint="eastAsia" w:eastAsia="宋体"/>
                <w:color w:val="auto"/>
                <w:highlight w:val="none"/>
              </w:rPr>
              <w:t>23</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rPr>
            </w:pPr>
          </w:p>
          <w:p>
            <w:pPr>
              <w:pStyle w:val="19"/>
              <w:wordWrap w:val="0"/>
              <w:adjustRightInd/>
              <w:snapToGrid w:val="0"/>
              <w:jc w:val="center"/>
              <w:rPr>
                <w:rFonts w:eastAsia="宋体"/>
                <w:color w:val="auto"/>
                <w:highlight w:val="none"/>
              </w:rPr>
            </w:pPr>
          </w:p>
          <w:p>
            <w:pPr>
              <w:pStyle w:val="19"/>
              <w:wordWrap w:val="0"/>
              <w:adjustRightInd/>
              <w:snapToGrid w:val="0"/>
              <w:jc w:val="center"/>
              <w:rPr>
                <w:rFonts w:eastAsia="宋体"/>
                <w:color w:val="auto"/>
                <w:highlight w:val="none"/>
              </w:rPr>
            </w:pPr>
            <w:r>
              <w:rPr>
                <w:rFonts w:hint="eastAsia" w:eastAsia="宋体"/>
                <w:color w:val="auto"/>
                <w:highlight w:val="none"/>
              </w:rPr>
              <w:t>合同签订时间</w:t>
            </w:r>
          </w:p>
        </w:tc>
        <w:tc>
          <w:tcPr>
            <w:tcW w:w="6576" w:type="dxa"/>
            <w:tcMar>
              <w:left w:w="113" w:type="dxa"/>
              <w:right w:w="113" w:type="dxa"/>
            </w:tcMar>
            <w:vAlign w:val="center"/>
          </w:tcPr>
          <w:p>
            <w:pPr>
              <w:pStyle w:val="19"/>
              <w:wordWrap w:val="0"/>
              <w:adjustRightInd/>
              <w:snapToGrid w:val="0"/>
              <w:rPr>
                <w:rFonts w:eastAsia="宋体"/>
                <w:color w:val="auto"/>
                <w:highlight w:val="none"/>
              </w:rPr>
            </w:pPr>
            <w:r>
              <w:rPr>
                <w:rFonts w:hint="eastAsia" w:eastAsia="宋体"/>
                <w:color w:val="auto"/>
                <w:highlight w:val="none"/>
              </w:rPr>
              <w:t>采购人通知领取成交通知书后，成交的服务单位应在3日内领取成交通知书，领取后30天内与采购人签订合同，逾期不领取成交通知书或不签订合同的，顺延至第二成交的服务单位或重新采购。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09" w:hRule="atLeast"/>
          <w:jc w:val="center"/>
        </w:trPr>
        <w:tc>
          <w:tcPr>
            <w:tcW w:w="804" w:type="dxa"/>
            <w:tcMar>
              <w:left w:w="113" w:type="dxa"/>
              <w:right w:w="113" w:type="dxa"/>
            </w:tcMar>
            <w:vAlign w:val="center"/>
          </w:tcPr>
          <w:p>
            <w:pPr>
              <w:pStyle w:val="21"/>
              <w:wordWrap w:val="0"/>
              <w:ind w:firstLine="240" w:firstLineChars="100"/>
              <w:rPr>
                <w:rFonts w:ascii="宋体" w:hAnsi="宋体" w:eastAsia="宋体" w:cs="宋体"/>
                <w:color w:val="auto"/>
                <w:szCs w:val="24"/>
                <w:highlight w:val="none"/>
                <w:lang w:val="zh-CN"/>
              </w:rPr>
            </w:pPr>
            <w:r>
              <w:rPr>
                <w:rFonts w:hint="eastAsia" w:ascii="宋体" w:hAnsi="宋体" w:eastAsia="宋体" w:cs="宋体"/>
                <w:color w:val="auto"/>
                <w:szCs w:val="24"/>
                <w:highlight w:val="none"/>
              </w:rPr>
              <w:t>24</w:t>
            </w:r>
          </w:p>
        </w:tc>
        <w:tc>
          <w:tcPr>
            <w:tcW w:w="2920" w:type="dxa"/>
            <w:tcMar>
              <w:left w:w="113" w:type="dxa"/>
              <w:right w:w="113" w:type="dxa"/>
            </w:tcMar>
            <w:vAlign w:val="center"/>
          </w:tcPr>
          <w:p>
            <w:pPr>
              <w:pStyle w:val="19"/>
              <w:wordWrap w:val="0"/>
              <w:adjustRightInd/>
              <w:snapToGrid w:val="0"/>
              <w:jc w:val="center"/>
              <w:rPr>
                <w:rFonts w:eastAsia="宋体"/>
                <w:color w:val="auto"/>
                <w:highlight w:val="none"/>
              </w:rPr>
            </w:pPr>
            <w:r>
              <w:rPr>
                <w:rFonts w:hint="eastAsia" w:eastAsia="宋体"/>
                <w:color w:val="auto"/>
                <w:highlight w:val="none"/>
              </w:rPr>
              <w:t>竞争性磋商采购代理服务费</w:t>
            </w:r>
          </w:p>
        </w:tc>
        <w:tc>
          <w:tcPr>
            <w:tcW w:w="6576" w:type="dxa"/>
            <w:tcMar>
              <w:left w:w="113" w:type="dxa"/>
              <w:right w:w="113" w:type="dxa"/>
            </w:tcMar>
            <w:vAlign w:val="center"/>
          </w:tcPr>
          <w:p>
            <w:pPr>
              <w:pStyle w:val="19"/>
              <w:adjustRightInd/>
              <w:snapToGrid w:val="0"/>
              <w:rPr>
                <w:rFonts w:eastAsia="宋体"/>
                <w:color w:val="auto"/>
                <w:highlight w:val="none"/>
              </w:rPr>
            </w:pPr>
            <w:r>
              <w:rPr>
                <w:rFonts w:hint="eastAsia" w:eastAsia="宋体"/>
                <w:color w:val="auto"/>
                <w:highlight w:val="none"/>
              </w:rPr>
              <w:t>包干价4500元，由采购人支付。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21"/>
              <w:wordWrap w:val="0"/>
              <w:ind w:firstLine="240" w:firstLineChars="100"/>
              <w:rPr>
                <w:rFonts w:ascii="宋体" w:hAnsi="宋体" w:eastAsia="宋体" w:cs="宋体"/>
                <w:color w:val="auto"/>
                <w:szCs w:val="24"/>
                <w:highlight w:val="none"/>
              </w:rPr>
            </w:pPr>
            <w:r>
              <w:rPr>
                <w:rFonts w:hint="eastAsia" w:ascii="宋体" w:hAnsi="宋体" w:eastAsia="宋体" w:cs="宋体"/>
                <w:color w:val="auto"/>
                <w:szCs w:val="24"/>
                <w:highlight w:val="none"/>
              </w:rPr>
              <w:t>25</w:t>
            </w:r>
          </w:p>
        </w:tc>
        <w:tc>
          <w:tcPr>
            <w:tcW w:w="2920" w:type="dxa"/>
            <w:tcMar>
              <w:left w:w="113" w:type="dxa"/>
              <w:right w:w="113" w:type="dxa"/>
            </w:tcMar>
            <w:vAlign w:val="center"/>
          </w:tcPr>
          <w:p>
            <w:pPr>
              <w:widowControl/>
              <w:shd w:val="clear" w:color="auto" w:fill="FFFFFF"/>
              <w:snapToGrid w:val="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信用查询</w:t>
            </w:r>
          </w:p>
        </w:tc>
        <w:tc>
          <w:tcPr>
            <w:tcW w:w="6576" w:type="dxa"/>
            <w:tcMar>
              <w:left w:w="113" w:type="dxa"/>
              <w:right w:w="113" w:type="dxa"/>
            </w:tcMar>
            <w:vAlign w:val="center"/>
          </w:tcPr>
          <w:p>
            <w:pPr>
              <w:snapToGri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详见评标办法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tcMar>
              <w:left w:w="113" w:type="dxa"/>
              <w:right w:w="113" w:type="dxa"/>
            </w:tcMar>
            <w:vAlign w:val="center"/>
          </w:tcPr>
          <w:p>
            <w:pPr>
              <w:pStyle w:val="19"/>
              <w:wordWrap w:val="0"/>
              <w:adjustRightInd/>
              <w:snapToGrid w:val="0"/>
              <w:ind w:firstLine="240" w:firstLineChars="100"/>
              <w:rPr>
                <w:rFonts w:eastAsia="宋体"/>
                <w:color w:val="auto"/>
                <w:highlight w:val="none"/>
              </w:rPr>
            </w:pPr>
            <w:r>
              <w:rPr>
                <w:rFonts w:hint="eastAsia" w:eastAsia="宋体"/>
                <w:color w:val="auto"/>
                <w:highlight w:val="none"/>
              </w:rPr>
              <w:t>26</w:t>
            </w:r>
          </w:p>
        </w:tc>
        <w:tc>
          <w:tcPr>
            <w:tcW w:w="2920" w:type="dxa"/>
            <w:tcMar>
              <w:left w:w="113" w:type="dxa"/>
              <w:right w:w="113" w:type="dxa"/>
            </w:tcMar>
            <w:vAlign w:val="center"/>
          </w:tcPr>
          <w:p>
            <w:pPr>
              <w:pStyle w:val="19"/>
              <w:adjustRightInd/>
              <w:snapToGrid w:val="0"/>
              <w:jc w:val="center"/>
              <w:rPr>
                <w:rFonts w:eastAsia="宋体"/>
                <w:color w:val="auto"/>
                <w:highlight w:val="none"/>
              </w:rPr>
            </w:pPr>
            <w:r>
              <w:rPr>
                <w:rFonts w:hint="eastAsia" w:eastAsia="宋体"/>
                <w:color w:val="auto"/>
                <w:highlight w:val="none"/>
              </w:rPr>
              <w:t>其它</w:t>
            </w:r>
          </w:p>
        </w:tc>
        <w:tc>
          <w:tcPr>
            <w:tcW w:w="6576" w:type="dxa"/>
            <w:tcMar>
              <w:left w:w="113" w:type="dxa"/>
              <w:right w:w="113" w:type="dxa"/>
            </w:tcMar>
            <w:vAlign w:val="center"/>
          </w:tcPr>
          <w:p>
            <w:pPr>
              <w:pStyle w:val="19"/>
              <w:adjustRightInd/>
              <w:snapToGrid w:val="0"/>
              <w:rPr>
                <w:rFonts w:eastAsia="宋体"/>
                <w:color w:val="auto"/>
                <w:highlight w:val="none"/>
              </w:rPr>
            </w:pPr>
            <w:r>
              <w:rPr>
                <w:rFonts w:hint="eastAsia" w:eastAsia="宋体"/>
                <w:color w:val="auto"/>
                <w:highlight w:val="none"/>
              </w:rPr>
              <w:t>1．在符合要求的投标单位只有2家的，竞争性磋商采购活动可以继续进行。</w:t>
            </w:r>
          </w:p>
          <w:p>
            <w:pPr>
              <w:pStyle w:val="19"/>
              <w:adjustRightInd/>
              <w:snapToGrid w:val="0"/>
              <w:rPr>
                <w:rFonts w:eastAsia="宋体"/>
                <w:color w:val="auto"/>
                <w:highlight w:val="none"/>
              </w:rPr>
            </w:pPr>
            <w:r>
              <w:rPr>
                <w:rFonts w:hint="eastAsia" w:eastAsia="宋体"/>
                <w:b/>
                <w:bCs/>
                <w:color w:val="auto"/>
                <w:highlight w:val="none"/>
              </w:rPr>
              <w:t>2．</w:t>
            </w:r>
            <w:r>
              <w:rPr>
                <w:rFonts w:hint="eastAsia" w:eastAsia="宋体"/>
                <w:b/>
                <w:bCs/>
                <w:color w:val="auto"/>
                <w:highlight w:val="none"/>
                <w:lang w:val="zh-CN"/>
              </w:rPr>
              <w:t>未中标者采购人对其</w:t>
            </w:r>
            <w:r>
              <w:rPr>
                <w:rFonts w:hint="eastAsia" w:eastAsia="宋体"/>
                <w:b/>
                <w:bCs/>
                <w:color w:val="auto"/>
                <w:highlight w:val="none"/>
              </w:rPr>
              <w:t>设计</w:t>
            </w:r>
            <w:r>
              <w:rPr>
                <w:rFonts w:hint="eastAsia" w:eastAsia="宋体"/>
                <w:b/>
                <w:bCs/>
                <w:color w:val="auto"/>
                <w:highlight w:val="none"/>
                <w:lang w:val="zh-CN"/>
              </w:rPr>
              <w:t>方案编制费用不予补偿。</w:t>
            </w:r>
          </w:p>
        </w:tc>
      </w:tr>
      <w:bookmarkEnd w:id="0"/>
      <w:bookmarkEnd w:id="1"/>
      <w:bookmarkEnd w:id="2"/>
      <w:bookmarkEnd w:id="3"/>
      <w:bookmarkEnd w:id="4"/>
    </w:tbl>
    <w:p>
      <w:pPr>
        <w:snapToGrid w:val="0"/>
        <w:rPr>
          <w:rFonts w:ascii="宋体" w:hAnsi="宋体" w:eastAsia="宋体" w:cs="宋体"/>
          <w:color w:val="auto"/>
          <w:sz w:val="28"/>
          <w:szCs w:val="28"/>
          <w:highlight w:val="none"/>
        </w:rPr>
      </w:pPr>
    </w:p>
    <w:p>
      <w:pPr>
        <w:pStyle w:val="7"/>
        <w:snapToGrid w:val="0"/>
        <w:spacing w:before="0" w:after="0" w:line="360" w:lineRule="auto"/>
        <w:jc w:val="center"/>
        <w:rPr>
          <w:rFonts w:ascii="宋体" w:hAnsi="宋体" w:eastAsia="宋体" w:cs="宋体"/>
          <w:color w:val="auto"/>
          <w:sz w:val="24"/>
          <w:szCs w:val="24"/>
          <w:highlight w:val="none"/>
        </w:rPr>
      </w:pPr>
    </w:p>
    <w:p>
      <w:pPr>
        <w:pStyle w:val="8"/>
        <w:rPr>
          <w:rFonts w:ascii="宋体" w:hAnsi="宋体" w:eastAsia="宋体" w:cs="宋体"/>
          <w:color w:val="auto"/>
          <w:highlight w:val="none"/>
        </w:rPr>
      </w:pPr>
    </w:p>
    <w:p>
      <w:pPr>
        <w:pStyle w:val="2"/>
        <w:ind w:firstLine="640"/>
        <w:rPr>
          <w:rFonts w:ascii="宋体" w:hAnsi="宋体" w:eastAsia="宋体" w:cs="宋体"/>
          <w:color w:val="auto"/>
          <w:highlight w:val="none"/>
        </w:rPr>
      </w:pPr>
    </w:p>
    <w:p>
      <w:pPr>
        <w:pStyle w:val="2"/>
        <w:ind w:firstLine="640"/>
        <w:rPr>
          <w:rFonts w:ascii="宋体" w:hAnsi="宋体" w:eastAsia="宋体" w:cs="宋体"/>
          <w:color w:val="auto"/>
          <w:highlight w:val="none"/>
        </w:rPr>
      </w:pPr>
    </w:p>
    <w:p>
      <w:pPr>
        <w:pStyle w:val="5"/>
        <w:rPr>
          <w:color w:val="auto"/>
          <w:highlight w:val="none"/>
        </w:rPr>
      </w:pPr>
    </w:p>
    <w:p>
      <w:pPr>
        <w:pStyle w:val="2"/>
        <w:ind w:firstLine="640"/>
        <w:rPr>
          <w:rFonts w:ascii="宋体" w:hAnsi="宋体" w:eastAsia="宋体" w:cs="宋体"/>
          <w:color w:val="auto"/>
          <w:highlight w:val="none"/>
        </w:rPr>
      </w:pPr>
    </w:p>
    <w:p>
      <w:pPr>
        <w:pStyle w:val="2"/>
        <w:ind w:firstLine="640"/>
        <w:rPr>
          <w:rFonts w:ascii="宋体" w:hAnsi="宋体" w:eastAsia="宋体" w:cs="宋体"/>
          <w:color w:val="auto"/>
          <w:highlight w:val="none"/>
        </w:rPr>
      </w:pPr>
    </w:p>
    <w:p>
      <w:pPr>
        <w:pStyle w:val="2"/>
        <w:ind w:firstLine="640"/>
        <w:rPr>
          <w:rFonts w:ascii="宋体" w:hAnsi="宋体" w:eastAsia="宋体" w:cs="宋体"/>
          <w:color w:val="auto"/>
          <w:highlight w:val="none"/>
        </w:rPr>
      </w:pPr>
    </w:p>
    <w:p>
      <w:pPr>
        <w:pStyle w:val="5"/>
        <w:rPr>
          <w:color w:val="auto"/>
          <w:highlight w:val="none"/>
        </w:rPr>
      </w:pPr>
    </w:p>
    <w:p>
      <w:pPr>
        <w:rPr>
          <w:color w:val="auto"/>
          <w:highlight w:val="none"/>
        </w:rPr>
      </w:pPr>
    </w:p>
    <w:p>
      <w:pPr>
        <w:pStyle w:val="2"/>
        <w:ind w:firstLine="640"/>
        <w:rPr>
          <w:color w:val="auto"/>
          <w:highlight w:val="none"/>
        </w:rPr>
      </w:pPr>
    </w:p>
    <w:p>
      <w:pPr>
        <w:pStyle w:val="5"/>
        <w:rPr>
          <w:color w:val="auto"/>
          <w:highlight w:val="none"/>
        </w:rPr>
      </w:pPr>
    </w:p>
    <w:p>
      <w:pPr>
        <w:pStyle w:val="2"/>
        <w:ind w:left="0" w:firstLine="0" w:firstLineChars="0"/>
        <w:rPr>
          <w:rFonts w:ascii="宋体" w:hAnsi="宋体" w:eastAsia="宋体" w:cs="宋体"/>
          <w:color w:val="auto"/>
          <w:highlight w:val="none"/>
        </w:rPr>
      </w:pPr>
    </w:p>
    <w:p>
      <w:pPr>
        <w:pStyle w:val="7"/>
        <w:snapToGrid w:val="0"/>
        <w:spacing w:before="0" w:after="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第三章  磋商响应须知</w:t>
      </w:r>
    </w:p>
    <w:p>
      <w:pPr>
        <w:pStyle w:val="22"/>
        <w:rPr>
          <w:rFonts w:ascii="宋体" w:hAnsi="宋体" w:eastAsia="宋体" w:cs="宋体"/>
          <w:color w:val="auto"/>
          <w:sz w:val="24"/>
          <w:szCs w:val="24"/>
          <w:highlight w:val="none"/>
        </w:rPr>
      </w:pPr>
    </w:p>
    <w:p>
      <w:pPr>
        <w:pStyle w:val="22"/>
        <w:rPr>
          <w:rFonts w:ascii="宋体" w:hAnsi="宋体" w:eastAsia="宋体" w:cs="宋体"/>
          <w:b/>
          <w:bCs/>
          <w:color w:val="auto"/>
          <w:sz w:val="24"/>
          <w:szCs w:val="24"/>
          <w:highlight w:val="none"/>
        </w:rPr>
      </w:pPr>
      <w:bookmarkStart w:id="8" w:name="_Toc383776344"/>
      <w:r>
        <w:rPr>
          <w:rFonts w:hint="eastAsia" w:ascii="宋体" w:hAnsi="宋体" w:eastAsia="宋体" w:cs="宋体"/>
          <w:b/>
          <w:bCs/>
          <w:color w:val="auto"/>
          <w:sz w:val="24"/>
          <w:szCs w:val="24"/>
          <w:highlight w:val="none"/>
        </w:rPr>
        <w:t>（一）总则</w:t>
      </w:r>
      <w:bookmarkEnd w:id="8"/>
    </w:p>
    <w:p>
      <w:pPr>
        <w:pStyle w:val="19"/>
        <w:snapToGrid w:val="0"/>
        <w:ind w:firstLine="482" w:firstLineChars="200"/>
        <w:rPr>
          <w:rFonts w:eastAsia="宋体"/>
          <w:b/>
          <w:bCs/>
          <w:color w:val="auto"/>
          <w:highlight w:val="none"/>
        </w:rPr>
      </w:pPr>
      <w:r>
        <w:rPr>
          <w:rFonts w:hint="eastAsia" w:eastAsia="宋体"/>
          <w:b/>
          <w:bCs/>
          <w:color w:val="auto"/>
          <w:highlight w:val="none"/>
        </w:rPr>
        <w:t>1．磋商响应投标人（以下简称投标人）资格要求</w:t>
      </w:r>
    </w:p>
    <w:p>
      <w:pPr>
        <w:pStyle w:val="19"/>
        <w:snapToGrid w:val="0"/>
        <w:ind w:firstLine="480" w:firstLineChars="200"/>
        <w:rPr>
          <w:rFonts w:eastAsia="宋体"/>
          <w:color w:val="auto"/>
          <w:highlight w:val="none"/>
        </w:rPr>
      </w:pPr>
      <w:r>
        <w:rPr>
          <w:rFonts w:hint="eastAsia" w:eastAsia="宋体"/>
          <w:color w:val="auto"/>
          <w:highlight w:val="none"/>
        </w:rPr>
        <w:t>见磋商公告</w:t>
      </w:r>
    </w:p>
    <w:p>
      <w:pPr>
        <w:pStyle w:val="19"/>
        <w:snapToGrid w:val="0"/>
        <w:ind w:firstLine="480" w:firstLineChars="200"/>
        <w:rPr>
          <w:rFonts w:eastAsia="宋体"/>
          <w:color w:val="auto"/>
          <w:highlight w:val="none"/>
        </w:rPr>
      </w:pPr>
      <w:r>
        <w:rPr>
          <w:rFonts w:hint="eastAsia" w:eastAsia="宋体"/>
          <w:color w:val="auto"/>
          <w:highlight w:val="none"/>
        </w:rPr>
        <w:t>注：本磋商文件中规定提供的复印件须装订入磋商响应书正、副本中。</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2．磋商响应费用</w:t>
      </w:r>
    </w:p>
    <w:p>
      <w:pPr>
        <w:pStyle w:val="19"/>
        <w:snapToGrid w:val="0"/>
        <w:ind w:firstLine="480" w:firstLineChars="200"/>
        <w:rPr>
          <w:rFonts w:eastAsia="宋体"/>
          <w:color w:val="auto"/>
          <w:highlight w:val="none"/>
        </w:rPr>
      </w:pPr>
      <w:r>
        <w:rPr>
          <w:rFonts w:hint="eastAsia" w:eastAsia="宋体"/>
          <w:color w:val="auto"/>
          <w:highlight w:val="none"/>
        </w:rPr>
        <w:t>投标人必须自行承担所有与参加磋商有关的一切费用。不论磋商的结果如何，采购人和采购代理机构在任何情况下均无义务和责任承担这些费用。</w:t>
      </w:r>
    </w:p>
    <w:p>
      <w:pPr>
        <w:numPr>
          <w:ilvl w:val="0"/>
          <w:numId w:val="2"/>
        </w:numPr>
        <w:snapToGrid w:val="0"/>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项目采购需求</w:t>
      </w:r>
      <w:bookmarkStart w:id="9" w:name="_Toc503259070"/>
      <w:bookmarkStart w:id="10" w:name="_Toc383776345"/>
    </w:p>
    <w:p>
      <w:pPr>
        <w:pStyle w:val="2"/>
        <w:ind w:left="0" w:firstLine="480"/>
        <w:rPr>
          <w:rFonts w:eastAsia="宋体"/>
          <w:color w:val="auto"/>
          <w:highlight w:val="none"/>
        </w:rPr>
      </w:pPr>
      <w:r>
        <w:rPr>
          <w:rFonts w:hint="eastAsia" w:ascii="宋体" w:hAnsi="宋体" w:eastAsia="宋体" w:cs="宋体"/>
          <w:color w:val="auto"/>
          <w:kern w:val="0"/>
          <w:sz w:val="24"/>
          <w:highlight w:val="none"/>
        </w:rPr>
        <w:t>详见第四章项目需求</w:t>
      </w:r>
    </w:p>
    <w:bookmarkEnd w:id="9"/>
    <w:p>
      <w:pPr>
        <w:pStyle w:val="2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（二）竞争性磋商文件</w:t>
      </w:r>
      <w:bookmarkEnd w:id="10"/>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投标人应认真阅读和充分理解竞争性磋商文件中所有的内容。如果投标人没有满足竞争性磋商文件的有关要求，其风险由投标人自行承担。</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4．竞争性磋商文件的澄清</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4.1投标人可以要求采购单位对竞争性磋商文件中的有关问题进行答疑、澄清。</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4.2投标人对竞争性磋商文件如有疑问，应在磋商文件要求的截止时间前以书面形式（如传真、信件、电报等）通知采购人和采购代理机构。</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5．竞争性磋商文件的修改</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5.1在某些情况下，采购人可能对竞争性磋商文件进行修改。</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5.2采购人对竞争性磋商文件的修改，将在铜官区政府网（http://www.tltg.gov.cn/index.html）以说明函的形式通知所有投标人，并对这些投标人具有约束力。</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5.3为使投标人有充分时间对竞争性磋商文件的修改部分进行研究或由于其他原因，采购人可以决定延长磋商响应截止日期，并以前款方式将变更时间通知所有投标人。</w:t>
      </w:r>
    </w:p>
    <w:p>
      <w:pPr>
        <w:pStyle w:val="22"/>
        <w:snapToGrid w:val="0"/>
        <w:rPr>
          <w:rFonts w:ascii="宋体" w:hAnsi="宋体" w:eastAsia="宋体" w:cs="宋体"/>
          <w:b/>
          <w:bCs/>
          <w:color w:val="auto"/>
          <w:sz w:val="24"/>
          <w:szCs w:val="24"/>
          <w:highlight w:val="none"/>
        </w:rPr>
      </w:pPr>
      <w:bookmarkStart w:id="11" w:name="_Toc383776346"/>
      <w:r>
        <w:rPr>
          <w:rFonts w:hint="eastAsia" w:ascii="宋体" w:hAnsi="宋体" w:eastAsia="宋体" w:cs="宋体"/>
          <w:b/>
          <w:bCs/>
          <w:color w:val="auto"/>
          <w:sz w:val="24"/>
          <w:szCs w:val="24"/>
          <w:highlight w:val="none"/>
        </w:rPr>
        <w:t>（三）磋商响应书的编制</w:t>
      </w:r>
      <w:bookmarkEnd w:id="11"/>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6．磋商响应的语言及度量衡单位</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6.1投标人的磋商响应书、以及投标人与采购单位就磋商响应的所有往来函电，均须使用简体中文。</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6.2除竞争性磋商文件中另有规定外，磋商响应书所使用的度量衡均须采用法定计量单位。</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7. 磋商响应书构成</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7.1 磋商响应书应包括本竞争性磋商文件规定的全部内容。</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7.2投标人必须对其磋商响应书的真实性与准确性负责。投标人一旦成为成交投标人，其磋商响应书将作为合同的重要组成部分。</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7.3投标人不得擅自对竞争性磋商文件的格式、条款和技术要求进行修改。否则，其磋商响应书在磋商时有可能被认为是未对竞争性磋商文件做出实质性的响应而中止对其作进一步的评审。</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8．磋商响应报价</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8.1磋商响应报价应清楚地标明投标人拟提供服务的名称、单报价。只允许有一个方案、一个报价，多方案、多报价的磋商响应将不被接受。</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8.2　磋商报价表上的价格是验收价格，其总价即为履行合同的固定价格。</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8.3　技术要求中规定的服务、售后服务（质保期内）等一切费用应包括在报价中（本磋商文件中有特殊规定的除外）。</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8.4 投标人的投标报价，应是完成招标项目招标合同条款上全部费用。</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8.5磋商响应货币：须以人民币报价。</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9．证明投标人合格的资格文件</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9.1投标人在其磋商响应书中，应包括证明其有资格参加磋商和成交后有能力履行合同的资质证明文件。</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9.2投标人必须具有履行合同所必需的能力。</w:t>
      </w:r>
    </w:p>
    <w:p>
      <w:pPr>
        <w:snapToGrid w:val="0"/>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10．磋商响应保证金（详见磋商公告）</w:t>
      </w:r>
      <w:r>
        <w:rPr>
          <w:rFonts w:hint="eastAsia" w:ascii="宋体" w:hAnsi="宋体" w:eastAsia="宋体" w:cs="宋体"/>
          <w:color w:val="auto"/>
          <w:sz w:val="24"/>
          <w:highlight w:val="none"/>
        </w:rPr>
        <w:t>。</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11．磋商响应书份数和签署</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 投标人应准备投标人须知前附表规定份数的磋商响应书。每份磋商响应书须清楚地标明“正本”或“副本”字样，正本与副本必须一致；若正本与副本不一致，以正本为准。</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11.2磋商响应书的正本和所有的副本均需打印，由投标人的法定代表人或其授权代表正确签署。授权代表须将以书面形式出具的“法定代表人授权证书”附在磋商响应书上。</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11.3磋商响应书不得行间插字、涂改或增删。如有修改错漏处，必须由投标人的法定代表人或其授权代表签字或盖章。</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12．磋商响应书的密封和标记</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12.1投标人应将磋商响应书的正本和副本一起用包装袋封装好。封装应该严密、不易破损。封口处应盖有投标人公章或授权代表签字。</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b/>
          <w:bCs/>
          <w:color w:val="auto"/>
          <w:sz w:val="24"/>
          <w:highlight w:val="none"/>
        </w:rPr>
        <w:t>磋商响应书包装袋上必须清楚写明项目的名称、项目编号、投标人全称。</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12．3 磋商响应书不得活页装订，否则响应无效。</w:t>
      </w:r>
    </w:p>
    <w:p>
      <w:pPr>
        <w:pStyle w:val="22"/>
        <w:snapToGrid w:val="0"/>
        <w:rPr>
          <w:rFonts w:ascii="宋体" w:hAnsi="宋体" w:eastAsia="宋体" w:cs="宋体"/>
          <w:b/>
          <w:bCs/>
          <w:color w:val="auto"/>
          <w:sz w:val="24"/>
          <w:szCs w:val="24"/>
          <w:highlight w:val="none"/>
        </w:rPr>
      </w:pPr>
      <w:bookmarkStart w:id="12" w:name="_Toc383776347"/>
      <w:r>
        <w:rPr>
          <w:rFonts w:hint="eastAsia" w:ascii="宋体" w:hAnsi="宋体" w:eastAsia="宋体" w:cs="宋体"/>
          <w:b/>
          <w:bCs/>
          <w:color w:val="auto"/>
          <w:sz w:val="24"/>
          <w:szCs w:val="24"/>
          <w:highlight w:val="none"/>
        </w:rPr>
        <w:t>（四）磋商响应书的递交</w:t>
      </w:r>
      <w:bookmarkEnd w:id="12"/>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13．磋商响应书超过时间递交的将被拒绝。磋商响应书有下列情形之一的，采购人将不予受理：</w:t>
      </w:r>
    </w:p>
    <w:p>
      <w:pPr>
        <w:pStyle w:val="12"/>
        <w:snapToGrid w:val="0"/>
        <w:ind w:firstLine="475" w:firstLineChars="198"/>
        <w:rPr>
          <w:rFonts w:hAnsi="宋体" w:eastAsia="宋体" w:cs="宋体"/>
          <w:color w:val="auto"/>
          <w:sz w:val="24"/>
          <w:highlight w:val="none"/>
        </w:rPr>
      </w:pPr>
      <w:r>
        <w:rPr>
          <w:rFonts w:hint="eastAsia" w:hAnsi="宋体" w:eastAsia="宋体" w:cs="宋体"/>
          <w:color w:val="auto"/>
          <w:sz w:val="24"/>
          <w:highlight w:val="none"/>
        </w:rPr>
        <w:t>13.1逾期送达的或者未送达指定地点的；</w:t>
      </w:r>
    </w:p>
    <w:p>
      <w:pPr>
        <w:pStyle w:val="12"/>
        <w:snapToGrid w:val="0"/>
        <w:ind w:firstLine="475" w:firstLineChars="198"/>
        <w:rPr>
          <w:rFonts w:hAnsi="宋体" w:eastAsia="宋体" w:cs="宋体"/>
          <w:color w:val="auto"/>
          <w:sz w:val="24"/>
          <w:highlight w:val="none"/>
        </w:rPr>
      </w:pPr>
      <w:r>
        <w:rPr>
          <w:rFonts w:hint="eastAsia" w:hAnsi="宋体" w:eastAsia="宋体" w:cs="宋体"/>
          <w:color w:val="auto"/>
          <w:sz w:val="24"/>
          <w:highlight w:val="none"/>
        </w:rPr>
        <w:t>13.2未按磋商文件要求包装、密封和标记的。</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14．磋商响应书的修改和撤回</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14.1投标人递交磋商响应书后，可以在规定的磋商响应截止时间前修改或撤回其磋商响应书。但这种修改和撤回，必须以书面形式通知采购人和代理机构。补充修改的内容与响应文件不一致的，以补充、修改的内容为准。</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14.2投标人修改书或撤回通知书，应由法定代表人或其授权代表签署，并按规定进行密封、标记和提交。</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15．磋商现场</w:t>
      </w:r>
    </w:p>
    <w:p>
      <w:pPr>
        <w:snapToGri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代理机构将按照磋商响应投标人须知前附表载明的时间和地点举行磋商。</w:t>
      </w:r>
    </w:p>
    <w:p>
      <w:pPr>
        <w:ind w:firstLine="482" w:firstLineChars="20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（五）评标定标</w:t>
      </w:r>
    </w:p>
    <w:p>
      <w:pPr>
        <w:pStyle w:val="2"/>
        <w:ind w:firstLine="640"/>
        <w:rPr>
          <w:rFonts w:eastAsiaTheme="minorEastAsia"/>
          <w:color w:val="auto"/>
          <w:highlight w:val="none"/>
        </w:rPr>
      </w:pP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16．磋商与评审</w:t>
      </w:r>
    </w:p>
    <w:p>
      <w:pPr>
        <w:snapToGrid w:val="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16.1磋商与评审程序</w:t>
      </w:r>
    </w:p>
    <w:p>
      <w:pPr>
        <w:snapToGrid w:val="0"/>
        <w:ind w:left="480"/>
        <w:rPr>
          <w:rFonts w:ascii="宋体" w:hAnsi="宋体" w:eastAsia="宋体" w:cs="宋体"/>
          <w:color w:val="auto"/>
          <w:sz w:val="24"/>
          <w:highlight w:val="none"/>
        </w:rPr>
      </w:pPr>
      <w:r>
        <w:rPr>
          <w:rFonts w:ascii="宋体" w:hAnsi="宋体" w:eastAsia="宋体" w:cs="宋体"/>
          <w:color w:val="auto"/>
          <w:sz w:val="24"/>
          <w:highlight w:val="none"/>
        </w:rPr>
        <w:t>16.1.1.</w:t>
      </w:r>
      <w:r>
        <w:rPr>
          <w:rFonts w:hint="eastAsia" w:ascii="宋体" w:hAnsi="宋体" w:eastAsia="宋体" w:cs="宋体"/>
          <w:color w:val="auto"/>
          <w:sz w:val="24"/>
          <w:highlight w:val="none"/>
        </w:rPr>
        <w:t>磋商小组由采购人依法组建，成员人数为3人及以上单数。</w:t>
      </w:r>
    </w:p>
    <w:p>
      <w:pPr>
        <w:snapToGrid w:val="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16.1.2.</w:t>
      </w:r>
      <w:r>
        <w:rPr>
          <w:rFonts w:hint="eastAsia" w:ascii="宋体" w:hAnsi="宋体" w:eastAsia="宋体" w:cs="宋体"/>
          <w:color w:val="auto"/>
          <w:sz w:val="24"/>
          <w:highlight w:val="none"/>
        </w:rPr>
        <w:t>磋商小组首先对投标人的资格进行审查，资格审查不通过的，将不得进入磋商。</w:t>
      </w:r>
    </w:p>
    <w:p>
      <w:pPr>
        <w:snapToGrid w:val="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w:t>
      </w:r>
      <w:r>
        <w:rPr>
          <w:rFonts w:hint="eastAsia" w:ascii="宋体" w:hAnsi="宋体" w:eastAsia="宋体" w:cs="宋体"/>
          <w:color w:val="auto"/>
          <w:sz w:val="24"/>
          <w:highlight w:val="none"/>
        </w:rPr>
        <w:t>3.磋商小组对投标人提交的磋商响应书及样品（如有）进行审查，为磋商做好准备工作。</w:t>
      </w:r>
    </w:p>
    <w:p>
      <w:pPr>
        <w:snapToGrid w:val="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16.1.</w:t>
      </w:r>
      <w:r>
        <w:rPr>
          <w:rFonts w:hint="eastAsia" w:ascii="宋体" w:hAnsi="宋体" w:eastAsia="宋体" w:cs="宋体"/>
          <w:color w:val="auto"/>
          <w:sz w:val="24"/>
          <w:highlight w:val="none"/>
        </w:rPr>
        <w:t>4.磋商小组所有成员集中与单一投标人进行逐一磋商。磋商过程中可对磋商文件规定的内容进行变动，变动内容须经采购人代表确认。</w:t>
      </w:r>
    </w:p>
    <w:p>
      <w:pPr>
        <w:snapToGrid w:val="0"/>
        <w:ind w:firstLine="480" w:firstLineChars="200"/>
        <w:rPr>
          <w:rFonts w:cs="宋体" w:asciiTheme="minorEastAsia" w:hAnsiTheme="minorEastAsia" w:eastAsiaTheme="minorEastAsia"/>
          <w:color w:val="auto"/>
          <w:sz w:val="24"/>
          <w:highlight w:val="none"/>
        </w:rPr>
      </w:pPr>
      <w:r>
        <w:rPr>
          <w:rFonts w:ascii="宋体" w:hAnsi="宋体" w:eastAsia="宋体" w:cs="宋体"/>
          <w:color w:val="auto"/>
          <w:sz w:val="24"/>
          <w:highlight w:val="none"/>
        </w:rPr>
        <w:t>16.1.</w:t>
      </w:r>
      <w:r>
        <w:rPr>
          <w:rFonts w:hint="eastAsia" w:ascii="宋体" w:hAnsi="宋体" w:eastAsia="宋体" w:cs="宋体"/>
          <w:color w:val="auto"/>
          <w:sz w:val="24"/>
          <w:highlight w:val="none"/>
        </w:rPr>
        <w:t>5.对否定的投标人，磋商小组要提出充足的否定理由，并填写在评审记录上；对评审结果持有异议的，按照少数服从多数的原则由评委采取投票方式表决确定并记录</w:t>
      </w:r>
      <w:r>
        <w:rPr>
          <w:rFonts w:hint="eastAsia" w:cs="宋体" w:asciiTheme="minorEastAsia" w:hAnsiTheme="minorEastAsia" w:eastAsiaTheme="minorEastAsia"/>
          <w:color w:val="auto"/>
          <w:sz w:val="24"/>
          <w:highlight w:val="none"/>
        </w:rPr>
        <w:t>入评审记录。</w:t>
      </w:r>
    </w:p>
    <w:p>
      <w:pPr>
        <w:snapToGrid w:val="0"/>
        <w:ind w:firstLine="482"/>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资格审查</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6.2.1</w:t>
      </w:r>
      <w:r>
        <w:rPr>
          <w:rFonts w:hint="eastAsia" w:asciiTheme="minorEastAsia" w:hAnsiTheme="minorEastAsia" w:eastAsiaTheme="minorEastAsia"/>
          <w:color w:val="auto"/>
          <w:sz w:val="24"/>
          <w:highlight w:val="none"/>
        </w:rPr>
        <w:t>经磋商小组确定，以下情形的供应商属于无效响应：</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未按本磋商文件要求提供营业执照以及相关资格证明材料或提供的材料不符合要求的。</w:t>
      </w:r>
    </w:p>
    <w:tbl>
      <w:tblPr>
        <w:tblStyle w:val="15"/>
        <w:tblW w:w="10409" w:type="dxa"/>
        <w:jc w:val="center"/>
        <w:tblLayout w:type="fixed"/>
        <w:tblCellMar>
          <w:top w:w="0" w:type="dxa"/>
          <w:left w:w="108" w:type="dxa"/>
          <w:bottom w:w="0" w:type="dxa"/>
          <w:right w:w="108" w:type="dxa"/>
        </w:tblCellMar>
      </w:tblPr>
      <w:tblGrid>
        <w:gridCol w:w="816"/>
        <w:gridCol w:w="2059"/>
        <w:gridCol w:w="3920"/>
        <w:gridCol w:w="3614"/>
      </w:tblGrid>
      <w:tr>
        <w:tblPrEx>
          <w:tblCellMar>
            <w:top w:w="0" w:type="dxa"/>
            <w:left w:w="108" w:type="dxa"/>
            <w:bottom w:w="0" w:type="dxa"/>
            <w:right w:w="108" w:type="dxa"/>
          </w:tblCellMar>
        </w:tblPrEx>
        <w:trPr>
          <w:trHeight w:val="588"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序号</w:t>
            </w:r>
          </w:p>
        </w:tc>
        <w:tc>
          <w:tcPr>
            <w:tcW w:w="2059" w:type="dxa"/>
            <w:tcBorders>
              <w:top w:val="single" w:color="auto" w:sz="6" w:space="0"/>
              <w:left w:val="single" w:color="auto" w:sz="6" w:space="0"/>
              <w:bottom w:val="single" w:color="auto" w:sz="6"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项目内容</w:t>
            </w:r>
          </w:p>
        </w:tc>
        <w:tc>
          <w:tcPr>
            <w:tcW w:w="3920" w:type="dxa"/>
            <w:tcBorders>
              <w:top w:val="single" w:color="auto" w:sz="6" w:space="0"/>
              <w:left w:val="single" w:color="auto" w:sz="6" w:space="0"/>
              <w:bottom w:val="single" w:color="auto" w:sz="6" w:space="0"/>
              <w:right w:val="single" w:color="auto" w:sz="6" w:space="0"/>
            </w:tcBorders>
            <w:vAlign w:val="center"/>
          </w:tcPr>
          <w:p>
            <w:pPr>
              <w:pStyle w:val="19"/>
              <w:adjustRightInd/>
              <w:snapToGrid w:val="0"/>
              <w:spacing w:line="240" w:lineRule="auto"/>
              <w:jc w:val="center"/>
              <w:rPr>
                <w:rFonts w:eastAsia="宋体"/>
                <w:color w:val="auto"/>
                <w:highlight w:val="none"/>
              </w:rPr>
            </w:pPr>
            <w:r>
              <w:rPr>
                <w:rFonts w:hint="eastAsia" w:eastAsia="宋体"/>
                <w:color w:val="auto"/>
                <w:highlight w:val="none"/>
              </w:rPr>
              <w:t>合格条件</w:t>
            </w:r>
          </w:p>
        </w:tc>
        <w:tc>
          <w:tcPr>
            <w:tcW w:w="3614" w:type="dxa"/>
            <w:tcBorders>
              <w:top w:val="single" w:color="auto" w:sz="6" w:space="0"/>
              <w:left w:val="single" w:color="auto" w:sz="6" w:space="0"/>
              <w:bottom w:val="single" w:color="auto" w:sz="6" w:space="0"/>
              <w:right w:val="single" w:color="auto" w:sz="6" w:space="0"/>
            </w:tcBorders>
            <w:vAlign w:val="center"/>
          </w:tcPr>
          <w:p>
            <w:pPr>
              <w:pStyle w:val="19"/>
              <w:adjustRightInd/>
              <w:snapToGrid w:val="0"/>
              <w:spacing w:line="240" w:lineRule="auto"/>
              <w:jc w:val="center"/>
              <w:rPr>
                <w:rFonts w:eastAsia="宋体"/>
                <w:color w:val="auto"/>
                <w:highlight w:val="none"/>
              </w:rPr>
            </w:pPr>
            <w:r>
              <w:rPr>
                <w:rFonts w:hint="eastAsia" w:eastAsia="宋体"/>
                <w:color w:val="auto"/>
                <w:highlight w:val="none"/>
              </w:rPr>
              <w:t>审核材料要求</w:t>
            </w:r>
          </w:p>
        </w:tc>
      </w:tr>
      <w:tr>
        <w:tblPrEx>
          <w:tblCellMar>
            <w:top w:w="0" w:type="dxa"/>
            <w:left w:w="108" w:type="dxa"/>
            <w:bottom w:w="0" w:type="dxa"/>
            <w:right w:w="108" w:type="dxa"/>
          </w:tblCellMar>
        </w:tblPrEx>
        <w:trPr>
          <w:trHeight w:val="848"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pStyle w:val="19"/>
              <w:adjustRightInd/>
              <w:snapToGrid w:val="0"/>
              <w:spacing w:line="240" w:lineRule="auto"/>
              <w:jc w:val="center"/>
              <w:rPr>
                <w:rFonts w:eastAsia="宋体"/>
                <w:color w:val="auto"/>
                <w:highlight w:val="none"/>
              </w:rPr>
            </w:pPr>
            <w:r>
              <w:rPr>
                <w:rFonts w:hint="eastAsia" w:eastAsia="宋体"/>
                <w:color w:val="auto"/>
                <w:highlight w:val="none"/>
              </w:rPr>
              <w:t>1</w:t>
            </w:r>
          </w:p>
        </w:tc>
        <w:tc>
          <w:tcPr>
            <w:tcW w:w="2059" w:type="dxa"/>
            <w:tcBorders>
              <w:top w:val="single" w:color="auto" w:sz="6" w:space="0"/>
              <w:left w:val="single" w:color="auto" w:sz="6" w:space="0"/>
              <w:bottom w:val="single" w:color="auto" w:sz="6" w:space="0"/>
              <w:right w:val="single" w:color="auto" w:sz="6" w:space="0"/>
            </w:tcBorders>
            <w:vAlign w:val="center"/>
          </w:tcPr>
          <w:p>
            <w:pPr>
              <w:pStyle w:val="19"/>
              <w:adjustRightInd/>
              <w:snapToGrid w:val="0"/>
              <w:spacing w:line="240" w:lineRule="auto"/>
              <w:jc w:val="center"/>
              <w:rPr>
                <w:rFonts w:eastAsia="宋体"/>
                <w:color w:val="auto"/>
                <w:highlight w:val="none"/>
              </w:rPr>
            </w:pPr>
            <w:r>
              <w:rPr>
                <w:rFonts w:hint="eastAsia"/>
                <w:color w:val="auto"/>
                <w:highlight w:val="none"/>
              </w:rPr>
              <w:t>营业执照</w:t>
            </w:r>
          </w:p>
        </w:tc>
        <w:tc>
          <w:tcPr>
            <w:tcW w:w="3920" w:type="dxa"/>
            <w:tcBorders>
              <w:top w:val="single" w:color="auto" w:sz="6" w:space="0"/>
              <w:left w:val="single" w:color="auto" w:sz="6" w:space="0"/>
              <w:bottom w:val="single" w:color="auto" w:sz="6" w:space="0"/>
              <w:right w:val="single" w:color="auto" w:sz="6"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color w:val="auto"/>
                <w:highlight w:val="none"/>
              </w:rPr>
              <w:t>具有有效的营业执照</w:t>
            </w:r>
          </w:p>
        </w:tc>
        <w:tc>
          <w:tcPr>
            <w:tcW w:w="3614" w:type="dxa"/>
            <w:tcBorders>
              <w:top w:val="single" w:color="auto" w:sz="6" w:space="0"/>
              <w:left w:val="single" w:color="auto" w:sz="6" w:space="0"/>
              <w:bottom w:val="single" w:color="auto" w:sz="6" w:space="0"/>
              <w:right w:val="single" w:color="auto" w:sz="6" w:space="0"/>
            </w:tcBorders>
            <w:vAlign w:val="center"/>
          </w:tcPr>
          <w:p>
            <w:pPr>
              <w:wordWrap w:val="0"/>
              <w:snapToGrid w:val="0"/>
              <w:spacing w:line="240" w:lineRule="auto"/>
              <w:rPr>
                <w:rFonts w:ascii="宋体" w:hAnsi="宋体" w:eastAsia="宋体" w:cs="宋体"/>
                <w:color w:val="auto"/>
                <w:sz w:val="24"/>
                <w:highlight w:val="none"/>
              </w:rPr>
            </w:pPr>
            <w:r>
              <w:rPr>
                <w:rFonts w:hint="eastAsia"/>
                <w:color w:val="auto"/>
                <w:sz w:val="24"/>
                <w:highlight w:val="none"/>
              </w:rPr>
              <w:t>提供有效的营业执照需复印件装订入响应文件内。</w:t>
            </w:r>
          </w:p>
        </w:tc>
      </w:tr>
      <w:tr>
        <w:tblPrEx>
          <w:tblCellMar>
            <w:top w:w="0" w:type="dxa"/>
            <w:left w:w="108" w:type="dxa"/>
            <w:bottom w:w="0" w:type="dxa"/>
            <w:right w:w="108" w:type="dxa"/>
          </w:tblCellMar>
        </w:tblPrEx>
        <w:trPr>
          <w:trHeight w:val="848" w:hRule="atLeast"/>
          <w:jc w:val="center"/>
        </w:trPr>
        <w:tc>
          <w:tcPr>
            <w:tcW w:w="816" w:type="dxa"/>
            <w:tcBorders>
              <w:top w:val="single" w:color="auto" w:sz="6" w:space="0"/>
              <w:left w:val="single" w:color="auto" w:sz="6" w:space="0"/>
              <w:bottom w:val="single" w:color="auto" w:sz="6" w:space="0"/>
              <w:right w:val="single" w:color="auto" w:sz="6" w:space="0"/>
            </w:tcBorders>
            <w:vAlign w:val="center"/>
          </w:tcPr>
          <w:p>
            <w:pPr>
              <w:pStyle w:val="19"/>
              <w:adjustRightInd/>
              <w:snapToGrid w:val="0"/>
              <w:spacing w:line="240" w:lineRule="auto"/>
              <w:jc w:val="center"/>
              <w:rPr>
                <w:rFonts w:eastAsia="宋体"/>
                <w:color w:val="auto"/>
                <w:highlight w:val="none"/>
              </w:rPr>
            </w:pPr>
            <w:r>
              <w:rPr>
                <w:rFonts w:hint="eastAsia" w:eastAsia="宋体"/>
                <w:color w:val="auto"/>
                <w:highlight w:val="none"/>
              </w:rPr>
              <w:t>2</w:t>
            </w:r>
          </w:p>
        </w:tc>
        <w:tc>
          <w:tcPr>
            <w:tcW w:w="2059" w:type="dxa"/>
            <w:tcBorders>
              <w:top w:val="single" w:color="auto" w:sz="6" w:space="0"/>
              <w:left w:val="single" w:color="auto" w:sz="6" w:space="0"/>
              <w:bottom w:val="single" w:color="auto" w:sz="6" w:space="0"/>
              <w:right w:val="single" w:color="auto" w:sz="6" w:space="0"/>
            </w:tcBorders>
            <w:vAlign w:val="center"/>
          </w:tcPr>
          <w:p>
            <w:pPr>
              <w:pStyle w:val="19"/>
              <w:adjustRightInd/>
              <w:snapToGrid w:val="0"/>
              <w:spacing w:line="240" w:lineRule="auto"/>
              <w:jc w:val="center"/>
              <w:rPr>
                <w:rFonts w:eastAsia="宋体"/>
                <w:color w:val="auto"/>
                <w:highlight w:val="none"/>
              </w:rPr>
            </w:pPr>
            <w:r>
              <w:rPr>
                <w:rFonts w:hint="eastAsia" w:eastAsia="宋体"/>
                <w:color w:val="auto"/>
                <w:highlight w:val="none"/>
              </w:rPr>
              <w:t>授权委托书</w:t>
            </w:r>
          </w:p>
        </w:tc>
        <w:tc>
          <w:tcPr>
            <w:tcW w:w="3920" w:type="dxa"/>
            <w:tcBorders>
              <w:top w:val="single" w:color="auto" w:sz="6" w:space="0"/>
              <w:left w:val="single" w:color="auto" w:sz="6" w:space="0"/>
              <w:bottom w:val="single" w:color="auto" w:sz="6" w:space="0"/>
              <w:right w:val="single" w:color="auto" w:sz="6"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eastAsia="宋体"/>
                <w:color w:val="auto"/>
                <w:highlight w:val="none"/>
              </w:rPr>
              <w:t>投标人授权的委托代理人有合法、有效的委托书，委托书按相应要求签字或盖章。同时委托人符合文件相关要求。</w:t>
            </w:r>
          </w:p>
        </w:tc>
        <w:tc>
          <w:tcPr>
            <w:tcW w:w="3614" w:type="dxa"/>
            <w:tcBorders>
              <w:top w:val="single" w:color="auto" w:sz="6" w:space="0"/>
              <w:left w:val="single" w:color="auto" w:sz="6" w:space="0"/>
              <w:bottom w:val="single" w:color="auto" w:sz="6" w:space="0"/>
              <w:right w:val="single" w:color="auto" w:sz="6" w:space="0"/>
            </w:tcBorders>
            <w:vAlign w:val="center"/>
          </w:tcPr>
          <w:p>
            <w:pPr>
              <w:wordWrap w:val="0"/>
              <w:snapToGrid w:val="0"/>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提供授权委托书</w:t>
            </w:r>
            <w:r>
              <w:rPr>
                <w:rFonts w:hint="eastAsia"/>
                <w:color w:val="auto"/>
                <w:sz w:val="24"/>
                <w:highlight w:val="none"/>
              </w:rPr>
              <w:t>装订</w:t>
            </w:r>
            <w:r>
              <w:rPr>
                <w:rFonts w:hint="eastAsia" w:ascii="宋体" w:hAnsi="宋体" w:eastAsia="宋体" w:cs="宋体"/>
                <w:color w:val="auto"/>
                <w:kern w:val="0"/>
                <w:sz w:val="24"/>
                <w:highlight w:val="none"/>
              </w:rPr>
              <w:t>入磋商响应文件。（法定代表人参加投标的提供身份证明复印件或影印件，无需投标授权书）</w:t>
            </w:r>
          </w:p>
        </w:tc>
      </w:tr>
      <w:tr>
        <w:tblPrEx>
          <w:tblCellMar>
            <w:top w:w="0" w:type="dxa"/>
            <w:left w:w="108" w:type="dxa"/>
            <w:bottom w:w="0" w:type="dxa"/>
            <w:right w:w="108" w:type="dxa"/>
          </w:tblCellMar>
        </w:tblPrEx>
        <w:trPr>
          <w:trHeight w:val="588" w:hRule="atLeast"/>
          <w:jc w:val="center"/>
        </w:trPr>
        <w:tc>
          <w:tcPr>
            <w:tcW w:w="816" w:type="dxa"/>
            <w:vMerge w:val="restart"/>
            <w:tcBorders>
              <w:top w:val="single" w:color="auto" w:sz="4" w:space="0"/>
              <w:left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p>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3</w:t>
            </w:r>
          </w:p>
        </w:tc>
        <w:tc>
          <w:tcPr>
            <w:tcW w:w="2059" w:type="dxa"/>
            <w:vMerge w:val="restart"/>
            <w:tcBorders>
              <w:top w:val="single" w:color="auto" w:sz="4" w:space="0"/>
              <w:left w:val="single" w:color="auto" w:sz="6" w:space="0"/>
              <w:right w:val="single" w:color="auto" w:sz="6" w:space="0"/>
            </w:tcBorders>
            <w:vAlign w:val="center"/>
          </w:tcPr>
          <w:p>
            <w:pPr>
              <w:pStyle w:val="19"/>
              <w:wordWrap w:val="0"/>
              <w:adjustRightInd/>
              <w:snapToGrid w:val="0"/>
              <w:spacing w:line="240" w:lineRule="auto"/>
              <w:rPr>
                <w:rFonts w:eastAsia="宋体"/>
                <w:color w:val="auto"/>
                <w:highlight w:val="none"/>
              </w:rPr>
            </w:pPr>
            <w:r>
              <w:rPr>
                <w:rFonts w:hint="eastAsia" w:eastAsia="宋体"/>
                <w:color w:val="auto"/>
                <w:highlight w:val="none"/>
              </w:rPr>
              <w:t>需要提供的磋商响应资格证明资料</w:t>
            </w:r>
          </w:p>
        </w:tc>
        <w:tc>
          <w:tcPr>
            <w:tcW w:w="3920"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eastAsia="宋体"/>
                <w:color w:val="auto"/>
                <w:highlight w:val="none"/>
              </w:rPr>
              <w:t>满足《中华人民共和国政府采购法》第二十二条的全部要求</w:t>
            </w:r>
          </w:p>
        </w:tc>
        <w:tc>
          <w:tcPr>
            <w:tcW w:w="3614" w:type="dxa"/>
            <w:vMerge w:val="restart"/>
            <w:tcBorders>
              <w:top w:val="single" w:color="auto" w:sz="4" w:space="0"/>
              <w:left w:val="single" w:color="auto" w:sz="6" w:space="0"/>
              <w:right w:val="single" w:color="auto" w:sz="6" w:space="0"/>
            </w:tcBorders>
            <w:vAlign w:val="center"/>
          </w:tcPr>
          <w:p>
            <w:pPr>
              <w:pStyle w:val="19"/>
              <w:wordWrap w:val="0"/>
              <w:adjustRightInd/>
              <w:snapToGrid w:val="0"/>
              <w:spacing w:line="240" w:lineRule="auto"/>
              <w:rPr>
                <w:rFonts w:eastAsia="宋体"/>
                <w:color w:val="auto"/>
                <w:highlight w:val="none"/>
              </w:rPr>
            </w:pPr>
            <w:r>
              <w:rPr>
                <w:rFonts w:hint="eastAsia" w:eastAsia="宋体"/>
                <w:color w:val="auto"/>
                <w:highlight w:val="none"/>
              </w:rPr>
              <w:t>按磋商响应函格式填写相关承诺</w:t>
            </w:r>
          </w:p>
        </w:tc>
      </w:tr>
      <w:tr>
        <w:tblPrEx>
          <w:tblCellMar>
            <w:top w:w="0" w:type="dxa"/>
            <w:left w:w="108" w:type="dxa"/>
            <w:bottom w:w="0" w:type="dxa"/>
            <w:right w:w="108" w:type="dxa"/>
          </w:tblCellMar>
        </w:tblPrEx>
        <w:trPr>
          <w:trHeight w:val="588" w:hRule="atLeast"/>
          <w:jc w:val="center"/>
        </w:trPr>
        <w:tc>
          <w:tcPr>
            <w:tcW w:w="816" w:type="dxa"/>
            <w:vMerge w:val="continue"/>
            <w:tcBorders>
              <w:left w:val="single" w:color="auto" w:sz="4"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p>
        </w:tc>
        <w:tc>
          <w:tcPr>
            <w:tcW w:w="2059" w:type="dxa"/>
            <w:vMerge w:val="continue"/>
            <w:tcBorders>
              <w:left w:val="single" w:color="auto" w:sz="6" w:space="0"/>
              <w:bottom w:val="single" w:color="auto" w:sz="4" w:space="0"/>
              <w:right w:val="single" w:color="auto" w:sz="6" w:space="0"/>
            </w:tcBorders>
            <w:vAlign w:val="center"/>
          </w:tcPr>
          <w:p>
            <w:pPr>
              <w:pStyle w:val="19"/>
              <w:adjustRightInd/>
              <w:snapToGrid w:val="0"/>
              <w:spacing w:line="240" w:lineRule="auto"/>
              <w:rPr>
                <w:rFonts w:eastAsia="宋体"/>
                <w:color w:val="auto"/>
                <w:highlight w:val="none"/>
              </w:rPr>
            </w:pPr>
          </w:p>
        </w:tc>
        <w:tc>
          <w:tcPr>
            <w:tcW w:w="3920"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eastAsia="宋体"/>
                <w:color w:val="auto"/>
                <w:highlight w:val="none"/>
              </w:rPr>
              <w:t>至投标截止日，投标人、法定代表人及拟派项目经理（项目负责人）近三年内均未被人民检察院列入行贿犯罪档案</w:t>
            </w:r>
          </w:p>
        </w:tc>
        <w:tc>
          <w:tcPr>
            <w:tcW w:w="3614" w:type="dxa"/>
            <w:vMerge w:val="continue"/>
            <w:tcBorders>
              <w:left w:val="single" w:color="auto" w:sz="6" w:space="0"/>
              <w:right w:val="single" w:color="auto" w:sz="6" w:space="0"/>
            </w:tcBorders>
            <w:vAlign w:val="center"/>
          </w:tcPr>
          <w:p>
            <w:pPr>
              <w:pStyle w:val="19"/>
              <w:wordWrap w:val="0"/>
              <w:adjustRightInd/>
              <w:snapToGrid w:val="0"/>
              <w:spacing w:line="240" w:lineRule="auto"/>
              <w:rPr>
                <w:rFonts w:eastAsia="宋体"/>
                <w:color w:val="auto"/>
                <w:highlight w:val="none"/>
              </w:rPr>
            </w:pPr>
          </w:p>
        </w:tc>
      </w:tr>
      <w:tr>
        <w:tblPrEx>
          <w:tblCellMar>
            <w:top w:w="0" w:type="dxa"/>
            <w:left w:w="108" w:type="dxa"/>
            <w:bottom w:w="0" w:type="dxa"/>
            <w:right w:w="108" w:type="dxa"/>
          </w:tblCellMar>
        </w:tblPrEx>
        <w:trPr>
          <w:trHeight w:val="588"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pStyle w:val="19"/>
              <w:wordWrap w:val="0"/>
              <w:adjustRightInd/>
              <w:snapToGrid w:val="0"/>
              <w:spacing w:line="240" w:lineRule="auto"/>
              <w:jc w:val="center"/>
              <w:rPr>
                <w:rFonts w:eastAsia="宋体"/>
                <w:color w:val="auto"/>
                <w:highlight w:val="none"/>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pStyle w:val="19"/>
              <w:adjustRightInd/>
              <w:snapToGrid w:val="0"/>
              <w:spacing w:line="240" w:lineRule="auto"/>
              <w:rPr>
                <w:rFonts w:eastAsia="宋体"/>
                <w:color w:val="auto"/>
                <w:highlight w:val="none"/>
              </w:rPr>
            </w:pPr>
          </w:p>
        </w:tc>
        <w:tc>
          <w:tcPr>
            <w:tcW w:w="3920" w:type="dxa"/>
            <w:tcBorders>
              <w:top w:val="single" w:color="auto" w:sz="4" w:space="0"/>
              <w:left w:val="single" w:color="auto" w:sz="4" w:space="0"/>
              <w:bottom w:val="single" w:color="auto" w:sz="4" w:space="0"/>
              <w:right w:val="single" w:color="auto" w:sz="4"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eastAsia="宋体"/>
                <w:color w:val="auto"/>
                <w:highlight w:val="none"/>
              </w:rPr>
              <w:t>至投标截止日，我单位未被人民法院列入失信被执行人、未被市场监管部门列入企业经营异常名录、未被税务部门列入重大税收违法案件当事人名单、未被政府采购监管部门列入政府采购严重违法失信行为记录名单。</w:t>
            </w:r>
          </w:p>
        </w:tc>
        <w:tc>
          <w:tcPr>
            <w:tcW w:w="3614" w:type="dxa"/>
            <w:vMerge w:val="continue"/>
            <w:tcBorders>
              <w:left w:val="single" w:color="auto" w:sz="6" w:space="0"/>
              <w:bottom w:val="single" w:color="auto" w:sz="4" w:space="0"/>
              <w:right w:val="single" w:color="auto" w:sz="6" w:space="0"/>
            </w:tcBorders>
            <w:vAlign w:val="center"/>
          </w:tcPr>
          <w:p>
            <w:pPr>
              <w:pStyle w:val="19"/>
              <w:wordWrap w:val="0"/>
              <w:adjustRightInd/>
              <w:snapToGrid w:val="0"/>
              <w:spacing w:line="240" w:lineRule="auto"/>
              <w:rPr>
                <w:rFonts w:eastAsia="宋体"/>
                <w:color w:val="auto"/>
                <w:highlight w:val="none"/>
              </w:rPr>
            </w:pPr>
          </w:p>
        </w:tc>
      </w:tr>
      <w:tr>
        <w:tblPrEx>
          <w:tblCellMar>
            <w:top w:w="0" w:type="dxa"/>
            <w:left w:w="108" w:type="dxa"/>
            <w:bottom w:w="0" w:type="dxa"/>
            <w:right w:w="108" w:type="dxa"/>
          </w:tblCellMar>
        </w:tblPrEx>
        <w:trPr>
          <w:trHeight w:val="588" w:hRule="atLeast"/>
          <w:jc w:val="center"/>
        </w:trPr>
        <w:tc>
          <w:tcPr>
            <w:tcW w:w="816"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4</w:t>
            </w:r>
          </w:p>
        </w:tc>
        <w:tc>
          <w:tcPr>
            <w:tcW w:w="2059"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企业资质</w:t>
            </w:r>
          </w:p>
        </w:tc>
        <w:tc>
          <w:tcPr>
            <w:tcW w:w="3920"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eastAsia="宋体"/>
                <w:color w:val="auto"/>
                <w:highlight w:val="none"/>
              </w:rPr>
              <w:t>具有市政行业（市政工程）设计乙级（含）以上资质；</w:t>
            </w:r>
          </w:p>
        </w:tc>
        <w:tc>
          <w:tcPr>
            <w:tcW w:w="3614"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ind w:firstLine="480" w:firstLineChars="200"/>
              <w:rPr>
                <w:rFonts w:eastAsia="宋体"/>
                <w:color w:val="auto"/>
                <w:highlight w:val="none"/>
              </w:rPr>
            </w:pPr>
            <w:r>
              <w:rPr>
                <w:rFonts w:hint="eastAsia" w:eastAsia="宋体"/>
                <w:color w:val="auto"/>
                <w:highlight w:val="none"/>
              </w:rPr>
              <w:t>提供有效的资质证书复印件或扫描件并加盖公章</w:t>
            </w:r>
            <w:r>
              <w:rPr>
                <w:rFonts w:hint="eastAsia"/>
                <w:color w:val="auto"/>
                <w:highlight w:val="none"/>
              </w:rPr>
              <w:t>装订</w:t>
            </w:r>
            <w:r>
              <w:rPr>
                <w:rFonts w:hint="eastAsia" w:eastAsia="宋体"/>
                <w:color w:val="auto"/>
                <w:highlight w:val="none"/>
              </w:rPr>
              <w:t>入磋商响应文件中</w:t>
            </w:r>
          </w:p>
        </w:tc>
      </w:tr>
      <w:tr>
        <w:tblPrEx>
          <w:tblCellMar>
            <w:top w:w="0" w:type="dxa"/>
            <w:left w:w="108" w:type="dxa"/>
            <w:bottom w:w="0" w:type="dxa"/>
            <w:right w:w="108" w:type="dxa"/>
          </w:tblCellMar>
        </w:tblPrEx>
        <w:trPr>
          <w:trHeight w:val="588" w:hRule="atLeast"/>
          <w:jc w:val="center"/>
        </w:trPr>
        <w:tc>
          <w:tcPr>
            <w:tcW w:w="816"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5</w:t>
            </w:r>
          </w:p>
        </w:tc>
        <w:tc>
          <w:tcPr>
            <w:tcW w:w="2059"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项目负责人</w:t>
            </w:r>
          </w:p>
        </w:tc>
        <w:tc>
          <w:tcPr>
            <w:tcW w:w="3920"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rPr>
                <w:rFonts w:eastAsia="宋体"/>
                <w:color w:val="auto"/>
                <w:highlight w:val="none"/>
              </w:rPr>
            </w:pPr>
            <w:r>
              <w:rPr>
                <w:rFonts w:hint="eastAsia" w:eastAsia="宋体"/>
                <w:color w:val="auto"/>
                <w:highlight w:val="none"/>
              </w:rPr>
              <w:t>须具备市政行业相关专业中级及以上职称</w:t>
            </w:r>
          </w:p>
        </w:tc>
        <w:tc>
          <w:tcPr>
            <w:tcW w:w="3614"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rPr>
                <w:rFonts w:eastAsia="宋体"/>
                <w:color w:val="auto"/>
                <w:highlight w:val="none"/>
              </w:rPr>
            </w:pPr>
            <w:r>
              <w:rPr>
                <w:rFonts w:hint="eastAsia" w:eastAsia="宋体"/>
                <w:color w:val="auto"/>
                <w:highlight w:val="none"/>
              </w:rPr>
              <w:t>1</w:t>
            </w:r>
            <w:r>
              <w:rPr>
                <w:rFonts w:eastAsia="宋体"/>
                <w:color w:val="auto"/>
                <w:highlight w:val="none"/>
              </w:rPr>
              <w:t>.</w:t>
            </w:r>
            <w:r>
              <w:rPr>
                <w:rFonts w:hint="eastAsia" w:eastAsia="宋体"/>
                <w:color w:val="auto"/>
                <w:highlight w:val="none"/>
              </w:rPr>
              <w:t>项目负责人必须是本单位人员；该负责人为投标单位唯一指定，并自始至终负责本工程的设计、报建、审图及后期服务，投标单位不得提出两名或两名以上的项目负责人，不得由其他人代理中标项目负责人的工作，中标单位项目负责人不得在其单位内转包、分包。</w:t>
            </w:r>
          </w:p>
          <w:p>
            <w:pPr>
              <w:pStyle w:val="19"/>
              <w:wordWrap w:val="0"/>
              <w:adjustRightInd/>
              <w:snapToGrid w:val="0"/>
              <w:spacing w:line="240" w:lineRule="auto"/>
              <w:rPr>
                <w:rFonts w:eastAsia="宋体"/>
                <w:color w:val="auto"/>
                <w:highlight w:val="none"/>
              </w:rPr>
            </w:pPr>
            <w:r>
              <w:rPr>
                <w:rFonts w:hint="eastAsia" w:eastAsia="宋体"/>
                <w:color w:val="auto"/>
                <w:highlight w:val="none"/>
              </w:rPr>
              <w:t>2.提供符合要求的资格或职称证书、开标前半年内在投标单位连续三个月的社保缴纳证明</w:t>
            </w:r>
            <w:r>
              <w:rPr>
                <w:rFonts w:hint="eastAsia"/>
                <w:color w:val="auto"/>
                <w:highlight w:val="none"/>
              </w:rPr>
              <w:t>装订</w:t>
            </w:r>
            <w:r>
              <w:rPr>
                <w:rFonts w:hint="eastAsia" w:eastAsia="宋体"/>
                <w:color w:val="auto"/>
                <w:highlight w:val="none"/>
              </w:rPr>
              <w:t>入磋商响应文件中。</w:t>
            </w:r>
          </w:p>
        </w:tc>
      </w:tr>
      <w:tr>
        <w:tblPrEx>
          <w:tblCellMar>
            <w:top w:w="0" w:type="dxa"/>
            <w:left w:w="108" w:type="dxa"/>
            <w:bottom w:w="0" w:type="dxa"/>
            <w:right w:w="108" w:type="dxa"/>
          </w:tblCellMar>
        </w:tblPrEx>
        <w:trPr>
          <w:trHeight w:val="588" w:hRule="atLeast"/>
          <w:jc w:val="center"/>
        </w:trPr>
        <w:tc>
          <w:tcPr>
            <w:tcW w:w="816"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eastAsia="宋体"/>
                <w:color w:val="auto"/>
                <w:highlight w:val="none"/>
              </w:rPr>
              <w:t>6</w:t>
            </w:r>
          </w:p>
        </w:tc>
        <w:tc>
          <w:tcPr>
            <w:tcW w:w="2059"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jc w:val="center"/>
              <w:rPr>
                <w:rFonts w:eastAsia="宋体"/>
                <w:color w:val="auto"/>
                <w:highlight w:val="none"/>
              </w:rPr>
            </w:pPr>
            <w:r>
              <w:rPr>
                <w:rFonts w:hint="eastAsia"/>
                <w:color w:val="auto"/>
                <w:highlight w:val="none"/>
              </w:rPr>
              <w:t>标书盖章</w:t>
            </w:r>
          </w:p>
        </w:tc>
        <w:tc>
          <w:tcPr>
            <w:tcW w:w="3920"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rPr>
                <w:rFonts w:eastAsia="宋体"/>
                <w:color w:val="auto"/>
                <w:highlight w:val="none"/>
              </w:rPr>
            </w:pPr>
            <w:r>
              <w:rPr>
                <w:rFonts w:hint="eastAsia"/>
                <w:color w:val="auto"/>
                <w:highlight w:val="none"/>
              </w:rPr>
              <w:t>磋商响应文件盖章符合磋商文件的要求。</w:t>
            </w:r>
          </w:p>
        </w:tc>
        <w:tc>
          <w:tcPr>
            <w:tcW w:w="3614" w:type="dxa"/>
            <w:tcBorders>
              <w:top w:val="single" w:color="auto" w:sz="4" w:space="0"/>
              <w:left w:val="single" w:color="auto" w:sz="6" w:space="0"/>
              <w:bottom w:val="single" w:color="auto" w:sz="4" w:space="0"/>
              <w:right w:val="single" w:color="auto" w:sz="6" w:space="0"/>
            </w:tcBorders>
            <w:vAlign w:val="center"/>
          </w:tcPr>
          <w:p>
            <w:pPr>
              <w:pStyle w:val="19"/>
              <w:wordWrap w:val="0"/>
              <w:adjustRightInd/>
              <w:snapToGrid w:val="0"/>
              <w:spacing w:line="240" w:lineRule="auto"/>
              <w:rPr>
                <w:rFonts w:eastAsia="宋体"/>
                <w:color w:val="auto"/>
                <w:highlight w:val="none"/>
              </w:rPr>
            </w:pPr>
          </w:p>
        </w:tc>
      </w:tr>
    </w:tbl>
    <w:p>
      <w:pPr>
        <w:pStyle w:val="19"/>
        <w:wordWrap w:val="0"/>
        <w:adjustRightInd/>
        <w:snapToGrid w:val="0"/>
        <w:ind w:firstLine="482" w:firstLineChars="200"/>
        <w:rPr>
          <w:rFonts w:eastAsia="宋体"/>
          <w:b/>
          <w:color w:val="auto"/>
          <w:highlight w:val="none"/>
        </w:rPr>
      </w:pPr>
    </w:p>
    <w:p>
      <w:pPr>
        <w:snapToGrid w:val="0"/>
        <w:ind w:firstLine="482"/>
        <w:textAlignment w:val="baseline"/>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16.</w:t>
      </w:r>
      <w:r>
        <w:rPr>
          <w:rFonts w:asciiTheme="minorEastAsia" w:hAnsiTheme="minorEastAsia" w:eastAsiaTheme="minorEastAsia"/>
          <w:bCs/>
          <w:color w:val="auto"/>
          <w:sz w:val="24"/>
          <w:highlight w:val="none"/>
        </w:rPr>
        <w:t>2</w:t>
      </w:r>
      <w:r>
        <w:rPr>
          <w:rFonts w:hint="eastAsia" w:asciiTheme="minorEastAsia" w:hAnsiTheme="minorEastAsia" w:eastAsiaTheme="minorEastAsia"/>
          <w:bCs/>
          <w:color w:val="auto"/>
          <w:sz w:val="24"/>
          <w:highlight w:val="none"/>
        </w:rPr>
        <w:t>.2 磋商响应书及样品（如有）</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磋商开始前，磋商小组将认真审查供应商提交的磋商响应书，了解其与磋商文件要求是否有偏离，并对照本磋商文件规定评判供应商是否合格。审查完磋商响应书后，对合格供应商提供的样品(如有)进行检验。</w:t>
      </w:r>
    </w:p>
    <w:p>
      <w:pPr>
        <w:snapToGrid w:val="0"/>
        <w:ind w:firstLine="482"/>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.3 磋商</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1.在掌握了供应商磋商响应书及样品的基本情况后，磋商小组将与供应商分别进行磋商。</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2.在磋商过程中，磋商小组可以根据磋商文件和磋商情况实质性变动采购需求中的技术、服务要求以及合同草案条款，实质性变动内容是磋商文件的有效组成部分。实质性变动的内容，经采购人代表确认。</w:t>
      </w:r>
    </w:p>
    <w:p>
      <w:pPr>
        <w:snapToGrid w:val="0"/>
        <w:ind w:firstLine="482"/>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2.4</w:t>
      </w:r>
      <w:r>
        <w:rPr>
          <w:rFonts w:hint="eastAsia" w:asciiTheme="minorEastAsia" w:hAnsiTheme="minorEastAsia" w:eastAsiaTheme="minorEastAsia"/>
          <w:b/>
          <w:color w:val="auto"/>
          <w:sz w:val="24"/>
          <w:highlight w:val="none"/>
        </w:rPr>
        <w:t>报价</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1、响应报价超过项目预算控制数或不按规定格式进行报价的属于无效响应。报价表应按要求填写并装订入响应文件内。</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磋商结束后，磋商小组要求所有继续参加磋商的响应人在规定的时间内提交最后报价（如磋商过程中没有增加货物、工程数量或服务要求的，则二次报价时不得高于磋商响应书中的报价）。现场二次报价或者最后报价时仅报出总价，中标后，其单价部分按最后报价总价下降幅度同比例下降。</w:t>
      </w:r>
    </w:p>
    <w:p>
      <w:pPr>
        <w:snapToGrid w:val="0"/>
        <w:ind w:firstLine="482"/>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成交候选人</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应当根据综合评分情况，按照评审得分由高到低顺序推荐成交候选供应商，并编写评审报告。评审得分相同的，按照最后报价由低到高的顺序推荐。评审得分且最后报价相同的，由该两家（及两家以上）供应商在相关监督部门的监督下抽签决定预成交候选人顺序。</w:t>
      </w:r>
      <w:r>
        <w:rPr>
          <w:rFonts w:hint="eastAsia" w:asciiTheme="minorEastAsia" w:hAnsiTheme="minorEastAsia" w:eastAsiaTheme="minorEastAsia"/>
          <w:b/>
          <w:bCs/>
          <w:color w:val="auto"/>
          <w:sz w:val="24"/>
          <w:highlight w:val="none"/>
          <w:u w:val="single" w:color="000000"/>
        </w:rPr>
        <w:t>最终投标报价低于全体有效磋商单位平均报价80%的，不得推荐为成交候选人。</w:t>
      </w:r>
    </w:p>
    <w:p>
      <w:pPr>
        <w:snapToGrid w:val="0"/>
        <w:ind w:firstLine="482"/>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 经磋商小组确定，有以下情形的供应商视为不合格供应商，其磋商响应将被否决：</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1）磋商响应书未加盖单位印章和法定代表人（或授权委托人）签章（签字）的；</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2）所提供的货物/服务/工程清单缺少的；</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3）关键性商务、技术参数以及相关要求不能得到真正满足的；</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4）样品不符合要求的（如有）；</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 报价超过项目预算控制数或不按规定格式进行报价的属于无效报价。</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6）其它不满足本磋商文件要求和法定应当否决的情形。</w:t>
      </w:r>
    </w:p>
    <w:p>
      <w:pPr>
        <w:pStyle w:val="7"/>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（六）磋商办法</w:t>
      </w:r>
    </w:p>
    <w:p>
      <w:pPr>
        <w:snapToGrid w:val="0"/>
        <w:ind w:firstLine="48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政府采购竞争性磋商采购方式管理暂行办法》等法律法规的精神，并结合本项目实际制定本办法。综合评分法，是指响应文件满足磋商文件全部实质性要求且按评审因素的量化指标评审得分最高的供应商为成交候选供应商的评审方法。</w:t>
      </w:r>
    </w:p>
    <w:p>
      <w:pPr>
        <w:snapToGrid w:val="0"/>
        <w:ind w:firstLine="480"/>
        <w:textAlignment w:val="baseline"/>
        <w:rPr>
          <w:rFonts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评审标准</w:t>
      </w:r>
      <w:r>
        <w:rPr>
          <w:rFonts w:hint="eastAsia"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rPr>
        <w:t>满分</w:t>
      </w:r>
      <w:r>
        <w:rPr>
          <w:rFonts w:hint="eastAsia" w:asciiTheme="minorEastAsia" w:hAnsiTheme="minorEastAsia" w:eastAsiaTheme="minorEastAsia"/>
          <w:b/>
          <w:bCs/>
          <w:color w:val="auto"/>
          <w:sz w:val="24"/>
          <w:highlight w:val="none"/>
        </w:rPr>
        <w:t>100</w:t>
      </w:r>
      <w:r>
        <w:rPr>
          <w:rFonts w:hint="eastAsia" w:cs="宋体" w:asciiTheme="minorEastAsia" w:hAnsiTheme="minorEastAsia" w:eastAsiaTheme="minorEastAsia"/>
          <w:b/>
          <w:bCs/>
          <w:color w:val="auto"/>
          <w:sz w:val="24"/>
          <w:highlight w:val="none"/>
        </w:rPr>
        <w:t>分</w:t>
      </w:r>
      <w:r>
        <w:rPr>
          <w:rFonts w:hint="eastAsia" w:asciiTheme="minorEastAsia" w:hAnsiTheme="minorEastAsia" w:eastAsiaTheme="minorEastAsia"/>
          <w:b/>
          <w:bCs/>
          <w:color w:val="auto"/>
          <w:sz w:val="24"/>
          <w:highlight w:val="none"/>
        </w:rPr>
        <w:t>)</w:t>
      </w:r>
    </w:p>
    <w:tbl>
      <w:tblPr>
        <w:tblStyle w:val="15"/>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065"/>
        <w:gridCol w:w="5745"/>
        <w:gridCol w:w="15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Align w:val="bottom"/>
          </w:tcPr>
          <w:p>
            <w:pPr>
              <w:adjustRightInd w:val="0"/>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w:t>
            </w:r>
          </w:p>
          <w:p>
            <w:pPr>
              <w:adjustRightInd w:val="0"/>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部分</w:t>
            </w:r>
          </w:p>
        </w:tc>
        <w:tc>
          <w:tcPr>
            <w:tcW w:w="6810" w:type="dxa"/>
            <w:gridSpan w:val="2"/>
            <w:vAlign w:val="bottom"/>
          </w:tcPr>
          <w:p>
            <w:pPr>
              <w:adjustRightInd w:val="0"/>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评分因素</w:t>
            </w:r>
          </w:p>
        </w:tc>
        <w:tc>
          <w:tcPr>
            <w:tcW w:w="1590" w:type="dxa"/>
            <w:vAlign w:val="center"/>
          </w:tcPr>
          <w:p>
            <w:pPr>
              <w:adjustRightInd w:val="0"/>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所需提供</w:t>
            </w:r>
          </w:p>
          <w:p>
            <w:pPr>
              <w:adjustRightInd w:val="0"/>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材料</w:t>
            </w:r>
          </w:p>
        </w:tc>
        <w:tc>
          <w:tcPr>
            <w:tcW w:w="690" w:type="dxa"/>
            <w:vAlign w:val="center"/>
          </w:tcPr>
          <w:p>
            <w:pPr>
              <w:adjustRightInd w:val="0"/>
              <w:snapToGri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restart"/>
            <w:vAlign w:val="center"/>
          </w:tcPr>
          <w:p>
            <w:pPr>
              <w:pStyle w:val="19"/>
              <w:wordWrap w:val="0"/>
              <w:adjustRightInd/>
              <w:snapToGrid w:val="0"/>
              <w:jc w:val="center"/>
              <w:rPr>
                <w:rFonts w:asciiTheme="minorEastAsia" w:hAnsiTheme="minorEastAsia" w:eastAsiaTheme="minorEastAsia" w:cstheme="minorEastAsia"/>
                <w:bCs/>
                <w:color w:val="auto"/>
                <w:highlight w:val="none"/>
              </w:rPr>
            </w:pPr>
          </w:p>
          <w:p>
            <w:pPr>
              <w:pStyle w:val="19"/>
              <w:wordWrap w:val="0"/>
              <w:adjustRightInd/>
              <w:snapToGrid w:val="0"/>
              <w:spacing w:line="240" w:lineRule="auto"/>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技术部分评分</w:t>
            </w:r>
          </w:p>
          <w:p>
            <w:pPr>
              <w:pStyle w:val="19"/>
              <w:wordWrap w:val="0"/>
              <w:adjustRightInd/>
              <w:snapToGrid w:val="0"/>
              <w:spacing w:line="240" w:lineRule="auto"/>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（共</w:t>
            </w:r>
            <w:r>
              <w:rPr>
                <w:rFonts w:hint="eastAsia" w:asciiTheme="minorEastAsia" w:hAnsiTheme="minorEastAsia" w:eastAsiaTheme="minorEastAsia" w:cstheme="minorEastAsia"/>
                <w:b/>
                <w:color w:val="auto"/>
                <w:highlight w:val="none"/>
                <w:lang w:val="en-US" w:eastAsia="zh-CN"/>
              </w:rPr>
              <w:t>85</w:t>
            </w:r>
            <w:r>
              <w:rPr>
                <w:rFonts w:hint="eastAsia" w:asciiTheme="minorEastAsia" w:hAnsiTheme="minorEastAsia" w:eastAsiaTheme="minorEastAsia" w:cstheme="minorEastAsia"/>
                <w:b/>
                <w:color w:val="auto"/>
                <w:highlight w:val="none"/>
              </w:rPr>
              <w:t>分）</w:t>
            </w:r>
          </w:p>
        </w:tc>
        <w:tc>
          <w:tcPr>
            <w:tcW w:w="1065" w:type="dxa"/>
            <w:vAlign w:val="center"/>
          </w:tcPr>
          <w:p>
            <w:pPr>
              <w:pStyle w:val="23"/>
              <w:snapToGrid w:val="0"/>
              <w:spacing w:line="24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设计服务方案</w:t>
            </w:r>
          </w:p>
        </w:tc>
        <w:tc>
          <w:tcPr>
            <w:tcW w:w="5745" w:type="dxa"/>
            <w:vAlign w:val="center"/>
          </w:tcPr>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1、对项目现场周边自然条件、现状基本情况、现状管网等进行调查和综合分析,分析是否全面、是否深入细致，进行综合评定，横向比较，分档评分：对项目理解准确、全面、详细、可操作性强、针对性强的得4-5分；对项目理解较准确、较全面、较详细、可操作性较强、针对性较强的得2-3分。对项目理解不准确、不全面、不详细、可操作性弱、针对性弱的得0-1分。</w:t>
            </w:r>
          </w:p>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2、总体设计思路是否表述清晰、完整、严谨、合理，是否满足项目使用功能，与周边环境是否相协调。根据项目实际特点，是否合理应用技术标准。进行综合评定，横向比较，分档评分:优秀4-5分，良好2-3分，一般0-1分。</w:t>
            </w:r>
          </w:p>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3、本项目的实施方案图，图纸内容在满足项目基本需求的基础上，具备经济合理、且有创新设计的为优得4-5分；满足项目基本需求、具有可操作性的为良得2-3分；仅基本满足项目需求的为一般得0-1分。</w:t>
            </w:r>
          </w:p>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4、对关键技术问题是否有深入的表述，解决方案是否完整、经济、安全、切实可行，措施得力，进行综合评定，横向比较，分档评分:方案完整、合理、有针对性的得4-5分;方案较为完整、合理、有针对性不强的得2-</w:t>
            </w:r>
            <w:r>
              <w:rPr>
                <w:rFonts w:asciiTheme="minorEastAsia" w:hAnsiTheme="minorEastAsia" w:eastAsiaTheme="minorEastAsia" w:cstheme="minorEastAsia"/>
                <w:color w:val="auto"/>
                <w:kern w:val="2"/>
                <w:highlight w:val="none"/>
              </w:rPr>
              <w:t>3</w:t>
            </w:r>
            <w:r>
              <w:rPr>
                <w:rFonts w:hint="eastAsia" w:asciiTheme="minorEastAsia" w:hAnsiTheme="minorEastAsia" w:eastAsiaTheme="minorEastAsia" w:cstheme="minorEastAsia"/>
                <w:color w:val="auto"/>
                <w:kern w:val="2"/>
                <w:highlight w:val="none"/>
              </w:rPr>
              <w:t>分;方案不完整、不合理、没有针对性0-1分。</w:t>
            </w:r>
          </w:p>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5、对投标人的设计质量保证措施是否满足招标文件要求、是否内容全面、是否符合相关规范，进行综合评定，横向比较，分档评分：设计质量保证措施理解准确、全面、详细、可操作性强、针对性强的得4-5分；设计质量保证措施理解较准确、较全面、较详细、可操作性较强、针对性较强的得2-3分。设计质量保证措施理解不准确、不全面、不详细、可操作性弱、针对性弱的得0-1分。</w:t>
            </w:r>
          </w:p>
          <w:p>
            <w:pPr>
              <w:pStyle w:val="19"/>
              <w:wordWrap w:val="0"/>
              <w:adjustRightInd/>
              <w:snapToGrid w:val="0"/>
              <w:spacing w:line="240" w:lineRule="auto"/>
              <w:ind w:left="105"/>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kern w:val="2"/>
                <w:highlight w:val="none"/>
              </w:rPr>
              <w:t>6、对投标人后期服务（包括设计技术交底、施工中设计技术服务和参与施工过程中的分布验收和竣工验收）的安排及保证措施是否满足招标文件要求、是否内容全面、是否符合相关规范，进行综合评定，横向比较，分档评分。优秀4-5分，良好2-3分，一般0-1分。</w:t>
            </w:r>
          </w:p>
        </w:tc>
        <w:tc>
          <w:tcPr>
            <w:tcW w:w="1590" w:type="dxa"/>
            <w:vAlign w:val="center"/>
          </w:tcPr>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p>
          <w:p>
            <w:pPr>
              <w:pStyle w:val="19"/>
              <w:wordWrap w:val="0"/>
              <w:adjustRightInd/>
              <w:snapToGrid w:val="0"/>
              <w:spacing w:line="240" w:lineRule="auto"/>
              <w:ind w:left="105"/>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投标人需提供相关服务方案内容，</w:t>
            </w:r>
            <w:r>
              <w:rPr>
                <w:rFonts w:hint="eastAsia"/>
                <w:color w:val="auto"/>
                <w:highlight w:val="none"/>
              </w:rPr>
              <w:t>装订</w:t>
            </w:r>
            <w:r>
              <w:rPr>
                <w:rFonts w:hint="eastAsia" w:eastAsia="宋体"/>
                <w:color w:val="auto"/>
                <w:highlight w:val="none"/>
              </w:rPr>
              <w:t>入</w:t>
            </w:r>
            <w:r>
              <w:rPr>
                <w:rFonts w:hint="eastAsia" w:asciiTheme="minorEastAsia" w:hAnsiTheme="minorEastAsia" w:eastAsiaTheme="minorEastAsia" w:cstheme="minorEastAsia"/>
                <w:color w:val="auto"/>
                <w:kern w:val="2"/>
                <w:highlight w:val="none"/>
              </w:rPr>
              <w:t>磋商响应文件中；未提供的不得分；</w:t>
            </w:r>
          </w:p>
          <w:p>
            <w:pPr>
              <w:pStyle w:val="19"/>
              <w:wordWrap w:val="0"/>
              <w:adjustRightInd/>
              <w:snapToGrid w:val="0"/>
              <w:spacing w:line="240" w:lineRule="auto"/>
              <w:ind w:left="105"/>
              <w:rPr>
                <w:rFonts w:asciiTheme="minorEastAsia" w:hAnsiTheme="minorEastAsia" w:eastAsiaTheme="minorEastAsia" w:cstheme="minorEastAsia"/>
                <w:color w:val="auto"/>
                <w:highlight w:val="none"/>
              </w:rPr>
            </w:pPr>
          </w:p>
        </w:tc>
        <w:tc>
          <w:tcPr>
            <w:tcW w:w="690" w:type="dxa"/>
            <w:vAlign w:val="center"/>
          </w:tcPr>
          <w:p>
            <w:pPr>
              <w:pStyle w:val="8"/>
              <w:snapToGrid w:val="0"/>
              <w:spacing w:line="240" w:lineRule="auto"/>
              <w:ind w:firstLine="0" w:firstLineChars="0"/>
              <w:rPr>
                <w:rFonts w:asciiTheme="minorEastAsia" w:hAnsiTheme="minorEastAsia" w:eastAsiaTheme="minorEastAsia" w:cstheme="minorEastAsia"/>
                <w:color w:val="auto"/>
                <w:sz w:val="24"/>
                <w:highlight w:val="none"/>
              </w:rPr>
            </w:pPr>
          </w:p>
          <w:p>
            <w:pPr>
              <w:wordWrap w:val="0"/>
              <w:snapToGrid w:val="0"/>
              <w:spacing w:line="24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30分</w:t>
            </w:r>
          </w:p>
          <w:p>
            <w:pPr>
              <w:wordWrap w:val="0"/>
              <w:snapToGrid w:val="0"/>
              <w:spacing w:line="240" w:lineRule="auto"/>
              <w:rPr>
                <w:rFonts w:asciiTheme="minorEastAsia" w:hAnsiTheme="minorEastAsia" w:eastAsiaTheme="minorEastAsia" w:cs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pPr>
              <w:pStyle w:val="19"/>
              <w:wordWrap w:val="0"/>
              <w:adjustRightInd/>
              <w:snapToGrid w:val="0"/>
              <w:jc w:val="center"/>
              <w:rPr>
                <w:rFonts w:asciiTheme="minorEastAsia" w:hAnsiTheme="minorEastAsia" w:eastAsiaTheme="minorEastAsia" w:cstheme="minorEastAsia"/>
                <w:bCs/>
                <w:color w:val="auto"/>
                <w:highlight w:val="none"/>
              </w:rPr>
            </w:pPr>
          </w:p>
        </w:tc>
        <w:tc>
          <w:tcPr>
            <w:tcW w:w="1065" w:type="dxa"/>
            <w:vAlign w:val="center"/>
          </w:tcPr>
          <w:p>
            <w:pPr>
              <w:pStyle w:val="19"/>
              <w:wordWrap w:val="0"/>
              <w:adjustRightInd/>
              <w:snapToGrid w:val="0"/>
              <w:spacing w:line="240" w:lineRule="auto"/>
              <w:jc w:val="center"/>
              <w:rPr>
                <w:rFonts w:hint="default"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b/>
                <w:bCs/>
                <w:color w:val="auto"/>
                <w:kern w:val="2"/>
                <w:highlight w:val="none"/>
                <w:lang w:val="en-US" w:eastAsia="zh-CN"/>
              </w:rPr>
              <w:t>本地化服务</w:t>
            </w:r>
          </w:p>
        </w:tc>
        <w:tc>
          <w:tcPr>
            <w:tcW w:w="5745" w:type="dxa"/>
            <w:vAlign w:val="center"/>
          </w:tcPr>
          <w:p>
            <w:pPr>
              <w:pStyle w:val="19"/>
              <w:wordWrap w:val="0"/>
              <w:adjustRightInd/>
              <w:snapToGrid w:val="0"/>
              <w:spacing w:line="240" w:lineRule="auto"/>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投标人需在铜陵本地有固定办公场所，</w:t>
            </w:r>
            <w:r>
              <w:rPr>
                <w:rFonts w:hint="eastAsia" w:asciiTheme="minorEastAsia" w:hAnsiTheme="minorEastAsia" w:eastAsiaTheme="minorEastAsia" w:cstheme="minorEastAsia"/>
                <w:color w:val="auto"/>
                <w:kern w:val="2"/>
                <w:highlight w:val="none"/>
                <w:lang w:val="en-US" w:eastAsia="zh-CN"/>
              </w:rPr>
              <w:t>得4分。</w:t>
            </w:r>
            <w:r>
              <w:rPr>
                <w:rFonts w:hint="eastAsia" w:asciiTheme="minorEastAsia" w:hAnsiTheme="minorEastAsia" w:eastAsiaTheme="minorEastAsia" w:cstheme="minorEastAsia"/>
                <w:color w:val="auto"/>
                <w:kern w:val="2"/>
                <w:highlight w:val="none"/>
              </w:rPr>
              <w:t>在铜陵本地暂无办公场所但提供承诺在合同签订后</w:t>
            </w:r>
            <w:r>
              <w:rPr>
                <w:rFonts w:asciiTheme="minorEastAsia" w:hAnsiTheme="minorEastAsia" w:eastAsiaTheme="minorEastAsia" w:cstheme="minorEastAsia"/>
                <w:color w:val="auto"/>
                <w:kern w:val="2"/>
                <w:highlight w:val="none"/>
              </w:rPr>
              <w:t>20</w:t>
            </w:r>
            <w:r>
              <w:rPr>
                <w:rFonts w:hint="eastAsia" w:asciiTheme="minorEastAsia" w:hAnsiTheme="minorEastAsia" w:eastAsiaTheme="minorEastAsia" w:cstheme="minorEastAsia"/>
                <w:color w:val="auto"/>
                <w:kern w:val="2"/>
                <w:highlight w:val="none"/>
              </w:rPr>
              <w:t>天内设立办公场所</w:t>
            </w: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rPr>
              <w:t>得</w:t>
            </w:r>
            <w:r>
              <w:rPr>
                <w:rFonts w:hint="eastAsia" w:asciiTheme="minorEastAsia" w:hAnsiTheme="minorEastAsia" w:eastAsiaTheme="minorEastAsia" w:cstheme="minorEastAsia"/>
                <w:color w:val="auto"/>
                <w:kern w:val="2"/>
                <w:highlight w:val="none"/>
                <w:lang w:val="en-US" w:eastAsia="zh-CN"/>
              </w:rPr>
              <w:t>2</w:t>
            </w:r>
            <w:r>
              <w:rPr>
                <w:rFonts w:hint="eastAsia" w:asciiTheme="minorEastAsia" w:hAnsiTheme="minorEastAsia" w:eastAsiaTheme="minorEastAsia" w:cstheme="minorEastAsia"/>
                <w:color w:val="auto"/>
                <w:kern w:val="2"/>
                <w:highlight w:val="none"/>
              </w:rPr>
              <w:t>分。不满足不得分。</w:t>
            </w:r>
          </w:p>
        </w:tc>
        <w:tc>
          <w:tcPr>
            <w:tcW w:w="1590" w:type="dxa"/>
            <w:vAlign w:val="bottom"/>
          </w:tcPr>
          <w:p>
            <w:pPr>
              <w:pStyle w:val="19"/>
              <w:wordWrap w:val="0"/>
              <w:adjustRightInd/>
              <w:snapToGrid w:val="0"/>
              <w:spacing w:line="240" w:lineRule="auto"/>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提供相关证明材料扫描件或承诺书</w:t>
            </w:r>
            <w:r>
              <w:rPr>
                <w:rFonts w:hint="eastAsia"/>
                <w:color w:val="auto"/>
                <w:highlight w:val="none"/>
              </w:rPr>
              <w:t>装订</w:t>
            </w:r>
            <w:r>
              <w:rPr>
                <w:rFonts w:hint="eastAsia" w:eastAsia="宋体"/>
                <w:color w:val="auto"/>
                <w:highlight w:val="none"/>
              </w:rPr>
              <w:t>入</w:t>
            </w:r>
            <w:r>
              <w:rPr>
                <w:rFonts w:hint="eastAsia" w:asciiTheme="minorEastAsia" w:hAnsiTheme="minorEastAsia" w:eastAsiaTheme="minorEastAsia" w:cstheme="minorEastAsia"/>
                <w:color w:val="auto"/>
                <w:kern w:val="2"/>
                <w:highlight w:val="none"/>
              </w:rPr>
              <w:t>磋商响应文件中，未提供的不得分（原件备查）。</w:t>
            </w:r>
          </w:p>
        </w:tc>
        <w:tc>
          <w:tcPr>
            <w:tcW w:w="690" w:type="dxa"/>
            <w:vAlign w:val="center"/>
          </w:tcPr>
          <w:p>
            <w:pPr>
              <w:pStyle w:val="19"/>
              <w:wordWrap w:val="0"/>
              <w:adjustRightInd/>
              <w:snapToGrid w:val="0"/>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val="en-US" w:eastAsia="zh-CN"/>
              </w:rPr>
              <w:t>4</w:t>
            </w:r>
            <w:r>
              <w:rPr>
                <w:rFonts w:hint="eastAsia" w:asciiTheme="minorEastAsia" w:hAnsiTheme="minorEastAsia" w:eastAsiaTheme="minorEastAsia" w:cstheme="minorEastAsia"/>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pPr>
              <w:pStyle w:val="19"/>
              <w:wordWrap w:val="0"/>
              <w:adjustRightInd/>
              <w:snapToGrid w:val="0"/>
              <w:jc w:val="center"/>
              <w:rPr>
                <w:rFonts w:asciiTheme="minorEastAsia" w:hAnsiTheme="minorEastAsia" w:eastAsiaTheme="minorEastAsia" w:cstheme="minorEastAsia"/>
                <w:bCs/>
                <w:color w:val="auto"/>
                <w:highlight w:val="none"/>
              </w:rPr>
            </w:pPr>
          </w:p>
        </w:tc>
        <w:tc>
          <w:tcPr>
            <w:tcW w:w="1065" w:type="dxa"/>
            <w:vAlign w:val="center"/>
          </w:tcPr>
          <w:p>
            <w:pPr>
              <w:pStyle w:val="19"/>
              <w:wordWrap w:val="0"/>
              <w:adjustRightInd/>
              <w:snapToGrid w:val="0"/>
              <w:spacing w:line="240" w:lineRule="auto"/>
              <w:jc w:val="center"/>
              <w:rPr>
                <w:rFonts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rPr>
              <w:t>企业</w:t>
            </w:r>
          </w:p>
          <w:p>
            <w:pPr>
              <w:pStyle w:val="19"/>
              <w:wordWrap w:val="0"/>
              <w:adjustRightInd/>
              <w:snapToGrid w:val="0"/>
              <w:spacing w:line="240" w:lineRule="auto"/>
              <w:jc w:val="center"/>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color w:val="auto"/>
                <w:kern w:val="2"/>
                <w:highlight w:val="none"/>
              </w:rPr>
              <w:t>实力</w:t>
            </w:r>
          </w:p>
        </w:tc>
        <w:tc>
          <w:tcPr>
            <w:tcW w:w="5745" w:type="dxa"/>
            <w:vAlign w:val="center"/>
          </w:tcPr>
          <w:p>
            <w:pPr>
              <w:pStyle w:val="19"/>
              <w:wordWrap w:val="0"/>
              <w:adjustRightInd/>
              <w:snapToGrid w:val="0"/>
              <w:spacing w:line="240" w:lineRule="auto"/>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1</w:t>
            </w:r>
            <w:r>
              <w:rPr>
                <w:rFonts w:asciiTheme="minorEastAsia" w:hAnsiTheme="minorEastAsia" w:eastAsiaTheme="minorEastAsia" w:cstheme="minorEastAsia"/>
                <w:color w:val="auto"/>
                <w:kern w:val="2"/>
                <w:highlight w:val="none"/>
              </w:rPr>
              <w:t>.</w:t>
            </w:r>
            <w:r>
              <w:rPr>
                <w:rFonts w:hint="eastAsia" w:asciiTheme="minorEastAsia" w:hAnsiTheme="minorEastAsia" w:eastAsiaTheme="minorEastAsia" w:cstheme="minorEastAsia"/>
                <w:color w:val="auto"/>
                <w:kern w:val="2"/>
                <w:highlight w:val="none"/>
              </w:rPr>
              <w:t>投标人获得过市级及以上数据资源行政主管部门颁发的大数据企业证书得2分。</w:t>
            </w:r>
          </w:p>
          <w:p>
            <w:pPr>
              <w:pStyle w:val="19"/>
              <w:wordWrap w:val="0"/>
              <w:adjustRightInd/>
              <w:snapToGrid w:val="0"/>
              <w:spacing w:line="240" w:lineRule="auto"/>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2</w:t>
            </w:r>
            <w:r>
              <w:rPr>
                <w:rFonts w:asciiTheme="minorEastAsia" w:hAnsiTheme="minorEastAsia" w:eastAsiaTheme="minorEastAsia" w:cstheme="minorEastAsia"/>
                <w:color w:val="auto"/>
                <w:kern w:val="2"/>
                <w:highlight w:val="none"/>
              </w:rPr>
              <w:t>.</w:t>
            </w:r>
            <w:r>
              <w:rPr>
                <w:rFonts w:hint="eastAsia" w:asciiTheme="minorEastAsia" w:hAnsiTheme="minorEastAsia" w:eastAsiaTheme="minorEastAsia" w:cstheme="minorEastAsia"/>
                <w:color w:val="auto"/>
                <w:kern w:val="2"/>
                <w:highlight w:val="none"/>
              </w:rPr>
              <w:t>投标人具有有效期内的质量管理体系认证证书、环境管理体系认证证书、职业健康安全管理体系认证证书，信息安全管理管理体系认证每个证书得2分，最高得8分。</w:t>
            </w:r>
          </w:p>
        </w:tc>
        <w:tc>
          <w:tcPr>
            <w:tcW w:w="1590" w:type="dxa"/>
            <w:vAlign w:val="center"/>
          </w:tcPr>
          <w:p>
            <w:pPr>
              <w:pStyle w:val="19"/>
              <w:wordWrap w:val="0"/>
              <w:adjustRightInd/>
              <w:snapToGrid w:val="0"/>
              <w:spacing w:line="240" w:lineRule="auto"/>
              <w:jc w:val="left"/>
              <w:rPr>
                <w:rFonts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提供相关证明材料扫描件装订入磋商响应文件中，未提供的不得分（原件备查）。</w:t>
            </w:r>
          </w:p>
        </w:tc>
        <w:tc>
          <w:tcPr>
            <w:tcW w:w="690" w:type="dxa"/>
            <w:vAlign w:val="center"/>
          </w:tcPr>
          <w:p>
            <w:pPr>
              <w:pStyle w:val="19"/>
              <w:wordWrap w:val="0"/>
              <w:adjustRightInd/>
              <w:snapToGrid w:val="0"/>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val="en-US" w:eastAsia="zh-CN"/>
              </w:rPr>
              <w:t>10</w:t>
            </w:r>
            <w:r>
              <w:rPr>
                <w:rFonts w:hint="eastAsia" w:asciiTheme="minorEastAsia" w:hAnsiTheme="minorEastAsia" w:eastAsiaTheme="minorEastAsia" w:cstheme="minorEastAsia"/>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pPr>
              <w:pStyle w:val="19"/>
              <w:wordWrap w:val="0"/>
              <w:adjustRightInd/>
              <w:snapToGrid w:val="0"/>
              <w:jc w:val="center"/>
              <w:rPr>
                <w:rFonts w:asciiTheme="minorEastAsia" w:hAnsiTheme="minorEastAsia" w:eastAsiaTheme="minorEastAsia" w:cstheme="minorEastAsia"/>
                <w:bCs/>
                <w:color w:val="auto"/>
                <w:highlight w:val="none"/>
              </w:rPr>
            </w:pPr>
          </w:p>
        </w:tc>
        <w:tc>
          <w:tcPr>
            <w:tcW w:w="1065" w:type="dxa"/>
            <w:vAlign w:val="center"/>
          </w:tcPr>
          <w:p>
            <w:pPr>
              <w:snapToGrid w:val="0"/>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人员</w:t>
            </w:r>
          </w:p>
          <w:p>
            <w:pPr>
              <w:snapToGrid w:val="0"/>
              <w:spacing w:line="24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配备</w:t>
            </w:r>
          </w:p>
        </w:tc>
        <w:tc>
          <w:tcPr>
            <w:tcW w:w="5745" w:type="dxa"/>
            <w:vAlign w:val="center"/>
          </w:tcPr>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项目组成员中具有注册公用设备工程师（给水排水）的得2分；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项目组成员中具有注册土木（道路工程）工程师的得2分；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项目组成员中具有注册结构工程师的得2分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项目组成员中具有注册土木（岩土）工程师的得2分；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项目组成员中具有环境影响评价师工程师职业资格的得2分；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项目组成员中具有注册测绘师的得2分；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项目组成员中具有注册造价工程师的得2分；</w:t>
            </w:r>
          </w:p>
          <w:p>
            <w:pPr>
              <w:snapToGrid w:val="0"/>
              <w:spacing w:before="78" w:beforeLines="25" w:after="78" w:afterLines="25" w:line="240" w:lineRule="auto"/>
              <w:contextualSpacing/>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项目组成员中具有地理信息工程师及以上职称的得2分。</w:t>
            </w:r>
          </w:p>
          <w:p>
            <w:pPr>
              <w:snapToGrid w:val="0"/>
              <w:spacing w:before="78" w:beforeLines="25" w:after="78" w:afterLines="25" w:line="24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注：同一人有多个证书得分不累计。</w:t>
            </w:r>
          </w:p>
        </w:tc>
        <w:tc>
          <w:tcPr>
            <w:tcW w:w="1590" w:type="dxa"/>
            <w:vAlign w:val="center"/>
          </w:tcPr>
          <w:p>
            <w:pPr>
              <w:pStyle w:val="19"/>
              <w:wordWrap w:val="0"/>
              <w:adjustRightInd/>
              <w:snapToGrid w:val="0"/>
              <w:spacing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提供相关证明材料扫描件</w:t>
            </w:r>
            <w:r>
              <w:rPr>
                <w:rFonts w:hint="eastAsia"/>
                <w:color w:val="auto"/>
                <w:highlight w:val="none"/>
              </w:rPr>
              <w:t>装订</w:t>
            </w:r>
            <w:r>
              <w:rPr>
                <w:rFonts w:hint="eastAsia" w:eastAsia="宋体"/>
                <w:color w:val="auto"/>
                <w:highlight w:val="none"/>
              </w:rPr>
              <w:t>入</w:t>
            </w:r>
            <w:r>
              <w:rPr>
                <w:rFonts w:hint="eastAsia" w:asciiTheme="minorEastAsia" w:hAnsiTheme="minorEastAsia" w:eastAsiaTheme="minorEastAsia" w:cstheme="minorEastAsia"/>
                <w:color w:val="auto"/>
                <w:highlight w:val="none"/>
              </w:rPr>
              <w:t>磋商响应文件中，</w:t>
            </w:r>
            <w:r>
              <w:rPr>
                <w:rFonts w:hint="eastAsia" w:asciiTheme="minorEastAsia" w:hAnsiTheme="minorEastAsia" w:eastAsiaTheme="minorEastAsia" w:cstheme="minorEastAsia"/>
                <w:color w:val="auto"/>
                <w:kern w:val="2"/>
                <w:highlight w:val="none"/>
              </w:rPr>
              <w:t>未提供的不得分（原件备查）。</w:t>
            </w:r>
          </w:p>
        </w:tc>
        <w:tc>
          <w:tcPr>
            <w:tcW w:w="690" w:type="dxa"/>
            <w:vAlign w:val="center"/>
          </w:tcPr>
          <w:p>
            <w:pPr>
              <w:pStyle w:val="19"/>
              <w:wordWrap w:val="0"/>
              <w:adjustRightInd/>
              <w:snapToGrid w:val="0"/>
              <w:spacing w:line="240" w:lineRule="auto"/>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Merge w:val="continue"/>
            <w:vAlign w:val="center"/>
          </w:tcPr>
          <w:p>
            <w:pPr>
              <w:pStyle w:val="19"/>
              <w:wordWrap w:val="0"/>
              <w:adjustRightInd/>
              <w:snapToGrid w:val="0"/>
              <w:jc w:val="center"/>
              <w:rPr>
                <w:rFonts w:asciiTheme="minorEastAsia" w:hAnsiTheme="minorEastAsia" w:eastAsiaTheme="minorEastAsia" w:cstheme="minorEastAsia"/>
                <w:bCs/>
                <w:color w:val="auto"/>
                <w:highlight w:val="none"/>
              </w:rPr>
            </w:pPr>
          </w:p>
        </w:tc>
        <w:tc>
          <w:tcPr>
            <w:tcW w:w="1065" w:type="dxa"/>
            <w:vAlign w:val="center"/>
          </w:tcPr>
          <w:p>
            <w:pPr>
              <w:pStyle w:val="19"/>
              <w:wordWrap w:val="0"/>
              <w:adjustRightInd/>
              <w:snapToGrid w:val="0"/>
              <w:spacing w:line="240" w:lineRule="auto"/>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企业</w:t>
            </w:r>
          </w:p>
          <w:p>
            <w:pPr>
              <w:pStyle w:val="19"/>
              <w:wordWrap w:val="0"/>
              <w:adjustRightInd/>
              <w:snapToGrid w:val="0"/>
              <w:spacing w:line="240" w:lineRule="auto"/>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业绩</w:t>
            </w:r>
          </w:p>
        </w:tc>
        <w:tc>
          <w:tcPr>
            <w:tcW w:w="5745" w:type="dxa"/>
            <w:vAlign w:val="center"/>
          </w:tcPr>
          <w:p>
            <w:pPr>
              <w:snapToGrid w:val="0"/>
              <w:spacing w:before="78" w:beforeLines="25" w:after="78" w:afterLines="25" w:line="24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2015年1月1日以来</w:t>
            </w:r>
            <w:r>
              <w:rPr>
                <w:rFonts w:hint="eastAsia" w:asciiTheme="minorEastAsia" w:hAnsiTheme="minorEastAsia" w:eastAsiaTheme="minorEastAsia" w:cstheme="minorEastAsia"/>
                <w:color w:val="auto"/>
                <w:kern w:val="0"/>
                <w:sz w:val="24"/>
                <w:highlight w:val="none"/>
              </w:rPr>
              <w:t>（以合同签订日期为准）</w:t>
            </w:r>
            <w:r>
              <w:rPr>
                <w:rFonts w:hint="eastAsia" w:asciiTheme="minorEastAsia" w:hAnsiTheme="minorEastAsia" w:eastAsiaTheme="minorEastAsia" w:cstheme="minorEastAsia"/>
                <w:color w:val="auto"/>
                <w:kern w:val="0"/>
                <w:sz w:val="24"/>
                <w:highlight w:val="none"/>
              </w:rPr>
              <w:t>，完成类似项目（类似项目是</w:t>
            </w:r>
            <w:r>
              <w:rPr>
                <w:rFonts w:hint="eastAsia" w:asciiTheme="minorEastAsia" w:hAnsiTheme="minorEastAsia" w:eastAsiaTheme="minorEastAsia" w:cstheme="minorEastAsia"/>
                <w:color w:val="auto"/>
                <w:kern w:val="0"/>
                <w:sz w:val="24"/>
                <w:highlight w:val="none"/>
              </w:rPr>
              <w:t>指污水</w:t>
            </w:r>
            <w:r>
              <w:rPr>
                <w:rFonts w:hint="eastAsia" w:asciiTheme="minorEastAsia" w:hAnsiTheme="minorEastAsia" w:eastAsiaTheme="minorEastAsia" w:cstheme="minorEastAsia"/>
                <w:color w:val="auto"/>
                <w:kern w:val="0"/>
                <w:sz w:val="24"/>
                <w:highlight w:val="none"/>
                <w:lang w:val="en-US" w:eastAsia="zh-CN"/>
              </w:rPr>
              <w:t>管网</w:t>
            </w:r>
            <w:r>
              <w:rPr>
                <w:rFonts w:hint="eastAsia" w:asciiTheme="minorEastAsia" w:hAnsiTheme="minorEastAsia" w:eastAsiaTheme="minorEastAsia" w:cstheme="minorEastAsia"/>
                <w:color w:val="auto"/>
                <w:kern w:val="0"/>
                <w:sz w:val="24"/>
                <w:highlight w:val="none"/>
              </w:rPr>
              <w:t>项目）</w:t>
            </w:r>
            <w:r>
              <w:rPr>
                <w:rFonts w:hint="eastAsia" w:asciiTheme="minorEastAsia" w:hAnsiTheme="minorEastAsia" w:eastAsiaTheme="minorEastAsia" w:cstheme="minorEastAsia"/>
                <w:color w:val="auto"/>
                <w:kern w:val="0"/>
                <w:sz w:val="24"/>
                <w:highlight w:val="none"/>
              </w:rPr>
              <w:t>设计业绩的，每提供一份业绩合同得5分，最高得25分。</w:t>
            </w:r>
          </w:p>
        </w:tc>
        <w:tc>
          <w:tcPr>
            <w:tcW w:w="1590" w:type="dxa"/>
            <w:vAlign w:val="center"/>
          </w:tcPr>
          <w:p>
            <w:pPr>
              <w:snapToGrid w:val="0"/>
              <w:spacing w:before="78" w:beforeLines="25" w:after="78" w:afterLines="25" w:line="240" w:lineRule="auto"/>
              <w:contextualSpacing/>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sz w:val="24"/>
                <w:highlight w:val="none"/>
              </w:rPr>
              <w:t>提供业绩合同扫描件</w:t>
            </w:r>
            <w:r>
              <w:rPr>
                <w:rFonts w:hint="eastAsia"/>
                <w:color w:val="auto"/>
                <w:highlight w:val="none"/>
              </w:rPr>
              <w:t>装订</w:t>
            </w:r>
            <w:r>
              <w:rPr>
                <w:rFonts w:hint="eastAsia" w:eastAsia="宋体"/>
                <w:color w:val="auto"/>
                <w:highlight w:val="none"/>
              </w:rPr>
              <w:t>入</w:t>
            </w:r>
            <w:r>
              <w:rPr>
                <w:rFonts w:hint="eastAsia" w:asciiTheme="minorEastAsia" w:hAnsiTheme="minorEastAsia" w:eastAsiaTheme="minorEastAsia" w:cstheme="minorEastAsia"/>
                <w:color w:val="auto"/>
                <w:kern w:val="0"/>
                <w:sz w:val="24"/>
                <w:highlight w:val="none"/>
              </w:rPr>
              <w:t>磋商响应文件，未提供的不得分（原件备查）。</w:t>
            </w:r>
          </w:p>
        </w:tc>
        <w:tc>
          <w:tcPr>
            <w:tcW w:w="690" w:type="dxa"/>
            <w:vAlign w:val="center"/>
          </w:tcPr>
          <w:p>
            <w:pPr>
              <w:pStyle w:val="19"/>
              <w:wordWrap w:val="0"/>
              <w:adjustRightInd/>
              <w:snapToGrid w:val="0"/>
              <w:spacing w:line="240" w:lineRule="auto"/>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7" w:type="dxa"/>
            <w:vAlign w:val="center"/>
          </w:tcPr>
          <w:p>
            <w:pPr>
              <w:pStyle w:val="19"/>
              <w:wordWrap w:val="0"/>
              <w:adjustRightInd/>
              <w:snapToGrid w:val="0"/>
              <w:spacing w:line="240" w:lineRule="auto"/>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商务部分评分（1</w:t>
            </w:r>
            <w:r>
              <w:rPr>
                <w:rFonts w:hint="eastAsia" w:asciiTheme="minorEastAsia" w:hAnsiTheme="minorEastAsia" w:eastAsiaTheme="minorEastAsia" w:cstheme="minorEastAsia"/>
                <w:b/>
                <w:color w:val="auto"/>
                <w:highlight w:val="none"/>
                <w:lang w:val="en-US" w:eastAsia="zh-CN"/>
              </w:rPr>
              <w:t>5</w:t>
            </w:r>
            <w:r>
              <w:rPr>
                <w:rFonts w:hint="eastAsia" w:asciiTheme="minorEastAsia" w:hAnsiTheme="minorEastAsia" w:eastAsiaTheme="minorEastAsia" w:cstheme="minorEastAsia"/>
                <w:b/>
                <w:color w:val="auto"/>
                <w:highlight w:val="none"/>
              </w:rPr>
              <w:t>分）</w:t>
            </w:r>
          </w:p>
        </w:tc>
        <w:tc>
          <w:tcPr>
            <w:tcW w:w="1065" w:type="dxa"/>
            <w:vAlign w:val="center"/>
          </w:tcPr>
          <w:p>
            <w:pPr>
              <w:snapToGrid w:val="0"/>
              <w:spacing w:line="24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w:t>
            </w:r>
          </w:p>
          <w:p>
            <w:pPr>
              <w:snapToGrid w:val="0"/>
              <w:spacing w:line="24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w:t>
            </w:r>
          </w:p>
        </w:tc>
        <w:tc>
          <w:tcPr>
            <w:tcW w:w="7335" w:type="dxa"/>
            <w:gridSpan w:val="2"/>
            <w:vAlign w:val="center"/>
          </w:tcPr>
          <w:p>
            <w:pPr>
              <w:pStyle w:val="19"/>
              <w:wordWrap w:val="0"/>
              <w:adjustRightInd/>
              <w:snapToGrid w:val="0"/>
              <w:spacing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根据各投标人的最终有效投标报价，满足磋商文件要求且最后报价最低的服务单位的价格为磋商基准价，其价格分为满分1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分。其他服务单位的价格分统一按照下列公式计算：</w:t>
            </w:r>
          </w:p>
          <w:p>
            <w:pPr>
              <w:pStyle w:val="19"/>
              <w:wordWrap w:val="0"/>
              <w:adjustRightInd/>
              <w:snapToGrid w:val="0"/>
              <w:spacing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磋商报价得分=（磋商基准价/最后磋商报价）×1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（四舍五入，精确到小数点后两位）。</w:t>
            </w:r>
          </w:p>
        </w:tc>
        <w:tc>
          <w:tcPr>
            <w:tcW w:w="690" w:type="dxa"/>
            <w:vAlign w:val="center"/>
          </w:tcPr>
          <w:p>
            <w:pPr>
              <w:pStyle w:val="19"/>
              <w:wordWrap w:val="0"/>
              <w:adjustRightInd/>
              <w:snapToGrid w:val="0"/>
              <w:spacing w:line="240" w:lineRule="auto"/>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分</w:t>
            </w:r>
          </w:p>
        </w:tc>
      </w:tr>
    </w:tbl>
    <w:p>
      <w:pPr>
        <w:snapToGrid w:val="0"/>
        <w:ind w:firstLine="482" w:firstLineChars="200"/>
        <w:textAlignment w:val="baseline"/>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19、附则</w:t>
      </w:r>
      <w:bookmarkStart w:id="13" w:name="_Toc383776348"/>
      <w:r>
        <w:rPr>
          <w:rFonts w:hint="eastAsia" w:asciiTheme="minorEastAsia" w:hAnsiTheme="minorEastAsia" w:eastAsiaTheme="minorEastAsia"/>
          <w:b/>
          <w:color w:val="auto"/>
          <w:sz w:val="24"/>
          <w:highlight w:val="none"/>
        </w:rPr>
        <w:t>：无</w:t>
      </w:r>
    </w:p>
    <w:p>
      <w:pPr>
        <w:pStyle w:val="7"/>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（七）合同的签订、履行及验收</w:t>
      </w:r>
      <w:bookmarkEnd w:id="13"/>
    </w:p>
    <w:p>
      <w:pPr>
        <w:snapToGrid w:val="0"/>
        <w:ind w:firstLine="482" w:firstLineChars="200"/>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20．合同的签订、履行及验收</w:t>
      </w:r>
    </w:p>
    <w:p>
      <w:pPr>
        <w:snapToGrid w:val="0"/>
        <w:ind w:firstLine="482" w:firstLineChars="200"/>
        <w:textAlignment w:val="baseline"/>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20.1签订合同</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20.1.1成交供应商在收到《成交通知书》后，应在磋商文件规定的时间内与采购人签订合同。由于成交供应商的原因逾期未签订合同的，将视为放弃成交，取消其成交资格并将按相关规定进行处理。</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20.1.2具体采购时，采购人不得向成交供应商提出任何不合理的要求，作为签订合同的条件，不得与成交供应商私下订立背离合同实质性内容的任何协议，所签订的合同不得对竞争性磋商文件和成交供应商磋商响应书作实质性修改</w:t>
      </w:r>
    </w:p>
    <w:p>
      <w:pPr>
        <w:snapToGrid w:val="0"/>
        <w:ind w:firstLine="482" w:firstLineChars="200"/>
        <w:textAlignment w:val="baseline"/>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20.2履行合同</w:t>
      </w:r>
    </w:p>
    <w:p>
      <w:pPr>
        <w:snapToGrid w:val="0"/>
        <w:ind w:firstLine="480" w:firstLineChars="200"/>
        <w:textAlignment w:val="baseline"/>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20.2.1成交供应商与采购人签订合同后，合同双方应严格执行合同条款，履行合同规定的义务，保证合同的顺利完成。</w:t>
      </w:r>
    </w:p>
    <w:p>
      <w:pPr>
        <w:pStyle w:val="19"/>
        <w:snapToGrid w:val="0"/>
        <w:ind w:firstLine="480" w:firstLineChars="200"/>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20.2.2在合同履行过程中，如发生合同纠纷，合同双方应按照《合同法》的有关规定进行处理。</w:t>
      </w:r>
    </w:p>
    <w:p>
      <w:pPr>
        <w:pStyle w:val="7"/>
        <w:spacing w:line="360" w:lineRule="auto"/>
        <w:jc w:val="center"/>
        <w:textAlignment w:val="baseline"/>
        <w:rPr>
          <w:rFonts w:cs="宋体" w:asciiTheme="minorEastAsia" w:hAnsiTheme="minorEastAsia" w:eastAsiaTheme="minorEastAsia"/>
          <w:color w:val="auto"/>
          <w:sz w:val="24"/>
          <w:szCs w:val="24"/>
          <w:highlight w:val="none"/>
        </w:rPr>
      </w:pPr>
      <w:bookmarkStart w:id="14" w:name="_Toc383776349"/>
      <w:r>
        <w:rPr>
          <w:rFonts w:hint="eastAsia" w:cs="宋体" w:asciiTheme="minorEastAsia" w:hAnsiTheme="minorEastAsia" w:eastAsiaTheme="minorEastAsia"/>
          <w:color w:val="auto"/>
          <w:sz w:val="24"/>
          <w:szCs w:val="24"/>
          <w:highlight w:val="none"/>
        </w:rPr>
        <w:t>（八）质疑</w:t>
      </w:r>
      <w:bookmarkEnd w:id="14"/>
    </w:p>
    <w:p>
      <w:pPr>
        <w:snapToGrid w:val="0"/>
        <w:ind w:firstLine="482" w:firstLineChars="200"/>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21．质疑</w:t>
      </w:r>
    </w:p>
    <w:p>
      <w:pPr>
        <w:pStyle w:val="19"/>
        <w:snapToGrid w:val="0"/>
        <w:ind w:firstLine="480" w:firstLineChars="200"/>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对成交公示有异议的，应在成交公示发布期间内以书面形式提出质疑，逾期不予受理。关于采购文件中非通用条款部分方面及评标结果的质疑向采购人提出，采购人在七个工作日内作出答复，关于采购文件通用条款部分以及采购程序方面的质疑向采购代理单位提出，由采购代理单位作出答复。质疑供应商对答复内容不满意的或受理单位未在规定时间内作出答复的，可在答复期满后十五个工作日内向相关行政部门提出投诉。</w:t>
      </w:r>
    </w:p>
    <w:p>
      <w:pPr>
        <w:snapToGrid w:val="0"/>
        <w:jc w:val="center"/>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第四章 项目需求</w:t>
      </w:r>
    </w:p>
    <w:p>
      <w:pPr>
        <w:snapToGrid w:val="0"/>
        <w:rPr>
          <w:rFonts w:ascii="宋体" w:hAnsi="宋体" w:eastAsia="宋体" w:cs="宋体"/>
          <w:b/>
          <w:bCs/>
          <w:color w:val="auto"/>
          <w:sz w:val="24"/>
          <w:highlight w:val="none"/>
        </w:rPr>
      </w:pPr>
      <w:bookmarkStart w:id="15" w:name="_Toc407096156"/>
      <w:bookmarkStart w:id="16" w:name="_Toc466486981"/>
      <w:bookmarkStart w:id="17" w:name="_Toc466365978"/>
      <w:r>
        <w:rPr>
          <w:rFonts w:hint="eastAsia" w:ascii="宋体" w:hAnsi="宋体" w:eastAsia="宋体" w:cs="宋体"/>
          <w:b/>
          <w:bCs/>
          <w:color w:val="auto"/>
          <w:sz w:val="24"/>
          <w:highlight w:val="none"/>
        </w:rPr>
        <w:t>一、项目概况：</w:t>
      </w:r>
    </w:p>
    <w:p>
      <w:pPr>
        <w:pStyle w:val="19"/>
        <w:adjustRightInd/>
        <w:snapToGrid w:val="0"/>
        <w:ind w:left="420" w:firstLine="480" w:firstLineChars="200"/>
        <w:rPr>
          <w:rFonts w:eastAsia="宋体"/>
          <w:bCs/>
          <w:color w:val="auto"/>
          <w:highlight w:val="none"/>
        </w:rPr>
      </w:pPr>
      <w:r>
        <w:rPr>
          <w:rFonts w:hint="eastAsia" w:eastAsia="宋体"/>
          <w:bCs/>
          <w:color w:val="auto"/>
          <w:highlight w:val="none"/>
        </w:rPr>
        <w:t>1</w:t>
      </w:r>
      <w:r>
        <w:rPr>
          <w:rFonts w:eastAsia="宋体"/>
          <w:bCs/>
          <w:color w:val="auto"/>
          <w:highlight w:val="none"/>
        </w:rPr>
        <w:t>.</w:t>
      </w:r>
      <w:r>
        <w:rPr>
          <w:rFonts w:hint="eastAsia" w:eastAsia="宋体"/>
          <w:color w:val="auto"/>
          <w:highlight w:val="none"/>
        </w:rPr>
        <w:t>本项目拟对铜陵市狮子山高新区铜都大道和沿江快速路以南、芜铜铁路以北、红星河以东围合片区内工业污水进行收集排放，工程主要建设内容为污水收集和提升至狮子山工业污水处理厂等。主要设计内容包括但不限于：方案设计（预测污水量、确定管线路由及污水收集方式、确定管道敷设工艺及泵站工艺）；污水重力主管及接入支管平面和纵断设计；污水压力管平面和纵断设计；污水提升泵站设计；管道穿越铁路设计；绿化拆除及恢复设计；路面破除及恢复设计等；项目预计总投资额约1200万元，资金来源为自筹</w:t>
      </w:r>
      <w:r>
        <w:rPr>
          <w:rFonts w:hint="eastAsia" w:eastAsia="宋体"/>
          <w:bCs/>
          <w:color w:val="auto"/>
          <w:highlight w:val="none"/>
        </w:rPr>
        <w:t>。</w:t>
      </w:r>
    </w:p>
    <w:p>
      <w:pPr>
        <w:pStyle w:val="19"/>
        <w:adjustRightInd/>
        <w:snapToGrid w:val="0"/>
        <w:ind w:left="420" w:firstLine="480" w:firstLineChars="200"/>
        <w:rPr>
          <w:rFonts w:eastAsia="宋体"/>
          <w:bCs/>
          <w:color w:val="auto"/>
          <w:highlight w:val="none"/>
        </w:rPr>
      </w:pPr>
      <w:r>
        <w:rPr>
          <w:rFonts w:hint="eastAsia" w:eastAsia="宋体"/>
          <w:bCs/>
          <w:color w:val="auto"/>
          <w:highlight w:val="none"/>
        </w:rPr>
        <w:t>2.招标范围：方案设计、初步设计（含评审）、概算、及施工图设计；工程地质勘察；地形图测绘、测量及局部地下管线物探等招标人满足本项目所需要的设计内容。同时还包括：现场指导与监督、竣工验收及质量保修阶段的设计服务工作、现场服务与技术交底及满足招标人对该项目使用要求的配套项目、附属工程等该项目全部设计内容。</w:t>
      </w:r>
    </w:p>
    <w:p>
      <w:pPr>
        <w:snapToGrid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二、设计要求：</w:t>
      </w:r>
    </w:p>
    <w:p>
      <w:pPr>
        <w:pStyle w:val="19"/>
        <w:adjustRightInd/>
        <w:snapToGrid w:val="0"/>
        <w:ind w:left="420" w:firstLine="480" w:firstLineChars="200"/>
        <w:rPr>
          <w:rFonts w:eastAsia="宋体"/>
          <w:bCs/>
          <w:color w:val="auto"/>
          <w:highlight w:val="none"/>
        </w:rPr>
      </w:pPr>
      <w:r>
        <w:rPr>
          <w:rFonts w:hint="eastAsia" w:eastAsia="宋体"/>
          <w:bCs/>
          <w:color w:val="auto"/>
          <w:highlight w:val="none"/>
        </w:rPr>
        <w:t>1、设计周期安排计划：总设计周期为15日历天。</w:t>
      </w:r>
    </w:p>
    <w:p>
      <w:pPr>
        <w:pStyle w:val="19"/>
        <w:adjustRightInd/>
        <w:snapToGrid w:val="0"/>
        <w:ind w:left="420" w:firstLine="480" w:firstLineChars="200"/>
        <w:rPr>
          <w:rFonts w:eastAsia="宋体"/>
          <w:bCs/>
          <w:color w:val="auto"/>
          <w:highlight w:val="none"/>
        </w:rPr>
      </w:pPr>
      <w:r>
        <w:rPr>
          <w:rFonts w:hint="eastAsia" w:eastAsia="宋体"/>
          <w:bCs/>
          <w:color w:val="auto"/>
          <w:highlight w:val="none"/>
        </w:rPr>
        <w:t>2、施工图设计深度：</w:t>
      </w:r>
      <w:r>
        <w:rPr>
          <w:rFonts w:hint="eastAsia" w:eastAsia="宋体"/>
          <w:bCs/>
          <w:color w:val="auto"/>
          <w:highlight w:val="none"/>
        </w:rPr>
        <w:t>详见《工程设计深度规定（2016年版）》住建部-建质函【2016】247号文。</w:t>
      </w:r>
    </w:p>
    <w:p>
      <w:pPr>
        <w:pStyle w:val="19"/>
        <w:adjustRightInd/>
        <w:snapToGrid w:val="0"/>
        <w:ind w:left="420" w:firstLine="480" w:firstLineChars="200"/>
        <w:rPr>
          <w:rFonts w:eastAsia="宋体"/>
          <w:bCs/>
          <w:color w:val="auto"/>
          <w:highlight w:val="none"/>
        </w:rPr>
      </w:pPr>
      <w:r>
        <w:rPr>
          <w:rFonts w:hint="eastAsia" w:eastAsia="宋体"/>
          <w:bCs/>
          <w:color w:val="auto"/>
          <w:highlight w:val="none"/>
        </w:rPr>
        <w:t>3、施工图设计限额：</w:t>
      </w:r>
      <w:r>
        <w:rPr>
          <w:rFonts w:hint="eastAsia" w:eastAsia="宋体"/>
          <w:bCs/>
          <w:color w:val="auto"/>
          <w:highlight w:val="none"/>
        </w:rPr>
        <w:t>施工图所有内容的总设计概算金额不得超过1200万元。</w:t>
      </w:r>
    </w:p>
    <w:p>
      <w:pPr>
        <w:pStyle w:val="19"/>
        <w:adjustRightInd/>
        <w:snapToGrid w:val="0"/>
        <w:ind w:left="420" w:firstLine="480" w:firstLineChars="200"/>
        <w:rPr>
          <w:rFonts w:eastAsia="宋体"/>
          <w:bCs/>
          <w:color w:val="auto"/>
          <w:highlight w:val="none"/>
          <w:lang w:val="zh-CN"/>
        </w:rPr>
      </w:pPr>
      <w:r>
        <w:rPr>
          <w:rFonts w:hint="eastAsia" w:eastAsia="宋体"/>
          <w:bCs/>
          <w:color w:val="auto"/>
          <w:highlight w:val="none"/>
        </w:rPr>
        <w:t>4</w:t>
      </w:r>
      <w:r>
        <w:rPr>
          <w:rFonts w:hint="eastAsia" w:eastAsia="宋体"/>
          <w:bCs/>
          <w:color w:val="auto"/>
          <w:highlight w:val="none"/>
          <w:lang w:val="zh-CN"/>
        </w:rPr>
        <w:t>、本工程施工期间，如发生施工内容需要变更，设计单位必须委派专人全程提供设计服务，</w:t>
      </w:r>
      <w:r>
        <w:rPr>
          <w:rFonts w:hint="eastAsia" w:eastAsia="宋体"/>
          <w:bCs/>
          <w:color w:val="auto"/>
          <w:highlight w:val="none"/>
        </w:rPr>
        <w:t>费用不另增加</w:t>
      </w:r>
      <w:r>
        <w:rPr>
          <w:rFonts w:hint="eastAsia" w:eastAsia="宋体"/>
          <w:bCs/>
          <w:color w:val="auto"/>
          <w:highlight w:val="none"/>
          <w:lang w:val="zh-CN"/>
        </w:rPr>
        <w:t>。</w:t>
      </w:r>
    </w:p>
    <w:p>
      <w:pPr>
        <w:snapToGrid w:val="0"/>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zh-CN"/>
        </w:rPr>
        <w:t>、设计依据：</w:t>
      </w:r>
    </w:p>
    <w:p>
      <w:pPr>
        <w:pStyle w:val="19"/>
        <w:adjustRightInd/>
        <w:snapToGrid w:val="0"/>
        <w:ind w:left="420" w:firstLine="480" w:firstLineChars="200"/>
        <w:rPr>
          <w:rFonts w:eastAsia="宋体"/>
          <w:bCs/>
          <w:color w:val="auto"/>
          <w:highlight w:val="none"/>
        </w:rPr>
      </w:pPr>
      <w:r>
        <w:rPr>
          <w:rFonts w:hint="eastAsia" w:eastAsia="宋体"/>
          <w:bCs/>
          <w:color w:val="auto"/>
          <w:highlight w:val="none"/>
        </w:rPr>
        <w:t>国家现行设计法律法规和规范、当地规划、图审、消防验收要求和标准、招标人的使用功能要求。</w:t>
      </w:r>
    </w:p>
    <w:p>
      <w:pPr>
        <w:snapToGrid w:val="0"/>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四、设计质量要求：</w:t>
      </w:r>
    </w:p>
    <w:p>
      <w:pPr>
        <w:pStyle w:val="19"/>
        <w:adjustRightInd/>
        <w:snapToGrid w:val="0"/>
        <w:ind w:left="420" w:firstLine="480" w:firstLineChars="200"/>
        <w:jc w:val="left"/>
        <w:rPr>
          <w:rFonts w:eastAsia="宋体"/>
          <w:bCs/>
          <w:color w:val="auto"/>
          <w:highlight w:val="none"/>
          <w:lang w:val="zh-CN"/>
        </w:rPr>
      </w:pPr>
      <w:r>
        <w:rPr>
          <w:rFonts w:hint="eastAsia" w:eastAsia="宋体"/>
          <w:bCs/>
          <w:color w:val="auto"/>
          <w:highlight w:val="none"/>
          <w:lang w:val="zh-CN"/>
        </w:rPr>
        <w:t>确保通过本地规划、消防、施工图审查合格，满足限额设计要求，满足招标人会审要求；否则无条件返工至合格。</w:t>
      </w:r>
    </w:p>
    <w:p>
      <w:pPr>
        <w:snapToGrid w:val="0"/>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五、其他说明：</w:t>
      </w:r>
    </w:p>
    <w:p>
      <w:pPr>
        <w:pStyle w:val="19"/>
        <w:adjustRightInd/>
        <w:snapToGrid w:val="0"/>
        <w:ind w:left="420" w:firstLine="480" w:firstLineChars="200"/>
        <w:jc w:val="left"/>
        <w:rPr>
          <w:rFonts w:eastAsia="宋体"/>
          <w:bCs/>
          <w:color w:val="auto"/>
          <w:highlight w:val="none"/>
          <w:lang w:val="zh-CN"/>
        </w:rPr>
      </w:pPr>
    </w:p>
    <w:p>
      <w:pPr>
        <w:pStyle w:val="19"/>
        <w:adjustRightInd/>
        <w:snapToGrid w:val="0"/>
        <w:ind w:left="420" w:firstLine="480" w:firstLineChars="200"/>
        <w:jc w:val="left"/>
        <w:rPr>
          <w:rFonts w:eastAsia="宋体"/>
          <w:bCs/>
          <w:color w:val="auto"/>
          <w:highlight w:val="none"/>
          <w:lang w:val="zh-CN"/>
        </w:rPr>
      </w:pPr>
      <w:r>
        <w:rPr>
          <w:rFonts w:hint="eastAsia" w:eastAsia="宋体"/>
          <w:bCs/>
          <w:color w:val="auto"/>
          <w:highlight w:val="none"/>
          <w:lang w:val="zh-CN"/>
        </w:rPr>
        <w:t>1</w:t>
      </w:r>
      <w:r>
        <w:rPr>
          <w:rFonts w:eastAsia="宋体"/>
          <w:bCs/>
          <w:color w:val="auto"/>
          <w:highlight w:val="none"/>
          <w:lang w:val="zh-CN"/>
        </w:rPr>
        <w:t>.</w:t>
      </w:r>
      <w:r>
        <w:rPr>
          <w:rFonts w:hint="eastAsia" w:eastAsia="宋体"/>
          <w:bCs/>
          <w:color w:val="auto"/>
          <w:highlight w:val="none"/>
          <w:lang w:val="zh-CN"/>
        </w:rPr>
        <w:t>如本章内容与其他章节有冲突，以本章内容为准。</w:t>
      </w:r>
    </w:p>
    <w:p>
      <w:pPr>
        <w:pStyle w:val="19"/>
        <w:adjustRightInd/>
        <w:snapToGrid w:val="0"/>
        <w:ind w:left="420" w:firstLine="480" w:firstLineChars="200"/>
        <w:jc w:val="left"/>
        <w:rPr>
          <w:rFonts w:eastAsia="宋体"/>
          <w:bCs/>
          <w:color w:val="auto"/>
          <w:highlight w:val="none"/>
          <w:lang w:val="zh-CN"/>
        </w:rPr>
      </w:pPr>
      <w:r>
        <w:rPr>
          <w:rFonts w:hint="eastAsia" w:eastAsia="宋体"/>
          <w:bCs/>
          <w:color w:val="auto"/>
          <w:highlight w:val="none"/>
          <w:lang w:val="zh-CN"/>
        </w:rPr>
        <w:t>2</w:t>
      </w:r>
      <w:r>
        <w:rPr>
          <w:rFonts w:eastAsia="宋体"/>
          <w:bCs/>
          <w:color w:val="auto"/>
          <w:highlight w:val="none"/>
          <w:lang w:val="zh-CN"/>
        </w:rPr>
        <w:t>.</w:t>
      </w:r>
      <w:r>
        <w:rPr>
          <w:rFonts w:hint="eastAsia" w:eastAsia="宋体"/>
          <w:bCs/>
          <w:color w:val="auto"/>
          <w:highlight w:val="none"/>
          <w:lang w:val="zh-CN"/>
        </w:rPr>
        <w:t>如本章内容与国家法律法规相冲突的，以相关法律法规为准。</w:t>
      </w:r>
    </w:p>
    <w:p>
      <w:pPr>
        <w:pStyle w:val="19"/>
        <w:adjustRightInd/>
        <w:snapToGrid w:val="0"/>
        <w:ind w:left="420" w:firstLine="480" w:firstLineChars="200"/>
        <w:jc w:val="left"/>
        <w:rPr>
          <w:rFonts w:eastAsia="宋体"/>
          <w:bCs/>
          <w:color w:val="auto"/>
          <w:highlight w:val="none"/>
          <w:lang w:val="zh-CN"/>
        </w:rPr>
      </w:pPr>
      <w:r>
        <w:rPr>
          <w:rFonts w:hint="eastAsia" w:eastAsia="宋体"/>
          <w:bCs/>
          <w:color w:val="auto"/>
          <w:highlight w:val="none"/>
          <w:lang w:val="zh-CN"/>
        </w:rPr>
        <w:t>3</w:t>
      </w:r>
      <w:r>
        <w:rPr>
          <w:rFonts w:eastAsia="宋体"/>
          <w:bCs/>
          <w:color w:val="auto"/>
          <w:highlight w:val="none"/>
          <w:lang w:val="zh-CN"/>
        </w:rPr>
        <w:t>.</w:t>
      </w:r>
      <w:r>
        <w:rPr>
          <w:rFonts w:hint="eastAsia" w:eastAsia="宋体"/>
          <w:bCs/>
          <w:color w:val="auto"/>
          <w:highlight w:val="none"/>
          <w:lang w:val="zh-CN"/>
        </w:rPr>
        <w:t>如本章内容与国家、地方强制标准相冲突的，以强制标准为准。</w:t>
      </w:r>
    </w:p>
    <w:p>
      <w:pPr>
        <w:pStyle w:val="19"/>
        <w:adjustRightInd/>
        <w:snapToGrid w:val="0"/>
        <w:ind w:left="420" w:firstLine="480" w:firstLineChars="200"/>
        <w:jc w:val="left"/>
        <w:rPr>
          <w:rFonts w:eastAsia="宋体"/>
          <w:bCs/>
          <w:color w:val="auto"/>
          <w:highlight w:val="none"/>
        </w:rPr>
      </w:pPr>
      <w:r>
        <w:rPr>
          <w:rFonts w:hint="eastAsia" w:eastAsia="宋体"/>
          <w:bCs/>
          <w:color w:val="auto"/>
          <w:highlight w:val="none"/>
        </w:rPr>
        <w:br w:type="page"/>
      </w:r>
      <w:bookmarkEnd w:id="15"/>
      <w:bookmarkEnd w:id="16"/>
      <w:bookmarkEnd w:id="17"/>
    </w:p>
    <w:p>
      <w:pPr>
        <w:pStyle w:val="19"/>
        <w:adjustRightInd/>
        <w:snapToGrid w:val="0"/>
        <w:ind w:left="420" w:firstLine="643" w:firstLineChars="200"/>
        <w:jc w:val="center"/>
        <w:rPr>
          <w:rFonts w:eastAsia="宋体"/>
          <w:b/>
          <w:bCs/>
          <w:color w:val="auto"/>
          <w:sz w:val="32"/>
          <w:szCs w:val="32"/>
          <w:highlight w:val="none"/>
        </w:rPr>
      </w:pPr>
      <w:r>
        <w:rPr>
          <w:rFonts w:hint="eastAsia" w:eastAsia="宋体"/>
          <w:b/>
          <w:bCs/>
          <w:color w:val="auto"/>
          <w:sz w:val="32"/>
          <w:szCs w:val="32"/>
          <w:highlight w:val="none"/>
        </w:rPr>
        <w:t>第五章合同条款</w:t>
      </w:r>
    </w:p>
    <w:p>
      <w:pPr>
        <w:rPr>
          <w:rFonts w:ascii="宋体" w:hAnsi="宋体" w:eastAsia="宋体" w:cs="宋体"/>
          <w:bCs/>
          <w:color w:val="auto"/>
          <w:sz w:val="32"/>
          <w:szCs w:val="32"/>
          <w:highlight w:val="none"/>
        </w:rPr>
      </w:pPr>
      <w:r>
        <w:rPr>
          <w:rFonts w:hint="eastAsia" w:ascii="宋体" w:hAnsi="宋体" w:eastAsia="宋体" w:cs="宋体"/>
          <w:bCs/>
          <w:color w:val="auto"/>
          <w:sz w:val="30"/>
          <w:szCs w:val="30"/>
          <w:highlight w:val="none"/>
        </w:rPr>
        <w:t>GF—2015—0209</w:t>
      </w:r>
    </w:p>
    <w:p>
      <w:pPr>
        <w:ind w:firstLine="5737" w:firstLineChars="1905"/>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合同编号：</w:t>
      </w:r>
    </w:p>
    <w:p>
      <w:pPr>
        <w:jc w:val="center"/>
        <w:rPr>
          <w:rFonts w:ascii="宋体" w:hAnsi="宋体" w:eastAsia="宋体" w:cs="宋体"/>
          <w:b/>
          <w:color w:val="auto"/>
          <w:sz w:val="52"/>
          <w:szCs w:val="52"/>
          <w:highlight w:val="none"/>
        </w:rPr>
      </w:pPr>
    </w:p>
    <w:p>
      <w:pPr>
        <w:jc w:val="center"/>
        <w:rPr>
          <w:rFonts w:ascii="宋体" w:hAnsi="宋体" w:eastAsia="宋体" w:cs="宋体"/>
          <w:b/>
          <w:color w:val="auto"/>
          <w:sz w:val="52"/>
          <w:szCs w:val="52"/>
          <w:highlight w:val="none"/>
        </w:rPr>
      </w:pPr>
    </w:p>
    <w:p>
      <w:pPr>
        <w:jc w:val="center"/>
        <w:rPr>
          <w:rFonts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建设工程设计合同示范文本</w:t>
      </w:r>
    </w:p>
    <w:p>
      <w:pPr>
        <w:jc w:val="center"/>
        <w:rPr>
          <w:rFonts w:ascii="宋体" w:hAnsi="宋体" w:eastAsia="宋体" w:cs="宋体"/>
          <w:b/>
          <w:color w:val="auto"/>
          <w:sz w:val="52"/>
          <w:szCs w:val="52"/>
          <w:highlight w:val="none"/>
        </w:rPr>
      </w:pPr>
    </w:p>
    <w:p>
      <w:pPr>
        <w:jc w:val="center"/>
        <w:rPr>
          <w:rFonts w:ascii="宋体" w:hAnsi="宋体" w:eastAsia="宋体" w:cs="宋体"/>
          <w:b/>
          <w:color w:val="auto"/>
          <w:sz w:val="72"/>
          <w:szCs w:val="72"/>
          <w:highlight w:val="none"/>
        </w:rPr>
      </w:pPr>
    </w:p>
    <w:p>
      <w:pPr>
        <w:jc w:val="center"/>
        <w:rPr>
          <w:rFonts w:ascii="宋体" w:hAnsi="宋体" w:eastAsia="宋体" w:cs="宋体"/>
          <w:b/>
          <w:color w:val="auto"/>
          <w:sz w:val="72"/>
          <w:szCs w:val="72"/>
          <w:highlight w:val="none"/>
        </w:rPr>
      </w:pPr>
    </w:p>
    <w:p>
      <w:pPr>
        <w:jc w:val="center"/>
        <w:rPr>
          <w:rFonts w:ascii="宋体" w:hAnsi="宋体" w:eastAsia="宋体" w:cs="宋体"/>
          <w:b/>
          <w:color w:val="auto"/>
          <w:sz w:val="52"/>
          <w:szCs w:val="52"/>
          <w:highlight w:val="none"/>
        </w:rPr>
      </w:pP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ind w:right="3559" w:rightChars="1695" w:firstLine="2200" w:firstLineChars="1000"/>
        <w:jc w:val="distribute"/>
        <w:rPr>
          <w:rFonts w:ascii="宋体" w:hAnsi="宋体" w:eastAsia="宋体" w:cs="宋体"/>
          <w:b/>
          <w:color w:val="auto"/>
          <w:sz w:val="32"/>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3570605</wp:posOffset>
                </wp:positionH>
                <wp:positionV relativeFrom="paragraph">
                  <wp:posOffset>198120</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81.15pt;margin-top:15.6pt;height:36pt;width:57pt;z-index:251659264;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AucP9gAAAAK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住房和城乡建设部</w:t>
      </w:r>
    </w:p>
    <w:p>
      <w:pPr>
        <w:ind w:right="3360" w:rightChars="1600" w:firstLine="2107" w:firstLineChars="656"/>
        <w:rPr>
          <w:rFonts w:ascii="宋体" w:hAnsi="宋体" w:eastAsia="宋体" w:cs="宋体"/>
          <w:b/>
          <w:color w:val="auto"/>
          <w:sz w:val="32"/>
          <w:highlight w:val="none"/>
        </w:rPr>
      </w:pPr>
      <w:r>
        <w:rPr>
          <w:rFonts w:hint="eastAsia" w:ascii="宋体" w:hAnsi="宋体" w:eastAsia="宋体" w:cs="宋体"/>
          <w:b/>
          <w:color w:val="auto"/>
          <w:sz w:val="32"/>
          <w:szCs w:val="28"/>
          <w:highlight w:val="none"/>
        </w:rPr>
        <w:t>国家工商行政管理总局</w:t>
      </w:r>
    </w:p>
    <w:p>
      <w:pPr>
        <w:pStyle w:val="24"/>
        <w:spacing w:line="360" w:lineRule="auto"/>
        <w:rPr>
          <w:rFonts w:ascii="宋体" w:hAnsi="宋体" w:eastAsia="宋体" w:cs="宋体"/>
          <w:b w:val="0"/>
          <w:color w:val="auto"/>
          <w:highlight w:val="none"/>
        </w:rPr>
      </w:pPr>
      <w:r>
        <w:rPr>
          <w:rFonts w:hint="eastAsia" w:ascii="宋体" w:hAnsi="宋体" w:eastAsia="宋体" w:cs="宋体"/>
          <w:b w:val="0"/>
          <w:color w:val="auto"/>
          <w:highlight w:val="none"/>
        </w:rPr>
        <w:br w:type="page"/>
      </w:r>
      <w:bookmarkStart w:id="18" w:name="_Toc296503025"/>
      <w:bookmarkStart w:id="19" w:name="_Toc296890982"/>
      <w:r>
        <w:rPr>
          <w:rFonts w:hint="eastAsia" w:ascii="宋体" w:hAnsi="宋体" w:eastAsia="宋体" w:cs="宋体"/>
          <w:color w:val="auto"/>
          <w:highlight w:val="none"/>
        </w:rPr>
        <w:t>第一部分 合同协议书</w:t>
      </w:r>
      <w:bookmarkEnd w:id="18"/>
      <w:bookmarkEnd w:id="19"/>
    </w:p>
    <w:p>
      <w:pPr>
        <w:rPr>
          <w:rFonts w:ascii="宋体" w:hAnsi="宋体" w:eastAsia="宋体" w:cs="宋体"/>
          <w:b/>
          <w:color w:val="auto"/>
          <w:sz w:val="24"/>
          <w:highlight w:val="none"/>
          <w:u w:val="single"/>
        </w:rPr>
      </w:pPr>
      <w:r>
        <w:rPr>
          <w:rFonts w:hint="eastAsia" w:ascii="宋体" w:hAnsi="宋体" w:eastAsia="宋体" w:cs="宋体"/>
          <w:b/>
          <w:color w:val="auto"/>
          <w:sz w:val="24"/>
          <w:highlight w:val="none"/>
        </w:rPr>
        <w:t>发包人（全称）：</w:t>
      </w:r>
      <w:r>
        <w:rPr>
          <w:rFonts w:hint="eastAsia" w:ascii="宋体" w:hAnsi="宋体" w:eastAsia="宋体" w:cs="宋体"/>
          <w:b/>
          <w:color w:val="auto"/>
          <w:sz w:val="24"/>
          <w:highlight w:val="none"/>
          <w:u w:val="single"/>
        </w:rPr>
        <w:t>铜陵狮子山高新技术产业开发区管理委员会</w:t>
      </w:r>
    </w:p>
    <w:p>
      <w:pPr>
        <w:rPr>
          <w:rFonts w:ascii="宋体" w:hAnsi="宋体" w:eastAsia="宋体" w:cs="宋体"/>
          <w:b/>
          <w:color w:val="auto"/>
          <w:sz w:val="24"/>
          <w:highlight w:val="none"/>
          <w:u w:val="single"/>
        </w:rPr>
      </w:pPr>
      <w:r>
        <w:rPr>
          <w:rFonts w:hint="eastAsia" w:ascii="宋体" w:hAnsi="宋体" w:eastAsia="宋体" w:cs="宋体"/>
          <w:b/>
          <w:color w:val="auto"/>
          <w:sz w:val="24"/>
          <w:highlight w:val="none"/>
        </w:rPr>
        <w:t>设计人（全称）：</w:t>
      </w:r>
      <w:r>
        <w:rPr>
          <w:rFonts w:hint="eastAsia" w:ascii="宋体" w:hAnsi="宋体" w:eastAsia="宋体" w:cs="宋体"/>
          <w:b/>
          <w:color w:val="auto"/>
          <w:sz w:val="24"/>
          <w:highlight w:val="none"/>
          <w:u w:val="single"/>
        </w:rPr>
        <w:t xml:space="preserve">        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根据《中华人民共和国合同法》、《中华人民共和国建筑法》及有关法律规定，遵循平等、自愿、公平和诚实信用的原则，双方就</w:t>
      </w:r>
      <w:r>
        <w:rPr>
          <w:rFonts w:hint="eastAsia" w:ascii="宋体" w:hAnsi="宋体" w:eastAsia="宋体" w:cs="宋体"/>
          <w:color w:val="auto"/>
          <w:kern w:val="0"/>
          <w:sz w:val="24"/>
          <w:highlight w:val="none"/>
          <w:u w:val="single"/>
        </w:rPr>
        <w:t>高新区铜都大道（红星河至高新区污水处理厂段）污水主管一期工程设计项目</w:t>
      </w:r>
      <w:r>
        <w:rPr>
          <w:rFonts w:hint="eastAsia" w:ascii="宋体" w:hAnsi="宋体" w:eastAsia="宋体" w:cs="宋体"/>
          <w:color w:val="auto"/>
          <w:sz w:val="24"/>
          <w:highlight w:val="none"/>
        </w:rPr>
        <w:t>及有关事项协商一致，共同达成如下协议：</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一、工程概况</w:t>
      </w:r>
    </w:p>
    <w:p>
      <w:pPr>
        <w:ind w:firstLine="470" w:firstLineChars="196"/>
        <w:rPr>
          <w:rFonts w:ascii="宋体" w:hAnsi="宋体" w:eastAsia="宋体" w:cs="宋体"/>
          <w:color w:val="auto"/>
          <w:sz w:val="24"/>
          <w:highlight w:val="none"/>
          <w:u w:val="single"/>
        </w:rPr>
      </w:pPr>
      <w:r>
        <w:rPr>
          <w:rFonts w:hint="eastAsia" w:ascii="宋体" w:hAnsi="宋体" w:eastAsia="宋体" w:cs="宋体"/>
          <w:bCs/>
          <w:color w:val="auto"/>
          <w:sz w:val="24"/>
          <w:highlight w:val="none"/>
        </w:rPr>
        <w:t>1.工程名称</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u w:val="single"/>
        </w:rPr>
        <w:t>高新区铜都大道（红星河至高新区污水处理厂段）污水主管一期工程设计项目</w:t>
      </w:r>
      <w:r>
        <w:rPr>
          <w:rFonts w:hint="eastAsia" w:ascii="宋体" w:hAnsi="宋体" w:eastAsia="宋体" w:cs="宋体"/>
          <w:color w:val="auto"/>
          <w:sz w:val="24"/>
          <w:highlight w:val="none"/>
        </w:rPr>
        <w:t>。</w:t>
      </w:r>
    </w:p>
    <w:p>
      <w:pPr>
        <w:ind w:firstLine="470" w:firstLineChars="196"/>
        <w:rPr>
          <w:rFonts w:ascii="宋体" w:hAnsi="宋体" w:eastAsia="宋体" w:cs="宋体"/>
          <w:color w:val="auto"/>
          <w:sz w:val="24"/>
          <w:highlight w:val="none"/>
        </w:rPr>
      </w:pPr>
      <w:r>
        <w:rPr>
          <w:rFonts w:hint="eastAsia" w:ascii="宋体" w:hAnsi="宋体" w:eastAsia="宋体" w:cs="宋体"/>
          <w:bCs/>
          <w:color w:val="auto"/>
          <w:sz w:val="24"/>
          <w:highlight w:val="none"/>
        </w:rPr>
        <w:t>2.工程地点：</w:t>
      </w:r>
      <w:r>
        <w:rPr>
          <w:rFonts w:hint="eastAsia" w:ascii="宋体" w:hAnsi="宋体" w:eastAsia="宋体" w:cs="宋体"/>
          <w:color w:val="auto"/>
          <w:sz w:val="24"/>
          <w:highlight w:val="none"/>
          <w:u w:val="single"/>
        </w:rPr>
        <w:t>铜陵市狮子山高新区</w:t>
      </w:r>
      <w:r>
        <w:rPr>
          <w:rFonts w:hint="eastAsia" w:ascii="宋体" w:hAnsi="宋体" w:eastAsia="宋体" w:cs="宋体"/>
          <w:color w:val="auto"/>
          <w:sz w:val="24"/>
          <w:highlight w:val="none"/>
        </w:rPr>
        <w:t>。</w:t>
      </w:r>
    </w:p>
    <w:p>
      <w:pPr>
        <w:ind w:firstLine="470" w:firstLineChars="196"/>
        <w:rPr>
          <w:rFonts w:ascii="宋体" w:hAnsi="宋体" w:eastAsia="宋体" w:cs="宋体"/>
          <w:color w:val="auto"/>
          <w:sz w:val="24"/>
          <w:highlight w:val="none"/>
          <w:u w:val="single"/>
        </w:rPr>
      </w:pPr>
      <w:r>
        <w:rPr>
          <w:rFonts w:hint="eastAsia" w:ascii="宋体" w:hAnsi="宋体" w:eastAsia="宋体" w:cs="宋体"/>
          <w:color w:val="auto"/>
          <w:sz w:val="24"/>
          <w:highlight w:val="none"/>
        </w:rPr>
        <w:t>3.规划占地面积：</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平方米，总建筑面积：</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平方米。</w:t>
      </w:r>
    </w:p>
    <w:p>
      <w:pPr>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4.建筑功能：</w:t>
      </w:r>
      <w:r>
        <w:rPr>
          <w:rFonts w:hint="eastAsia" w:ascii="宋体" w:hAnsi="宋体" w:eastAsia="宋体" w:cs="宋体"/>
          <w:color w:val="auto"/>
          <w:sz w:val="24"/>
          <w:highlight w:val="none"/>
          <w:u w:val="single"/>
        </w:rPr>
        <w:t xml:space="preserve"> 污水收集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提升至狮子山工业污水处理厂 </w:t>
      </w:r>
      <w:r>
        <w:rPr>
          <w:rFonts w:hint="eastAsia" w:ascii="宋体" w:hAnsi="宋体" w:eastAsia="宋体" w:cs="宋体"/>
          <w:color w:val="auto"/>
          <w:sz w:val="24"/>
          <w:highlight w:val="none"/>
        </w:rPr>
        <w:t>等。</w:t>
      </w:r>
    </w:p>
    <w:p>
      <w:pPr>
        <w:ind w:firstLine="470" w:firstLineChars="196"/>
        <w:rPr>
          <w:rFonts w:ascii="宋体" w:hAnsi="宋体" w:eastAsia="宋体" w:cs="宋体"/>
          <w:bCs/>
          <w:color w:val="auto"/>
          <w:sz w:val="24"/>
          <w:highlight w:val="none"/>
          <w:u w:val="single"/>
        </w:rPr>
      </w:pPr>
      <w:r>
        <w:rPr>
          <w:rFonts w:hint="eastAsia" w:ascii="宋体" w:hAnsi="宋体" w:eastAsia="宋体" w:cs="宋体"/>
          <w:color w:val="auto"/>
          <w:sz w:val="24"/>
          <w:highlight w:val="none"/>
        </w:rPr>
        <w:t>5.投资估算：约</w:t>
      </w:r>
      <w:r>
        <w:rPr>
          <w:rFonts w:hint="eastAsia" w:ascii="宋体" w:hAnsi="宋体" w:eastAsia="宋体" w:cs="宋体"/>
          <w:color w:val="auto"/>
          <w:sz w:val="24"/>
          <w:highlight w:val="none"/>
          <w:u w:val="single"/>
        </w:rPr>
        <w:t xml:space="preserve"> 1200万 </w:t>
      </w:r>
      <w:r>
        <w:rPr>
          <w:rFonts w:hint="eastAsia" w:ascii="宋体" w:hAnsi="宋体" w:eastAsia="宋体" w:cs="宋体"/>
          <w:color w:val="auto"/>
          <w:sz w:val="24"/>
          <w:highlight w:val="none"/>
        </w:rPr>
        <w:t>元人民币。</w:t>
      </w:r>
    </w:p>
    <w:p>
      <w:pPr>
        <w:spacing w:before="120" w:after="120"/>
        <w:ind w:firstLine="470" w:firstLineChars="196"/>
        <w:rPr>
          <w:rFonts w:ascii="宋体" w:hAnsi="宋体" w:eastAsia="宋体" w:cs="宋体"/>
          <w:bCs/>
          <w:color w:val="auto"/>
          <w:sz w:val="24"/>
          <w:highlight w:val="none"/>
        </w:rPr>
      </w:pPr>
      <w:r>
        <w:rPr>
          <w:rFonts w:hint="eastAsia" w:ascii="宋体" w:hAnsi="宋体" w:eastAsia="宋体" w:cs="宋体"/>
          <w:bCs/>
          <w:color w:val="auto"/>
          <w:sz w:val="24"/>
          <w:highlight w:val="none"/>
        </w:rPr>
        <w:t>二、工程设计范围、阶段与服务内容</w:t>
      </w:r>
    </w:p>
    <w:p>
      <w:pPr>
        <w:ind w:firstLine="470" w:firstLineChars="196"/>
        <w:rPr>
          <w:rFonts w:ascii="宋体" w:hAnsi="宋体" w:eastAsia="宋体" w:cs="宋体"/>
          <w:bCs/>
          <w:color w:val="auto"/>
          <w:sz w:val="24"/>
          <w:highlight w:val="none"/>
        </w:rPr>
      </w:pPr>
      <w:r>
        <w:rPr>
          <w:rFonts w:hint="eastAsia" w:ascii="宋体" w:hAnsi="宋体" w:eastAsia="宋体" w:cs="宋体"/>
          <w:bCs/>
          <w:color w:val="auto"/>
          <w:sz w:val="24"/>
          <w:highlight w:val="none"/>
        </w:rPr>
        <w:t>1.工程设计范围：</w:t>
      </w:r>
      <w:r>
        <w:rPr>
          <w:rFonts w:hint="eastAsia" w:ascii="宋体" w:hAnsi="宋体" w:eastAsia="宋体" w:cs="宋体"/>
          <w:color w:val="auto"/>
          <w:sz w:val="24"/>
          <w:highlight w:val="none"/>
          <w:u w:val="single"/>
        </w:rPr>
        <w:t xml:space="preserve">详见招标文件及合同专用条款约定 </w:t>
      </w:r>
      <w:r>
        <w:rPr>
          <w:rFonts w:hint="eastAsia" w:ascii="宋体" w:hAnsi="宋体" w:eastAsia="宋体" w:cs="宋体"/>
          <w:bCs/>
          <w:color w:val="auto"/>
          <w:sz w:val="24"/>
          <w:highlight w:val="none"/>
        </w:rPr>
        <w:t>。</w:t>
      </w:r>
    </w:p>
    <w:p>
      <w:pPr>
        <w:ind w:firstLine="470" w:firstLineChars="196"/>
        <w:rPr>
          <w:rFonts w:ascii="宋体" w:hAnsi="宋体" w:eastAsia="宋体" w:cs="宋体"/>
          <w:bCs/>
          <w:color w:val="auto"/>
          <w:sz w:val="24"/>
          <w:highlight w:val="none"/>
          <w:u w:val="single"/>
        </w:rPr>
      </w:pPr>
      <w:r>
        <w:rPr>
          <w:rFonts w:hint="eastAsia" w:ascii="宋体" w:hAnsi="宋体" w:eastAsia="宋体" w:cs="宋体"/>
          <w:color w:val="auto"/>
          <w:sz w:val="24"/>
          <w:highlight w:val="none"/>
        </w:rPr>
        <w:t>2.工程设计阶段：</w:t>
      </w:r>
      <w:r>
        <w:rPr>
          <w:rFonts w:hint="eastAsia" w:ascii="宋体" w:hAnsi="宋体" w:eastAsia="宋体" w:cs="宋体"/>
          <w:color w:val="auto"/>
          <w:sz w:val="24"/>
          <w:highlight w:val="none"/>
          <w:u w:val="single"/>
        </w:rPr>
        <w:t xml:space="preserve">详见招标文件及合同专用条款约定 </w:t>
      </w:r>
      <w:r>
        <w:rPr>
          <w:rFonts w:hint="eastAsia" w:ascii="宋体" w:hAnsi="宋体" w:eastAsia="宋体" w:cs="宋体"/>
          <w:color w:val="auto"/>
          <w:sz w:val="24"/>
          <w:highlight w:val="none"/>
        </w:rPr>
        <w:t>。</w:t>
      </w:r>
    </w:p>
    <w:p>
      <w:pPr>
        <w:ind w:firstLine="470" w:firstLineChars="196"/>
        <w:rPr>
          <w:rFonts w:ascii="宋体" w:hAnsi="宋体" w:eastAsia="宋体" w:cs="宋体"/>
          <w:bCs/>
          <w:color w:val="auto"/>
          <w:sz w:val="24"/>
          <w:highlight w:val="none"/>
        </w:rPr>
      </w:pPr>
      <w:r>
        <w:rPr>
          <w:rFonts w:hint="eastAsia" w:ascii="宋体" w:hAnsi="宋体" w:eastAsia="宋体" w:cs="宋体"/>
          <w:bCs/>
          <w:color w:val="auto"/>
          <w:sz w:val="24"/>
          <w:highlight w:val="none"/>
        </w:rPr>
        <w:t>3.工程设计服务内容：</w:t>
      </w:r>
      <w:r>
        <w:rPr>
          <w:rFonts w:hint="eastAsia" w:ascii="宋体" w:hAnsi="宋体" w:eastAsia="宋体" w:cs="宋体"/>
          <w:color w:val="auto"/>
          <w:sz w:val="24"/>
          <w:highlight w:val="none"/>
          <w:u w:val="single"/>
        </w:rPr>
        <w:t xml:space="preserve">详见招标文件及合同专用条款约定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工程设计范围、阶段与服务内容详见专用合同条款附件。</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三、工程设计周期</w:t>
      </w:r>
    </w:p>
    <w:p>
      <w:pPr>
        <w:ind w:firstLine="459"/>
        <w:rPr>
          <w:rFonts w:ascii="宋体" w:hAnsi="宋体" w:eastAsia="宋体" w:cs="宋体"/>
          <w:color w:val="auto"/>
          <w:sz w:val="24"/>
          <w:highlight w:val="none"/>
        </w:rPr>
      </w:pPr>
      <w:r>
        <w:rPr>
          <w:rFonts w:hint="eastAsia" w:ascii="宋体" w:hAnsi="宋体" w:eastAsia="宋体" w:cs="宋体"/>
          <w:color w:val="auto"/>
          <w:sz w:val="24"/>
          <w:highlight w:val="none"/>
        </w:rPr>
        <w:t>计划开始设计日期：</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ind w:firstLine="459"/>
        <w:rPr>
          <w:rFonts w:ascii="宋体" w:hAnsi="宋体" w:eastAsia="宋体" w:cs="宋体"/>
          <w:color w:val="auto"/>
          <w:sz w:val="24"/>
          <w:highlight w:val="none"/>
        </w:rPr>
      </w:pPr>
      <w:r>
        <w:rPr>
          <w:rFonts w:hint="eastAsia" w:ascii="宋体" w:hAnsi="宋体" w:eastAsia="宋体" w:cs="宋体"/>
          <w:color w:val="auto"/>
          <w:sz w:val="24"/>
          <w:highlight w:val="none"/>
        </w:rPr>
        <w:t>计划完成设计日期：</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ind w:firstLine="459"/>
        <w:rPr>
          <w:rFonts w:ascii="宋体" w:hAnsi="宋体" w:eastAsia="宋体" w:cs="宋体"/>
          <w:color w:val="auto"/>
          <w:sz w:val="24"/>
          <w:highlight w:val="none"/>
        </w:rPr>
      </w:pPr>
      <w:r>
        <w:rPr>
          <w:rFonts w:hint="eastAsia" w:ascii="宋体" w:hAnsi="宋体" w:eastAsia="宋体" w:cs="宋体"/>
          <w:color w:val="auto"/>
          <w:sz w:val="24"/>
          <w:highlight w:val="none"/>
        </w:rPr>
        <w:t>具体工程设计周期以专用合同条款及其附件的约定为准。</w:t>
      </w:r>
    </w:p>
    <w:p>
      <w:pPr>
        <w:ind w:firstLine="459"/>
        <w:rPr>
          <w:rFonts w:ascii="宋体" w:hAnsi="宋体" w:eastAsia="宋体" w:cs="宋体"/>
          <w:color w:val="auto"/>
          <w:sz w:val="24"/>
          <w:highlight w:val="none"/>
        </w:rPr>
      </w:pPr>
      <w:r>
        <w:rPr>
          <w:rFonts w:hint="eastAsia" w:ascii="宋体" w:hAnsi="宋体" w:eastAsia="宋体" w:cs="宋体"/>
          <w:b/>
          <w:color w:val="auto"/>
          <w:sz w:val="24"/>
          <w:highlight w:val="none"/>
        </w:rPr>
        <w:t>四、合同价格形式与签约合同价</w:t>
      </w:r>
      <w:r>
        <w:rPr>
          <w:rFonts w:hint="eastAsia" w:ascii="宋体" w:hAnsi="宋体" w:eastAsia="宋体" w:cs="宋体"/>
          <w:b/>
          <w:color w:val="auto"/>
          <w:sz w:val="24"/>
          <w:highlight w:val="none"/>
        </w:rPr>
        <w:tab/>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1.合同价格形式：</w:t>
      </w:r>
      <w:r>
        <w:rPr>
          <w:rFonts w:hint="eastAsia" w:ascii="宋体" w:hAnsi="宋体" w:eastAsia="宋体" w:cs="宋体"/>
          <w:color w:val="auto"/>
          <w:sz w:val="24"/>
          <w:highlight w:val="none"/>
          <w:u w:val="single"/>
        </w:rPr>
        <w:t xml:space="preserve"> 固定总价合同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2.签约合同价暂定为：</w:t>
      </w:r>
    </w:p>
    <w:p>
      <w:pPr>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人民币（大写）（¥元）。</w:t>
      </w:r>
    </w:p>
    <w:p>
      <w:pPr>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五、发包人代表与设计人项目负责人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六、合同文件构成</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本协议书与下列文件一起构成合同文件：</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（1）专用合同条款及其附件； </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（2）通用合同条款； </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（3）中标通知书（如果有）；</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（4）投标函及其附录（如果有）；</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（5）发包人要求；</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（6）技术标准；</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（7）发包人提供的上一阶段图纸（如果有）；</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（8）其他合同文件。</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在合同履行过程中形成的与合同有关的文件均构成合同文件组成部分。</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pPr>
        <w:adjustRightInd w:val="0"/>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七、承诺</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1.发包人承诺按照法律规定履行项目审批手续，按照合同约定提供设计依据，并按合同约定的期限和方式支付合同价款。</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2.设计人承诺按照法律和技术标准规定及合同约定提供工程设计服务。</w:t>
      </w:r>
    </w:p>
    <w:p>
      <w:pPr>
        <w:spacing w:before="120" w:after="120"/>
        <w:rPr>
          <w:rFonts w:ascii="宋体" w:hAnsi="宋体" w:eastAsia="宋体" w:cs="宋体"/>
          <w:bCs/>
          <w:color w:val="auto"/>
          <w:sz w:val="24"/>
          <w:highlight w:val="none"/>
        </w:rPr>
      </w:pPr>
      <w:r>
        <w:rPr>
          <w:rFonts w:hint="eastAsia" w:ascii="宋体" w:hAnsi="宋体" w:eastAsia="宋体" w:cs="宋体"/>
          <w:color w:val="auto"/>
          <w:sz w:val="24"/>
          <w:highlight w:val="none"/>
        </w:rPr>
        <w:t xml:space="preserve"> 八、词语含义</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本协议书中词语含义与第二部分通用合同条款中赋予的含义相同。</w:t>
      </w:r>
    </w:p>
    <w:p>
      <w:pPr>
        <w:ind w:firstLine="482" w:firstLineChars="200"/>
        <w:rPr>
          <w:rFonts w:ascii="宋体" w:hAnsi="宋体" w:eastAsia="宋体" w:cs="宋体"/>
          <w:bCs/>
          <w:color w:val="auto"/>
          <w:sz w:val="24"/>
          <w:highlight w:val="none"/>
        </w:rPr>
      </w:pPr>
      <w:r>
        <w:rPr>
          <w:rFonts w:hint="eastAsia" w:ascii="宋体" w:hAnsi="宋体" w:eastAsia="宋体" w:cs="宋体"/>
          <w:b/>
          <w:color w:val="auto"/>
          <w:sz w:val="24"/>
          <w:highlight w:val="none"/>
        </w:rPr>
        <w:t>九、签订地点</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本合同在</w:t>
      </w:r>
      <w:r>
        <w:rPr>
          <w:rFonts w:hint="eastAsia" w:ascii="宋体" w:hAnsi="宋体" w:eastAsia="宋体" w:cs="宋体"/>
          <w:b/>
          <w:color w:val="auto"/>
          <w:sz w:val="24"/>
          <w:highlight w:val="none"/>
          <w:u w:val="single"/>
        </w:rPr>
        <w:t>铜陵狮子山高新技术产业开发区管理委员会</w:t>
      </w:r>
      <w:r>
        <w:rPr>
          <w:rFonts w:hint="eastAsia" w:ascii="宋体" w:hAnsi="宋体" w:eastAsia="宋体" w:cs="宋体"/>
          <w:bCs/>
          <w:color w:val="auto"/>
          <w:sz w:val="24"/>
          <w:highlight w:val="none"/>
        </w:rPr>
        <w:t>签订。</w:t>
      </w:r>
    </w:p>
    <w:p>
      <w:pPr>
        <w:ind w:firstLine="482" w:firstLineChars="200"/>
        <w:rPr>
          <w:rFonts w:ascii="宋体" w:hAnsi="宋体" w:eastAsia="宋体" w:cs="宋体"/>
          <w:bCs/>
          <w:color w:val="auto"/>
          <w:sz w:val="24"/>
          <w:highlight w:val="none"/>
        </w:rPr>
      </w:pPr>
      <w:r>
        <w:rPr>
          <w:rFonts w:hint="eastAsia" w:ascii="宋体" w:hAnsi="宋体" w:eastAsia="宋体" w:cs="宋体"/>
          <w:b/>
          <w:color w:val="auto"/>
          <w:sz w:val="24"/>
          <w:highlight w:val="none"/>
        </w:rPr>
        <w:t>十、补充协议</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合同未尽事宜，合同当事人另行签订补充协议，补充协议是合同的组成部分。</w:t>
      </w:r>
    </w:p>
    <w:p>
      <w:pPr>
        <w:ind w:firstLine="482" w:firstLineChars="200"/>
        <w:rPr>
          <w:rFonts w:ascii="宋体" w:hAnsi="宋体" w:eastAsia="宋体" w:cs="宋体"/>
          <w:b/>
          <w:bCs/>
          <w:color w:val="auto"/>
          <w:sz w:val="24"/>
          <w:highlight w:val="none"/>
        </w:rPr>
      </w:pPr>
      <w:r>
        <w:rPr>
          <w:rFonts w:hint="eastAsia" w:ascii="宋体" w:hAnsi="宋体" w:eastAsia="宋体" w:cs="宋体"/>
          <w:b/>
          <w:color w:val="auto"/>
          <w:sz w:val="24"/>
          <w:highlight w:val="none"/>
        </w:rPr>
        <w:t>十一、合同生效</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本合同自</w:t>
      </w:r>
      <w:r>
        <w:rPr>
          <w:rFonts w:hint="eastAsia" w:ascii="宋体" w:hAnsi="宋体" w:eastAsia="宋体" w:cs="宋体"/>
          <w:bCs/>
          <w:color w:val="auto"/>
          <w:sz w:val="24"/>
          <w:highlight w:val="none"/>
          <w:u w:val="single"/>
        </w:rPr>
        <w:t>双方签字盖章之日</w:t>
      </w:r>
      <w:r>
        <w:rPr>
          <w:rFonts w:hint="eastAsia" w:ascii="宋体" w:hAnsi="宋体" w:eastAsia="宋体" w:cs="宋体"/>
          <w:bCs/>
          <w:color w:val="auto"/>
          <w:sz w:val="24"/>
          <w:highlight w:val="none"/>
        </w:rPr>
        <w:t>生效。</w:t>
      </w:r>
    </w:p>
    <w:p>
      <w:pPr>
        <w:ind w:firstLine="482" w:firstLineChars="200"/>
        <w:rPr>
          <w:rFonts w:ascii="宋体" w:hAnsi="宋体" w:eastAsia="宋体" w:cs="宋体"/>
          <w:bCs/>
          <w:color w:val="auto"/>
          <w:sz w:val="24"/>
          <w:highlight w:val="none"/>
        </w:rPr>
      </w:pPr>
      <w:r>
        <w:rPr>
          <w:rFonts w:hint="eastAsia" w:ascii="宋体" w:hAnsi="宋体" w:eastAsia="宋体" w:cs="宋体"/>
          <w:b/>
          <w:color w:val="auto"/>
          <w:sz w:val="24"/>
          <w:highlight w:val="none"/>
        </w:rPr>
        <w:t>十二、合同份数</w:t>
      </w:r>
    </w:p>
    <w:p>
      <w:pPr>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本合同正本一式</w:t>
      </w:r>
      <w:r>
        <w:rPr>
          <w:rFonts w:hint="eastAsia" w:ascii="宋体" w:hAnsi="宋体" w:eastAsia="宋体" w:cs="宋体"/>
          <w:bCs/>
          <w:color w:val="auto"/>
          <w:sz w:val="24"/>
          <w:highlight w:val="none"/>
          <w:u w:val="single"/>
        </w:rPr>
        <w:t xml:space="preserve"> 二 </w:t>
      </w:r>
      <w:r>
        <w:rPr>
          <w:rFonts w:hint="eastAsia" w:ascii="宋体" w:hAnsi="宋体" w:eastAsia="宋体" w:cs="宋体"/>
          <w:bCs/>
          <w:color w:val="auto"/>
          <w:sz w:val="24"/>
          <w:highlight w:val="none"/>
        </w:rPr>
        <w:t>份、副本一式</w:t>
      </w:r>
      <w:r>
        <w:rPr>
          <w:rFonts w:hint="eastAsia" w:ascii="宋体" w:hAnsi="宋体" w:eastAsia="宋体" w:cs="宋体"/>
          <w:bCs/>
          <w:color w:val="auto"/>
          <w:sz w:val="24"/>
          <w:highlight w:val="none"/>
          <w:u w:val="single"/>
        </w:rPr>
        <w:t xml:space="preserve"> 八 </w:t>
      </w:r>
      <w:r>
        <w:rPr>
          <w:rFonts w:hint="eastAsia" w:ascii="宋体" w:hAnsi="宋体" w:eastAsia="宋体" w:cs="宋体"/>
          <w:bCs/>
          <w:color w:val="auto"/>
          <w:sz w:val="24"/>
          <w:highlight w:val="none"/>
        </w:rPr>
        <w:t>份，均具有同等法律效力，发包人执正本</w:t>
      </w:r>
      <w:r>
        <w:rPr>
          <w:rFonts w:hint="eastAsia" w:ascii="宋体" w:hAnsi="宋体" w:eastAsia="宋体" w:cs="宋体"/>
          <w:bCs/>
          <w:color w:val="auto"/>
          <w:sz w:val="24"/>
          <w:highlight w:val="none"/>
          <w:u w:val="single"/>
        </w:rPr>
        <w:t>一</w:t>
      </w:r>
      <w:r>
        <w:rPr>
          <w:rFonts w:hint="eastAsia" w:ascii="宋体" w:hAnsi="宋体" w:eastAsia="宋体" w:cs="宋体"/>
          <w:bCs/>
          <w:color w:val="auto"/>
          <w:sz w:val="24"/>
          <w:highlight w:val="none"/>
        </w:rPr>
        <w:t>份、副本</w:t>
      </w:r>
      <w:r>
        <w:rPr>
          <w:rFonts w:hint="eastAsia" w:ascii="宋体" w:hAnsi="宋体" w:eastAsia="宋体" w:cs="宋体"/>
          <w:bCs/>
          <w:color w:val="auto"/>
          <w:sz w:val="24"/>
          <w:highlight w:val="none"/>
          <w:u w:val="single"/>
        </w:rPr>
        <w:t xml:space="preserve"> 四 </w:t>
      </w:r>
      <w:r>
        <w:rPr>
          <w:rFonts w:hint="eastAsia" w:ascii="宋体" w:hAnsi="宋体" w:eastAsia="宋体" w:cs="宋体"/>
          <w:bCs/>
          <w:color w:val="auto"/>
          <w:sz w:val="24"/>
          <w:highlight w:val="none"/>
        </w:rPr>
        <w:t>份，设计人执正本</w:t>
      </w:r>
      <w:r>
        <w:rPr>
          <w:rFonts w:hint="eastAsia" w:ascii="宋体" w:hAnsi="宋体" w:eastAsia="宋体" w:cs="宋体"/>
          <w:bCs/>
          <w:color w:val="auto"/>
          <w:sz w:val="24"/>
          <w:highlight w:val="none"/>
          <w:u w:val="single"/>
        </w:rPr>
        <w:t xml:space="preserve"> 一 </w:t>
      </w:r>
      <w:r>
        <w:rPr>
          <w:rFonts w:hint="eastAsia" w:ascii="宋体" w:hAnsi="宋体" w:eastAsia="宋体" w:cs="宋体"/>
          <w:bCs/>
          <w:color w:val="auto"/>
          <w:sz w:val="24"/>
          <w:highlight w:val="none"/>
        </w:rPr>
        <w:t>份、副本</w:t>
      </w:r>
      <w:r>
        <w:rPr>
          <w:rFonts w:hint="eastAsia" w:ascii="宋体" w:hAnsi="宋体" w:eastAsia="宋体" w:cs="宋体"/>
          <w:bCs/>
          <w:color w:val="auto"/>
          <w:sz w:val="24"/>
          <w:highlight w:val="none"/>
          <w:u w:val="single"/>
        </w:rPr>
        <w:t xml:space="preserve"> 四 </w:t>
      </w:r>
      <w:r>
        <w:rPr>
          <w:rFonts w:hint="eastAsia" w:ascii="宋体" w:hAnsi="宋体" w:eastAsia="宋体" w:cs="宋体"/>
          <w:bCs/>
          <w:color w:val="auto"/>
          <w:sz w:val="24"/>
          <w:highlight w:val="none"/>
        </w:rPr>
        <w:t>份。</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t>发包人：  （盖章）             设计人：  （盖章）</w:t>
      </w:r>
    </w:p>
    <w:p>
      <w:pPr>
        <w:rPr>
          <w:rFonts w:ascii="宋体" w:hAnsi="宋体" w:eastAsia="宋体" w:cs="宋体"/>
          <w:color w:val="auto"/>
          <w:sz w:val="24"/>
          <w:highlight w:val="none"/>
          <w:u w:val="singl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  法定代表人或其委托代理人：</w:t>
      </w:r>
    </w:p>
    <w:p>
      <w:pPr>
        <w:rPr>
          <w:rFonts w:ascii="宋体" w:hAnsi="宋体" w:eastAsia="宋体" w:cs="宋体"/>
          <w:color w:val="auto"/>
          <w:sz w:val="24"/>
          <w:highlight w:val="none"/>
        </w:rPr>
      </w:pPr>
      <w:r>
        <w:rPr>
          <w:rFonts w:hint="eastAsia" w:ascii="宋体" w:hAnsi="宋体" w:eastAsia="宋体" w:cs="宋体"/>
          <w:color w:val="auto"/>
          <w:sz w:val="24"/>
          <w:highlight w:val="none"/>
        </w:rPr>
        <w:t>（签字）                    （签字）</w:t>
      </w:r>
    </w:p>
    <w:p>
      <w:pPr>
        <w:rPr>
          <w:rFonts w:ascii="宋体" w:hAnsi="宋体" w:eastAsia="宋体" w:cs="宋体"/>
          <w:color w:val="auto"/>
          <w:sz w:val="24"/>
          <w:highlight w:val="none"/>
          <w:u w:val="single"/>
        </w:rPr>
      </w:pPr>
    </w:p>
    <w:p>
      <w:pPr>
        <w:tabs>
          <w:tab w:val="left" w:pos="4410"/>
        </w:tabs>
        <w:rPr>
          <w:rFonts w:ascii="宋体" w:hAnsi="宋体" w:eastAsia="宋体" w:cs="宋体"/>
          <w:color w:val="auto"/>
          <w:sz w:val="24"/>
          <w:highlight w:val="none"/>
        </w:rPr>
      </w:pPr>
      <w:r>
        <w:rPr>
          <w:rFonts w:hint="eastAsia" w:ascii="宋体" w:hAnsi="宋体" w:eastAsia="宋体" w:cs="宋体"/>
          <w:color w:val="auto"/>
          <w:sz w:val="24"/>
          <w:highlight w:val="none"/>
        </w:rPr>
        <w:t>组织机构代码：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组织机构代码：</w:t>
      </w:r>
      <w:r>
        <w:rPr>
          <w:rFonts w:hint="eastAsia" w:ascii="宋体" w:hAnsi="宋体" w:eastAsia="宋体" w:cs="宋体"/>
          <w:color w:val="auto"/>
          <w:sz w:val="24"/>
          <w:highlight w:val="none"/>
          <w:u w:val="single"/>
        </w:rPr>
        <w:t xml:space="preserve">         </w:t>
      </w:r>
    </w:p>
    <w:p>
      <w:pPr>
        <w:tabs>
          <w:tab w:val="left" w:pos="4410"/>
        </w:tabs>
        <w:rPr>
          <w:rFonts w:ascii="宋体" w:hAnsi="宋体" w:eastAsia="宋体" w:cs="宋体"/>
          <w:color w:val="auto"/>
          <w:sz w:val="24"/>
          <w:highlight w:val="none"/>
        </w:rPr>
      </w:pPr>
      <w:r>
        <w:rPr>
          <w:rFonts w:hint="eastAsia" w:ascii="宋体" w:hAnsi="宋体" w:eastAsia="宋体" w:cs="宋体"/>
          <w:color w:val="auto"/>
          <w:sz w:val="24"/>
          <w:highlight w:val="none"/>
        </w:rPr>
        <w:t>纳税人识别码：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纳税人识别码：</w:t>
      </w:r>
    </w:p>
    <w:p>
      <w:pPr>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single"/>
        </w:rPr>
        <w:t xml:space="preserve">     </w:t>
      </w:r>
    </w:p>
    <w:p>
      <w:pPr>
        <w:rPr>
          <w:rFonts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p>
    <w:p>
      <w:pPr>
        <w:rPr>
          <w:rFonts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委托代理人：</w:t>
      </w:r>
      <w:r>
        <w:rPr>
          <w:rFonts w:hint="eastAsia" w:ascii="宋体" w:hAnsi="宋体" w:eastAsia="宋体" w:cs="宋体"/>
          <w:color w:val="auto"/>
          <w:sz w:val="24"/>
          <w:highlight w:val="none"/>
          <w:u w:val="single"/>
        </w:rPr>
        <w:t xml:space="preserve">        </w:t>
      </w:r>
    </w:p>
    <w:p>
      <w:pPr>
        <w:rPr>
          <w:rFonts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highlight w:val="none"/>
          <w:u w:val="singl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u w:val="single"/>
        </w:rPr>
        <w:t xml:space="preserve">   </w:t>
      </w:r>
    </w:p>
    <w:p>
      <w:pPr>
        <w:rPr>
          <w:rFonts w:ascii="宋体" w:hAnsi="宋体" w:eastAsia="宋体" w:cs="宋体"/>
          <w:color w:val="auto"/>
          <w:sz w:val="24"/>
          <w:highlight w:val="none"/>
        </w:rPr>
      </w:pPr>
      <w:r>
        <w:rPr>
          <w:rFonts w:hint="eastAsia" w:ascii="宋体" w:hAnsi="宋体" w:eastAsia="宋体" w:cs="宋体"/>
          <w:color w:val="auto"/>
          <w:sz w:val="24"/>
          <w:highlight w:val="none"/>
        </w:rPr>
        <w:t>电子信箱：                      电子信箱：</w:t>
      </w:r>
      <w:r>
        <w:rPr>
          <w:rFonts w:hint="eastAsia" w:ascii="宋体" w:hAnsi="宋体" w:eastAsia="宋体" w:cs="宋体"/>
          <w:color w:val="auto"/>
          <w:sz w:val="24"/>
          <w:highlight w:val="none"/>
          <w:u w:val="single"/>
        </w:rPr>
        <w:t xml:space="preserve">   </w:t>
      </w:r>
    </w:p>
    <w:p>
      <w:pPr>
        <w:rPr>
          <w:rFonts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u w:val="single"/>
        </w:rPr>
        <w:t xml:space="preserve">   </w:t>
      </w:r>
    </w:p>
    <w:p>
      <w:pPr>
        <w:rPr>
          <w:rFonts w:ascii="宋体" w:hAnsi="宋体" w:eastAsia="宋体" w:cs="宋体"/>
          <w:color w:val="auto"/>
          <w:sz w:val="24"/>
          <w:highlight w:val="none"/>
          <w:u w:val="single"/>
        </w:rPr>
      </w:pPr>
      <w:r>
        <w:rPr>
          <w:rFonts w:hint="eastAsia" w:ascii="宋体" w:hAnsi="宋体" w:eastAsia="宋体" w:cs="宋体"/>
          <w:color w:val="auto"/>
          <w:sz w:val="24"/>
          <w:highlight w:val="none"/>
        </w:rPr>
        <w:t>账  号：</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账 号：</w:t>
      </w:r>
      <w:r>
        <w:rPr>
          <w:rFonts w:hint="eastAsia" w:ascii="宋体" w:hAnsi="宋体" w:eastAsia="宋体" w:cs="宋体"/>
          <w:color w:val="auto"/>
          <w:sz w:val="24"/>
          <w:highlight w:val="none"/>
          <w:u w:val="singl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时  间：  年  月   日           时  间：  年   月    日</w:t>
      </w:r>
      <w:bookmarkStart w:id="20" w:name="_Toc351203494"/>
    </w:p>
    <w:p>
      <w:pPr>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
        <w:ind w:firstLine="480"/>
        <w:rPr>
          <w:rFonts w:ascii="宋体" w:hAnsi="宋体" w:eastAsia="宋体" w:cs="宋体"/>
          <w:color w:val="auto"/>
          <w:sz w:val="24"/>
          <w:szCs w:val="24"/>
          <w:highlight w:val="none"/>
        </w:rPr>
      </w:pPr>
    </w:p>
    <w:p>
      <w:pPr>
        <w:pStyle w:val="5"/>
        <w:rPr>
          <w:rFonts w:ascii="宋体" w:hAnsi="宋体" w:eastAsia="宋体" w:cs="宋体"/>
          <w:color w:val="auto"/>
          <w:sz w:val="24"/>
          <w:szCs w:val="24"/>
          <w:highlight w:val="none"/>
        </w:rPr>
      </w:pPr>
    </w:p>
    <w:p>
      <w:pPr>
        <w:rPr>
          <w:rFonts w:ascii="宋体" w:hAnsi="宋体" w:eastAsia="宋体" w:cs="宋体"/>
          <w:color w:val="auto"/>
          <w:sz w:val="24"/>
          <w:highlight w:val="none"/>
        </w:rPr>
      </w:pPr>
    </w:p>
    <w:p>
      <w:pPr>
        <w:pStyle w:val="2"/>
        <w:ind w:firstLine="480"/>
        <w:rPr>
          <w:rFonts w:ascii="宋体" w:hAnsi="宋体" w:eastAsia="宋体" w:cs="宋体"/>
          <w:color w:val="auto"/>
          <w:sz w:val="24"/>
          <w:szCs w:val="24"/>
          <w:highlight w:val="none"/>
        </w:rPr>
      </w:pPr>
    </w:p>
    <w:p>
      <w:pPr>
        <w:pStyle w:val="5"/>
        <w:rPr>
          <w:rFonts w:ascii="宋体" w:hAnsi="宋体" w:eastAsia="宋体" w:cs="宋体"/>
          <w:color w:val="auto"/>
          <w:sz w:val="24"/>
          <w:szCs w:val="24"/>
          <w:highlight w:val="none"/>
        </w:rPr>
      </w:pPr>
    </w:p>
    <w:p>
      <w:pPr>
        <w:rPr>
          <w:color w:val="auto"/>
          <w:highlight w:val="none"/>
        </w:rPr>
      </w:pPr>
    </w:p>
    <w:p>
      <w:pPr>
        <w:jc w:val="center"/>
        <w:rPr>
          <w:rFonts w:ascii="宋体" w:hAnsi="宋体" w:eastAsia="宋体" w:cs="宋体"/>
          <w:b/>
          <w:bCs/>
          <w:color w:val="auto"/>
          <w:sz w:val="24"/>
          <w:highlight w:val="none"/>
        </w:rPr>
      </w:pPr>
    </w:p>
    <w:p>
      <w:pPr>
        <w:pStyle w:val="2"/>
        <w:ind w:firstLine="640"/>
        <w:rPr>
          <w:rFonts w:eastAsiaTheme="minorEastAsia"/>
          <w:color w:val="auto"/>
          <w:highlight w:val="none"/>
        </w:rPr>
      </w:pPr>
    </w:p>
    <w:p>
      <w:pPr>
        <w:jc w:val="center"/>
        <w:rPr>
          <w:rFonts w:ascii="宋体" w:hAnsi="宋体" w:eastAsia="宋体" w:cs="宋体"/>
          <w:b/>
          <w:bCs/>
          <w:color w:val="auto"/>
          <w:sz w:val="24"/>
          <w:highlight w:val="none"/>
        </w:rPr>
      </w:pPr>
    </w:p>
    <w:p>
      <w:pPr>
        <w:jc w:val="center"/>
        <w:rPr>
          <w:rFonts w:ascii="宋体" w:hAnsi="宋体" w:eastAsia="宋体" w:cs="宋体"/>
          <w:b/>
          <w:bCs/>
          <w:color w:val="auto"/>
          <w:sz w:val="24"/>
          <w:highlight w:val="none"/>
        </w:rPr>
      </w:pPr>
    </w:p>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第二部分 通用合同条款</w:t>
      </w:r>
      <w:bookmarkEnd w:id="20"/>
      <w:bookmarkStart w:id="21" w:name="_Toc337558727"/>
    </w:p>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见GF—2015—0209标准通用合同条款</w:t>
      </w:r>
      <w:bookmarkEnd w:id="21"/>
      <w:bookmarkStart w:id="22" w:name="_Toc351203632"/>
    </w:p>
    <w:p>
      <w:pPr>
        <w:rPr>
          <w:rFonts w:ascii="宋体" w:hAnsi="宋体" w:eastAsia="宋体" w:cs="宋体"/>
          <w:bCs/>
          <w:color w:val="auto"/>
          <w:sz w:val="24"/>
          <w:highlight w:val="none"/>
        </w:rPr>
      </w:pP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第三部分 专用合同条款</w:t>
      </w:r>
    </w:p>
    <w:p>
      <w:pPr>
        <w:rPr>
          <w:rFonts w:ascii="宋体" w:hAnsi="宋体" w:eastAsia="宋体" w:cs="宋体"/>
          <w:color w:val="auto"/>
          <w:sz w:val="24"/>
          <w:highlight w:val="none"/>
        </w:rPr>
      </w:pPr>
      <w:r>
        <w:rPr>
          <w:rFonts w:hint="eastAsia" w:ascii="宋体" w:hAnsi="宋体" w:eastAsia="宋体" w:cs="宋体"/>
          <w:b/>
          <w:color w:val="auto"/>
          <w:sz w:val="24"/>
          <w:highlight w:val="none"/>
        </w:rPr>
        <w:t>1. 一般约定</w:t>
      </w:r>
    </w:p>
    <w:p>
      <w:pPr>
        <w:tabs>
          <w:tab w:val="center" w:pos="4710"/>
        </w:tabs>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 词语定义与解释</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1.1.1合同</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1.1.1.8 其他合同文件包括：</w:t>
      </w:r>
      <w:r>
        <w:rPr>
          <w:rFonts w:hint="eastAsia" w:ascii="宋体" w:hAnsi="宋体" w:eastAsia="宋体" w:cs="宋体"/>
          <w:color w:val="auto"/>
          <w:sz w:val="24"/>
          <w:highlight w:val="none"/>
          <w:u w:val="single"/>
        </w:rPr>
        <w:t>本工程招投标文件（随招标文件同步挂网的资料）、洽商文件、双方签订的补充协议、涉及本招标范围的相关主管部门的现行有效要求、规定等。</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1.3法律 </w:t>
      </w:r>
    </w:p>
    <w:p>
      <w:pPr>
        <w:adjustRightInd w:val="0"/>
        <w:ind w:left="596" w:leftChars="284"/>
        <w:rPr>
          <w:rFonts w:ascii="宋体" w:hAnsi="宋体" w:eastAsia="宋体" w:cs="宋体"/>
          <w:color w:val="auto"/>
          <w:sz w:val="24"/>
          <w:highlight w:val="none"/>
        </w:rPr>
      </w:pPr>
      <w:r>
        <w:rPr>
          <w:rFonts w:hint="eastAsia" w:ascii="宋体" w:hAnsi="宋体" w:eastAsia="宋体" w:cs="宋体"/>
          <w:color w:val="auto"/>
          <w:sz w:val="24"/>
          <w:highlight w:val="none"/>
        </w:rPr>
        <w:t>适用于合同的其他规范性文件：</w:t>
      </w:r>
      <w:r>
        <w:rPr>
          <w:rFonts w:hint="eastAsia" w:ascii="宋体" w:hAnsi="宋体" w:eastAsia="宋体" w:cs="宋体"/>
          <w:color w:val="auto"/>
          <w:sz w:val="24"/>
          <w:highlight w:val="none"/>
          <w:u w:val="single"/>
        </w:rPr>
        <w:t>《中华人民</w:t>
      </w:r>
      <w:r>
        <w:rPr>
          <w:rFonts w:hint="eastAsia" w:ascii="宋体" w:hAnsi="宋体" w:eastAsia="宋体" w:cs="宋体"/>
          <w:color w:val="auto"/>
          <w:spacing w:val="-3"/>
          <w:sz w:val="24"/>
          <w:highlight w:val="none"/>
          <w:u w:val="single"/>
        </w:rPr>
        <w:t>共</w:t>
      </w:r>
      <w:r>
        <w:rPr>
          <w:rFonts w:hint="eastAsia" w:ascii="宋体" w:hAnsi="宋体" w:eastAsia="宋体" w:cs="宋体"/>
          <w:color w:val="auto"/>
          <w:sz w:val="24"/>
          <w:highlight w:val="none"/>
          <w:u w:val="single"/>
        </w:rPr>
        <w:t>和国民法典》、《中</w:t>
      </w:r>
      <w:r>
        <w:rPr>
          <w:rFonts w:hint="eastAsia" w:ascii="宋体" w:hAnsi="宋体" w:eastAsia="宋体" w:cs="宋体"/>
          <w:color w:val="auto"/>
          <w:spacing w:val="-3"/>
          <w:sz w:val="24"/>
          <w:highlight w:val="none"/>
          <w:u w:val="single"/>
        </w:rPr>
        <w:t>华</w:t>
      </w:r>
      <w:r>
        <w:rPr>
          <w:rFonts w:hint="eastAsia" w:ascii="宋体" w:hAnsi="宋体" w:eastAsia="宋体" w:cs="宋体"/>
          <w:color w:val="auto"/>
          <w:sz w:val="24"/>
          <w:highlight w:val="none"/>
          <w:u w:val="single"/>
        </w:rPr>
        <w:t>人民共和国建筑</w:t>
      </w:r>
      <w:r>
        <w:rPr>
          <w:rFonts w:hint="eastAsia" w:ascii="宋体" w:hAnsi="宋体" w:eastAsia="宋体" w:cs="宋体"/>
          <w:color w:val="auto"/>
          <w:spacing w:val="-132"/>
          <w:sz w:val="24"/>
          <w:highlight w:val="none"/>
          <w:u w:val="single"/>
        </w:rPr>
        <w:t>法</w:t>
      </w:r>
      <w:r>
        <w:rPr>
          <w:rFonts w:hint="eastAsia" w:ascii="宋体" w:hAnsi="宋体" w:eastAsia="宋体" w:cs="宋体"/>
          <w:color w:val="auto"/>
          <w:spacing w:val="-220"/>
          <w:sz w:val="24"/>
          <w:highlight w:val="none"/>
          <w:u w:val="single"/>
        </w:rPr>
        <w:t>》</w:t>
      </w:r>
      <w:r>
        <w:rPr>
          <w:rFonts w:hint="eastAsia" w:ascii="宋体" w:hAnsi="宋体" w:eastAsia="宋体" w:cs="宋体"/>
          <w:color w:val="auto"/>
          <w:sz w:val="24"/>
          <w:highlight w:val="none"/>
          <w:u w:val="single"/>
        </w:rPr>
        <w:t>、《中华人民共</w:t>
      </w:r>
      <w:r>
        <w:rPr>
          <w:rFonts w:hint="eastAsia" w:ascii="宋体" w:hAnsi="宋体" w:eastAsia="宋体" w:cs="宋体"/>
          <w:color w:val="auto"/>
          <w:spacing w:val="-3"/>
          <w:sz w:val="24"/>
          <w:highlight w:val="none"/>
          <w:u w:val="single"/>
        </w:rPr>
        <w:t>和</w:t>
      </w:r>
      <w:r>
        <w:rPr>
          <w:rFonts w:hint="eastAsia" w:ascii="宋体" w:hAnsi="宋体" w:eastAsia="宋体" w:cs="宋体"/>
          <w:color w:val="auto"/>
          <w:sz w:val="24"/>
          <w:highlight w:val="none"/>
          <w:u w:val="single"/>
        </w:rPr>
        <w:t xml:space="preserve">国招标投标法》等相关法律法规；国家、省、市发布的有效的文件规定 </w:t>
      </w:r>
      <w:r>
        <w:rPr>
          <w:rFonts w:hint="eastAsia" w:ascii="宋体" w:hAnsi="宋体" w:eastAsia="宋体" w:cs="宋体"/>
          <w:color w:val="auto"/>
          <w:sz w:val="24"/>
          <w:highlight w:val="none"/>
        </w:rPr>
        <w:t>。</w:t>
      </w:r>
    </w:p>
    <w:p>
      <w:pPr>
        <w:ind w:left="596" w:leftChars="284"/>
        <w:rPr>
          <w:rFonts w:ascii="宋体" w:hAnsi="宋体" w:eastAsia="宋体" w:cs="宋体"/>
          <w:color w:val="auto"/>
          <w:sz w:val="24"/>
          <w:highlight w:val="none"/>
        </w:rPr>
      </w:pPr>
      <w:r>
        <w:rPr>
          <w:rFonts w:hint="eastAsia" w:ascii="宋体" w:hAnsi="宋体" w:eastAsia="宋体" w:cs="宋体"/>
          <w:color w:val="auto"/>
          <w:sz w:val="24"/>
          <w:highlight w:val="none"/>
        </w:rPr>
        <w:t>1.4 技术标准</w:t>
      </w:r>
    </w:p>
    <w:p>
      <w:pPr>
        <w:ind w:left="596" w:leftChars="284"/>
        <w:rPr>
          <w:rFonts w:ascii="宋体" w:hAnsi="宋体" w:eastAsia="宋体" w:cs="宋体"/>
          <w:color w:val="auto"/>
          <w:sz w:val="24"/>
          <w:highlight w:val="none"/>
          <w:u w:val="single"/>
        </w:rPr>
      </w:pPr>
      <w:r>
        <w:rPr>
          <w:rFonts w:hint="eastAsia" w:ascii="宋体" w:hAnsi="宋体" w:eastAsia="宋体" w:cs="宋体"/>
          <w:color w:val="auto"/>
          <w:sz w:val="24"/>
          <w:highlight w:val="none"/>
        </w:rPr>
        <w:t>1.4.1适用于工程的技术标准包括：</w:t>
      </w:r>
      <w:r>
        <w:rPr>
          <w:rFonts w:hint="eastAsia" w:ascii="宋体" w:hAnsi="宋体" w:eastAsia="宋体" w:cs="宋体"/>
          <w:color w:val="auto"/>
          <w:sz w:val="24"/>
          <w:highlight w:val="none"/>
          <w:u w:val="single"/>
        </w:rPr>
        <w:t>符合《市政公用工程设计文件编制深度规定》（2013年版）；同时符合招标文件要求；现行设计、施工、验收规范；国家、省、市发布的有效的文件规定。</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 国外技术标准原文版本和中文译本的提供方：</w:t>
      </w:r>
      <w:r>
        <w:rPr>
          <w:rFonts w:hint="eastAsia" w:ascii="宋体" w:hAnsi="宋体" w:eastAsia="宋体" w:cs="宋体"/>
          <w:color w:val="auto"/>
          <w:sz w:val="24"/>
          <w:highlight w:val="none"/>
          <w:u w:val="single"/>
        </w:rPr>
        <w:t>设计人</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提供国外技术标准的名称：</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提供国外技术标准的份数：</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提供国外技术标准的时间：</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提供国外技术标准的费用承担：</w:t>
      </w:r>
      <w:r>
        <w:rPr>
          <w:rFonts w:hint="eastAsia" w:ascii="宋体" w:hAnsi="宋体" w:eastAsia="宋体" w:cs="宋体"/>
          <w:color w:val="auto"/>
          <w:sz w:val="24"/>
          <w:highlight w:val="none"/>
          <w:u w:val="single"/>
        </w:rPr>
        <w:t xml:space="preserve">  设计人 </w:t>
      </w:r>
      <w:r>
        <w:rPr>
          <w:rFonts w:hint="eastAsia" w:ascii="宋体" w:hAnsi="宋体" w:eastAsia="宋体" w:cs="宋体"/>
          <w:color w:val="auto"/>
          <w:sz w:val="24"/>
          <w:highlight w:val="none"/>
        </w:rPr>
        <w:t>。</w:t>
      </w:r>
    </w:p>
    <w:p>
      <w:pPr>
        <w:ind w:left="596" w:leftChars="284"/>
        <w:rPr>
          <w:rFonts w:ascii="宋体" w:hAnsi="宋体" w:eastAsia="宋体" w:cs="宋体"/>
          <w:color w:val="auto"/>
          <w:sz w:val="24"/>
          <w:highlight w:val="none"/>
        </w:rPr>
      </w:pPr>
      <w:r>
        <w:rPr>
          <w:rFonts w:hint="eastAsia" w:ascii="宋体" w:hAnsi="宋体" w:eastAsia="宋体" w:cs="宋体"/>
          <w:color w:val="auto"/>
          <w:sz w:val="24"/>
          <w:highlight w:val="none"/>
        </w:rPr>
        <w:t>1.4.3发包人对工程的技术标准和功能要求的特殊要求：</w:t>
      </w:r>
      <w:r>
        <w:rPr>
          <w:rFonts w:hint="eastAsia" w:ascii="宋体" w:hAnsi="宋体" w:eastAsia="宋体" w:cs="宋体"/>
          <w:color w:val="auto"/>
          <w:sz w:val="24"/>
          <w:highlight w:val="none"/>
          <w:u w:val="single"/>
        </w:rPr>
        <w:t>结合市政工程设计做好区域内改造设计，确保人民生命财产安全。该费用由设计人承担。施工图设计应该在满足规范要求的情况下投资经济合理</w:t>
      </w:r>
      <w:r>
        <w:rPr>
          <w:rFonts w:hint="eastAsia" w:ascii="宋体" w:hAnsi="宋体" w:eastAsia="宋体" w:cs="宋体"/>
          <w:color w:val="auto"/>
          <w:sz w:val="24"/>
          <w:highlight w:val="none"/>
        </w:rPr>
        <w:t>。</w:t>
      </w:r>
    </w:p>
    <w:p>
      <w:pPr>
        <w:spacing w:before="120" w:after="120"/>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1.5 合同文件的优先顺序</w:t>
      </w:r>
    </w:p>
    <w:p>
      <w:pPr>
        <w:spacing w:before="120" w:after="120"/>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合同文件组成及优先顺序为：（1）合同协议书；（2）招标文件及其附件（3）专用合同条款及其附件；（4）通用合同条款；（5）中标通知书；（6）投标文件及其附录；（7）发包人要求；（8）技术标准；（9）发包人提供的上一阶段图纸；（10）其他合同文件。</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 联络</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1.6.1发包人和设计人应当在</w:t>
      </w:r>
      <w:r>
        <w:rPr>
          <w:rFonts w:hint="eastAsia" w:ascii="宋体" w:hAnsi="宋体" w:eastAsia="宋体" w:cs="宋体"/>
          <w:color w:val="auto"/>
          <w:sz w:val="24"/>
          <w:highlight w:val="none"/>
          <w:u w:val="single"/>
        </w:rPr>
        <w:t> 7个日历</w:t>
      </w:r>
      <w:r>
        <w:rPr>
          <w:rFonts w:hint="eastAsia" w:ascii="宋体" w:hAnsi="宋体" w:eastAsia="宋体" w:cs="宋体"/>
          <w:color w:val="auto"/>
          <w:sz w:val="24"/>
          <w:highlight w:val="none"/>
        </w:rPr>
        <w:t>天内将与合同有关的通知、批准、证明、证书、指示、指令、要求、请求、同意、确定和决定等书面函件送达对方当事人。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1.6.2 发包人与设计人联系信息</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发包人接收文件的地点：</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发包人指定的接收人为：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发包人指定的联系电话及传真号码：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发包人指定的电子邮箱：</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设计人接收文件的地点：</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设计人指定的接收人为：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设计人指定的联系电话及传真号码：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设计人指定的电子邮箱：</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 保密</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保密期限：</w:t>
      </w:r>
      <w:r>
        <w:rPr>
          <w:rFonts w:hint="eastAsia" w:ascii="宋体" w:hAnsi="宋体" w:eastAsia="宋体" w:cs="宋体"/>
          <w:color w:val="auto"/>
          <w:sz w:val="24"/>
          <w:highlight w:val="none"/>
          <w:u w:val="single"/>
        </w:rPr>
        <w:t xml:space="preserve"> 永久 </w:t>
      </w:r>
      <w:r>
        <w:rPr>
          <w:rFonts w:hint="eastAsia" w:ascii="宋体" w:hAnsi="宋体" w:eastAsia="宋体" w:cs="宋体"/>
          <w:color w:val="auto"/>
          <w:sz w:val="24"/>
          <w:highlight w:val="none"/>
        </w:rPr>
        <w:t>。</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 发包人</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 发包人一般义务</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2.1.3 发包人其他义务：</w:t>
      </w:r>
      <w:r>
        <w:rPr>
          <w:rFonts w:hint="eastAsia" w:ascii="宋体" w:hAnsi="宋体" w:eastAsia="宋体" w:cs="宋体"/>
          <w:color w:val="auto"/>
          <w:sz w:val="24"/>
          <w:highlight w:val="none"/>
          <w:u w:val="single"/>
        </w:rPr>
        <w:t>发包人依约向设计人支付设计费用。</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 发包人代表</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发包人代表：</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 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发包人对发包人代表的授权范围如下：</w:t>
      </w:r>
      <w:r>
        <w:rPr>
          <w:rFonts w:hint="eastAsia" w:ascii="宋体" w:hAnsi="宋体" w:eastAsia="宋体" w:cs="宋体"/>
          <w:color w:val="auto"/>
          <w:sz w:val="24"/>
          <w:highlight w:val="none"/>
          <w:u w:val="single"/>
        </w:rPr>
        <w:t xml:space="preserve"> 联系、协调相关事宜，代表发包人全面履行设计合同中有关发包人的权利、义务等工作，对设计人的权利、义务等工作行使监督管理职责，保障工程设计工作目标的实现。工作重点：协调设计工作相关的外部环境、内部环境，促进设计工作顺利实施；督促设计人等按合同要求开展各项设计工作，并对履约情况定期考核，提出奖惩意见；对各类设计变更、技术核定、工程变更等资料的审核、收集、归档；参与各类与设计有关的论证、讨论等会议；及时报告设计工作的进展和履约情况，负责处理合同履行过程中与发包人有关的所有具体事宜</w:t>
      </w:r>
    </w:p>
    <w:p>
      <w:pPr>
        <w:spacing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发包人更换发包人代表的，应当提前</w:t>
      </w:r>
      <w:r>
        <w:rPr>
          <w:rFonts w:hint="eastAsia" w:ascii="宋体" w:hAnsi="宋体" w:eastAsia="宋体" w:cs="宋体"/>
          <w:color w:val="auto"/>
          <w:sz w:val="24"/>
          <w:highlight w:val="none"/>
          <w:u w:val="single"/>
        </w:rPr>
        <w:t xml:space="preserve"> 7</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个日历天书面通知设计人。</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2.3发包人决定</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2.3.2发包人应在</w:t>
      </w:r>
      <w:r>
        <w:rPr>
          <w:rFonts w:hint="eastAsia" w:ascii="宋体" w:hAnsi="宋体" w:eastAsia="宋体" w:cs="宋体"/>
          <w:color w:val="auto"/>
          <w:sz w:val="24"/>
          <w:highlight w:val="none"/>
          <w:u w:val="single"/>
        </w:rPr>
        <w:t xml:space="preserve"> 7</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个日历天内对设计人书面提出的事项作出书面决定。</w:t>
      </w:r>
    </w:p>
    <w:p>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3. 设计人</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3.1 设计人一般义务</w:t>
      </w:r>
    </w:p>
    <w:p>
      <w:pPr>
        <w:keepNext/>
        <w:spacing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 设计人</w:t>
      </w:r>
      <w:r>
        <w:rPr>
          <w:rFonts w:hint="eastAsia" w:ascii="宋体" w:hAnsi="宋体" w:eastAsia="宋体" w:cs="宋体"/>
          <w:color w:val="auto"/>
          <w:sz w:val="24"/>
          <w:highlight w:val="none"/>
          <w:u w:val="single"/>
        </w:rPr>
        <w:t xml:space="preserve"> 需 </w:t>
      </w:r>
      <w:r>
        <w:rPr>
          <w:rFonts w:hint="eastAsia" w:ascii="宋体" w:hAnsi="宋体" w:eastAsia="宋体" w:cs="宋体"/>
          <w:color w:val="auto"/>
          <w:sz w:val="24"/>
          <w:highlight w:val="none"/>
        </w:rPr>
        <w:t>配合发包人办理有关许可、批准或备案手续。</w:t>
      </w:r>
    </w:p>
    <w:p>
      <w:pPr>
        <w:spacing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3.1.3 设计人其他义务：</w:t>
      </w:r>
      <w:r>
        <w:rPr>
          <w:rFonts w:hint="eastAsia" w:ascii="宋体" w:hAnsi="宋体" w:eastAsia="宋体" w:cs="宋体"/>
          <w:color w:val="auto"/>
          <w:sz w:val="24"/>
          <w:highlight w:val="none"/>
          <w:u w:val="single"/>
        </w:rPr>
        <w:t xml:space="preserve"> 执行通用条款、招标文件及补充条款 </w:t>
      </w:r>
      <w:r>
        <w:rPr>
          <w:rFonts w:hint="eastAsia" w:ascii="宋体" w:hAnsi="宋体" w:eastAsia="宋体" w:cs="宋体"/>
          <w:color w:val="auto"/>
          <w:sz w:val="24"/>
          <w:highlight w:val="none"/>
        </w:rPr>
        <w:t>。</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3.2 项目负责人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项目负责人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执业资格及等级：</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注册证书号：</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设计人对项目负责人的授权范围如下：</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 设计人更换项目负责人的，应提前</w:t>
      </w:r>
      <w:r>
        <w:rPr>
          <w:rFonts w:hint="eastAsia" w:ascii="宋体" w:hAnsi="宋体" w:eastAsia="宋体" w:cs="宋体"/>
          <w:color w:val="auto"/>
          <w:sz w:val="24"/>
          <w:highlight w:val="none"/>
          <w:u w:val="single"/>
        </w:rPr>
        <w:t>7个日历</w:t>
      </w:r>
      <w:r>
        <w:rPr>
          <w:rFonts w:hint="eastAsia" w:ascii="宋体" w:hAnsi="宋体" w:eastAsia="宋体" w:cs="宋体"/>
          <w:color w:val="auto"/>
          <w:sz w:val="24"/>
          <w:highlight w:val="none"/>
        </w:rPr>
        <w:t>天书面通知发包人。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设计人擅自更换项目负责人的违约责任：</w:t>
      </w:r>
      <w:r>
        <w:rPr>
          <w:rFonts w:hint="eastAsia" w:ascii="宋体" w:hAnsi="宋体" w:eastAsia="宋体" w:cs="宋体"/>
          <w:color w:val="auto"/>
          <w:sz w:val="24"/>
          <w:highlight w:val="none"/>
          <w:u w:val="single"/>
        </w:rPr>
        <w:t>发包人扣除设计人全部履约保证金。</w:t>
      </w:r>
    </w:p>
    <w:p>
      <w:pPr>
        <w:rPr>
          <w:rFonts w:ascii="宋体" w:hAnsi="宋体" w:eastAsia="宋体" w:cs="宋体"/>
          <w:color w:val="auto"/>
          <w:sz w:val="24"/>
          <w:highlight w:val="none"/>
        </w:rPr>
      </w:pPr>
      <w:r>
        <w:rPr>
          <w:rFonts w:hint="eastAsia" w:ascii="宋体" w:hAnsi="宋体" w:eastAsia="宋体" w:cs="宋体"/>
          <w:color w:val="auto"/>
          <w:sz w:val="24"/>
          <w:highlight w:val="none"/>
        </w:rPr>
        <w:t xml:space="preserve">    3.2.3 设计人应在收到书面更换通知后</w:t>
      </w:r>
      <w:r>
        <w:rPr>
          <w:rFonts w:hint="eastAsia" w:ascii="宋体" w:hAnsi="宋体" w:eastAsia="宋体" w:cs="宋体"/>
          <w:color w:val="auto"/>
          <w:sz w:val="24"/>
          <w:highlight w:val="none"/>
          <w:u w:val="single"/>
        </w:rPr>
        <w:t xml:space="preserve"> 7个日历</w:t>
      </w:r>
      <w:r>
        <w:rPr>
          <w:rFonts w:hint="eastAsia" w:ascii="宋体" w:hAnsi="宋体" w:eastAsia="宋体" w:cs="宋体"/>
          <w:color w:val="auto"/>
          <w:sz w:val="24"/>
          <w:highlight w:val="none"/>
        </w:rPr>
        <w:t>天内更换项目负责人。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设计人无正当理由拒绝更换项目负责人的违约责任：</w:t>
      </w:r>
      <w:r>
        <w:rPr>
          <w:rFonts w:hint="eastAsia" w:ascii="宋体" w:hAnsi="宋体" w:eastAsia="宋体" w:cs="宋体"/>
          <w:color w:val="auto"/>
          <w:sz w:val="24"/>
          <w:highlight w:val="none"/>
          <w:u w:val="single"/>
        </w:rPr>
        <w:t>发包人扣除设计人20%履约保证金。建设单位有权要求调换具有相应资历的人选的权利。</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3.3 设计人人员</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3.3.1 设计人提交项目管理机构及人员安排报告的期限：</w:t>
      </w:r>
      <w:r>
        <w:rPr>
          <w:rFonts w:hint="eastAsia" w:ascii="宋体" w:hAnsi="宋体" w:eastAsia="宋体" w:cs="宋体"/>
          <w:color w:val="auto"/>
          <w:sz w:val="24"/>
          <w:highlight w:val="none"/>
          <w:u w:val="single"/>
        </w:rPr>
        <w:t xml:space="preserve">执行通用条款 </w:t>
      </w:r>
      <w:r>
        <w:rPr>
          <w:rFonts w:hint="eastAsia" w:ascii="宋体" w:hAnsi="宋体" w:eastAsia="宋体" w:cs="宋体"/>
          <w:color w:val="auto"/>
          <w:sz w:val="24"/>
          <w:highlight w:val="none"/>
        </w:rPr>
        <w:t>。</w:t>
      </w:r>
    </w:p>
    <w:p>
      <w:pPr>
        <w:ind w:left="300" w:leftChars="143"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3.3.3 设计人无正当理由拒绝撤换主要设计人员的违约责任：</w:t>
      </w:r>
    </w:p>
    <w:p>
      <w:pPr>
        <w:ind w:left="240" w:hanging="240" w:hangingChars="100"/>
        <w:rPr>
          <w:rFonts w:ascii="宋体" w:hAnsi="宋体" w:eastAsia="宋体" w:cs="宋体"/>
          <w:color w:val="auto"/>
          <w:sz w:val="24"/>
          <w:highlight w:val="none"/>
        </w:rPr>
      </w:pPr>
      <w:r>
        <w:rPr>
          <w:rFonts w:hint="eastAsia" w:ascii="宋体" w:hAnsi="宋体" w:eastAsia="宋体" w:cs="宋体"/>
          <w:color w:val="auto"/>
          <w:sz w:val="24"/>
          <w:highlight w:val="none"/>
          <w:u w:val="single"/>
        </w:rPr>
        <w:t>发包人扣除设计人20%履约保证金。</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3.4设计分包</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3.4.1 设计分包的一般约定</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禁止设计分包的工程包括：</w:t>
      </w:r>
      <w:r>
        <w:rPr>
          <w:rFonts w:hint="eastAsia" w:ascii="宋体" w:hAnsi="宋体" w:eastAsia="宋体" w:cs="宋体"/>
          <w:color w:val="auto"/>
          <w:sz w:val="24"/>
          <w:highlight w:val="none"/>
          <w:u w:val="single"/>
        </w:rPr>
        <w:t>设计人资质许可的范围内专业设计禁止分包。</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主体结构、关键性工作的范围：</w:t>
      </w:r>
      <w:r>
        <w:rPr>
          <w:rFonts w:hint="eastAsia" w:ascii="宋体" w:hAnsi="宋体" w:eastAsia="宋体" w:cs="宋体"/>
          <w:color w:val="auto"/>
          <w:sz w:val="24"/>
          <w:highlight w:val="none"/>
          <w:u w:val="single"/>
        </w:rPr>
        <w:t>执行通用条款</w:t>
      </w:r>
      <w:r>
        <w:rPr>
          <w:rFonts w:hint="eastAsia" w:ascii="宋体" w:hAnsi="宋体" w:eastAsia="宋体" w:cs="宋体"/>
          <w:color w:val="auto"/>
          <w:sz w:val="24"/>
          <w:highlight w:val="non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 xml:space="preserve">    3.4.2设计分包的确定</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允许分包的专业工程包括：</w:t>
      </w:r>
      <w:r>
        <w:rPr>
          <w:rFonts w:hint="eastAsia" w:ascii="宋体" w:hAnsi="宋体" w:eastAsia="宋体" w:cs="宋体"/>
          <w:color w:val="auto"/>
          <w:sz w:val="24"/>
          <w:highlight w:val="none"/>
          <w:u w:val="single"/>
        </w:rPr>
        <w:t>设计人资质许可范围内若不具备工程勘察、图审、测量测绘、通讯、市政供电等专项设计，可专业分包；。</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其他关于分包的约定：</w:t>
      </w:r>
      <w:r>
        <w:rPr>
          <w:rFonts w:hint="eastAsia" w:ascii="宋体" w:hAnsi="宋体" w:eastAsia="宋体" w:cs="宋体"/>
          <w:color w:val="auto"/>
          <w:sz w:val="24"/>
          <w:highlight w:val="none"/>
          <w:u w:val="single"/>
        </w:rPr>
        <w:t xml:space="preserve">    /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3.4.3 设计人向发包人提交有关分包人资料包括：</w:t>
      </w:r>
      <w:r>
        <w:rPr>
          <w:rFonts w:hint="eastAsia" w:ascii="宋体" w:hAnsi="宋体" w:eastAsia="宋体" w:cs="宋体"/>
          <w:color w:val="auto"/>
          <w:sz w:val="24"/>
          <w:highlight w:val="none"/>
          <w:u w:val="single"/>
        </w:rPr>
        <w:t xml:space="preserve">  资质证书、分包协议、专业设计人员证书及设计成果。</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3.4.4 分包工程设计费支付方式：</w:t>
      </w:r>
      <w:r>
        <w:rPr>
          <w:rFonts w:hint="eastAsia" w:ascii="宋体" w:hAnsi="宋体" w:eastAsia="宋体" w:cs="宋体"/>
          <w:color w:val="auto"/>
          <w:sz w:val="24"/>
          <w:highlight w:val="none"/>
          <w:u w:val="single"/>
        </w:rPr>
        <w:t xml:space="preserve">  由设计人支付 </w:t>
      </w:r>
      <w:r>
        <w:rPr>
          <w:rFonts w:hint="eastAsia" w:ascii="宋体" w:hAnsi="宋体" w:eastAsia="宋体" w:cs="宋体"/>
          <w:color w:val="auto"/>
          <w:sz w:val="24"/>
          <w:highlight w:val="none"/>
        </w:rPr>
        <w:t>。</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3.5联合体</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3.5.4 发包人向联合体支付设计费用的方式：</w:t>
      </w:r>
      <w:r>
        <w:rPr>
          <w:rFonts w:hint="eastAsia" w:ascii="宋体" w:hAnsi="宋体" w:eastAsia="宋体" w:cs="宋体"/>
          <w:color w:val="auto"/>
          <w:sz w:val="24"/>
          <w:highlight w:val="none"/>
          <w:u w:val="single"/>
        </w:rPr>
        <w:t xml:space="preserve"> 无 </w:t>
      </w:r>
      <w:r>
        <w:rPr>
          <w:rFonts w:hint="eastAsia" w:ascii="宋体" w:hAnsi="宋体" w:eastAsia="宋体" w:cs="宋体"/>
          <w:color w:val="auto"/>
          <w:sz w:val="24"/>
          <w:highlight w:val="none"/>
        </w:rPr>
        <w:t>。</w:t>
      </w:r>
    </w:p>
    <w:p>
      <w:pPr>
        <w:rPr>
          <w:rFonts w:ascii="宋体" w:hAnsi="宋体" w:eastAsia="宋体" w:cs="宋体"/>
          <w:color w:val="auto"/>
          <w:sz w:val="24"/>
          <w:highlight w:val="none"/>
        </w:rPr>
      </w:pPr>
      <w:r>
        <w:rPr>
          <w:rFonts w:hint="eastAsia" w:ascii="宋体" w:hAnsi="宋体" w:eastAsia="宋体" w:cs="宋体"/>
          <w:b/>
          <w:color w:val="auto"/>
          <w:sz w:val="24"/>
          <w:highlight w:val="none"/>
        </w:rPr>
        <w:t>5. 工程设计要求</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5.1 工程设计一般要求</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5.1.2.1工程设计的特殊标准或要求：</w:t>
      </w:r>
      <w:r>
        <w:rPr>
          <w:rFonts w:hint="eastAsia" w:ascii="宋体" w:hAnsi="宋体" w:eastAsia="宋体" w:cs="宋体"/>
          <w:color w:val="auto"/>
          <w:sz w:val="24"/>
          <w:highlight w:val="none"/>
          <w:u w:val="single"/>
        </w:rPr>
        <w:t>满足规划设计条件的前提，设计人根据发包人要求进行设计。</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5.1.2.2 工程设计适用的技术标准：</w:t>
      </w:r>
      <w:r>
        <w:rPr>
          <w:rFonts w:hint="eastAsia" w:ascii="宋体" w:hAnsi="宋体" w:eastAsia="宋体" w:cs="宋体"/>
          <w:color w:val="auto"/>
          <w:sz w:val="24"/>
          <w:highlight w:val="none"/>
          <w:u w:val="single"/>
        </w:rPr>
        <w:t>因发包人采纳设计人的建议或遵守基准日期后新的强制性的规定或标准，导致增加设计费用和（或）设计周期延长的，发包人不承担</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5.1.2.4 工程设计文件的主要技术指标控制值及比例</w:t>
      </w:r>
      <w:r>
        <w:rPr>
          <w:rFonts w:hint="eastAsia" w:ascii="宋体" w:hAnsi="宋体" w:eastAsia="宋体" w:cs="宋体"/>
          <w:color w:val="auto"/>
          <w:sz w:val="24"/>
          <w:highlight w:val="none"/>
          <w:u w:val="single"/>
        </w:rPr>
        <w:t>：本着节约造价成本原则开展设计工作，严格执行招标内容及发包人要求设计</w:t>
      </w:r>
      <w:r>
        <w:rPr>
          <w:rFonts w:hint="eastAsia" w:ascii="宋体" w:hAnsi="宋体" w:eastAsia="宋体" w:cs="宋体"/>
          <w:color w:val="auto"/>
          <w:sz w:val="24"/>
          <w:highlight w:val="none"/>
        </w:rPr>
        <w:t>。</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5.3 工程设计文件的要求</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5.3.3 工程设计文件深度规定：</w:t>
      </w:r>
      <w:r>
        <w:rPr>
          <w:rFonts w:hint="eastAsia" w:ascii="宋体" w:hAnsi="宋体" w:eastAsia="宋体" w:cs="宋体"/>
          <w:color w:val="auto"/>
          <w:sz w:val="24"/>
          <w:highlight w:val="none"/>
          <w:u w:val="single"/>
        </w:rPr>
        <w:t>符合《市政公用工程设计文件编制深度规定》（2013年版）；同时符合招标文件要求；</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5.3.5 建筑物及其功能设施的合理使用寿命年限：</w:t>
      </w:r>
      <w:r>
        <w:rPr>
          <w:rFonts w:hint="eastAsia" w:ascii="宋体" w:hAnsi="宋体" w:eastAsia="宋体" w:cs="宋体"/>
          <w:color w:val="auto"/>
          <w:sz w:val="24"/>
          <w:highlight w:val="none"/>
          <w:u w:val="single"/>
        </w:rPr>
        <w:t>根据法律、技术标准要求，保证本工程的合理使用寿命年限，并在设计文件中明确标注合理使用年限。</w:t>
      </w:r>
    </w:p>
    <w:p>
      <w:pPr>
        <w:ind w:firstLine="482" w:firstLineChars="200"/>
        <w:rPr>
          <w:rFonts w:ascii="宋体" w:hAnsi="宋体" w:eastAsia="宋体" w:cs="宋体"/>
          <w:color w:val="auto"/>
          <w:sz w:val="24"/>
          <w:highlight w:val="none"/>
          <w:u w:val="single"/>
        </w:rPr>
      </w:pPr>
      <w:r>
        <w:rPr>
          <w:rFonts w:hint="eastAsia" w:ascii="宋体" w:hAnsi="宋体" w:eastAsia="宋体" w:cs="宋体"/>
          <w:b/>
          <w:color w:val="auto"/>
          <w:sz w:val="24"/>
          <w:highlight w:val="none"/>
        </w:rPr>
        <w:t>6. 工程设计进度与周期</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6.1 工程设计进度计划</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 工程设计进度计划的编制</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合同当事人约定的工程设计进度计划提交的时间：</w:t>
      </w:r>
      <w:r>
        <w:rPr>
          <w:rFonts w:hint="eastAsia" w:ascii="宋体" w:hAnsi="宋体" w:eastAsia="宋体" w:cs="宋体"/>
          <w:color w:val="auto"/>
          <w:sz w:val="24"/>
          <w:highlight w:val="none"/>
          <w:u w:val="single"/>
        </w:rPr>
        <w:t xml:space="preserve"> 见招标文件及补充条款</w:t>
      </w:r>
      <w:r>
        <w:rPr>
          <w:rFonts w:hint="eastAsia" w:ascii="宋体" w:hAnsi="宋体" w:eastAsia="宋体" w:cs="宋体"/>
          <w:color w:val="auto"/>
          <w:sz w:val="24"/>
          <w:highlight w:val="none"/>
        </w:rPr>
        <w:t>。</w:t>
      </w:r>
    </w:p>
    <w:p>
      <w:pPr>
        <w:adjustRightInd w:val="0"/>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合同当事人约定的工程设计进度计划应包括的内容：</w:t>
      </w:r>
      <w:r>
        <w:rPr>
          <w:rFonts w:hint="eastAsia" w:ascii="宋体" w:hAnsi="宋体" w:eastAsia="宋体" w:cs="宋体"/>
          <w:color w:val="auto"/>
          <w:sz w:val="24"/>
          <w:highlight w:val="none"/>
          <w:u w:val="single"/>
        </w:rPr>
        <w:t>见招标文件及补充条款</w:t>
      </w:r>
      <w:r>
        <w:rPr>
          <w:rFonts w:hint="eastAsia" w:ascii="宋体" w:hAnsi="宋体" w:eastAsia="宋体" w:cs="宋体"/>
          <w:color w:val="auto"/>
          <w:sz w:val="24"/>
          <w:highlight w:val="none"/>
        </w:rPr>
        <w:t>。</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6.1.2工程设计进度计划的修订</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发包人在收到工程设计进度计划后确认或提出修改意见的期限：</w:t>
      </w:r>
      <w:r>
        <w:rPr>
          <w:rFonts w:hint="eastAsia" w:ascii="宋体" w:hAnsi="宋体" w:eastAsia="宋体" w:cs="宋体"/>
          <w:color w:val="auto"/>
          <w:sz w:val="24"/>
          <w:highlight w:val="none"/>
          <w:u w:val="single"/>
        </w:rPr>
        <w:t xml:space="preserve">执行通用条款 </w:t>
      </w:r>
      <w:r>
        <w:rPr>
          <w:rFonts w:hint="eastAsia" w:ascii="宋体" w:hAnsi="宋体" w:eastAsia="宋体" w:cs="宋体"/>
          <w:color w:val="auto"/>
          <w:sz w:val="24"/>
          <w:highlight w:val="none"/>
        </w:rPr>
        <w:t>。</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6.3工程设计进度延误</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6.3.1因发包人原因导致工程设计进度延误</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（4）因发包人原因导致工程设计进度延误的其他情形：</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设计人应在发生进度延误的情形后</w:t>
      </w:r>
      <w:r>
        <w:rPr>
          <w:rFonts w:hint="eastAsia" w:ascii="宋体" w:hAnsi="宋体" w:eastAsia="宋体" w:cs="宋体"/>
          <w:color w:val="auto"/>
          <w:sz w:val="24"/>
          <w:highlight w:val="none"/>
          <w:u w:val="single"/>
        </w:rPr>
        <w:t xml:space="preserve"> 三  </w:t>
      </w:r>
      <w:r>
        <w:rPr>
          <w:rFonts w:hint="eastAsia" w:ascii="宋体" w:hAnsi="宋体" w:eastAsia="宋体" w:cs="宋体"/>
          <w:color w:val="auto"/>
          <w:sz w:val="24"/>
          <w:highlight w:val="none"/>
        </w:rPr>
        <w:t>天内向发包人发出要求延期的书面通知，在发生该情形后</w:t>
      </w:r>
      <w:r>
        <w:rPr>
          <w:rFonts w:hint="eastAsia" w:ascii="宋体" w:hAnsi="宋体" w:eastAsia="宋体" w:cs="宋体"/>
          <w:color w:val="auto"/>
          <w:sz w:val="24"/>
          <w:highlight w:val="none"/>
          <w:u w:val="single"/>
        </w:rPr>
        <w:t xml:space="preserve">  三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天内提交要求延期的详细说明。</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发包人收到设计人要求延期的详细说明后，应在</w:t>
      </w:r>
      <w:r>
        <w:rPr>
          <w:rFonts w:hint="eastAsia" w:ascii="宋体" w:hAnsi="宋体" w:eastAsia="宋体" w:cs="宋体"/>
          <w:color w:val="auto"/>
          <w:sz w:val="24"/>
          <w:highlight w:val="none"/>
          <w:u w:val="single"/>
        </w:rPr>
        <w:t xml:space="preserve"> 三  </w:t>
      </w:r>
      <w:r>
        <w:rPr>
          <w:rFonts w:hint="eastAsia" w:ascii="宋体" w:hAnsi="宋体" w:eastAsia="宋体" w:cs="宋体"/>
          <w:color w:val="auto"/>
          <w:sz w:val="24"/>
          <w:highlight w:val="none"/>
        </w:rPr>
        <w:t>天内进行审查并书面答复。</w:t>
      </w:r>
    </w:p>
    <w:p>
      <w:pPr>
        <w:pStyle w:val="10"/>
        <w:spacing w:before="120" w:after="120"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6.5 提前交付工程设计文件</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6.5.2提前交付工程设计文件的奖励：</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pPr>
        <w:spacing w:before="120" w:after="120"/>
        <w:rPr>
          <w:rFonts w:ascii="宋体" w:hAnsi="宋体" w:eastAsia="宋体" w:cs="宋体"/>
          <w:b/>
          <w:bCs/>
          <w:color w:val="auto"/>
          <w:sz w:val="24"/>
          <w:highlight w:val="none"/>
        </w:rPr>
      </w:pPr>
      <w:r>
        <w:rPr>
          <w:rFonts w:hint="eastAsia" w:ascii="宋体" w:hAnsi="宋体" w:eastAsia="宋体" w:cs="宋体"/>
          <w:b/>
          <w:bCs/>
          <w:color w:val="auto"/>
          <w:sz w:val="24"/>
          <w:highlight w:val="none"/>
        </w:rPr>
        <w:t>7. 工程设计文件交付</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7.1 工程设计文件交付的内容</w:t>
      </w:r>
    </w:p>
    <w:p>
      <w:pPr>
        <w:pStyle w:val="2"/>
        <w:ind w:left="0" w:firstLine="0" w:firstLineChars="0"/>
        <w:rPr>
          <w:rFonts w:eastAsia="宋体"/>
          <w:b/>
          <w:bCs/>
          <w:color w:val="auto"/>
          <w:highlight w:val="none"/>
        </w:rPr>
      </w:pPr>
      <w:r>
        <w:rPr>
          <w:rFonts w:hint="eastAsia" w:ascii="宋体" w:hAnsi="宋体" w:eastAsia="宋体" w:cs="宋体"/>
          <w:color w:val="auto"/>
          <w:sz w:val="24"/>
          <w:szCs w:val="24"/>
          <w:highlight w:val="none"/>
        </w:rPr>
        <w:t xml:space="preserve">    7.1.1发包人要求设计人提交纸质版设计文件的具体形式为：</w:t>
      </w:r>
      <w:r>
        <w:rPr>
          <w:rFonts w:hint="eastAsia" w:ascii="宋体" w:hAnsi="宋体" w:eastAsia="宋体" w:cs="宋体"/>
          <w:color w:val="auto"/>
          <w:sz w:val="24"/>
          <w:szCs w:val="24"/>
          <w:highlight w:val="none"/>
          <w:u w:val="single"/>
        </w:rPr>
        <w:t>方案、初步设计及概算、计算书等内容4套，施工图设计10套</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（评审过程中产生的任何费用由中标人自行承担）</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7.1.2 发包人要求设计人提交电子版设计文件的具体形式为： </w:t>
      </w:r>
      <w:r>
        <w:rPr>
          <w:rFonts w:hint="eastAsia" w:ascii="宋体" w:hAnsi="宋体" w:eastAsia="宋体" w:cs="宋体"/>
          <w:color w:val="auto"/>
          <w:sz w:val="24"/>
          <w:highlight w:val="none"/>
        </w:rPr>
        <w:t>A</w:t>
      </w:r>
      <w:r>
        <w:rPr>
          <w:rFonts w:hint="eastAsia" w:ascii="宋体" w:hAnsi="宋体" w:eastAsia="宋体" w:cs="宋体"/>
          <w:color w:val="auto"/>
          <w:sz w:val="24"/>
          <w:highlight w:val="none"/>
          <w:u w:val="single"/>
        </w:rPr>
        <w:t>UTOCAD软件版、PDF格式、PPT、WORD、EXECL、JPG等电子版（明确具体软件版本号、文件格式）。</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方案、初步设计及概算、施工图设计、计算书等内容电子文档光盘2张。</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最终设计成果提供全套设计文件电子件1份，文字部分为WORD格式，效果图为JPG格式，设计方案、初步设计、施工图为DWG格式，图层不得合并，设计概、预算采用EXCEL格式。发包人要求设计人提供的电子文件，设计人不得对电子文件采取加密、设置访问权限、限期使用等保护措施 。</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8. 工程设计文件审查</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8.1 发包人对设计人的设计文件审查期限不超过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天。</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8.3 发包人应在审查同意设计人的工程设计文件后在</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天内，向政府有关部门报送工程设计文件。</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8.4 工程设计审查形式及时间安排：</w:t>
      </w:r>
      <w:r>
        <w:rPr>
          <w:rFonts w:hint="eastAsia" w:ascii="宋体" w:hAnsi="宋体" w:eastAsia="宋体" w:cs="宋体"/>
          <w:color w:val="auto"/>
          <w:sz w:val="24"/>
          <w:highlight w:val="none"/>
          <w:u w:val="single"/>
        </w:rPr>
        <w:t>发包人组织；设计人安排并承担费用</w:t>
      </w:r>
      <w:r>
        <w:rPr>
          <w:rFonts w:hint="eastAsia" w:ascii="宋体" w:hAnsi="宋体" w:eastAsia="宋体" w:cs="宋体"/>
          <w:color w:val="auto"/>
          <w:sz w:val="24"/>
          <w:highlight w:val="none"/>
        </w:rPr>
        <w:t>。</w:t>
      </w:r>
    </w:p>
    <w:p>
      <w:pPr>
        <w:spacing w:before="120" w:after="120"/>
        <w:rPr>
          <w:rFonts w:ascii="宋体" w:hAnsi="宋体" w:eastAsia="宋体" w:cs="宋体"/>
          <w:b/>
          <w:bCs/>
          <w:color w:val="auto"/>
          <w:sz w:val="24"/>
          <w:highlight w:val="none"/>
          <w:u w:val="single"/>
        </w:rPr>
      </w:pPr>
      <w:r>
        <w:rPr>
          <w:rFonts w:hint="eastAsia" w:ascii="宋体" w:hAnsi="宋体" w:eastAsia="宋体" w:cs="宋体"/>
          <w:b/>
          <w:bCs/>
          <w:color w:val="auto"/>
          <w:sz w:val="24"/>
          <w:highlight w:val="none"/>
        </w:rPr>
        <w:t>9. 施工现场配合服务</w:t>
      </w:r>
    </w:p>
    <w:p>
      <w:pPr>
        <w:ind w:firstLine="360" w:firstLineChars="150"/>
        <w:rPr>
          <w:rFonts w:ascii="宋体" w:hAnsi="宋体" w:eastAsia="宋体" w:cs="宋体"/>
          <w:color w:val="auto"/>
          <w:sz w:val="24"/>
          <w:highlight w:val="none"/>
          <w:u w:val="single"/>
        </w:rPr>
      </w:pPr>
      <w:r>
        <w:rPr>
          <w:rFonts w:hint="eastAsia" w:ascii="宋体" w:hAnsi="宋体" w:eastAsia="宋体" w:cs="宋体"/>
          <w:color w:val="auto"/>
          <w:sz w:val="24"/>
          <w:highlight w:val="none"/>
        </w:rPr>
        <w:t>9.1 发包人为设计人派赴现场的工作人员提供便利条件的内容包括：</w:t>
      </w:r>
      <w:r>
        <w:rPr>
          <w:rFonts w:hint="eastAsia" w:ascii="宋体" w:hAnsi="宋体" w:eastAsia="宋体" w:cs="宋体"/>
          <w:color w:val="auto"/>
          <w:sz w:val="24"/>
          <w:highlight w:val="none"/>
          <w:u w:val="single"/>
        </w:rPr>
        <w:t>设计人自行解决并承担相应费用。</w:t>
      </w:r>
    </w:p>
    <w:p>
      <w:pPr>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9.2 设计人应当在交付施工图设计文件并经审查合格后</w:t>
      </w:r>
      <w:r>
        <w:rPr>
          <w:rFonts w:hint="eastAsia" w:ascii="宋体" w:hAnsi="宋体" w:eastAsia="宋体" w:cs="宋体"/>
          <w:color w:val="auto"/>
          <w:sz w:val="24"/>
          <w:highlight w:val="none"/>
          <w:u w:val="single"/>
        </w:rPr>
        <w:t xml:space="preserve">自项目施工招标至竣工验收的 </w:t>
      </w:r>
      <w:r>
        <w:rPr>
          <w:rFonts w:hint="eastAsia" w:ascii="宋体" w:hAnsi="宋体" w:eastAsia="宋体" w:cs="宋体"/>
          <w:color w:val="auto"/>
          <w:sz w:val="24"/>
          <w:highlight w:val="none"/>
        </w:rPr>
        <w:t>时间内提供施工现场配合服务。</w:t>
      </w:r>
    </w:p>
    <w:p>
      <w:pPr>
        <w:ind w:firstLine="361" w:firstLineChars="150"/>
        <w:rPr>
          <w:rFonts w:ascii="宋体" w:hAnsi="宋体" w:eastAsia="宋体" w:cs="宋体"/>
          <w:color w:val="auto"/>
          <w:sz w:val="24"/>
          <w:highlight w:val="none"/>
          <w:u w:val="single"/>
        </w:rPr>
      </w:pPr>
      <w:r>
        <w:rPr>
          <w:rFonts w:hint="eastAsia" w:ascii="宋体" w:hAnsi="宋体" w:eastAsia="宋体" w:cs="宋体"/>
          <w:b/>
          <w:color w:val="auto"/>
          <w:sz w:val="24"/>
          <w:highlight w:val="none"/>
        </w:rPr>
        <w:t>10. 合同价款与支付</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 合同价格形式：总价合同</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（1）单价合同</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单价包含的风险范围：</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（2）总价合同</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总价包含的风险范围：</w:t>
      </w:r>
      <w:r>
        <w:rPr>
          <w:rFonts w:hint="eastAsia" w:ascii="宋体" w:hAnsi="宋体" w:eastAsia="宋体" w:cs="宋体"/>
          <w:color w:val="auto"/>
          <w:sz w:val="24"/>
          <w:highlight w:val="none"/>
          <w:u w:val="single"/>
        </w:rPr>
        <w:t>招标文件规定的全部工作内容及风险</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 xml:space="preserve">  不调整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（3）其他价格形式：</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before="120" w:after="120"/>
        <w:ind w:firstLine="600"/>
        <w:rPr>
          <w:rFonts w:ascii="宋体" w:hAnsi="宋体" w:eastAsia="宋体" w:cs="宋体"/>
          <w:color w:val="auto"/>
          <w:sz w:val="24"/>
          <w:highlight w:val="none"/>
        </w:rPr>
      </w:pPr>
      <w:r>
        <w:rPr>
          <w:rFonts w:hint="eastAsia" w:ascii="宋体" w:hAnsi="宋体" w:eastAsia="宋体" w:cs="宋体"/>
          <w:bCs/>
          <w:color w:val="auto"/>
          <w:sz w:val="24"/>
          <w:highlight w:val="none"/>
        </w:rPr>
        <w:t>10.3 定金或预付款</w:t>
      </w:r>
    </w:p>
    <w:p>
      <w:pPr>
        <w:ind w:firstLine="600"/>
        <w:rPr>
          <w:rFonts w:ascii="宋体" w:hAnsi="宋体" w:eastAsia="宋体" w:cs="宋体"/>
          <w:color w:val="auto"/>
          <w:sz w:val="24"/>
          <w:highlight w:val="none"/>
        </w:rPr>
      </w:pPr>
      <w:r>
        <w:rPr>
          <w:rFonts w:hint="eastAsia" w:ascii="宋体" w:hAnsi="宋体" w:eastAsia="宋体" w:cs="宋体"/>
          <w:color w:val="auto"/>
          <w:sz w:val="24"/>
          <w:highlight w:val="none"/>
        </w:rPr>
        <w:t>10.3.1 定金或预付款的比例</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定金的比例</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。或预付款的比例</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600"/>
        <w:rPr>
          <w:rFonts w:ascii="宋体" w:hAnsi="宋体" w:eastAsia="宋体" w:cs="宋体"/>
          <w:color w:val="auto"/>
          <w:sz w:val="24"/>
          <w:highlight w:val="none"/>
        </w:rPr>
      </w:pPr>
      <w:r>
        <w:rPr>
          <w:rFonts w:hint="eastAsia" w:ascii="宋体" w:hAnsi="宋体" w:eastAsia="宋体" w:cs="宋体"/>
          <w:color w:val="auto"/>
          <w:sz w:val="24"/>
          <w:highlight w:val="none"/>
        </w:rPr>
        <w:t>10.3.2 定金或预付款的支付</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定金或预付款的支付时间：</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，但最迟应在开始设计通知载明的开始设计日期</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天前支付。</w:t>
      </w:r>
    </w:p>
    <w:p>
      <w:pPr>
        <w:spacing w:before="120" w:after="120"/>
        <w:rPr>
          <w:rFonts w:ascii="宋体" w:hAnsi="宋体" w:eastAsia="宋体" w:cs="宋体"/>
          <w:color w:val="auto"/>
          <w:sz w:val="24"/>
          <w:highlight w:val="none"/>
        </w:rPr>
      </w:pPr>
      <w:r>
        <w:rPr>
          <w:rFonts w:hint="eastAsia" w:ascii="宋体" w:hAnsi="宋体" w:eastAsia="宋体" w:cs="宋体"/>
          <w:color w:val="auto"/>
          <w:sz w:val="24"/>
          <w:highlight w:val="none"/>
        </w:rPr>
        <w:t>11. 工程设计变更与索赔</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 设计人应于认为有理由提出增加合同价款或延长设计周期的要求事项发生后</w:t>
      </w:r>
      <w:r>
        <w:rPr>
          <w:rFonts w:hint="eastAsia" w:ascii="宋体" w:hAnsi="宋体" w:eastAsia="宋体" w:cs="宋体"/>
          <w:color w:val="auto"/>
          <w:sz w:val="24"/>
          <w:highlight w:val="none"/>
          <w:u w:val="single"/>
        </w:rPr>
        <w:t xml:space="preserve">   5</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天内书面通知发包人。</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设计人应在该事项发生后</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天内向发包人提供证明设计人要求的书面声明。</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发包人应在接到设计人书面声明后的</w:t>
      </w:r>
      <w:r>
        <w:rPr>
          <w:rFonts w:hint="eastAsia" w:ascii="宋体" w:hAnsi="宋体" w:eastAsia="宋体" w:cs="宋体"/>
          <w:color w:val="auto"/>
          <w:sz w:val="24"/>
          <w:highlight w:val="none"/>
          <w:u w:val="single"/>
        </w:rPr>
        <w:t xml:space="preserve">  15  </w:t>
      </w:r>
      <w:r>
        <w:rPr>
          <w:rFonts w:hint="eastAsia" w:ascii="宋体" w:hAnsi="宋体" w:eastAsia="宋体" w:cs="宋体"/>
          <w:color w:val="auto"/>
          <w:sz w:val="24"/>
          <w:highlight w:val="none"/>
        </w:rPr>
        <w:t>天内，予以书面答复。</w:t>
      </w:r>
    </w:p>
    <w:p>
      <w:pPr>
        <w:spacing w:before="120" w:after="120"/>
        <w:rPr>
          <w:rFonts w:ascii="宋体" w:hAnsi="宋体" w:eastAsia="宋体" w:cs="宋体"/>
          <w:b/>
          <w:bCs/>
          <w:color w:val="auto"/>
          <w:sz w:val="24"/>
          <w:highlight w:val="none"/>
        </w:rPr>
      </w:pPr>
      <w:r>
        <w:rPr>
          <w:rFonts w:hint="eastAsia" w:ascii="宋体" w:hAnsi="宋体" w:eastAsia="宋体" w:cs="宋体"/>
          <w:b/>
          <w:bCs/>
          <w:color w:val="auto"/>
          <w:sz w:val="24"/>
          <w:highlight w:val="none"/>
        </w:rPr>
        <w:t>12. 专业责任与保险</w:t>
      </w:r>
    </w:p>
    <w:p>
      <w:pPr>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12.2 设计人</w:t>
      </w:r>
      <w:r>
        <w:rPr>
          <w:rFonts w:hint="eastAsia" w:ascii="宋体" w:hAnsi="宋体" w:eastAsia="宋体" w:cs="宋体"/>
          <w:color w:val="auto"/>
          <w:sz w:val="24"/>
          <w:highlight w:val="none"/>
          <w:u w:val="single"/>
        </w:rPr>
        <w:t>需</w:t>
      </w:r>
      <w:r>
        <w:rPr>
          <w:rFonts w:hint="eastAsia" w:ascii="宋体" w:hAnsi="宋体" w:eastAsia="宋体" w:cs="宋体"/>
          <w:color w:val="auto"/>
          <w:sz w:val="24"/>
          <w:highlight w:val="none"/>
        </w:rPr>
        <w:t>（需/不需）有发包人认可的工程设计责任保险。</w:t>
      </w:r>
    </w:p>
    <w:p>
      <w:pPr>
        <w:rPr>
          <w:rFonts w:ascii="宋体" w:hAnsi="宋体" w:eastAsia="宋体" w:cs="宋体"/>
          <w:color w:val="auto"/>
          <w:sz w:val="24"/>
          <w:highlight w:val="none"/>
        </w:rPr>
      </w:pPr>
      <w:r>
        <w:rPr>
          <w:rFonts w:hint="eastAsia" w:ascii="宋体" w:hAnsi="宋体" w:eastAsia="宋体" w:cs="宋体"/>
          <w:b/>
          <w:color w:val="auto"/>
          <w:sz w:val="24"/>
          <w:highlight w:val="none"/>
        </w:rPr>
        <w:t>13. 知识产权</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13.1关于发包人提供给设计人的图纸、发包人为实施工程自行编制或委托编制的技术规格以及反映发包人关于合同要求或其他类似性质的文件的著作权的归属：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auto"/>
          <w:sz w:val="24"/>
          <w:highlight w:val="none"/>
          <w:u w:val="single"/>
        </w:rPr>
        <w:t>执行通用条款</w:t>
      </w:r>
      <w:r>
        <w:rPr>
          <w:rFonts w:hint="eastAsia" w:ascii="宋体" w:hAnsi="宋体" w:eastAsia="宋体" w:cs="宋体"/>
          <w:color w:val="auto"/>
          <w:sz w:val="24"/>
          <w:highlight w:val="none"/>
        </w:rPr>
        <w:t>。</w:t>
      </w:r>
    </w:p>
    <w:p>
      <w:pPr>
        <w:ind w:left="596" w:leftChars="284"/>
        <w:rPr>
          <w:rFonts w:ascii="宋体" w:hAnsi="宋体" w:eastAsia="宋体" w:cs="宋体"/>
          <w:color w:val="auto"/>
          <w:sz w:val="24"/>
          <w:highlight w:val="none"/>
        </w:rPr>
      </w:pPr>
      <w:r>
        <w:rPr>
          <w:rFonts w:hint="eastAsia" w:ascii="宋体" w:hAnsi="宋体" w:eastAsia="宋体" w:cs="宋体"/>
          <w:color w:val="auto"/>
          <w:sz w:val="24"/>
          <w:highlight w:val="none"/>
        </w:rPr>
        <w:t>关于发包人提供的上述文件的使用限制的要求：</w:t>
      </w:r>
      <w:r>
        <w:rPr>
          <w:rFonts w:hint="eastAsia" w:ascii="宋体" w:hAnsi="宋体" w:eastAsia="宋体" w:cs="宋体"/>
          <w:color w:val="auto"/>
          <w:sz w:val="24"/>
          <w:highlight w:val="none"/>
          <w:u w:val="single"/>
        </w:rPr>
        <w:t>执行通用条款</w:t>
      </w:r>
      <w:r>
        <w:rPr>
          <w:rFonts w:hint="eastAsia" w:ascii="宋体" w:hAnsi="宋体" w:eastAsia="宋体" w:cs="宋体"/>
          <w:color w:val="auto"/>
          <w:sz w:val="24"/>
          <w:highlight w:val="none"/>
        </w:rPr>
        <w:t>。。</w:t>
      </w:r>
    </w:p>
    <w:p>
      <w:pPr>
        <w:ind w:left="596" w:leftChars="284"/>
        <w:rPr>
          <w:rFonts w:ascii="宋体" w:hAnsi="宋体" w:eastAsia="宋体" w:cs="宋体"/>
          <w:color w:val="auto"/>
          <w:sz w:val="24"/>
          <w:highlight w:val="none"/>
        </w:rPr>
      </w:pPr>
      <w:r>
        <w:rPr>
          <w:rFonts w:hint="eastAsia" w:ascii="宋体" w:hAnsi="宋体" w:eastAsia="宋体" w:cs="宋体"/>
          <w:color w:val="auto"/>
          <w:sz w:val="24"/>
          <w:highlight w:val="none"/>
        </w:rPr>
        <w:t>13.2 关于设计人为实施工程所编制文件的著作权的归属：</w:t>
      </w:r>
      <w:r>
        <w:rPr>
          <w:rFonts w:hint="eastAsia" w:ascii="宋体" w:hAnsi="宋体" w:eastAsia="宋体" w:cs="宋体"/>
          <w:color w:val="auto"/>
          <w:sz w:val="24"/>
          <w:highlight w:val="none"/>
          <w:u w:val="single"/>
        </w:rPr>
        <w:t>执行通用条款</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关于设计人提供的上述文件的使用限制的要求：</w:t>
      </w:r>
      <w:r>
        <w:rPr>
          <w:rFonts w:hint="eastAsia" w:ascii="宋体" w:hAnsi="宋体" w:eastAsia="宋体" w:cs="宋体"/>
          <w:color w:val="auto"/>
          <w:sz w:val="24"/>
          <w:highlight w:val="none"/>
          <w:u w:val="single"/>
        </w:rPr>
        <w:t>执行通用条款</w:t>
      </w:r>
      <w:r>
        <w:rPr>
          <w:rFonts w:hint="eastAsia" w:ascii="宋体" w:hAnsi="宋体" w:eastAsia="宋体" w:cs="宋体"/>
          <w:color w:val="auto"/>
          <w:sz w:val="24"/>
          <w:highlight w:val="none"/>
        </w:rPr>
        <w:t>。。</w:t>
      </w:r>
    </w:p>
    <w:p>
      <w:pPr>
        <w:ind w:firstLine="600"/>
        <w:rPr>
          <w:rFonts w:ascii="宋体" w:hAnsi="宋体" w:eastAsia="宋体" w:cs="宋体"/>
          <w:color w:val="auto"/>
          <w:sz w:val="24"/>
          <w:highlight w:val="none"/>
          <w:u w:val="single"/>
        </w:rPr>
      </w:pPr>
      <w:r>
        <w:rPr>
          <w:rFonts w:hint="eastAsia" w:ascii="宋体" w:hAnsi="宋体" w:eastAsia="宋体" w:cs="宋体"/>
          <w:color w:val="auto"/>
          <w:sz w:val="24"/>
          <w:highlight w:val="none"/>
        </w:rPr>
        <w:t>13.5 设计人在设计过程中所采用的专利、专有技术的使用费的承担方式：</w:t>
      </w:r>
    </w:p>
    <w:p>
      <w:pPr>
        <w:rPr>
          <w:rFonts w:ascii="宋体" w:hAnsi="宋体" w:eastAsia="宋体" w:cs="宋体"/>
          <w:color w:val="auto"/>
          <w:sz w:val="24"/>
          <w:highlight w:val="none"/>
        </w:rPr>
      </w:pPr>
      <w:r>
        <w:rPr>
          <w:rFonts w:hint="eastAsia" w:ascii="宋体" w:hAnsi="宋体" w:eastAsia="宋体" w:cs="宋体"/>
          <w:color w:val="auto"/>
          <w:sz w:val="24"/>
          <w:highlight w:val="none"/>
          <w:u w:val="single"/>
        </w:rPr>
        <w:t>设计人自行承担</w:t>
      </w:r>
      <w:r>
        <w:rPr>
          <w:rFonts w:hint="eastAsia" w:ascii="宋体" w:hAnsi="宋体" w:eastAsia="宋体" w:cs="宋体"/>
          <w:color w:val="auto"/>
          <w:sz w:val="24"/>
          <w:highlight w:val="none"/>
        </w:rPr>
        <w:t>。。</w:t>
      </w:r>
    </w:p>
    <w:p>
      <w:pPr>
        <w:rPr>
          <w:rFonts w:ascii="宋体" w:hAnsi="宋体" w:eastAsia="宋体" w:cs="宋体"/>
          <w:color w:val="auto"/>
          <w:sz w:val="24"/>
          <w:highlight w:val="none"/>
        </w:rPr>
      </w:pPr>
      <w:r>
        <w:rPr>
          <w:rFonts w:hint="eastAsia" w:ascii="宋体" w:hAnsi="宋体" w:eastAsia="宋体" w:cs="宋体"/>
          <w:b/>
          <w:color w:val="auto"/>
          <w:sz w:val="24"/>
          <w:highlight w:val="none"/>
        </w:rPr>
        <w:t>14. 违约责任</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14.1 发包人违约责任</w:t>
      </w:r>
    </w:p>
    <w:p>
      <w:pPr>
        <w:numPr>
          <w:ins w:id="0" w:author="Unknown" w:date="2021-05-08T14:39:00Z"/>
        </w:num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14.1.1 发包人支付设计人的违约金：</w:t>
      </w:r>
      <w:r>
        <w:rPr>
          <w:rFonts w:hint="eastAsia" w:ascii="宋体" w:hAnsi="宋体" w:eastAsia="宋体" w:cs="宋体"/>
          <w:color w:val="auto"/>
          <w:sz w:val="24"/>
          <w:highlight w:val="none"/>
          <w:u w:val="single"/>
        </w:rPr>
        <w:t>见合同专用条款之补充内容</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14.1.2 发包人逾期支付设计费的违约金：</w:t>
      </w:r>
      <w:r>
        <w:rPr>
          <w:rFonts w:hint="eastAsia" w:ascii="宋体" w:hAnsi="宋体" w:eastAsia="宋体" w:cs="宋体"/>
          <w:color w:val="auto"/>
          <w:sz w:val="24"/>
          <w:highlight w:val="none"/>
          <w:u w:val="single"/>
        </w:rPr>
        <w:t>见合同专用条款之补充内容</w:t>
      </w:r>
      <w:r>
        <w:rPr>
          <w:rFonts w:hint="eastAsia" w:ascii="宋体" w:hAnsi="宋体" w:eastAsia="宋体" w:cs="宋体"/>
          <w:color w:val="auto"/>
          <w:sz w:val="24"/>
          <w:highlight w:val="none"/>
        </w:rPr>
        <w:t>。</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 设计人违约责任</w:t>
      </w:r>
    </w:p>
    <w:p>
      <w:pPr>
        <w:numPr>
          <w:ins w:id="1" w:author="Unknown" w:date="2021-05-08T14:39:00Z"/>
        </w:num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14.2.1 设计人支付发包人的违约金：</w:t>
      </w:r>
      <w:r>
        <w:rPr>
          <w:rFonts w:hint="eastAsia" w:ascii="宋体" w:hAnsi="宋体" w:eastAsia="宋体" w:cs="宋体"/>
          <w:color w:val="auto"/>
          <w:sz w:val="24"/>
          <w:highlight w:val="none"/>
          <w:u w:val="single"/>
        </w:rPr>
        <w:t>全部履约保证金。</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14.2.2 设计人逾期交付工程设计文件的违约金：</w:t>
      </w:r>
      <w:r>
        <w:rPr>
          <w:rFonts w:hint="eastAsia" w:ascii="宋体" w:hAnsi="宋体" w:eastAsia="宋体" w:cs="宋体"/>
          <w:color w:val="auto"/>
          <w:sz w:val="24"/>
          <w:highlight w:val="none"/>
          <w:u w:val="single"/>
        </w:rPr>
        <w:t>见合同专用条款之补充内容</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设计人逾期交付工程设计文件的违约金的上限：</w:t>
      </w:r>
      <w:r>
        <w:rPr>
          <w:rFonts w:hint="eastAsia" w:ascii="宋体" w:hAnsi="宋体" w:eastAsia="宋体" w:cs="宋体"/>
          <w:color w:val="auto"/>
          <w:sz w:val="24"/>
          <w:highlight w:val="none"/>
          <w:u w:val="single"/>
        </w:rPr>
        <w:t>全部履约保证金</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14.2.3 设计人设计文件不合格的损失赔偿金的上限：</w:t>
      </w:r>
      <w:r>
        <w:rPr>
          <w:rFonts w:hint="eastAsia" w:ascii="宋体" w:hAnsi="宋体" w:eastAsia="宋体" w:cs="宋体"/>
          <w:color w:val="auto"/>
          <w:sz w:val="24"/>
          <w:highlight w:val="none"/>
          <w:u w:val="single"/>
        </w:rPr>
        <w:t>合同约定的全额设计费</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14.2.4 设计人工程设计文件超出主要技术指标控制值比例的违约责任：</w:t>
      </w:r>
      <w:r>
        <w:rPr>
          <w:rFonts w:hint="eastAsia" w:ascii="宋体" w:hAnsi="宋体" w:eastAsia="宋体" w:cs="宋体"/>
          <w:color w:val="auto"/>
          <w:sz w:val="24"/>
          <w:highlight w:val="none"/>
          <w:u w:val="single"/>
        </w:rPr>
        <w:t>设计人无条件返工处理，不能返工处理的，发包人所有损失由设计人承担，但承担数额最高不超过本合同约定的全额设计费</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14.2.5 设计人未经发包人同意擅自对工程设计进行分包的违约责任：发包人</w:t>
      </w:r>
      <w:r>
        <w:rPr>
          <w:rFonts w:hint="eastAsia" w:ascii="宋体" w:hAnsi="宋体" w:eastAsia="宋体" w:cs="宋体"/>
          <w:color w:val="auto"/>
          <w:sz w:val="24"/>
          <w:highlight w:val="none"/>
          <w:u w:val="single"/>
        </w:rPr>
        <w:t>扣除设计人全部履约保证金。</w:t>
      </w:r>
    </w:p>
    <w:p>
      <w:pPr>
        <w:rPr>
          <w:rFonts w:ascii="宋体" w:hAnsi="宋体" w:eastAsia="宋体" w:cs="宋体"/>
          <w:color w:val="auto"/>
          <w:sz w:val="24"/>
          <w:highlight w:val="none"/>
          <w:u w:val="single"/>
        </w:rPr>
      </w:pPr>
      <w:r>
        <w:rPr>
          <w:rFonts w:hint="eastAsia" w:ascii="宋体" w:hAnsi="宋体" w:eastAsia="宋体" w:cs="宋体"/>
          <w:b/>
          <w:color w:val="auto"/>
          <w:sz w:val="24"/>
          <w:highlight w:val="none"/>
        </w:rPr>
        <w:t xml:space="preserve">15. 不可抗力 </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15.1 不可抗力的确认</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除通用合同条款约定的不可抗力事件之外，视为不可抗力的其他情形</w:t>
      </w:r>
      <w:r>
        <w:rPr>
          <w:rFonts w:hint="eastAsia" w:ascii="宋体" w:hAnsi="宋体" w:eastAsia="宋体" w:cs="宋体"/>
          <w:color w:val="auto"/>
          <w:sz w:val="24"/>
          <w:highlight w:val="none"/>
          <w:u w:val="single"/>
        </w:rPr>
        <w:t>：项目建设单位受客观因素影响不再是发包人。</w:t>
      </w:r>
    </w:p>
    <w:p>
      <w:pPr>
        <w:spacing w:before="120" w:after="120"/>
        <w:rPr>
          <w:rFonts w:ascii="宋体" w:hAnsi="宋体" w:eastAsia="宋体" w:cs="宋体"/>
          <w:color w:val="auto"/>
          <w:sz w:val="24"/>
          <w:highlight w:val="none"/>
        </w:rPr>
      </w:pPr>
      <w:r>
        <w:rPr>
          <w:rFonts w:hint="eastAsia" w:ascii="宋体" w:hAnsi="宋体" w:eastAsia="宋体" w:cs="宋体"/>
          <w:color w:val="auto"/>
          <w:sz w:val="24"/>
          <w:highlight w:val="none"/>
        </w:rPr>
        <w:t>16. 合同解除</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16.2 有下列情形之一的，可以解除合同：</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（3）暂停设计期限已连续超过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天。</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16.4 发包人向设计人支付已完工作设计费的期限为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天内。</w:t>
      </w:r>
    </w:p>
    <w:p>
      <w:pPr>
        <w:ind w:firstLine="482" w:firstLineChars="200"/>
        <w:rPr>
          <w:rFonts w:ascii="宋体" w:hAnsi="宋体" w:eastAsia="宋体" w:cs="宋体"/>
          <w:color w:val="auto"/>
          <w:sz w:val="24"/>
          <w:highlight w:val="none"/>
          <w:u w:val="single"/>
        </w:rPr>
      </w:pPr>
      <w:r>
        <w:rPr>
          <w:rFonts w:hint="eastAsia" w:ascii="宋体" w:hAnsi="宋体" w:eastAsia="宋体" w:cs="宋体"/>
          <w:b/>
          <w:color w:val="auto"/>
          <w:sz w:val="24"/>
          <w:highlight w:val="none"/>
        </w:rPr>
        <w:t>17. 争议解决</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17.3 争议评审</w:t>
      </w:r>
    </w:p>
    <w:p>
      <w:pPr>
        <w:ind w:left="149" w:leftChars="71"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合同当事人是否同意将工程争议提交争议评审小组决定：</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17.3.1 争议评审小组的确定</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争议评审小组成员的确定：</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选定争议评审员的期限：</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评审所发生的费用承担方式：</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其他事项的约定：</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adjustRightInd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17.3.2 争议评审小组的决定</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合同当事人关于本事项的约定：</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before="120"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17.4仲裁或诉讼</w:t>
      </w:r>
    </w:p>
    <w:p>
      <w:pPr>
        <w:spacing w:after="1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因合同及合同有关事项发生的争议，按下列第</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种方式解决：</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（1）向</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仲裁委员会申请仲裁；</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（2）向</w:t>
      </w:r>
      <w:r>
        <w:rPr>
          <w:rFonts w:hint="eastAsia" w:ascii="宋体" w:hAnsi="宋体" w:eastAsia="宋体" w:cs="宋体"/>
          <w:color w:val="auto"/>
          <w:sz w:val="24"/>
          <w:highlight w:val="none"/>
          <w:u w:val="single"/>
        </w:rPr>
        <w:t>铜陵市铜官区</w:t>
      </w:r>
      <w:r>
        <w:rPr>
          <w:rFonts w:hint="eastAsia" w:ascii="宋体" w:hAnsi="宋体" w:eastAsia="宋体" w:cs="宋体"/>
          <w:color w:val="auto"/>
          <w:sz w:val="24"/>
          <w:highlight w:val="none"/>
        </w:rPr>
        <w:t>人民法院起诉。</w:t>
      </w:r>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18. 其他</w:t>
      </w:r>
    </w:p>
    <w:bookmarkEnd w:id="22"/>
    <w:p>
      <w:pPr>
        <w:rPr>
          <w:rFonts w:ascii="宋体" w:hAnsi="宋体" w:eastAsia="宋体" w:cs="宋体"/>
          <w:b/>
          <w:color w:val="auto"/>
          <w:sz w:val="24"/>
          <w:highlight w:val="none"/>
        </w:rPr>
      </w:pPr>
      <w:bookmarkStart w:id="23" w:name="_Toc351203652"/>
      <w:r>
        <w:rPr>
          <w:rFonts w:hint="eastAsia" w:ascii="宋体" w:hAnsi="宋体" w:eastAsia="宋体" w:cs="宋体"/>
          <w:b/>
          <w:color w:val="auto"/>
          <w:sz w:val="24"/>
          <w:highlight w:val="none"/>
        </w:rPr>
        <w:t>附件</w:t>
      </w:r>
      <w:bookmarkEnd w:id="23"/>
    </w:p>
    <w:p>
      <w:pPr>
        <w:rPr>
          <w:rFonts w:ascii="宋体" w:hAnsi="宋体" w:eastAsia="宋体" w:cs="宋体"/>
          <w:color w:val="auto"/>
          <w:sz w:val="24"/>
          <w:highlight w:val="none"/>
        </w:rPr>
      </w:pPr>
      <w:r>
        <w:rPr>
          <w:rFonts w:hint="eastAsia" w:ascii="宋体" w:hAnsi="宋体" w:eastAsia="宋体" w:cs="宋体"/>
          <w:color w:val="auto"/>
          <w:sz w:val="24"/>
          <w:highlight w:val="none"/>
        </w:rPr>
        <w:t>附件1：工程设计范围、阶段与服务内容</w:t>
      </w:r>
    </w:p>
    <w:p>
      <w:pPr>
        <w:rPr>
          <w:rFonts w:ascii="宋体" w:hAnsi="宋体" w:eastAsia="宋体" w:cs="宋体"/>
          <w:color w:val="auto"/>
          <w:sz w:val="24"/>
          <w:highlight w:val="none"/>
        </w:rPr>
      </w:pPr>
      <w:r>
        <w:rPr>
          <w:rFonts w:hint="eastAsia" w:ascii="宋体" w:hAnsi="宋体" w:eastAsia="宋体" w:cs="宋体"/>
          <w:color w:val="auto"/>
          <w:sz w:val="24"/>
          <w:highlight w:val="none"/>
        </w:rPr>
        <w:t>附件2：发包人向设计人提交的有关资料及文件一览表</w:t>
      </w:r>
    </w:p>
    <w:p>
      <w:pPr>
        <w:rPr>
          <w:rFonts w:ascii="宋体" w:hAnsi="宋体" w:eastAsia="宋体" w:cs="宋体"/>
          <w:color w:val="auto"/>
          <w:sz w:val="24"/>
          <w:highlight w:val="none"/>
        </w:rPr>
      </w:pPr>
      <w:r>
        <w:rPr>
          <w:rFonts w:hint="eastAsia" w:ascii="宋体" w:hAnsi="宋体" w:eastAsia="宋体" w:cs="宋体"/>
          <w:color w:val="auto"/>
          <w:sz w:val="24"/>
          <w:highlight w:val="none"/>
        </w:rPr>
        <w:t>附件3：设计人向发包人交付的工程设计文件目录</w:t>
      </w:r>
    </w:p>
    <w:p>
      <w:pPr>
        <w:rPr>
          <w:rFonts w:ascii="宋体" w:hAnsi="宋体" w:eastAsia="宋体" w:cs="宋体"/>
          <w:color w:val="auto"/>
          <w:sz w:val="24"/>
          <w:highlight w:val="none"/>
        </w:rPr>
      </w:pPr>
      <w:r>
        <w:rPr>
          <w:rFonts w:hint="eastAsia" w:ascii="宋体" w:hAnsi="宋体" w:eastAsia="宋体" w:cs="宋体"/>
          <w:color w:val="auto"/>
          <w:sz w:val="24"/>
          <w:highlight w:val="none"/>
        </w:rPr>
        <w:t>附件4：设计人主要设计人员表</w:t>
      </w:r>
    </w:p>
    <w:p>
      <w:pPr>
        <w:rPr>
          <w:rFonts w:ascii="宋体" w:hAnsi="宋体" w:eastAsia="宋体" w:cs="宋体"/>
          <w:color w:val="auto"/>
          <w:sz w:val="24"/>
          <w:highlight w:val="none"/>
        </w:rPr>
      </w:pPr>
      <w:r>
        <w:rPr>
          <w:rFonts w:hint="eastAsia" w:ascii="宋体" w:hAnsi="宋体" w:eastAsia="宋体" w:cs="宋体"/>
          <w:color w:val="auto"/>
          <w:sz w:val="24"/>
          <w:highlight w:val="none"/>
        </w:rPr>
        <w:t>附件5: 设计费明细及支付方式</w:t>
      </w:r>
    </w:p>
    <w:p>
      <w:pPr>
        <w:rPr>
          <w:rFonts w:ascii="宋体" w:hAnsi="宋体" w:eastAsia="宋体" w:cs="宋体"/>
          <w:color w:val="auto"/>
          <w:sz w:val="24"/>
          <w:highlight w:val="none"/>
        </w:rPr>
      </w:pPr>
      <w:r>
        <w:rPr>
          <w:rFonts w:hint="eastAsia" w:ascii="宋体" w:hAnsi="宋体" w:eastAsia="宋体" w:cs="宋体"/>
          <w:color w:val="auto"/>
          <w:sz w:val="24"/>
          <w:highlight w:val="none"/>
        </w:rPr>
        <w:t>附件6: 设计变更计费依据和方法</w:t>
      </w:r>
    </w:p>
    <w:p>
      <w:pPr>
        <w:rPr>
          <w:rFonts w:ascii="宋体" w:hAnsi="宋体" w:eastAsia="宋体" w:cs="宋体"/>
          <w:color w:val="auto"/>
          <w:sz w:val="30"/>
          <w:szCs w:val="30"/>
          <w:highlight w:val="none"/>
        </w:rPr>
      </w:pPr>
    </w:p>
    <w:p>
      <w:pPr>
        <w:rPr>
          <w:rFonts w:ascii="宋体" w:hAnsi="宋体" w:eastAsia="宋体" w:cs="宋体"/>
          <w:b/>
          <w:color w:val="auto"/>
          <w:sz w:val="24"/>
          <w:highlight w:val="none"/>
        </w:rPr>
      </w:pPr>
      <w:bookmarkStart w:id="24" w:name="_Toc278231956"/>
      <w:bookmarkStart w:id="25" w:name="_Toc278309716"/>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附件1：</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工程设计范围、阶段与服务内容</w:t>
      </w:r>
      <w:bookmarkEnd w:id="24"/>
      <w:bookmarkEnd w:id="25"/>
    </w:p>
    <w:p>
      <w:pPr>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一、本工程设计范围</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铜陵市狮子山高新区铜都大道和沿江快速路以南、芜铜铁路以北、红星河以东围合片区内工业污水进行收集排放，工程主要建设内容为污水收集和提升至狮子山工业污水处理厂等。主要设计内容包括但不限于：方案设计（预测污水量、确定管线路由及污水收集方式、确定管道敷设工艺及泵站工艺）；污水重力主管及接入支管平面和纵断设计；污水压力管平面和纵断设计；污水提升泵站设计；管道穿越铁路设计；绿化拆除及恢复设计；路面破除及恢复设计等；项目预计总投资额约1200万元，资金来源为自筹。</w:t>
      </w:r>
    </w:p>
    <w:p>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二、各阶段服务内容  </w:t>
      </w:r>
    </w:p>
    <w:p>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1.方案设计</w:t>
      </w:r>
    </w:p>
    <w:p>
      <w:pPr>
        <w:pStyle w:val="2"/>
        <w:ind w:left="0" w:firstLine="0" w:firstLineChars="0"/>
        <w:rPr>
          <w:rFonts w:eastAsia="宋体"/>
          <w:color w:val="auto"/>
          <w:highlight w:val="none"/>
        </w:rPr>
      </w:pPr>
      <w:r>
        <w:rPr>
          <w:rFonts w:hint="eastAsia" w:ascii="宋体" w:hAnsi="宋体" w:eastAsia="宋体" w:cs="宋体"/>
          <w:b/>
          <w:color w:val="auto"/>
          <w:sz w:val="24"/>
          <w:szCs w:val="24"/>
          <w:highlight w:val="none"/>
        </w:rPr>
        <w:t xml:space="preserve">      （1）</w:t>
      </w:r>
      <w:r>
        <w:rPr>
          <w:rFonts w:hint="eastAsia" w:ascii="宋体" w:hAnsi="宋体" w:eastAsia="宋体" w:cs="宋体"/>
          <w:color w:val="auto"/>
          <w:sz w:val="24"/>
          <w:szCs w:val="24"/>
          <w:highlight w:val="none"/>
        </w:rPr>
        <w:t>负责完成并制作给污水量、确定管线路由及污水收集方式、确定管道敷设工艺及泵站工艺，设计内容和深度应满足政府相关规定；</w:t>
      </w:r>
    </w:p>
    <w:p>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2.初步设计阶段</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（1）负责完成并制作给</w:t>
      </w:r>
      <w:r>
        <w:rPr>
          <w:rFonts w:hint="eastAsia" w:ascii="宋体" w:hAnsi="宋体" w:eastAsia="宋体" w:cs="宋体"/>
          <w:color w:val="auto"/>
          <w:sz w:val="24"/>
          <w:highlight w:val="none"/>
        </w:rPr>
        <w:t>排水、电气、动力、室外管线综合等专业的初步设计文件，设计内容和深度应满足政府相关规定；</w:t>
      </w:r>
      <w:r>
        <w:rPr>
          <w:rFonts w:hint="eastAsia" w:ascii="宋体" w:hAnsi="宋体" w:eastAsia="宋体" w:cs="宋体"/>
          <w:color w:val="auto"/>
          <w:sz w:val="24"/>
          <w:highlight w:val="none"/>
        </w:rPr>
        <w:t xml:space="preserve">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（2）制作报政府相关部门进行初步设计审查的设计图纸，配合发包人进行园林、消防、供电、市政、气象等各部门的报审工作，提供相关的工程用量参数，并负责有关解释和修改。</w:t>
      </w:r>
    </w:p>
    <w:p>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3.施工图设计阶段</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 xml:space="preserve">负责完成并制作总图、污水压力管平面和纵断设计、污水提升泵站设计、管道穿越铁路设计、绿化拆除及恢复设计、路面破除及恢复设计等招标范围内全部专业的施工图设计文件；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（2）对发包人的审核修改意见进行修改、完善，保证其设计意图的最终实现；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（3）根据项目开发进度要求及时提供各阶段报审图纸，进行报审工作，根据审查结果在本合同约定的范围内进行修改调整，直至审查通过，并最终向发包人提交正式的施工图设计文件；</w:t>
      </w:r>
      <w:r>
        <w:rPr>
          <w:rFonts w:hint="eastAsia" w:ascii="宋体" w:hAnsi="宋体" w:eastAsia="宋体" w:cs="宋体"/>
          <w:color w:val="auto"/>
          <w:sz w:val="24"/>
          <w:highlight w:val="none"/>
        </w:rPr>
        <w:t xml:space="preserve">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（4）协助发包人进行工程招标答疑。</w:t>
      </w:r>
    </w:p>
    <w:p>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4.施工配合阶段</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（1）负责工程设计交底，解答施工过程中施工承包人有关施工图的问题，项目负责人及各专业设计负责人，及时对施工中与设计有关的问题做出回应，保证设计满足施工要求；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（2）根据发包人要求，及时参加与设计有关的专题会，现场解决技术问题；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（3）协助发包人处理工程洽商和设计变更，负责有关设计修改，及时办理相关手续；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（4）参与与设计人相关的必要的验收以及项目竣工验收工作，并及时办理相关手续；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（5）提供产品选型、设备加工订货、建筑材料选择以及分包商考察等技术咨询工作； </w:t>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（6）应发包人要求协助审核各分包商的设计文件是否满足接口条件并签署意见，以保证其与总体设计协调一致，并满足工程要求。</w:t>
      </w:r>
    </w:p>
    <w:p>
      <w:pPr>
        <w:rPr>
          <w:rFonts w:ascii="宋体" w:hAnsi="宋体" w:eastAsia="宋体" w:cs="宋体"/>
          <w:b/>
          <w:color w:val="auto"/>
          <w:sz w:val="24"/>
          <w:highlight w:val="none"/>
        </w:rPr>
      </w:pPr>
      <w:bookmarkStart w:id="26" w:name="_Toc278231958"/>
      <w:bookmarkStart w:id="27" w:name="_Toc278309718"/>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附件2：</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发包人向设计人提交有关资料及文件</w:t>
      </w:r>
      <w:bookmarkEnd w:id="26"/>
      <w:bookmarkEnd w:id="27"/>
      <w:r>
        <w:rPr>
          <w:rFonts w:hint="eastAsia" w:ascii="宋体" w:hAnsi="宋体" w:eastAsia="宋体" w:cs="宋体"/>
          <w:color w:val="auto"/>
          <w:sz w:val="24"/>
          <w:highlight w:val="none"/>
        </w:rPr>
        <w:t>一览表</w:t>
      </w:r>
    </w:p>
    <w:tbl>
      <w:tblPr>
        <w:tblStyle w:val="15"/>
        <w:tblpPr w:leftFromText="180" w:rightFromText="180" w:vertAnchor="text" w:horzAnchor="margin" w:tblpX="288" w:tblpY="138"/>
        <w:tblW w:w="0" w:type="auto"/>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72"/>
        <w:gridCol w:w="648"/>
        <w:gridCol w:w="2266"/>
        <w:gridCol w:w="1838"/>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exact"/>
        </w:trPr>
        <w:tc>
          <w:tcPr>
            <w:tcW w:w="468"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672"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资料及文件名称</w:t>
            </w:r>
          </w:p>
        </w:tc>
        <w:tc>
          <w:tcPr>
            <w:tcW w:w="648"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份数</w:t>
            </w:r>
          </w:p>
        </w:tc>
        <w:tc>
          <w:tcPr>
            <w:tcW w:w="2266"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提交日期</w:t>
            </w:r>
          </w:p>
        </w:tc>
        <w:tc>
          <w:tcPr>
            <w:tcW w:w="1838"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有关事宜</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68" w:type="dxa"/>
            <w:noWrap/>
            <w:vAlign w:val="center"/>
          </w:tcPr>
          <w:p>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3672" w:type="dxa"/>
            <w:noWrap/>
          </w:tcPr>
          <w:p>
            <w:pPr>
              <w:jc w:val="center"/>
              <w:rPr>
                <w:rFonts w:ascii="宋体" w:hAnsi="宋体" w:eastAsia="宋体" w:cs="宋体"/>
                <w:bCs/>
                <w:color w:val="auto"/>
                <w:sz w:val="24"/>
                <w:highlight w:val="none"/>
              </w:rPr>
            </w:pPr>
          </w:p>
        </w:tc>
        <w:tc>
          <w:tcPr>
            <w:tcW w:w="648" w:type="dxa"/>
            <w:noWrap/>
          </w:tcPr>
          <w:p>
            <w:pPr>
              <w:jc w:val="center"/>
              <w:rPr>
                <w:rFonts w:ascii="宋体" w:hAnsi="宋体" w:eastAsia="宋体" w:cs="宋体"/>
                <w:bCs/>
                <w:color w:val="auto"/>
                <w:sz w:val="24"/>
                <w:highlight w:val="none"/>
              </w:rPr>
            </w:pPr>
          </w:p>
        </w:tc>
        <w:tc>
          <w:tcPr>
            <w:tcW w:w="2266" w:type="dxa"/>
            <w:noWrap/>
          </w:tcPr>
          <w:p>
            <w:pPr>
              <w:jc w:val="center"/>
              <w:rPr>
                <w:rFonts w:ascii="宋体" w:hAnsi="宋体" w:eastAsia="宋体" w:cs="宋体"/>
                <w:bCs/>
                <w:color w:val="auto"/>
                <w:sz w:val="24"/>
                <w:highlight w:val="none"/>
              </w:rPr>
            </w:pPr>
          </w:p>
        </w:tc>
        <w:tc>
          <w:tcPr>
            <w:tcW w:w="1838" w:type="dxa"/>
            <w:noWrap/>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68" w:type="dxa"/>
            <w:noWrap/>
            <w:vAlign w:val="center"/>
          </w:tcPr>
          <w:p>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3672" w:type="dxa"/>
            <w:noWrap/>
          </w:tcPr>
          <w:p>
            <w:pPr>
              <w:jc w:val="center"/>
              <w:rPr>
                <w:rFonts w:ascii="宋体" w:hAnsi="宋体" w:eastAsia="宋体" w:cs="宋体"/>
                <w:bCs/>
                <w:color w:val="auto"/>
                <w:sz w:val="24"/>
                <w:highlight w:val="none"/>
              </w:rPr>
            </w:pPr>
          </w:p>
        </w:tc>
        <w:tc>
          <w:tcPr>
            <w:tcW w:w="648" w:type="dxa"/>
            <w:noWrap/>
          </w:tcPr>
          <w:p>
            <w:pPr>
              <w:jc w:val="center"/>
              <w:rPr>
                <w:rFonts w:ascii="宋体" w:hAnsi="宋体" w:eastAsia="宋体" w:cs="宋体"/>
                <w:bCs/>
                <w:color w:val="auto"/>
                <w:sz w:val="24"/>
                <w:highlight w:val="none"/>
              </w:rPr>
            </w:pPr>
          </w:p>
        </w:tc>
        <w:tc>
          <w:tcPr>
            <w:tcW w:w="2266" w:type="dxa"/>
            <w:noWrap/>
          </w:tcPr>
          <w:p>
            <w:pPr>
              <w:jc w:val="center"/>
              <w:rPr>
                <w:rFonts w:ascii="宋体" w:hAnsi="宋体" w:eastAsia="宋体" w:cs="宋体"/>
                <w:bCs/>
                <w:color w:val="auto"/>
                <w:sz w:val="24"/>
                <w:highlight w:val="none"/>
              </w:rPr>
            </w:pPr>
          </w:p>
        </w:tc>
        <w:tc>
          <w:tcPr>
            <w:tcW w:w="1838" w:type="dxa"/>
            <w:noWrap/>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468" w:type="dxa"/>
            <w:noWrap/>
            <w:vAlign w:val="center"/>
          </w:tcPr>
          <w:p>
            <w:pPr>
              <w:jc w:val="center"/>
              <w:rPr>
                <w:rFonts w:ascii="宋体" w:hAnsi="宋体" w:eastAsia="宋体" w:cs="宋体"/>
                <w:bCs/>
                <w:color w:val="auto"/>
                <w:sz w:val="24"/>
                <w:highlight w:val="none"/>
              </w:rPr>
            </w:pPr>
          </w:p>
        </w:tc>
        <w:tc>
          <w:tcPr>
            <w:tcW w:w="3672" w:type="dxa"/>
            <w:noWrap/>
            <w:vAlign w:val="center"/>
          </w:tcPr>
          <w:p>
            <w:pPr>
              <w:jc w:val="center"/>
              <w:rPr>
                <w:rFonts w:ascii="宋体" w:hAnsi="宋体" w:eastAsia="宋体" w:cs="宋体"/>
                <w:bCs/>
                <w:color w:val="auto"/>
                <w:sz w:val="24"/>
                <w:highlight w:val="none"/>
              </w:rPr>
            </w:pPr>
          </w:p>
        </w:tc>
        <w:tc>
          <w:tcPr>
            <w:tcW w:w="648" w:type="dxa"/>
            <w:noWrap/>
            <w:vAlign w:val="center"/>
          </w:tcPr>
          <w:p>
            <w:pPr>
              <w:jc w:val="center"/>
              <w:rPr>
                <w:rFonts w:ascii="宋体" w:hAnsi="宋体" w:eastAsia="宋体" w:cs="宋体"/>
                <w:bCs/>
                <w:color w:val="auto"/>
                <w:sz w:val="24"/>
                <w:highlight w:val="none"/>
              </w:rPr>
            </w:pPr>
          </w:p>
        </w:tc>
        <w:tc>
          <w:tcPr>
            <w:tcW w:w="2266" w:type="dxa"/>
            <w:noWrap/>
            <w:vAlign w:val="center"/>
          </w:tcPr>
          <w:p>
            <w:pPr>
              <w:jc w:val="center"/>
              <w:rPr>
                <w:rFonts w:ascii="宋体" w:hAnsi="宋体" w:eastAsia="宋体" w:cs="宋体"/>
                <w:bCs/>
                <w:color w:val="auto"/>
                <w:sz w:val="24"/>
                <w:highlight w:val="none"/>
              </w:rPr>
            </w:pPr>
          </w:p>
        </w:tc>
        <w:tc>
          <w:tcPr>
            <w:tcW w:w="1838" w:type="dxa"/>
            <w:noWrap/>
            <w:vAlign w:val="center"/>
          </w:tcPr>
          <w:p>
            <w:pPr>
              <w:jc w:val="center"/>
              <w:rPr>
                <w:rFonts w:ascii="宋体" w:hAnsi="宋体" w:eastAsia="宋体" w:cs="宋体"/>
                <w:color w:val="auto"/>
                <w:sz w:val="24"/>
                <w:highlight w:val="none"/>
              </w:rPr>
            </w:pPr>
          </w:p>
        </w:tc>
      </w:tr>
    </w:tbl>
    <w:p>
      <w:pPr>
        <w:jc w:val="left"/>
        <w:rPr>
          <w:rFonts w:ascii="宋体" w:hAnsi="宋体" w:eastAsia="宋体" w:cs="宋体"/>
          <w:b/>
          <w:color w:val="auto"/>
          <w:sz w:val="24"/>
          <w:highlight w:val="none"/>
        </w:rPr>
      </w:pPr>
    </w:p>
    <w:p>
      <w:pPr>
        <w:jc w:val="left"/>
        <w:rPr>
          <w:rFonts w:ascii="宋体" w:hAnsi="宋体" w:eastAsia="宋体" w:cs="宋体"/>
          <w:b/>
          <w:color w:val="auto"/>
          <w:sz w:val="24"/>
          <w:highlight w:val="none"/>
        </w:rPr>
      </w:pPr>
      <w:r>
        <w:rPr>
          <w:rFonts w:hint="eastAsia" w:ascii="宋体" w:hAnsi="宋体" w:eastAsia="宋体" w:cs="宋体"/>
          <w:b/>
          <w:color w:val="auto"/>
          <w:sz w:val="24"/>
          <w:highlight w:val="none"/>
        </w:rPr>
        <w:t>附件3: 履约保证金缴纳与退还方式、设计费明细及支付方式</w:t>
      </w:r>
    </w:p>
    <w:p>
      <w:pPr>
        <w:pStyle w:val="19"/>
        <w:adjustRightInd/>
        <w:snapToGrid w:val="0"/>
        <w:rPr>
          <w:rFonts w:eastAsia="宋体"/>
          <w:color w:val="auto"/>
          <w:highlight w:val="none"/>
          <w:lang w:val="zh-CN"/>
        </w:rPr>
      </w:pPr>
      <w:r>
        <w:rPr>
          <w:rFonts w:hint="eastAsia" w:eastAsia="宋体"/>
          <w:color w:val="auto"/>
          <w:highlight w:val="none"/>
          <w:lang w:val="zh-CN"/>
        </w:rPr>
        <w:t xml:space="preserve">   </w:t>
      </w:r>
      <w:r>
        <w:rPr>
          <w:rFonts w:hint="eastAsia" w:eastAsia="宋体"/>
          <w:color w:val="auto"/>
          <w:highlight w:val="none"/>
          <w:lang w:val="zh-CN"/>
        </w:rPr>
        <w:t>1、履约保证金金额：合同价款的</w:t>
      </w:r>
      <w:r>
        <w:rPr>
          <w:rFonts w:hint="eastAsia" w:eastAsia="宋体"/>
          <w:color w:val="auto"/>
          <w:highlight w:val="none"/>
        </w:rPr>
        <w:t>2%</w:t>
      </w:r>
      <w:r>
        <w:rPr>
          <w:rFonts w:hint="eastAsia" w:eastAsia="宋体"/>
          <w:color w:val="auto"/>
          <w:highlight w:val="none"/>
          <w:lang w:val="zh-CN"/>
        </w:rPr>
        <w:t>。履约保证金的缴纳：中标人在中标通知书发出后5个工作日内向采购人一次性支付履约保证金。（中标人可以以现金支票、汇票、本票或者金融机构、担保机构出具的保函、保险等非现金形式提交。）</w:t>
      </w:r>
    </w:p>
    <w:p>
      <w:pPr>
        <w:pStyle w:val="19"/>
        <w:adjustRightInd/>
        <w:snapToGrid w:val="0"/>
        <w:rPr>
          <w:rFonts w:eastAsia="宋体"/>
          <w:color w:val="auto"/>
          <w:highlight w:val="none"/>
          <w:lang w:val="zh-CN"/>
        </w:rPr>
      </w:pPr>
      <w:r>
        <w:rPr>
          <w:rFonts w:hint="eastAsia" w:eastAsia="宋体"/>
          <w:color w:val="auto"/>
          <w:highlight w:val="none"/>
          <w:lang w:val="zh-CN"/>
        </w:rPr>
        <w:t xml:space="preserve">    若提供银行保函、保证保险已到期，但工程仍未完工，应当在到期前30个工作日内，续保至工程竣工验收之日，否则按应予续保金额的3倍银行同期贷款利息支付给发包人作为违约金，同时，则招标人有权暂扣合同价（不含暂列金额）5%的工程款作为履约担保；履约担保待竣工验收合格后，承包人无其他违约行为的，予以无息退还。</w:t>
      </w:r>
    </w:p>
    <w:p>
      <w:pPr>
        <w:pStyle w:val="19"/>
        <w:adjustRightInd/>
        <w:snapToGrid w:val="0"/>
        <w:rPr>
          <w:rFonts w:eastAsia="宋体"/>
          <w:color w:val="auto"/>
          <w:highlight w:val="none"/>
          <w:lang w:val="zh-CN"/>
        </w:rPr>
      </w:pPr>
      <w:r>
        <w:rPr>
          <w:rFonts w:hint="eastAsia" w:eastAsia="宋体"/>
          <w:color w:val="auto"/>
          <w:highlight w:val="none"/>
          <w:lang w:val="zh-CN"/>
        </w:rPr>
        <w:t xml:space="preserve">    承包人提供的银行保函、保证保险须为无条件见索即付银行保函或者担保公司保函或保险公司保证保险。收到发包人书面通知后，在</w:t>
      </w:r>
      <w:r>
        <w:rPr>
          <w:rFonts w:hint="eastAsia" w:eastAsia="宋体"/>
          <w:color w:val="auto"/>
          <w:highlight w:val="none"/>
        </w:rPr>
        <w:t>7</w:t>
      </w:r>
      <w:r>
        <w:rPr>
          <w:rFonts w:hint="eastAsia" w:eastAsia="宋体"/>
          <w:color w:val="auto"/>
          <w:highlight w:val="none"/>
          <w:lang w:val="zh-CN"/>
        </w:rPr>
        <w:t>日内向发包人无条件支付。</w:t>
      </w:r>
    </w:p>
    <w:p>
      <w:pPr>
        <w:pStyle w:val="19"/>
        <w:adjustRightInd/>
        <w:snapToGrid w:val="0"/>
        <w:rPr>
          <w:rFonts w:eastAsia="宋体"/>
          <w:color w:val="auto"/>
          <w:highlight w:val="none"/>
          <w:lang w:val="zh-CN"/>
        </w:rPr>
      </w:pPr>
      <w:r>
        <w:rPr>
          <w:rFonts w:hint="eastAsia" w:eastAsia="宋体"/>
          <w:color w:val="auto"/>
          <w:highlight w:val="none"/>
          <w:lang w:val="zh-CN"/>
        </w:rPr>
        <w:t xml:space="preserve">   现金缴纳的，项目竣工后，无违约行为，一个月内无息退还。</w:t>
      </w:r>
    </w:p>
    <w:p>
      <w:pPr>
        <w:pStyle w:val="19"/>
        <w:adjustRightInd/>
        <w:snapToGrid w:val="0"/>
        <w:ind w:firstLine="240" w:firstLineChars="100"/>
        <w:rPr>
          <w:rFonts w:eastAsia="宋体"/>
          <w:color w:val="auto"/>
          <w:highlight w:val="none"/>
          <w:lang w:val="zh-CN"/>
        </w:rPr>
      </w:pPr>
      <w:r>
        <w:rPr>
          <w:rFonts w:hint="eastAsia" w:eastAsia="宋体"/>
          <w:color w:val="auto"/>
          <w:highlight w:val="none"/>
          <w:lang w:val="zh-CN"/>
        </w:rPr>
        <w:t>2、施工图设计完成提交成果文件并通过审查后，支付至中标设计费的70%。剩余30%在项目竣工后一个月内支付（一次性无息付清）。</w:t>
      </w:r>
    </w:p>
    <w:p>
      <w:pPr>
        <w:pStyle w:val="2"/>
        <w:ind w:firstLine="600"/>
        <w:rPr>
          <w:rFonts w:ascii="宋体" w:hAnsi="宋体" w:eastAsia="宋体" w:cs="宋体"/>
          <w:color w:val="auto"/>
          <w:sz w:val="30"/>
          <w:szCs w:val="30"/>
          <w:highlight w:val="none"/>
        </w:rPr>
      </w:pPr>
    </w:p>
    <w:p>
      <w:pPr>
        <w:pStyle w:val="5"/>
        <w:rPr>
          <w:rFonts w:ascii="宋体" w:hAnsi="宋体" w:eastAsia="宋体" w:cs="宋体"/>
          <w:color w:val="auto"/>
          <w:sz w:val="30"/>
          <w:szCs w:val="30"/>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pStyle w:val="7"/>
        <w:snapToGrid w:val="0"/>
        <w:spacing w:before="0" w:after="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第六章 磋商响应文件格式</w:t>
      </w:r>
    </w:p>
    <w:p>
      <w:pPr>
        <w:wordWrap w:val="0"/>
        <w:snapToGrid w:val="0"/>
        <w:rPr>
          <w:rFonts w:ascii="宋体" w:hAnsi="宋体" w:eastAsia="宋体" w:cs="宋体"/>
          <w:b/>
          <w:color w:val="auto"/>
          <w:sz w:val="28"/>
          <w:szCs w:val="28"/>
          <w:highlight w:val="none"/>
        </w:rPr>
      </w:pPr>
    </w:p>
    <w:p>
      <w:pPr>
        <w:pStyle w:val="25"/>
        <w:snapToGrid w:val="0"/>
        <w:ind w:firstLine="0" w:firstLineChars="0"/>
        <w:jc w:val="center"/>
        <w:rPr>
          <w:rFonts w:ascii="宋体" w:hAnsi="宋体" w:eastAsia="宋体" w:cs="宋体"/>
          <w:color w:val="auto"/>
          <w:sz w:val="48"/>
          <w:szCs w:val="48"/>
          <w:highlight w:val="none"/>
        </w:rPr>
      </w:pPr>
      <w:r>
        <w:rPr>
          <w:rFonts w:hint="eastAsia" w:ascii="宋体" w:hAnsi="宋体" w:eastAsia="宋体" w:cs="宋体"/>
          <w:color w:val="auto"/>
          <w:sz w:val="48"/>
          <w:szCs w:val="48"/>
          <w:highlight w:val="none"/>
        </w:rPr>
        <w:t>磋商响应文件</w:t>
      </w:r>
    </w:p>
    <w:p>
      <w:pPr>
        <w:wordWrap w:val="0"/>
        <w:snapToGrid w:val="0"/>
        <w:rPr>
          <w:rFonts w:ascii="宋体" w:hAnsi="宋体" w:eastAsia="宋体" w:cs="宋体"/>
          <w:color w:val="auto"/>
          <w:sz w:val="28"/>
          <w:szCs w:val="28"/>
          <w:highlight w:val="none"/>
        </w:rPr>
      </w:pPr>
    </w:p>
    <w:p>
      <w:pPr>
        <w:wordWrap w:val="0"/>
        <w:snapToGrid w:val="0"/>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wordWrap w:val="0"/>
        <w:snapToGrid w:val="0"/>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ind w:firstLine="1960" w:firstLineChars="700"/>
        <w:rPr>
          <w:rFonts w:ascii="宋体" w:hAnsi="宋体" w:eastAsia="宋体" w:cs="宋体"/>
          <w:color w:val="auto"/>
          <w:kern w:val="0"/>
          <w:sz w:val="28"/>
          <w:szCs w:val="28"/>
          <w:highlight w:val="none"/>
        </w:rPr>
      </w:pPr>
    </w:p>
    <w:p>
      <w:pPr>
        <w:wordWrap w:val="0"/>
        <w:snapToGrid w:val="0"/>
        <w:ind w:firstLine="1960" w:firstLineChars="700"/>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投标人：（投标人签章）</w:t>
      </w:r>
    </w:p>
    <w:p>
      <w:pPr>
        <w:wordWrap w:val="0"/>
        <w:snapToGrid w:val="0"/>
        <w:ind w:firstLine="1968" w:firstLineChars="700"/>
        <w:rPr>
          <w:rFonts w:ascii="宋体" w:hAnsi="宋体" w:eastAsia="宋体" w:cs="宋体"/>
          <w:b/>
          <w:color w:val="auto"/>
          <w:sz w:val="28"/>
          <w:szCs w:val="28"/>
          <w:highlight w:val="none"/>
          <w:u w:val="single"/>
        </w:rPr>
      </w:pPr>
    </w:p>
    <w:p>
      <w:pPr>
        <w:wordWrap w:val="0"/>
        <w:snapToGrid w:val="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wordWrap w:val="0"/>
        <w:snapToGrid w:val="0"/>
        <w:rPr>
          <w:rFonts w:ascii="宋体" w:hAnsi="宋体" w:eastAsia="宋体" w:cs="宋体"/>
          <w:color w:val="auto"/>
          <w:sz w:val="28"/>
          <w:szCs w:val="28"/>
          <w:highlight w:val="none"/>
        </w:rPr>
      </w:pPr>
    </w:p>
    <w:p>
      <w:pPr>
        <w:pStyle w:val="25"/>
        <w:snapToGrid w:val="0"/>
        <w:ind w:firstLine="0" w:firstLineChars="0"/>
        <w:rPr>
          <w:rFonts w:ascii="宋体" w:hAnsi="宋体" w:eastAsia="宋体" w:cs="宋体"/>
          <w:color w:val="auto"/>
          <w:highlight w:val="none"/>
        </w:rPr>
      </w:pPr>
    </w:p>
    <w:p>
      <w:pPr>
        <w:pStyle w:val="25"/>
        <w:snapToGrid w:val="0"/>
        <w:ind w:firstLine="0" w:firstLineChars="0"/>
        <w:rPr>
          <w:rFonts w:ascii="宋体" w:hAnsi="宋体" w:eastAsia="宋体" w:cs="宋体"/>
          <w:color w:val="auto"/>
          <w:highlight w:val="none"/>
        </w:rPr>
      </w:pPr>
    </w:p>
    <w:p>
      <w:pPr>
        <w:pStyle w:val="25"/>
        <w:snapToGrid w:val="0"/>
        <w:ind w:firstLine="0" w:firstLineChars="0"/>
        <w:rPr>
          <w:rFonts w:ascii="宋体" w:hAnsi="宋体" w:eastAsia="宋体" w:cs="宋体"/>
          <w:color w:val="auto"/>
          <w:highlight w:val="none"/>
        </w:rPr>
      </w:pPr>
    </w:p>
    <w:p>
      <w:pPr>
        <w:pStyle w:val="25"/>
        <w:snapToGrid w:val="0"/>
        <w:ind w:firstLine="0" w:firstLineChars="0"/>
        <w:jc w:val="center"/>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br w:type="page"/>
      </w:r>
      <w:r>
        <w:rPr>
          <w:rFonts w:hint="eastAsia" w:ascii="宋体" w:hAnsi="宋体" w:eastAsia="宋体" w:cs="宋体"/>
          <w:color w:val="auto"/>
          <w:sz w:val="40"/>
          <w:szCs w:val="40"/>
          <w:highlight w:val="none"/>
        </w:rPr>
        <w:t>目　　录</w:t>
      </w:r>
    </w:p>
    <w:p>
      <w:pPr>
        <w:pStyle w:val="25"/>
        <w:wordWrap w:val="0"/>
        <w:snapToGrid w:val="0"/>
        <w:spacing w:line="48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一、资格、技术商务部分</w:t>
      </w:r>
    </w:p>
    <w:p>
      <w:pPr>
        <w:pStyle w:val="25"/>
        <w:wordWrap w:val="0"/>
        <w:snapToGrid w:val="0"/>
        <w:spacing w:line="480" w:lineRule="auto"/>
        <w:ind w:firstLine="0" w:firstLineChars="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eastAsia="宋体" w:cs="宋体"/>
          <w:b w:val="0"/>
          <w:bCs w:val="0"/>
          <w:color w:val="auto"/>
          <w:sz w:val="24"/>
          <w:szCs w:val="24"/>
          <w:highlight w:val="none"/>
        </w:rPr>
        <w:t>资格审查资料</w:t>
      </w:r>
    </w:p>
    <w:p>
      <w:pPr>
        <w:pStyle w:val="25"/>
        <w:wordWrap w:val="0"/>
        <w:snapToGrid w:val="0"/>
        <w:spacing w:line="480" w:lineRule="auto"/>
        <w:ind w:firstLine="0" w:firstLineChars="0"/>
        <w:rPr>
          <w:rFonts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bCs w:val="0"/>
          <w:color w:val="auto"/>
          <w:sz w:val="24"/>
          <w:szCs w:val="24"/>
          <w:highlight w:val="none"/>
        </w:rPr>
        <w:t>投标授权书</w:t>
      </w:r>
    </w:p>
    <w:p>
      <w:pPr>
        <w:pStyle w:val="25"/>
        <w:wordWrap w:val="0"/>
        <w:snapToGrid w:val="0"/>
        <w:spacing w:line="480" w:lineRule="auto"/>
        <w:ind w:firstLine="0" w:firstLineChars="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3.投标函</w:t>
      </w:r>
    </w:p>
    <w:p>
      <w:pPr>
        <w:pStyle w:val="25"/>
        <w:wordWrap w:val="0"/>
        <w:snapToGrid w:val="0"/>
        <w:spacing w:line="480" w:lineRule="auto"/>
        <w:ind w:firstLine="0" w:firstLineChars="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4.项目实施方案</w:t>
      </w:r>
    </w:p>
    <w:p>
      <w:pPr>
        <w:snapToGrid w:val="0"/>
        <w:spacing w:line="48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5.业绩一览表</w:t>
      </w:r>
    </w:p>
    <w:p>
      <w:pPr>
        <w:pStyle w:val="25"/>
        <w:wordWrap w:val="0"/>
        <w:snapToGrid w:val="0"/>
        <w:spacing w:line="480" w:lineRule="auto"/>
        <w:ind w:firstLine="0" w:firstLineChars="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6.业绩合同</w:t>
      </w:r>
    </w:p>
    <w:p>
      <w:pPr>
        <w:snapToGrid w:val="0"/>
        <w:spacing w:line="48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7.履行合同所必需的专业技术能力证明</w:t>
      </w:r>
    </w:p>
    <w:p>
      <w:pPr>
        <w:snapToGrid w:val="0"/>
        <w:spacing w:line="480" w:lineRule="auto"/>
        <w:rPr>
          <w:rFonts w:hint="eastAsia" w:ascii="宋体" w:hAnsi="宋体" w:eastAsia="宋体" w:cs="宋体"/>
          <w:bCs/>
          <w:color w:val="auto"/>
          <w:sz w:val="24"/>
          <w:highlight w:val="none"/>
        </w:rPr>
      </w:pPr>
      <w:r>
        <w:rPr>
          <w:rFonts w:ascii="宋体" w:hAnsi="宋体" w:eastAsia="宋体" w:cs="宋体"/>
          <w:bCs/>
          <w:color w:val="auto"/>
          <w:sz w:val="24"/>
          <w:highlight w:val="none"/>
        </w:rPr>
        <w:t>8.</w:t>
      </w:r>
      <w:r>
        <w:rPr>
          <w:rFonts w:hint="eastAsia" w:ascii="宋体" w:hAnsi="宋体" w:eastAsia="宋体" w:cs="宋体"/>
          <w:bCs/>
          <w:color w:val="auto"/>
          <w:sz w:val="24"/>
          <w:highlight w:val="none"/>
        </w:rPr>
        <w:t>竞争性磋商文件要求的其它材料</w:t>
      </w:r>
    </w:p>
    <w:p>
      <w:pPr>
        <w:pStyle w:val="25"/>
        <w:wordWrap w:val="0"/>
        <w:snapToGrid w:val="0"/>
        <w:spacing w:line="48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二、报价部分</w:t>
      </w:r>
    </w:p>
    <w:p>
      <w:pPr>
        <w:pStyle w:val="25"/>
        <w:wordWrap w:val="0"/>
        <w:snapToGrid w:val="0"/>
        <w:spacing w:line="480" w:lineRule="auto"/>
        <w:ind w:firstLine="0" w:firstLineChars="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1.报价表</w:t>
      </w: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wordWrap w:val="0"/>
        <w:snapToGrid w:val="0"/>
        <w:ind w:firstLine="0" w:firstLineChars="0"/>
        <w:rPr>
          <w:rFonts w:ascii="宋体" w:hAnsi="宋体" w:eastAsia="宋体" w:cs="宋体"/>
          <w:b w:val="0"/>
          <w:color w:val="auto"/>
          <w:highlight w:val="none"/>
        </w:rPr>
      </w:pPr>
    </w:p>
    <w:p>
      <w:pPr>
        <w:pStyle w:val="25"/>
        <w:snapToGrid w:val="0"/>
        <w:spacing w:line="480" w:lineRule="auto"/>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一、资格、技术商务部分</w:t>
      </w:r>
    </w:p>
    <w:p>
      <w:pPr>
        <w:pStyle w:val="25"/>
        <w:snapToGrid w:val="0"/>
        <w:spacing w:line="480" w:lineRule="auto"/>
        <w:ind w:firstLine="479" w:firstLineChars="199"/>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1.资格审查资料（扫描件或影印件）</w:t>
      </w:r>
    </w:p>
    <w:p>
      <w:pPr>
        <w:ind w:firstLine="480" w:firstLineChars="200"/>
        <w:textAlignment w:val="baseline"/>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营业执照副本（复印件）；</w:t>
      </w:r>
    </w:p>
    <w:p>
      <w:pPr>
        <w:ind w:firstLine="480" w:firstLineChars="200"/>
        <w:textAlignment w:val="baseline"/>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磋商文件中所要求的其他资格证明文件（复印件）</w:t>
      </w:r>
      <w:r>
        <w:rPr>
          <w:rFonts w:hint="eastAsia" w:cs="宋体" w:asciiTheme="minorEastAsia" w:hAnsiTheme="minorEastAsia" w:eastAsiaTheme="minorEastAsia"/>
          <w:color w:val="auto"/>
          <w:sz w:val="24"/>
          <w:highlight w:val="none"/>
        </w:rPr>
        <w:t>。</w:t>
      </w: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rPr>
          <w:rFonts w:ascii="宋体" w:hAnsi="宋体" w:eastAsia="宋体" w:cs="宋体"/>
          <w:color w:val="auto"/>
          <w:sz w:val="24"/>
          <w:szCs w:val="24"/>
          <w:highlight w:val="none"/>
        </w:rPr>
      </w:pPr>
    </w:p>
    <w:p>
      <w:pPr>
        <w:pStyle w:val="25"/>
        <w:snapToGrid w:val="0"/>
        <w:spacing w:line="480" w:lineRule="auto"/>
        <w:ind w:firstLine="479" w:firstLineChars="199"/>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2.投标授权书</w:t>
      </w:r>
    </w:p>
    <w:p>
      <w:pPr>
        <w:wordWrap w:val="0"/>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pStyle w:val="12"/>
        <w:snapToGrid w:val="0"/>
        <w:spacing w:line="48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本授权书声明：</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 xml:space="preserve">（投标人名称）授权本单位 </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（投标人授权代表姓名、职务）代表本单位参加</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项目全称）项目投标活动,全权代表本公司处理磋商响应过程的一切事宜，包括但不限于：投标、参与开标、谈判、合同签署、合同执行等。服务单位授权代表在投标过程中所签署的一切文件和处理与之有关的一切事务，本公司均予以认可并对此承担责任。投标人授权代表无转委托权。特此授权。</w:t>
      </w:r>
    </w:p>
    <w:p>
      <w:pPr>
        <w:pStyle w:val="12"/>
        <w:snapToGrid w:val="0"/>
        <w:spacing w:line="48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本授权书自出具之日起生效。</w:t>
      </w:r>
    </w:p>
    <w:p>
      <w:pPr>
        <w:wordWrap w:val="0"/>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pPr>
        <w:pStyle w:val="25"/>
        <w:snapToGrid w:val="0"/>
        <w:ind w:firstLine="0" w:firstLineChars="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5"/>
        <w:snapToGrid w:val="0"/>
        <w:ind w:right="840" w:firstLine="472"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5"/>
        <w:snapToGrid w:val="0"/>
        <w:ind w:right="840" w:firstLine="472" w:firstLineChars="196"/>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投标人签章：</w:t>
      </w:r>
    </w:p>
    <w:p>
      <w:pPr>
        <w:pStyle w:val="25"/>
        <w:snapToGrid w:val="0"/>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期：________________</w:t>
      </w:r>
    </w:p>
    <w:p>
      <w:pPr>
        <w:wordWrap w:val="0"/>
        <w:snapToGrid w:val="0"/>
        <w:rPr>
          <w:rFonts w:ascii="宋体" w:hAnsi="宋体" w:eastAsia="宋体" w:cs="宋体"/>
          <w:color w:val="auto"/>
          <w:sz w:val="24"/>
          <w:highlight w:val="none"/>
        </w:rPr>
      </w:pPr>
    </w:p>
    <w:p>
      <w:pPr>
        <w:pStyle w:val="25"/>
        <w:snapToGrid w:val="0"/>
        <w:ind w:firstLine="472" w:firstLineChars="196"/>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3.投标函格式</w:t>
      </w:r>
    </w:p>
    <w:p>
      <w:pPr>
        <w:wordWrap w:val="0"/>
        <w:rPr>
          <w:rFonts w:ascii="宋体" w:hAnsi="宋体" w:eastAsia="宋体" w:cs="宋体"/>
          <w:b/>
          <w:color w:val="auto"/>
          <w:sz w:val="24"/>
          <w:highlight w:val="none"/>
        </w:rPr>
      </w:pPr>
      <w:bookmarkStart w:id="28" w:name="_Toc393705366"/>
      <w:bookmarkStart w:id="29" w:name="_Toc400805871"/>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1、根据贵方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采购公告，我们决定参加贵方组织的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项目的招标采购活动。我方授权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(姓名和职务),代表我方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（投标单位的名称）联系方式 (手机号码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)全权处理本项目投标的有关事宜。</w:t>
      </w:r>
    </w:p>
    <w:p>
      <w:pPr>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方完全满足《中华人民共和国政府采购法》第二十二条的全部要求，即具有良好的商业信誉和健全的财务会计制度、履行合同所必需的设备和专业技术能力、有依法缴纳税收和社会保障资金的良好记录、近三年内在经营活动中无重大违法记录；上述承诺若有虚假，同意按政府采购法第七十七条处理。</w:t>
      </w:r>
    </w:p>
    <w:p>
      <w:pPr>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至投标截止日，我方、包括我方法定代表人____________及拟派项目经理（项目负责人）____________近三年内均未被人民检察院列入行贿犯罪档案；投标截止时间前，我单位未被人民法院列入失信被执行人、未被市场监管部门列入企业经营异常名录、未被税务部门列入重大税收违法案件当事人名单、未被政府采购监管部门列入政府采购严重违法失信行为记录名单。上述承诺若有虚假，同意按政府采购法第七十七条接受处理。</w:t>
      </w:r>
    </w:p>
    <w:p>
      <w:pPr>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4、我方愿意按照采购文件规定的各项要求，向采购人提供所需的货物与服务。</w:t>
      </w:r>
    </w:p>
    <w:p>
      <w:pPr>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5、一旦我方中标，我方将严格履行合同规定的责任和义务。</w:t>
      </w:r>
    </w:p>
    <w:p>
      <w:pPr>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6、我方同意按照采购文件的要求，向贵方递交投标保证金。并且承诺，在投标有效期内如果我方撤回投标书或中标后拒绝签订合同，我方将放弃要求贵方退还该投标保证金的权力。</w:t>
      </w:r>
    </w:p>
    <w:p>
      <w:pPr>
        <w:tabs>
          <w:tab w:val="left" w:pos="840"/>
        </w:tabs>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7、我方愿意提供贵方可能另外要求的、与投标有关的文件资料，并保证我方已提供和将要提供的文件是真实的、准确的。</w:t>
      </w:r>
    </w:p>
    <w:p>
      <w:pPr>
        <w:tabs>
          <w:tab w:val="left" w:pos="0"/>
          <w:tab w:val="left" w:pos="840"/>
        </w:tabs>
        <w:wordWrap w:val="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8、我方完全理解贵方不一定将合同授予最低报价（折扣）的投标人。</w:t>
      </w:r>
    </w:p>
    <w:p>
      <w:pPr>
        <w:pStyle w:val="25"/>
        <w:snapToGrid w:val="0"/>
        <w:ind w:right="98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5"/>
        <w:snapToGrid w:val="0"/>
        <w:ind w:right="98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投标人签章：</w:t>
      </w:r>
    </w:p>
    <w:p>
      <w:pPr>
        <w:pStyle w:val="25"/>
        <w:snapToGrid w:val="0"/>
        <w:ind w:firstLine="0" w:firstLineChars="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期：________________</w:t>
      </w:r>
    </w:p>
    <w:p>
      <w:pPr>
        <w:pStyle w:val="25"/>
        <w:snapToGrid w:val="0"/>
        <w:ind w:firstLine="590" w:firstLineChars="245"/>
        <w:rPr>
          <w:rFonts w:ascii="宋体" w:hAnsi="宋体" w:eastAsia="宋体" w:cs="宋体"/>
          <w:color w:val="auto"/>
          <w:sz w:val="24"/>
          <w:szCs w:val="24"/>
          <w:highlight w:val="none"/>
        </w:rPr>
      </w:pPr>
    </w:p>
    <w:p>
      <w:pPr>
        <w:pStyle w:val="25"/>
        <w:snapToGrid w:val="0"/>
        <w:ind w:firstLine="590" w:firstLineChars="245"/>
        <w:rPr>
          <w:rFonts w:ascii="宋体" w:hAnsi="宋体" w:eastAsia="宋体" w:cs="宋体"/>
          <w:color w:val="auto"/>
          <w:sz w:val="24"/>
          <w:szCs w:val="24"/>
          <w:highlight w:val="none"/>
        </w:rPr>
      </w:pPr>
    </w:p>
    <w:p>
      <w:pPr>
        <w:pStyle w:val="25"/>
        <w:snapToGrid w:val="0"/>
        <w:ind w:firstLine="590" w:firstLineChars="245"/>
        <w:rPr>
          <w:rFonts w:ascii="宋体" w:hAnsi="宋体" w:eastAsia="宋体" w:cs="宋体"/>
          <w:color w:val="auto"/>
          <w:sz w:val="24"/>
          <w:szCs w:val="24"/>
          <w:highlight w:val="none"/>
        </w:rPr>
      </w:pPr>
    </w:p>
    <w:p>
      <w:pPr>
        <w:pStyle w:val="25"/>
        <w:snapToGrid w:val="0"/>
        <w:ind w:firstLine="241"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4.项目实施方案</w:t>
      </w:r>
      <w:bookmarkEnd w:id="28"/>
      <w:bookmarkEnd w:id="29"/>
    </w:p>
    <w:p>
      <w:pPr>
        <w:wordWrap w:val="0"/>
        <w:snapToGrid w:val="0"/>
        <w:rPr>
          <w:rFonts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投标人</w:t>
      </w:r>
      <w:r>
        <w:rPr>
          <w:rFonts w:hint="eastAsia" w:ascii="宋体" w:hAnsi="宋体" w:eastAsia="宋体" w:cs="宋体"/>
          <w:b/>
          <w:color w:val="auto"/>
          <w:sz w:val="24"/>
          <w:highlight w:val="none"/>
        </w:rPr>
        <w:t>简介</w:t>
      </w:r>
    </w:p>
    <w:p>
      <w:pPr>
        <w:wordWrap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（不超过1000字）</w:t>
      </w:r>
    </w:p>
    <w:p>
      <w:pPr>
        <w:autoSpaceDN w:val="0"/>
        <w:snapToGrid w:val="0"/>
        <w:rPr>
          <w:rFonts w:ascii="宋体" w:hAnsi="宋体" w:eastAsia="宋体" w:cs="宋体"/>
          <w:b/>
          <w:color w:val="auto"/>
          <w:sz w:val="24"/>
          <w:highlight w:val="none"/>
        </w:rPr>
      </w:pPr>
    </w:p>
    <w:p>
      <w:pPr>
        <w:autoSpaceDN w:val="0"/>
        <w:snapToGrid w:val="0"/>
        <w:rPr>
          <w:rFonts w:ascii="宋体" w:hAnsi="宋体" w:eastAsia="宋体" w:cs="宋体"/>
          <w:color w:val="auto"/>
          <w:sz w:val="24"/>
          <w:highlight w:val="none"/>
        </w:rPr>
      </w:pPr>
      <w:r>
        <w:rPr>
          <w:rFonts w:hint="eastAsia" w:ascii="宋体" w:hAnsi="宋体" w:eastAsia="宋体" w:cs="宋体"/>
          <w:b/>
          <w:color w:val="auto"/>
          <w:sz w:val="24"/>
          <w:highlight w:val="none"/>
        </w:rPr>
        <w:t>（2）项目实施方案</w:t>
      </w:r>
    </w:p>
    <w:p>
      <w:pPr>
        <w:wordWrap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（详细说明）</w:t>
      </w:r>
    </w:p>
    <w:p>
      <w:pPr>
        <w:pStyle w:val="25"/>
        <w:snapToGrid w:val="0"/>
        <w:ind w:firstLine="590" w:firstLineChars="245"/>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bookmarkStart w:id="30" w:name="_Toc400805873"/>
      <w:bookmarkStart w:id="31" w:name="_Toc393705369"/>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19"/>
        <w:adjustRightInd/>
        <w:snapToGrid w:val="0"/>
        <w:rPr>
          <w:rFonts w:eastAsia="宋体"/>
          <w:b/>
          <w:bCs/>
          <w:color w:val="auto"/>
          <w:highlight w:val="none"/>
        </w:rPr>
      </w:pPr>
      <w:r>
        <w:rPr>
          <w:rFonts w:eastAsia="宋体"/>
          <w:b/>
          <w:bCs/>
          <w:color w:val="auto"/>
          <w:highlight w:val="none"/>
        </w:rPr>
        <w:t>5.</w:t>
      </w:r>
      <w:r>
        <w:rPr>
          <w:rFonts w:hint="eastAsia" w:eastAsia="宋体"/>
          <w:b/>
          <w:bCs/>
          <w:color w:val="auto"/>
          <w:highlight w:val="none"/>
        </w:rPr>
        <w:t>业绩一览表（如有）</w:t>
      </w:r>
    </w:p>
    <w:p>
      <w:pPr>
        <w:pStyle w:val="19"/>
        <w:adjustRightInd/>
        <w:snapToGrid w:val="0"/>
        <w:ind w:firstLine="480" w:firstLineChars="200"/>
        <w:rPr>
          <w:rFonts w:eastAsia="宋体"/>
          <w:color w:val="auto"/>
          <w:highlight w:val="none"/>
        </w:rPr>
      </w:pPr>
      <w:r>
        <w:rPr>
          <w:rFonts w:hint="eastAsia" w:eastAsia="宋体"/>
          <w:color w:val="auto"/>
          <w:highlight w:val="none"/>
        </w:rPr>
        <w:t>如磋商文件中有业绩要求，此表由响应单位填写，业绩一览表内容与投标文件中提供的业绩证明材料需一致，将随中标结果公告一并发布，接受社会监督。否则按无效标处理。</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2215"/>
        <w:gridCol w:w="1455"/>
        <w:gridCol w:w="1485"/>
        <w:gridCol w:w="1238"/>
        <w:gridCol w:w="1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715"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215"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业绩名称</w:t>
            </w:r>
          </w:p>
        </w:tc>
        <w:tc>
          <w:tcPr>
            <w:tcW w:w="1455"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业绩金额</w:t>
            </w:r>
          </w:p>
        </w:tc>
        <w:tc>
          <w:tcPr>
            <w:tcW w:w="1485"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甲方</w:t>
            </w:r>
          </w:p>
        </w:tc>
        <w:tc>
          <w:tcPr>
            <w:tcW w:w="1238"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乙方</w:t>
            </w:r>
          </w:p>
        </w:tc>
        <w:tc>
          <w:tcPr>
            <w:tcW w:w="1811" w:type="dxa"/>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业绩签订时间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5" w:type="dxa"/>
            <w:vAlign w:val="center"/>
          </w:tcPr>
          <w:p>
            <w:pPr>
              <w:rPr>
                <w:rFonts w:ascii="宋体" w:hAnsi="宋体" w:eastAsia="宋体" w:cs="宋体"/>
                <w:color w:val="auto"/>
                <w:sz w:val="28"/>
                <w:szCs w:val="28"/>
                <w:highlight w:val="none"/>
              </w:rPr>
            </w:pPr>
          </w:p>
        </w:tc>
        <w:tc>
          <w:tcPr>
            <w:tcW w:w="2215" w:type="dxa"/>
            <w:vAlign w:val="center"/>
          </w:tcPr>
          <w:p>
            <w:pPr>
              <w:rPr>
                <w:rFonts w:ascii="宋体" w:hAnsi="宋体" w:eastAsia="宋体" w:cs="宋体"/>
                <w:color w:val="auto"/>
                <w:sz w:val="28"/>
                <w:szCs w:val="28"/>
                <w:highlight w:val="none"/>
              </w:rPr>
            </w:pPr>
          </w:p>
        </w:tc>
        <w:tc>
          <w:tcPr>
            <w:tcW w:w="1455" w:type="dxa"/>
          </w:tcPr>
          <w:p>
            <w:pPr>
              <w:rPr>
                <w:rFonts w:ascii="宋体" w:hAnsi="宋体" w:eastAsia="宋体" w:cs="宋体"/>
                <w:color w:val="auto"/>
                <w:w w:val="80"/>
                <w:sz w:val="28"/>
                <w:szCs w:val="28"/>
                <w:highlight w:val="none"/>
              </w:rPr>
            </w:pPr>
          </w:p>
        </w:tc>
        <w:tc>
          <w:tcPr>
            <w:tcW w:w="1485" w:type="dxa"/>
          </w:tcPr>
          <w:p>
            <w:pPr>
              <w:rPr>
                <w:rFonts w:ascii="宋体" w:hAnsi="宋体" w:eastAsia="宋体" w:cs="宋体"/>
                <w:color w:val="auto"/>
                <w:sz w:val="28"/>
                <w:szCs w:val="28"/>
                <w:highlight w:val="none"/>
              </w:rPr>
            </w:pPr>
          </w:p>
        </w:tc>
        <w:tc>
          <w:tcPr>
            <w:tcW w:w="1238" w:type="dxa"/>
            <w:vAlign w:val="center"/>
          </w:tcPr>
          <w:p>
            <w:pPr>
              <w:rPr>
                <w:rFonts w:ascii="宋体" w:hAnsi="宋体" w:eastAsia="宋体" w:cs="宋体"/>
                <w:color w:val="auto"/>
                <w:sz w:val="28"/>
                <w:szCs w:val="28"/>
                <w:highlight w:val="none"/>
              </w:rPr>
            </w:pPr>
          </w:p>
        </w:tc>
        <w:tc>
          <w:tcPr>
            <w:tcW w:w="1811" w:type="dxa"/>
            <w:vAlign w:val="center"/>
          </w:tcPr>
          <w:p>
            <w:pPr>
              <w:rPr>
                <w:rFonts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5" w:type="dxa"/>
            <w:vAlign w:val="center"/>
          </w:tcPr>
          <w:p>
            <w:pPr>
              <w:rPr>
                <w:rFonts w:ascii="宋体" w:hAnsi="宋体" w:eastAsia="宋体" w:cs="宋体"/>
                <w:color w:val="auto"/>
                <w:sz w:val="28"/>
                <w:szCs w:val="28"/>
                <w:highlight w:val="none"/>
              </w:rPr>
            </w:pPr>
          </w:p>
        </w:tc>
        <w:tc>
          <w:tcPr>
            <w:tcW w:w="2215" w:type="dxa"/>
            <w:vAlign w:val="center"/>
          </w:tcPr>
          <w:p>
            <w:pPr>
              <w:rPr>
                <w:rFonts w:ascii="宋体" w:hAnsi="宋体" w:eastAsia="宋体" w:cs="宋体"/>
                <w:color w:val="auto"/>
                <w:sz w:val="28"/>
                <w:szCs w:val="28"/>
                <w:highlight w:val="none"/>
              </w:rPr>
            </w:pPr>
          </w:p>
        </w:tc>
        <w:tc>
          <w:tcPr>
            <w:tcW w:w="1455" w:type="dxa"/>
            <w:vAlign w:val="center"/>
          </w:tcPr>
          <w:p>
            <w:pPr>
              <w:rPr>
                <w:rFonts w:ascii="宋体" w:hAnsi="宋体" w:eastAsia="宋体" w:cs="宋体"/>
                <w:color w:val="auto"/>
                <w:w w:val="80"/>
                <w:sz w:val="28"/>
                <w:szCs w:val="28"/>
                <w:highlight w:val="none"/>
              </w:rPr>
            </w:pPr>
          </w:p>
        </w:tc>
        <w:tc>
          <w:tcPr>
            <w:tcW w:w="1485" w:type="dxa"/>
          </w:tcPr>
          <w:p>
            <w:pPr>
              <w:rPr>
                <w:rFonts w:ascii="宋体" w:hAnsi="宋体" w:eastAsia="宋体" w:cs="宋体"/>
                <w:color w:val="auto"/>
                <w:sz w:val="28"/>
                <w:szCs w:val="28"/>
                <w:highlight w:val="none"/>
              </w:rPr>
            </w:pPr>
          </w:p>
        </w:tc>
        <w:tc>
          <w:tcPr>
            <w:tcW w:w="1238" w:type="dxa"/>
            <w:vAlign w:val="center"/>
          </w:tcPr>
          <w:p>
            <w:pPr>
              <w:rPr>
                <w:rFonts w:ascii="宋体" w:hAnsi="宋体" w:eastAsia="宋体" w:cs="宋体"/>
                <w:color w:val="auto"/>
                <w:sz w:val="28"/>
                <w:szCs w:val="28"/>
                <w:highlight w:val="none"/>
              </w:rPr>
            </w:pPr>
          </w:p>
        </w:tc>
        <w:tc>
          <w:tcPr>
            <w:tcW w:w="1811" w:type="dxa"/>
            <w:vAlign w:val="center"/>
          </w:tcPr>
          <w:p>
            <w:pPr>
              <w:rPr>
                <w:rFonts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5" w:type="dxa"/>
            <w:vAlign w:val="center"/>
          </w:tcPr>
          <w:p>
            <w:pPr>
              <w:rPr>
                <w:rFonts w:ascii="宋体" w:hAnsi="宋体" w:eastAsia="宋体" w:cs="宋体"/>
                <w:color w:val="auto"/>
                <w:sz w:val="28"/>
                <w:szCs w:val="28"/>
                <w:highlight w:val="none"/>
              </w:rPr>
            </w:pPr>
          </w:p>
        </w:tc>
        <w:tc>
          <w:tcPr>
            <w:tcW w:w="2215" w:type="dxa"/>
            <w:vAlign w:val="center"/>
          </w:tcPr>
          <w:p>
            <w:pPr>
              <w:rPr>
                <w:rFonts w:ascii="宋体" w:hAnsi="宋体" w:eastAsia="宋体" w:cs="宋体"/>
                <w:color w:val="auto"/>
                <w:sz w:val="28"/>
                <w:szCs w:val="28"/>
                <w:highlight w:val="none"/>
              </w:rPr>
            </w:pPr>
          </w:p>
        </w:tc>
        <w:tc>
          <w:tcPr>
            <w:tcW w:w="1455" w:type="dxa"/>
          </w:tcPr>
          <w:p>
            <w:pPr>
              <w:rPr>
                <w:rFonts w:ascii="宋体" w:hAnsi="宋体" w:eastAsia="宋体" w:cs="宋体"/>
                <w:color w:val="auto"/>
                <w:w w:val="80"/>
                <w:sz w:val="28"/>
                <w:szCs w:val="28"/>
                <w:highlight w:val="none"/>
              </w:rPr>
            </w:pPr>
          </w:p>
        </w:tc>
        <w:tc>
          <w:tcPr>
            <w:tcW w:w="1485" w:type="dxa"/>
          </w:tcPr>
          <w:p>
            <w:pPr>
              <w:rPr>
                <w:rFonts w:ascii="宋体" w:hAnsi="宋体" w:eastAsia="宋体" w:cs="宋体"/>
                <w:color w:val="auto"/>
                <w:sz w:val="28"/>
                <w:szCs w:val="28"/>
                <w:highlight w:val="none"/>
              </w:rPr>
            </w:pPr>
          </w:p>
        </w:tc>
        <w:tc>
          <w:tcPr>
            <w:tcW w:w="1238" w:type="dxa"/>
            <w:vAlign w:val="center"/>
          </w:tcPr>
          <w:p>
            <w:pPr>
              <w:rPr>
                <w:rFonts w:ascii="宋体" w:hAnsi="宋体" w:eastAsia="宋体" w:cs="宋体"/>
                <w:color w:val="auto"/>
                <w:sz w:val="28"/>
                <w:szCs w:val="28"/>
                <w:highlight w:val="none"/>
              </w:rPr>
            </w:pPr>
          </w:p>
        </w:tc>
        <w:tc>
          <w:tcPr>
            <w:tcW w:w="1811" w:type="dxa"/>
            <w:vAlign w:val="center"/>
          </w:tcPr>
          <w:p>
            <w:pPr>
              <w:rPr>
                <w:rFonts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5" w:type="dxa"/>
            <w:vAlign w:val="center"/>
          </w:tcPr>
          <w:p>
            <w:pPr>
              <w:rPr>
                <w:rFonts w:ascii="宋体" w:hAnsi="宋体" w:eastAsia="宋体" w:cs="宋体"/>
                <w:color w:val="auto"/>
                <w:sz w:val="28"/>
                <w:szCs w:val="28"/>
                <w:highlight w:val="none"/>
              </w:rPr>
            </w:pPr>
          </w:p>
        </w:tc>
        <w:tc>
          <w:tcPr>
            <w:tcW w:w="2215" w:type="dxa"/>
            <w:vAlign w:val="center"/>
          </w:tcPr>
          <w:p>
            <w:pPr>
              <w:rPr>
                <w:rFonts w:ascii="宋体" w:hAnsi="宋体" w:eastAsia="宋体" w:cs="宋体"/>
                <w:color w:val="auto"/>
                <w:sz w:val="28"/>
                <w:szCs w:val="28"/>
                <w:highlight w:val="none"/>
              </w:rPr>
            </w:pPr>
          </w:p>
        </w:tc>
        <w:tc>
          <w:tcPr>
            <w:tcW w:w="1455" w:type="dxa"/>
          </w:tcPr>
          <w:p>
            <w:pPr>
              <w:rPr>
                <w:rFonts w:ascii="宋体" w:hAnsi="宋体" w:eastAsia="宋体" w:cs="宋体"/>
                <w:color w:val="auto"/>
                <w:w w:val="80"/>
                <w:sz w:val="28"/>
                <w:szCs w:val="28"/>
                <w:highlight w:val="none"/>
              </w:rPr>
            </w:pPr>
          </w:p>
        </w:tc>
        <w:tc>
          <w:tcPr>
            <w:tcW w:w="1485" w:type="dxa"/>
          </w:tcPr>
          <w:p>
            <w:pPr>
              <w:rPr>
                <w:rFonts w:ascii="宋体" w:hAnsi="宋体" w:eastAsia="宋体" w:cs="宋体"/>
                <w:color w:val="auto"/>
                <w:sz w:val="28"/>
                <w:szCs w:val="28"/>
                <w:highlight w:val="none"/>
              </w:rPr>
            </w:pPr>
          </w:p>
        </w:tc>
        <w:tc>
          <w:tcPr>
            <w:tcW w:w="1238" w:type="dxa"/>
            <w:vAlign w:val="center"/>
          </w:tcPr>
          <w:p>
            <w:pPr>
              <w:rPr>
                <w:rFonts w:ascii="宋体" w:hAnsi="宋体" w:eastAsia="宋体" w:cs="宋体"/>
                <w:color w:val="auto"/>
                <w:sz w:val="28"/>
                <w:szCs w:val="28"/>
                <w:highlight w:val="none"/>
              </w:rPr>
            </w:pPr>
          </w:p>
        </w:tc>
        <w:tc>
          <w:tcPr>
            <w:tcW w:w="1811" w:type="dxa"/>
            <w:vAlign w:val="center"/>
          </w:tcPr>
          <w:p>
            <w:pPr>
              <w:rPr>
                <w:rFonts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5" w:type="dxa"/>
            <w:vAlign w:val="center"/>
          </w:tcPr>
          <w:p>
            <w:pPr>
              <w:rPr>
                <w:rFonts w:ascii="宋体" w:hAnsi="宋体" w:eastAsia="宋体" w:cs="宋体"/>
                <w:color w:val="auto"/>
                <w:sz w:val="28"/>
                <w:szCs w:val="28"/>
                <w:highlight w:val="none"/>
              </w:rPr>
            </w:pPr>
          </w:p>
        </w:tc>
        <w:tc>
          <w:tcPr>
            <w:tcW w:w="2215" w:type="dxa"/>
            <w:vAlign w:val="center"/>
          </w:tcPr>
          <w:p>
            <w:pPr>
              <w:rPr>
                <w:rFonts w:ascii="宋体" w:hAnsi="宋体" w:eastAsia="宋体" w:cs="宋体"/>
                <w:color w:val="auto"/>
                <w:sz w:val="28"/>
                <w:szCs w:val="28"/>
                <w:highlight w:val="none"/>
              </w:rPr>
            </w:pPr>
          </w:p>
        </w:tc>
        <w:tc>
          <w:tcPr>
            <w:tcW w:w="1455" w:type="dxa"/>
          </w:tcPr>
          <w:p>
            <w:pPr>
              <w:rPr>
                <w:rFonts w:ascii="宋体" w:hAnsi="宋体" w:eastAsia="宋体" w:cs="宋体"/>
                <w:color w:val="auto"/>
                <w:w w:val="80"/>
                <w:sz w:val="28"/>
                <w:szCs w:val="28"/>
                <w:highlight w:val="none"/>
              </w:rPr>
            </w:pPr>
          </w:p>
        </w:tc>
        <w:tc>
          <w:tcPr>
            <w:tcW w:w="1485" w:type="dxa"/>
          </w:tcPr>
          <w:p>
            <w:pPr>
              <w:rPr>
                <w:rFonts w:ascii="宋体" w:hAnsi="宋体" w:eastAsia="宋体" w:cs="宋体"/>
                <w:color w:val="auto"/>
                <w:sz w:val="28"/>
                <w:szCs w:val="28"/>
                <w:highlight w:val="none"/>
              </w:rPr>
            </w:pPr>
          </w:p>
        </w:tc>
        <w:tc>
          <w:tcPr>
            <w:tcW w:w="1238" w:type="dxa"/>
            <w:vAlign w:val="center"/>
          </w:tcPr>
          <w:p>
            <w:pPr>
              <w:rPr>
                <w:rFonts w:ascii="宋体" w:hAnsi="宋体" w:eastAsia="宋体" w:cs="宋体"/>
                <w:color w:val="auto"/>
                <w:sz w:val="28"/>
                <w:szCs w:val="28"/>
                <w:highlight w:val="none"/>
              </w:rPr>
            </w:pPr>
          </w:p>
        </w:tc>
        <w:tc>
          <w:tcPr>
            <w:tcW w:w="1811" w:type="dxa"/>
            <w:vAlign w:val="center"/>
          </w:tcPr>
          <w:p>
            <w:pPr>
              <w:rPr>
                <w:rFonts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5" w:type="dxa"/>
            <w:vAlign w:val="center"/>
          </w:tcPr>
          <w:p>
            <w:pPr>
              <w:rPr>
                <w:rFonts w:ascii="宋体" w:hAnsi="宋体" w:eastAsia="宋体" w:cs="宋体"/>
                <w:color w:val="auto"/>
                <w:sz w:val="28"/>
                <w:szCs w:val="28"/>
                <w:highlight w:val="none"/>
              </w:rPr>
            </w:pPr>
          </w:p>
        </w:tc>
        <w:tc>
          <w:tcPr>
            <w:tcW w:w="2215" w:type="dxa"/>
            <w:vAlign w:val="center"/>
          </w:tcPr>
          <w:p>
            <w:pPr>
              <w:rPr>
                <w:rFonts w:ascii="宋体" w:hAnsi="宋体" w:eastAsia="宋体" w:cs="宋体"/>
                <w:color w:val="auto"/>
                <w:sz w:val="28"/>
                <w:szCs w:val="28"/>
                <w:highlight w:val="none"/>
              </w:rPr>
            </w:pPr>
          </w:p>
        </w:tc>
        <w:tc>
          <w:tcPr>
            <w:tcW w:w="1455" w:type="dxa"/>
          </w:tcPr>
          <w:p>
            <w:pPr>
              <w:rPr>
                <w:rFonts w:ascii="宋体" w:hAnsi="宋体" w:eastAsia="宋体" w:cs="宋体"/>
                <w:color w:val="auto"/>
                <w:w w:val="80"/>
                <w:sz w:val="28"/>
                <w:szCs w:val="28"/>
                <w:highlight w:val="none"/>
              </w:rPr>
            </w:pPr>
          </w:p>
        </w:tc>
        <w:tc>
          <w:tcPr>
            <w:tcW w:w="1485" w:type="dxa"/>
          </w:tcPr>
          <w:p>
            <w:pPr>
              <w:rPr>
                <w:rFonts w:ascii="宋体" w:hAnsi="宋体" w:eastAsia="宋体" w:cs="宋体"/>
                <w:color w:val="auto"/>
                <w:sz w:val="28"/>
                <w:szCs w:val="28"/>
                <w:highlight w:val="none"/>
              </w:rPr>
            </w:pPr>
          </w:p>
        </w:tc>
        <w:tc>
          <w:tcPr>
            <w:tcW w:w="1238" w:type="dxa"/>
            <w:vAlign w:val="center"/>
          </w:tcPr>
          <w:p>
            <w:pPr>
              <w:rPr>
                <w:rFonts w:ascii="宋体" w:hAnsi="宋体" w:eastAsia="宋体" w:cs="宋体"/>
                <w:color w:val="auto"/>
                <w:sz w:val="28"/>
                <w:szCs w:val="28"/>
                <w:highlight w:val="none"/>
              </w:rPr>
            </w:pPr>
          </w:p>
        </w:tc>
        <w:tc>
          <w:tcPr>
            <w:tcW w:w="1811" w:type="dxa"/>
            <w:vAlign w:val="center"/>
          </w:tcPr>
          <w:p>
            <w:pPr>
              <w:rPr>
                <w:rFonts w:ascii="宋体" w:hAnsi="宋体" w:eastAsia="宋体" w:cs="宋体"/>
                <w:color w:val="auto"/>
                <w:sz w:val="28"/>
                <w:szCs w:val="28"/>
                <w:highlight w:val="none"/>
              </w:rPr>
            </w:pPr>
          </w:p>
        </w:tc>
      </w:tr>
    </w:tbl>
    <w:p>
      <w:pPr>
        <w:tabs>
          <w:tab w:val="left" w:pos="1815"/>
        </w:tabs>
        <w:snapToGrid w:val="0"/>
        <w:ind w:firstLine="480" w:firstLineChars="200"/>
        <w:rPr>
          <w:rFonts w:ascii="宋体" w:hAnsi="宋体" w:eastAsia="宋体" w:cs="宋体"/>
          <w:color w:val="auto"/>
          <w:sz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业绩合同（如有）</w:t>
      </w: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jc w:val="center"/>
        <w:rPr>
          <w:rFonts w:ascii="宋体" w:hAnsi="宋体" w:eastAsia="宋体" w:cs="宋体"/>
          <w:color w:val="auto"/>
          <w:sz w:val="24"/>
          <w:highlight w:val="none"/>
        </w:rPr>
      </w:pPr>
    </w:p>
    <w:p>
      <w:pPr>
        <w:pStyle w:val="11"/>
        <w:adjustRightInd w:val="0"/>
        <w:snapToGrid w:val="0"/>
        <w:spacing w:before="29"/>
        <w:rPr>
          <w:rFonts w:ascii="宋体" w:hAnsi="宋体" w:eastAsia="宋体" w:cs="宋体"/>
          <w:color w:val="auto"/>
          <w:sz w:val="24"/>
          <w:highlight w:val="none"/>
        </w:rPr>
      </w:pPr>
    </w:p>
    <w:p>
      <w:pPr>
        <w:pStyle w:val="25"/>
        <w:snapToGrid w:val="0"/>
        <w:ind w:firstLine="0" w:firstLineChars="0"/>
        <w:rPr>
          <w:rFonts w:ascii="Times New Roman" w:eastAsia="宋体"/>
          <w:color w:val="auto"/>
          <w:sz w:val="20"/>
          <w:highlight w:val="none"/>
        </w:rPr>
      </w:pPr>
      <w:r>
        <w:rPr>
          <w:rFonts w:ascii="宋体" w:hAnsi="宋体" w:eastAsia="宋体" w:cs="宋体"/>
          <w:color w:val="auto"/>
          <w:sz w:val="24"/>
          <w:szCs w:val="24"/>
          <w:highlight w:val="none"/>
        </w:rPr>
        <w:t>7.</w:t>
      </w:r>
      <w:r>
        <w:rPr>
          <w:rFonts w:hint="eastAsia" w:asciiTheme="minorEastAsia" w:hAnsiTheme="minorEastAsia" w:eastAsiaTheme="minorEastAsia" w:cstheme="minorEastAsia"/>
          <w:bCs w:val="0"/>
          <w:color w:val="auto"/>
          <w:sz w:val="24"/>
          <w:szCs w:val="24"/>
          <w:highlight w:val="none"/>
        </w:rPr>
        <w:t>履行合同所必需的专业技术能力证明</w:t>
      </w:r>
    </w:p>
    <w:p>
      <w:pPr>
        <w:adjustRightInd w:val="0"/>
        <w:snapToGrid w:val="0"/>
        <w:spacing w:before="1"/>
        <w:rPr>
          <w:rFonts w:ascii="Times New Roman" w:eastAsia="Times New Roman"/>
          <w:color w:val="auto"/>
          <w:sz w:val="13"/>
          <w:highlight w:val="none"/>
        </w:rPr>
      </w:pPr>
    </w:p>
    <w:tbl>
      <w:tblPr>
        <w:tblStyle w:val="15"/>
        <w:tblW w:w="9114" w:type="dxa"/>
        <w:jc w:val="center"/>
        <w:tblLayout w:type="fixed"/>
        <w:tblCellMar>
          <w:top w:w="0" w:type="dxa"/>
          <w:left w:w="0" w:type="dxa"/>
          <w:bottom w:w="0" w:type="dxa"/>
          <w:right w:w="0" w:type="dxa"/>
        </w:tblCellMar>
      </w:tblPr>
      <w:tblGrid>
        <w:gridCol w:w="1151"/>
        <w:gridCol w:w="1361"/>
        <w:gridCol w:w="940"/>
        <w:gridCol w:w="1556"/>
        <w:gridCol w:w="1491"/>
        <w:gridCol w:w="1214"/>
        <w:gridCol w:w="1401"/>
      </w:tblGrid>
      <w:tr>
        <w:trPr>
          <w:cantSplit/>
          <w:trHeight w:val="359" w:hRule="atLeast"/>
          <w:jc w:val="center"/>
        </w:trPr>
        <w:tc>
          <w:tcPr>
            <w:tcW w:w="1151"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 w:val="24"/>
                <w:highlight w:val="none"/>
              </w:rPr>
            </w:pPr>
            <w:r>
              <w:rPr>
                <w:rFonts w:hint="eastAsia" w:ascii="宋体" w:hAnsi="宋体" w:eastAsia="宋体"/>
                <w:color w:val="auto"/>
                <w:kern w:val="0"/>
                <w:szCs w:val="22"/>
                <w:highlight w:val="none"/>
              </w:rPr>
              <w:t>类别</w:t>
            </w:r>
          </w:p>
        </w:tc>
        <w:tc>
          <w:tcPr>
            <w:tcW w:w="1361"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4"/>
                <w:highlight w:val="none"/>
              </w:rPr>
            </w:pPr>
            <w:r>
              <w:rPr>
                <w:rFonts w:hint="eastAsia" w:ascii="宋体" w:hAnsi="宋体"/>
                <w:color w:val="auto"/>
                <w:kern w:val="0"/>
                <w:szCs w:val="22"/>
                <w:highlight w:val="none"/>
              </w:rPr>
              <w:t>姓名</w:t>
            </w:r>
          </w:p>
        </w:tc>
        <w:tc>
          <w:tcPr>
            <w:tcW w:w="940"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 w:val="24"/>
                <w:highlight w:val="none"/>
              </w:rPr>
            </w:pPr>
            <w:r>
              <w:rPr>
                <w:rFonts w:hint="eastAsia" w:ascii="宋体" w:hAnsi="宋体"/>
                <w:color w:val="auto"/>
                <w:kern w:val="0"/>
                <w:szCs w:val="22"/>
                <w:highlight w:val="none"/>
              </w:rPr>
              <w:t>职</w:t>
            </w:r>
            <w:r>
              <w:rPr>
                <w:rFonts w:hint="eastAsia" w:ascii="宋体" w:hAnsi="宋体" w:eastAsia="宋体"/>
                <w:color w:val="auto"/>
                <w:kern w:val="0"/>
                <w:szCs w:val="22"/>
                <w:highlight w:val="none"/>
              </w:rPr>
              <w:t>务</w:t>
            </w:r>
          </w:p>
        </w:tc>
        <w:tc>
          <w:tcPr>
            <w:tcW w:w="1556"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 w:val="24"/>
                <w:highlight w:val="none"/>
              </w:rPr>
            </w:pPr>
            <w:r>
              <w:rPr>
                <w:rFonts w:hint="eastAsia" w:ascii="宋体" w:hAnsi="宋体" w:eastAsia="宋体"/>
                <w:color w:val="auto"/>
                <w:kern w:val="0"/>
                <w:szCs w:val="22"/>
                <w:highlight w:val="none"/>
              </w:rPr>
              <w:t>职称</w:t>
            </w:r>
            <w:r>
              <w:rPr>
                <w:rFonts w:hint="eastAsia" w:ascii="宋体" w:hAnsi="宋体"/>
                <w:color w:val="auto"/>
                <w:kern w:val="0"/>
                <w:szCs w:val="22"/>
                <w:highlight w:val="none"/>
              </w:rPr>
              <w:t>或</w:t>
            </w:r>
            <w:r>
              <w:rPr>
                <w:rFonts w:hint="eastAsia" w:ascii="宋体" w:hAnsi="宋体" w:eastAsia="宋体"/>
                <w:color w:val="auto"/>
                <w:kern w:val="0"/>
                <w:szCs w:val="22"/>
                <w:highlight w:val="none"/>
              </w:rPr>
              <w:t>执业</w:t>
            </w:r>
            <w:r>
              <w:rPr>
                <w:rFonts w:hint="eastAsia" w:ascii="宋体" w:hAnsi="宋体"/>
                <w:color w:val="auto"/>
                <w:kern w:val="0"/>
                <w:szCs w:val="22"/>
                <w:highlight w:val="none"/>
              </w:rPr>
              <w:t>资格</w:t>
            </w:r>
          </w:p>
        </w:tc>
        <w:tc>
          <w:tcPr>
            <w:tcW w:w="1491"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Cs w:val="22"/>
                <w:highlight w:val="none"/>
              </w:rPr>
            </w:pPr>
            <w:r>
              <w:rPr>
                <w:rFonts w:hint="eastAsia" w:ascii="宋体" w:hAnsi="宋体" w:eastAsia="宋体"/>
                <w:color w:val="auto"/>
                <w:kern w:val="0"/>
                <w:szCs w:val="22"/>
                <w:highlight w:val="none"/>
              </w:rPr>
              <w:t>学位</w:t>
            </w:r>
          </w:p>
        </w:tc>
        <w:tc>
          <w:tcPr>
            <w:tcW w:w="26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 w:val="24"/>
                <w:highlight w:val="none"/>
              </w:rPr>
            </w:pPr>
            <w:r>
              <w:rPr>
                <w:rFonts w:hint="eastAsia" w:ascii="宋体" w:hAnsi="宋体" w:eastAsia="宋体"/>
                <w:color w:val="auto"/>
                <w:kern w:val="0"/>
                <w:szCs w:val="22"/>
                <w:highlight w:val="none"/>
              </w:rPr>
              <w:t>证件</w:t>
            </w:r>
          </w:p>
        </w:tc>
      </w:tr>
      <w:tr>
        <w:tblPrEx>
          <w:tblCellMar>
            <w:top w:w="0" w:type="dxa"/>
            <w:left w:w="0" w:type="dxa"/>
            <w:bottom w:w="0" w:type="dxa"/>
            <w:right w:w="0" w:type="dxa"/>
          </w:tblCellMar>
        </w:tblPrEx>
        <w:trPr>
          <w:cantSplit/>
          <w:trHeight w:val="359" w:hRule="atLeast"/>
          <w:jc w:val="center"/>
        </w:trPr>
        <w:tc>
          <w:tcPr>
            <w:tcW w:w="1151"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auto"/>
                <w:highlight w:val="none"/>
              </w:rPr>
            </w:pPr>
          </w:p>
        </w:tc>
        <w:tc>
          <w:tcPr>
            <w:tcW w:w="1361"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auto"/>
                <w:highlight w:val="none"/>
              </w:rPr>
            </w:pPr>
          </w:p>
        </w:tc>
        <w:tc>
          <w:tcPr>
            <w:tcW w:w="94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auto"/>
                <w:highlight w:val="none"/>
              </w:rPr>
            </w:pPr>
          </w:p>
        </w:tc>
        <w:tc>
          <w:tcPr>
            <w:tcW w:w="1556"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auto"/>
                <w:highlight w:val="none"/>
              </w:rPr>
            </w:pPr>
          </w:p>
        </w:tc>
        <w:tc>
          <w:tcPr>
            <w:tcW w:w="1491"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auto"/>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Cs w:val="22"/>
                <w:highlight w:val="none"/>
              </w:rPr>
            </w:pPr>
            <w:r>
              <w:rPr>
                <w:rFonts w:hint="eastAsia" w:ascii="宋体" w:hAnsi="宋体" w:eastAsia="宋体"/>
                <w:color w:val="auto"/>
                <w:kern w:val="0"/>
                <w:szCs w:val="22"/>
                <w:highlight w:val="none"/>
              </w:rPr>
              <w:t>名称</w:t>
            </w: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Cs w:val="22"/>
                <w:highlight w:val="none"/>
              </w:rPr>
            </w:pPr>
            <w:r>
              <w:rPr>
                <w:rFonts w:hint="eastAsia" w:ascii="宋体" w:hAnsi="宋体" w:eastAsia="宋体"/>
                <w:color w:val="auto"/>
                <w:kern w:val="0"/>
                <w:szCs w:val="22"/>
                <w:highlight w:val="none"/>
              </w:rPr>
              <w:t>专业</w:t>
            </w:r>
          </w:p>
        </w:tc>
      </w:tr>
      <w:tr>
        <w:tblPrEx>
          <w:tblCellMar>
            <w:top w:w="0" w:type="dxa"/>
            <w:left w:w="0" w:type="dxa"/>
            <w:bottom w:w="0" w:type="dxa"/>
            <w:right w:w="0" w:type="dxa"/>
          </w:tblCellMar>
        </w:tblPrEx>
        <w:trPr>
          <w:cantSplit/>
          <w:trHeight w:val="767" w:hRule="exact"/>
          <w:jc w:val="center"/>
        </w:trPr>
        <w:tc>
          <w:tcPr>
            <w:tcW w:w="1151" w:type="dxa"/>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 w:val="24"/>
                <w:highlight w:val="none"/>
              </w:rPr>
            </w:pPr>
            <w:r>
              <w:rPr>
                <w:rFonts w:hint="eastAsia" w:ascii="宋体" w:hAnsi="宋体" w:eastAsia="宋体"/>
                <w:color w:val="auto"/>
                <w:kern w:val="0"/>
                <w:sz w:val="20"/>
                <w:szCs w:val="21"/>
                <w:highlight w:val="none"/>
              </w:rPr>
              <w:t>项目</w:t>
            </w:r>
            <w:r>
              <w:rPr>
                <w:rFonts w:hint="eastAsia" w:ascii="宋体" w:hAnsi="宋体" w:eastAsia="宋体"/>
                <w:color w:val="auto"/>
                <w:kern w:val="0"/>
                <w:sz w:val="20"/>
                <w:szCs w:val="20"/>
                <w:highlight w:val="none"/>
              </w:rPr>
              <w:t>负责人</w:t>
            </w:r>
          </w:p>
        </w:tc>
        <w:tc>
          <w:tcPr>
            <w:tcW w:w="1361" w:type="dxa"/>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Cs w:val="22"/>
                <w:highlight w:val="none"/>
              </w:rPr>
            </w:pPr>
          </w:p>
        </w:tc>
        <w:tc>
          <w:tcPr>
            <w:tcW w:w="940" w:type="dxa"/>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Cs w:val="22"/>
                <w:highlight w:val="none"/>
              </w:rPr>
            </w:pPr>
          </w:p>
        </w:tc>
        <w:tc>
          <w:tcPr>
            <w:tcW w:w="1556" w:type="dxa"/>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Cs w:val="22"/>
                <w:highlight w:val="none"/>
              </w:rPr>
            </w:pPr>
          </w:p>
        </w:tc>
        <w:tc>
          <w:tcPr>
            <w:tcW w:w="1491" w:type="dxa"/>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宋体" w:hAnsi="宋体" w:eastAsia="宋体"/>
                <w:color w:val="auto"/>
                <w:kern w:val="0"/>
                <w:szCs w:val="22"/>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Cs w:val="22"/>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auto"/>
                <w:kern w:val="0"/>
                <w:szCs w:val="22"/>
                <w:highlight w:val="none"/>
              </w:rPr>
            </w:pPr>
          </w:p>
        </w:tc>
      </w:tr>
      <w:tr>
        <w:tblPrEx>
          <w:tblCellMar>
            <w:top w:w="0" w:type="dxa"/>
            <w:left w:w="0" w:type="dxa"/>
            <w:bottom w:w="0" w:type="dxa"/>
            <w:right w:w="0" w:type="dxa"/>
          </w:tblCellMar>
        </w:tblPrEx>
        <w:trPr>
          <w:trHeight w:val="497" w:hRule="exact"/>
          <w:jc w:val="center"/>
        </w:trPr>
        <w:tc>
          <w:tcPr>
            <w:tcW w:w="1151" w:type="dxa"/>
            <w:vMerge w:val="restart"/>
            <w:tcBorders>
              <w:top w:val="single" w:color="000000" w:sz="4" w:space="0"/>
              <w:left w:val="single" w:color="000000" w:sz="4" w:space="0"/>
              <w:right w:val="single" w:color="000000" w:sz="4" w:space="0"/>
            </w:tcBorders>
          </w:tcPr>
          <w:p>
            <w:pPr>
              <w:autoSpaceDE w:val="0"/>
              <w:autoSpaceDN w:val="0"/>
              <w:adjustRightInd w:val="0"/>
              <w:snapToGrid w:val="0"/>
              <w:jc w:val="center"/>
              <w:rPr>
                <w:rFonts w:ascii="宋体" w:hAnsi="宋体" w:eastAsia="宋体"/>
                <w:color w:val="auto"/>
                <w:kern w:val="0"/>
                <w:sz w:val="20"/>
                <w:szCs w:val="20"/>
                <w:highlight w:val="none"/>
              </w:rPr>
            </w:pPr>
          </w:p>
          <w:p>
            <w:pPr>
              <w:autoSpaceDE w:val="0"/>
              <w:autoSpaceDN w:val="0"/>
              <w:adjustRightInd w:val="0"/>
              <w:snapToGrid w:val="0"/>
              <w:jc w:val="center"/>
              <w:rPr>
                <w:rFonts w:ascii="宋体" w:hAnsi="宋体" w:eastAsia="宋体"/>
                <w:color w:val="auto"/>
                <w:kern w:val="0"/>
                <w:sz w:val="20"/>
                <w:szCs w:val="20"/>
                <w:highlight w:val="none"/>
              </w:rPr>
            </w:pPr>
          </w:p>
          <w:p>
            <w:pPr>
              <w:autoSpaceDE w:val="0"/>
              <w:autoSpaceDN w:val="0"/>
              <w:adjustRightInd w:val="0"/>
              <w:snapToGrid w:val="0"/>
              <w:jc w:val="center"/>
              <w:rPr>
                <w:rFonts w:ascii="宋体" w:hAnsi="宋体" w:eastAsia="宋体"/>
                <w:color w:val="auto"/>
                <w:kern w:val="0"/>
                <w:sz w:val="20"/>
                <w:szCs w:val="20"/>
                <w:highlight w:val="none"/>
              </w:rPr>
            </w:pPr>
          </w:p>
          <w:p>
            <w:pPr>
              <w:autoSpaceDE w:val="0"/>
              <w:autoSpaceDN w:val="0"/>
              <w:adjustRightInd w:val="0"/>
              <w:snapToGrid w:val="0"/>
              <w:jc w:val="center"/>
              <w:rPr>
                <w:rFonts w:hint="eastAsia" w:ascii="宋体" w:hAnsi="宋体" w:eastAsia="宋体"/>
                <w:color w:val="auto"/>
                <w:kern w:val="0"/>
                <w:sz w:val="24"/>
                <w:highlight w:val="none"/>
              </w:rPr>
            </w:pPr>
            <w:r>
              <w:rPr>
                <w:rFonts w:hint="eastAsia" w:ascii="宋体" w:hAnsi="宋体" w:eastAsia="宋体"/>
                <w:color w:val="auto"/>
                <w:kern w:val="0"/>
                <w:sz w:val="20"/>
                <w:szCs w:val="20"/>
                <w:highlight w:val="none"/>
              </w:rPr>
              <w:t>项目组成员</w:t>
            </w: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497" w:hRule="exact"/>
          <w:jc w:val="center"/>
        </w:trPr>
        <w:tc>
          <w:tcPr>
            <w:tcW w:w="1151" w:type="dxa"/>
            <w:vMerge w:val="continue"/>
            <w:tcBorders>
              <w:left w:val="single" w:color="000000" w:sz="4" w:space="0"/>
              <w:right w:val="single" w:color="000000" w:sz="4" w:space="0"/>
            </w:tcBorders>
          </w:tcPr>
          <w:p>
            <w:pPr>
              <w:autoSpaceDE w:val="0"/>
              <w:autoSpaceDN w:val="0"/>
              <w:adjustRightInd w:val="0"/>
              <w:snapToGrid w:val="0"/>
              <w:jc w:val="center"/>
              <w:rPr>
                <w:rFonts w:ascii="宋体" w:hAnsi="宋体" w:eastAsia="宋体"/>
                <w:color w:val="auto"/>
                <w:kern w:val="0"/>
                <w:sz w:val="24"/>
                <w:highlight w:val="none"/>
              </w:rPr>
            </w:pP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38" w:hRule="exact"/>
          <w:jc w:val="center"/>
        </w:trPr>
        <w:tc>
          <w:tcPr>
            <w:tcW w:w="1151" w:type="dxa"/>
            <w:vMerge w:val="continue"/>
            <w:tcBorders>
              <w:left w:val="single" w:color="000000" w:sz="4" w:space="0"/>
              <w:right w:val="single" w:color="000000" w:sz="4" w:space="0"/>
            </w:tcBorders>
          </w:tcPr>
          <w:p>
            <w:pPr>
              <w:autoSpaceDE w:val="0"/>
              <w:autoSpaceDN w:val="0"/>
              <w:adjustRightInd w:val="0"/>
              <w:snapToGrid w:val="0"/>
              <w:jc w:val="center"/>
              <w:rPr>
                <w:rFonts w:ascii="宋体" w:hAnsi="宋体"/>
                <w:color w:val="auto"/>
                <w:kern w:val="0"/>
                <w:sz w:val="24"/>
                <w:highlight w:val="none"/>
              </w:rPr>
            </w:pP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38" w:hRule="exact"/>
          <w:jc w:val="center"/>
        </w:trPr>
        <w:tc>
          <w:tcPr>
            <w:tcW w:w="1151" w:type="dxa"/>
            <w:vMerge w:val="continue"/>
            <w:tcBorders>
              <w:left w:val="single" w:color="000000" w:sz="4" w:space="0"/>
              <w:right w:val="single" w:color="000000" w:sz="4" w:space="0"/>
            </w:tcBorders>
          </w:tcPr>
          <w:p>
            <w:pPr>
              <w:autoSpaceDE w:val="0"/>
              <w:autoSpaceDN w:val="0"/>
              <w:adjustRightInd w:val="0"/>
              <w:snapToGrid w:val="0"/>
              <w:jc w:val="center"/>
              <w:rPr>
                <w:rFonts w:ascii="宋体" w:hAnsi="宋体"/>
                <w:color w:val="auto"/>
                <w:kern w:val="0"/>
                <w:sz w:val="24"/>
                <w:highlight w:val="none"/>
              </w:rPr>
            </w:pP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38" w:hRule="exact"/>
          <w:jc w:val="center"/>
        </w:trPr>
        <w:tc>
          <w:tcPr>
            <w:tcW w:w="1151" w:type="dxa"/>
            <w:vMerge w:val="continue"/>
            <w:tcBorders>
              <w:left w:val="single" w:color="000000" w:sz="4" w:space="0"/>
              <w:bottom w:val="single" w:color="000000" w:sz="4" w:space="0"/>
              <w:right w:val="single" w:color="000000" w:sz="4" w:space="0"/>
            </w:tcBorders>
          </w:tcPr>
          <w:p>
            <w:pPr>
              <w:autoSpaceDE w:val="0"/>
              <w:autoSpaceDN w:val="0"/>
              <w:adjustRightInd w:val="0"/>
              <w:snapToGrid w:val="0"/>
              <w:jc w:val="center"/>
              <w:rPr>
                <w:rFonts w:ascii="宋体" w:hAnsi="宋体"/>
                <w:color w:val="auto"/>
                <w:kern w:val="0"/>
                <w:sz w:val="24"/>
                <w:highlight w:val="none"/>
              </w:rPr>
            </w:pP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38" w:hRule="exact"/>
          <w:jc w:val="center"/>
        </w:trPr>
        <w:tc>
          <w:tcPr>
            <w:tcW w:w="1151" w:type="dxa"/>
            <w:vMerge w:val="restart"/>
            <w:tcBorders>
              <w:top w:val="single" w:color="000000" w:sz="4" w:space="0"/>
              <w:left w:val="single" w:color="000000" w:sz="4" w:space="0"/>
              <w:right w:val="single" w:color="000000" w:sz="4" w:space="0"/>
            </w:tcBorders>
          </w:tcPr>
          <w:p>
            <w:pPr>
              <w:autoSpaceDE w:val="0"/>
              <w:autoSpaceDN w:val="0"/>
              <w:adjustRightInd w:val="0"/>
              <w:snapToGrid w:val="0"/>
              <w:jc w:val="center"/>
              <w:rPr>
                <w:rFonts w:ascii="宋体" w:hAnsi="宋体" w:eastAsia="宋体"/>
                <w:color w:val="auto"/>
                <w:kern w:val="0"/>
                <w:sz w:val="20"/>
                <w:szCs w:val="20"/>
                <w:highlight w:val="none"/>
              </w:rPr>
            </w:pPr>
          </w:p>
          <w:p>
            <w:pPr>
              <w:autoSpaceDE w:val="0"/>
              <w:autoSpaceDN w:val="0"/>
              <w:adjustRightInd w:val="0"/>
              <w:snapToGrid w:val="0"/>
              <w:jc w:val="center"/>
              <w:rPr>
                <w:rFonts w:ascii="宋体" w:hAnsi="宋体" w:eastAsia="宋体"/>
                <w:color w:val="auto"/>
                <w:kern w:val="0"/>
                <w:sz w:val="20"/>
                <w:szCs w:val="20"/>
                <w:highlight w:val="none"/>
              </w:rPr>
            </w:pPr>
          </w:p>
          <w:p>
            <w:pPr>
              <w:autoSpaceDE w:val="0"/>
              <w:autoSpaceDN w:val="0"/>
              <w:adjustRightInd w:val="0"/>
              <w:snapToGrid w:val="0"/>
              <w:jc w:val="center"/>
              <w:rPr>
                <w:rFonts w:ascii="宋体" w:hAnsi="宋体"/>
                <w:color w:val="auto"/>
                <w:kern w:val="0"/>
                <w:sz w:val="24"/>
                <w:highlight w:val="none"/>
              </w:rPr>
            </w:pPr>
            <w:r>
              <w:rPr>
                <w:rFonts w:hint="eastAsia" w:ascii="宋体" w:hAnsi="宋体" w:eastAsia="宋体"/>
                <w:color w:val="auto"/>
                <w:kern w:val="0"/>
                <w:sz w:val="20"/>
                <w:szCs w:val="20"/>
                <w:highlight w:val="none"/>
              </w:rPr>
              <w:t>其他</w:t>
            </w: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38" w:hRule="exact"/>
          <w:jc w:val="center"/>
        </w:trPr>
        <w:tc>
          <w:tcPr>
            <w:tcW w:w="1151" w:type="dxa"/>
            <w:vMerge w:val="continue"/>
            <w:tcBorders>
              <w:left w:val="single" w:color="000000" w:sz="4" w:space="0"/>
              <w:right w:val="single" w:color="000000" w:sz="4" w:space="0"/>
            </w:tcBorders>
          </w:tcPr>
          <w:p>
            <w:pPr>
              <w:autoSpaceDE w:val="0"/>
              <w:autoSpaceDN w:val="0"/>
              <w:adjustRightInd w:val="0"/>
              <w:snapToGrid w:val="0"/>
              <w:jc w:val="center"/>
              <w:rPr>
                <w:rFonts w:ascii="宋体" w:hAnsi="宋体"/>
                <w:color w:val="auto"/>
                <w:kern w:val="0"/>
                <w:sz w:val="24"/>
                <w:highlight w:val="none"/>
              </w:rPr>
            </w:pP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r>
        <w:tblPrEx>
          <w:tblCellMar>
            <w:top w:w="0" w:type="dxa"/>
            <w:left w:w="0" w:type="dxa"/>
            <w:bottom w:w="0" w:type="dxa"/>
            <w:right w:w="0" w:type="dxa"/>
          </w:tblCellMar>
        </w:tblPrEx>
        <w:trPr>
          <w:trHeight w:val="538" w:hRule="exact"/>
          <w:jc w:val="center"/>
        </w:trPr>
        <w:tc>
          <w:tcPr>
            <w:tcW w:w="1151" w:type="dxa"/>
            <w:vMerge w:val="continue"/>
            <w:tcBorders>
              <w:left w:val="single" w:color="000000" w:sz="4" w:space="0"/>
              <w:bottom w:val="single" w:color="000000" w:sz="4" w:space="0"/>
              <w:right w:val="single" w:color="000000" w:sz="4" w:space="0"/>
            </w:tcBorders>
          </w:tcPr>
          <w:p>
            <w:pPr>
              <w:autoSpaceDE w:val="0"/>
              <w:autoSpaceDN w:val="0"/>
              <w:adjustRightInd w:val="0"/>
              <w:snapToGrid w:val="0"/>
              <w:jc w:val="center"/>
              <w:rPr>
                <w:rFonts w:ascii="宋体" w:hAnsi="宋体"/>
                <w:color w:val="auto"/>
                <w:kern w:val="0"/>
                <w:sz w:val="24"/>
                <w:highlight w:val="none"/>
              </w:rPr>
            </w:pPr>
          </w:p>
        </w:tc>
        <w:tc>
          <w:tcPr>
            <w:tcW w:w="13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55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21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c>
          <w:tcPr>
            <w:tcW w:w="14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left"/>
              <w:rPr>
                <w:rFonts w:ascii="宋体" w:hAnsi="宋体"/>
                <w:color w:val="auto"/>
                <w:kern w:val="0"/>
                <w:sz w:val="24"/>
                <w:highlight w:val="none"/>
              </w:rPr>
            </w:pPr>
          </w:p>
        </w:tc>
      </w:tr>
    </w:tbl>
    <w:p>
      <w:pPr>
        <w:adjustRightInd w:val="0"/>
        <w:snapToGrid w:val="0"/>
        <w:spacing w:before="9"/>
        <w:rPr>
          <w:rFonts w:ascii="Times New Roman" w:eastAsia="Times New Roman"/>
          <w:color w:val="auto"/>
          <w:sz w:val="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p>
    <w:p>
      <w:pPr>
        <w:pStyle w:val="25"/>
        <w:snapToGrid w:val="0"/>
        <w:ind w:firstLine="0" w:firstLineChars="0"/>
        <w:rPr>
          <w:rFonts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8.</w:t>
      </w:r>
      <w:r>
        <w:rPr>
          <w:rFonts w:hint="eastAsia" w:ascii="宋体" w:hAnsi="宋体" w:eastAsia="宋体" w:cs="宋体"/>
          <w:bCs w:val="0"/>
          <w:color w:val="auto"/>
          <w:sz w:val="24"/>
          <w:szCs w:val="24"/>
          <w:highlight w:val="none"/>
        </w:rPr>
        <w:t>竞争性磋商文件要求的其它材料</w:t>
      </w:r>
      <w:bookmarkEnd w:id="30"/>
      <w:bookmarkEnd w:id="31"/>
    </w:p>
    <w:p>
      <w:pPr>
        <w:snapToGrid w:val="0"/>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二、报价部分</w:t>
      </w:r>
    </w:p>
    <w:p>
      <w:pPr>
        <w:jc w:val="center"/>
        <w:rPr>
          <w:rFonts w:ascii="宋体" w:hAnsi="宋体" w:cs="宋体" w:eastAsiaTheme="minorEastAsia"/>
          <w:b/>
          <w:color w:val="auto"/>
          <w:sz w:val="30"/>
          <w:highlight w:val="none"/>
        </w:rPr>
      </w:pPr>
      <w:r>
        <w:rPr>
          <w:rFonts w:hint="eastAsia" w:ascii="宋体" w:hAnsi="宋体" w:cs="宋体"/>
          <w:b/>
          <w:color w:val="auto"/>
          <w:sz w:val="30"/>
          <w:highlight w:val="none"/>
        </w:rPr>
        <w:t>磋商响应报价表（格式）</w:t>
      </w:r>
    </w:p>
    <w:p>
      <w:pPr>
        <w:jc w:val="left"/>
        <w:rPr>
          <w:rFonts w:ascii="宋体" w:hAnsi="宋体" w:cs="宋体"/>
          <w:color w:val="auto"/>
          <w:sz w:val="30"/>
          <w:highlight w:val="none"/>
          <w:u w:val="single"/>
        </w:rPr>
      </w:pPr>
    </w:p>
    <w:tbl>
      <w:tblPr>
        <w:tblStyle w:val="15"/>
        <w:tblW w:w="9530" w:type="dxa"/>
        <w:jc w:val="center"/>
        <w:tblLayout w:type="fixed"/>
        <w:tblCellMar>
          <w:top w:w="0" w:type="dxa"/>
          <w:left w:w="108" w:type="dxa"/>
          <w:bottom w:w="0" w:type="dxa"/>
          <w:right w:w="108" w:type="dxa"/>
        </w:tblCellMar>
      </w:tblPr>
      <w:tblGrid>
        <w:gridCol w:w="1749"/>
        <w:gridCol w:w="4349"/>
        <w:gridCol w:w="3432"/>
      </w:tblGrid>
      <w:tr>
        <w:tblPrEx>
          <w:tblCellMar>
            <w:top w:w="0" w:type="dxa"/>
            <w:left w:w="108" w:type="dxa"/>
            <w:bottom w:w="0" w:type="dxa"/>
            <w:right w:w="108" w:type="dxa"/>
          </w:tblCellMar>
        </w:tblPrEx>
        <w:trPr>
          <w:cantSplit/>
          <w:trHeight w:val="790" w:hRule="atLeast"/>
          <w:jc w:val="center"/>
        </w:trPr>
        <w:tc>
          <w:tcPr>
            <w:tcW w:w="17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43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项目内容</w:t>
            </w:r>
          </w:p>
        </w:tc>
        <w:tc>
          <w:tcPr>
            <w:tcW w:w="343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eastAsiaTheme="minorEastAsia"/>
                <w:color w:val="auto"/>
                <w:sz w:val="28"/>
                <w:szCs w:val="28"/>
                <w:highlight w:val="none"/>
              </w:rPr>
            </w:pPr>
            <w:r>
              <w:rPr>
                <w:rFonts w:hint="eastAsia" w:ascii="宋体" w:hAnsi="宋体" w:cs="宋体"/>
                <w:color w:val="auto"/>
                <w:sz w:val="28"/>
                <w:szCs w:val="28"/>
                <w:highlight w:val="none"/>
              </w:rPr>
              <w:t>最高限价（元）</w:t>
            </w:r>
          </w:p>
        </w:tc>
      </w:tr>
      <w:tr>
        <w:tblPrEx>
          <w:tblCellMar>
            <w:top w:w="0" w:type="dxa"/>
            <w:left w:w="108" w:type="dxa"/>
            <w:bottom w:w="0" w:type="dxa"/>
            <w:right w:w="108" w:type="dxa"/>
          </w:tblCellMar>
        </w:tblPrEx>
        <w:trPr>
          <w:cantSplit/>
          <w:jc w:val="center"/>
        </w:trPr>
        <w:tc>
          <w:tcPr>
            <w:tcW w:w="17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43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sz w:val="28"/>
                <w:szCs w:val="28"/>
                <w:highlight w:val="none"/>
              </w:rPr>
            </w:pPr>
            <w:r>
              <w:rPr>
                <w:rFonts w:hint="eastAsia" w:ascii="宋体" w:hAnsi="宋体" w:cs="宋体"/>
                <w:color w:val="auto"/>
                <w:sz w:val="28"/>
                <w:szCs w:val="28"/>
                <w:highlight w:val="none"/>
              </w:rPr>
              <w:t>项目名称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ascii="宋体" w:hAnsi="宋体" w:eastAsia="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tc>
        <w:tc>
          <w:tcPr>
            <w:tcW w:w="343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eastAsiaTheme="minorEastAsia"/>
                <w:color w:val="auto"/>
                <w:sz w:val="28"/>
                <w:szCs w:val="28"/>
                <w:highlight w:val="none"/>
              </w:rPr>
              <w:t>4</w:t>
            </w:r>
            <w:r>
              <w:rPr>
                <w:rFonts w:ascii="宋体" w:hAnsi="宋体" w:cs="宋体" w:eastAsiaTheme="minorEastAsia"/>
                <w:color w:val="auto"/>
                <w:sz w:val="28"/>
                <w:szCs w:val="28"/>
                <w:highlight w:val="none"/>
              </w:rPr>
              <w:t>00000.00</w:t>
            </w:r>
          </w:p>
        </w:tc>
      </w:tr>
      <w:tr>
        <w:tblPrEx>
          <w:tblCellMar>
            <w:top w:w="0" w:type="dxa"/>
            <w:left w:w="108" w:type="dxa"/>
            <w:bottom w:w="0" w:type="dxa"/>
            <w:right w:w="108" w:type="dxa"/>
          </w:tblCellMar>
        </w:tblPrEx>
        <w:trPr>
          <w:cantSplit/>
          <w:trHeight w:val="844" w:hRule="atLeast"/>
          <w:jc w:val="center"/>
        </w:trPr>
        <w:tc>
          <w:tcPr>
            <w:tcW w:w="17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sz w:val="28"/>
                <w:szCs w:val="28"/>
                <w:highlight w:val="none"/>
              </w:rPr>
            </w:pPr>
            <w:r>
              <w:rPr>
                <w:rFonts w:hint="eastAsia" w:ascii="宋体" w:hAnsi="宋体" w:eastAsia="宋体" w:cs="宋体"/>
                <w:color w:val="auto"/>
                <w:sz w:val="28"/>
                <w:szCs w:val="28"/>
                <w:highlight w:val="none"/>
              </w:rPr>
              <w:t>报价（元）</w:t>
            </w:r>
          </w:p>
        </w:tc>
        <w:tc>
          <w:tcPr>
            <w:tcW w:w="778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sz w:val="28"/>
                <w:szCs w:val="28"/>
                <w:highlight w:val="none"/>
              </w:rPr>
            </w:pPr>
            <w:r>
              <w:rPr>
                <w:rFonts w:hint="eastAsia" w:ascii="宋体" w:hAnsi="宋体" w:cs="宋体"/>
                <w:color w:val="auto"/>
                <w:sz w:val="28"/>
                <w:szCs w:val="28"/>
                <w:highlight w:val="none"/>
              </w:rPr>
              <w:t>大写：                            小写：</w:t>
            </w:r>
          </w:p>
        </w:tc>
      </w:tr>
      <w:tr>
        <w:tblPrEx>
          <w:tblCellMar>
            <w:top w:w="0" w:type="dxa"/>
            <w:left w:w="108" w:type="dxa"/>
            <w:bottom w:w="0" w:type="dxa"/>
            <w:right w:w="108" w:type="dxa"/>
          </w:tblCellMar>
        </w:tblPrEx>
        <w:trPr>
          <w:cantSplit/>
          <w:jc w:val="center"/>
        </w:trPr>
        <w:tc>
          <w:tcPr>
            <w:tcW w:w="17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color w:val="auto"/>
                <w:sz w:val="28"/>
                <w:szCs w:val="28"/>
                <w:highlight w:val="none"/>
              </w:rPr>
            </w:pPr>
            <w:r>
              <w:rPr>
                <w:rFonts w:hint="eastAsia" w:ascii="宋体" w:hAnsi="宋体" w:cs="宋体"/>
                <w:color w:val="auto"/>
                <w:sz w:val="28"/>
                <w:szCs w:val="28"/>
                <w:highlight w:val="none"/>
              </w:rPr>
              <w:t>服务期</w:t>
            </w:r>
          </w:p>
        </w:tc>
        <w:tc>
          <w:tcPr>
            <w:tcW w:w="778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sz w:val="28"/>
                <w:szCs w:val="28"/>
                <w:highlight w:val="none"/>
              </w:rPr>
            </w:pPr>
          </w:p>
        </w:tc>
      </w:tr>
      <w:tr>
        <w:tblPrEx>
          <w:tblCellMar>
            <w:top w:w="0" w:type="dxa"/>
            <w:left w:w="108" w:type="dxa"/>
            <w:bottom w:w="0" w:type="dxa"/>
            <w:right w:w="108" w:type="dxa"/>
          </w:tblCellMar>
        </w:tblPrEx>
        <w:trPr>
          <w:cantSplit/>
          <w:jc w:val="center"/>
        </w:trPr>
        <w:tc>
          <w:tcPr>
            <w:tcW w:w="174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sz w:val="28"/>
                <w:szCs w:val="28"/>
                <w:highlight w:val="none"/>
              </w:rPr>
            </w:pPr>
            <w:r>
              <w:rPr>
                <w:rFonts w:hint="eastAsia" w:ascii="宋体" w:hAnsi="宋体" w:cs="宋体"/>
                <w:b/>
                <w:color w:val="auto"/>
                <w:sz w:val="28"/>
                <w:szCs w:val="28"/>
                <w:highlight w:val="none"/>
              </w:rPr>
              <w:t>其他说明：</w:t>
            </w:r>
          </w:p>
        </w:tc>
        <w:tc>
          <w:tcPr>
            <w:tcW w:w="778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1、本投标报价必须以人民币的形式表示。</w:t>
            </w:r>
          </w:p>
          <w:p>
            <w:pPr>
              <w:rPr>
                <w:rFonts w:ascii="宋体" w:hAnsi="宋体" w:cs="宋体"/>
                <w:color w:val="auto"/>
                <w:sz w:val="28"/>
                <w:szCs w:val="28"/>
                <w:highlight w:val="none"/>
              </w:rPr>
            </w:pPr>
            <w:r>
              <w:rPr>
                <w:rFonts w:hint="eastAsia" w:ascii="宋体" w:hAnsi="宋体" w:cs="宋体"/>
                <w:color w:val="auto"/>
                <w:spacing w:val="-6"/>
                <w:sz w:val="28"/>
                <w:szCs w:val="28"/>
                <w:highlight w:val="none"/>
              </w:rPr>
              <w:t>2、投标总报价包括完成本项目所需的一切费用。</w:t>
            </w:r>
          </w:p>
        </w:tc>
      </w:tr>
    </w:tbl>
    <w:p>
      <w:pPr>
        <w:ind w:firstLine="600"/>
        <w:rPr>
          <w:rFonts w:ascii="宋体" w:hAnsi="宋体" w:cs="宋体"/>
          <w:color w:val="auto"/>
          <w:sz w:val="30"/>
          <w:highlight w:val="none"/>
        </w:rPr>
      </w:pPr>
    </w:p>
    <w:p>
      <w:pPr>
        <w:rPr>
          <w:rFonts w:ascii="宋体" w:hAnsi="宋体" w:cs="宋体"/>
          <w:color w:val="auto"/>
          <w:sz w:val="30"/>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t>磋商响应单位名称：（公章）</w:t>
      </w:r>
    </w:p>
    <w:p>
      <w:pPr>
        <w:rPr>
          <w:rFonts w:ascii="宋体" w:hAnsi="宋体" w:cs="宋体"/>
          <w:color w:val="auto"/>
          <w:sz w:val="28"/>
          <w:szCs w:val="28"/>
          <w:highlight w:val="none"/>
          <w:u w:val="single"/>
        </w:rPr>
      </w:pPr>
      <w:r>
        <w:rPr>
          <w:rFonts w:hint="eastAsia" w:ascii="宋体" w:hAnsi="宋体" w:cs="宋体"/>
          <w:color w:val="auto"/>
          <w:sz w:val="28"/>
          <w:szCs w:val="28"/>
          <w:highlight w:val="none"/>
        </w:rPr>
        <w:t>法人或被授权人（签字或盖章）：</w:t>
      </w:r>
    </w:p>
    <w:p>
      <w:pPr>
        <w:rPr>
          <w:rFonts w:ascii="宋体" w:hAnsi="宋体" w:cs="宋体"/>
          <w:color w:val="auto"/>
          <w:sz w:val="28"/>
          <w:szCs w:val="28"/>
          <w:highlight w:val="none"/>
        </w:rPr>
      </w:pPr>
      <w:r>
        <w:rPr>
          <w:rFonts w:hint="eastAsia" w:ascii="宋体" w:hAnsi="宋体" w:cs="宋体"/>
          <w:color w:val="auto"/>
          <w:sz w:val="28"/>
          <w:szCs w:val="28"/>
          <w:highlight w:val="none"/>
        </w:rPr>
        <w:t>日期：</w:t>
      </w:r>
    </w:p>
    <w:p>
      <w:pPr>
        <w:jc w:val="left"/>
        <w:rPr>
          <w:rFonts w:ascii="宋体" w:hAnsi="宋体" w:cs="宋体"/>
          <w:color w:val="auto"/>
          <w:highlight w:val="none"/>
          <w:u w:val="single"/>
        </w:rPr>
      </w:pPr>
    </w:p>
    <w:p>
      <w:pPr>
        <w:jc w:val="center"/>
        <w:rPr>
          <w:rFonts w:ascii="宋体" w:hAnsi="宋体" w:cs="宋体"/>
          <w:b/>
          <w:color w:val="auto"/>
          <w:sz w:val="30"/>
          <w:highlight w:val="none"/>
        </w:rPr>
      </w:pPr>
      <w:r>
        <w:rPr>
          <w:rFonts w:hint="eastAsia" w:ascii="宋体" w:hAnsi="宋体" w:cs="宋体"/>
          <w:b/>
          <w:color w:val="auto"/>
          <w:sz w:val="28"/>
          <w:highlight w:val="none"/>
        </w:rPr>
        <w:br w:type="page"/>
      </w:r>
      <w:r>
        <w:rPr>
          <w:rFonts w:hint="eastAsia" w:ascii="宋体" w:hAnsi="宋体" w:cs="宋体"/>
          <w:b/>
          <w:color w:val="auto"/>
          <w:sz w:val="30"/>
          <w:highlight w:val="none"/>
        </w:rPr>
        <w:t>磋商响应最后报价表（格式）</w:t>
      </w:r>
    </w:p>
    <w:p>
      <w:pPr>
        <w:jc w:val="left"/>
        <w:rPr>
          <w:rFonts w:ascii="宋体" w:hAnsi="宋体" w:cs="宋体"/>
          <w:b/>
          <w:color w:val="auto"/>
          <w:sz w:val="30"/>
          <w:highlight w:val="none"/>
        </w:rPr>
      </w:pPr>
      <w:r>
        <w:rPr>
          <w:rFonts w:hint="eastAsia" w:ascii="宋体" w:hAnsi="宋体" w:cs="宋体"/>
          <w:b/>
          <w:color w:val="auto"/>
          <w:sz w:val="24"/>
          <w:highlight w:val="none"/>
        </w:rPr>
        <w:t>（此表由磋商响应人手持，不密封在磋商响应文件中。在磋商结束后进行最终报价时现场填写）</w:t>
      </w:r>
    </w:p>
    <w:p>
      <w:pPr>
        <w:jc w:val="left"/>
        <w:rPr>
          <w:rFonts w:ascii="宋体" w:hAnsi="宋体" w:cs="宋体"/>
          <w:color w:val="auto"/>
          <w:sz w:val="30"/>
          <w:highlight w:val="none"/>
          <w:u w:val="single"/>
        </w:rPr>
      </w:pPr>
    </w:p>
    <w:tbl>
      <w:tblPr>
        <w:tblStyle w:val="15"/>
        <w:tblW w:w="9840" w:type="dxa"/>
        <w:jc w:val="center"/>
        <w:tblLayout w:type="fixed"/>
        <w:tblCellMar>
          <w:top w:w="0" w:type="dxa"/>
          <w:left w:w="108" w:type="dxa"/>
          <w:bottom w:w="0" w:type="dxa"/>
          <w:right w:w="108" w:type="dxa"/>
        </w:tblCellMar>
      </w:tblPr>
      <w:tblGrid>
        <w:gridCol w:w="1575"/>
        <w:gridCol w:w="8265"/>
      </w:tblGrid>
      <w:tr>
        <w:tblPrEx>
          <w:tblCellMar>
            <w:top w:w="0" w:type="dxa"/>
            <w:left w:w="108" w:type="dxa"/>
            <w:bottom w:w="0" w:type="dxa"/>
            <w:right w:w="108" w:type="dxa"/>
          </w:tblCellMar>
        </w:tblPrEx>
        <w:trPr>
          <w:cantSplit/>
          <w:trHeight w:val="1050" w:hRule="atLeast"/>
          <w:jc w:val="center"/>
        </w:trPr>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highlight w:val="none"/>
              </w:rPr>
            </w:pPr>
            <w:r>
              <w:rPr>
                <w:rFonts w:hint="eastAsia" w:ascii="宋体" w:hAnsi="宋体" w:cs="宋体"/>
                <w:color w:val="auto"/>
                <w:sz w:val="30"/>
                <w:highlight w:val="none"/>
              </w:rPr>
              <w:t>序号</w:t>
            </w:r>
          </w:p>
        </w:tc>
        <w:tc>
          <w:tcPr>
            <w:tcW w:w="82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highlight w:val="none"/>
              </w:rPr>
            </w:pPr>
            <w:r>
              <w:rPr>
                <w:rFonts w:hint="eastAsia" w:ascii="宋体" w:hAnsi="宋体" w:cs="宋体"/>
                <w:color w:val="auto"/>
                <w:sz w:val="30"/>
                <w:highlight w:val="none"/>
              </w:rPr>
              <w:t>项目内容</w:t>
            </w:r>
          </w:p>
        </w:tc>
      </w:tr>
      <w:tr>
        <w:tblPrEx>
          <w:tblCellMar>
            <w:top w:w="0" w:type="dxa"/>
            <w:left w:w="108" w:type="dxa"/>
            <w:bottom w:w="0" w:type="dxa"/>
            <w:right w:w="108" w:type="dxa"/>
          </w:tblCellMar>
        </w:tblPrEx>
        <w:trPr>
          <w:cantSplit/>
          <w:jc w:val="center"/>
        </w:trPr>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color w:val="auto"/>
                <w:highlight w:val="none"/>
              </w:rPr>
            </w:pPr>
            <w:r>
              <w:rPr>
                <w:rFonts w:hint="eastAsia" w:ascii="宋体" w:hAnsi="宋体" w:cs="宋体"/>
                <w:color w:val="auto"/>
                <w:sz w:val="30"/>
                <w:highlight w:val="none"/>
              </w:rPr>
              <w:t>1</w:t>
            </w:r>
          </w:p>
        </w:tc>
        <w:tc>
          <w:tcPr>
            <w:tcW w:w="82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r>
              <w:rPr>
                <w:rFonts w:ascii="宋体" w:hAnsi="宋体" w:eastAsia="宋体" w:cs="宋体"/>
                <w:color w:val="auto"/>
                <w:sz w:val="30"/>
                <w:highlight w:val="none"/>
                <w:u w:val="single"/>
              </w:rPr>
              <w:t xml:space="preserve">                       </w:t>
            </w:r>
          </w:p>
          <w:p>
            <w:pPr>
              <w:jc w:val="left"/>
              <w:rPr>
                <w:rFonts w:hint="eastAsia" w:ascii="宋体" w:hAnsi="宋体" w:eastAsia="宋体" w:cs="宋体"/>
                <w:color w:val="auto"/>
                <w:sz w:val="30"/>
                <w:highlight w:val="none"/>
                <w:u w:val="single"/>
              </w:rPr>
            </w:pPr>
            <w:r>
              <w:rPr>
                <w:rFonts w:hint="eastAsia" w:ascii="宋体" w:hAnsi="宋体" w:cs="宋体"/>
                <w:color w:val="auto"/>
                <w:sz w:val="30"/>
                <w:highlight w:val="none"/>
              </w:rPr>
              <w:t>项目编号:</w:t>
            </w:r>
            <w:r>
              <w:rPr>
                <w:rFonts w:hint="eastAsia" w:ascii="宋体" w:hAnsi="宋体" w:eastAsia="宋体" w:cs="宋体"/>
                <w:color w:val="auto"/>
                <w:sz w:val="30"/>
                <w:highlight w:val="none"/>
                <w:u w:val="single"/>
              </w:rPr>
              <w:t xml:space="preserve"> </w:t>
            </w:r>
            <w:r>
              <w:rPr>
                <w:rFonts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 xml:space="preserve"> </w:t>
            </w:r>
          </w:p>
        </w:tc>
      </w:tr>
      <w:tr>
        <w:tblPrEx>
          <w:tblCellMar>
            <w:top w:w="0" w:type="dxa"/>
            <w:left w:w="108" w:type="dxa"/>
            <w:bottom w:w="0" w:type="dxa"/>
            <w:right w:w="108" w:type="dxa"/>
          </w:tblCellMar>
        </w:tblPrEx>
        <w:trPr>
          <w:cantSplit/>
          <w:trHeight w:val="1020" w:hRule="atLeast"/>
          <w:jc w:val="center"/>
        </w:trPr>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cs="宋体" w:eastAsiaTheme="minorEastAsia"/>
                <w:color w:val="auto"/>
                <w:highlight w:val="none"/>
              </w:rPr>
            </w:pPr>
            <w:r>
              <w:rPr>
                <w:rFonts w:hint="eastAsia" w:ascii="宋体" w:hAnsi="宋体" w:cs="宋体"/>
                <w:color w:val="auto"/>
                <w:sz w:val="30"/>
                <w:highlight w:val="none"/>
              </w:rPr>
              <w:t>最终报价（元）</w:t>
            </w:r>
          </w:p>
        </w:tc>
        <w:tc>
          <w:tcPr>
            <w:tcW w:w="82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eastAsiaTheme="minorEastAsia"/>
                <w:color w:val="auto"/>
                <w:highlight w:val="none"/>
              </w:rPr>
            </w:pPr>
            <w:r>
              <w:rPr>
                <w:rFonts w:hint="eastAsia" w:ascii="宋体" w:hAnsi="宋体" w:cs="宋体"/>
                <w:color w:val="auto"/>
                <w:sz w:val="30"/>
                <w:highlight w:val="none"/>
              </w:rPr>
              <w:t>大写</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 xml:space="preserve">  小写</w:t>
            </w:r>
            <w:r>
              <w:rPr>
                <w:rFonts w:hint="eastAsia" w:ascii="宋体" w:hAnsi="宋体" w:cs="宋体" w:eastAsiaTheme="minorEastAsia"/>
                <w:color w:val="auto"/>
                <w:sz w:val="30"/>
                <w:highlight w:val="none"/>
              </w:rPr>
              <w:t xml:space="preserve"> </w:t>
            </w:r>
            <w:r>
              <w:rPr>
                <w:rFonts w:hint="eastAsia" w:ascii="宋体" w:hAnsi="宋体" w:cs="宋体"/>
                <w:color w:val="auto"/>
                <w:sz w:val="30"/>
                <w:highlight w:val="none"/>
                <w:u w:val="single"/>
              </w:rPr>
              <w:t xml:space="preserve">      </w:t>
            </w:r>
            <w:r>
              <w:rPr>
                <w:rFonts w:ascii="宋体" w:hAnsi="宋体" w:cs="宋体"/>
                <w:color w:val="auto"/>
                <w:sz w:val="30"/>
                <w:highlight w:val="none"/>
                <w:u w:val="single"/>
              </w:rPr>
              <w:t xml:space="preserve">      </w:t>
            </w:r>
            <w:r>
              <w:rPr>
                <w:rFonts w:hint="eastAsia" w:ascii="宋体" w:hAnsi="宋体" w:cs="宋体"/>
                <w:color w:val="auto"/>
                <w:sz w:val="30"/>
                <w:highlight w:val="none"/>
                <w:u w:val="single"/>
              </w:rPr>
              <w:t xml:space="preserve">       </w:t>
            </w:r>
            <w:r>
              <w:rPr>
                <w:rFonts w:ascii="宋体" w:hAnsi="宋体" w:cs="宋体" w:eastAsiaTheme="minorEastAsia"/>
                <w:color w:val="auto"/>
                <w:sz w:val="30"/>
                <w:highlight w:val="none"/>
              </w:rPr>
              <w:t xml:space="preserve"> </w:t>
            </w:r>
          </w:p>
        </w:tc>
      </w:tr>
      <w:tr>
        <w:tblPrEx>
          <w:tblCellMar>
            <w:top w:w="0" w:type="dxa"/>
            <w:left w:w="108" w:type="dxa"/>
            <w:bottom w:w="0" w:type="dxa"/>
            <w:right w:w="108" w:type="dxa"/>
          </w:tblCellMar>
        </w:tblPrEx>
        <w:trPr>
          <w:cantSplit/>
          <w:jc w:val="center"/>
        </w:trPr>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hint="eastAsia" w:ascii="宋体" w:hAnsi="宋体" w:cs="宋体"/>
                <w:color w:val="auto"/>
                <w:sz w:val="30"/>
                <w:highlight w:val="none"/>
              </w:rPr>
              <w:t>服务期</w:t>
            </w:r>
          </w:p>
        </w:tc>
        <w:tc>
          <w:tcPr>
            <w:tcW w:w="82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highlight w:val="none"/>
              </w:rPr>
            </w:pPr>
          </w:p>
        </w:tc>
      </w:tr>
      <w:tr>
        <w:tblPrEx>
          <w:tblCellMar>
            <w:top w:w="0" w:type="dxa"/>
            <w:left w:w="108" w:type="dxa"/>
            <w:bottom w:w="0" w:type="dxa"/>
            <w:right w:w="108" w:type="dxa"/>
          </w:tblCellMar>
        </w:tblPrEx>
        <w:trPr>
          <w:cantSplit/>
          <w:jc w:val="center"/>
        </w:trPr>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highlight w:val="none"/>
              </w:rPr>
            </w:pPr>
            <w:r>
              <w:rPr>
                <w:rFonts w:hint="eastAsia" w:ascii="宋体" w:hAnsi="宋体" w:cs="宋体"/>
                <w:b/>
                <w:color w:val="auto"/>
                <w:sz w:val="30"/>
                <w:highlight w:val="none"/>
              </w:rPr>
              <w:t>其他说明：</w:t>
            </w:r>
          </w:p>
        </w:tc>
        <w:tc>
          <w:tcPr>
            <w:tcW w:w="82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cs="宋体"/>
                <w:color w:val="auto"/>
                <w:spacing w:val="-6"/>
                <w:sz w:val="30"/>
                <w:highlight w:val="none"/>
              </w:rPr>
            </w:pPr>
            <w:r>
              <w:rPr>
                <w:rFonts w:hint="eastAsia" w:ascii="宋体" w:hAnsi="宋体" w:cs="宋体"/>
                <w:color w:val="auto"/>
                <w:spacing w:val="-6"/>
                <w:sz w:val="30"/>
                <w:highlight w:val="none"/>
              </w:rPr>
              <w:t>1、本投标报价必须以人民币的形式表示。</w:t>
            </w:r>
          </w:p>
          <w:p>
            <w:pPr>
              <w:rPr>
                <w:rFonts w:ascii="宋体" w:hAnsi="宋体" w:cs="宋体"/>
                <w:color w:val="auto"/>
                <w:highlight w:val="none"/>
              </w:rPr>
            </w:pPr>
            <w:r>
              <w:rPr>
                <w:rFonts w:hint="eastAsia" w:ascii="宋体" w:hAnsi="宋体" w:cs="宋体"/>
                <w:color w:val="auto"/>
                <w:spacing w:val="-6"/>
                <w:sz w:val="30"/>
                <w:highlight w:val="none"/>
              </w:rPr>
              <w:t>2、投标总报价包括完成本项目所需的一切费用。</w:t>
            </w:r>
          </w:p>
        </w:tc>
      </w:tr>
    </w:tbl>
    <w:p>
      <w:pPr>
        <w:ind w:firstLine="600"/>
        <w:rPr>
          <w:rFonts w:ascii="宋体" w:hAnsi="宋体" w:cs="宋体"/>
          <w:color w:val="auto"/>
          <w:sz w:val="30"/>
          <w:highlight w:val="none"/>
        </w:rPr>
      </w:pPr>
    </w:p>
    <w:p>
      <w:pPr>
        <w:rPr>
          <w:rFonts w:ascii="宋体" w:hAnsi="宋体" w:cs="宋体"/>
          <w:color w:val="auto"/>
          <w:sz w:val="30"/>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t>磋商响应单位名称：（公章）</w:t>
      </w:r>
    </w:p>
    <w:p>
      <w:pPr>
        <w:rPr>
          <w:rFonts w:ascii="宋体" w:hAnsi="宋体" w:cs="宋体"/>
          <w:color w:val="auto"/>
          <w:sz w:val="28"/>
          <w:szCs w:val="28"/>
          <w:highlight w:val="none"/>
          <w:u w:val="single"/>
        </w:rPr>
      </w:pPr>
      <w:r>
        <w:rPr>
          <w:rFonts w:hint="eastAsia" w:ascii="宋体" w:hAnsi="宋体" w:cs="宋体"/>
          <w:color w:val="auto"/>
          <w:sz w:val="28"/>
          <w:szCs w:val="28"/>
          <w:highlight w:val="none"/>
        </w:rPr>
        <w:t>法人或被授权人（签字或盖章）：</w:t>
      </w:r>
    </w:p>
    <w:p>
      <w:pPr>
        <w:rPr>
          <w:rFonts w:ascii="宋体" w:hAnsi="宋体" w:cs="宋体"/>
          <w:color w:val="auto"/>
          <w:sz w:val="30"/>
          <w:highlight w:val="none"/>
          <w:u w:val="single"/>
        </w:rPr>
      </w:pPr>
      <w:r>
        <w:rPr>
          <w:rFonts w:hint="eastAsia" w:ascii="宋体" w:hAnsi="宋体" w:cs="宋体"/>
          <w:color w:val="auto"/>
          <w:sz w:val="28"/>
          <w:szCs w:val="28"/>
          <w:highlight w:val="none"/>
        </w:rPr>
        <w:t>日期：</w:t>
      </w: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pStyle w:val="25"/>
        <w:snapToGrid w:val="0"/>
        <w:ind w:firstLine="0" w:firstLineChars="0"/>
        <w:rPr>
          <w:rFonts w:ascii="宋体" w:hAnsi="宋体" w:eastAsia="宋体" w:cs="宋体"/>
          <w:color w:val="auto"/>
          <w:sz w:val="24"/>
          <w:szCs w:val="24"/>
          <w:highlight w:val="none"/>
        </w:rPr>
      </w:pPr>
    </w:p>
    <w:p>
      <w:pPr>
        <w:rPr>
          <w:rFonts w:hint="eastAsia" w:eastAsiaTheme="minorEastAsia"/>
          <w:color w:val="auto"/>
          <w:highlight w:val="none"/>
        </w:rPr>
      </w:pPr>
    </w:p>
    <w:sectPr>
      <w:footerReference r:id="rId9" w:type="first"/>
      <w:footerReference r:id="rId8" w:type="default"/>
      <w:pgSz w:w="11906" w:h="16838"/>
      <w:pgMar w:top="1474" w:right="1474" w:bottom="1474" w:left="1474" w:header="851" w:footer="992" w:gutter="0"/>
      <w:pgNumType w:fmt="numberInDash"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7"/>
      </w:rPr>
    </w:pPr>
    <w:r>
      <w:fldChar w:fldCharType="begin"/>
    </w:r>
    <w:r>
      <w:rPr>
        <w:rStyle w:val="17"/>
      </w:rPr>
      <w:instrText xml:space="preserve">PAGE  </w:instrText>
    </w:r>
    <w:r>
      <w:fldChar w:fldCharType="separate"/>
    </w:r>
    <w:r>
      <w:rPr>
        <w:rStyle w:val="17"/>
      </w:rPr>
      <w:t>26</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9016"/>
    <w:multiLevelType w:val="multilevel"/>
    <w:tmpl w:val="858E9016"/>
    <w:lvl w:ilvl="0" w:tentative="0">
      <w:start w:val="1"/>
      <w:numFmt w:val="chineseCounting"/>
      <w:pStyle w:val="6"/>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D6B61BB5"/>
    <w:multiLevelType w:val="singleLevel"/>
    <w:tmpl w:val="D6B61BB5"/>
    <w:lvl w:ilvl="0" w:tentative="0">
      <w:start w:val="3"/>
      <w:numFmt w:val="decimal"/>
      <w:suff w:val="nothing"/>
      <w:lvlText w:val="%1．"/>
      <w:lvlJc w:val="left"/>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B281D"/>
    <w:rsid w:val="000961A0"/>
    <w:rsid w:val="001274A0"/>
    <w:rsid w:val="001B5E24"/>
    <w:rsid w:val="001B7814"/>
    <w:rsid w:val="00223B20"/>
    <w:rsid w:val="00250DC2"/>
    <w:rsid w:val="00336FD7"/>
    <w:rsid w:val="00364135"/>
    <w:rsid w:val="003D02B9"/>
    <w:rsid w:val="0042751E"/>
    <w:rsid w:val="00467337"/>
    <w:rsid w:val="004732C3"/>
    <w:rsid w:val="004A401D"/>
    <w:rsid w:val="004F22B1"/>
    <w:rsid w:val="005120DC"/>
    <w:rsid w:val="005949C5"/>
    <w:rsid w:val="006C6096"/>
    <w:rsid w:val="00715C09"/>
    <w:rsid w:val="007162D4"/>
    <w:rsid w:val="007370E8"/>
    <w:rsid w:val="007453C1"/>
    <w:rsid w:val="0075286F"/>
    <w:rsid w:val="00861E01"/>
    <w:rsid w:val="008B5EB5"/>
    <w:rsid w:val="009050B9"/>
    <w:rsid w:val="00943190"/>
    <w:rsid w:val="009862CF"/>
    <w:rsid w:val="00AF4802"/>
    <w:rsid w:val="00B026F4"/>
    <w:rsid w:val="00BC43FD"/>
    <w:rsid w:val="00BD5708"/>
    <w:rsid w:val="00C81AB2"/>
    <w:rsid w:val="00C86432"/>
    <w:rsid w:val="00D03CC5"/>
    <w:rsid w:val="00D65153"/>
    <w:rsid w:val="00D80BA5"/>
    <w:rsid w:val="00D81A1E"/>
    <w:rsid w:val="00DA59D3"/>
    <w:rsid w:val="00E64D31"/>
    <w:rsid w:val="00F55899"/>
    <w:rsid w:val="058C610F"/>
    <w:rsid w:val="09D30856"/>
    <w:rsid w:val="0F494556"/>
    <w:rsid w:val="122D5B84"/>
    <w:rsid w:val="13D35539"/>
    <w:rsid w:val="1A607C32"/>
    <w:rsid w:val="1DCC1266"/>
    <w:rsid w:val="21045482"/>
    <w:rsid w:val="26EA2E12"/>
    <w:rsid w:val="329070F9"/>
    <w:rsid w:val="368E4295"/>
    <w:rsid w:val="3AA112F3"/>
    <w:rsid w:val="3AB12BAA"/>
    <w:rsid w:val="3AD11AEA"/>
    <w:rsid w:val="3BCB281D"/>
    <w:rsid w:val="40917E0C"/>
    <w:rsid w:val="40D32132"/>
    <w:rsid w:val="47B66D1D"/>
    <w:rsid w:val="4ED77911"/>
    <w:rsid w:val="50D56433"/>
    <w:rsid w:val="54F6795B"/>
    <w:rsid w:val="582964D6"/>
    <w:rsid w:val="5DBE6012"/>
    <w:rsid w:val="64A84E67"/>
    <w:rsid w:val="6535034F"/>
    <w:rsid w:val="69875AE2"/>
    <w:rsid w:val="7EFA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Calibri" w:cs="Times New Roman"/>
      <w:kern w:val="2"/>
      <w:sz w:val="21"/>
      <w:szCs w:val="24"/>
      <w:lang w:val="en-US" w:eastAsia="zh-CN" w:bidi="ar-SA"/>
    </w:rPr>
  </w:style>
  <w:style w:type="paragraph" w:styleId="6">
    <w:name w:val="heading 1"/>
    <w:basedOn w:val="1"/>
    <w:next w:val="1"/>
    <w:qFormat/>
    <w:uiPriority w:val="99"/>
    <w:pPr>
      <w:keepNext/>
      <w:keepLines/>
      <w:numPr>
        <w:ilvl w:val="0"/>
        <w:numId w:val="1"/>
      </w:numPr>
      <w:spacing w:before="340" w:after="330" w:line="578" w:lineRule="auto"/>
      <w:jc w:val="center"/>
      <w:outlineLvl w:val="0"/>
    </w:pPr>
    <w:rPr>
      <w:b/>
      <w:bCs/>
      <w:kern w:val="44"/>
      <w:sz w:val="44"/>
      <w:szCs w:val="44"/>
    </w:rPr>
  </w:style>
  <w:style w:type="paragraph" w:styleId="7">
    <w:name w:val="heading 2"/>
    <w:basedOn w:val="1"/>
    <w:next w:val="8"/>
    <w:link w:val="28"/>
    <w:qFormat/>
    <w:uiPriority w:val="9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99"/>
    <w:pPr>
      <w:keepNext/>
      <w:keepLines/>
      <w:spacing w:before="260" w:after="260" w:line="413" w:lineRule="auto"/>
      <w:outlineLvl w:val="2"/>
    </w:pPr>
    <w:rPr>
      <w:b/>
      <w:bCs/>
      <w:sz w:val="32"/>
      <w:szCs w:val="32"/>
    </w:rPr>
  </w:style>
  <w:style w:type="paragraph" w:styleId="10">
    <w:name w:val="heading 5"/>
    <w:basedOn w:val="1"/>
    <w:next w:val="1"/>
    <w:unhideWhenUsed/>
    <w:qFormat/>
    <w:uiPriority w:val="99"/>
    <w:pPr>
      <w:keepNext/>
      <w:keepLines/>
      <w:spacing w:before="280" w:after="290" w:line="376" w:lineRule="auto"/>
      <w:outlineLvl w:val="4"/>
    </w:pPr>
    <w:rPr>
      <w:b/>
      <w:bCs/>
      <w:sz w:val="28"/>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left="420" w:firstLine="420" w:firstLineChars="200"/>
    </w:pPr>
  </w:style>
  <w:style w:type="paragraph" w:styleId="3">
    <w:name w:val="Body Text Indent"/>
    <w:basedOn w:val="1"/>
    <w:next w:val="4"/>
    <w:qFormat/>
    <w:uiPriority w:val="99"/>
    <w:pPr>
      <w:ind w:firstLine="630"/>
    </w:pPr>
    <w:rPr>
      <w:sz w:val="32"/>
      <w:szCs w:val="20"/>
    </w:rPr>
  </w:style>
  <w:style w:type="paragraph" w:styleId="4">
    <w:name w:val="envelope return"/>
    <w:basedOn w:val="1"/>
    <w:qFormat/>
    <w:uiPriority w:val="99"/>
    <w:pPr>
      <w:snapToGrid w:val="0"/>
    </w:pPr>
    <w:rPr>
      <w:rFonts w:ascii="Arial" w:hAnsi="Arial"/>
    </w:rPr>
  </w:style>
  <w:style w:type="paragraph" w:customStyle="1" w:styleId="5">
    <w:name w:val="toc 511"/>
    <w:next w:val="1"/>
    <w:qFormat/>
    <w:uiPriority w:val="99"/>
    <w:pPr>
      <w:wordWrap w:val="0"/>
      <w:spacing w:line="360" w:lineRule="auto"/>
      <w:ind w:left="1700"/>
      <w:jc w:val="both"/>
    </w:pPr>
    <w:rPr>
      <w:rFonts w:ascii="Calibri" w:hAnsi="Calibri" w:eastAsia="Calibri" w:cs="Times New Roman"/>
      <w:sz w:val="21"/>
      <w:szCs w:val="21"/>
      <w:lang w:val="en-US" w:eastAsia="zh-CN" w:bidi="ar-SA"/>
    </w:rPr>
  </w:style>
  <w:style w:type="paragraph" w:styleId="8">
    <w:name w:val="Normal Indent"/>
    <w:basedOn w:val="1"/>
    <w:next w:val="2"/>
    <w:unhideWhenUsed/>
    <w:qFormat/>
    <w:uiPriority w:val="99"/>
    <w:pPr>
      <w:ind w:firstLine="420" w:firstLineChars="200"/>
    </w:pPr>
  </w:style>
  <w:style w:type="paragraph" w:styleId="11">
    <w:name w:val="Body Text"/>
    <w:basedOn w:val="1"/>
    <w:qFormat/>
    <w:uiPriority w:val="99"/>
    <w:pPr>
      <w:spacing w:after="120"/>
    </w:pPr>
    <w:rPr>
      <w:sz w:val="22"/>
    </w:rPr>
  </w:style>
  <w:style w:type="paragraph" w:styleId="12">
    <w:name w:val="Plain Text"/>
    <w:basedOn w:val="1"/>
    <w:qFormat/>
    <w:uiPriority w:val="99"/>
    <w:rPr>
      <w:rFonts w:ascii="宋体" w:hAnsi="Courier New" w:eastAsia="华文宋体"/>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next w:val="1"/>
    <w:qFormat/>
    <w:uiPriority w:val="99"/>
    <w:pPr>
      <w:pBdr>
        <w:bottom w:val="single" w:color="auto" w:sz="12" w:space="1"/>
      </w:pBdr>
      <w:tabs>
        <w:tab w:val="center" w:pos="4153"/>
        <w:tab w:val="right" w:pos="8306"/>
      </w:tabs>
      <w:snapToGrid w:val="0"/>
      <w:jc w:val="center"/>
    </w:pPr>
    <w:rPr>
      <w:sz w:val="18"/>
      <w:szCs w:val="18"/>
    </w:rPr>
  </w:style>
  <w:style w:type="character" w:styleId="17">
    <w:name w:val="page number"/>
    <w:basedOn w:val="16"/>
    <w:qFormat/>
    <w:uiPriority w:val="0"/>
  </w:style>
  <w:style w:type="paragraph" w:customStyle="1" w:styleId="18">
    <w:name w:val="00大标题"/>
    <w:basedOn w:val="1"/>
    <w:qFormat/>
    <w:uiPriority w:val="0"/>
    <w:pPr>
      <w:jc w:val="center"/>
    </w:pPr>
    <w:rPr>
      <w:rFonts w:ascii="宋体" w:hAnsi="宋体"/>
      <w:b/>
      <w:sz w:val="32"/>
      <w:szCs w:val="32"/>
    </w:rPr>
  </w:style>
  <w:style w:type="paragraph" w:customStyle="1" w:styleId="19">
    <w:name w:val="样式"/>
    <w:link w:val="27"/>
    <w:qFormat/>
    <w:uiPriority w:val="0"/>
    <w:pPr>
      <w:widowControl w:val="0"/>
      <w:autoSpaceDE w:val="0"/>
      <w:autoSpaceDN w:val="0"/>
      <w:adjustRightInd w:val="0"/>
      <w:spacing w:line="360" w:lineRule="auto"/>
      <w:jc w:val="both"/>
    </w:pPr>
    <w:rPr>
      <w:rFonts w:ascii="宋体" w:hAnsi="宋体" w:eastAsia="Calibri" w:cs="宋体"/>
      <w:sz w:val="24"/>
      <w:szCs w:val="24"/>
      <w:lang w:val="en-US" w:eastAsia="zh-CN" w:bidi="ar-SA"/>
    </w:rPr>
  </w:style>
  <w:style w:type="paragraph" w:customStyle="1" w:styleId="20">
    <w:name w:val="Table Paragraph"/>
    <w:basedOn w:val="1"/>
    <w:qFormat/>
    <w:uiPriority w:val="99"/>
    <w:rPr>
      <w:rFonts w:ascii="宋体" w:hAnsi="宋体" w:eastAsia="宋体" w:cs="宋体"/>
      <w:lang w:val="zh-CN" w:bidi="zh-CN"/>
    </w:rPr>
  </w:style>
  <w:style w:type="paragraph" w:customStyle="1" w:styleId="21">
    <w:name w:val="正文段"/>
    <w:basedOn w:val="1"/>
    <w:qFormat/>
    <w:uiPriority w:val="0"/>
    <w:pPr>
      <w:widowControl/>
      <w:snapToGrid w:val="0"/>
      <w:spacing w:after="156" w:afterLines="50"/>
      <w:ind w:firstLine="200" w:firstLineChars="200"/>
    </w:pPr>
    <w:rPr>
      <w:kern w:val="0"/>
      <w:sz w:val="24"/>
      <w:szCs w:val="20"/>
    </w:rPr>
  </w:style>
  <w:style w:type="paragraph" w:customStyle="1" w:styleId="22">
    <w:name w:val="002标题"/>
    <w:basedOn w:val="1"/>
    <w:qFormat/>
    <w:uiPriority w:val="99"/>
    <w:pPr>
      <w:jc w:val="center"/>
    </w:pPr>
    <w:rPr>
      <w:sz w:val="30"/>
      <w:szCs w:val="30"/>
    </w:rPr>
  </w:style>
  <w:style w:type="paragraph" w:customStyle="1" w:styleId="23">
    <w:name w:val="Default"/>
    <w:qFormat/>
    <w:uiPriority w:val="99"/>
    <w:pPr>
      <w:widowControl w:val="0"/>
      <w:autoSpaceDE w:val="0"/>
      <w:autoSpaceDN w:val="0"/>
      <w:adjustRightInd w:val="0"/>
      <w:spacing w:line="360" w:lineRule="auto"/>
      <w:jc w:val="both"/>
    </w:pPr>
    <w:rPr>
      <w:rFonts w:ascii="Calibri" w:hAnsi="Calibri" w:eastAsia="Calibri" w:cs="Times New Roman"/>
      <w:color w:val="000000"/>
      <w:sz w:val="24"/>
      <w:szCs w:val="24"/>
      <w:lang w:val="en-US" w:eastAsia="zh-CN" w:bidi="ar-SA"/>
    </w:rPr>
  </w:style>
  <w:style w:type="paragraph" w:customStyle="1" w:styleId="24">
    <w:name w:val="_Style 7"/>
    <w:basedOn w:val="6"/>
    <w:next w:val="1"/>
    <w:qFormat/>
    <w:uiPriority w:val="0"/>
    <w:pPr>
      <w:keepNext w:val="0"/>
      <w:keepLines w:val="0"/>
      <w:numPr>
        <w:numId w:val="0"/>
      </w:numPr>
      <w:autoSpaceDE w:val="0"/>
      <w:autoSpaceDN w:val="0"/>
      <w:spacing w:before="0" w:after="0" w:line="240" w:lineRule="auto"/>
      <w:ind w:right="188"/>
      <w:outlineLvl w:val="9"/>
    </w:pPr>
    <w:rPr>
      <w:rFonts w:ascii="微软雅黑" w:hAnsi="微软雅黑" w:eastAsia="微软雅黑" w:cs="微软雅黑"/>
      <w:kern w:val="0"/>
      <w:lang w:val="zh-CN"/>
    </w:rPr>
  </w:style>
  <w:style w:type="paragraph" w:customStyle="1" w:styleId="25">
    <w:name w:val="02标题二"/>
    <w:basedOn w:val="1"/>
    <w:qFormat/>
    <w:uiPriority w:val="99"/>
    <w:pPr>
      <w:ind w:firstLine="562" w:firstLineChars="200"/>
    </w:pPr>
    <w:rPr>
      <w:rFonts w:cs="华文仿宋"/>
      <w:b/>
      <w:bCs/>
      <w:sz w:val="28"/>
      <w:szCs w:val="28"/>
    </w:rPr>
  </w:style>
  <w:style w:type="paragraph" w:styleId="26">
    <w:name w:val="List Paragraph"/>
    <w:basedOn w:val="1"/>
    <w:qFormat/>
    <w:uiPriority w:val="1"/>
    <w:pPr>
      <w:ind w:left="491" w:firstLine="559"/>
    </w:pPr>
    <w:rPr>
      <w:rFonts w:ascii="宋体" w:hAnsi="宋体" w:eastAsia="宋体" w:cs="宋体"/>
    </w:rPr>
  </w:style>
  <w:style w:type="character" w:customStyle="1" w:styleId="27">
    <w:name w:val="样式 Char Char"/>
    <w:link w:val="19"/>
    <w:qFormat/>
    <w:locked/>
    <w:uiPriority w:val="0"/>
    <w:rPr>
      <w:rFonts w:ascii="宋体" w:hAnsi="宋体" w:eastAsia="Calibri" w:cs="宋体"/>
      <w:sz w:val="24"/>
      <w:szCs w:val="24"/>
    </w:rPr>
  </w:style>
  <w:style w:type="character" w:customStyle="1" w:styleId="28">
    <w:name w:val="标题 2 字符"/>
    <w:basedOn w:val="16"/>
    <w:link w:val="7"/>
    <w:uiPriority w:val="99"/>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3237</Words>
  <Characters>18456</Characters>
  <Lines>153</Lines>
  <Paragraphs>43</Paragraphs>
  <TotalTime>15</TotalTime>
  <ScaleCrop>false</ScaleCrop>
  <LinksUpToDate>false</LinksUpToDate>
  <CharactersWithSpaces>21650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2021-07-01T15:29:00Z</dcterms:created>
  <dc:creator>NTKO</dc:creator>
  <cp:lastModifiedBy>NTKO</cp:lastModifiedBy>
  <cp:lastPrinted>2021-07-13T16:43:00Z</cp:lastPrinted>
  <dcterms:modified xsi:type="dcterms:W3CDTF">2021-07-14T09:17:32Z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D0850AAC26794B0196639A33DDE3CF72</vt:lpwstr>
  </property>
</Properties>
</file>