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506" w:rsidRDefault="00532506" w:rsidP="00532506">
      <w:pPr>
        <w:spacing w:line="500" w:lineRule="exact"/>
        <w:jc w:val="center"/>
        <w:rPr>
          <w:rFonts w:eastAsia="方正小标宋简体"/>
          <w:sz w:val="44"/>
          <w:szCs w:val="44"/>
        </w:rPr>
      </w:pPr>
    </w:p>
    <w:p w:rsidR="00532506" w:rsidRDefault="00532506" w:rsidP="00532506">
      <w:pPr>
        <w:spacing w:line="500" w:lineRule="exact"/>
        <w:jc w:val="center"/>
        <w:rPr>
          <w:rFonts w:eastAsia="方正小标宋简体"/>
          <w:sz w:val="44"/>
          <w:szCs w:val="44"/>
        </w:rPr>
      </w:pPr>
    </w:p>
    <w:p w:rsidR="00532506" w:rsidRDefault="00532506" w:rsidP="00532506">
      <w:pPr>
        <w:spacing w:line="500" w:lineRule="exact"/>
        <w:jc w:val="center"/>
        <w:rPr>
          <w:rFonts w:eastAsia="方正小标宋简体"/>
          <w:sz w:val="44"/>
          <w:szCs w:val="44"/>
        </w:rPr>
      </w:pPr>
    </w:p>
    <w:p w:rsidR="00532506" w:rsidRDefault="00532506" w:rsidP="00532506">
      <w:pPr>
        <w:spacing w:line="500" w:lineRule="exact"/>
        <w:jc w:val="center"/>
        <w:rPr>
          <w:rFonts w:eastAsia="方正小标宋简体"/>
          <w:sz w:val="44"/>
          <w:szCs w:val="44"/>
        </w:rPr>
      </w:pPr>
    </w:p>
    <w:p w:rsidR="00532506" w:rsidRDefault="00532506" w:rsidP="00532506">
      <w:pPr>
        <w:spacing w:line="500" w:lineRule="exact"/>
        <w:jc w:val="center"/>
        <w:rPr>
          <w:rFonts w:eastAsia="方正小标宋简体"/>
          <w:sz w:val="44"/>
          <w:szCs w:val="44"/>
        </w:rPr>
      </w:pPr>
    </w:p>
    <w:p w:rsidR="00532506" w:rsidRDefault="00532506" w:rsidP="00532506">
      <w:pPr>
        <w:spacing w:line="500" w:lineRule="exact"/>
        <w:jc w:val="center"/>
        <w:rPr>
          <w:rFonts w:eastAsia="方正小标宋简体"/>
          <w:sz w:val="44"/>
          <w:szCs w:val="44"/>
        </w:rPr>
      </w:pPr>
    </w:p>
    <w:p w:rsidR="00532506" w:rsidRDefault="00532506" w:rsidP="00532506">
      <w:pPr>
        <w:spacing w:line="500" w:lineRule="exact"/>
        <w:jc w:val="center"/>
        <w:rPr>
          <w:rFonts w:eastAsia="方正小标宋简体"/>
          <w:sz w:val="44"/>
          <w:szCs w:val="44"/>
        </w:rPr>
      </w:pPr>
    </w:p>
    <w:p w:rsidR="00532506" w:rsidRDefault="00532506" w:rsidP="00532506">
      <w:pPr>
        <w:spacing w:line="500" w:lineRule="exact"/>
        <w:jc w:val="center"/>
      </w:pPr>
      <w:r>
        <w:rPr>
          <w:rFonts w:ascii="仿宋_GB2312" w:eastAsia="仿宋_GB2312" w:hAnsi="仿宋_GB2312"/>
          <w:sz w:val="32"/>
          <w:szCs w:val="32"/>
        </w:rPr>
        <w:t>铜公管〔202</w:t>
      </w:r>
      <w:r>
        <w:rPr>
          <w:rFonts w:ascii="仿宋_GB2312" w:eastAsia="仿宋_GB2312" w:hAnsi="仿宋_GB2312" w:hint="eastAsia"/>
          <w:sz w:val="32"/>
          <w:szCs w:val="32"/>
        </w:rPr>
        <w:t>2</w:t>
      </w:r>
      <w:r>
        <w:rPr>
          <w:rFonts w:ascii="仿宋_GB2312" w:eastAsia="仿宋_GB2312" w:hAnsi="仿宋_GB2312"/>
          <w:sz w:val="32"/>
          <w:szCs w:val="32"/>
        </w:rPr>
        <w:t>〕</w:t>
      </w:r>
      <w:r>
        <w:rPr>
          <w:rFonts w:ascii="仿宋_GB2312" w:eastAsia="仿宋_GB2312" w:hAnsi="仿宋_GB2312" w:hint="eastAsia"/>
          <w:sz w:val="32"/>
          <w:szCs w:val="32"/>
        </w:rPr>
        <w:t>98</w:t>
      </w:r>
      <w:r>
        <w:rPr>
          <w:rFonts w:ascii="仿宋_GB2312" w:eastAsia="仿宋_GB2312" w:hAnsi="仿宋_GB2312"/>
          <w:sz w:val="32"/>
          <w:szCs w:val="32"/>
        </w:rPr>
        <w:t>号</w:t>
      </w:r>
    </w:p>
    <w:p w:rsidR="00532506" w:rsidRDefault="00532506" w:rsidP="00532506">
      <w:pPr>
        <w:spacing w:line="560" w:lineRule="exact"/>
        <w:jc w:val="center"/>
        <w:rPr>
          <w:rFonts w:eastAsia="方正小标宋简体"/>
          <w:sz w:val="44"/>
          <w:szCs w:val="44"/>
        </w:rPr>
      </w:pPr>
    </w:p>
    <w:p w:rsidR="00532506" w:rsidRDefault="00760B94" w:rsidP="00532506">
      <w:pPr>
        <w:shd w:val="solid" w:color="FFFFFF" w:fill="auto"/>
        <w:autoSpaceDN w:val="0"/>
        <w:spacing w:line="600" w:lineRule="exact"/>
        <w:jc w:val="center"/>
        <w:rPr>
          <w:rFonts w:ascii="仿宋" w:eastAsia="仿宋" w:hAnsi="仿宋" w:cs="仿宋"/>
          <w:bCs/>
          <w:color w:val="000000"/>
          <w:sz w:val="32"/>
          <w:szCs w:val="32"/>
          <w:shd w:val="clear" w:color="auto" w:fill="FFFFFF"/>
        </w:rPr>
      </w:pPr>
      <w:r w:rsidRPr="00532506">
        <w:rPr>
          <w:rFonts w:ascii="方正小标宋简体" w:eastAsia="方正小标宋简体" w:hAnsi="方正小标宋_GBK" w:cs="方正小标宋_GBK" w:hint="eastAsia"/>
          <w:bCs/>
          <w:color w:val="000000"/>
          <w:sz w:val="44"/>
          <w:shd w:val="clear" w:color="auto" w:fill="FFFFFF"/>
        </w:rPr>
        <w:t>关于印发《铜陵市公共资源交易目录</w:t>
      </w:r>
    </w:p>
    <w:p w:rsidR="00E27AF9" w:rsidRPr="00532506" w:rsidRDefault="00760B94" w:rsidP="00532506">
      <w:pPr>
        <w:shd w:val="solid" w:color="FFFFFF" w:fill="auto"/>
        <w:autoSpaceDN w:val="0"/>
        <w:spacing w:line="600" w:lineRule="exact"/>
        <w:jc w:val="center"/>
        <w:rPr>
          <w:rFonts w:ascii="仿宋" w:eastAsia="仿宋" w:hAnsi="仿宋" w:cs="仿宋"/>
          <w:bCs/>
          <w:color w:val="000000"/>
          <w:sz w:val="32"/>
          <w:szCs w:val="32"/>
          <w:shd w:val="clear" w:color="auto" w:fill="FFFFFF"/>
        </w:rPr>
      </w:pPr>
      <w:r w:rsidRPr="00532506">
        <w:rPr>
          <w:rFonts w:ascii="方正小标宋简体" w:eastAsia="方正小标宋简体" w:hAnsi="方正小标宋_GBK" w:cs="方正小标宋_GBK" w:hint="eastAsia"/>
          <w:bCs/>
          <w:color w:val="000000"/>
          <w:sz w:val="44"/>
          <w:shd w:val="clear" w:color="auto" w:fill="FFFFFF"/>
        </w:rPr>
        <w:t>（2022年版）》的通知</w:t>
      </w:r>
    </w:p>
    <w:p w:rsidR="00E27AF9" w:rsidRDefault="00E27AF9">
      <w:pPr>
        <w:spacing w:line="600" w:lineRule="exact"/>
        <w:rPr>
          <w:rFonts w:ascii="仿宋_GB2312" w:eastAsia="仿宋_GB2312" w:hAnsi="仿宋_GB2312" w:cs="仿宋_GB2312"/>
          <w:color w:val="000000"/>
          <w:sz w:val="32"/>
          <w:szCs w:val="32"/>
        </w:rPr>
      </w:pPr>
    </w:p>
    <w:p w:rsidR="00E27AF9" w:rsidRDefault="00760B94" w:rsidP="00532506">
      <w:pPr>
        <w:contextualSpacing/>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县区人民政府，铜陵经开区管委会，各有关单位：</w:t>
      </w:r>
    </w:p>
    <w:p w:rsidR="00E27AF9" w:rsidRDefault="00760B94" w:rsidP="00532506">
      <w:pPr>
        <w:shd w:val="solid" w:color="FFFFFF" w:fill="auto"/>
        <w:autoSpaceDN w:val="0"/>
        <w:ind w:firstLine="640"/>
        <w:contextualSpacing/>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为进一步提高我市公共资源交易市场配置效益，明确公共资源交易范围，经市政府同意，</w:t>
      </w:r>
      <w:r w:rsidR="00532506">
        <w:rPr>
          <w:rFonts w:ascii="仿宋_GB2312" w:eastAsia="仿宋_GB2312" w:hAnsi="仿宋_GB2312" w:cs="仿宋_GB2312" w:hint="eastAsia"/>
          <w:sz w:val="32"/>
          <w:szCs w:val="32"/>
          <w:shd w:val="clear" w:color="auto" w:fill="FFFFFF"/>
        </w:rPr>
        <w:t>现将</w:t>
      </w:r>
      <w:r>
        <w:rPr>
          <w:rFonts w:ascii="仿宋_GB2312" w:eastAsia="仿宋_GB2312" w:hAnsi="仿宋_GB2312" w:cs="仿宋_GB2312" w:hint="eastAsia"/>
          <w:sz w:val="32"/>
          <w:szCs w:val="32"/>
          <w:shd w:val="clear" w:color="auto" w:fill="FFFFFF"/>
        </w:rPr>
        <w:t>《铜陵市公共资源交易目录（2022年版）》（以下简称《目录》）印发给你们，请认真遵照执行。</w:t>
      </w:r>
    </w:p>
    <w:p w:rsidR="00E27AF9" w:rsidRDefault="00532506" w:rsidP="00532506">
      <w:pPr>
        <w:shd w:val="solid" w:color="FFFFFF" w:fill="auto"/>
        <w:autoSpaceDN w:val="0"/>
        <w:ind w:firstLineChars="200" w:firstLine="640"/>
        <w:contextualSpacing/>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w:t>
      </w:r>
      <w:r w:rsidR="00760B94">
        <w:rPr>
          <w:rFonts w:ascii="仿宋_GB2312" w:eastAsia="仿宋_GB2312" w:hAnsi="仿宋_GB2312" w:cs="仿宋_GB2312" w:hint="eastAsia"/>
          <w:sz w:val="32"/>
          <w:szCs w:val="32"/>
          <w:shd w:val="clear" w:color="auto" w:fill="FFFFFF"/>
        </w:rPr>
        <w:t>市、县区统一执行《目录》，对列入《目录》的各类公共资源交易项目，坚持应进必进原则，属于市、区级管理的公共资源交易项目进入市公共资源交易中心交易，属于县级管理的公共资源交易项目进入县公共资源交易中心交易。</w:t>
      </w:r>
    </w:p>
    <w:p w:rsidR="00E27AF9" w:rsidRDefault="00760B94" w:rsidP="00532506">
      <w:pPr>
        <w:shd w:val="solid" w:color="FFFFFF" w:fill="auto"/>
        <w:autoSpaceDN w:val="0"/>
        <w:ind w:firstLineChars="200" w:firstLine="640"/>
        <w:contextualSpacing/>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国家和省级另有规定的，从其规定。</w:t>
      </w:r>
    </w:p>
    <w:p w:rsidR="00E27AF9" w:rsidRDefault="00760B94" w:rsidP="00532506">
      <w:pPr>
        <w:ind w:firstLineChars="200" w:firstLine="640"/>
        <w:contextualSpacing/>
        <w:rPr>
          <w:rFonts w:ascii="仿宋_GB2312" w:eastAsia="仿宋_GB2312" w:hAnsi="仿宋_GB2312" w:cs="仿宋_GB2312"/>
          <w:sz w:val="32"/>
          <w:szCs w:val="32"/>
          <w:shd w:val="clear" w:color="auto" w:fill="FFFFFF"/>
        </w:rPr>
      </w:pPr>
      <w:r>
        <w:rPr>
          <w:rFonts w:ascii="仿宋_GB2312" w:eastAsia="仿宋_GB2312" w:hAnsi="仿宋_GB2312" w:cs="仿宋_GB2312" w:hint="eastAsia"/>
          <w:snapToGrid w:val="0"/>
          <w:kern w:val="0"/>
          <w:sz w:val="32"/>
          <w:szCs w:val="32"/>
        </w:rPr>
        <w:t>二、市公管、财政、自然资源和规划(林业）、住房和城乡</w:t>
      </w:r>
      <w:r>
        <w:rPr>
          <w:rFonts w:ascii="仿宋_GB2312" w:eastAsia="仿宋_GB2312" w:hAnsi="仿宋_GB2312" w:cs="仿宋_GB2312" w:hint="eastAsia"/>
          <w:snapToGrid w:val="0"/>
          <w:kern w:val="0"/>
          <w:sz w:val="32"/>
          <w:szCs w:val="32"/>
        </w:rPr>
        <w:lastRenderedPageBreak/>
        <w:t>建设、交通运输、水利、农业农村、市场监督、国资、环保、卫健、医保等监督部门和县、区人民政府按照各自职责分工，负责推进列入《目录》内的各类公共资源交易项目进场交易及监管。</w:t>
      </w:r>
    </w:p>
    <w:p w:rsidR="00E27AF9" w:rsidRDefault="00760B94" w:rsidP="00532506">
      <w:pPr>
        <w:contextualSpacing/>
        <w:rPr>
          <w:rFonts w:ascii="仿宋_GB2312" w:eastAsia="仿宋_GB2312" w:hAnsi="仿宋_GB2312" w:cs="仿宋_GB2312"/>
          <w:sz w:val="32"/>
          <w:szCs w:val="32"/>
          <w:shd w:val="clear" w:color="auto" w:fill="FFFFFF"/>
        </w:rPr>
      </w:pPr>
      <w:r>
        <w:rPr>
          <w:rFonts w:ascii="仿宋_GB2312" w:eastAsia="仿宋_GB2312" w:hAnsi="仿宋_GB2312" w:cs="仿宋_GB2312" w:hint="eastAsia"/>
          <w:snapToGrid w:val="0"/>
          <w:kern w:val="0"/>
          <w:sz w:val="32"/>
          <w:szCs w:val="32"/>
        </w:rPr>
        <w:t>三、工程建设项目招标限额按《必须招标的工程项目规定》（发改委16号令）、《必须招标的基础设施和公用事业项目范围规定》（发改法规〔2018〕843号）执行。国家对</w:t>
      </w:r>
      <w:r>
        <w:rPr>
          <w:rFonts w:ascii="仿宋_GB2312" w:eastAsia="仿宋_GB2312" w:hAnsi="仿宋_GB2312" w:cs="仿宋_GB2312" w:hint="eastAsia"/>
          <w:sz w:val="32"/>
          <w:szCs w:val="32"/>
        </w:rPr>
        <w:t>工程建设限额标准和范围如有调整，以调整后的为准。</w:t>
      </w:r>
    </w:p>
    <w:p w:rsidR="00E27AF9" w:rsidRDefault="00760B94" w:rsidP="00532506">
      <w:pPr>
        <w:shd w:val="solid" w:color="FFFFFF" w:fill="auto"/>
        <w:autoSpaceDN w:val="0"/>
        <w:contextualSpacing/>
        <w:rPr>
          <w:rFonts w:ascii="仿宋_GB2312" w:eastAsia="仿宋_GB2312" w:hAnsi="仿宋_GB2312" w:cs="仿宋_GB2312"/>
          <w:snapToGrid w:val="0"/>
          <w:sz w:val="32"/>
          <w:szCs w:val="32"/>
        </w:rPr>
      </w:pPr>
      <w:r>
        <w:rPr>
          <w:rFonts w:ascii="仿宋_GB2312" w:eastAsia="仿宋_GB2312" w:hAnsi="仿宋_GB2312" w:cs="仿宋_GB2312" w:hint="eastAsia"/>
          <w:snapToGrid w:val="0"/>
          <w:sz w:val="32"/>
          <w:szCs w:val="32"/>
        </w:rPr>
        <w:t>四</w:t>
      </w:r>
      <w:r w:rsidR="00532506">
        <w:rPr>
          <w:rFonts w:ascii="仿宋_GB2312" w:eastAsia="仿宋_GB2312" w:hAnsi="仿宋_GB2312" w:cs="仿宋_GB2312" w:hint="eastAsia"/>
          <w:snapToGrid w:val="0"/>
          <w:sz w:val="32"/>
          <w:szCs w:val="32"/>
        </w:rPr>
        <w:t>、</w:t>
      </w:r>
      <w:r>
        <w:rPr>
          <w:rFonts w:ascii="仿宋_GB2312" w:eastAsia="仿宋_GB2312" w:hAnsi="仿宋_GB2312" w:cs="仿宋_GB2312" w:hint="eastAsia"/>
          <w:snapToGrid w:val="0"/>
          <w:sz w:val="32"/>
          <w:szCs w:val="32"/>
        </w:rPr>
        <w:t>政府采购项目各类交易方式的限额按</w:t>
      </w:r>
      <w:r>
        <w:rPr>
          <w:rFonts w:ascii="仿宋_GB2312" w:eastAsia="仿宋_GB2312" w:hAnsi="仿宋_GB2312" w:cs="仿宋_GB2312" w:hint="eastAsia"/>
          <w:sz w:val="32"/>
          <w:szCs w:val="32"/>
        </w:rPr>
        <w:t>当年</w:t>
      </w:r>
      <w:r>
        <w:rPr>
          <w:rFonts w:ascii="仿宋_GB2312" w:eastAsia="仿宋_GB2312" w:hAnsi="仿宋_GB2312" w:cs="仿宋_GB2312" w:hint="eastAsia"/>
          <w:snapToGrid w:val="0"/>
          <w:sz w:val="32"/>
          <w:szCs w:val="32"/>
        </w:rPr>
        <w:t>安徽省政府集中采购目录及限额标准执行。对于未纳入集中采购目录但达到采购限额标准的项目，应当依法实行分散采购。政府采购工程中，建筑物和构筑物的新建、改建、扩建及其相关的装修、拆除、修缮，以及与工程建设有关的货物、服务，达到招标限额的，适用《中华人民共和国招标投标法》及其实施条例，应当采用招标方式采购；与建筑物和构筑物新建、改建、扩建无关的单独的装修、拆除、修缮项目，以及政府集中采购目录以内或者政府采购工程限额标准以上、工程招标限额标准以下的政府采购工程项目，不属于依法必须进行招标的项目，适用《中华人民共和国政府采购法》及其实施条例，应当采用竞争性谈判、竞争性磋商或者单一来源方式进行采购。</w:t>
      </w:r>
    </w:p>
    <w:p w:rsidR="00E27AF9" w:rsidRDefault="00760B94" w:rsidP="00532506">
      <w:pPr>
        <w:shd w:val="solid" w:color="FFFFFF" w:fill="auto"/>
        <w:autoSpaceDN w:val="0"/>
        <w:ind w:firstLineChars="200" w:firstLine="640"/>
        <w:contextualSpacing/>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五、国有或集体产权交易项目，应当采用竞价、拍卖、招标等竞争方式交易，达到交易限额标准的应进入</w:t>
      </w:r>
      <w:r>
        <w:rPr>
          <w:rFonts w:ascii="仿宋_GB2312" w:eastAsia="仿宋_GB2312" w:hAnsi="仿宋_GB2312" w:cs="仿宋_GB2312" w:hint="eastAsia"/>
          <w:sz w:val="32"/>
          <w:szCs w:val="32"/>
          <w:shd w:val="clear" w:color="auto" w:fill="FFFFFF"/>
        </w:rPr>
        <w:t>公共资源交易中心交易。</w:t>
      </w:r>
      <w:r>
        <w:rPr>
          <w:rFonts w:ascii="仿宋_GB2312" w:eastAsia="仿宋_GB2312" w:hAnsi="仿宋_GB2312" w:cs="仿宋_GB2312" w:hint="eastAsia"/>
          <w:snapToGrid w:val="0"/>
          <w:kern w:val="0"/>
          <w:sz w:val="32"/>
          <w:szCs w:val="32"/>
        </w:rPr>
        <w:t>因特殊原因需要采用协议转让方式的，须经具有审批权的</w:t>
      </w:r>
      <w:r>
        <w:rPr>
          <w:rFonts w:ascii="仿宋_GB2312" w:eastAsia="仿宋_GB2312" w:hAnsi="仿宋_GB2312" w:cs="仿宋_GB2312" w:hint="eastAsia"/>
          <w:snapToGrid w:val="0"/>
          <w:kern w:val="0"/>
          <w:sz w:val="32"/>
          <w:szCs w:val="32"/>
        </w:rPr>
        <w:lastRenderedPageBreak/>
        <w:t>部门批准后方可进行。</w:t>
      </w:r>
    </w:p>
    <w:p w:rsidR="00E27AF9" w:rsidRDefault="00760B94" w:rsidP="00532506">
      <w:pPr>
        <w:shd w:val="solid" w:color="FFFFFF" w:fill="auto"/>
        <w:autoSpaceDN w:val="0"/>
        <w:ind w:firstLineChars="200" w:firstLine="640"/>
        <w:contextualSpacing/>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六、鼓励《目录》以外，市、县区国有企业使用财政性资金达到政府采购分散限额标准的采购项目进入市、县公共资源交易中心交易。市、县公共资源交易中心做好进场交易的各项服务，市、县区国有企业及其主管部门、上级单位做好进场项目的监管工作。</w:t>
      </w:r>
    </w:p>
    <w:p w:rsidR="00E27AF9" w:rsidRDefault="00760B94" w:rsidP="00532506">
      <w:pPr>
        <w:shd w:val="solid" w:color="FFFFFF" w:fill="auto"/>
        <w:autoSpaceDN w:val="0"/>
        <w:ind w:firstLineChars="200" w:firstLine="640"/>
        <w:contextualSpacing/>
        <w:rPr>
          <w:rFonts w:ascii="仿宋_GB2312" w:eastAsia="仿宋_GB2312" w:hAnsi="仿宋_GB2312" w:cs="仿宋_GB2312"/>
          <w:snapToGrid w:val="0"/>
          <w:kern w:val="0"/>
          <w:sz w:val="32"/>
          <w:szCs w:val="32"/>
        </w:rPr>
      </w:pPr>
      <w:r>
        <w:rPr>
          <w:rFonts w:ascii="仿宋_GB2312" w:eastAsia="仿宋_GB2312" w:hAnsi="仿宋_GB2312" w:cs="仿宋_GB2312" w:hint="eastAsia"/>
          <w:sz w:val="32"/>
          <w:szCs w:val="32"/>
          <w:shd w:val="clear" w:color="auto" w:fill="FFFFFF"/>
        </w:rPr>
        <w:t>七、</w:t>
      </w:r>
      <w:r>
        <w:rPr>
          <w:rFonts w:ascii="仿宋_GB2312" w:eastAsia="仿宋_GB2312" w:hAnsi="仿宋_GB2312" w:cs="仿宋_GB2312" w:hint="eastAsia"/>
          <w:snapToGrid w:val="0"/>
          <w:kern w:val="0"/>
          <w:sz w:val="32"/>
          <w:szCs w:val="32"/>
        </w:rPr>
        <w:t>本《目录》自发布之日起施行，《铜陵市公共资源交易目录（2020版）》同时废止。</w:t>
      </w:r>
    </w:p>
    <w:p w:rsidR="00E27AF9" w:rsidRDefault="00E27AF9" w:rsidP="00532506">
      <w:pPr>
        <w:shd w:val="solid" w:color="FFFFFF" w:fill="auto"/>
        <w:autoSpaceDN w:val="0"/>
        <w:ind w:firstLineChars="200" w:firstLine="640"/>
        <w:contextualSpacing/>
        <w:rPr>
          <w:rFonts w:ascii="仿宋_GB2312" w:eastAsia="仿宋_GB2312" w:hAnsi="仿宋_GB2312" w:cs="仿宋_GB2312"/>
          <w:snapToGrid w:val="0"/>
          <w:kern w:val="0"/>
          <w:sz w:val="32"/>
          <w:szCs w:val="32"/>
        </w:rPr>
      </w:pPr>
    </w:p>
    <w:p w:rsidR="00E27AF9" w:rsidRDefault="00E27AF9" w:rsidP="00532506">
      <w:pPr>
        <w:shd w:val="solid" w:color="FFFFFF" w:fill="auto"/>
        <w:autoSpaceDN w:val="0"/>
        <w:ind w:firstLineChars="200" w:firstLine="640"/>
        <w:contextualSpacing/>
        <w:rPr>
          <w:rFonts w:ascii="仿宋_GB2312" w:eastAsia="仿宋_GB2312" w:hAnsi="仿宋_GB2312" w:cs="仿宋_GB2312"/>
          <w:snapToGrid w:val="0"/>
          <w:kern w:val="0"/>
          <w:sz w:val="32"/>
          <w:szCs w:val="32"/>
        </w:rPr>
      </w:pPr>
    </w:p>
    <w:p w:rsidR="00E27AF9" w:rsidRDefault="00E27AF9" w:rsidP="00532506">
      <w:pPr>
        <w:contextualSpacing/>
        <w:rPr>
          <w:rFonts w:ascii="仿宋_GB2312" w:eastAsia="仿宋_GB2312"/>
          <w:sz w:val="32"/>
          <w:szCs w:val="32"/>
        </w:rPr>
      </w:pPr>
    </w:p>
    <w:p w:rsidR="00E27AF9" w:rsidRDefault="00760B94" w:rsidP="00532506">
      <w:pPr>
        <w:contextualSpacing/>
        <w:rPr>
          <w:rFonts w:ascii="仿宋_GB2312" w:eastAsia="仿宋_GB2312"/>
          <w:sz w:val="32"/>
          <w:szCs w:val="32"/>
        </w:rPr>
      </w:pPr>
      <w:r>
        <w:rPr>
          <w:rFonts w:ascii="仿宋_GB2312" w:eastAsia="仿宋_GB2312" w:hint="eastAsia"/>
          <w:sz w:val="32"/>
          <w:szCs w:val="32"/>
        </w:rPr>
        <w:t>铜陵市公共资源交易监督管理局</w:t>
      </w:r>
    </w:p>
    <w:p w:rsidR="00E27AF9" w:rsidRDefault="00760B94" w:rsidP="00532506">
      <w:pPr>
        <w:contextualSpacing/>
        <w:rPr>
          <w:rFonts w:ascii="方正小标宋简体" w:eastAsia="方正小标宋简体" w:hAnsi="方正小标宋简体" w:cs="方正小标宋简体"/>
          <w:sz w:val="32"/>
          <w:szCs w:val="32"/>
        </w:rPr>
      </w:pPr>
      <w:r>
        <w:rPr>
          <w:rFonts w:ascii="仿宋_GB2312" w:eastAsia="仿宋_GB2312" w:hint="eastAsia"/>
          <w:sz w:val="32"/>
          <w:szCs w:val="32"/>
        </w:rPr>
        <w:t>2022年8月12日</w:t>
      </w:r>
    </w:p>
    <w:p w:rsidR="00E27AF9" w:rsidRDefault="00E27AF9">
      <w:pPr>
        <w:jc w:val="left"/>
        <w:rPr>
          <w:rFonts w:ascii="仿宋_GB2312" w:eastAsia="仿宋_GB2312" w:hAnsi="仿宋_GB2312" w:cs="仿宋_GB2312"/>
          <w:snapToGrid w:val="0"/>
          <w:kern w:val="0"/>
          <w:sz w:val="32"/>
          <w:szCs w:val="32"/>
        </w:rPr>
      </w:pPr>
    </w:p>
    <w:p w:rsidR="00E27AF9" w:rsidRDefault="00E27AF9">
      <w:pPr>
        <w:jc w:val="left"/>
        <w:rPr>
          <w:rFonts w:ascii="仿宋_GB2312" w:eastAsia="仿宋_GB2312" w:hAnsi="仿宋_GB2312" w:cs="仿宋_GB2312"/>
          <w:snapToGrid w:val="0"/>
          <w:kern w:val="0"/>
          <w:sz w:val="32"/>
          <w:szCs w:val="32"/>
        </w:rPr>
      </w:pPr>
    </w:p>
    <w:p w:rsidR="00E27AF9" w:rsidRDefault="00E27AF9">
      <w:pPr>
        <w:jc w:val="left"/>
        <w:rPr>
          <w:rFonts w:ascii="仿宋_GB2312" w:eastAsia="仿宋_GB2312" w:hAnsi="仿宋_GB2312" w:cs="仿宋_GB2312"/>
          <w:snapToGrid w:val="0"/>
          <w:kern w:val="0"/>
          <w:sz w:val="32"/>
          <w:szCs w:val="32"/>
        </w:rPr>
      </w:pPr>
    </w:p>
    <w:p w:rsidR="00E27AF9" w:rsidRDefault="00E27AF9">
      <w:pPr>
        <w:jc w:val="left"/>
        <w:rPr>
          <w:rFonts w:ascii="仿宋_GB2312" w:eastAsia="仿宋_GB2312" w:hAnsi="仿宋_GB2312" w:cs="仿宋_GB2312"/>
          <w:snapToGrid w:val="0"/>
          <w:kern w:val="0"/>
          <w:sz w:val="32"/>
          <w:szCs w:val="32"/>
        </w:rPr>
      </w:pPr>
    </w:p>
    <w:p w:rsidR="00E27AF9" w:rsidRDefault="00E27AF9">
      <w:pPr>
        <w:jc w:val="left"/>
        <w:rPr>
          <w:rFonts w:ascii="仿宋_GB2312" w:eastAsia="仿宋_GB2312" w:hAnsi="仿宋_GB2312" w:cs="仿宋_GB2312"/>
          <w:snapToGrid w:val="0"/>
          <w:kern w:val="0"/>
          <w:sz w:val="32"/>
          <w:szCs w:val="32"/>
        </w:rPr>
      </w:pPr>
    </w:p>
    <w:p w:rsidR="00E27AF9" w:rsidRDefault="00E27AF9">
      <w:pPr>
        <w:jc w:val="left"/>
        <w:rPr>
          <w:rFonts w:ascii="仿宋_GB2312" w:eastAsia="仿宋_GB2312" w:hAnsi="仿宋_GB2312" w:cs="仿宋_GB2312"/>
          <w:snapToGrid w:val="0"/>
          <w:kern w:val="0"/>
          <w:sz w:val="32"/>
          <w:szCs w:val="32"/>
        </w:rPr>
      </w:pPr>
    </w:p>
    <w:p w:rsidR="00E27AF9" w:rsidRDefault="00E27AF9">
      <w:pPr>
        <w:jc w:val="left"/>
        <w:rPr>
          <w:rFonts w:ascii="仿宋_GB2312" w:eastAsia="仿宋_GB2312" w:hAnsi="仿宋_GB2312" w:cs="仿宋_GB2312"/>
          <w:snapToGrid w:val="0"/>
          <w:kern w:val="0"/>
          <w:sz w:val="32"/>
          <w:szCs w:val="32"/>
        </w:rPr>
      </w:pPr>
    </w:p>
    <w:p w:rsidR="00E27AF9" w:rsidRDefault="00E27AF9">
      <w:pPr>
        <w:jc w:val="left"/>
        <w:rPr>
          <w:rFonts w:ascii="仿宋_GB2312" w:eastAsia="仿宋_GB2312" w:hAnsi="仿宋_GB2312" w:cs="仿宋_GB2312"/>
          <w:snapToGrid w:val="0"/>
          <w:kern w:val="0"/>
          <w:sz w:val="32"/>
          <w:szCs w:val="32"/>
        </w:rPr>
      </w:pPr>
    </w:p>
    <w:p w:rsidR="00E27AF9" w:rsidRDefault="00E27AF9"/>
    <w:p w:rsidR="00E27AF9" w:rsidRDefault="00E27AF9"/>
    <w:p w:rsidR="00532506" w:rsidRDefault="00532506">
      <w:pPr>
        <w:sectPr w:rsidR="00532506" w:rsidSect="00532506">
          <w:pgSz w:w="11906" w:h="16838"/>
          <w:pgMar w:top="1701" w:right="1531" w:bottom="1418" w:left="1531" w:header="851" w:footer="992" w:gutter="0"/>
          <w:cols w:space="425"/>
          <w:docGrid w:type="lines" w:linePitch="312"/>
        </w:sectPr>
      </w:pPr>
    </w:p>
    <w:p w:rsidR="00532506" w:rsidRDefault="00532506" w:rsidP="00532506">
      <w:pPr>
        <w:spacing w:line="580" w:lineRule="exact"/>
        <w:jc w:val="center"/>
        <w:rPr>
          <w:rFonts w:ascii="宋体" w:hAnsi="宋体"/>
          <w:b/>
          <w:bCs/>
          <w:sz w:val="44"/>
          <w:szCs w:val="44"/>
        </w:rPr>
      </w:pPr>
      <w:r>
        <w:rPr>
          <w:rFonts w:ascii="方正小标宋简体" w:eastAsia="方正小标宋简体" w:hAnsi="方正小标宋简体" w:cs="方正小标宋简体" w:hint="eastAsia"/>
          <w:sz w:val="44"/>
          <w:szCs w:val="44"/>
        </w:rPr>
        <w:lastRenderedPageBreak/>
        <w:t>铜陵市公共资源交易目录（2022年版）</w:t>
      </w:r>
    </w:p>
    <w:p w:rsidR="00532506" w:rsidRDefault="00532506" w:rsidP="00532506">
      <w:pPr>
        <w:spacing w:line="580" w:lineRule="exact"/>
        <w:jc w:val="center"/>
        <w:rPr>
          <w:rFonts w:ascii="宋体" w:hAnsi="宋体"/>
          <w:b/>
          <w:bCs/>
          <w:sz w:val="32"/>
          <w:szCs w:val="32"/>
        </w:rPr>
      </w:pPr>
    </w:p>
    <w:tbl>
      <w:tblPr>
        <w:tblStyle w:val="a6"/>
        <w:tblW w:w="0" w:type="auto"/>
        <w:tblLook w:val="04A0"/>
      </w:tblPr>
      <w:tblGrid>
        <w:gridCol w:w="1951"/>
        <w:gridCol w:w="3544"/>
        <w:gridCol w:w="2268"/>
        <w:gridCol w:w="6095"/>
      </w:tblGrid>
      <w:tr w:rsidR="00532506" w:rsidRPr="00532506" w:rsidTr="00532506">
        <w:trPr>
          <w:trHeight w:val="538"/>
          <w:tblHeader/>
        </w:trPr>
        <w:tc>
          <w:tcPr>
            <w:tcW w:w="1951" w:type="dxa"/>
            <w:vAlign w:val="center"/>
          </w:tcPr>
          <w:p w:rsidR="00532506" w:rsidRPr="00532506" w:rsidRDefault="00532506" w:rsidP="00760B94">
            <w:pPr>
              <w:spacing w:line="300" w:lineRule="exact"/>
              <w:contextualSpacing/>
              <w:jc w:val="center"/>
              <w:rPr>
                <w:sz w:val="24"/>
              </w:rPr>
            </w:pPr>
            <w:r w:rsidRPr="00532506">
              <w:rPr>
                <w:rFonts w:ascii="黑体" w:eastAsia="黑体" w:hAnsi="黑体" w:cs="黑体" w:hint="eastAsia"/>
                <w:sz w:val="24"/>
              </w:rPr>
              <w:t>项目类别</w:t>
            </w:r>
          </w:p>
        </w:tc>
        <w:tc>
          <w:tcPr>
            <w:tcW w:w="3544" w:type="dxa"/>
            <w:vAlign w:val="center"/>
          </w:tcPr>
          <w:p w:rsidR="00532506" w:rsidRPr="00532506" w:rsidRDefault="00532506" w:rsidP="00760B94">
            <w:pPr>
              <w:spacing w:line="300" w:lineRule="exact"/>
              <w:contextualSpacing/>
              <w:jc w:val="center"/>
              <w:rPr>
                <w:sz w:val="24"/>
              </w:rPr>
            </w:pPr>
            <w:r w:rsidRPr="00532506">
              <w:rPr>
                <w:rFonts w:ascii="黑体" w:eastAsia="黑体" w:hAnsi="黑体" w:cs="黑体" w:hint="eastAsia"/>
                <w:sz w:val="24"/>
              </w:rPr>
              <w:t>项目内容</w:t>
            </w:r>
          </w:p>
        </w:tc>
        <w:tc>
          <w:tcPr>
            <w:tcW w:w="2268" w:type="dxa"/>
            <w:vAlign w:val="center"/>
          </w:tcPr>
          <w:p w:rsidR="00532506" w:rsidRPr="00532506" w:rsidRDefault="00532506" w:rsidP="00760B94">
            <w:pPr>
              <w:spacing w:line="300" w:lineRule="exact"/>
              <w:contextualSpacing/>
              <w:jc w:val="center"/>
              <w:rPr>
                <w:sz w:val="24"/>
              </w:rPr>
            </w:pPr>
            <w:r w:rsidRPr="00532506">
              <w:rPr>
                <w:rFonts w:ascii="黑体" w:eastAsia="黑体" w:hAnsi="黑体" w:cs="黑体" w:hint="eastAsia"/>
                <w:sz w:val="24"/>
              </w:rPr>
              <w:t>交易平台</w:t>
            </w:r>
          </w:p>
        </w:tc>
        <w:tc>
          <w:tcPr>
            <w:tcW w:w="6095" w:type="dxa"/>
            <w:vAlign w:val="center"/>
          </w:tcPr>
          <w:p w:rsidR="00532506" w:rsidRPr="00532506" w:rsidRDefault="00532506" w:rsidP="00760B94">
            <w:pPr>
              <w:spacing w:line="300" w:lineRule="exact"/>
              <w:contextualSpacing/>
              <w:jc w:val="center"/>
              <w:rPr>
                <w:sz w:val="24"/>
              </w:rPr>
            </w:pPr>
            <w:r w:rsidRPr="00532506">
              <w:rPr>
                <w:rFonts w:ascii="黑体" w:eastAsia="黑体" w:hAnsi="黑体" w:cs="黑体" w:hint="eastAsia"/>
                <w:sz w:val="24"/>
              </w:rPr>
              <w:t>限额标准及范围说明</w:t>
            </w:r>
          </w:p>
        </w:tc>
      </w:tr>
      <w:tr w:rsidR="00532506" w:rsidRPr="00532506" w:rsidTr="00760B94">
        <w:trPr>
          <w:trHeight w:val="2530"/>
        </w:trPr>
        <w:tc>
          <w:tcPr>
            <w:tcW w:w="1951" w:type="dxa"/>
            <w:vAlign w:val="center"/>
          </w:tcPr>
          <w:p w:rsidR="00532506" w:rsidRPr="00532506" w:rsidRDefault="00532506" w:rsidP="00760B94">
            <w:pPr>
              <w:spacing w:line="300" w:lineRule="exact"/>
              <w:contextualSpacing/>
              <w:jc w:val="center"/>
              <w:rPr>
                <w:sz w:val="24"/>
              </w:rPr>
            </w:pPr>
            <w:r w:rsidRPr="00532506">
              <w:rPr>
                <w:rFonts w:ascii="仿宋_GB2312" w:eastAsia="仿宋_GB2312" w:hAnsi="仿宋_GB2312" w:cs="仿宋_GB2312" w:hint="eastAsia"/>
                <w:b/>
                <w:bCs/>
                <w:sz w:val="24"/>
              </w:rPr>
              <w:t>一、工程建设项目招标投标</w:t>
            </w:r>
          </w:p>
        </w:tc>
        <w:tc>
          <w:tcPr>
            <w:tcW w:w="3544" w:type="dxa"/>
            <w:vAlign w:val="center"/>
          </w:tcPr>
          <w:p w:rsidR="00532506" w:rsidRPr="00532506" w:rsidRDefault="00532506" w:rsidP="00760B94">
            <w:pPr>
              <w:spacing w:line="300" w:lineRule="exact"/>
              <w:contextualSpacing/>
              <w:jc w:val="center"/>
              <w:rPr>
                <w:sz w:val="24"/>
              </w:rPr>
            </w:pPr>
            <w:r w:rsidRPr="00532506">
              <w:rPr>
                <w:rFonts w:ascii="仿宋_GB2312" w:eastAsia="仿宋_GB2312" w:hAnsi="仿宋_GB2312" w:cs="仿宋_GB2312" w:hint="eastAsia"/>
                <w:sz w:val="24"/>
              </w:rPr>
              <w:t>市、县区管理的依法必须招标的建设工程施工及与之相关的货物、服务项目</w:t>
            </w:r>
          </w:p>
        </w:tc>
        <w:tc>
          <w:tcPr>
            <w:tcW w:w="2268" w:type="dxa"/>
            <w:vAlign w:val="center"/>
          </w:tcPr>
          <w:p w:rsidR="00532506" w:rsidRDefault="00532506" w:rsidP="00760B94">
            <w:pPr>
              <w:spacing w:line="300" w:lineRule="exact"/>
              <w:contextualSpacing/>
              <w:jc w:val="center"/>
              <w:rPr>
                <w:rFonts w:ascii="仿宋_GB2312" w:eastAsia="仿宋_GB2312" w:hAnsi="仿宋_GB2312" w:cs="仿宋_GB2312"/>
                <w:sz w:val="24"/>
              </w:rPr>
            </w:pPr>
            <w:r w:rsidRPr="00532506">
              <w:rPr>
                <w:rFonts w:ascii="仿宋_GB2312" w:eastAsia="仿宋_GB2312" w:hAnsi="仿宋_GB2312" w:cs="仿宋_GB2312" w:hint="eastAsia"/>
                <w:sz w:val="24"/>
              </w:rPr>
              <w:t>市、县公共资源</w:t>
            </w:r>
          </w:p>
          <w:p w:rsidR="00532506" w:rsidRPr="00532506" w:rsidRDefault="00532506" w:rsidP="00760B94">
            <w:pPr>
              <w:spacing w:line="300" w:lineRule="exact"/>
              <w:contextualSpacing/>
              <w:jc w:val="center"/>
              <w:rPr>
                <w:rFonts w:ascii="仿宋_GB2312" w:eastAsia="仿宋_GB2312" w:hAnsi="仿宋_GB2312" w:cs="仿宋_GB2312"/>
                <w:sz w:val="24"/>
              </w:rPr>
            </w:pPr>
            <w:r w:rsidRPr="00532506">
              <w:rPr>
                <w:rFonts w:ascii="仿宋_GB2312" w:eastAsia="仿宋_GB2312" w:hAnsi="仿宋_GB2312" w:cs="仿宋_GB2312" w:hint="eastAsia"/>
                <w:sz w:val="24"/>
              </w:rPr>
              <w:t>交易中心</w:t>
            </w:r>
          </w:p>
        </w:tc>
        <w:tc>
          <w:tcPr>
            <w:tcW w:w="6095" w:type="dxa"/>
            <w:vAlign w:val="center"/>
          </w:tcPr>
          <w:p w:rsidR="00532506" w:rsidRDefault="00532506" w:rsidP="00760B94">
            <w:pPr>
              <w:pStyle w:val="a5"/>
              <w:shd w:val="clear" w:color="auto" w:fill="FFFFFF"/>
              <w:spacing w:before="0" w:beforeAutospacing="0" w:after="0" w:afterAutospacing="0" w:line="300" w:lineRule="exact"/>
              <w:contextualSpacing/>
              <w:rPr>
                <w:rFonts w:ascii="仿宋_GB2312" w:eastAsia="仿宋_GB2312" w:hAnsi="仿宋_GB2312" w:cs="仿宋_GB2312"/>
              </w:rPr>
            </w:pPr>
            <w:r w:rsidRPr="00532506">
              <w:rPr>
                <w:rFonts w:ascii="仿宋_GB2312" w:eastAsia="仿宋_GB2312" w:hAnsi="仿宋_GB2312" w:cs="仿宋_GB2312" w:hint="eastAsia"/>
              </w:rPr>
              <w:t>1</w:t>
            </w:r>
            <w:r>
              <w:rPr>
                <w:rFonts w:ascii="仿宋_GB2312" w:eastAsia="仿宋_GB2312" w:hAnsi="仿宋_GB2312" w:cs="仿宋_GB2312" w:hint="eastAsia"/>
              </w:rPr>
              <w:t>．</w:t>
            </w:r>
            <w:r w:rsidRPr="00532506">
              <w:rPr>
                <w:rFonts w:ascii="仿宋_GB2312" w:eastAsia="仿宋_GB2312" w:hAnsi="仿宋_GB2312" w:cs="仿宋_GB2312" w:hint="eastAsia"/>
              </w:rPr>
              <w:t>施工单项合同估算价在400万元人民币以上；</w:t>
            </w:r>
          </w:p>
          <w:p w:rsidR="00532506" w:rsidRDefault="00532506" w:rsidP="00760B94">
            <w:pPr>
              <w:pStyle w:val="a5"/>
              <w:shd w:val="clear" w:color="auto" w:fill="FFFFFF"/>
              <w:spacing w:before="0" w:beforeAutospacing="0" w:after="0" w:afterAutospacing="0" w:line="300" w:lineRule="exact"/>
              <w:contextualSpacing/>
              <w:rPr>
                <w:rFonts w:ascii="仿宋_GB2312" w:eastAsia="仿宋_GB2312" w:hAnsi="仿宋_GB2312" w:cs="仿宋_GB2312"/>
              </w:rPr>
            </w:pPr>
            <w:r w:rsidRPr="00532506">
              <w:rPr>
                <w:rFonts w:ascii="仿宋_GB2312" w:eastAsia="仿宋_GB2312" w:hAnsi="仿宋_GB2312" w:cs="仿宋_GB2312" w:hint="eastAsia"/>
              </w:rPr>
              <w:t>2</w:t>
            </w:r>
            <w:r>
              <w:rPr>
                <w:rFonts w:ascii="仿宋_GB2312" w:eastAsia="仿宋_GB2312" w:hAnsi="仿宋_GB2312" w:cs="仿宋_GB2312" w:hint="eastAsia"/>
              </w:rPr>
              <w:t>．</w:t>
            </w:r>
            <w:r w:rsidRPr="00532506">
              <w:rPr>
                <w:rFonts w:ascii="仿宋_GB2312" w:eastAsia="仿宋_GB2312" w:hAnsi="仿宋_GB2312" w:cs="仿宋_GB2312" w:hint="eastAsia"/>
              </w:rPr>
              <w:t>重要设备、</w:t>
            </w:r>
            <w:bookmarkStart w:id="0" w:name="_GoBack"/>
            <w:bookmarkEnd w:id="0"/>
            <w:r w:rsidRPr="00532506">
              <w:rPr>
                <w:rFonts w:ascii="仿宋_GB2312" w:eastAsia="仿宋_GB2312" w:hAnsi="仿宋_GB2312" w:cs="仿宋_GB2312" w:hint="eastAsia"/>
              </w:rPr>
              <w:t>材料等货物的采购，单项合同估算价在200万元人民币以上；</w:t>
            </w:r>
          </w:p>
          <w:p w:rsidR="00532506" w:rsidRPr="00532506" w:rsidRDefault="00532506" w:rsidP="00760B94">
            <w:pPr>
              <w:pStyle w:val="a5"/>
              <w:shd w:val="clear" w:color="auto" w:fill="FFFFFF"/>
              <w:spacing w:before="0" w:beforeAutospacing="0" w:after="0" w:afterAutospacing="0" w:line="300" w:lineRule="exact"/>
              <w:contextualSpacing/>
              <w:rPr>
                <w:rFonts w:ascii="仿宋_GB2312" w:eastAsia="仿宋_GB2312" w:hAnsi="仿宋_GB2312" w:cs="仿宋_GB2312"/>
              </w:rPr>
            </w:pPr>
            <w:r w:rsidRPr="00532506">
              <w:rPr>
                <w:rFonts w:ascii="仿宋_GB2312" w:eastAsia="仿宋_GB2312" w:hAnsi="仿宋_GB2312" w:cs="仿宋_GB2312" w:hint="eastAsia"/>
              </w:rPr>
              <w:t>3</w:t>
            </w:r>
            <w:r>
              <w:rPr>
                <w:rFonts w:ascii="仿宋_GB2312" w:eastAsia="仿宋_GB2312" w:hAnsi="仿宋_GB2312" w:cs="仿宋_GB2312" w:hint="eastAsia"/>
              </w:rPr>
              <w:t>．</w:t>
            </w:r>
            <w:r w:rsidRPr="00532506">
              <w:rPr>
                <w:rFonts w:ascii="仿宋_GB2312" w:eastAsia="仿宋_GB2312" w:hAnsi="仿宋_GB2312" w:cs="仿宋_GB2312" w:hint="eastAsia"/>
              </w:rPr>
              <w:t>勘察、设计、监理的采购，单项合同估算价在100万元人民币以上。</w:t>
            </w:r>
          </w:p>
          <w:p w:rsidR="00532506" w:rsidRPr="00532506" w:rsidRDefault="00532506" w:rsidP="00760B94">
            <w:pPr>
              <w:spacing w:line="300" w:lineRule="exact"/>
              <w:contextualSpacing/>
              <w:rPr>
                <w:sz w:val="24"/>
              </w:rPr>
            </w:pPr>
            <w:r w:rsidRPr="00532506">
              <w:rPr>
                <w:rFonts w:ascii="仿宋_GB2312" w:eastAsia="仿宋_GB2312" w:hAnsi="仿宋_GB2312" w:cs="仿宋_GB2312" w:hint="eastAsia"/>
                <w:sz w:val="24"/>
              </w:rPr>
              <w:t>同一项目中可以合并进行的勘察、设计、施工、监理以及与工程建设有关的重要设备、材料的采购，合同估算价合计达到前款规</w:t>
            </w:r>
            <w:hyperlink r:id="rId7" w:tgtFrame="_blank" w:history="1">
              <w:r w:rsidRPr="00532506">
                <w:rPr>
                  <w:rStyle w:val="a9"/>
                  <w:rFonts w:ascii="仿宋_GB2312" w:eastAsia="仿宋_GB2312" w:hAnsi="仿宋_GB2312" w:cs="仿宋_GB2312" w:hint="eastAsia"/>
                  <w:color w:val="auto"/>
                  <w:sz w:val="24"/>
                  <w:u w:val="none"/>
                </w:rPr>
                <w:t>定标</w:t>
              </w:r>
            </w:hyperlink>
            <w:r w:rsidRPr="00532506">
              <w:rPr>
                <w:rFonts w:ascii="仿宋_GB2312" w:eastAsia="仿宋_GB2312" w:hAnsi="仿宋_GB2312" w:cs="仿宋_GB2312" w:hint="eastAsia"/>
                <w:sz w:val="24"/>
              </w:rPr>
              <w:t>准的。</w:t>
            </w:r>
          </w:p>
        </w:tc>
      </w:tr>
      <w:tr w:rsidR="00532506" w:rsidRPr="00532506" w:rsidTr="00760B94">
        <w:trPr>
          <w:trHeight w:val="709"/>
        </w:trPr>
        <w:tc>
          <w:tcPr>
            <w:tcW w:w="1951" w:type="dxa"/>
            <w:vAlign w:val="center"/>
          </w:tcPr>
          <w:p w:rsidR="00532506" w:rsidRPr="00532506" w:rsidRDefault="00532506" w:rsidP="00760B94">
            <w:pPr>
              <w:spacing w:line="300" w:lineRule="exact"/>
              <w:contextualSpacing/>
              <w:jc w:val="center"/>
              <w:rPr>
                <w:sz w:val="24"/>
              </w:rPr>
            </w:pPr>
            <w:r w:rsidRPr="00532506">
              <w:rPr>
                <w:rFonts w:ascii="仿宋_GB2312" w:eastAsia="仿宋_GB2312" w:hAnsi="仿宋_GB2312" w:cs="仿宋_GB2312" w:hint="eastAsia"/>
                <w:b/>
                <w:bCs/>
                <w:sz w:val="24"/>
              </w:rPr>
              <w:t>二、政府采购</w:t>
            </w:r>
          </w:p>
        </w:tc>
        <w:tc>
          <w:tcPr>
            <w:tcW w:w="3544" w:type="dxa"/>
            <w:vAlign w:val="center"/>
          </w:tcPr>
          <w:p w:rsidR="00532506" w:rsidRPr="00532506" w:rsidRDefault="00532506" w:rsidP="00760B94">
            <w:pPr>
              <w:spacing w:line="300" w:lineRule="exact"/>
              <w:contextualSpacing/>
              <w:jc w:val="center"/>
              <w:rPr>
                <w:sz w:val="24"/>
              </w:rPr>
            </w:pPr>
            <w:r w:rsidRPr="00532506">
              <w:rPr>
                <w:rFonts w:ascii="仿宋_GB2312" w:eastAsia="仿宋_GB2312" w:hAnsi="仿宋_GB2312" w:cs="仿宋_GB2312" w:hint="eastAsia"/>
                <w:sz w:val="24"/>
              </w:rPr>
              <w:t>市</w:t>
            </w:r>
            <w:r w:rsidRPr="00532506">
              <w:rPr>
                <w:rFonts w:ascii="仿宋_GB2312" w:eastAsia="仿宋_GB2312" w:hAnsi="仿宋_GB2312" w:cs="仿宋_GB2312" w:hint="eastAsia"/>
                <w:spacing w:val="-10"/>
                <w:sz w:val="24"/>
              </w:rPr>
              <w:t>、县</w:t>
            </w:r>
            <w:r w:rsidRPr="00532506">
              <w:rPr>
                <w:rFonts w:ascii="仿宋_GB2312" w:eastAsia="仿宋_GB2312" w:hAnsi="仿宋_GB2312" w:cs="仿宋_GB2312" w:hint="eastAsia"/>
                <w:sz w:val="24"/>
              </w:rPr>
              <w:t>区管理的</w:t>
            </w:r>
            <w:r w:rsidRPr="00532506">
              <w:rPr>
                <w:rFonts w:ascii="仿宋_GB2312" w:eastAsia="仿宋_GB2312" w:hAnsi="仿宋_GB2312" w:cs="仿宋_GB2312" w:hint="eastAsia"/>
                <w:spacing w:val="-10"/>
                <w:sz w:val="24"/>
              </w:rPr>
              <w:t>政府采购项目</w:t>
            </w:r>
          </w:p>
        </w:tc>
        <w:tc>
          <w:tcPr>
            <w:tcW w:w="2268" w:type="dxa"/>
            <w:vAlign w:val="center"/>
          </w:tcPr>
          <w:p w:rsidR="00532506" w:rsidRDefault="00532506" w:rsidP="00760B94">
            <w:pPr>
              <w:spacing w:line="300" w:lineRule="exact"/>
              <w:contextualSpacing/>
              <w:jc w:val="center"/>
              <w:rPr>
                <w:rFonts w:ascii="仿宋_GB2312" w:eastAsia="仿宋_GB2312" w:hAnsi="仿宋_GB2312" w:cs="仿宋_GB2312"/>
                <w:sz w:val="24"/>
              </w:rPr>
            </w:pPr>
            <w:r w:rsidRPr="00532506">
              <w:rPr>
                <w:rFonts w:ascii="仿宋_GB2312" w:eastAsia="仿宋_GB2312" w:hAnsi="仿宋_GB2312" w:cs="仿宋_GB2312" w:hint="eastAsia"/>
                <w:sz w:val="24"/>
              </w:rPr>
              <w:t>市、县公共资源</w:t>
            </w:r>
          </w:p>
          <w:p w:rsidR="00532506" w:rsidRPr="00532506" w:rsidRDefault="00532506" w:rsidP="00760B94">
            <w:pPr>
              <w:spacing w:line="300" w:lineRule="exact"/>
              <w:contextualSpacing/>
              <w:jc w:val="center"/>
              <w:rPr>
                <w:sz w:val="24"/>
              </w:rPr>
            </w:pPr>
            <w:r w:rsidRPr="00532506">
              <w:rPr>
                <w:rFonts w:ascii="仿宋_GB2312" w:eastAsia="仿宋_GB2312" w:hAnsi="仿宋_GB2312" w:cs="仿宋_GB2312" w:hint="eastAsia"/>
                <w:sz w:val="24"/>
              </w:rPr>
              <w:t>交易中心</w:t>
            </w:r>
          </w:p>
        </w:tc>
        <w:tc>
          <w:tcPr>
            <w:tcW w:w="6095" w:type="dxa"/>
            <w:vAlign w:val="center"/>
          </w:tcPr>
          <w:p w:rsidR="00532506" w:rsidRPr="00532506" w:rsidRDefault="00532506" w:rsidP="00760B94">
            <w:pPr>
              <w:spacing w:line="300" w:lineRule="exact"/>
              <w:contextualSpacing/>
              <w:rPr>
                <w:sz w:val="24"/>
                <w:u w:val="single"/>
              </w:rPr>
            </w:pPr>
            <w:r w:rsidRPr="00532506">
              <w:rPr>
                <w:rFonts w:ascii="仿宋_GB2312" w:eastAsia="仿宋_GB2312" w:hAnsi="仿宋_GB2312" w:cs="仿宋_GB2312" w:hint="eastAsia"/>
                <w:sz w:val="24"/>
              </w:rPr>
              <w:t xml:space="preserve">集中采购项目及达到分散采购限额标准以上的政府采购货物、服务及工程项目。 </w:t>
            </w:r>
          </w:p>
        </w:tc>
      </w:tr>
      <w:tr w:rsidR="00532506" w:rsidRPr="00532506" w:rsidTr="00760B94">
        <w:trPr>
          <w:trHeight w:val="1119"/>
        </w:trPr>
        <w:tc>
          <w:tcPr>
            <w:tcW w:w="1951" w:type="dxa"/>
            <w:vAlign w:val="center"/>
          </w:tcPr>
          <w:p w:rsidR="00532506" w:rsidRPr="00532506" w:rsidRDefault="00532506" w:rsidP="00760B94">
            <w:pPr>
              <w:spacing w:line="300" w:lineRule="exact"/>
              <w:contextualSpacing/>
              <w:jc w:val="center"/>
              <w:rPr>
                <w:sz w:val="24"/>
              </w:rPr>
            </w:pPr>
            <w:r w:rsidRPr="00532506">
              <w:rPr>
                <w:rFonts w:ascii="仿宋_GB2312" w:eastAsia="仿宋_GB2312" w:hAnsi="仿宋_GB2312" w:cs="仿宋_GB2312" w:hint="eastAsia"/>
                <w:b/>
                <w:bCs/>
                <w:sz w:val="24"/>
              </w:rPr>
              <w:t>三、国有建设用地使用权出让</w:t>
            </w:r>
          </w:p>
        </w:tc>
        <w:tc>
          <w:tcPr>
            <w:tcW w:w="3544" w:type="dxa"/>
            <w:vAlign w:val="center"/>
          </w:tcPr>
          <w:p w:rsidR="00532506" w:rsidRPr="00532506" w:rsidRDefault="00532506" w:rsidP="00760B94">
            <w:pPr>
              <w:spacing w:line="300" w:lineRule="exact"/>
              <w:contextualSpacing/>
              <w:jc w:val="center"/>
              <w:rPr>
                <w:sz w:val="24"/>
              </w:rPr>
            </w:pPr>
            <w:r w:rsidRPr="00532506">
              <w:rPr>
                <w:rFonts w:ascii="仿宋_GB2312" w:eastAsia="仿宋_GB2312" w:hAnsi="仿宋_GB2312" w:cs="仿宋_GB2312" w:hint="eastAsia"/>
                <w:sz w:val="24"/>
              </w:rPr>
              <w:t>市、</w:t>
            </w:r>
            <w:r w:rsidRPr="00532506">
              <w:rPr>
                <w:rFonts w:ascii="仿宋_GB2312" w:eastAsia="仿宋_GB2312" w:hAnsi="仿宋_GB2312" w:cs="仿宋_GB2312" w:hint="eastAsia"/>
                <w:spacing w:val="-10"/>
                <w:sz w:val="24"/>
              </w:rPr>
              <w:t>县</w:t>
            </w:r>
            <w:r w:rsidRPr="00532506">
              <w:rPr>
                <w:rFonts w:ascii="仿宋_GB2312" w:eastAsia="仿宋_GB2312" w:hAnsi="仿宋_GB2312" w:cs="仿宋_GB2312" w:hint="eastAsia"/>
                <w:sz w:val="24"/>
              </w:rPr>
              <w:t>区范围内经营性用地和工业用地使用权出让</w:t>
            </w:r>
          </w:p>
        </w:tc>
        <w:tc>
          <w:tcPr>
            <w:tcW w:w="2268" w:type="dxa"/>
            <w:vAlign w:val="center"/>
          </w:tcPr>
          <w:p w:rsidR="00532506" w:rsidRDefault="00532506" w:rsidP="00760B94">
            <w:pPr>
              <w:spacing w:line="300" w:lineRule="exact"/>
              <w:contextualSpacing/>
              <w:jc w:val="center"/>
              <w:rPr>
                <w:rFonts w:ascii="仿宋_GB2312" w:eastAsia="仿宋_GB2312" w:hAnsi="仿宋_GB2312" w:cs="仿宋_GB2312"/>
                <w:sz w:val="24"/>
              </w:rPr>
            </w:pPr>
            <w:r w:rsidRPr="00532506">
              <w:rPr>
                <w:rFonts w:ascii="仿宋_GB2312" w:eastAsia="仿宋_GB2312" w:hAnsi="仿宋_GB2312" w:cs="仿宋_GB2312" w:hint="eastAsia"/>
                <w:sz w:val="24"/>
              </w:rPr>
              <w:t>市、县公共资源</w:t>
            </w:r>
          </w:p>
          <w:p w:rsidR="00532506" w:rsidRPr="00532506" w:rsidRDefault="00532506" w:rsidP="00760B94">
            <w:pPr>
              <w:spacing w:line="300" w:lineRule="exact"/>
              <w:contextualSpacing/>
              <w:jc w:val="center"/>
              <w:rPr>
                <w:sz w:val="24"/>
              </w:rPr>
            </w:pPr>
            <w:r w:rsidRPr="00532506">
              <w:rPr>
                <w:rFonts w:ascii="仿宋_GB2312" w:eastAsia="仿宋_GB2312" w:hAnsi="仿宋_GB2312" w:cs="仿宋_GB2312" w:hint="eastAsia"/>
                <w:sz w:val="24"/>
              </w:rPr>
              <w:t>交易中心</w:t>
            </w:r>
          </w:p>
        </w:tc>
        <w:tc>
          <w:tcPr>
            <w:tcW w:w="6095" w:type="dxa"/>
            <w:vAlign w:val="center"/>
          </w:tcPr>
          <w:p w:rsidR="00532506" w:rsidRPr="00532506" w:rsidRDefault="00532506" w:rsidP="00760B94">
            <w:pPr>
              <w:spacing w:line="300" w:lineRule="exact"/>
              <w:contextualSpacing/>
              <w:rPr>
                <w:rFonts w:eastAsia="仿宋_GB2312"/>
                <w:sz w:val="24"/>
              </w:rPr>
            </w:pPr>
            <w:r w:rsidRPr="00532506">
              <w:rPr>
                <w:rFonts w:ascii="仿宋_GB2312" w:eastAsia="仿宋_GB2312" w:hAnsi="仿宋_GB2312" w:cs="仿宋_GB2312" w:hint="eastAsia"/>
                <w:snapToGrid w:val="0"/>
                <w:kern w:val="0"/>
                <w:sz w:val="24"/>
              </w:rPr>
              <w:t>全部。执行《中华人民共和国土地管理法》、《招标拍卖挂牌出让国有建设用地使用权规定》</w:t>
            </w:r>
            <w:r w:rsidRPr="00532506">
              <w:rPr>
                <w:rFonts w:ascii="仿宋_GB2312" w:eastAsia="仿宋_GB2312" w:hAnsi="仿宋_GB2312" w:cs="仿宋_GB2312" w:hint="eastAsia"/>
                <w:sz w:val="24"/>
              </w:rPr>
              <w:t>（国土资源部                                                                                                                                       令第39号）。</w:t>
            </w:r>
          </w:p>
        </w:tc>
      </w:tr>
      <w:tr w:rsidR="00532506" w:rsidRPr="00532506" w:rsidTr="00760B94">
        <w:trPr>
          <w:trHeight w:val="1272"/>
        </w:trPr>
        <w:tc>
          <w:tcPr>
            <w:tcW w:w="1951" w:type="dxa"/>
            <w:vAlign w:val="center"/>
          </w:tcPr>
          <w:p w:rsidR="00532506" w:rsidRPr="00532506" w:rsidRDefault="00532506" w:rsidP="00760B94">
            <w:pPr>
              <w:spacing w:line="300" w:lineRule="exact"/>
              <w:contextualSpacing/>
              <w:jc w:val="center"/>
              <w:rPr>
                <w:sz w:val="24"/>
              </w:rPr>
            </w:pPr>
            <w:r w:rsidRPr="00532506">
              <w:rPr>
                <w:rFonts w:ascii="仿宋_GB2312" w:eastAsia="仿宋_GB2312" w:hAnsi="仿宋_GB2312" w:cs="仿宋_GB2312" w:hint="eastAsia"/>
                <w:b/>
                <w:bCs/>
                <w:sz w:val="24"/>
              </w:rPr>
              <w:t>四、矿业权出让</w:t>
            </w:r>
          </w:p>
        </w:tc>
        <w:tc>
          <w:tcPr>
            <w:tcW w:w="3544" w:type="dxa"/>
            <w:vAlign w:val="center"/>
          </w:tcPr>
          <w:p w:rsidR="00532506" w:rsidRDefault="00532506" w:rsidP="00760B94">
            <w:pPr>
              <w:spacing w:line="300" w:lineRule="exact"/>
              <w:contextualSpacing/>
              <w:jc w:val="center"/>
              <w:rPr>
                <w:rFonts w:ascii="仿宋_GB2312" w:eastAsia="仿宋_GB2312" w:hAnsi="仿宋_GB2312" w:cs="仿宋_GB2312"/>
                <w:sz w:val="24"/>
              </w:rPr>
            </w:pPr>
            <w:r w:rsidRPr="00532506">
              <w:rPr>
                <w:rFonts w:ascii="仿宋_GB2312" w:eastAsia="仿宋_GB2312" w:hAnsi="仿宋_GB2312" w:cs="仿宋_GB2312" w:hint="eastAsia"/>
                <w:sz w:val="24"/>
              </w:rPr>
              <w:t>省自然资源厅授权的</w:t>
            </w:r>
          </w:p>
          <w:p w:rsidR="00532506" w:rsidRPr="00532506" w:rsidRDefault="00532506" w:rsidP="00760B94">
            <w:pPr>
              <w:spacing w:line="300" w:lineRule="exact"/>
              <w:contextualSpacing/>
              <w:jc w:val="center"/>
              <w:rPr>
                <w:sz w:val="24"/>
              </w:rPr>
            </w:pPr>
            <w:r w:rsidRPr="00532506">
              <w:rPr>
                <w:rFonts w:ascii="仿宋_GB2312" w:eastAsia="仿宋_GB2312" w:hAnsi="仿宋_GB2312" w:cs="仿宋_GB2312" w:hint="eastAsia"/>
                <w:sz w:val="24"/>
              </w:rPr>
              <w:t>矿业权出让</w:t>
            </w:r>
          </w:p>
        </w:tc>
        <w:tc>
          <w:tcPr>
            <w:tcW w:w="2268" w:type="dxa"/>
            <w:vAlign w:val="center"/>
          </w:tcPr>
          <w:p w:rsidR="00532506" w:rsidRDefault="00532506" w:rsidP="00760B94">
            <w:pPr>
              <w:spacing w:line="300" w:lineRule="exact"/>
              <w:contextualSpacing/>
              <w:jc w:val="center"/>
              <w:rPr>
                <w:rFonts w:ascii="仿宋_GB2312" w:eastAsia="仿宋_GB2312" w:hAnsi="仿宋_GB2312" w:cs="仿宋_GB2312"/>
                <w:sz w:val="24"/>
              </w:rPr>
            </w:pPr>
            <w:r w:rsidRPr="00532506">
              <w:rPr>
                <w:rFonts w:ascii="仿宋_GB2312" w:eastAsia="仿宋_GB2312" w:hAnsi="仿宋_GB2312" w:cs="仿宋_GB2312" w:hint="eastAsia"/>
                <w:sz w:val="24"/>
              </w:rPr>
              <w:t>市、县公共资源</w:t>
            </w:r>
          </w:p>
          <w:p w:rsidR="00532506" w:rsidRPr="00532506" w:rsidRDefault="00532506" w:rsidP="00760B94">
            <w:pPr>
              <w:spacing w:line="300" w:lineRule="exact"/>
              <w:contextualSpacing/>
              <w:jc w:val="center"/>
              <w:rPr>
                <w:sz w:val="24"/>
              </w:rPr>
            </w:pPr>
            <w:r w:rsidRPr="00532506">
              <w:rPr>
                <w:rFonts w:ascii="仿宋_GB2312" w:eastAsia="仿宋_GB2312" w:hAnsi="仿宋_GB2312" w:cs="仿宋_GB2312" w:hint="eastAsia"/>
                <w:sz w:val="24"/>
              </w:rPr>
              <w:t>交易中心</w:t>
            </w:r>
          </w:p>
        </w:tc>
        <w:tc>
          <w:tcPr>
            <w:tcW w:w="6095" w:type="dxa"/>
            <w:vAlign w:val="center"/>
          </w:tcPr>
          <w:p w:rsidR="00532506" w:rsidRPr="00532506" w:rsidRDefault="00532506" w:rsidP="00760B94">
            <w:pPr>
              <w:spacing w:line="300" w:lineRule="exact"/>
              <w:contextualSpacing/>
              <w:rPr>
                <w:rFonts w:eastAsia="仿宋_GB2312"/>
                <w:sz w:val="24"/>
              </w:rPr>
            </w:pPr>
            <w:r w:rsidRPr="00532506">
              <w:rPr>
                <w:rFonts w:ascii="仿宋_GB2312" w:eastAsia="仿宋_GB2312" w:hAnsi="仿宋_GB2312" w:cs="仿宋_GB2312" w:hint="eastAsia"/>
                <w:sz w:val="24"/>
              </w:rPr>
              <w:t>全部。执行《国土资源部关于印发〈矿业权交易规则〉的通知》 （国土资规</w:t>
            </w:r>
            <w:r w:rsidRPr="00532506">
              <w:rPr>
                <w:rFonts w:ascii="宋体" w:hAnsi="宋体" w:cs="宋体" w:hint="eastAsia"/>
                <w:sz w:val="24"/>
              </w:rPr>
              <w:t>﹝</w:t>
            </w:r>
            <w:r w:rsidRPr="00532506">
              <w:rPr>
                <w:rFonts w:ascii="仿宋_GB2312" w:eastAsia="仿宋_GB2312" w:hAnsi="仿宋_GB2312" w:cs="仿宋_GB2312" w:hint="eastAsia"/>
                <w:sz w:val="24"/>
              </w:rPr>
              <w:t>2017</w:t>
            </w:r>
            <w:r w:rsidRPr="00532506">
              <w:rPr>
                <w:rFonts w:ascii="宋体" w:hAnsi="宋体" w:cs="宋体" w:hint="eastAsia"/>
                <w:sz w:val="24"/>
              </w:rPr>
              <w:t>﹞</w:t>
            </w:r>
            <w:r w:rsidRPr="00532506">
              <w:rPr>
                <w:rFonts w:ascii="仿宋_GB2312" w:eastAsia="仿宋_GB2312" w:hAnsi="仿宋_GB2312" w:cs="仿宋_GB2312" w:hint="eastAsia"/>
                <w:sz w:val="24"/>
              </w:rPr>
              <w:t>7号）、《自然资源部关于调整〈矿业权交易规则〉有关规定的通知》（自然资发</w:t>
            </w:r>
            <w:r w:rsidRPr="00532506">
              <w:rPr>
                <w:rFonts w:ascii="宋体" w:hAnsi="宋体" w:cs="宋体" w:hint="eastAsia"/>
                <w:sz w:val="24"/>
              </w:rPr>
              <w:t>﹝</w:t>
            </w:r>
            <w:r w:rsidRPr="00532506">
              <w:rPr>
                <w:rFonts w:ascii="仿宋_GB2312" w:eastAsia="仿宋_GB2312" w:hAnsi="仿宋_GB2312" w:cs="仿宋_GB2312" w:hint="eastAsia"/>
                <w:sz w:val="24"/>
              </w:rPr>
              <w:t>2018</w:t>
            </w:r>
            <w:r w:rsidRPr="00532506">
              <w:rPr>
                <w:rFonts w:ascii="宋体" w:hAnsi="宋体" w:cs="宋体" w:hint="eastAsia"/>
                <w:sz w:val="24"/>
              </w:rPr>
              <w:t>﹞</w:t>
            </w:r>
            <w:r w:rsidRPr="00532506">
              <w:rPr>
                <w:rFonts w:ascii="仿宋_GB2312" w:eastAsia="仿宋_GB2312" w:hAnsi="仿宋_GB2312" w:cs="仿宋_GB2312" w:hint="eastAsia"/>
                <w:sz w:val="24"/>
              </w:rPr>
              <w:t>175号）。</w:t>
            </w:r>
          </w:p>
        </w:tc>
      </w:tr>
      <w:tr w:rsidR="00760B94" w:rsidRPr="00532506" w:rsidTr="00760B94">
        <w:trPr>
          <w:trHeight w:val="695"/>
        </w:trPr>
        <w:tc>
          <w:tcPr>
            <w:tcW w:w="1951" w:type="dxa"/>
            <w:vMerge w:val="restart"/>
            <w:vAlign w:val="center"/>
          </w:tcPr>
          <w:p w:rsidR="00760B94" w:rsidRPr="00532506" w:rsidRDefault="00760B94" w:rsidP="00760B94">
            <w:pPr>
              <w:spacing w:line="300" w:lineRule="exact"/>
              <w:contextualSpacing/>
              <w:jc w:val="center"/>
              <w:rPr>
                <w:sz w:val="24"/>
                <w:u w:val="single"/>
              </w:rPr>
            </w:pPr>
            <w:r w:rsidRPr="00532506">
              <w:rPr>
                <w:rFonts w:ascii="仿宋_GB2312" w:eastAsia="仿宋_GB2312" w:hAnsi="仿宋_GB2312" w:cs="仿宋_GB2312" w:hint="eastAsia"/>
                <w:b/>
                <w:bCs/>
                <w:sz w:val="24"/>
              </w:rPr>
              <w:t>五、资产转让</w:t>
            </w:r>
          </w:p>
        </w:tc>
        <w:tc>
          <w:tcPr>
            <w:tcW w:w="3544" w:type="dxa"/>
            <w:vAlign w:val="center"/>
          </w:tcPr>
          <w:p w:rsidR="00760B94" w:rsidRDefault="00760B94" w:rsidP="00760B94">
            <w:pPr>
              <w:spacing w:line="300" w:lineRule="exact"/>
              <w:contextualSpacing/>
              <w:jc w:val="center"/>
              <w:rPr>
                <w:rFonts w:ascii="仿宋_GB2312" w:eastAsia="仿宋_GB2312" w:hAnsi="仿宋_GB2312" w:cs="仿宋_GB2312"/>
                <w:sz w:val="24"/>
              </w:rPr>
            </w:pPr>
            <w:r w:rsidRPr="00532506">
              <w:rPr>
                <w:rFonts w:ascii="仿宋_GB2312" w:eastAsia="仿宋_GB2312" w:hAnsi="仿宋_GB2312" w:cs="仿宋_GB2312" w:hint="eastAsia"/>
                <w:sz w:val="24"/>
              </w:rPr>
              <w:t>市、县区行政事业单位</w:t>
            </w:r>
          </w:p>
          <w:p w:rsidR="00760B94" w:rsidRPr="00532506" w:rsidRDefault="00760B94" w:rsidP="00760B94">
            <w:pPr>
              <w:spacing w:line="300" w:lineRule="exact"/>
              <w:contextualSpacing/>
              <w:jc w:val="center"/>
              <w:rPr>
                <w:sz w:val="24"/>
                <w:u w:val="single"/>
              </w:rPr>
            </w:pPr>
            <w:r w:rsidRPr="00532506">
              <w:rPr>
                <w:rFonts w:ascii="仿宋_GB2312" w:eastAsia="仿宋_GB2312" w:hAnsi="仿宋_GB2312" w:cs="仿宋_GB2312" w:hint="eastAsia"/>
                <w:sz w:val="24"/>
              </w:rPr>
              <w:t>国有资产的转让</w:t>
            </w:r>
          </w:p>
        </w:tc>
        <w:tc>
          <w:tcPr>
            <w:tcW w:w="2268" w:type="dxa"/>
            <w:vMerge w:val="restart"/>
            <w:vAlign w:val="center"/>
          </w:tcPr>
          <w:p w:rsidR="00760B94" w:rsidRDefault="00760B94" w:rsidP="00760B94">
            <w:pPr>
              <w:spacing w:line="300" w:lineRule="exact"/>
              <w:contextualSpacing/>
              <w:jc w:val="center"/>
              <w:rPr>
                <w:rFonts w:ascii="仿宋_GB2312" w:eastAsia="仿宋_GB2312" w:hAnsi="仿宋_GB2312" w:cs="仿宋_GB2312"/>
                <w:sz w:val="24"/>
              </w:rPr>
            </w:pPr>
            <w:r w:rsidRPr="00532506">
              <w:rPr>
                <w:rFonts w:ascii="仿宋_GB2312" w:eastAsia="仿宋_GB2312" w:hAnsi="仿宋_GB2312" w:cs="仿宋_GB2312" w:hint="eastAsia"/>
                <w:sz w:val="24"/>
              </w:rPr>
              <w:t>市、县公共资源</w:t>
            </w:r>
          </w:p>
          <w:p w:rsidR="00760B94" w:rsidRPr="00532506" w:rsidRDefault="00760B94" w:rsidP="00760B94">
            <w:pPr>
              <w:spacing w:line="300" w:lineRule="exact"/>
              <w:contextualSpacing/>
              <w:jc w:val="center"/>
              <w:rPr>
                <w:sz w:val="24"/>
              </w:rPr>
            </w:pPr>
            <w:r w:rsidRPr="00532506">
              <w:rPr>
                <w:rFonts w:ascii="仿宋_GB2312" w:eastAsia="仿宋_GB2312" w:hAnsi="仿宋_GB2312" w:cs="仿宋_GB2312" w:hint="eastAsia"/>
                <w:sz w:val="24"/>
              </w:rPr>
              <w:t>交易中心</w:t>
            </w:r>
          </w:p>
        </w:tc>
        <w:tc>
          <w:tcPr>
            <w:tcW w:w="6095" w:type="dxa"/>
            <w:vAlign w:val="center"/>
          </w:tcPr>
          <w:p w:rsidR="00760B94" w:rsidRPr="00532506" w:rsidRDefault="00760B94" w:rsidP="00760B94">
            <w:pPr>
              <w:spacing w:line="300" w:lineRule="exact"/>
              <w:contextualSpacing/>
              <w:rPr>
                <w:sz w:val="24"/>
              </w:rPr>
            </w:pPr>
            <w:r w:rsidRPr="00532506">
              <w:rPr>
                <w:rFonts w:ascii="仿宋_GB2312" w:eastAsia="仿宋_GB2312" w:hAnsi="仿宋_GB2312" w:cs="仿宋_GB2312" w:hint="eastAsia"/>
                <w:sz w:val="24"/>
              </w:rPr>
              <w:t>单项合同转让底价10万元（含）以上，国家、省、市另有规定的，按照规定执行。</w:t>
            </w:r>
          </w:p>
        </w:tc>
      </w:tr>
      <w:tr w:rsidR="00760B94" w:rsidRPr="00532506" w:rsidTr="00760B94">
        <w:trPr>
          <w:trHeight w:val="705"/>
        </w:trPr>
        <w:tc>
          <w:tcPr>
            <w:tcW w:w="1951" w:type="dxa"/>
            <w:vMerge/>
            <w:vAlign w:val="center"/>
          </w:tcPr>
          <w:p w:rsidR="00760B94" w:rsidRPr="00532506" w:rsidRDefault="00760B94" w:rsidP="00760B94">
            <w:pPr>
              <w:spacing w:line="300" w:lineRule="exact"/>
              <w:contextualSpacing/>
              <w:jc w:val="center"/>
              <w:rPr>
                <w:rFonts w:ascii="仿宋_GB2312" w:eastAsia="仿宋_GB2312" w:hAnsi="仿宋_GB2312" w:cs="仿宋_GB2312"/>
                <w:b/>
                <w:bCs/>
                <w:color w:val="FF0000"/>
                <w:sz w:val="24"/>
                <w:u w:val="single"/>
              </w:rPr>
            </w:pPr>
          </w:p>
        </w:tc>
        <w:tc>
          <w:tcPr>
            <w:tcW w:w="3544" w:type="dxa"/>
            <w:vAlign w:val="center"/>
          </w:tcPr>
          <w:p w:rsidR="00760B94" w:rsidRPr="00532506" w:rsidRDefault="00760B94" w:rsidP="00760B94">
            <w:pPr>
              <w:spacing w:line="300" w:lineRule="exact"/>
              <w:contextualSpacing/>
              <w:jc w:val="center"/>
              <w:rPr>
                <w:rFonts w:ascii="仿宋_GB2312" w:eastAsia="仿宋_GB2312" w:hAnsi="仿宋_GB2312" w:cs="仿宋_GB2312"/>
                <w:color w:val="FF0000"/>
                <w:sz w:val="24"/>
                <w:u w:val="single"/>
              </w:rPr>
            </w:pPr>
            <w:r w:rsidRPr="00532506">
              <w:rPr>
                <w:rFonts w:ascii="仿宋_GB2312" w:eastAsia="仿宋_GB2312" w:hAnsi="仿宋_GB2312" w:cs="仿宋_GB2312" w:hint="eastAsia"/>
                <w:sz w:val="24"/>
              </w:rPr>
              <w:t>市、县区管理的企业资产转让</w:t>
            </w:r>
          </w:p>
        </w:tc>
        <w:tc>
          <w:tcPr>
            <w:tcW w:w="2268" w:type="dxa"/>
            <w:vMerge/>
            <w:vAlign w:val="center"/>
          </w:tcPr>
          <w:p w:rsidR="00760B94" w:rsidRPr="00532506" w:rsidRDefault="00760B94" w:rsidP="00760B94">
            <w:pPr>
              <w:spacing w:line="300" w:lineRule="exact"/>
              <w:contextualSpacing/>
              <w:jc w:val="center"/>
              <w:rPr>
                <w:rFonts w:ascii="仿宋_GB2312" w:eastAsia="仿宋_GB2312" w:hAnsi="仿宋_GB2312" w:cs="仿宋_GB2312"/>
                <w:sz w:val="24"/>
              </w:rPr>
            </w:pPr>
          </w:p>
        </w:tc>
        <w:tc>
          <w:tcPr>
            <w:tcW w:w="6095" w:type="dxa"/>
            <w:vAlign w:val="center"/>
          </w:tcPr>
          <w:p w:rsidR="00760B94" w:rsidRPr="00532506" w:rsidRDefault="00760B94" w:rsidP="00760B94">
            <w:pPr>
              <w:spacing w:line="300" w:lineRule="exact"/>
              <w:contextualSpacing/>
              <w:rPr>
                <w:rFonts w:ascii="仿宋_GB2312" w:eastAsia="仿宋_GB2312" w:hAnsi="仿宋_GB2312" w:cs="仿宋_GB2312"/>
                <w:sz w:val="24"/>
              </w:rPr>
            </w:pPr>
            <w:r w:rsidRPr="00532506">
              <w:rPr>
                <w:rFonts w:ascii="仿宋_GB2312" w:eastAsia="仿宋_GB2312" w:hAnsi="仿宋_GB2312" w:cs="仿宋_GB2312" w:hint="eastAsia"/>
                <w:sz w:val="24"/>
              </w:rPr>
              <w:t>单项合同转让底价30万元（含）以上，国家、省市另有规定的，按照规定执行。</w:t>
            </w:r>
          </w:p>
        </w:tc>
      </w:tr>
      <w:tr w:rsidR="00532506" w:rsidRPr="00532506" w:rsidTr="00760B94">
        <w:trPr>
          <w:trHeight w:val="714"/>
        </w:trPr>
        <w:tc>
          <w:tcPr>
            <w:tcW w:w="1951" w:type="dxa"/>
            <w:vMerge w:val="restart"/>
            <w:vAlign w:val="center"/>
          </w:tcPr>
          <w:p w:rsidR="00532506" w:rsidRPr="00532506" w:rsidRDefault="00532506" w:rsidP="00760B94">
            <w:pPr>
              <w:spacing w:line="300" w:lineRule="exact"/>
              <w:contextualSpacing/>
              <w:jc w:val="center"/>
              <w:rPr>
                <w:sz w:val="24"/>
              </w:rPr>
            </w:pPr>
            <w:r w:rsidRPr="00532506">
              <w:rPr>
                <w:rFonts w:ascii="仿宋_GB2312" w:eastAsia="仿宋_GB2312" w:hAnsi="仿宋_GB2312" w:cs="仿宋_GB2312" w:hint="eastAsia"/>
                <w:b/>
                <w:bCs/>
                <w:sz w:val="24"/>
              </w:rPr>
              <w:lastRenderedPageBreak/>
              <w:t>六、资产出租</w:t>
            </w:r>
          </w:p>
        </w:tc>
        <w:tc>
          <w:tcPr>
            <w:tcW w:w="3544" w:type="dxa"/>
            <w:vAlign w:val="center"/>
          </w:tcPr>
          <w:p w:rsidR="00532506" w:rsidRDefault="00532506" w:rsidP="00760B94">
            <w:pPr>
              <w:spacing w:line="300" w:lineRule="exact"/>
              <w:contextualSpacing/>
              <w:jc w:val="center"/>
              <w:rPr>
                <w:rFonts w:ascii="仿宋_GB2312" w:eastAsia="仿宋_GB2312" w:hAnsi="仿宋_GB2312" w:cs="仿宋_GB2312"/>
                <w:sz w:val="24"/>
              </w:rPr>
            </w:pPr>
            <w:r w:rsidRPr="00532506">
              <w:rPr>
                <w:rFonts w:ascii="仿宋_GB2312" w:eastAsia="仿宋_GB2312" w:hAnsi="仿宋_GB2312" w:cs="仿宋_GB2312" w:hint="eastAsia"/>
                <w:sz w:val="24"/>
              </w:rPr>
              <w:t>市、县区行政事业单位</w:t>
            </w:r>
          </w:p>
          <w:p w:rsidR="00532506" w:rsidRPr="00532506" w:rsidRDefault="00532506" w:rsidP="00760B94">
            <w:pPr>
              <w:spacing w:line="300" w:lineRule="exact"/>
              <w:contextualSpacing/>
              <w:jc w:val="center"/>
              <w:rPr>
                <w:sz w:val="24"/>
              </w:rPr>
            </w:pPr>
            <w:r w:rsidRPr="00532506">
              <w:rPr>
                <w:rFonts w:ascii="仿宋_GB2312" w:eastAsia="仿宋_GB2312" w:hAnsi="仿宋_GB2312" w:cs="仿宋_GB2312" w:hint="eastAsia"/>
                <w:sz w:val="24"/>
              </w:rPr>
              <w:t>国有资产的出租</w:t>
            </w:r>
          </w:p>
        </w:tc>
        <w:tc>
          <w:tcPr>
            <w:tcW w:w="2268" w:type="dxa"/>
            <w:vAlign w:val="center"/>
          </w:tcPr>
          <w:p w:rsidR="00532506" w:rsidRDefault="00532506" w:rsidP="00760B94">
            <w:pPr>
              <w:spacing w:line="300" w:lineRule="exact"/>
              <w:contextualSpacing/>
              <w:jc w:val="center"/>
              <w:rPr>
                <w:rFonts w:ascii="仿宋_GB2312" w:eastAsia="仿宋_GB2312" w:hAnsi="仿宋_GB2312" w:cs="仿宋_GB2312"/>
                <w:sz w:val="24"/>
              </w:rPr>
            </w:pPr>
            <w:r w:rsidRPr="00532506">
              <w:rPr>
                <w:rFonts w:ascii="仿宋_GB2312" w:eastAsia="仿宋_GB2312" w:hAnsi="仿宋_GB2312" w:cs="仿宋_GB2312" w:hint="eastAsia"/>
                <w:sz w:val="24"/>
              </w:rPr>
              <w:t>市、县公共资源</w:t>
            </w:r>
          </w:p>
          <w:p w:rsidR="00532506" w:rsidRPr="00532506" w:rsidRDefault="00532506" w:rsidP="00760B94">
            <w:pPr>
              <w:spacing w:line="300" w:lineRule="exact"/>
              <w:contextualSpacing/>
              <w:jc w:val="center"/>
              <w:rPr>
                <w:rFonts w:ascii="仿宋_GB2312" w:eastAsia="仿宋_GB2312" w:hAnsi="仿宋_GB2312" w:cs="仿宋_GB2312"/>
                <w:sz w:val="24"/>
              </w:rPr>
            </w:pPr>
            <w:r w:rsidRPr="00532506">
              <w:rPr>
                <w:rFonts w:ascii="仿宋_GB2312" w:eastAsia="仿宋_GB2312" w:hAnsi="仿宋_GB2312" w:cs="仿宋_GB2312" w:hint="eastAsia"/>
                <w:sz w:val="24"/>
              </w:rPr>
              <w:t>交易中心</w:t>
            </w:r>
          </w:p>
        </w:tc>
        <w:tc>
          <w:tcPr>
            <w:tcW w:w="6095" w:type="dxa"/>
            <w:vAlign w:val="center"/>
          </w:tcPr>
          <w:p w:rsidR="00532506" w:rsidRPr="00532506" w:rsidRDefault="00532506" w:rsidP="00760B94">
            <w:pPr>
              <w:spacing w:line="300" w:lineRule="exact"/>
              <w:contextualSpacing/>
              <w:rPr>
                <w:rFonts w:ascii="仿宋_GB2312" w:eastAsia="仿宋_GB2312" w:hAnsi="仿宋_GB2312" w:cs="仿宋_GB2312"/>
                <w:sz w:val="24"/>
              </w:rPr>
            </w:pPr>
            <w:r w:rsidRPr="00532506">
              <w:rPr>
                <w:rFonts w:ascii="仿宋_GB2312" w:eastAsia="仿宋_GB2312" w:hAnsi="仿宋_GB2312" w:cs="仿宋_GB2312" w:hint="eastAsia"/>
                <w:sz w:val="24"/>
              </w:rPr>
              <w:t>单项合同租金估价10万元（含）以上，国家、省市另有规定的，按照规定执行。</w:t>
            </w:r>
          </w:p>
        </w:tc>
      </w:tr>
      <w:tr w:rsidR="00532506" w:rsidRPr="00532506" w:rsidTr="00760B94">
        <w:trPr>
          <w:trHeight w:val="726"/>
        </w:trPr>
        <w:tc>
          <w:tcPr>
            <w:tcW w:w="1951" w:type="dxa"/>
            <w:vMerge/>
            <w:vAlign w:val="center"/>
          </w:tcPr>
          <w:p w:rsidR="00532506" w:rsidRPr="00532506" w:rsidRDefault="00532506" w:rsidP="00760B94">
            <w:pPr>
              <w:spacing w:line="300" w:lineRule="exact"/>
              <w:contextualSpacing/>
              <w:jc w:val="center"/>
              <w:rPr>
                <w:sz w:val="24"/>
              </w:rPr>
            </w:pPr>
          </w:p>
        </w:tc>
        <w:tc>
          <w:tcPr>
            <w:tcW w:w="3544" w:type="dxa"/>
            <w:vAlign w:val="center"/>
          </w:tcPr>
          <w:p w:rsidR="00532506" w:rsidRPr="00532506" w:rsidRDefault="00532506" w:rsidP="00760B94">
            <w:pPr>
              <w:spacing w:line="300" w:lineRule="exact"/>
              <w:contextualSpacing/>
              <w:jc w:val="center"/>
              <w:rPr>
                <w:sz w:val="24"/>
              </w:rPr>
            </w:pPr>
            <w:r w:rsidRPr="00532506">
              <w:rPr>
                <w:rFonts w:ascii="仿宋_GB2312" w:eastAsia="仿宋_GB2312" w:hAnsi="仿宋_GB2312" w:cs="仿宋_GB2312" w:hint="eastAsia"/>
                <w:sz w:val="24"/>
              </w:rPr>
              <w:t>市、县区管理的企业资产的出租</w:t>
            </w:r>
          </w:p>
        </w:tc>
        <w:tc>
          <w:tcPr>
            <w:tcW w:w="2268" w:type="dxa"/>
            <w:vAlign w:val="center"/>
          </w:tcPr>
          <w:p w:rsidR="00532506" w:rsidRDefault="00532506" w:rsidP="00760B94">
            <w:pPr>
              <w:spacing w:line="300" w:lineRule="exact"/>
              <w:contextualSpacing/>
              <w:jc w:val="center"/>
              <w:rPr>
                <w:rFonts w:ascii="仿宋_GB2312" w:eastAsia="仿宋_GB2312" w:hAnsi="仿宋_GB2312" w:cs="仿宋_GB2312"/>
                <w:sz w:val="24"/>
              </w:rPr>
            </w:pPr>
            <w:r w:rsidRPr="00532506">
              <w:rPr>
                <w:rFonts w:ascii="仿宋_GB2312" w:eastAsia="仿宋_GB2312" w:hAnsi="仿宋_GB2312" w:cs="仿宋_GB2312" w:hint="eastAsia"/>
                <w:sz w:val="24"/>
              </w:rPr>
              <w:t>市、县公共资源</w:t>
            </w:r>
          </w:p>
          <w:p w:rsidR="00532506" w:rsidRPr="00532506" w:rsidRDefault="00532506" w:rsidP="00760B94">
            <w:pPr>
              <w:spacing w:line="300" w:lineRule="exact"/>
              <w:contextualSpacing/>
              <w:jc w:val="center"/>
              <w:rPr>
                <w:rFonts w:ascii="仿宋_GB2312" w:eastAsia="仿宋_GB2312" w:hAnsi="仿宋_GB2312" w:cs="仿宋_GB2312"/>
                <w:sz w:val="24"/>
              </w:rPr>
            </w:pPr>
            <w:r w:rsidRPr="00532506">
              <w:rPr>
                <w:rFonts w:ascii="仿宋_GB2312" w:eastAsia="仿宋_GB2312" w:hAnsi="仿宋_GB2312" w:cs="仿宋_GB2312" w:hint="eastAsia"/>
                <w:sz w:val="24"/>
              </w:rPr>
              <w:t>交易中心</w:t>
            </w:r>
          </w:p>
        </w:tc>
        <w:tc>
          <w:tcPr>
            <w:tcW w:w="6095" w:type="dxa"/>
            <w:vAlign w:val="center"/>
          </w:tcPr>
          <w:p w:rsidR="00532506" w:rsidRPr="00532506" w:rsidRDefault="00532506" w:rsidP="00760B94">
            <w:pPr>
              <w:spacing w:line="300" w:lineRule="exact"/>
              <w:contextualSpacing/>
              <w:rPr>
                <w:rFonts w:ascii="仿宋_GB2312" w:eastAsia="仿宋_GB2312" w:hAnsi="仿宋_GB2312" w:cs="仿宋_GB2312"/>
                <w:sz w:val="24"/>
              </w:rPr>
            </w:pPr>
            <w:r w:rsidRPr="00532506">
              <w:rPr>
                <w:rFonts w:ascii="仿宋_GB2312" w:eastAsia="仿宋_GB2312" w:hAnsi="仿宋_GB2312" w:cs="仿宋_GB2312" w:hint="eastAsia"/>
                <w:sz w:val="24"/>
              </w:rPr>
              <w:t>单项合同租金估价30万元（含）以上，国家、省市另有规定的，按照规定执行。</w:t>
            </w:r>
          </w:p>
        </w:tc>
      </w:tr>
      <w:tr w:rsidR="00532506" w:rsidRPr="00532506" w:rsidTr="00760B94">
        <w:trPr>
          <w:trHeight w:val="1304"/>
        </w:trPr>
        <w:tc>
          <w:tcPr>
            <w:tcW w:w="1951" w:type="dxa"/>
            <w:vAlign w:val="center"/>
          </w:tcPr>
          <w:p w:rsidR="00532506" w:rsidRPr="00532506" w:rsidRDefault="00532506" w:rsidP="00760B94">
            <w:pPr>
              <w:spacing w:line="300" w:lineRule="exact"/>
              <w:contextualSpacing/>
              <w:jc w:val="center"/>
              <w:rPr>
                <w:sz w:val="24"/>
              </w:rPr>
            </w:pPr>
            <w:r w:rsidRPr="00532506">
              <w:rPr>
                <w:rFonts w:ascii="仿宋_GB2312" w:eastAsia="仿宋_GB2312" w:hAnsi="仿宋_GB2312" w:cs="仿宋_GB2312" w:hint="eastAsia"/>
                <w:b/>
                <w:bCs/>
                <w:sz w:val="24"/>
              </w:rPr>
              <w:t>七、农村集体产权交易</w:t>
            </w:r>
          </w:p>
        </w:tc>
        <w:tc>
          <w:tcPr>
            <w:tcW w:w="3544" w:type="dxa"/>
            <w:vAlign w:val="center"/>
          </w:tcPr>
          <w:p w:rsidR="00532506" w:rsidRPr="00532506" w:rsidRDefault="00532506" w:rsidP="00760B94">
            <w:pPr>
              <w:spacing w:line="300" w:lineRule="exact"/>
              <w:contextualSpacing/>
              <w:jc w:val="center"/>
              <w:rPr>
                <w:sz w:val="24"/>
              </w:rPr>
            </w:pPr>
            <w:r w:rsidRPr="00532506">
              <w:rPr>
                <w:rFonts w:ascii="仿宋_GB2312" w:eastAsia="仿宋_GB2312" w:hAnsi="仿宋_GB2312" w:cs="仿宋_GB2312" w:hint="eastAsia"/>
                <w:sz w:val="24"/>
              </w:rPr>
              <w:t>农户承包地经营权；“四荒”使用权；农村集体经营性资产；农业生产设施设备；小型水利设施使用权等流转交易</w:t>
            </w:r>
          </w:p>
        </w:tc>
        <w:tc>
          <w:tcPr>
            <w:tcW w:w="2268" w:type="dxa"/>
            <w:vAlign w:val="center"/>
          </w:tcPr>
          <w:p w:rsidR="00532506" w:rsidRDefault="00532506" w:rsidP="00760B94">
            <w:pPr>
              <w:spacing w:line="300" w:lineRule="exact"/>
              <w:contextualSpacing/>
              <w:jc w:val="center"/>
              <w:rPr>
                <w:rFonts w:ascii="仿宋_GB2312" w:eastAsia="仿宋_GB2312" w:hAnsi="仿宋_GB2312" w:cs="仿宋_GB2312"/>
                <w:sz w:val="24"/>
              </w:rPr>
            </w:pPr>
            <w:r w:rsidRPr="00532506">
              <w:rPr>
                <w:rFonts w:ascii="仿宋_GB2312" w:eastAsia="仿宋_GB2312" w:hAnsi="仿宋_GB2312" w:cs="仿宋_GB2312" w:hint="eastAsia"/>
                <w:sz w:val="24"/>
              </w:rPr>
              <w:t>市、县公共资源</w:t>
            </w:r>
          </w:p>
          <w:p w:rsidR="00532506" w:rsidRPr="00532506" w:rsidRDefault="00532506" w:rsidP="00760B94">
            <w:pPr>
              <w:spacing w:line="300" w:lineRule="exact"/>
              <w:contextualSpacing/>
              <w:jc w:val="center"/>
              <w:rPr>
                <w:rFonts w:ascii="仿宋_GB2312" w:eastAsia="仿宋_GB2312" w:hAnsi="仿宋_GB2312" w:cs="仿宋_GB2312"/>
                <w:sz w:val="24"/>
              </w:rPr>
            </w:pPr>
            <w:r w:rsidRPr="00532506">
              <w:rPr>
                <w:rFonts w:ascii="仿宋_GB2312" w:eastAsia="仿宋_GB2312" w:hAnsi="仿宋_GB2312" w:cs="仿宋_GB2312" w:hint="eastAsia"/>
                <w:sz w:val="24"/>
              </w:rPr>
              <w:t>交易中心</w:t>
            </w:r>
          </w:p>
        </w:tc>
        <w:tc>
          <w:tcPr>
            <w:tcW w:w="6095" w:type="dxa"/>
            <w:vAlign w:val="center"/>
          </w:tcPr>
          <w:p w:rsidR="00532506" w:rsidRPr="00532506" w:rsidRDefault="00532506" w:rsidP="00760B94">
            <w:pPr>
              <w:spacing w:line="300" w:lineRule="exact"/>
              <w:contextualSpacing/>
              <w:rPr>
                <w:sz w:val="24"/>
              </w:rPr>
            </w:pPr>
            <w:r w:rsidRPr="00532506">
              <w:rPr>
                <w:rFonts w:ascii="仿宋_GB2312" w:eastAsia="仿宋_GB2312" w:hAnsi="仿宋_GB2312" w:cs="仿宋_GB2312" w:hint="eastAsia"/>
                <w:sz w:val="24"/>
              </w:rPr>
              <w:t>单项合同交易估价30万元（含）以上进入平台交易，30万元以下的交易场所由县、区自定。</w:t>
            </w:r>
          </w:p>
        </w:tc>
      </w:tr>
      <w:tr w:rsidR="00532506" w:rsidRPr="00532506" w:rsidTr="00532506">
        <w:trPr>
          <w:trHeight w:val="1423"/>
        </w:trPr>
        <w:tc>
          <w:tcPr>
            <w:tcW w:w="1951" w:type="dxa"/>
            <w:vAlign w:val="center"/>
          </w:tcPr>
          <w:p w:rsidR="00532506" w:rsidRPr="00532506" w:rsidRDefault="00532506" w:rsidP="00760B94">
            <w:pPr>
              <w:spacing w:line="300" w:lineRule="exact"/>
              <w:contextualSpacing/>
              <w:jc w:val="center"/>
              <w:rPr>
                <w:rFonts w:ascii="仿宋_GB2312" w:eastAsia="仿宋_GB2312" w:hAnsi="仿宋_GB2312" w:cs="仿宋_GB2312"/>
                <w:b/>
                <w:bCs/>
                <w:sz w:val="24"/>
              </w:rPr>
            </w:pPr>
            <w:r w:rsidRPr="00532506">
              <w:rPr>
                <w:rFonts w:ascii="仿宋_GB2312" w:eastAsia="仿宋_GB2312" w:hAnsi="仿宋_GB2312" w:cs="仿宋_GB2312" w:hint="eastAsia"/>
                <w:b/>
                <w:bCs/>
                <w:sz w:val="24"/>
              </w:rPr>
              <w:t>八、林权交易</w:t>
            </w:r>
          </w:p>
        </w:tc>
        <w:tc>
          <w:tcPr>
            <w:tcW w:w="3544" w:type="dxa"/>
            <w:vAlign w:val="center"/>
          </w:tcPr>
          <w:p w:rsidR="00760B94" w:rsidRDefault="00532506" w:rsidP="00760B94">
            <w:pPr>
              <w:spacing w:line="300" w:lineRule="exact"/>
              <w:contextualSpacing/>
              <w:jc w:val="center"/>
              <w:rPr>
                <w:rFonts w:ascii="仿宋_GB2312" w:eastAsia="仿宋_GB2312" w:hAnsi="仿宋_GB2312" w:cs="仿宋_GB2312"/>
                <w:sz w:val="24"/>
              </w:rPr>
            </w:pPr>
            <w:r w:rsidRPr="00532506">
              <w:rPr>
                <w:rFonts w:ascii="仿宋_GB2312" w:eastAsia="仿宋_GB2312" w:hAnsi="仿宋_GB2312" w:cs="仿宋_GB2312" w:hint="eastAsia"/>
                <w:sz w:val="24"/>
              </w:rPr>
              <w:t>市、县区管理的国有林地使用权、租赁权和林木所有权的出让；集体林地经营权和林木</w:t>
            </w:r>
          </w:p>
          <w:p w:rsidR="00532506" w:rsidRPr="00532506" w:rsidRDefault="00532506" w:rsidP="00760B94">
            <w:pPr>
              <w:spacing w:line="300" w:lineRule="exact"/>
              <w:contextualSpacing/>
              <w:jc w:val="center"/>
              <w:rPr>
                <w:rFonts w:ascii="仿宋_GB2312" w:eastAsia="仿宋_GB2312" w:hAnsi="仿宋_GB2312" w:cs="仿宋_GB2312"/>
                <w:sz w:val="24"/>
              </w:rPr>
            </w:pPr>
            <w:r w:rsidRPr="00532506">
              <w:rPr>
                <w:rFonts w:ascii="仿宋_GB2312" w:eastAsia="仿宋_GB2312" w:hAnsi="仿宋_GB2312" w:cs="仿宋_GB2312" w:hint="eastAsia"/>
                <w:sz w:val="24"/>
              </w:rPr>
              <w:t>所有权、使用权的转让</w:t>
            </w:r>
          </w:p>
        </w:tc>
        <w:tc>
          <w:tcPr>
            <w:tcW w:w="2268" w:type="dxa"/>
            <w:vAlign w:val="center"/>
          </w:tcPr>
          <w:p w:rsidR="00532506" w:rsidRDefault="00532506" w:rsidP="00760B94">
            <w:pPr>
              <w:spacing w:line="300" w:lineRule="exact"/>
              <w:contextualSpacing/>
              <w:jc w:val="center"/>
              <w:rPr>
                <w:rFonts w:ascii="仿宋_GB2312" w:eastAsia="仿宋_GB2312" w:hAnsi="仿宋_GB2312" w:cs="仿宋_GB2312"/>
                <w:sz w:val="24"/>
              </w:rPr>
            </w:pPr>
            <w:r w:rsidRPr="00532506">
              <w:rPr>
                <w:rFonts w:ascii="仿宋_GB2312" w:eastAsia="仿宋_GB2312" w:hAnsi="仿宋_GB2312" w:cs="仿宋_GB2312" w:hint="eastAsia"/>
                <w:sz w:val="24"/>
              </w:rPr>
              <w:t>市、县公共资源</w:t>
            </w:r>
          </w:p>
          <w:p w:rsidR="00532506" w:rsidRPr="00532506" w:rsidRDefault="00532506" w:rsidP="00760B94">
            <w:pPr>
              <w:spacing w:line="300" w:lineRule="exact"/>
              <w:contextualSpacing/>
              <w:jc w:val="center"/>
              <w:rPr>
                <w:rFonts w:ascii="仿宋_GB2312" w:eastAsia="仿宋_GB2312" w:hAnsi="仿宋_GB2312" w:cs="仿宋_GB2312"/>
                <w:sz w:val="24"/>
              </w:rPr>
            </w:pPr>
            <w:r w:rsidRPr="00532506">
              <w:rPr>
                <w:rFonts w:ascii="仿宋_GB2312" w:eastAsia="仿宋_GB2312" w:hAnsi="仿宋_GB2312" w:cs="仿宋_GB2312" w:hint="eastAsia"/>
                <w:sz w:val="24"/>
              </w:rPr>
              <w:t>交易中心</w:t>
            </w:r>
          </w:p>
        </w:tc>
        <w:tc>
          <w:tcPr>
            <w:tcW w:w="6095" w:type="dxa"/>
            <w:vAlign w:val="center"/>
          </w:tcPr>
          <w:p w:rsidR="00532506" w:rsidRPr="00532506" w:rsidRDefault="00532506" w:rsidP="00760B94">
            <w:pPr>
              <w:spacing w:line="300" w:lineRule="exact"/>
              <w:contextualSpacing/>
              <w:rPr>
                <w:rFonts w:ascii="仿宋_GB2312" w:eastAsia="仿宋_GB2312" w:hAnsi="仿宋_GB2312" w:cs="仿宋_GB2312"/>
                <w:sz w:val="24"/>
              </w:rPr>
            </w:pPr>
            <w:r w:rsidRPr="00532506">
              <w:rPr>
                <w:rFonts w:ascii="仿宋_GB2312" w:eastAsia="仿宋_GB2312" w:hAnsi="仿宋_GB2312" w:cs="仿宋_GB2312" w:hint="eastAsia"/>
                <w:sz w:val="24"/>
              </w:rPr>
              <w:t>执行《安徽省林权管理条例》。单项合同交易估价30万元（含）以上进入平台交易，30万元以下的交易场所由县区自定。</w:t>
            </w:r>
          </w:p>
        </w:tc>
      </w:tr>
      <w:tr w:rsidR="00532506" w:rsidRPr="00532506" w:rsidTr="00760B94">
        <w:trPr>
          <w:trHeight w:val="901"/>
        </w:trPr>
        <w:tc>
          <w:tcPr>
            <w:tcW w:w="1951" w:type="dxa"/>
            <w:vMerge w:val="restart"/>
            <w:vAlign w:val="center"/>
          </w:tcPr>
          <w:p w:rsidR="00760B94" w:rsidRDefault="00532506" w:rsidP="00760B94">
            <w:pPr>
              <w:spacing w:line="300" w:lineRule="exact"/>
              <w:contextualSpacing/>
              <w:jc w:val="center"/>
              <w:rPr>
                <w:rFonts w:ascii="仿宋_GB2312" w:eastAsia="仿宋_GB2312" w:hAnsi="仿宋_GB2312" w:cs="仿宋_GB2312"/>
                <w:b/>
                <w:bCs/>
                <w:sz w:val="24"/>
              </w:rPr>
            </w:pPr>
            <w:r w:rsidRPr="00532506">
              <w:rPr>
                <w:rFonts w:ascii="仿宋_GB2312" w:eastAsia="仿宋_GB2312" w:hAnsi="仿宋_GB2312" w:cs="仿宋_GB2312" w:hint="eastAsia"/>
                <w:b/>
                <w:bCs/>
                <w:sz w:val="24"/>
              </w:rPr>
              <w:t>九、无形资产</w:t>
            </w:r>
          </w:p>
          <w:p w:rsidR="00532506" w:rsidRPr="00532506" w:rsidRDefault="00532506" w:rsidP="00760B94">
            <w:pPr>
              <w:spacing w:line="300" w:lineRule="exact"/>
              <w:contextualSpacing/>
              <w:jc w:val="center"/>
              <w:rPr>
                <w:sz w:val="24"/>
              </w:rPr>
            </w:pPr>
            <w:r w:rsidRPr="00532506">
              <w:rPr>
                <w:rFonts w:ascii="仿宋_GB2312" w:eastAsia="仿宋_GB2312" w:hAnsi="仿宋_GB2312" w:cs="仿宋_GB2312" w:hint="eastAsia"/>
                <w:b/>
                <w:bCs/>
                <w:sz w:val="24"/>
              </w:rPr>
              <w:t>交易</w:t>
            </w:r>
          </w:p>
        </w:tc>
        <w:tc>
          <w:tcPr>
            <w:tcW w:w="3544" w:type="dxa"/>
            <w:vAlign w:val="center"/>
          </w:tcPr>
          <w:p w:rsidR="00532506" w:rsidRPr="00532506" w:rsidRDefault="00532506" w:rsidP="00760B94">
            <w:pPr>
              <w:spacing w:line="300" w:lineRule="exact"/>
              <w:contextualSpacing/>
              <w:jc w:val="center"/>
              <w:rPr>
                <w:sz w:val="24"/>
              </w:rPr>
            </w:pPr>
            <w:r w:rsidRPr="00532506">
              <w:rPr>
                <w:rFonts w:ascii="仿宋_GB2312" w:eastAsia="仿宋_GB2312" w:hAnsi="仿宋_GB2312" w:cs="仿宋_GB2312" w:hint="eastAsia"/>
                <w:sz w:val="24"/>
              </w:rPr>
              <w:t>市、县区管理的基础设施和公用事业特许经营权</w:t>
            </w:r>
          </w:p>
        </w:tc>
        <w:tc>
          <w:tcPr>
            <w:tcW w:w="2268" w:type="dxa"/>
            <w:vAlign w:val="center"/>
          </w:tcPr>
          <w:p w:rsidR="00532506" w:rsidRDefault="00532506" w:rsidP="00760B94">
            <w:pPr>
              <w:spacing w:line="300" w:lineRule="exact"/>
              <w:contextualSpacing/>
              <w:jc w:val="center"/>
              <w:rPr>
                <w:rFonts w:ascii="仿宋_GB2312" w:eastAsia="仿宋_GB2312" w:hAnsi="仿宋_GB2312" w:cs="仿宋_GB2312"/>
                <w:sz w:val="24"/>
              </w:rPr>
            </w:pPr>
            <w:r w:rsidRPr="00532506">
              <w:rPr>
                <w:rFonts w:ascii="仿宋_GB2312" w:eastAsia="仿宋_GB2312" w:hAnsi="仿宋_GB2312" w:cs="仿宋_GB2312" w:hint="eastAsia"/>
                <w:sz w:val="24"/>
              </w:rPr>
              <w:t>市、县公共资源</w:t>
            </w:r>
          </w:p>
          <w:p w:rsidR="00532506" w:rsidRPr="00532506" w:rsidRDefault="00532506" w:rsidP="00760B94">
            <w:pPr>
              <w:spacing w:line="300" w:lineRule="exact"/>
              <w:contextualSpacing/>
              <w:jc w:val="center"/>
              <w:rPr>
                <w:rFonts w:ascii="仿宋_GB2312" w:eastAsia="仿宋_GB2312" w:hAnsi="仿宋_GB2312" w:cs="仿宋_GB2312"/>
                <w:sz w:val="24"/>
              </w:rPr>
            </w:pPr>
            <w:r w:rsidRPr="00532506">
              <w:rPr>
                <w:rFonts w:ascii="仿宋_GB2312" w:eastAsia="仿宋_GB2312" w:hAnsi="仿宋_GB2312" w:cs="仿宋_GB2312" w:hint="eastAsia"/>
                <w:sz w:val="24"/>
              </w:rPr>
              <w:t>交易中心</w:t>
            </w:r>
          </w:p>
        </w:tc>
        <w:tc>
          <w:tcPr>
            <w:tcW w:w="6095" w:type="dxa"/>
            <w:vAlign w:val="center"/>
          </w:tcPr>
          <w:p w:rsidR="00532506" w:rsidRPr="00532506" w:rsidRDefault="00532506" w:rsidP="00760B94">
            <w:pPr>
              <w:spacing w:line="300" w:lineRule="exact"/>
              <w:contextualSpacing/>
              <w:rPr>
                <w:sz w:val="24"/>
              </w:rPr>
            </w:pPr>
            <w:r w:rsidRPr="00532506">
              <w:rPr>
                <w:rFonts w:ascii="仿宋_GB2312" w:eastAsia="仿宋_GB2312" w:hAnsi="仿宋_GB2312" w:cs="仿宋_GB2312" w:hint="eastAsia"/>
                <w:sz w:val="24"/>
              </w:rPr>
              <w:t>全部。执行《基础设施和公用事业特许经营权管理办法》（国家发改委等六部委令第25号）。</w:t>
            </w:r>
          </w:p>
        </w:tc>
      </w:tr>
      <w:tr w:rsidR="00532506" w:rsidRPr="00532506" w:rsidTr="00532506">
        <w:trPr>
          <w:trHeight w:val="961"/>
        </w:trPr>
        <w:tc>
          <w:tcPr>
            <w:tcW w:w="1951" w:type="dxa"/>
            <w:vMerge/>
            <w:vAlign w:val="center"/>
          </w:tcPr>
          <w:p w:rsidR="00532506" w:rsidRPr="00532506" w:rsidRDefault="00532506" w:rsidP="00760B94">
            <w:pPr>
              <w:spacing w:line="300" w:lineRule="exact"/>
              <w:contextualSpacing/>
              <w:jc w:val="center"/>
              <w:rPr>
                <w:sz w:val="24"/>
              </w:rPr>
            </w:pPr>
          </w:p>
        </w:tc>
        <w:tc>
          <w:tcPr>
            <w:tcW w:w="3544" w:type="dxa"/>
            <w:vAlign w:val="center"/>
          </w:tcPr>
          <w:p w:rsidR="00532506" w:rsidRPr="00532506" w:rsidRDefault="00532506" w:rsidP="00760B94">
            <w:pPr>
              <w:spacing w:line="300" w:lineRule="exact"/>
              <w:contextualSpacing/>
              <w:jc w:val="center"/>
              <w:rPr>
                <w:sz w:val="24"/>
              </w:rPr>
            </w:pPr>
            <w:r w:rsidRPr="00532506">
              <w:rPr>
                <w:rFonts w:ascii="仿宋_GB2312" w:eastAsia="仿宋_GB2312" w:hAnsi="仿宋_GB2312" w:cs="仿宋_GB2312" w:hint="eastAsia"/>
                <w:sz w:val="24"/>
              </w:rPr>
              <w:t>市、县区行政事业单位所有的公共场地的使用权、特许经营权、冠名权有偿转让</w:t>
            </w:r>
          </w:p>
        </w:tc>
        <w:tc>
          <w:tcPr>
            <w:tcW w:w="2268" w:type="dxa"/>
            <w:vAlign w:val="center"/>
          </w:tcPr>
          <w:p w:rsidR="00532506" w:rsidRDefault="00532506" w:rsidP="00760B94">
            <w:pPr>
              <w:spacing w:line="300" w:lineRule="exact"/>
              <w:contextualSpacing/>
              <w:jc w:val="center"/>
              <w:rPr>
                <w:rFonts w:ascii="仿宋_GB2312" w:eastAsia="仿宋_GB2312" w:hAnsi="仿宋_GB2312" w:cs="仿宋_GB2312"/>
                <w:sz w:val="24"/>
              </w:rPr>
            </w:pPr>
            <w:r w:rsidRPr="00532506">
              <w:rPr>
                <w:rFonts w:ascii="仿宋_GB2312" w:eastAsia="仿宋_GB2312" w:hAnsi="仿宋_GB2312" w:cs="仿宋_GB2312" w:hint="eastAsia"/>
                <w:sz w:val="24"/>
              </w:rPr>
              <w:t>市、县公共资源</w:t>
            </w:r>
          </w:p>
          <w:p w:rsidR="00532506" w:rsidRPr="00532506" w:rsidRDefault="00532506" w:rsidP="00760B94">
            <w:pPr>
              <w:spacing w:line="300" w:lineRule="exact"/>
              <w:contextualSpacing/>
              <w:jc w:val="center"/>
              <w:rPr>
                <w:rFonts w:ascii="仿宋_GB2312" w:eastAsia="仿宋_GB2312" w:hAnsi="仿宋_GB2312" w:cs="仿宋_GB2312"/>
                <w:sz w:val="24"/>
              </w:rPr>
            </w:pPr>
            <w:r w:rsidRPr="00532506">
              <w:rPr>
                <w:rFonts w:ascii="仿宋_GB2312" w:eastAsia="仿宋_GB2312" w:hAnsi="仿宋_GB2312" w:cs="仿宋_GB2312" w:hint="eastAsia"/>
                <w:sz w:val="24"/>
              </w:rPr>
              <w:t>交易中心</w:t>
            </w:r>
          </w:p>
        </w:tc>
        <w:tc>
          <w:tcPr>
            <w:tcW w:w="6095" w:type="dxa"/>
            <w:vAlign w:val="center"/>
          </w:tcPr>
          <w:p w:rsidR="00532506" w:rsidRPr="00532506" w:rsidRDefault="00532506" w:rsidP="00760B94">
            <w:pPr>
              <w:spacing w:line="300" w:lineRule="exact"/>
              <w:contextualSpacing/>
              <w:rPr>
                <w:sz w:val="24"/>
              </w:rPr>
            </w:pPr>
            <w:r w:rsidRPr="00532506">
              <w:rPr>
                <w:rFonts w:ascii="仿宋_GB2312" w:eastAsia="仿宋_GB2312" w:hAnsi="仿宋_GB2312" w:cs="仿宋_GB2312" w:hint="eastAsia"/>
                <w:sz w:val="24"/>
              </w:rPr>
              <w:t>单项合同交易估价10万元（含）以上。</w:t>
            </w:r>
          </w:p>
        </w:tc>
      </w:tr>
      <w:tr w:rsidR="00532506" w:rsidRPr="00532506" w:rsidTr="00760B94">
        <w:trPr>
          <w:trHeight w:val="600"/>
        </w:trPr>
        <w:tc>
          <w:tcPr>
            <w:tcW w:w="1951" w:type="dxa"/>
            <w:vAlign w:val="center"/>
          </w:tcPr>
          <w:p w:rsidR="00532506" w:rsidRPr="00532506" w:rsidRDefault="00532506" w:rsidP="00760B94">
            <w:pPr>
              <w:spacing w:line="300" w:lineRule="exact"/>
              <w:contextualSpacing/>
              <w:jc w:val="center"/>
              <w:rPr>
                <w:sz w:val="24"/>
              </w:rPr>
            </w:pPr>
            <w:r w:rsidRPr="00532506">
              <w:rPr>
                <w:rFonts w:ascii="仿宋_GB2312" w:eastAsia="仿宋_GB2312" w:hAnsi="仿宋_GB2312" w:cs="仿宋_GB2312" w:hint="eastAsia"/>
                <w:b/>
                <w:bCs/>
                <w:sz w:val="24"/>
              </w:rPr>
              <w:t>十、涉诉、抵债或罚没资产处置</w:t>
            </w:r>
          </w:p>
        </w:tc>
        <w:tc>
          <w:tcPr>
            <w:tcW w:w="3544" w:type="dxa"/>
            <w:vAlign w:val="center"/>
          </w:tcPr>
          <w:p w:rsidR="00532506" w:rsidRPr="00532506" w:rsidRDefault="00532506" w:rsidP="00760B94">
            <w:pPr>
              <w:spacing w:line="300" w:lineRule="exact"/>
              <w:contextualSpacing/>
              <w:jc w:val="center"/>
              <w:rPr>
                <w:sz w:val="24"/>
              </w:rPr>
            </w:pPr>
            <w:r w:rsidRPr="00532506">
              <w:rPr>
                <w:rFonts w:ascii="仿宋_GB2312" w:eastAsia="仿宋_GB2312" w:hAnsi="仿宋_GB2312" w:cs="仿宋_GB2312" w:hint="eastAsia"/>
                <w:sz w:val="24"/>
              </w:rPr>
              <w:t>市、县区司法机关和行政执法部门依法依纪没收、追缴的涉诉、抵债或罚没资产处置</w:t>
            </w:r>
          </w:p>
        </w:tc>
        <w:tc>
          <w:tcPr>
            <w:tcW w:w="2268" w:type="dxa"/>
            <w:vAlign w:val="center"/>
          </w:tcPr>
          <w:p w:rsidR="00760B94" w:rsidRDefault="00532506" w:rsidP="00760B94">
            <w:pPr>
              <w:spacing w:line="300" w:lineRule="exact"/>
              <w:contextualSpacing/>
              <w:jc w:val="center"/>
              <w:rPr>
                <w:rFonts w:ascii="仿宋_GB2312" w:eastAsia="仿宋_GB2312" w:hAnsi="仿宋_GB2312" w:cs="仿宋_GB2312"/>
                <w:sz w:val="24"/>
              </w:rPr>
            </w:pPr>
            <w:r w:rsidRPr="00532506">
              <w:rPr>
                <w:rFonts w:ascii="仿宋_GB2312" w:eastAsia="仿宋_GB2312" w:hAnsi="仿宋_GB2312" w:cs="仿宋_GB2312" w:hint="eastAsia"/>
                <w:sz w:val="24"/>
              </w:rPr>
              <w:t>市、县公共资源</w:t>
            </w:r>
          </w:p>
          <w:p w:rsidR="00532506" w:rsidRPr="00760B94" w:rsidRDefault="00532506" w:rsidP="00760B94">
            <w:pPr>
              <w:spacing w:line="300" w:lineRule="exact"/>
              <w:contextualSpacing/>
              <w:jc w:val="center"/>
              <w:rPr>
                <w:rFonts w:ascii="仿宋_GB2312" w:eastAsia="仿宋_GB2312" w:hAnsi="仿宋_GB2312" w:cs="仿宋_GB2312"/>
                <w:sz w:val="24"/>
              </w:rPr>
            </w:pPr>
            <w:r w:rsidRPr="00532506">
              <w:rPr>
                <w:rFonts w:ascii="仿宋_GB2312" w:eastAsia="仿宋_GB2312" w:hAnsi="仿宋_GB2312" w:cs="仿宋_GB2312" w:hint="eastAsia"/>
                <w:sz w:val="24"/>
              </w:rPr>
              <w:t>交易中心</w:t>
            </w:r>
          </w:p>
        </w:tc>
        <w:tc>
          <w:tcPr>
            <w:tcW w:w="6095" w:type="dxa"/>
            <w:vAlign w:val="center"/>
          </w:tcPr>
          <w:p w:rsidR="00532506" w:rsidRPr="00532506" w:rsidRDefault="00532506" w:rsidP="00760B94">
            <w:pPr>
              <w:spacing w:line="300" w:lineRule="exact"/>
              <w:contextualSpacing/>
              <w:jc w:val="center"/>
              <w:rPr>
                <w:sz w:val="24"/>
              </w:rPr>
            </w:pPr>
            <w:r w:rsidRPr="00532506">
              <w:rPr>
                <w:rFonts w:ascii="仿宋_GB2312" w:eastAsia="仿宋_GB2312" w:hAnsi="仿宋_GB2312" w:cs="仿宋_GB2312" w:hint="eastAsia"/>
                <w:sz w:val="24"/>
              </w:rPr>
              <w:t>全部（</w:t>
            </w:r>
            <w:r w:rsidRPr="00532506">
              <w:rPr>
                <w:rFonts w:ascii="仿宋_GB2312" w:eastAsia="仿宋_GB2312" w:hAnsi="仿宋_GB2312" w:cs="仿宋_GB2312" w:hint="eastAsia"/>
                <w:color w:val="000000"/>
                <w:sz w:val="24"/>
              </w:rPr>
              <w:t>鲜活产品除外；司法机关另有规定的，从其规定</w:t>
            </w:r>
            <w:r w:rsidRPr="00532506">
              <w:rPr>
                <w:rFonts w:ascii="仿宋_GB2312" w:eastAsia="仿宋_GB2312" w:hAnsi="仿宋_GB2312" w:cs="仿宋_GB2312" w:hint="eastAsia"/>
                <w:sz w:val="24"/>
              </w:rPr>
              <w:t>）。</w:t>
            </w:r>
          </w:p>
        </w:tc>
      </w:tr>
      <w:tr w:rsidR="00532506" w:rsidRPr="00532506" w:rsidTr="00760B94">
        <w:trPr>
          <w:trHeight w:val="1038"/>
        </w:trPr>
        <w:tc>
          <w:tcPr>
            <w:tcW w:w="1951" w:type="dxa"/>
            <w:vAlign w:val="center"/>
          </w:tcPr>
          <w:p w:rsidR="00532506" w:rsidRPr="00532506" w:rsidRDefault="00532506" w:rsidP="00760B94">
            <w:pPr>
              <w:spacing w:line="300" w:lineRule="exact"/>
              <w:contextualSpacing/>
              <w:jc w:val="center"/>
              <w:rPr>
                <w:sz w:val="24"/>
                <w:u w:val="single"/>
              </w:rPr>
            </w:pPr>
            <w:r w:rsidRPr="00532506">
              <w:rPr>
                <w:rFonts w:ascii="仿宋_GB2312" w:eastAsia="仿宋_GB2312" w:hAnsi="仿宋_GB2312" w:cs="仿宋_GB2312" w:hint="eastAsia"/>
                <w:b/>
                <w:bCs/>
                <w:sz w:val="24"/>
              </w:rPr>
              <w:t>十一、其他</w:t>
            </w:r>
          </w:p>
        </w:tc>
        <w:tc>
          <w:tcPr>
            <w:tcW w:w="3544" w:type="dxa"/>
            <w:vAlign w:val="center"/>
          </w:tcPr>
          <w:p w:rsidR="00532506" w:rsidRPr="00532506" w:rsidRDefault="00532506" w:rsidP="00760B94">
            <w:pPr>
              <w:spacing w:line="300" w:lineRule="exact"/>
              <w:contextualSpacing/>
              <w:jc w:val="center"/>
              <w:rPr>
                <w:sz w:val="24"/>
                <w:u w:val="single"/>
              </w:rPr>
            </w:pPr>
            <w:r w:rsidRPr="00532506">
              <w:rPr>
                <w:rFonts w:ascii="仿宋_GB2312" w:eastAsia="仿宋_GB2312" w:hAnsi="仿宋_GB2312" w:cs="仿宋_GB2312" w:hint="eastAsia"/>
                <w:sz w:val="24"/>
              </w:rPr>
              <w:t>碳排放权、排污权、用能权等法律法规、市级及以上文件规定应进场交易的各类公共资源项目</w:t>
            </w:r>
          </w:p>
        </w:tc>
        <w:tc>
          <w:tcPr>
            <w:tcW w:w="2268" w:type="dxa"/>
            <w:vAlign w:val="center"/>
          </w:tcPr>
          <w:p w:rsidR="00760B94" w:rsidRDefault="00532506" w:rsidP="00760B94">
            <w:pPr>
              <w:spacing w:line="300" w:lineRule="exact"/>
              <w:contextualSpacing/>
              <w:jc w:val="center"/>
              <w:rPr>
                <w:rFonts w:ascii="仿宋_GB2312" w:eastAsia="仿宋_GB2312" w:hAnsi="仿宋_GB2312" w:cs="仿宋_GB2312"/>
                <w:sz w:val="24"/>
              </w:rPr>
            </w:pPr>
            <w:r w:rsidRPr="00532506">
              <w:rPr>
                <w:rFonts w:ascii="仿宋_GB2312" w:eastAsia="仿宋_GB2312" w:hAnsi="仿宋_GB2312" w:cs="仿宋_GB2312" w:hint="eastAsia"/>
                <w:sz w:val="24"/>
              </w:rPr>
              <w:t>市公共资源</w:t>
            </w:r>
          </w:p>
          <w:p w:rsidR="00532506" w:rsidRPr="00532506" w:rsidRDefault="00532506" w:rsidP="00760B94">
            <w:pPr>
              <w:spacing w:line="300" w:lineRule="exact"/>
              <w:contextualSpacing/>
              <w:jc w:val="center"/>
              <w:rPr>
                <w:sz w:val="24"/>
                <w:u w:val="single"/>
              </w:rPr>
            </w:pPr>
            <w:r w:rsidRPr="00532506">
              <w:rPr>
                <w:rFonts w:ascii="仿宋_GB2312" w:eastAsia="仿宋_GB2312" w:hAnsi="仿宋_GB2312" w:cs="仿宋_GB2312" w:hint="eastAsia"/>
                <w:sz w:val="24"/>
              </w:rPr>
              <w:t>交易中心</w:t>
            </w:r>
          </w:p>
        </w:tc>
        <w:tc>
          <w:tcPr>
            <w:tcW w:w="6095" w:type="dxa"/>
            <w:vAlign w:val="center"/>
          </w:tcPr>
          <w:p w:rsidR="00532506" w:rsidRPr="00532506" w:rsidRDefault="00532506" w:rsidP="00760B94">
            <w:pPr>
              <w:spacing w:line="300" w:lineRule="exact"/>
              <w:contextualSpacing/>
              <w:rPr>
                <w:sz w:val="24"/>
                <w:u w:val="single"/>
              </w:rPr>
            </w:pPr>
            <w:r w:rsidRPr="00532506">
              <w:rPr>
                <w:rFonts w:ascii="仿宋_GB2312" w:eastAsia="仿宋_GB2312" w:hAnsi="仿宋_GB2312" w:cs="仿宋_GB2312" w:hint="eastAsia"/>
                <w:sz w:val="24"/>
              </w:rPr>
              <w:t>全部。执行国家和省市有关规定。</w:t>
            </w:r>
          </w:p>
        </w:tc>
      </w:tr>
    </w:tbl>
    <w:p w:rsidR="00E27AF9" w:rsidRDefault="00E27AF9" w:rsidP="00760B94">
      <w:pPr>
        <w:spacing w:line="100" w:lineRule="exact"/>
      </w:pPr>
    </w:p>
    <w:sectPr w:rsidR="00E27AF9" w:rsidSect="00532506">
      <w:pgSz w:w="16838" w:h="11906" w:orient="landscape"/>
      <w:pgMar w:top="1531" w:right="1701" w:bottom="1531" w:left="1418"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157B" w:rsidRDefault="00E5157B" w:rsidP="00FF06DF">
      <w:r>
        <w:separator/>
      </w:r>
    </w:p>
  </w:endnote>
  <w:endnote w:type="continuationSeparator" w:id="1">
    <w:p w:rsidR="00E5157B" w:rsidRDefault="00E5157B" w:rsidP="00FF06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rif">
    <w:altName w:val="Segoe Print"/>
    <w:charset w:val="00"/>
    <w:family w:val="auto"/>
    <w:pitch w:val="default"/>
    <w:sig w:usb0="00000000" w:usb1="00000000" w:usb2="00000000" w:usb3="00000000" w:csb0="0000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altName w:val="微软雅黑"/>
    <w:charset w:val="86"/>
    <w:family w:val="roma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157B" w:rsidRDefault="00E5157B" w:rsidP="00FF06DF">
      <w:r>
        <w:separator/>
      </w:r>
    </w:p>
  </w:footnote>
  <w:footnote w:type="continuationSeparator" w:id="1">
    <w:p w:rsidR="00E5157B" w:rsidRDefault="00E5157B" w:rsidP="00FF06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464ACAA"/>
    <w:multiLevelType w:val="singleLevel"/>
    <w:tmpl w:val="9464ACAA"/>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ZTkwZWRlZDMzYTc2ZTE5MTFjODE3NWQ4ODIwMDJjNjQifQ=="/>
  </w:docVars>
  <w:rsids>
    <w:rsidRoot w:val="00E27AF9"/>
    <w:rsid w:val="0022348F"/>
    <w:rsid w:val="00532506"/>
    <w:rsid w:val="00760B94"/>
    <w:rsid w:val="00E27AF9"/>
    <w:rsid w:val="00E5157B"/>
    <w:rsid w:val="00EA5A26"/>
    <w:rsid w:val="00FF06DF"/>
    <w:rsid w:val="02985DC6"/>
    <w:rsid w:val="02CA40EB"/>
    <w:rsid w:val="0334624A"/>
    <w:rsid w:val="03F30C5E"/>
    <w:rsid w:val="06B606D5"/>
    <w:rsid w:val="0820096A"/>
    <w:rsid w:val="0A7C0E53"/>
    <w:rsid w:val="0BA323AD"/>
    <w:rsid w:val="0BFB18AB"/>
    <w:rsid w:val="0ED135DB"/>
    <w:rsid w:val="0F182745"/>
    <w:rsid w:val="112138AF"/>
    <w:rsid w:val="11657A7C"/>
    <w:rsid w:val="123B083A"/>
    <w:rsid w:val="128F4AEF"/>
    <w:rsid w:val="15CB048A"/>
    <w:rsid w:val="15FC6940"/>
    <w:rsid w:val="1A3942EA"/>
    <w:rsid w:val="1AE7540B"/>
    <w:rsid w:val="1B0C2B27"/>
    <w:rsid w:val="1C016EF8"/>
    <w:rsid w:val="1C660662"/>
    <w:rsid w:val="1C8102B5"/>
    <w:rsid w:val="1E004E1C"/>
    <w:rsid w:val="1EFF0115"/>
    <w:rsid w:val="1F0C322D"/>
    <w:rsid w:val="226513C9"/>
    <w:rsid w:val="237D596A"/>
    <w:rsid w:val="242B03F0"/>
    <w:rsid w:val="250F386E"/>
    <w:rsid w:val="262D005C"/>
    <w:rsid w:val="26601CD1"/>
    <w:rsid w:val="27893DAB"/>
    <w:rsid w:val="282F42F1"/>
    <w:rsid w:val="2D2769A9"/>
    <w:rsid w:val="2D7D4D65"/>
    <w:rsid w:val="2E993B22"/>
    <w:rsid w:val="2F3D3BB5"/>
    <w:rsid w:val="2F6340F7"/>
    <w:rsid w:val="2F832B3F"/>
    <w:rsid w:val="303A5B79"/>
    <w:rsid w:val="3265134B"/>
    <w:rsid w:val="33650220"/>
    <w:rsid w:val="341536D7"/>
    <w:rsid w:val="342D5689"/>
    <w:rsid w:val="348658AD"/>
    <w:rsid w:val="355C7ED3"/>
    <w:rsid w:val="36FD013F"/>
    <w:rsid w:val="37180CA8"/>
    <w:rsid w:val="383218F5"/>
    <w:rsid w:val="3C85449C"/>
    <w:rsid w:val="3C8B7C83"/>
    <w:rsid w:val="3D2C432C"/>
    <w:rsid w:val="3D804EB1"/>
    <w:rsid w:val="3E3E4471"/>
    <w:rsid w:val="3E5C6E7F"/>
    <w:rsid w:val="3EB435C5"/>
    <w:rsid w:val="3EBA2645"/>
    <w:rsid w:val="3FBA4AEC"/>
    <w:rsid w:val="41361E3F"/>
    <w:rsid w:val="41B40342"/>
    <w:rsid w:val="42806931"/>
    <w:rsid w:val="432D3D9A"/>
    <w:rsid w:val="43487189"/>
    <w:rsid w:val="43BB5A54"/>
    <w:rsid w:val="45E5267F"/>
    <w:rsid w:val="46B9113D"/>
    <w:rsid w:val="477A5656"/>
    <w:rsid w:val="47BE181D"/>
    <w:rsid w:val="49067791"/>
    <w:rsid w:val="494920D5"/>
    <w:rsid w:val="496E6355"/>
    <w:rsid w:val="4A062586"/>
    <w:rsid w:val="4A6060CF"/>
    <w:rsid w:val="4AEA3885"/>
    <w:rsid w:val="4B5D4A84"/>
    <w:rsid w:val="4CC0667D"/>
    <w:rsid w:val="4CCA3CF4"/>
    <w:rsid w:val="4CCE5F6A"/>
    <w:rsid w:val="4D994B3D"/>
    <w:rsid w:val="4E6F6FA8"/>
    <w:rsid w:val="4E8B1EC4"/>
    <w:rsid w:val="4F1F09CE"/>
    <w:rsid w:val="4FA54942"/>
    <w:rsid w:val="4FA85C01"/>
    <w:rsid w:val="4FFA2AF7"/>
    <w:rsid w:val="5107293C"/>
    <w:rsid w:val="5238351C"/>
    <w:rsid w:val="5256072C"/>
    <w:rsid w:val="52644B00"/>
    <w:rsid w:val="537555F9"/>
    <w:rsid w:val="53BD48CD"/>
    <w:rsid w:val="55C571C8"/>
    <w:rsid w:val="55DD0C9B"/>
    <w:rsid w:val="56542495"/>
    <w:rsid w:val="579A7A53"/>
    <w:rsid w:val="58533496"/>
    <w:rsid w:val="5B6A2FD1"/>
    <w:rsid w:val="5C413AF6"/>
    <w:rsid w:val="5C975796"/>
    <w:rsid w:val="5CFC2EDF"/>
    <w:rsid w:val="5D7233C9"/>
    <w:rsid w:val="5DFA7034"/>
    <w:rsid w:val="5E130253"/>
    <w:rsid w:val="5FE83946"/>
    <w:rsid w:val="632C71A3"/>
    <w:rsid w:val="638F0E4D"/>
    <w:rsid w:val="639F072D"/>
    <w:rsid w:val="647B0FF8"/>
    <w:rsid w:val="66A81451"/>
    <w:rsid w:val="675039C2"/>
    <w:rsid w:val="69F1073A"/>
    <w:rsid w:val="6AD3497A"/>
    <w:rsid w:val="6C557268"/>
    <w:rsid w:val="6C8A246A"/>
    <w:rsid w:val="6F024CDC"/>
    <w:rsid w:val="733F398B"/>
    <w:rsid w:val="749F21A9"/>
    <w:rsid w:val="75E01873"/>
    <w:rsid w:val="75F61BD9"/>
    <w:rsid w:val="78E3182D"/>
    <w:rsid w:val="79881F85"/>
    <w:rsid w:val="7A914A68"/>
    <w:rsid w:val="7BE14791"/>
    <w:rsid w:val="7CCE0A76"/>
    <w:rsid w:val="7E4C1721"/>
    <w:rsid w:val="7F7B6F84"/>
    <w:rsid w:val="7FD64037"/>
    <w:rsid w:val="7FEE7A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Variabl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A5A2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EA5A26"/>
    <w:pPr>
      <w:tabs>
        <w:tab w:val="center" w:pos="4153"/>
        <w:tab w:val="right" w:pos="8306"/>
      </w:tabs>
      <w:snapToGrid w:val="0"/>
      <w:jc w:val="left"/>
    </w:pPr>
    <w:rPr>
      <w:sz w:val="18"/>
    </w:rPr>
  </w:style>
  <w:style w:type="paragraph" w:styleId="a4">
    <w:name w:val="header"/>
    <w:basedOn w:val="a"/>
    <w:qFormat/>
    <w:rsid w:val="00EA5A2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EA5A26"/>
    <w:pPr>
      <w:widowControl/>
      <w:spacing w:before="100" w:beforeAutospacing="1" w:after="100" w:afterAutospacing="1"/>
      <w:jc w:val="left"/>
    </w:pPr>
    <w:rPr>
      <w:rFonts w:ascii="宋体" w:hAnsi="宋体" w:cs="宋体"/>
      <w:kern w:val="0"/>
      <w:sz w:val="24"/>
    </w:rPr>
  </w:style>
  <w:style w:type="table" w:styleId="a6">
    <w:name w:val="Table Grid"/>
    <w:basedOn w:val="a1"/>
    <w:qFormat/>
    <w:rsid w:val="00EA5A2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llowedHyperlink"/>
    <w:basedOn w:val="a0"/>
    <w:qFormat/>
    <w:rsid w:val="00EA5A26"/>
    <w:rPr>
      <w:color w:val="333333"/>
      <w:u w:val="none"/>
    </w:rPr>
  </w:style>
  <w:style w:type="character" w:styleId="a8">
    <w:name w:val="Emphasis"/>
    <w:basedOn w:val="a0"/>
    <w:qFormat/>
    <w:rsid w:val="00EA5A26"/>
  </w:style>
  <w:style w:type="character" w:styleId="HTML">
    <w:name w:val="HTML Definition"/>
    <w:basedOn w:val="a0"/>
    <w:qFormat/>
    <w:rsid w:val="00EA5A26"/>
  </w:style>
  <w:style w:type="character" w:styleId="HTML0">
    <w:name w:val="HTML Acronym"/>
    <w:basedOn w:val="a0"/>
    <w:qFormat/>
    <w:rsid w:val="00EA5A26"/>
  </w:style>
  <w:style w:type="character" w:styleId="HTML1">
    <w:name w:val="HTML Variable"/>
    <w:basedOn w:val="a0"/>
    <w:qFormat/>
    <w:rsid w:val="00EA5A26"/>
  </w:style>
  <w:style w:type="character" w:styleId="a9">
    <w:name w:val="Hyperlink"/>
    <w:basedOn w:val="a0"/>
    <w:qFormat/>
    <w:rsid w:val="00EA5A26"/>
    <w:rPr>
      <w:color w:val="0000FF"/>
      <w:u w:val="single"/>
    </w:rPr>
  </w:style>
  <w:style w:type="character" w:styleId="HTML2">
    <w:name w:val="HTML Code"/>
    <w:basedOn w:val="a0"/>
    <w:qFormat/>
    <w:rsid w:val="00EA5A26"/>
    <w:rPr>
      <w:rFonts w:ascii="serif" w:eastAsia="serif" w:hAnsi="serif" w:cs="serif" w:hint="default"/>
      <w:sz w:val="21"/>
      <w:szCs w:val="21"/>
    </w:rPr>
  </w:style>
  <w:style w:type="character" w:styleId="HTML3">
    <w:name w:val="HTML Cite"/>
    <w:basedOn w:val="a0"/>
    <w:qFormat/>
    <w:rsid w:val="00EA5A26"/>
  </w:style>
  <w:style w:type="character" w:styleId="HTML4">
    <w:name w:val="HTML Keyboard"/>
    <w:basedOn w:val="a0"/>
    <w:qFormat/>
    <w:rsid w:val="00EA5A26"/>
    <w:rPr>
      <w:rFonts w:ascii="serif" w:eastAsia="serif" w:hAnsi="serif" w:cs="serif" w:hint="default"/>
      <w:sz w:val="21"/>
      <w:szCs w:val="21"/>
    </w:rPr>
  </w:style>
  <w:style w:type="character" w:styleId="HTML5">
    <w:name w:val="HTML Sample"/>
    <w:basedOn w:val="a0"/>
    <w:qFormat/>
    <w:rsid w:val="00EA5A26"/>
    <w:rPr>
      <w:rFonts w:ascii="serif" w:eastAsia="serif" w:hAnsi="serif" w:cs="serif"/>
      <w:sz w:val="21"/>
      <w:szCs w:val="21"/>
    </w:rPr>
  </w:style>
  <w:style w:type="character" w:customStyle="1" w:styleId="hover">
    <w:name w:val="hover"/>
    <w:basedOn w:val="a0"/>
    <w:qFormat/>
    <w:rsid w:val="00EA5A26"/>
    <w:rPr>
      <w:color w:val="C7221F"/>
      <w:shd w:val="clear" w:color="auto" w:fill="FFFFFF"/>
    </w:rPr>
  </w:style>
  <w:style w:type="character" w:customStyle="1" w:styleId="currli">
    <w:name w:val="curr_li"/>
    <w:basedOn w:val="a0"/>
    <w:qFormat/>
    <w:rsid w:val="00EA5A26"/>
    <w:rPr>
      <w:color w:val="C7221F"/>
      <w:shd w:val="clear" w:color="auto" w:fill="FFFFFF"/>
    </w:rPr>
  </w:style>
  <w:style w:type="character" w:customStyle="1" w:styleId="hover7">
    <w:name w:val="hover7"/>
    <w:basedOn w:val="a0"/>
    <w:qFormat/>
    <w:rsid w:val="00EA5A26"/>
    <w:rPr>
      <w:color w:val="C7221F"/>
      <w:shd w:val="clear" w:color="auto" w:fill="FFFFFF"/>
    </w:rPr>
  </w:style>
  <w:style w:type="paragraph" w:customStyle="1" w:styleId="1">
    <w:name w:val="普通(网站)1"/>
    <w:basedOn w:val="a"/>
    <w:qFormat/>
    <w:rsid w:val="00EA5A26"/>
    <w:pPr>
      <w:widowControl/>
      <w:spacing w:before="100" w:beforeAutospacing="1" w:after="100" w:afterAutospacing="1"/>
      <w:jc w:val="left"/>
    </w:pPr>
    <w:rPr>
      <w:rFonts w:ascii="宋体" w:hAnsi="宋体" w:cs="宋体"/>
      <w:kern w:val="0"/>
      <w:sz w:val="24"/>
    </w:rPr>
  </w:style>
  <w:style w:type="paragraph" w:styleId="aa">
    <w:name w:val="List Paragraph"/>
    <w:basedOn w:val="a"/>
    <w:uiPriority w:val="99"/>
    <w:unhideWhenUsed/>
    <w:rsid w:val="0053250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Variabl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widowControl/>
      <w:spacing w:before="100" w:beforeAutospacing="1" w:after="100" w:afterAutospacing="1"/>
      <w:jc w:val="left"/>
    </w:pPr>
    <w:rPr>
      <w:rFonts w:ascii="宋体" w:hAnsi="宋体" w:cs="宋体"/>
      <w:kern w:val="0"/>
      <w:sz w:val="24"/>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llowedHyperlink"/>
    <w:basedOn w:val="a0"/>
    <w:qFormat/>
    <w:rPr>
      <w:color w:val="333333"/>
      <w:u w:val="none"/>
    </w:rPr>
  </w:style>
  <w:style w:type="character" w:styleId="a8">
    <w:name w:val="Emphasis"/>
    <w:basedOn w:val="a0"/>
    <w:qFormat/>
  </w:style>
  <w:style w:type="character" w:styleId="HTML">
    <w:name w:val="HTML Definition"/>
    <w:basedOn w:val="a0"/>
    <w:qFormat/>
  </w:style>
  <w:style w:type="character" w:styleId="HTML0">
    <w:name w:val="HTML Acronym"/>
    <w:basedOn w:val="a0"/>
    <w:qFormat/>
  </w:style>
  <w:style w:type="character" w:styleId="HTML1">
    <w:name w:val="HTML Variable"/>
    <w:basedOn w:val="a0"/>
    <w:qFormat/>
  </w:style>
  <w:style w:type="character" w:styleId="a9">
    <w:name w:val="Hyperlink"/>
    <w:basedOn w:val="a0"/>
    <w:qFormat/>
    <w:rPr>
      <w:color w:val="0000FF"/>
      <w:u w:val="single"/>
    </w:rPr>
  </w:style>
  <w:style w:type="character" w:styleId="HTML2">
    <w:name w:val="HTML Code"/>
    <w:basedOn w:val="a0"/>
    <w:qFormat/>
    <w:rPr>
      <w:rFonts w:ascii="serif" w:eastAsia="serif" w:hAnsi="serif" w:cs="serif" w:hint="default"/>
      <w:sz w:val="21"/>
      <w:szCs w:val="21"/>
    </w:rPr>
  </w:style>
  <w:style w:type="character" w:styleId="HTML3">
    <w:name w:val="HTML Cite"/>
    <w:basedOn w:val="a0"/>
    <w:qFormat/>
  </w:style>
  <w:style w:type="character" w:styleId="HTML4">
    <w:name w:val="HTML Keyboard"/>
    <w:basedOn w:val="a0"/>
    <w:qFormat/>
    <w:rPr>
      <w:rFonts w:ascii="serif" w:eastAsia="serif" w:hAnsi="serif" w:cs="serif" w:hint="default"/>
      <w:sz w:val="21"/>
      <w:szCs w:val="21"/>
    </w:rPr>
  </w:style>
  <w:style w:type="character" w:styleId="HTML5">
    <w:name w:val="HTML Sample"/>
    <w:basedOn w:val="a0"/>
    <w:qFormat/>
    <w:rPr>
      <w:rFonts w:ascii="serif" w:eastAsia="serif" w:hAnsi="serif" w:cs="serif"/>
      <w:sz w:val="21"/>
      <w:szCs w:val="21"/>
    </w:rPr>
  </w:style>
  <w:style w:type="character" w:customStyle="1" w:styleId="hover">
    <w:name w:val="hover"/>
    <w:basedOn w:val="a0"/>
    <w:qFormat/>
    <w:rPr>
      <w:color w:val="C7221F"/>
      <w:shd w:val="clear" w:color="auto" w:fill="FFFFFF"/>
    </w:rPr>
  </w:style>
  <w:style w:type="character" w:customStyle="1" w:styleId="currli">
    <w:name w:val="curr_li"/>
    <w:basedOn w:val="a0"/>
    <w:qFormat/>
    <w:rPr>
      <w:color w:val="C7221F"/>
      <w:shd w:val="clear" w:color="auto" w:fill="FFFFFF"/>
    </w:rPr>
  </w:style>
  <w:style w:type="character" w:customStyle="1" w:styleId="hover7">
    <w:name w:val="hover7"/>
    <w:basedOn w:val="a0"/>
    <w:qFormat/>
    <w:rPr>
      <w:color w:val="C7221F"/>
      <w:shd w:val="clear" w:color="auto" w:fill="FFFFFF"/>
    </w:rPr>
  </w:style>
  <w:style w:type="paragraph" w:customStyle="1" w:styleId="1">
    <w:name w:val="普通(网站)1"/>
    <w:basedOn w:val="a"/>
    <w:qFormat/>
    <w:pPr>
      <w:widowControl/>
      <w:spacing w:before="100" w:beforeAutospacing="1" w:after="100" w:afterAutospacing="1"/>
      <w:jc w:val="left"/>
    </w:pPr>
    <w:rPr>
      <w:rFonts w:ascii="宋体" w:hAnsi="宋体" w:cs="宋体"/>
      <w:kern w:val="0"/>
      <w:sz w:val="24"/>
    </w:rPr>
  </w:style>
  <w:style w:type="paragraph" w:styleId="aa">
    <w:name w:val="List Paragraph"/>
    <w:basedOn w:val="a"/>
    <w:uiPriority w:val="99"/>
    <w:unhideWhenUsed/>
    <w:rsid w:val="00532506"/>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bi360.net/hyjd/1zt106.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406</Words>
  <Characters>2320</Characters>
  <Application>Microsoft Office Word</Application>
  <DocSecurity>0</DocSecurity>
  <Lines>19</Lines>
  <Paragraphs>5</Paragraphs>
  <ScaleCrop>false</ScaleCrop>
  <Company/>
  <LinksUpToDate>false</LinksUpToDate>
  <CharactersWithSpaces>2721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2</cp:revision>
  <cp:lastPrinted>2022-08-12T01:45:00Z</cp:lastPrinted>
  <dcterms:created xsi:type="dcterms:W3CDTF">2022-10-13T08:08:00Z</dcterms:created>
  <dcterms:modified xsi:type="dcterms:W3CDTF">2022-10-13T08:08:00Z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0F639DAE730D4D9BBCBB013336769382</vt:lpwstr>
  </property>
</Properties>
</file>