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7C16" w:rsidRDefault="009A3095">
      <w:pPr>
        <w:spacing w:line="360" w:lineRule="auto"/>
        <w:jc w:val="center"/>
        <w:rPr>
          <w:rFonts w:ascii="宋体" w:cs="Times New Roman"/>
          <w:b/>
          <w:bCs/>
          <w:sz w:val="36"/>
          <w:szCs w:val="36"/>
        </w:rPr>
      </w:pPr>
      <w:r>
        <w:rPr>
          <w:rFonts w:ascii="宋体" w:hAnsi="宋体" w:cs="宋体"/>
          <w:b/>
          <w:bCs/>
          <w:sz w:val="36"/>
          <w:szCs w:val="36"/>
        </w:rPr>
        <w:t>2019</w:t>
      </w:r>
      <w:r>
        <w:rPr>
          <w:rFonts w:ascii="宋体" w:hAnsi="宋体" w:cs="宋体" w:hint="eastAsia"/>
          <w:b/>
          <w:bCs/>
          <w:sz w:val="36"/>
          <w:szCs w:val="36"/>
        </w:rPr>
        <w:t>年铜陵学院风雨操场活动看台采购</w:t>
      </w:r>
      <w:r w:rsidR="0079410E">
        <w:rPr>
          <w:rFonts w:ascii="宋体" w:hAnsi="宋体" w:cs="宋体" w:hint="eastAsia"/>
          <w:b/>
          <w:bCs/>
          <w:sz w:val="36"/>
          <w:szCs w:val="36"/>
        </w:rPr>
        <w:t>及</w:t>
      </w:r>
      <w:r>
        <w:rPr>
          <w:rFonts w:ascii="宋体" w:hAnsi="宋体" w:cs="宋体" w:hint="eastAsia"/>
          <w:b/>
          <w:bCs/>
          <w:sz w:val="36"/>
          <w:szCs w:val="36"/>
        </w:rPr>
        <w:t>安装项目采购</w:t>
      </w:r>
      <w:r>
        <w:rPr>
          <w:rFonts w:ascii="宋体" w:hAnsi="宋体" w:cs="宋体"/>
          <w:b/>
          <w:bCs/>
          <w:sz w:val="36"/>
          <w:szCs w:val="36"/>
        </w:rPr>
        <w:t>需求</w:t>
      </w:r>
    </w:p>
    <w:p w:rsidR="00C47C16" w:rsidRDefault="009A3095">
      <w:pPr>
        <w:pStyle w:val="1"/>
        <w:rPr>
          <w:sz w:val="28"/>
          <w:szCs w:val="28"/>
        </w:rPr>
      </w:pPr>
      <w:r>
        <w:rPr>
          <w:rFonts w:hint="eastAsia"/>
          <w:sz w:val="28"/>
          <w:szCs w:val="28"/>
        </w:rPr>
        <w:t>一、项目基本情况</w:t>
      </w:r>
    </w:p>
    <w:p w:rsidR="00C47C16" w:rsidRDefault="007042C0">
      <w:pPr>
        <w:spacing w:line="360" w:lineRule="auto"/>
        <w:rPr>
          <w:rFonts w:ascii="宋体" w:cs="Times New Roman"/>
          <w:sz w:val="24"/>
          <w:szCs w:val="24"/>
        </w:rPr>
      </w:pPr>
      <w:r>
        <w:rPr>
          <w:rFonts w:ascii="宋体" w:hAnsi="宋体" w:cs="宋体" w:hint="eastAsia"/>
          <w:sz w:val="24"/>
          <w:szCs w:val="24"/>
        </w:rPr>
        <w:t>由于</w:t>
      </w:r>
      <w:r w:rsidR="009A3095">
        <w:rPr>
          <w:rFonts w:ascii="宋体" w:hAnsi="宋体" w:cs="宋体" w:hint="eastAsia"/>
          <w:sz w:val="24"/>
          <w:szCs w:val="24"/>
        </w:rPr>
        <w:t>铜陵学院风雨操场</w:t>
      </w:r>
      <w:r>
        <w:rPr>
          <w:rFonts w:ascii="宋体" w:hAnsi="宋体" w:cs="宋体" w:hint="eastAsia"/>
          <w:sz w:val="24"/>
          <w:szCs w:val="24"/>
        </w:rPr>
        <w:t>建设需要</w:t>
      </w:r>
      <w:r w:rsidR="009A3095">
        <w:rPr>
          <w:rFonts w:ascii="宋体" w:hAnsi="宋体" w:cs="宋体" w:hint="eastAsia"/>
          <w:sz w:val="24"/>
          <w:szCs w:val="24"/>
        </w:rPr>
        <w:t>，现采购一批活动看台椅及相关配套设备。</w:t>
      </w:r>
    </w:p>
    <w:p w:rsidR="00C47C16" w:rsidRDefault="009A3095">
      <w:pPr>
        <w:pStyle w:val="1"/>
        <w:rPr>
          <w:sz w:val="28"/>
          <w:szCs w:val="28"/>
        </w:rPr>
      </w:pPr>
      <w:r>
        <w:rPr>
          <w:rFonts w:hint="eastAsia"/>
          <w:sz w:val="28"/>
          <w:szCs w:val="28"/>
        </w:rPr>
        <w:t>二、预算控制价</w:t>
      </w:r>
    </w:p>
    <w:p w:rsidR="00C47C16" w:rsidRDefault="009A3095">
      <w:pPr>
        <w:spacing w:line="360" w:lineRule="auto"/>
        <w:rPr>
          <w:rFonts w:ascii="宋体" w:cs="Times New Roman"/>
          <w:sz w:val="24"/>
          <w:szCs w:val="24"/>
        </w:rPr>
      </w:pPr>
      <w:r>
        <w:rPr>
          <w:rFonts w:ascii="宋体" w:hAnsi="宋体" w:cs="宋体" w:hint="eastAsia"/>
          <w:sz w:val="24"/>
          <w:szCs w:val="24"/>
        </w:rPr>
        <w:t>本项目预算控制价</w:t>
      </w:r>
      <w:r>
        <w:rPr>
          <w:rFonts w:ascii="宋体" w:hAnsi="宋体" w:cs="宋体"/>
          <w:sz w:val="24"/>
          <w:szCs w:val="24"/>
        </w:rPr>
        <w:t>165</w:t>
      </w:r>
      <w:r>
        <w:rPr>
          <w:rFonts w:ascii="宋体" w:hAnsi="宋体" w:cs="宋体" w:hint="eastAsia"/>
          <w:sz w:val="24"/>
          <w:szCs w:val="24"/>
        </w:rPr>
        <w:t>万元</w:t>
      </w:r>
      <w:r w:rsidR="00CE1A5D">
        <w:rPr>
          <w:rFonts w:ascii="宋体" w:hAnsi="宋体" w:cs="宋体" w:hint="eastAsia"/>
          <w:sz w:val="24"/>
          <w:szCs w:val="24"/>
        </w:rPr>
        <w:t>。</w:t>
      </w:r>
    </w:p>
    <w:p w:rsidR="00C47C16" w:rsidRDefault="009A3095">
      <w:pPr>
        <w:pStyle w:val="1"/>
        <w:rPr>
          <w:sz w:val="28"/>
          <w:szCs w:val="28"/>
        </w:rPr>
      </w:pPr>
      <w:r>
        <w:rPr>
          <w:rFonts w:hint="eastAsia"/>
          <w:sz w:val="28"/>
          <w:szCs w:val="28"/>
        </w:rPr>
        <w:t>三、技术方案或服务内容、范围</w:t>
      </w:r>
    </w:p>
    <w:p w:rsidR="00C47C16" w:rsidRDefault="009A3095">
      <w:pPr>
        <w:pStyle w:val="2"/>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1.货物采购需求表</w:t>
      </w:r>
    </w:p>
    <w:tbl>
      <w:tblPr>
        <w:tblW w:w="10089" w:type="dxa"/>
        <w:tblInd w:w="-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1282"/>
        <w:gridCol w:w="6573"/>
        <w:gridCol w:w="711"/>
        <w:gridCol w:w="814"/>
      </w:tblGrid>
      <w:tr w:rsidR="00C47C16">
        <w:trPr>
          <w:trHeight w:val="375"/>
        </w:trPr>
        <w:tc>
          <w:tcPr>
            <w:tcW w:w="709" w:type="dxa"/>
            <w:noWrap/>
            <w:vAlign w:val="center"/>
          </w:tcPr>
          <w:p w:rsidR="00C47C16" w:rsidRDefault="009A3095">
            <w:pPr>
              <w:spacing w:line="360" w:lineRule="auto"/>
              <w:jc w:val="center"/>
              <w:rPr>
                <w:rFonts w:ascii="宋体" w:cs="Times New Roman"/>
                <w:sz w:val="24"/>
                <w:szCs w:val="24"/>
              </w:rPr>
            </w:pPr>
            <w:r>
              <w:rPr>
                <w:rFonts w:ascii="宋体" w:hAnsi="宋体" w:cs="宋体" w:hint="eastAsia"/>
                <w:sz w:val="24"/>
                <w:szCs w:val="24"/>
              </w:rPr>
              <w:t>序号</w:t>
            </w:r>
          </w:p>
        </w:tc>
        <w:tc>
          <w:tcPr>
            <w:tcW w:w="1282" w:type="dxa"/>
            <w:noWrap/>
            <w:vAlign w:val="center"/>
          </w:tcPr>
          <w:p w:rsidR="00C47C16" w:rsidRDefault="009A3095">
            <w:pPr>
              <w:spacing w:line="360" w:lineRule="auto"/>
              <w:jc w:val="center"/>
              <w:rPr>
                <w:rFonts w:ascii="宋体" w:cs="Times New Roman"/>
                <w:sz w:val="24"/>
                <w:szCs w:val="24"/>
              </w:rPr>
            </w:pPr>
            <w:r>
              <w:rPr>
                <w:rFonts w:ascii="宋体" w:hAnsi="宋体" w:cs="宋体" w:hint="eastAsia"/>
                <w:sz w:val="24"/>
                <w:szCs w:val="24"/>
              </w:rPr>
              <w:t>货物名称</w:t>
            </w:r>
          </w:p>
        </w:tc>
        <w:tc>
          <w:tcPr>
            <w:tcW w:w="6573" w:type="dxa"/>
            <w:noWrap/>
            <w:vAlign w:val="center"/>
          </w:tcPr>
          <w:p w:rsidR="00C47C16" w:rsidRDefault="009A3095">
            <w:pPr>
              <w:spacing w:line="360" w:lineRule="auto"/>
              <w:jc w:val="center"/>
              <w:rPr>
                <w:rFonts w:ascii="宋体" w:cs="Times New Roman"/>
                <w:sz w:val="24"/>
                <w:szCs w:val="24"/>
              </w:rPr>
            </w:pPr>
            <w:r>
              <w:rPr>
                <w:rFonts w:ascii="宋体" w:hAnsi="宋体" w:cs="宋体" w:hint="eastAsia"/>
                <w:sz w:val="24"/>
                <w:szCs w:val="24"/>
              </w:rPr>
              <w:t>产品参数</w:t>
            </w:r>
          </w:p>
        </w:tc>
        <w:tc>
          <w:tcPr>
            <w:tcW w:w="711" w:type="dxa"/>
            <w:noWrap/>
            <w:vAlign w:val="center"/>
          </w:tcPr>
          <w:p w:rsidR="00C47C16" w:rsidRDefault="009A3095">
            <w:pPr>
              <w:spacing w:line="360" w:lineRule="auto"/>
              <w:jc w:val="center"/>
              <w:rPr>
                <w:rFonts w:ascii="宋体" w:cs="Times New Roman"/>
                <w:sz w:val="24"/>
                <w:szCs w:val="24"/>
              </w:rPr>
            </w:pPr>
            <w:r>
              <w:rPr>
                <w:rFonts w:ascii="宋体" w:hAnsi="宋体" w:cs="宋体" w:hint="eastAsia"/>
                <w:sz w:val="24"/>
                <w:szCs w:val="24"/>
              </w:rPr>
              <w:t>单位</w:t>
            </w:r>
          </w:p>
        </w:tc>
        <w:tc>
          <w:tcPr>
            <w:tcW w:w="814" w:type="dxa"/>
            <w:noWrap/>
            <w:vAlign w:val="center"/>
          </w:tcPr>
          <w:p w:rsidR="00C47C16" w:rsidRDefault="009A3095">
            <w:pPr>
              <w:spacing w:line="360" w:lineRule="auto"/>
              <w:jc w:val="center"/>
              <w:rPr>
                <w:rFonts w:ascii="宋体" w:cs="Times New Roman"/>
                <w:sz w:val="24"/>
                <w:szCs w:val="24"/>
              </w:rPr>
            </w:pPr>
            <w:r>
              <w:rPr>
                <w:rFonts w:ascii="宋体" w:hAnsi="宋体" w:cs="宋体" w:hint="eastAsia"/>
                <w:sz w:val="24"/>
                <w:szCs w:val="24"/>
              </w:rPr>
              <w:t>数量</w:t>
            </w:r>
          </w:p>
        </w:tc>
      </w:tr>
      <w:tr w:rsidR="00C47C16">
        <w:trPr>
          <w:trHeight w:val="375"/>
        </w:trPr>
        <w:tc>
          <w:tcPr>
            <w:tcW w:w="709" w:type="dxa"/>
            <w:noWrap/>
            <w:vAlign w:val="center"/>
          </w:tcPr>
          <w:p w:rsidR="00C47C16" w:rsidRDefault="009A3095">
            <w:pPr>
              <w:spacing w:line="360" w:lineRule="auto"/>
              <w:rPr>
                <w:rFonts w:ascii="宋体" w:cs="Times New Roman"/>
                <w:sz w:val="24"/>
                <w:szCs w:val="24"/>
              </w:rPr>
            </w:pPr>
            <w:r>
              <w:rPr>
                <w:rFonts w:ascii="宋体" w:hAnsi="宋体" w:cs="宋体"/>
                <w:sz w:val="24"/>
                <w:szCs w:val="24"/>
              </w:rPr>
              <w:t>1</w:t>
            </w:r>
          </w:p>
        </w:tc>
        <w:tc>
          <w:tcPr>
            <w:tcW w:w="1282" w:type="dxa"/>
            <w:noWrap/>
            <w:vAlign w:val="center"/>
          </w:tcPr>
          <w:p w:rsidR="00C47C16" w:rsidRDefault="009A3095">
            <w:pPr>
              <w:spacing w:line="360" w:lineRule="auto"/>
              <w:rPr>
                <w:rFonts w:ascii="宋体" w:cs="Times New Roman"/>
                <w:sz w:val="24"/>
                <w:szCs w:val="24"/>
              </w:rPr>
            </w:pPr>
            <w:r>
              <w:rPr>
                <w:rFonts w:ascii="宋体" w:hAnsi="宋体" w:cs="宋体" w:hint="eastAsia"/>
                <w:sz w:val="24"/>
                <w:szCs w:val="24"/>
              </w:rPr>
              <w:t>风雨操场活动看台</w:t>
            </w:r>
          </w:p>
        </w:tc>
        <w:tc>
          <w:tcPr>
            <w:tcW w:w="6573" w:type="dxa"/>
            <w:noWrap/>
            <w:vAlign w:val="center"/>
          </w:tcPr>
          <w:p w:rsidR="00C47C16" w:rsidRDefault="009A3095">
            <w:pPr>
              <w:spacing w:line="360" w:lineRule="auto"/>
              <w:rPr>
                <w:rFonts w:ascii="宋体" w:cs="Times New Roman"/>
                <w:sz w:val="24"/>
                <w:szCs w:val="24"/>
              </w:rPr>
            </w:pPr>
            <w:r>
              <w:rPr>
                <w:rFonts w:ascii="宋体" w:hAnsi="宋体" w:cs="宋体" w:hint="eastAsia"/>
                <w:sz w:val="24"/>
                <w:szCs w:val="24"/>
              </w:rPr>
              <w:t>（一）电动活动看台技术参数要求</w:t>
            </w:r>
          </w:p>
          <w:p w:rsidR="00C47C16" w:rsidRDefault="009A3095">
            <w:pPr>
              <w:spacing w:line="360" w:lineRule="auto"/>
              <w:rPr>
                <w:rFonts w:ascii="宋体" w:cs="Times New Roman"/>
                <w:sz w:val="24"/>
                <w:szCs w:val="24"/>
              </w:rPr>
            </w:pPr>
            <w:r>
              <w:rPr>
                <w:rFonts w:ascii="宋体" w:hAnsi="宋体" w:cs="宋体"/>
                <w:sz w:val="24"/>
                <w:szCs w:val="24"/>
              </w:rPr>
              <w:t>1</w:t>
            </w:r>
            <w:r>
              <w:rPr>
                <w:rFonts w:ascii="宋体" w:hAnsi="宋体" w:cs="宋体" w:hint="eastAsia"/>
                <w:sz w:val="24"/>
                <w:szCs w:val="24"/>
              </w:rPr>
              <w:t>、结构、电控安全：</w:t>
            </w:r>
          </w:p>
          <w:p w:rsidR="00C47C16" w:rsidRDefault="009A3095">
            <w:pPr>
              <w:spacing w:line="360" w:lineRule="auto"/>
              <w:rPr>
                <w:rFonts w:ascii="宋体" w:cs="Times New Roman"/>
                <w:sz w:val="24"/>
                <w:szCs w:val="24"/>
              </w:rPr>
            </w:pPr>
            <w:r>
              <w:rPr>
                <w:rFonts w:ascii="宋体" w:hAnsi="宋体" w:cs="宋体"/>
                <w:sz w:val="24"/>
                <w:szCs w:val="24"/>
              </w:rPr>
              <w:t>1</w:t>
            </w:r>
            <w:r>
              <w:rPr>
                <w:rFonts w:ascii="宋体" w:hAnsi="宋体" w:cs="宋体" w:hint="eastAsia"/>
                <w:sz w:val="24"/>
                <w:szCs w:val="24"/>
              </w:rPr>
              <w:t>）</w:t>
            </w:r>
            <w:r>
              <w:rPr>
                <w:rFonts w:ascii="宋体" w:hAnsi="宋体" w:cs="宋体" w:hint="eastAsia"/>
                <w:sz w:val="24"/>
                <w:szCs w:val="24"/>
              </w:rPr>
              <w:t>★看台系统的设计均匀分布的固定载荷，依据：</w:t>
            </w:r>
            <w:r>
              <w:rPr>
                <w:rFonts w:ascii="宋体" w:hAnsi="宋体" w:cs="宋体"/>
                <w:sz w:val="24"/>
                <w:szCs w:val="24"/>
              </w:rPr>
              <w:t>EN13200-5:2006</w:t>
            </w:r>
            <w:r>
              <w:rPr>
                <w:rFonts w:ascii="宋体" w:hAnsi="宋体" w:cs="宋体" w:hint="eastAsia"/>
                <w:sz w:val="24"/>
                <w:szCs w:val="24"/>
              </w:rPr>
              <w:t>测试标准</w:t>
            </w:r>
            <w:r>
              <w:rPr>
                <w:rFonts w:ascii="宋体" w:cs="宋体"/>
                <w:sz w:val="24"/>
                <w:szCs w:val="24"/>
              </w:rPr>
              <w:t>,</w:t>
            </w:r>
            <w:r>
              <w:rPr>
                <w:rFonts w:ascii="宋体" w:hAnsi="宋体" w:cs="宋体" w:hint="eastAsia"/>
                <w:sz w:val="24"/>
                <w:szCs w:val="24"/>
              </w:rPr>
              <w:t>看台踏板垂直均匀分布载荷不小于</w:t>
            </w:r>
            <w:r>
              <w:rPr>
                <w:rFonts w:ascii="宋体" w:hAnsi="宋体" w:cs="宋体"/>
                <w:sz w:val="24"/>
                <w:szCs w:val="24"/>
              </w:rPr>
              <w:t>5KN/m2</w:t>
            </w:r>
            <w:r>
              <w:rPr>
                <w:rFonts w:ascii="宋体" w:hAnsi="宋体" w:cs="宋体" w:hint="eastAsia"/>
                <w:sz w:val="24"/>
                <w:szCs w:val="24"/>
              </w:rPr>
              <w:t>；看台踏板水平点载荷不小于</w:t>
            </w:r>
            <w:r>
              <w:rPr>
                <w:rFonts w:ascii="宋体" w:hAnsi="宋体" w:cs="宋体"/>
                <w:sz w:val="24"/>
                <w:szCs w:val="24"/>
              </w:rPr>
              <w:t>1.359KN</w:t>
            </w:r>
            <w:r>
              <w:rPr>
                <w:rFonts w:ascii="宋体" w:hAnsi="宋体" w:cs="宋体" w:hint="eastAsia"/>
                <w:sz w:val="24"/>
                <w:szCs w:val="24"/>
              </w:rPr>
              <w:t>，看台无明显损伤。</w:t>
            </w:r>
            <w:r>
              <w:rPr>
                <w:rFonts w:ascii="宋体" w:hAnsi="宋体" w:cs="宋体" w:hint="eastAsia"/>
                <w:b/>
                <w:bCs/>
                <w:sz w:val="24"/>
                <w:szCs w:val="24"/>
              </w:rPr>
              <w:t>提供国家级（或国际公认）的测试机构出具的检验报告扫描件上传至电子投标文件中。</w:t>
            </w:r>
          </w:p>
          <w:p w:rsidR="00C47C16" w:rsidRDefault="009A3095">
            <w:pPr>
              <w:spacing w:line="360" w:lineRule="auto"/>
              <w:rPr>
                <w:rFonts w:ascii="宋体" w:cs="Times New Roman"/>
                <w:sz w:val="24"/>
                <w:szCs w:val="24"/>
              </w:rPr>
            </w:pPr>
            <w:r>
              <w:rPr>
                <w:rFonts w:ascii="宋体" w:hAnsi="宋体" w:cs="宋体"/>
                <w:sz w:val="24"/>
                <w:szCs w:val="24"/>
              </w:rPr>
              <w:t>2</w:t>
            </w:r>
            <w:r>
              <w:rPr>
                <w:rFonts w:ascii="宋体" w:hAnsi="宋体" w:cs="宋体" w:hint="eastAsia"/>
                <w:sz w:val="24"/>
                <w:szCs w:val="24"/>
              </w:rPr>
              <w:t>）活动看台钢骨架高张力轻质钢采用（</w:t>
            </w:r>
            <w:r>
              <w:rPr>
                <w:rFonts w:ascii="宋体" w:hAnsi="宋体" w:cs="宋体"/>
                <w:sz w:val="24"/>
                <w:szCs w:val="24"/>
              </w:rPr>
              <w:t>100/80*40*2.5</w:t>
            </w:r>
            <w:r>
              <w:rPr>
                <w:rFonts w:ascii="宋体" w:hAnsi="宋体" w:cs="宋体" w:hint="eastAsia"/>
                <w:sz w:val="24"/>
                <w:szCs w:val="24"/>
              </w:rPr>
              <w:t>）</w:t>
            </w:r>
            <w:r>
              <w:rPr>
                <w:rFonts w:ascii="宋体" w:hAnsi="宋体" w:cs="宋体"/>
                <w:sz w:val="24"/>
                <w:szCs w:val="24"/>
              </w:rPr>
              <w:t xml:space="preserve">mm </w:t>
            </w:r>
            <w:r>
              <w:rPr>
                <w:rFonts w:ascii="宋体" w:hAnsi="宋体" w:cs="宋体" w:hint="eastAsia"/>
                <w:sz w:val="24"/>
                <w:szCs w:val="24"/>
              </w:rPr>
              <w:t>的冷弯型钢经由喷砂除锈后再静电喷芬而成。活动看台床架结构的力学支撑系统应是安全可靠的结构，</w:t>
            </w:r>
            <w:r>
              <w:rPr>
                <w:rFonts w:ascii="宋体" w:hAnsi="宋体" w:cs="宋体" w:hint="eastAsia"/>
                <w:b/>
                <w:bCs/>
                <w:sz w:val="24"/>
                <w:szCs w:val="24"/>
              </w:rPr>
              <w:t>详细说明承受水平负载、垂直负载和不均匀负载的受力分析。</w:t>
            </w:r>
          </w:p>
          <w:p w:rsidR="00C47C16" w:rsidRDefault="009A3095">
            <w:pPr>
              <w:spacing w:line="360" w:lineRule="auto"/>
              <w:rPr>
                <w:rFonts w:ascii="宋体" w:cs="Times New Roman"/>
                <w:b/>
                <w:bCs/>
                <w:sz w:val="24"/>
                <w:szCs w:val="24"/>
              </w:rPr>
            </w:pPr>
            <w:r>
              <w:rPr>
                <w:rFonts w:ascii="宋体" w:hAnsi="宋体" w:cs="宋体"/>
                <w:sz w:val="24"/>
                <w:szCs w:val="24"/>
              </w:rPr>
              <w:t>3</w:t>
            </w:r>
            <w:r>
              <w:rPr>
                <w:rFonts w:ascii="宋体" w:hAnsi="宋体" w:cs="宋体" w:hint="eastAsia"/>
                <w:sz w:val="24"/>
                <w:szCs w:val="24"/>
              </w:rPr>
              <w:t>）</w:t>
            </w:r>
            <w:r>
              <w:rPr>
                <w:rFonts w:ascii="宋体" w:hAnsi="宋体" w:cs="宋体" w:hint="eastAsia"/>
                <w:sz w:val="24"/>
                <w:szCs w:val="24"/>
              </w:rPr>
              <w:t>★依据</w:t>
            </w:r>
            <w:r>
              <w:rPr>
                <w:rFonts w:ascii="宋体" w:hAnsi="宋体" w:cs="宋体"/>
                <w:sz w:val="24"/>
                <w:szCs w:val="24"/>
              </w:rPr>
              <w:t xml:space="preserve"> EN13200-5:2006</w:t>
            </w:r>
            <w:r>
              <w:rPr>
                <w:rFonts w:ascii="宋体" w:hAnsi="宋体" w:cs="宋体" w:hint="eastAsia"/>
                <w:sz w:val="24"/>
                <w:szCs w:val="24"/>
              </w:rPr>
              <w:t>测试标准，看台护栏载荷水平承载</w:t>
            </w:r>
            <w:r>
              <w:rPr>
                <w:rFonts w:ascii="宋体" w:hAnsi="宋体" w:cs="宋体"/>
                <w:sz w:val="24"/>
                <w:szCs w:val="24"/>
              </w:rPr>
              <w:t xml:space="preserve"> 3KN/m</w:t>
            </w:r>
            <w:r>
              <w:rPr>
                <w:rFonts w:ascii="宋体" w:hAnsi="宋体" w:cs="宋体" w:hint="eastAsia"/>
                <w:sz w:val="24"/>
                <w:szCs w:val="24"/>
              </w:rPr>
              <w:t>，持续</w:t>
            </w:r>
            <w:r>
              <w:rPr>
                <w:rFonts w:ascii="宋体" w:hAnsi="宋体" w:cs="宋体"/>
                <w:sz w:val="24"/>
                <w:szCs w:val="24"/>
              </w:rPr>
              <w:t xml:space="preserve"> 5 </w:t>
            </w:r>
            <w:r>
              <w:rPr>
                <w:rFonts w:ascii="宋体" w:hAnsi="宋体" w:cs="宋体" w:hint="eastAsia"/>
                <w:sz w:val="24"/>
                <w:szCs w:val="24"/>
              </w:rPr>
              <w:t>分钟，无明显损伤。</w:t>
            </w:r>
            <w:r>
              <w:rPr>
                <w:rFonts w:ascii="宋体" w:hAnsi="宋体" w:cs="宋体" w:hint="eastAsia"/>
                <w:b/>
                <w:bCs/>
                <w:sz w:val="24"/>
                <w:szCs w:val="24"/>
              </w:rPr>
              <w:t>提供国家级（或国际公认）的测试机构出具的检验报告扫描件上传至电子投标文件中。</w:t>
            </w:r>
          </w:p>
          <w:p w:rsidR="00C47C16" w:rsidRDefault="009A3095">
            <w:pPr>
              <w:spacing w:line="360" w:lineRule="auto"/>
              <w:rPr>
                <w:rFonts w:ascii="宋体" w:cs="Times New Roman"/>
                <w:b/>
                <w:bCs/>
                <w:sz w:val="24"/>
                <w:szCs w:val="24"/>
              </w:rPr>
            </w:pPr>
            <w:r>
              <w:rPr>
                <w:rFonts w:ascii="宋体" w:hAnsi="宋体" w:cs="宋体"/>
                <w:sz w:val="24"/>
                <w:szCs w:val="24"/>
              </w:rPr>
              <w:t>4</w:t>
            </w:r>
            <w:r>
              <w:rPr>
                <w:rFonts w:ascii="宋体" w:hAnsi="宋体" w:cs="宋体" w:hint="eastAsia"/>
                <w:sz w:val="24"/>
                <w:szCs w:val="24"/>
              </w:rPr>
              <w:t>）</w:t>
            </w:r>
            <w:r>
              <w:rPr>
                <w:rFonts w:ascii="宋体" w:hAnsi="宋体" w:cs="宋体" w:hint="eastAsia"/>
                <w:sz w:val="24"/>
                <w:szCs w:val="24"/>
              </w:rPr>
              <w:t>★活动看台踏板采用</w:t>
            </w:r>
            <w:r>
              <w:rPr>
                <w:rFonts w:ascii="宋体" w:hAnsi="宋体" w:cs="宋体"/>
                <w:sz w:val="24"/>
                <w:szCs w:val="24"/>
              </w:rPr>
              <w:t xml:space="preserve"> 18mm </w:t>
            </w:r>
            <w:r>
              <w:rPr>
                <w:rFonts w:ascii="宋体" w:hAnsi="宋体" w:cs="宋体" w:hint="eastAsia"/>
                <w:sz w:val="24"/>
                <w:szCs w:val="24"/>
              </w:rPr>
              <w:t>胶合板，表面冷贴</w:t>
            </w:r>
            <w:r>
              <w:rPr>
                <w:rFonts w:ascii="宋体" w:hAnsi="宋体" w:cs="宋体"/>
                <w:sz w:val="24"/>
                <w:szCs w:val="24"/>
              </w:rPr>
              <w:t xml:space="preserve"> 0.5 </w:t>
            </w:r>
            <w:r>
              <w:rPr>
                <w:rFonts w:ascii="宋体" w:hAnsi="宋体" w:cs="宋体" w:hint="eastAsia"/>
                <w:sz w:val="24"/>
                <w:szCs w:val="24"/>
              </w:rPr>
              <w:t>厚防火防滑</w:t>
            </w:r>
            <w:r>
              <w:rPr>
                <w:rFonts w:ascii="宋体" w:hAnsi="宋体" w:cs="宋体"/>
                <w:sz w:val="24"/>
                <w:szCs w:val="24"/>
              </w:rPr>
              <w:t xml:space="preserve"> PVC </w:t>
            </w:r>
            <w:r>
              <w:rPr>
                <w:rFonts w:ascii="宋体" w:hAnsi="宋体" w:cs="宋体" w:hint="eastAsia"/>
                <w:sz w:val="24"/>
                <w:szCs w:val="24"/>
              </w:rPr>
              <w:t>面层。胶合板</w:t>
            </w:r>
            <w:r>
              <w:rPr>
                <w:rFonts w:ascii="宋体" w:hAnsi="宋体" w:cs="宋体"/>
                <w:sz w:val="24"/>
                <w:szCs w:val="24"/>
              </w:rPr>
              <w:t>(1.22</w:t>
            </w:r>
            <w:r>
              <w:rPr>
                <w:rFonts w:ascii="宋体" w:hAnsi="宋体" w:cs="宋体" w:hint="eastAsia"/>
                <w:sz w:val="24"/>
                <w:szCs w:val="24"/>
              </w:rPr>
              <w:t>×</w:t>
            </w:r>
            <w:r>
              <w:rPr>
                <w:rFonts w:ascii="宋体" w:hAnsi="宋体" w:cs="宋体"/>
                <w:sz w:val="24"/>
                <w:szCs w:val="24"/>
              </w:rPr>
              <w:t>2.44)M</w:t>
            </w:r>
            <w:r>
              <w:rPr>
                <w:rFonts w:ascii="宋体" w:hAnsi="宋体" w:cs="宋体" w:hint="eastAsia"/>
                <w:sz w:val="24"/>
                <w:szCs w:val="24"/>
              </w:rPr>
              <w:t>，板与板之间采用铝合金对接处理，无高差。踏板应采用经过阻燃处理的耐</w:t>
            </w:r>
            <w:r>
              <w:rPr>
                <w:rFonts w:ascii="宋体" w:hAnsi="宋体" w:cs="宋体" w:hint="eastAsia"/>
                <w:sz w:val="24"/>
                <w:szCs w:val="24"/>
              </w:rPr>
              <w:lastRenderedPageBreak/>
              <w:t>水结构胶合板，最低承受力达到</w:t>
            </w:r>
            <w:r>
              <w:rPr>
                <w:rFonts w:ascii="宋体" w:hAnsi="宋体" w:cs="宋体"/>
                <w:sz w:val="24"/>
                <w:szCs w:val="24"/>
              </w:rPr>
              <w:t xml:space="preserve"> 4.88kN/m2</w:t>
            </w:r>
            <w:r>
              <w:rPr>
                <w:rFonts w:ascii="宋体" w:hAnsi="宋体" w:cs="宋体" w:hint="eastAsia"/>
                <w:sz w:val="24"/>
                <w:szCs w:val="24"/>
              </w:rPr>
              <w:t>，厚度不小于</w:t>
            </w:r>
            <w:r>
              <w:rPr>
                <w:rFonts w:ascii="宋体" w:hAnsi="宋体" w:cs="宋体"/>
                <w:sz w:val="24"/>
                <w:szCs w:val="24"/>
              </w:rPr>
              <w:t xml:space="preserve"> 18mm</w:t>
            </w:r>
            <w:r>
              <w:rPr>
                <w:rFonts w:ascii="宋体" w:hAnsi="宋体" w:cs="宋体" w:hint="eastAsia"/>
                <w:sz w:val="24"/>
                <w:szCs w:val="24"/>
              </w:rPr>
              <w:t>。</w:t>
            </w:r>
            <w:r>
              <w:rPr>
                <w:rFonts w:ascii="宋体" w:hAnsi="宋体" w:cs="宋体" w:hint="eastAsia"/>
                <w:b/>
                <w:bCs/>
                <w:sz w:val="24"/>
                <w:szCs w:val="24"/>
              </w:rPr>
              <w:t>提供国家级（或国际公认）的测试机构出具的检验报告扫描件上传至电子投标文件中。</w:t>
            </w:r>
          </w:p>
          <w:p w:rsidR="00C47C16" w:rsidRDefault="009A3095">
            <w:pPr>
              <w:spacing w:line="360" w:lineRule="auto"/>
              <w:rPr>
                <w:rFonts w:ascii="宋体" w:cs="Times New Roman"/>
                <w:sz w:val="24"/>
                <w:szCs w:val="24"/>
              </w:rPr>
            </w:pPr>
            <w:r>
              <w:rPr>
                <w:rFonts w:ascii="宋体" w:hAnsi="宋体" w:cs="宋体"/>
                <w:sz w:val="24"/>
                <w:szCs w:val="24"/>
              </w:rPr>
              <w:t>5</w:t>
            </w:r>
            <w:r>
              <w:rPr>
                <w:rFonts w:ascii="宋体" w:hAnsi="宋体" w:cs="宋体" w:hint="eastAsia"/>
                <w:sz w:val="24"/>
                <w:szCs w:val="24"/>
              </w:rPr>
              <w:t>）</w:t>
            </w:r>
            <w:r>
              <w:rPr>
                <w:rFonts w:ascii="宋体" w:hAnsi="宋体" w:cs="宋体" w:hint="eastAsia"/>
                <w:sz w:val="24"/>
                <w:szCs w:val="24"/>
              </w:rPr>
              <w:t>★活动看台电控系统须满足</w:t>
            </w:r>
            <w:r>
              <w:rPr>
                <w:rFonts w:ascii="宋体" w:hAnsi="宋体" w:cs="宋体"/>
                <w:sz w:val="24"/>
                <w:szCs w:val="24"/>
              </w:rPr>
              <w:t xml:space="preserve"> EN60439-1:1999+A1</w:t>
            </w:r>
            <w:r>
              <w:rPr>
                <w:rFonts w:ascii="宋体" w:hAnsi="宋体" w:cs="宋体" w:hint="eastAsia"/>
                <w:sz w:val="24"/>
                <w:szCs w:val="24"/>
              </w:rPr>
              <w:t>：</w:t>
            </w:r>
            <w:r>
              <w:rPr>
                <w:rFonts w:ascii="宋体" w:hAnsi="宋体" w:cs="宋体"/>
                <w:sz w:val="24"/>
                <w:szCs w:val="24"/>
              </w:rPr>
              <w:t>2004</w:t>
            </w:r>
            <w:r>
              <w:rPr>
                <w:rFonts w:ascii="宋体" w:hAnsi="宋体" w:cs="宋体" w:hint="eastAsia"/>
                <w:sz w:val="24"/>
                <w:szCs w:val="24"/>
              </w:rPr>
              <w:t>测试标准并通过相关认证或检测。</w:t>
            </w:r>
            <w:r>
              <w:rPr>
                <w:rFonts w:ascii="宋体" w:hAnsi="宋体" w:cs="宋体" w:hint="eastAsia"/>
                <w:b/>
                <w:bCs/>
                <w:sz w:val="24"/>
                <w:szCs w:val="24"/>
              </w:rPr>
              <w:t>提供国家级（或国际公认）的测试机构出具的检验报告扫描件上传至电子投标文件中。</w:t>
            </w:r>
            <w:r>
              <w:rPr>
                <w:rFonts w:ascii="宋体" w:hAnsi="宋体" w:cs="宋体"/>
                <w:sz w:val="24"/>
                <w:szCs w:val="24"/>
              </w:rPr>
              <w:t xml:space="preserve"> 6</w:t>
            </w:r>
            <w:r>
              <w:rPr>
                <w:rFonts w:ascii="宋体" w:hAnsi="宋体" w:cs="宋体" w:hint="eastAsia"/>
                <w:sz w:val="24"/>
                <w:szCs w:val="24"/>
              </w:rPr>
              <w:t>）</w:t>
            </w:r>
            <w:r>
              <w:rPr>
                <w:rFonts w:ascii="宋体" w:hAnsi="宋体" w:cs="宋体" w:hint="eastAsia"/>
                <w:sz w:val="24"/>
                <w:szCs w:val="24"/>
              </w:rPr>
              <w:t>★看台踏板采用经过阻燃处理的耐水结构胶合板，通过阻燃测试。</w:t>
            </w:r>
            <w:r>
              <w:rPr>
                <w:rFonts w:ascii="宋体" w:hAnsi="宋体" w:cs="宋体" w:hint="eastAsia"/>
                <w:b/>
                <w:bCs/>
                <w:sz w:val="24"/>
                <w:szCs w:val="24"/>
              </w:rPr>
              <w:t>提供国家级（或国际公认）的测试机构出具的检验报告扫描件上传至电子投标文件中。</w:t>
            </w:r>
          </w:p>
          <w:p w:rsidR="00C47C16" w:rsidRDefault="009A3095">
            <w:pPr>
              <w:spacing w:line="360" w:lineRule="auto"/>
              <w:rPr>
                <w:rFonts w:ascii="宋体" w:cs="Times New Roman"/>
                <w:sz w:val="24"/>
                <w:szCs w:val="24"/>
              </w:rPr>
            </w:pPr>
            <w:r>
              <w:rPr>
                <w:rFonts w:ascii="宋体" w:hAnsi="宋体" w:cs="宋体"/>
                <w:sz w:val="24"/>
                <w:szCs w:val="24"/>
              </w:rPr>
              <w:t>2</w:t>
            </w:r>
            <w:r>
              <w:rPr>
                <w:rFonts w:ascii="宋体" w:hAnsi="宋体" w:cs="宋体" w:hint="eastAsia"/>
                <w:sz w:val="24"/>
                <w:szCs w:val="24"/>
              </w:rPr>
              <w:t>、系统运行纠偏及其他</w:t>
            </w:r>
            <w:r>
              <w:rPr>
                <w:rFonts w:ascii="宋体" w:hAnsi="宋体" w:cs="宋体"/>
                <w:sz w:val="24"/>
                <w:szCs w:val="24"/>
              </w:rPr>
              <w:t xml:space="preserve">: </w:t>
            </w:r>
          </w:p>
          <w:p w:rsidR="00C47C16" w:rsidRDefault="009A3095">
            <w:pPr>
              <w:spacing w:line="360" w:lineRule="auto"/>
              <w:rPr>
                <w:rFonts w:ascii="宋体" w:cs="Times New Roman"/>
                <w:sz w:val="24"/>
                <w:szCs w:val="24"/>
              </w:rPr>
            </w:pPr>
            <w:r>
              <w:rPr>
                <w:rFonts w:ascii="宋体" w:hAnsi="宋体" w:cs="宋体"/>
                <w:sz w:val="24"/>
                <w:szCs w:val="24"/>
              </w:rPr>
              <w:t>1</w:t>
            </w:r>
            <w:r>
              <w:rPr>
                <w:rFonts w:ascii="宋体" w:hAnsi="宋体" w:cs="宋体" w:hint="eastAsia"/>
                <w:sz w:val="24"/>
                <w:szCs w:val="24"/>
              </w:rPr>
              <w:t>）床架结构的下部行走导轨应设置扣合式导轨装置与上部导轨纠偏装置配合，形成四线轨道，以确保活动看台展开和收合无定向跑偏。保证运行稳定，每排设置应有自动锁定装置，以保证活动看台展开后不会出现意外收合情况，</w:t>
            </w:r>
          </w:p>
          <w:p w:rsidR="00C47C16" w:rsidRDefault="009A3095">
            <w:pPr>
              <w:spacing w:line="360" w:lineRule="auto"/>
              <w:rPr>
                <w:rFonts w:ascii="宋体" w:cs="Times New Roman"/>
                <w:sz w:val="24"/>
                <w:szCs w:val="24"/>
              </w:rPr>
            </w:pPr>
            <w:r>
              <w:rPr>
                <w:rFonts w:ascii="宋体" w:hAnsi="宋体" w:cs="宋体"/>
                <w:sz w:val="24"/>
                <w:szCs w:val="24"/>
              </w:rPr>
              <w:t>2</w:t>
            </w:r>
            <w:r>
              <w:rPr>
                <w:rFonts w:ascii="宋体" w:hAnsi="宋体" w:cs="宋体" w:hint="eastAsia"/>
                <w:sz w:val="24"/>
                <w:szCs w:val="24"/>
              </w:rPr>
              <w:t>）活动看台侧面伸缩型安全栏杆，内格栅采用垂直设计，杆件间的净距不应大于</w:t>
            </w:r>
            <w:r>
              <w:rPr>
                <w:rFonts w:ascii="宋体" w:hAnsi="宋体" w:cs="宋体"/>
                <w:sz w:val="24"/>
                <w:szCs w:val="24"/>
              </w:rPr>
              <w:t xml:space="preserve"> 0.11m</w:t>
            </w:r>
            <w:r>
              <w:rPr>
                <w:rFonts w:ascii="宋体" w:hAnsi="宋体" w:cs="宋体" w:hint="eastAsia"/>
                <w:sz w:val="24"/>
                <w:szCs w:val="24"/>
              </w:rPr>
              <w:t>，表面喷塑，且不能固定在看台踏板上，在活动看台在伸缩过程中无须插拔，护栏采用</w:t>
            </w:r>
            <w:r>
              <w:rPr>
                <w:rFonts w:ascii="宋体" w:hAnsi="宋体" w:cs="宋体"/>
                <w:sz w:val="24"/>
                <w:szCs w:val="24"/>
              </w:rPr>
              <w:t xml:space="preserve"> 40*20 </w:t>
            </w:r>
            <w:r>
              <w:rPr>
                <w:rFonts w:ascii="宋体" w:hAnsi="宋体" w:cs="宋体" w:hint="eastAsia"/>
                <w:sz w:val="24"/>
                <w:szCs w:val="24"/>
              </w:rPr>
              <w:t>冷弯型钢和</w:t>
            </w:r>
            <w:r>
              <w:rPr>
                <w:rFonts w:ascii="宋体" w:hAnsi="宋体" w:cs="宋体"/>
                <w:sz w:val="24"/>
                <w:szCs w:val="24"/>
              </w:rPr>
              <w:t xml:space="preserve"> 13mm </w:t>
            </w:r>
            <w:r>
              <w:rPr>
                <w:rFonts w:ascii="宋体" w:hAnsi="宋体" w:cs="宋体" w:hint="eastAsia"/>
                <w:sz w:val="24"/>
                <w:szCs w:val="24"/>
              </w:rPr>
              <w:t>钢管。侧护栏和前后防护栏应和床架结构进行安全可靠的有效连接，看台护栏载荷水平承载</w:t>
            </w:r>
            <w:r>
              <w:rPr>
                <w:rFonts w:ascii="宋体" w:hAnsi="宋体" w:cs="宋体"/>
                <w:sz w:val="24"/>
                <w:szCs w:val="24"/>
              </w:rPr>
              <w:t xml:space="preserve"> 3KN/m</w:t>
            </w:r>
            <w:r>
              <w:rPr>
                <w:rFonts w:ascii="宋体" w:hAnsi="宋体" w:cs="宋体" w:hint="eastAsia"/>
                <w:sz w:val="24"/>
                <w:szCs w:val="24"/>
              </w:rPr>
              <w:t>、不变形。。</w:t>
            </w:r>
          </w:p>
          <w:p w:rsidR="00C47C16" w:rsidRDefault="009A3095">
            <w:pPr>
              <w:spacing w:line="360" w:lineRule="auto"/>
              <w:rPr>
                <w:rFonts w:ascii="宋体" w:cs="Times New Roman"/>
                <w:b/>
                <w:bCs/>
                <w:sz w:val="24"/>
                <w:szCs w:val="24"/>
              </w:rPr>
            </w:pPr>
            <w:r>
              <w:rPr>
                <w:rFonts w:ascii="宋体" w:hAnsi="宋体" w:cs="宋体"/>
                <w:sz w:val="24"/>
                <w:szCs w:val="24"/>
              </w:rPr>
              <w:t>3</w:t>
            </w:r>
            <w:r>
              <w:rPr>
                <w:rFonts w:ascii="宋体" w:hAnsi="宋体" w:cs="宋体" w:hint="eastAsia"/>
                <w:sz w:val="24"/>
                <w:szCs w:val="24"/>
              </w:rPr>
              <w:t>）</w:t>
            </w:r>
            <w:r>
              <w:rPr>
                <w:rFonts w:ascii="宋体" w:hAnsi="宋体" w:cs="宋体" w:hint="eastAsia"/>
                <w:sz w:val="24"/>
                <w:szCs w:val="24"/>
              </w:rPr>
              <w:t>★承重横梁前沿板及钢背板：承重横梁前沿板及背板采用</w:t>
            </w:r>
            <w:r>
              <w:rPr>
                <w:rFonts w:ascii="宋体" w:hAnsi="宋体" w:cs="宋体"/>
                <w:sz w:val="24"/>
                <w:szCs w:val="24"/>
              </w:rPr>
              <w:t xml:space="preserve"> 2.0 </w:t>
            </w:r>
            <w:r>
              <w:rPr>
                <w:rFonts w:ascii="宋体" w:hAnsi="宋体" w:cs="宋体" w:hint="eastAsia"/>
                <w:sz w:val="24"/>
                <w:szCs w:val="24"/>
              </w:rPr>
              <w:t>镀锌钢板，采用一体成型辊压加工方式，平均分散看台负载，使整个结构形成稳固的框架系统。看台钢背板依据</w:t>
            </w:r>
            <w:r>
              <w:rPr>
                <w:rFonts w:ascii="宋体" w:hAnsi="宋体" w:cs="宋体"/>
                <w:sz w:val="24"/>
                <w:szCs w:val="24"/>
              </w:rPr>
              <w:t xml:space="preserve"> BS EN 13200-6:2006</w:t>
            </w:r>
            <w:r>
              <w:rPr>
                <w:rFonts w:ascii="宋体" w:hAnsi="宋体" w:cs="宋体" w:hint="eastAsia"/>
                <w:sz w:val="24"/>
                <w:szCs w:val="24"/>
              </w:rPr>
              <w:t>测试标准的加载测试，受力面积≥</w:t>
            </w:r>
            <w:r>
              <w:rPr>
                <w:rFonts w:ascii="宋体" w:hAnsi="宋体" w:cs="宋体"/>
                <w:sz w:val="24"/>
                <w:szCs w:val="24"/>
              </w:rPr>
              <w:t xml:space="preserve"> 5 kN/m2</w:t>
            </w:r>
            <w:r>
              <w:rPr>
                <w:rFonts w:ascii="宋体" w:hAnsi="宋体" w:cs="宋体" w:hint="eastAsia"/>
                <w:sz w:val="24"/>
                <w:szCs w:val="24"/>
              </w:rPr>
              <w:t>在承重面均匀负载，载荷应当垂直于承重面。负载</w:t>
            </w:r>
            <w:r>
              <w:rPr>
                <w:rFonts w:ascii="宋体" w:hAnsi="宋体" w:cs="宋体"/>
                <w:sz w:val="24"/>
                <w:szCs w:val="24"/>
              </w:rPr>
              <w:t xml:space="preserve"> 24 </w:t>
            </w:r>
            <w:r>
              <w:rPr>
                <w:rFonts w:ascii="宋体" w:hAnsi="宋体" w:cs="宋体" w:hint="eastAsia"/>
                <w:sz w:val="24"/>
                <w:szCs w:val="24"/>
              </w:rPr>
              <w:t>小时后，背板应无破损和功能故障。</w:t>
            </w:r>
            <w:r>
              <w:rPr>
                <w:rFonts w:ascii="宋体" w:hAnsi="宋体" w:cs="宋体" w:hint="eastAsia"/>
                <w:b/>
                <w:bCs/>
                <w:sz w:val="24"/>
                <w:szCs w:val="24"/>
              </w:rPr>
              <w:t>提供国家级（或国际公认）的测试机构出具的检验报告扫描件上传至电子投标文件中。</w:t>
            </w:r>
          </w:p>
          <w:p w:rsidR="00C47C16" w:rsidRDefault="009A3095">
            <w:pPr>
              <w:spacing w:line="360" w:lineRule="auto"/>
              <w:rPr>
                <w:rFonts w:ascii="宋体" w:cs="Times New Roman"/>
                <w:sz w:val="24"/>
                <w:szCs w:val="24"/>
              </w:rPr>
            </w:pPr>
            <w:r>
              <w:rPr>
                <w:rFonts w:ascii="宋体" w:hAnsi="宋体" w:cs="宋体"/>
                <w:sz w:val="24"/>
                <w:szCs w:val="24"/>
              </w:rPr>
              <w:t>4</w:t>
            </w:r>
            <w:r>
              <w:rPr>
                <w:rFonts w:ascii="宋体" w:hAnsi="宋体" w:cs="宋体" w:hint="eastAsia"/>
                <w:sz w:val="24"/>
                <w:szCs w:val="24"/>
              </w:rPr>
              <w:t>）行走机构的脚轮用聚氨脂</w:t>
            </w:r>
            <w:r>
              <w:rPr>
                <w:rFonts w:ascii="宋体" w:hAnsi="宋体" w:cs="宋体"/>
                <w:sz w:val="24"/>
                <w:szCs w:val="24"/>
              </w:rPr>
              <w:t>/</w:t>
            </w:r>
            <w:r>
              <w:rPr>
                <w:rFonts w:ascii="宋体" w:hAnsi="宋体" w:cs="宋体" w:hint="eastAsia"/>
                <w:sz w:val="24"/>
                <w:szCs w:val="24"/>
              </w:rPr>
              <w:t>橡胶或其它材料，采用特殊设</w:t>
            </w:r>
            <w:r>
              <w:rPr>
                <w:rFonts w:ascii="宋体" w:hAnsi="宋体" w:cs="宋体" w:hint="eastAsia"/>
                <w:sz w:val="24"/>
                <w:szCs w:val="24"/>
              </w:rPr>
              <w:lastRenderedPageBreak/>
              <w:t>计，确保在地板上滚动时，不能伤害地板，并不会留下滚动痕迹。</w:t>
            </w:r>
            <w:r>
              <w:rPr>
                <w:rFonts w:ascii="宋体" w:hAnsi="宋体" w:cs="宋体" w:hint="eastAsia"/>
                <w:b/>
                <w:bCs/>
                <w:sz w:val="24"/>
                <w:szCs w:val="24"/>
              </w:rPr>
              <w:t>提交轮面的负载计算，每个轮子承载重量不得超过</w:t>
            </w:r>
            <w:r>
              <w:rPr>
                <w:rFonts w:ascii="宋体" w:hAnsi="宋体" w:cs="宋体"/>
                <w:b/>
                <w:bCs/>
                <w:sz w:val="24"/>
                <w:szCs w:val="24"/>
              </w:rPr>
              <w:t xml:space="preserve"> 3900N</w:t>
            </w:r>
            <w:r>
              <w:rPr>
                <w:rFonts w:ascii="宋体" w:hAnsi="宋体" w:cs="宋体" w:hint="eastAsia"/>
                <w:b/>
                <w:bCs/>
                <w:sz w:val="24"/>
                <w:szCs w:val="24"/>
              </w:rPr>
              <w:t>，接触地板面之受压不得超过</w:t>
            </w:r>
            <w:r>
              <w:rPr>
                <w:rFonts w:ascii="宋体" w:hAnsi="宋体" w:cs="宋体"/>
                <w:b/>
                <w:bCs/>
                <w:sz w:val="24"/>
                <w:szCs w:val="24"/>
              </w:rPr>
              <w:t xml:space="preserve"> 0.018N/mm2</w:t>
            </w:r>
            <w:r>
              <w:rPr>
                <w:rFonts w:ascii="宋体" w:hAnsi="宋体" w:cs="宋体" w:hint="eastAsia"/>
                <w:b/>
                <w:bCs/>
                <w:sz w:val="24"/>
                <w:szCs w:val="24"/>
              </w:rPr>
              <w:t>。</w:t>
            </w:r>
          </w:p>
          <w:p w:rsidR="00C47C16" w:rsidRDefault="009A3095">
            <w:pPr>
              <w:spacing w:line="360" w:lineRule="auto"/>
              <w:rPr>
                <w:rFonts w:ascii="宋体" w:cs="Times New Roman"/>
                <w:sz w:val="24"/>
                <w:szCs w:val="24"/>
              </w:rPr>
            </w:pPr>
            <w:r>
              <w:rPr>
                <w:rFonts w:ascii="宋体" w:hAnsi="宋体" w:cs="宋体"/>
                <w:sz w:val="24"/>
                <w:szCs w:val="24"/>
              </w:rPr>
              <w:t>5</w:t>
            </w:r>
            <w:r>
              <w:rPr>
                <w:rFonts w:ascii="宋体" w:hAnsi="宋体" w:cs="宋体" w:hint="eastAsia"/>
                <w:sz w:val="24"/>
                <w:szCs w:val="24"/>
              </w:rPr>
              <w:t>）首排驱动轮：驱动结构采用独立的四轮驱动，采用</w:t>
            </w:r>
            <w:r>
              <w:rPr>
                <w:rFonts w:ascii="宋体" w:hAnsi="宋体" w:cs="宋体"/>
                <w:sz w:val="24"/>
                <w:szCs w:val="24"/>
              </w:rPr>
              <w:t xml:space="preserve"> 4 </w:t>
            </w:r>
            <w:r>
              <w:rPr>
                <w:rFonts w:ascii="宋体" w:hAnsi="宋体" w:cs="宋体" w:hint="eastAsia"/>
                <w:sz w:val="24"/>
                <w:szCs w:val="24"/>
              </w:rPr>
              <w:t>个高强度铸钢内衬外附耐磨聚氨酯胶轮，轮宽</w:t>
            </w:r>
            <w:r>
              <w:rPr>
                <w:rFonts w:ascii="宋体" w:hAnsi="宋体" w:cs="宋体"/>
                <w:sz w:val="24"/>
                <w:szCs w:val="24"/>
              </w:rPr>
              <w:t xml:space="preserve"> 100mm </w:t>
            </w:r>
            <w:r>
              <w:rPr>
                <w:rFonts w:ascii="宋体" w:hAnsi="宋体" w:cs="宋体" w:hint="eastAsia"/>
                <w:sz w:val="24"/>
                <w:szCs w:val="24"/>
              </w:rPr>
              <w:t>驱动须与看台采用螺杆式弹性连接，当遇到不平整的地面时，驱动在配重的压力下，实现上下的自动调节，始终保持驱动轮与地面的接触，使动力不会因为地面的不平整而有所改变；在驱动的前端设置可调节左右方向的调节装置，当遇到看台跑偏时，可通过调节此装置来快速调整看台运行方向，实现看台的正常运行。支撑滚轮加厚双轴承铁芯聚氨脂轮，直径≥</w:t>
            </w:r>
            <w:r>
              <w:rPr>
                <w:rFonts w:ascii="宋体" w:hAnsi="宋体" w:cs="宋体"/>
                <w:sz w:val="24"/>
                <w:szCs w:val="24"/>
              </w:rPr>
              <w:t xml:space="preserve">127mm </w:t>
            </w:r>
            <w:r>
              <w:rPr>
                <w:rFonts w:ascii="宋体" w:hAnsi="宋体" w:cs="宋体" w:hint="eastAsia"/>
                <w:sz w:val="24"/>
                <w:szCs w:val="24"/>
              </w:rPr>
              <w:t>轮面≥</w:t>
            </w:r>
            <w:r>
              <w:rPr>
                <w:rFonts w:ascii="宋体" w:hAnsi="宋体" w:cs="宋体"/>
                <w:sz w:val="24"/>
                <w:szCs w:val="24"/>
              </w:rPr>
              <w:t xml:space="preserve">32mm </w:t>
            </w:r>
            <w:r>
              <w:rPr>
                <w:rFonts w:ascii="宋体" w:hAnsi="宋体" w:cs="宋体" w:hint="eastAsia"/>
                <w:sz w:val="24"/>
                <w:szCs w:val="24"/>
              </w:rPr>
              <w:t>的内外双硬度耐磨橡胶轮，动态承载≥</w:t>
            </w:r>
            <w:r>
              <w:rPr>
                <w:rFonts w:ascii="宋体" w:hAnsi="宋体" w:cs="宋体"/>
                <w:sz w:val="24"/>
                <w:szCs w:val="24"/>
              </w:rPr>
              <w:t>120Kg/m2</w:t>
            </w:r>
            <w:r>
              <w:rPr>
                <w:rFonts w:ascii="宋体" w:hAnsi="宋体" w:cs="宋体" w:hint="eastAsia"/>
                <w:sz w:val="24"/>
                <w:szCs w:val="24"/>
              </w:rPr>
              <w:t>，静态承载≥</w:t>
            </w:r>
            <w:r>
              <w:rPr>
                <w:rFonts w:ascii="宋体" w:hAnsi="宋体" w:cs="宋体"/>
                <w:sz w:val="24"/>
                <w:szCs w:val="24"/>
              </w:rPr>
              <w:t>240Kg/m2</w:t>
            </w:r>
            <w:r>
              <w:rPr>
                <w:rFonts w:ascii="宋体" w:hAnsi="宋体" w:cs="宋体" w:hint="eastAsia"/>
                <w:sz w:val="24"/>
                <w:szCs w:val="24"/>
              </w:rPr>
              <w:t>。</w:t>
            </w:r>
          </w:p>
          <w:p w:rsidR="00C47C16" w:rsidRDefault="00C47C16">
            <w:pPr>
              <w:spacing w:line="360" w:lineRule="auto"/>
              <w:rPr>
                <w:rFonts w:ascii="宋体" w:cs="Times New Roman"/>
                <w:sz w:val="24"/>
                <w:szCs w:val="24"/>
              </w:rPr>
            </w:pPr>
          </w:p>
          <w:p w:rsidR="00C47C16" w:rsidRDefault="009A3095">
            <w:pPr>
              <w:spacing w:line="360" w:lineRule="auto"/>
              <w:rPr>
                <w:rFonts w:ascii="宋体" w:cs="Times New Roman"/>
                <w:sz w:val="24"/>
                <w:szCs w:val="24"/>
              </w:rPr>
            </w:pPr>
            <w:r>
              <w:rPr>
                <w:rFonts w:ascii="宋体" w:hAnsi="宋体" w:cs="宋体" w:hint="eastAsia"/>
                <w:sz w:val="24"/>
                <w:szCs w:val="24"/>
              </w:rPr>
              <w:t>（二）座椅设计要求</w:t>
            </w:r>
          </w:p>
          <w:p w:rsidR="00C47C16" w:rsidRDefault="009A3095">
            <w:pPr>
              <w:spacing w:line="360" w:lineRule="auto"/>
              <w:rPr>
                <w:rFonts w:ascii="宋体" w:cs="Times New Roman"/>
                <w:sz w:val="24"/>
                <w:szCs w:val="24"/>
              </w:rPr>
            </w:pPr>
            <w:r>
              <w:rPr>
                <w:rFonts w:ascii="宋体" w:hAnsi="宋体" w:cs="宋体"/>
                <w:sz w:val="24"/>
                <w:szCs w:val="24"/>
              </w:rPr>
              <w:t>1</w:t>
            </w:r>
            <w:r>
              <w:rPr>
                <w:rFonts w:ascii="宋体" w:hAnsi="宋体" w:cs="宋体" w:hint="eastAsia"/>
                <w:sz w:val="24"/>
                <w:szCs w:val="24"/>
              </w:rPr>
              <w:t>、活动座椅设计要求</w:t>
            </w:r>
          </w:p>
          <w:p w:rsidR="00C47C16" w:rsidRDefault="009A3095">
            <w:pPr>
              <w:spacing w:line="360" w:lineRule="auto"/>
              <w:rPr>
                <w:rFonts w:ascii="宋体" w:cs="Times New Roman"/>
                <w:sz w:val="24"/>
                <w:szCs w:val="24"/>
              </w:rPr>
            </w:pPr>
            <w:r>
              <w:rPr>
                <w:rFonts w:ascii="宋体" w:hAnsi="宋体" w:cs="宋体"/>
                <w:sz w:val="24"/>
                <w:szCs w:val="24"/>
              </w:rPr>
              <w:t>1</w:t>
            </w:r>
            <w:r>
              <w:rPr>
                <w:rFonts w:ascii="宋体" w:hAnsi="宋体" w:cs="宋体" w:hint="eastAsia"/>
                <w:sz w:val="24"/>
                <w:szCs w:val="24"/>
              </w:rPr>
              <w:t>）座椅的设计、造型及安装方式均符合国际通用要求，既造型美观又座感舒适，同时兼顾便于安装维护和管理，并配置牌位号牌，座椅采用箱体式设计。</w:t>
            </w:r>
          </w:p>
          <w:p w:rsidR="00C47C16" w:rsidRDefault="009A3095">
            <w:pPr>
              <w:spacing w:line="360" w:lineRule="auto"/>
              <w:rPr>
                <w:rFonts w:ascii="宋体" w:cs="Times New Roman"/>
                <w:sz w:val="24"/>
                <w:szCs w:val="24"/>
              </w:rPr>
            </w:pPr>
            <w:r>
              <w:rPr>
                <w:rFonts w:ascii="宋体" w:hAnsi="宋体" w:cs="宋体"/>
                <w:sz w:val="24"/>
                <w:szCs w:val="24"/>
              </w:rPr>
              <w:t>2</w:t>
            </w:r>
            <w:r>
              <w:rPr>
                <w:rFonts w:ascii="宋体" w:hAnsi="宋体" w:cs="宋体" w:hint="eastAsia"/>
                <w:sz w:val="24"/>
                <w:szCs w:val="24"/>
              </w:rPr>
              <w:t>）座椅根据人体工程学设计，线条流畅简洁，材料采用高密度聚乙烯和优质的色母颗粒，中空吹塑工艺制作而成。</w:t>
            </w:r>
            <w:r>
              <w:rPr>
                <w:rFonts w:ascii="宋体" w:hAnsi="宋体" w:cs="宋体"/>
                <w:sz w:val="24"/>
                <w:szCs w:val="24"/>
              </w:rPr>
              <w:t xml:space="preserve">10 </w:t>
            </w:r>
            <w:r>
              <w:rPr>
                <w:rFonts w:ascii="宋体" w:hAnsi="宋体" w:cs="宋体" w:hint="eastAsia"/>
                <w:sz w:val="24"/>
                <w:szCs w:val="24"/>
              </w:rPr>
              <w:t>年以内不退色。</w:t>
            </w:r>
          </w:p>
          <w:p w:rsidR="00C47C16" w:rsidRDefault="009A3095">
            <w:pPr>
              <w:spacing w:line="360" w:lineRule="auto"/>
              <w:rPr>
                <w:rFonts w:ascii="宋体" w:cs="Times New Roman"/>
                <w:sz w:val="24"/>
                <w:szCs w:val="24"/>
              </w:rPr>
            </w:pPr>
            <w:r>
              <w:rPr>
                <w:rFonts w:ascii="宋体" w:hAnsi="宋体" w:cs="宋体"/>
                <w:sz w:val="24"/>
                <w:szCs w:val="24"/>
              </w:rPr>
              <w:t>3</w:t>
            </w:r>
            <w:r>
              <w:rPr>
                <w:rFonts w:ascii="宋体" w:hAnsi="宋体" w:cs="宋体" w:hint="eastAsia"/>
                <w:sz w:val="24"/>
                <w:szCs w:val="24"/>
              </w:rPr>
              <w:t>）座椅采用平装安装。中空吹塑工艺一体成型。座椅材质：采用</w:t>
            </w:r>
            <w:r>
              <w:rPr>
                <w:rFonts w:ascii="宋体" w:hAnsi="宋体" w:cs="宋体"/>
                <w:sz w:val="24"/>
                <w:szCs w:val="24"/>
              </w:rPr>
              <w:t xml:space="preserve"> HDPE</w:t>
            </w:r>
            <w:r>
              <w:rPr>
                <w:rFonts w:ascii="宋体" w:hAnsi="宋体" w:cs="宋体" w:hint="eastAsia"/>
                <w:sz w:val="24"/>
                <w:szCs w:val="24"/>
              </w:rPr>
              <w:t>（高密度聚乙烯）吹塑成型，抗冲击、防老化、防褪色。</w:t>
            </w:r>
          </w:p>
          <w:p w:rsidR="00C47C16" w:rsidRDefault="009A3095">
            <w:pPr>
              <w:spacing w:line="360" w:lineRule="auto"/>
              <w:rPr>
                <w:rFonts w:ascii="宋体" w:cs="Times New Roman"/>
                <w:sz w:val="24"/>
                <w:szCs w:val="24"/>
              </w:rPr>
            </w:pPr>
            <w:r>
              <w:rPr>
                <w:rFonts w:ascii="宋体" w:hAnsi="宋体" w:cs="宋体"/>
                <w:sz w:val="24"/>
                <w:szCs w:val="24"/>
              </w:rPr>
              <w:t>4</w:t>
            </w:r>
            <w:r>
              <w:rPr>
                <w:rFonts w:ascii="宋体" w:hAnsi="宋体" w:cs="宋体" w:hint="eastAsia"/>
                <w:sz w:val="24"/>
                <w:szCs w:val="24"/>
              </w:rPr>
              <w:t>）各类综合性能必须符合相关国家标准或行业标准</w:t>
            </w:r>
          </w:p>
          <w:p w:rsidR="00C47C16" w:rsidRDefault="009A3095">
            <w:pPr>
              <w:spacing w:line="360" w:lineRule="auto"/>
              <w:rPr>
                <w:rFonts w:ascii="宋体" w:cs="Times New Roman"/>
                <w:sz w:val="24"/>
                <w:szCs w:val="24"/>
              </w:rPr>
            </w:pPr>
            <w:r>
              <w:rPr>
                <w:rFonts w:ascii="宋体" w:hAnsi="宋体" w:cs="宋体"/>
                <w:sz w:val="24"/>
                <w:szCs w:val="24"/>
              </w:rPr>
              <w:t>5</w:t>
            </w:r>
            <w:r>
              <w:rPr>
                <w:rFonts w:ascii="宋体" w:hAnsi="宋体" w:cs="宋体" w:hint="eastAsia"/>
                <w:sz w:val="24"/>
                <w:szCs w:val="24"/>
              </w:rPr>
              <w:t>）活动看台上座椅采用吹塑翻板椅，不带扶手。座椅外形尺寸：椅高（</w:t>
            </w:r>
            <w:r>
              <w:rPr>
                <w:rFonts w:ascii="宋体" w:hAnsi="宋体" w:cs="宋体"/>
                <w:sz w:val="24"/>
                <w:szCs w:val="24"/>
              </w:rPr>
              <w:t>490mm</w:t>
            </w:r>
            <w:r>
              <w:rPr>
                <w:rFonts w:ascii="宋体" w:hAnsi="宋体" w:cs="宋体" w:hint="eastAsia"/>
                <w:sz w:val="24"/>
                <w:szCs w:val="24"/>
              </w:rPr>
              <w:t>±</w:t>
            </w:r>
            <w:r>
              <w:rPr>
                <w:rFonts w:ascii="宋体" w:hAnsi="宋体" w:cs="宋体"/>
                <w:sz w:val="24"/>
                <w:szCs w:val="24"/>
              </w:rPr>
              <w:t>10 mm</w:t>
            </w:r>
            <w:r>
              <w:rPr>
                <w:rFonts w:ascii="宋体" w:hAnsi="宋体" w:cs="宋体" w:hint="eastAsia"/>
                <w:sz w:val="24"/>
                <w:szCs w:val="24"/>
              </w:rPr>
              <w:t>），椅深（</w:t>
            </w:r>
            <w:r>
              <w:rPr>
                <w:rFonts w:ascii="宋体" w:hAnsi="宋体" w:cs="宋体"/>
                <w:sz w:val="24"/>
                <w:szCs w:val="24"/>
              </w:rPr>
              <w:t>560mm</w:t>
            </w:r>
            <w:r>
              <w:rPr>
                <w:rFonts w:ascii="宋体" w:hAnsi="宋体" w:cs="宋体" w:hint="eastAsia"/>
                <w:sz w:val="24"/>
                <w:szCs w:val="24"/>
              </w:rPr>
              <w:t>±</w:t>
            </w:r>
            <w:r>
              <w:rPr>
                <w:rFonts w:ascii="宋体" w:hAnsi="宋体" w:cs="宋体"/>
                <w:sz w:val="24"/>
                <w:szCs w:val="24"/>
              </w:rPr>
              <w:t>10 mm</w:t>
            </w:r>
            <w:r>
              <w:rPr>
                <w:rFonts w:ascii="宋体" w:hAnsi="宋体" w:cs="宋体" w:hint="eastAsia"/>
                <w:sz w:val="24"/>
                <w:szCs w:val="24"/>
              </w:rPr>
              <w:t>），椅宽（</w:t>
            </w:r>
            <w:r>
              <w:rPr>
                <w:rFonts w:ascii="宋体" w:hAnsi="宋体" w:cs="宋体"/>
                <w:sz w:val="24"/>
                <w:szCs w:val="24"/>
              </w:rPr>
              <w:t>435mm</w:t>
            </w:r>
            <w:r>
              <w:rPr>
                <w:rFonts w:ascii="宋体" w:hAnsi="宋体" w:cs="宋体" w:hint="eastAsia"/>
                <w:sz w:val="24"/>
                <w:szCs w:val="24"/>
              </w:rPr>
              <w:t>±</w:t>
            </w:r>
            <w:r>
              <w:rPr>
                <w:rFonts w:ascii="宋体" w:hAnsi="宋体" w:cs="宋体"/>
                <w:sz w:val="24"/>
                <w:szCs w:val="24"/>
              </w:rPr>
              <w:t>10 mm</w:t>
            </w:r>
            <w:r>
              <w:rPr>
                <w:rFonts w:ascii="宋体" w:hAnsi="宋体" w:cs="宋体" w:hint="eastAsia"/>
                <w:sz w:val="24"/>
                <w:szCs w:val="24"/>
              </w:rPr>
              <w:t>）座高（</w:t>
            </w:r>
            <w:r>
              <w:rPr>
                <w:rFonts w:ascii="宋体" w:hAnsi="宋体" w:cs="宋体"/>
                <w:sz w:val="24"/>
                <w:szCs w:val="24"/>
              </w:rPr>
              <w:t>430mm~450 mm</w:t>
            </w:r>
            <w:r>
              <w:rPr>
                <w:rFonts w:ascii="宋体" w:hAnsi="宋体" w:cs="宋体" w:hint="eastAsia"/>
                <w:sz w:val="24"/>
                <w:szCs w:val="24"/>
              </w:rPr>
              <w:t>）翻着厚度（</w:t>
            </w:r>
            <w:r>
              <w:rPr>
                <w:rFonts w:ascii="宋体" w:hAnsi="宋体" w:cs="宋体"/>
                <w:sz w:val="24"/>
                <w:szCs w:val="24"/>
              </w:rPr>
              <w:t>225 mm</w:t>
            </w:r>
            <w:r>
              <w:rPr>
                <w:rFonts w:ascii="宋体" w:hAnsi="宋体" w:cs="宋体" w:hint="eastAsia"/>
                <w:sz w:val="24"/>
                <w:szCs w:val="24"/>
              </w:rPr>
              <w:lastRenderedPageBreak/>
              <w:t>±</w:t>
            </w:r>
            <w:r>
              <w:rPr>
                <w:rFonts w:ascii="宋体" w:hAnsi="宋体" w:cs="宋体"/>
                <w:sz w:val="24"/>
                <w:szCs w:val="24"/>
              </w:rPr>
              <w:t>5 mm</w:t>
            </w:r>
            <w:r>
              <w:rPr>
                <w:rFonts w:ascii="宋体" w:hAnsi="宋体" w:cs="宋体" w:hint="eastAsia"/>
                <w:sz w:val="24"/>
                <w:szCs w:val="24"/>
              </w:rPr>
              <w:t>）。椅背和椅垫分离，前置式安装。座椅翻放方式采用自动翻折。</w:t>
            </w:r>
          </w:p>
          <w:p w:rsidR="00C47C16" w:rsidRDefault="00C47C16">
            <w:pPr>
              <w:rPr>
                <w:rFonts w:ascii="宋体" w:cs="Times New Roman"/>
                <w:sz w:val="24"/>
                <w:szCs w:val="24"/>
              </w:rPr>
            </w:pPr>
          </w:p>
          <w:p w:rsidR="00C47C16" w:rsidRDefault="009A3095">
            <w:pPr>
              <w:rPr>
                <w:rFonts w:ascii="宋体" w:cs="Times New Roman"/>
                <w:sz w:val="24"/>
                <w:szCs w:val="24"/>
              </w:rPr>
            </w:pPr>
            <w:r>
              <w:rPr>
                <w:noProof/>
              </w:rPr>
              <w:drawing>
                <wp:anchor distT="0" distB="0" distL="114300" distR="114300" simplePos="0" relativeHeight="503315456" behindDoc="1" locked="0" layoutInCell="1" allowOverlap="1">
                  <wp:simplePos x="0" y="0"/>
                  <wp:positionH relativeFrom="column">
                    <wp:posOffset>-29845</wp:posOffset>
                  </wp:positionH>
                  <wp:positionV relativeFrom="paragraph">
                    <wp:posOffset>34290</wp:posOffset>
                  </wp:positionV>
                  <wp:extent cx="4106545" cy="1293495"/>
                  <wp:effectExtent l="0" t="0" r="8255" b="1905"/>
                  <wp:wrapNone/>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8"/>
                          <a:stretch>
                            <a:fillRect/>
                          </a:stretch>
                        </pic:blipFill>
                        <pic:spPr>
                          <a:xfrm>
                            <a:off x="0" y="0"/>
                            <a:ext cx="4106545" cy="1293495"/>
                          </a:xfrm>
                          <a:prstGeom prst="rect">
                            <a:avLst/>
                          </a:prstGeom>
                          <a:noFill/>
                          <a:ln>
                            <a:noFill/>
                          </a:ln>
                        </pic:spPr>
                      </pic:pic>
                    </a:graphicData>
                  </a:graphic>
                </wp:anchor>
              </w:drawing>
            </w:r>
          </w:p>
          <w:p w:rsidR="00C47C16" w:rsidRDefault="00C47C16">
            <w:pPr>
              <w:rPr>
                <w:rFonts w:ascii="宋体" w:cs="Times New Roman"/>
                <w:sz w:val="24"/>
                <w:szCs w:val="24"/>
              </w:rPr>
            </w:pPr>
          </w:p>
          <w:p w:rsidR="00C47C16" w:rsidRDefault="00C47C16">
            <w:pPr>
              <w:spacing w:line="360" w:lineRule="auto"/>
              <w:rPr>
                <w:rFonts w:ascii="宋体" w:cs="Times New Roman"/>
                <w:sz w:val="24"/>
                <w:szCs w:val="24"/>
              </w:rPr>
            </w:pPr>
          </w:p>
          <w:p w:rsidR="00C47C16" w:rsidRDefault="00C47C16">
            <w:pPr>
              <w:spacing w:line="360" w:lineRule="auto"/>
              <w:rPr>
                <w:rFonts w:ascii="宋体" w:cs="Times New Roman"/>
                <w:sz w:val="24"/>
                <w:szCs w:val="24"/>
              </w:rPr>
            </w:pPr>
          </w:p>
          <w:p w:rsidR="00C47C16" w:rsidRDefault="00C47C16">
            <w:pPr>
              <w:spacing w:line="360" w:lineRule="auto"/>
              <w:rPr>
                <w:rFonts w:ascii="宋体" w:cs="Times New Roman"/>
                <w:sz w:val="24"/>
                <w:szCs w:val="24"/>
              </w:rPr>
            </w:pPr>
          </w:p>
          <w:p w:rsidR="00C47C16" w:rsidRDefault="009A3095">
            <w:pPr>
              <w:spacing w:line="360" w:lineRule="auto"/>
              <w:rPr>
                <w:rFonts w:ascii="宋体" w:cs="Times New Roman"/>
                <w:sz w:val="24"/>
                <w:szCs w:val="24"/>
              </w:rPr>
            </w:pPr>
            <w:r>
              <w:rPr>
                <w:rFonts w:ascii="宋体" w:hAnsi="宋体" w:cs="宋体" w:hint="eastAsia"/>
                <w:sz w:val="24"/>
                <w:szCs w:val="24"/>
              </w:rPr>
              <w:t>活动看台座椅（仅供参考）</w:t>
            </w:r>
          </w:p>
        </w:tc>
        <w:tc>
          <w:tcPr>
            <w:tcW w:w="711" w:type="dxa"/>
            <w:noWrap/>
            <w:vAlign w:val="center"/>
          </w:tcPr>
          <w:p w:rsidR="00C47C16" w:rsidRDefault="009A3095">
            <w:pPr>
              <w:spacing w:line="360" w:lineRule="auto"/>
              <w:rPr>
                <w:rFonts w:ascii="宋体" w:cs="Times New Roman"/>
                <w:sz w:val="24"/>
                <w:szCs w:val="24"/>
              </w:rPr>
            </w:pPr>
            <w:r>
              <w:rPr>
                <w:rFonts w:ascii="宋体" w:hAnsi="宋体" w:cs="宋体" w:hint="eastAsia"/>
                <w:sz w:val="24"/>
                <w:szCs w:val="24"/>
              </w:rPr>
              <w:lastRenderedPageBreak/>
              <w:t>座</w:t>
            </w:r>
          </w:p>
        </w:tc>
        <w:tc>
          <w:tcPr>
            <w:tcW w:w="814" w:type="dxa"/>
            <w:noWrap/>
            <w:vAlign w:val="center"/>
          </w:tcPr>
          <w:p w:rsidR="00C47C16" w:rsidRDefault="009A3095">
            <w:pPr>
              <w:spacing w:line="360" w:lineRule="auto"/>
              <w:rPr>
                <w:rFonts w:ascii="宋体" w:cs="Times New Roman"/>
                <w:sz w:val="24"/>
                <w:szCs w:val="24"/>
              </w:rPr>
            </w:pPr>
            <w:r>
              <w:rPr>
                <w:rFonts w:ascii="宋体" w:hAnsi="宋体" w:cs="宋体"/>
                <w:sz w:val="24"/>
                <w:szCs w:val="24"/>
              </w:rPr>
              <w:t>1210</w:t>
            </w:r>
          </w:p>
        </w:tc>
      </w:tr>
      <w:tr w:rsidR="00C47C16">
        <w:trPr>
          <w:trHeight w:val="375"/>
        </w:trPr>
        <w:tc>
          <w:tcPr>
            <w:tcW w:w="10089" w:type="dxa"/>
            <w:gridSpan w:val="5"/>
            <w:noWrap/>
            <w:vAlign w:val="center"/>
          </w:tcPr>
          <w:p w:rsidR="00C47C16" w:rsidRDefault="009A3095">
            <w:pPr>
              <w:spacing w:line="360" w:lineRule="auto"/>
              <w:rPr>
                <w:rFonts w:ascii="宋体" w:cs="Times New Roman"/>
                <w:b/>
                <w:bCs/>
                <w:sz w:val="24"/>
                <w:szCs w:val="24"/>
              </w:rPr>
            </w:pPr>
            <w:r>
              <w:rPr>
                <w:rFonts w:ascii="宋体" w:hAnsi="宋体" w:cs="宋体" w:hint="eastAsia"/>
                <w:b/>
                <w:bCs/>
                <w:sz w:val="24"/>
                <w:szCs w:val="24"/>
              </w:rPr>
              <w:lastRenderedPageBreak/>
              <w:t>如中标人提供的货物实际不能满足招投标文件的要求，设备进场检验时必须予以更换为满足招标文件的货物，否则不予验收通过。由此引起的一切责任与后果由中标供应商自行承担。</w:t>
            </w:r>
          </w:p>
          <w:p w:rsidR="00C47C16" w:rsidRDefault="009A3095">
            <w:pPr>
              <w:spacing w:line="360" w:lineRule="auto"/>
              <w:rPr>
                <w:rFonts w:ascii="宋体" w:cs="Times New Roman"/>
                <w:sz w:val="24"/>
                <w:szCs w:val="24"/>
              </w:rPr>
            </w:pPr>
            <w:r>
              <w:rPr>
                <w:rFonts w:ascii="宋体" w:hAnsi="宋体" w:cs="宋体" w:hint="eastAsia"/>
                <w:b/>
                <w:bCs/>
                <w:sz w:val="24"/>
                <w:szCs w:val="24"/>
              </w:rPr>
              <w:t>供货前向采购人提供所有投标产品的针对此项目的原厂授权书和五年免费售后服务承诺函并加盖原厂公章，否则采购人有权终止合同。（具体承诺细则参照招标文件售后服务要求为准）</w:t>
            </w:r>
          </w:p>
        </w:tc>
      </w:tr>
    </w:tbl>
    <w:p w:rsidR="00C47C16" w:rsidRDefault="00C47C16">
      <w:pPr>
        <w:spacing w:line="360" w:lineRule="auto"/>
        <w:rPr>
          <w:rFonts w:ascii="宋体" w:cs="Times New Roman"/>
          <w:sz w:val="24"/>
          <w:szCs w:val="24"/>
        </w:rPr>
      </w:pPr>
    </w:p>
    <w:p w:rsidR="00C47C16" w:rsidRDefault="009A3095">
      <w:pPr>
        <w:pStyle w:val="2"/>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2、售后服务要求</w:t>
      </w:r>
    </w:p>
    <w:p w:rsidR="00C47C16" w:rsidRDefault="009A3095">
      <w:pPr>
        <w:spacing w:line="360" w:lineRule="auto"/>
        <w:ind w:firstLineChars="196" w:firstLine="470"/>
        <w:rPr>
          <w:rFonts w:ascii="宋体" w:hAnsi="宋体" w:cs="宋体"/>
          <w:b/>
          <w:bCs/>
          <w:sz w:val="24"/>
          <w:szCs w:val="24"/>
        </w:rPr>
      </w:pPr>
      <w:r>
        <w:rPr>
          <w:rFonts w:ascii="宋体" w:hAnsi="宋体" w:cs="宋体" w:hint="eastAsia"/>
          <w:sz w:val="24"/>
          <w:szCs w:val="24"/>
        </w:rPr>
        <w:t>（1）质保期：</w:t>
      </w:r>
      <w:r w:rsidR="00CE1A5D">
        <w:rPr>
          <w:rFonts w:ascii="宋体" w:hAnsi="宋体" w:cs="宋体" w:hint="eastAsia"/>
          <w:sz w:val="24"/>
          <w:szCs w:val="24"/>
        </w:rPr>
        <w:t>免费</w:t>
      </w:r>
      <w:r>
        <w:rPr>
          <w:rFonts w:ascii="宋体" w:hAnsi="宋体" w:cs="宋体" w:hint="eastAsia"/>
          <w:sz w:val="24"/>
          <w:szCs w:val="24"/>
        </w:rPr>
        <w:t>质保五年，保修期内非因需方的人为原因而出现质量问题的，由供货方负责保修、包换、或者包退，并承担调换或退货的实际费用。（供货方不能修理和不能调换，按有关法律法规处理）</w:t>
      </w:r>
    </w:p>
    <w:p w:rsidR="00C47C16" w:rsidRDefault="009A3095">
      <w:pPr>
        <w:spacing w:line="360" w:lineRule="auto"/>
        <w:ind w:firstLineChars="196" w:firstLine="470"/>
        <w:rPr>
          <w:rFonts w:ascii="宋体" w:hAnsi="宋体" w:cs="宋体"/>
          <w:b/>
          <w:bCs/>
          <w:sz w:val="24"/>
          <w:szCs w:val="24"/>
        </w:rPr>
      </w:pPr>
      <w:r>
        <w:rPr>
          <w:rFonts w:ascii="宋体" w:hAnsi="宋体" w:cs="宋体" w:hint="eastAsia"/>
          <w:sz w:val="24"/>
          <w:szCs w:val="24"/>
        </w:rPr>
        <w:t>（2）维修响应时间、人员：中标方在免费保修期内接到用户电话后，在6小时内响应，12小时内到达现场，24小时以内解决问题，不能修复的必须采取无偿更换设备措施，以保证用户的正常使用。保修期外供货方终生提供零配件及维修保养，可收取维修成本和适当利润。</w:t>
      </w:r>
    </w:p>
    <w:p w:rsidR="00C47C16" w:rsidRDefault="00C47C16">
      <w:pPr>
        <w:rPr>
          <w:rFonts w:ascii="宋体" w:cs="Times New Roman"/>
          <w:b/>
          <w:bCs/>
        </w:rPr>
      </w:pPr>
    </w:p>
    <w:p w:rsidR="00C47C16" w:rsidRDefault="009A3095">
      <w:pPr>
        <w:pStyle w:val="1"/>
        <w:rPr>
          <w:sz w:val="28"/>
          <w:szCs w:val="28"/>
        </w:rPr>
      </w:pPr>
      <w:r>
        <w:rPr>
          <w:rFonts w:hint="eastAsia"/>
          <w:sz w:val="28"/>
          <w:szCs w:val="28"/>
        </w:rPr>
        <w:t>四、主要标的一览表</w:t>
      </w:r>
    </w:p>
    <w:p w:rsidR="00C47C16" w:rsidRDefault="009A3095">
      <w:pPr>
        <w:pStyle w:val="af"/>
        <w:adjustRightInd/>
        <w:spacing w:line="360" w:lineRule="auto"/>
        <w:ind w:firstLineChars="200" w:firstLine="480"/>
        <w:jc w:val="both"/>
        <w:rPr>
          <w:rFonts w:cs="Times New Roman"/>
        </w:rPr>
      </w:pPr>
      <w:r>
        <w:rPr>
          <w:rFonts w:hint="eastAsia"/>
        </w:rPr>
        <w:t>此表中主要标的由采购人列出，产品由投标人填写，将随中标结果公告一并发布，接受社会监督。</w:t>
      </w:r>
    </w:p>
    <w:tbl>
      <w:tblPr>
        <w:tblW w:w="918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865"/>
        <w:gridCol w:w="1390"/>
        <w:gridCol w:w="2520"/>
        <w:gridCol w:w="1620"/>
        <w:gridCol w:w="1440"/>
        <w:gridCol w:w="1349"/>
      </w:tblGrid>
      <w:tr w:rsidR="00C47C16">
        <w:trPr>
          <w:cantSplit/>
          <w:jc w:val="center"/>
        </w:trPr>
        <w:tc>
          <w:tcPr>
            <w:tcW w:w="865" w:type="dxa"/>
            <w:tcBorders>
              <w:top w:val="single" w:sz="12" w:space="0" w:color="auto"/>
            </w:tcBorders>
            <w:vAlign w:val="center"/>
          </w:tcPr>
          <w:p w:rsidR="00C47C16" w:rsidRDefault="009A3095">
            <w:pPr>
              <w:jc w:val="center"/>
              <w:rPr>
                <w:rFonts w:ascii="宋体" w:cs="Times New Roman"/>
                <w:color w:val="000000"/>
                <w:sz w:val="24"/>
                <w:szCs w:val="24"/>
              </w:rPr>
            </w:pPr>
            <w:r>
              <w:rPr>
                <w:rFonts w:ascii="宋体" w:hAnsi="宋体" w:cs="宋体" w:hint="eastAsia"/>
                <w:sz w:val="24"/>
                <w:szCs w:val="24"/>
              </w:rPr>
              <w:t>序号</w:t>
            </w:r>
          </w:p>
        </w:tc>
        <w:tc>
          <w:tcPr>
            <w:tcW w:w="1390" w:type="dxa"/>
            <w:tcBorders>
              <w:top w:val="single" w:sz="12" w:space="0" w:color="auto"/>
            </w:tcBorders>
            <w:vAlign w:val="center"/>
          </w:tcPr>
          <w:p w:rsidR="00C47C16" w:rsidRDefault="009A3095">
            <w:pPr>
              <w:jc w:val="center"/>
              <w:rPr>
                <w:rFonts w:ascii="宋体" w:cs="Times New Roman"/>
                <w:sz w:val="24"/>
                <w:szCs w:val="24"/>
              </w:rPr>
            </w:pPr>
            <w:r>
              <w:rPr>
                <w:rFonts w:ascii="宋体" w:hAnsi="宋体" w:cs="宋体" w:hint="eastAsia"/>
                <w:sz w:val="24"/>
                <w:szCs w:val="24"/>
              </w:rPr>
              <w:t>标的名称</w:t>
            </w:r>
          </w:p>
        </w:tc>
        <w:tc>
          <w:tcPr>
            <w:tcW w:w="2520" w:type="dxa"/>
            <w:tcBorders>
              <w:top w:val="single" w:sz="12" w:space="0" w:color="auto"/>
            </w:tcBorders>
            <w:vAlign w:val="center"/>
          </w:tcPr>
          <w:p w:rsidR="00C47C16" w:rsidRDefault="009A3095">
            <w:pPr>
              <w:jc w:val="center"/>
              <w:rPr>
                <w:rFonts w:ascii="宋体" w:cs="Times New Roman"/>
                <w:sz w:val="24"/>
                <w:szCs w:val="24"/>
              </w:rPr>
            </w:pPr>
            <w:r>
              <w:rPr>
                <w:rFonts w:ascii="宋体" w:hAnsi="宋体" w:cs="宋体" w:hint="eastAsia"/>
                <w:sz w:val="24"/>
                <w:szCs w:val="24"/>
              </w:rPr>
              <w:t>品牌与型号</w:t>
            </w:r>
          </w:p>
        </w:tc>
        <w:tc>
          <w:tcPr>
            <w:tcW w:w="1620" w:type="dxa"/>
            <w:tcBorders>
              <w:top w:val="single" w:sz="12" w:space="0" w:color="auto"/>
            </w:tcBorders>
            <w:vAlign w:val="center"/>
          </w:tcPr>
          <w:p w:rsidR="00C47C16" w:rsidRDefault="009A3095">
            <w:pPr>
              <w:jc w:val="center"/>
              <w:rPr>
                <w:rFonts w:ascii="宋体" w:cs="Times New Roman"/>
                <w:sz w:val="24"/>
                <w:szCs w:val="24"/>
              </w:rPr>
            </w:pPr>
            <w:r>
              <w:rPr>
                <w:rFonts w:ascii="宋体" w:hAnsi="宋体" w:cs="宋体" w:hint="eastAsia"/>
                <w:sz w:val="24"/>
                <w:szCs w:val="24"/>
              </w:rPr>
              <w:t>数量</w:t>
            </w:r>
          </w:p>
        </w:tc>
        <w:tc>
          <w:tcPr>
            <w:tcW w:w="1440" w:type="dxa"/>
            <w:tcBorders>
              <w:top w:val="single" w:sz="12" w:space="0" w:color="auto"/>
            </w:tcBorders>
            <w:vAlign w:val="center"/>
          </w:tcPr>
          <w:p w:rsidR="00C47C16" w:rsidRDefault="009A3095">
            <w:pPr>
              <w:jc w:val="center"/>
              <w:rPr>
                <w:rFonts w:ascii="宋体" w:cs="Times New Roman"/>
                <w:sz w:val="24"/>
                <w:szCs w:val="24"/>
              </w:rPr>
            </w:pPr>
            <w:r>
              <w:rPr>
                <w:rFonts w:ascii="宋体" w:hAnsi="宋体" w:cs="宋体" w:hint="eastAsia"/>
                <w:sz w:val="24"/>
                <w:szCs w:val="24"/>
              </w:rPr>
              <w:t>单价</w:t>
            </w:r>
          </w:p>
        </w:tc>
        <w:tc>
          <w:tcPr>
            <w:tcW w:w="1349" w:type="dxa"/>
            <w:tcBorders>
              <w:top w:val="single" w:sz="12" w:space="0" w:color="auto"/>
            </w:tcBorders>
            <w:vAlign w:val="center"/>
          </w:tcPr>
          <w:p w:rsidR="00C47C16" w:rsidRDefault="009A3095">
            <w:pPr>
              <w:jc w:val="center"/>
              <w:rPr>
                <w:rFonts w:ascii="宋体" w:cs="Times New Roman"/>
                <w:sz w:val="24"/>
                <w:szCs w:val="24"/>
              </w:rPr>
            </w:pPr>
            <w:r>
              <w:rPr>
                <w:rFonts w:ascii="宋体" w:hAnsi="宋体" w:cs="宋体" w:hint="eastAsia"/>
                <w:sz w:val="24"/>
                <w:szCs w:val="24"/>
              </w:rPr>
              <w:t>其它</w:t>
            </w:r>
          </w:p>
        </w:tc>
      </w:tr>
      <w:tr w:rsidR="00C47C16">
        <w:trPr>
          <w:cantSplit/>
          <w:jc w:val="center"/>
        </w:trPr>
        <w:tc>
          <w:tcPr>
            <w:tcW w:w="865" w:type="dxa"/>
            <w:vAlign w:val="center"/>
          </w:tcPr>
          <w:p w:rsidR="00C47C16" w:rsidRDefault="009A3095">
            <w:pPr>
              <w:jc w:val="center"/>
              <w:rPr>
                <w:rFonts w:ascii="宋体" w:cs="Times New Roman"/>
                <w:color w:val="000000"/>
                <w:sz w:val="24"/>
                <w:szCs w:val="24"/>
              </w:rPr>
            </w:pPr>
            <w:r>
              <w:rPr>
                <w:rFonts w:ascii="宋体" w:hAnsi="宋体" w:cs="宋体"/>
                <w:color w:val="000000"/>
                <w:sz w:val="24"/>
                <w:szCs w:val="24"/>
              </w:rPr>
              <w:t>1</w:t>
            </w:r>
          </w:p>
        </w:tc>
        <w:tc>
          <w:tcPr>
            <w:tcW w:w="1390" w:type="dxa"/>
            <w:vAlign w:val="center"/>
          </w:tcPr>
          <w:p w:rsidR="00C47C16" w:rsidRDefault="00C27A38">
            <w:pPr>
              <w:widowControl/>
              <w:shd w:val="clear" w:color="auto" w:fill="FFFFFF"/>
              <w:spacing w:line="560" w:lineRule="exact"/>
              <w:jc w:val="center"/>
              <w:rPr>
                <w:rFonts w:ascii="宋体" w:cs="Times New Roman"/>
                <w:color w:val="000000"/>
                <w:sz w:val="24"/>
                <w:szCs w:val="24"/>
              </w:rPr>
            </w:pPr>
            <w:r>
              <w:rPr>
                <w:rFonts w:ascii="宋体" w:hAnsi="宋体" w:cs="宋体" w:hint="eastAsia"/>
                <w:sz w:val="24"/>
                <w:szCs w:val="24"/>
              </w:rPr>
              <w:t>活动看台座椅</w:t>
            </w:r>
          </w:p>
        </w:tc>
        <w:tc>
          <w:tcPr>
            <w:tcW w:w="2520" w:type="dxa"/>
          </w:tcPr>
          <w:p w:rsidR="00C47C16" w:rsidRDefault="00C47C16">
            <w:pPr>
              <w:jc w:val="center"/>
              <w:rPr>
                <w:rFonts w:ascii="宋体" w:cs="Times New Roman"/>
                <w:color w:val="000000"/>
                <w:w w:val="80"/>
                <w:sz w:val="24"/>
                <w:szCs w:val="24"/>
              </w:rPr>
            </w:pPr>
          </w:p>
        </w:tc>
        <w:tc>
          <w:tcPr>
            <w:tcW w:w="1620" w:type="dxa"/>
          </w:tcPr>
          <w:p w:rsidR="00C47C16" w:rsidRDefault="00C47C16">
            <w:pPr>
              <w:jc w:val="center"/>
              <w:rPr>
                <w:rFonts w:ascii="宋体" w:cs="Times New Roman"/>
                <w:sz w:val="24"/>
                <w:szCs w:val="24"/>
              </w:rPr>
            </w:pPr>
          </w:p>
        </w:tc>
        <w:tc>
          <w:tcPr>
            <w:tcW w:w="1440" w:type="dxa"/>
            <w:vAlign w:val="center"/>
          </w:tcPr>
          <w:p w:rsidR="00C47C16" w:rsidRDefault="00C47C16">
            <w:pPr>
              <w:jc w:val="center"/>
              <w:rPr>
                <w:rFonts w:ascii="宋体" w:cs="Times New Roman"/>
                <w:sz w:val="24"/>
                <w:szCs w:val="24"/>
              </w:rPr>
            </w:pPr>
          </w:p>
        </w:tc>
        <w:tc>
          <w:tcPr>
            <w:tcW w:w="1349" w:type="dxa"/>
            <w:vAlign w:val="center"/>
          </w:tcPr>
          <w:p w:rsidR="00C47C16" w:rsidRDefault="00C47C16">
            <w:pPr>
              <w:jc w:val="center"/>
              <w:rPr>
                <w:rFonts w:ascii="宋体" w:cs="Times New Roman"/>
                <w:sz w:val="24"/>
                <w:szCs w:val="24"/>
              </w:rPr>
            </w:pPr>
          </w:p>
        </w:tc>
      </w:tr>
    </w:tbl>
    <w:p w:rsidR="00C47C16" w:rsidRDefault="009A3095">
      <w:pPr>
        <w:pStyle w:val="1"/>
        <w:rPr>
          <w:sz w:val="28"/>
          <w:szCs w:val="28"/>
        </w:rPr>
      </w:pPr>
      <w:r>
        <w:rPr>
          <w:rFonts w:hint="eastAsia"/>
          <w:sz w:val="28"/>
          <w:szCs w:val="28"/>
        </w:rPr>
        <w:lastRenderedPageBreak/>
        <w:t>五、投标人资格要求</w:t>
      </w:r>
    </w:p>
    <w:p w:rsidR="00C47C16" w:rsidRDefault="009A3095">
      <w:pPr>
        <w:spacing w:line="360" w:lineRule="auto"/>
        <w:ind w:firstLineChars="100" w:firstLine="240"/>
        <w:rPr>
          <w:rFonts w:ascii="宋体" w:hAnsi="宋体" w:cs="宋体"/>
          <w:sz w:val="24"/>
          <w:szCs w:val="24"/>
        </w:rPr>
      </w:pPr>
      <w:r>
        <w:rPr>
          <w:rFonts w:ascii="宋体" w:hAnsi="宋体" w:cs="宋体" w:hint="eastAsia"/>
          <w:sz w:val="24"/>
          <w:szCs w:val="24"/>
        </w:rPr>
        <w:t>1、满足《中华人民共和国政府采购法》第二十二条的全部要求，且具有从事本采购项目的经营范围和能力；</w:t>
      </w:r>
    </w:p>
    <w:p w:rsidR="00C47C16" w:rsidRDefault="009A3095">
      <w:pPr>
        <w:spacing w:line="360" w:lineRule="auto"/>
        <w:ind w:firstLineChars="200" w:firstLine="480"/>
        <w:rPr>
          <w:rFonts w:ascii="宋体" w:hAnsi="宋体" w:cs="宋体"/>
          <w:sz w:val="24"/>
          <w:szCs w:val="24"/>
        </w:rPr>
      </w:pPr>
      <w:r>
        <w:rPr>
          <w:rFonts w:ascii="宋体" w:hAnsi="宋体" w:cs="宋体" w:hint="eastAsia"/>
          <w:sz w:val="24"/>
          <w:szCs w:val="24"/>
        </w:rPr>
        <w:t>2、本项目不接受联合体投标。</w:t>
      </w:r>
    </w:p>
    <w:p w:rsidR="00C47C16" w:rsidRDefault="009A3095">
      <w:pPr>
        <w:pStyle w:val="1"/>
        <w:rPr>
          <w:sz w:val="28"/>
          <w:szCs w:val="28"/>
        </w:rPr>
      </w:pPr>
      <w:r>
        <w:rPr>
          <w:rFonts w:hint="eastAsia"/>
          <w:sz w:val="28"/>
          <w:szCs w:val="28"/>
        </w:rPr>
        <w:t>六、供货（安装、服务）周期</w:t>
      </w:r>
    </w:p>
    <w:p w:rsidR="00C47C16" w:rsidRDefault="009A3095">
      <w:pPr>
        <w:spacing w:line="360" w:lineRule="auto"/>
        <w:ind w:firstLineChars="196" w:firstLine="470"/>
        <w:rPr>
          <w:rFonts w:hAnsi="宋体" w:cs="Times New Roman"/>
          <w:sz w:val="24"/>
          <w:szCs w:val="24"/>
        </w:rPr>
      </w:pPr>
      <w:r>
        <w:rPr>
          <w:rFonts w:ascii="宋体" w:hAnsi="宋体" w:cs="宋体" w:hint="eastAsia"/>
          <w:sz w:val="24"/>
          <w:szCs w:val="24"/>
        </w:rPr>
        <w:t>自项目签订合同之日起</w:t>
      </w:r>
      <w:r>
        <w:rPr>
          <w:rFonts w:ascii="宋体" w:hAnsi="宋体" w:cs="宋体"/>
          <w:sz w:val="24"/>
          <w:szCs w:val="24"/>
        </w:rPr>
        <w:t>30</w:t>
      </w:r>
      <w:r>
        <w:rPr>
          <w:rFonts w:ascii="宋体" w:hAnsi="宋体" w:cs="宋体" w:hint="eastAsia"/>
          <w:sz w:val="24"/>
          <w:szCs w:val="24"/>
        </w:rPr>
        <w:t>日内完成安装、调试</w:t>
      </w:r>
    </w:p>
    <w:p w:rsidR="00C47C16" w:rsidRDefault="009A3095">
      <w:pPr>
        <w:pStyle w:val="1"/>
        <w:rPr>
          <w:sz w:val="28"/>
          <w:szCs w:val="28"/>
        </w:rPr>
      </w:pPr>
      <w:r>
        <w:rPr>
          <w:rFonts w:hint="eastAsia"/>
          <w:sz w:val="28"/>
          <w:szCs w:val="28"/>
        </w:rPr>
        <w:t>七、付款方式</w:t>
      </w:r>
    </w:p>
    <w:p w:rsidR="00C47C16" w:rsidRDefault="009A3095">
      <w:pPr>
        <w:spacing w:line="360" w:lineRule="auto"/>
        <w:ind w:firstLineChars="196" w:firstLine="470"/>
        <w:rPr>
          <w:rFonts w:ascii="宋体" w:hAnsi="宋体" w:cs="宋体"/>
          <w:sz w:val="24"/>
          <w:szCs w:val="24"/>
        </w:rPr>
      </w:pPr>
      <w:r>
        <w:rPr>
          <w:rFonts w:ascii="宋体" w:hAnsi="宋体" w:cs="宋体" w:hint="eastAsia"/>
          <w:sz w:val="24"/>
          <w:szCs w:val="24"/>
        </w:rPr>
        <w:t>货物全部进场后并检验合格后，支付至全部合同金额的90%。剩余10%的合同金额待项目验收合格</w:t>
      </w:r>
      <w:r w:rsidR="00465279">
        <w:rPr>
          <w:rFonts w:ascii="宋体" w:hAnsi="宋体" w:cs="宋体" w:hint="eastAsia"/>
          <w:sz w:val="24"/>
          <w:szCs w:val="24"/>
        </w:rPr>
        <w:t>后支付合同金额的10%。采购项目完成支付进度并经采购人验收合格后，根据中标人提供的合法、有效、完整的发票，</w:t>
      </w:r>
      <w:r>
        <w:rPr>
          <w:rFonts w:ascii="宋体" w:hAnsi="宋体" w:cs="宋体" w:hint="eastAsia"/>
          <w:sz w:val="24"/>
          <w:szCs w:val="24"/>
        </w:rPr>
        <w:t>经财政部门审核后，</w:t>
      </w:r>
      <w:r w:rsidR="00465279">
        <w:rPr>
          <w:rFonts w:ascii="宋体" w:hAnsi="宋体" w:cs="宋体" w:hint="eastAsia"/>
          <w:sz w:val="24"/>
          <w:szCs w:val="24"/>
        </w:rPr>
        <w:t>按采购人申报的资金支付方式，10个工作日内予以支付</w:t>
      </w:r>
      <w:r>
        <w:rPr>
          <w:rFonts w:ascii="宋体" w:hAnsi="宋体" w:cs="宋体" w:hint="eastAsia"/>
          <w:sz w:val="24"/>
          <w:szCs w:val="24"/>
        </w:rPr>
        <w:t>。</w:t>
      </w:r>
    </w:p>
    <w:p w:rsidR="00C47C16" w:rsidRDefault="009A3095">
      <w:pPr>
        <w:pStyle w:val="1"/>
        <w:rPr>
          <w:sz w:val="28"/>
          <w:szCs w:val="28"/>
        </w:rPr>
      </w:pPr>
      <w:r>
        <w:rPr>
          <w:rFonts w:hint="eastAsia"/>
          <w:sz w:val="28"/>
          <w:szCs w:val="28"/>
        </w:rPr>
        <w:t>八、采购方式</w:t>
      </w:r>
    </w:p>
    <w:p w:rsidR="00C47C16" w:rsidRDefault="009A3095">
      <w:pPr>
        <w:spacing w:line="360" w:lineRule="auto"/>
        <w:ind w:firstLineChars="196" w:firstLine="470"/>
        <w:rPr>
          <w:rFonts w:ascii="宋体" w:cs="Times New Roman"/>
          <w:sz w:val="24"/>
          <w:szCs w:val="24"/>
        </w:rPr>
      </w:pPr>
      <w:r>
        <w:rPr>
          <w:rFonts w:hAnsi="宋体" w:cs="宋体" w:hint="eastAsia"/>
          <w:sz w:val="24"/>
          <w:szCs w:val="24"/>
        </w:rPr>
        <w:t>公开招标</w:t>
      </w:r>
    </w:p>
    <w:p w:rsidR="00C47C16" w:rsidRDefault="009A3095">
      <w:pPr>
        <w:pStyle w:val="1"/>
        <w:rPr>
          <w:sz w:val="28"/>
          <w:szCs w:val="28"/>
        </w:rPr>
      </w:pPr>
      <w:r>
        <w:rPr>
          <w:rFonts w:hint="eastAsia"/>
          <w:sz w:val="28"/>
          <w:szCs w:val="28"/>
        </w:rPr>
        <w:t>九、评标办法</w:t>
      </w:r>
    </w:p>
    <w:p w:rsidR="00C47C16" w:rsidRDefault="009A3095">
      <w:pPr>
        <w:spacing w:line="360" w:lineRule="auto"/>
        <w:rPr>
          <w:rFonts w:ascii="宋体" w:cs="Times New Roman"/>
          <w:sz w:val="24"/>
          <w:szCs w:val="24"/>
        </w:rPr>
      </w:pPr>
      <w:r>
        <w:rPr>
          <w:rFonts w:ascii="宋体" w:hAnsi="宋体" w:cs="宋体" w:hint="eastAsia"/>
          <w:b/>
          <w:bCs/>
          <w:sz w:val="24"/>
          <w:szCs w:val="24"/>
        </w:rPr>
        <w:t xml:space="preserve">    本项目采用综合评分法</w:t>
      </w:r>
    </w:p>
    <w:p w:rsidR="00C47C16" w:rsidRDefault="009A3095">
      <w:pPr>
        <w:spacing w:line="360" w:lineRule="auto"/>
        <w:ind w:firstLineChars="200" w:firstLine="480"/>
        <w:rPr>
          <w:rFonts w:ascii="宋体" w:cs="Times New Roman"/>
          <w:sz w:val="24"/>
          <w:szCs w:val="24"/>
        </w:rPr>
      </w:pPr>
      <w:r>
        <w:rPr>
          <w:rFonts w:ascii="宋体" w:hAnsi="宋体" w:cs="宋体" w:hint="eastAsia"/>
          <w:sz w:val="24"/>
          <w:szCs w:val="24"/>
        </w:rPr>
        <w:t>本项目技术分值占总分值的权重为</w:t>
      </w:r>
      <w:r>
        <w:rPr>
          <w:rFonts w:ascii="宋体" w:hAnsi="宋体" w:cs="宋体"/>
          <w:sz w:val="24"/>
          <w:szCs w:val="24"/>
          <w:u w:val="single"/>
        </w:rPr>
        <w:t>44</w:t>
      </w:r>
      <w:r>
        <w:rPr>
          <w:rFonts w:ascii="宋体" w:hAnsi="宋体" w:cs="宋体"/>
          <w:sz w:val="24"/>
          <w:szCs w:val="24"/>
        </w:rPr>
        <w:t xml:space="preserve"> %</w:t>
      </w:r>
      <w:r>
        <w:rPr>
          <w:rFonts w:ascii="宋体" w:hAnsi="宋体" w:cs="宋体" w:hint="eastAsia"/>
          <w:sz w:val="24"/>
          <w:szCs w:val="24"/>
        </w:rPr>
        <w:t>，资信分值占总分值的权重为</w:t>
      </w:r>
      <w:r>
        <w:rPr>
          <w:rFonts w:ascii="宋体" w:hAnsi="宋体" w:cs="宋体"/>
          <w:sz w:val="24"/>
          <w:szCs w:val="24"/>
          <w:u w:val="single"/>
        </w:rPr>
        <w:t>26</w:t>
      </w:r>
      <w:r>
        <w:rPr>
          <w:rFonts w:ascii="宋体" w:hAnsi="宋体" w:cs="宋体"/>
          <w:sz w:val="24"/>
          <w:szCs w:val="24"/>
        </w:rPr>
        <w:t xml:space="preserve"> %</w:t>
      </w:r>
      <w:r>
        <w:rPr>
          <w:rFonts w:ascii="宋体" w:hAnsi="宋体" w:cs="宋体" w:hint="eastAsia"/>
          <w:sz w:val="24"/>
          <w:szCs w:val="24"/>
        </w:rPr>
        <w:t>，价格分值占总分值的权重为</w:t>
      </w:r>
      <w:r>
        <w:rPr>
          <w:rFonts w:ascii="宋体" w:hAnsi="宋体" w:cs="宋体"/>
          <w:sz w:val="24"/>
          <w:szCs w:val="24"/>
          <w:u w:val="single"/>
        </w:rPr>
        <w:t xml:space="preserve"> 30 </w:t>
      </w:r>
      <w:r>
        <w:rPr>
          <w:rFonts w:ascii="宋体" w:hAnsi="宋体" w:cs="宋体"/>
          <w:sz w:val="24"/>
          <w:szCs w:val="24"/>
        </w:rPr>
        <w:t xml:space="preserve"> %</w:t>
      </w:r>
      <w:r>
        <w:rPr>
          <w:rFonts w:ascii="宋体" w:hAnsi="宋体" w:cs="宋体" w:hint="eastAsia"/>
          <w:sz w:val="24"/>
          <w:szCs w:val="24"/>
        </w:rPr>
        <w:t>。具体评分细则如下：</w:t>
      </w:r>
    </w:p>
    <w:tbl>
      <w:tblPr>
        <w:tblW w:w="898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95"/>
        <w:gridCol w:w="1547"/>
        <w:gridCol w:w="4809"/>
        <w:gridCol w:w="1236"/>
      </w:tblGrid>
      <w:tr w:rsidR="00C47C16">
        <w:trPr>
          <w:trHeight w:val="20"/>
        </w:trPr>
        <w:tc>
          <w:tcPr>
            <w:tcW w:w="1395" w:type="dxa"/>
            <w:noWrap/>
            <w:vAlign w:val="center"/>
          </w:tcPr>
          <w:p w:rsidR="00C47C16" w:rsidRDefault="009A3095">
            <w:pPr>
              <w:spacing w:line="360" w:lineRule="auto"/>
              <w:jc w:val="center"/>
              <w:rPr>
                <w:rFonts w:ascii="宋体" w:cs="Times New Roman"/>
                <w:sz w:val="24"/>
                <w:szCs w:val="24"/>
              </w:rPr>
            </w:pPr>
            <w:r>
              <w:rPr>
                <w:rFonts w:ascii="宋体" w:hAnsi="宋体" w:cs="宋体" w:hint="eastAsia"/>
                <w:sz w:val="24"/>
                <w:szCs w:val="24"/>
              </w:rPr>
              <w:t>类别</w:t>
            </w:r>
          </w:p>
        </w:tc>
        <w:tc>
          <w:tcPr>
            <w:tcW w:w="1547" w:type="dxa"/>
            <w:noWrap/>
            <w:vAlign w:val="center"/>
          </w:tcPr>
          <w:p w:rsidR="00C47C16" w:rsidRDefault="009A3095">
            <w:pPr>
              <w:spacing w:line="360" w:lineRule="auto"/>
              <w:jc w:val="center"/>
              <w:rPr>
                <w:rFonts w:ascii="宋体" w:cs="Times New Roman"/>
                <w:sz w:val="24"/>
                <w:szCs w:val="24"/>
              </w:rPr>
            </w:pPr>
            <w:r>
              <w:rPr>
                <w:rFonts w:ascii="宋体" w:hAnsi="宋体" w:cs="宋体" w:hint="eastAsia"/>
                <w:sz w:val="24"/>
                <w:szCs w:val="24"/>
              </w:rPr>
              <w:t>评分内容</w:t>
            </w:r>
          </w:p>
        </w:tc>
        <w:tc>
          <w:tcPr>
            <w:tcW w:w="4809" w:type="dxa"/>
            <w:noWrap/>
            <w:vAlign w:val="center"/>
          </w:tcPr>
          <w:p w:rsidR="00C47C16" w:rsidRDefault="009A3095">
            <w:pPr>
              <w:spacing w:line="360" w:lineRule="auto"/>
              <w:jc w:val="center"/>
              <w:rPr>
                <w:rFonts w:ascii="宋体" w:cs="Times New Roman"/>
                <w:sz w:val="24"/>
                <w:szCs w:val="24"/>
              </w:rPr>
            </w:pPr>
            <w:r>
              <w:rPr>
                <w:rFonts w:ascii="宋体" w:hAnsi="宋体" w:cs="宋体" w:hint="eastAsia"/>
                <w:sz w:val="24"/>
                <w:szCs w:val="24"/>
              </w:rPr>
              <w:t>评分标准</w:t>
            </w:r>
          </w:p>
        </w:tc>
        <w:tc>
          <w:tcPr>
            <w:tcW w:w="1236" w:type="dxa"/>
            <w:noWrap/>
            <w:vAlign w:val="center"/>
          </w:tcPr>
          <w:p w:rsidR="00C47C16" w:rsidRDefault="009A3095">
            <w:pPr>
              <w:spacing w:line="360" w:lineRule="auto"/>
              <w:jc w:val="center"/>
              <w:rPr>
                <w:rFonts w:ascii="宋体" w:cs="Times New Roman"/>
                <w:sz w:val="24"/>
                <w:szCs w:val="24"/>
              </w:rPr>
            </w:pPr>
            <w:r>
              <w:rPr>
                <w:rFonts w:ascii="宋体" w:hAnsi="宋体" w:cs="宋体" w:hint="eastAsia"/>
                <w:sz w:val="24"/>
                <w:szCs w:val="24"/>
              </w:rPr>
              <w:t>分值范围</w:t>
            </w:r>
          </w:p>
        </w:tc>
      </w:tr>
      <w:tr w:rsidR="00C47C16">
        <w:trPr>
          <w:trHeight w:val="20"/>
        </w:trPr>
        <w:tc>
          <w:tcPr>
            <w:tcW w:w="1395" w:type="dxa"/>
            <w:vMerge w:val="restart"/>
            <w:noWrap/>
            <w:vAlign w:val="center"/>
          </w:tcPr>
          <w:p w:rsidR="00C47C16" w:rsidRDefault="009A3095">
            <w:pPr>
              <w:spacing w:line="360" w:lineRule="auto"/>
              <w:jc w:val="center"/>
              <w:rPr>
                <w:rFonts w:ascii="宋体" w:cs="Times New Roman"/>
                <w:sz w:val="24"/>
                <w:szCs w:val="24"/>
              </w:rPr>
            </w:pPr>
            <w:r>
              <w:rPr>
                <w:rFonts w:ascii="宋体" w:hAnsi="宋体" w:cs="宋体" w:hint="eastAsia"/>
                <w:sz w:val="24"/>
                <w:szCs w:val="24"/>
              </w:rPr>
              <w:t>技术分</w:t>
            </w:r>
          </w:p>
          <w:p w:rsidR="00C47C16" w:rsidRDefault="009A3095">
            <w:pPr>
              <w:spacing w:line="360" w:lineRule="auto"/>
              <w:jc w:val="center"/>
              <w:rPr>
                <w:rFonts w:ascii="宋体" w:cs="Times New Roman"/>
                <w:sz w:val="24"/>
                <w:szCs w:val="24"/>
              </w:rPr>
            </w:pPr>
            <w:r>
              <w:rPr>
                <w:rFonts w:ascii="宋体" w:hAnsi="宋体" w:cs="宋体" w:hint="eastAsia"/>
                <w:sz w:val="24"/>
                <w:szCs w:val="24"/>
              </w:rPr>
              <w:t>（</w:t>
            </w:r>
            <w:r>
              <w:rPr>
                <w:rFonts w:ascii="宋体" w:hAnsi="宋体" w:cs="宋体"/>
                <w:sz w:val="24"/>
                <w:szCs w:val="24"/>
              </w:rPr>
              <w:t xml:space="preserve"> 44 </w:t>
            </w:r>
            <w:r>
              <w:rPr>
                <w:rFonts w:ascii="宋体" w:hAnsi="宋体" w:cs="宋体" w:hint="eastAsia"/>
                <w:sz w:val="24"/>
                <w:szCs w:val="24"/>
              </w:rPr>
              <w:t>分）</w:t>
            </w:r>
          </w:p>
        </w:tc>
        <w:tc>
          <w:tcPr>
            <w:tcW w:w="1547" w:type="dxa"/>
            <w:noWrap/>
            <w:vAlign w:val="center"/>
          </w:tcPr>
          <w:p w:rsidR="00C47C16" w:rsidRDefault="009A3095">
            <w:pPr>
              <w:spacing w:line="360" w:lineRule="auto"/>
              <w:jc w:val="center"/>
              <w:rPr>
                <w:rFonts w:ascii="宋体" w:cs="Times New Roman"/>
                <w:sz w:val="24"/>
                <w:szCs w:val="24"/>
              </w:rPr>
            </w:pPr>
            <w:r>
              <w:rPr>
                <w:rFonts w:ascii="宋体" w:hAnsi="宋体" w:cs="宋体" w:hint="eastAsia"/>
                <w:sz w:val="24"/>
                <w:szCs w:val="24"/>
              </w:rPr>
              <w:t>产品技术参数响应</w:t>
            </w:r>
          </w:p>
        </w:tc>
        <w:tc>
          <w:tcPr>
            <w:tcW w:w="4809" w:type="dxa"/>
            <w:noWrap/>
            <w:vAlign w:val="center"/>
          </w:tcPr>
          <w:p w:rsidR="00C47C16" w:rsidRDefault="009A3095">
            <w:pPr>
              <w:spacing w:line="360" w:lineRule="auto"/>
              <w:rPr>
                <w:rFonts w:ascii="宋体" w:cs="Times New Roman"/>
                <w:sz w:val="24"/>
                <w:szCs w:val="24"/>
              </w:rPr>
            </w:pPr>
            <w:r>
              <w:rPr>
                <w:rFonts w:ascii="宋体" w:hAnsi="宋体" w:cs="宋体" w:hint="eastAsia"/>
                <w:sz w:val="24"/>
                <w:szCs w:val="24"/>
              </w:rPr>
              <w:t>所投产品技术参数完全满足或优于招标文件要求的得</w:t>
            </w:r>
            <w:r>
              <w:rPr>
                <w:rFonts w:ascii="宋体" w:hAnsi="宋体" w:cs="宋体"/>
                <w:sz w:val="24"/>
                <w:szCs w:val="24"/>
              </w:rPr>
              <w:t>15</w:t>
            </w:r>
            <w:r>
              <w:rPr>
                <w:rFonts w:ascii="宋体" w:hAnsi="宋体" w:cs="宋体" w:hint="eastAsia"/>
                <w:sz w:val="24"/>
                <w:szCs w:val="24"/>
              </w:rPr>
              <w:t>分；</w:t>
            </w:r>
          </w:p>
          <w:p w:rsidR="00C47C16" w:rsidRDefault="009A3095">
            <w:pPr>
              <w:spacing w:line="360" w:lineRule="auto"/>
              <w:rPr>
                <w:rFonts w:ascii="宋体" w:cs="Times New Roman"/>
                <w:sz w:val="24"/>
                <w:szCs w:val="24"/>
              </w:rPr>
            </w:pPr>
            <w:r>
              <w:rPr>
                <w:rFonts w:ascii="宋体" w:hAnsi="宋体" w:cs="宋体"/>
                <w:sz w:val="24"/>
                <w:szCs w:val="24"/>
              </w:rPr>
              <w:t>1</w:t>
            </w:r>
            <w:r>
              <w:rPr>
                <w:rFonts w:ascii="宋体" w:hAnsi="宋体" w:cs="宋体" w:hint="eastAsia"/>
                <w:sz w:val="24"/>
                <w:szCs w:val="24"/>
              </w:rPr>
              <w:t>、技术参数中标注“★</w:t>
            </w:r>
            <w:r>
              <w:rPr>
                <w:rFonts w:ascii="宋体" w:hAnsi="宋体" w:cs="宋体" w:hint="eastAsia"/>
                <w:sz w:val="24"/>
                <w:szCs w:val="24"/>
              </w:rPr>
              <w:t>”项要求的有一项不满足的即视为无效标处理。</w:t>
            </w:r>
          </w:p>
          <w:p w:rsidR="00C47C16" w:rsidRDefault="009A3095">
            <w:pPr>
              <w:spacing w:line="360" w:lineRule="auto"/>
              <w:rPr>
                <w:rFonts w:ascii="宋体" w:cs="Times New Roman"/>
                <w:sz w:val="24"/>
                <w:szCs w:val="24"/>
              </w:rPr>
            </w:pPr>
            <w:r>
              <w:rPr>
                <w:rFonts w:ascii="宋体" w:hAnsi="宋体" w:cs="宋体"/>
                <w:sz w:val="24"/>
                <w:szCs w:val="24"/>
              </w:rPr>
              <w:t>2</w:t>
            </w:r>
            <w:r>
              <w:rPr>
                <w:rFonts w:ascii="宋体" w:hAnsi="宋体" w:cs="宋体" w:hint="eastAsia"/>
                <w:sz w:val="24"/>
                <w:szCs w:val="24"/>
              </w:rPr>
              <w:t>、未标注“★</w:t>
            </w:r>
            <w:r>
              <w:rPr>
                <w:rFonts w:ascii="宋体" w:hAnsi="宋体" w:cs="宋体" w:hint="eastAsia"/>
                <w:sz w:val="24"/>
                <w:szCs w:val="24"/>
              </w:rPr>
              <w:t>”项要求的每有一项不满的扣</w:t>
            </w:r>
            <w:r>
              <w:rPr>
                <w:rFonts w:ascii="宋体" w:hAnsi="宋体" w:cs="宋体"/>
                <w:sz w:val="24"/>
                <w:szCs w:val="24"/>
              </w:rPr>
              <w:t xml:space="preserve"> 4 </w:t>
            </w:r>
            <w:r>
              <w:rPr>
                <w:rFonts w:ascii="宋体" w:hAnsi="宋体" w:cs="宋体" w:hint="eastAsia"/>
                <w:sz w:val="24"/>
                <w:szCs w:val="24"/>
              </w:rPr>
              <w:t>分，满分</w:t>
            </w:r>
            <w:r>
              <w:rPr>
                <w:rFonts w:ascii="宋体" w:hAnsi="宋体" w:cs="宋体"/>
                <w:sz w:val="24"/>
                <w:szCs w:val="24"/>
              </w:rPr>
              <w:t xml:space="preserve">15 </w:t>
            </w:r>
            <w:r>
              <w:rPr>
                <w:rFonts w:ascii="宋体" w:hAnsi="宋体" w:cs="宋体" w:hint="eastAsia"/>
                <w:sz w:val="24"/>
                <w:szCs w:val="24"/>
              </w:rPr>
              <w:t>分，扣完为止。</w:t>
            </w:r>
          </w:p>
          <w:p w:rsidR="00C47C16" w:rsidRDefault="009A3095">
            <w:pPr>
              <w:spacing w:line="360" w:lineRule="auto"/>
              <w:rPr>
                <w:rFonts w:ascii="宋体" w:cs="Times New Roman"/>
                <w:sz w:val="24"/>
                <w:szCs w:val="24"/>
              </w:rPr>
            </w:pPr>
            <w:r>
              <w:rPr>
                <w:rFonts w:ascii="宋体" w:hAnsi="宋体" w:cs="宋体" w:hint="eastAsia"/>
                <w:b/>
                <w:bCs/>
                <w:sz w:val="24"/>
                <w:szCs w:val="24"/>
              </w:rPr>
              <w:t>注：以投标响应表及采购需求中要求提供的证明材料作为评审依据。</w:t>
            </w:r>
          </w:p>
        </w:tc>
        <w:tc>
          <w:tcPr>
            <w:tcW w:w="1236" w:type="dxa"/>
            <w:noWrap/>
            <w:vAlign w:val="center"/>
          </w:tcPr>
          <w:p w:rsidR="00C47C16" w:rsidRDefault="009A3095">
            <w:pPr>
              <w:spacing w:line="360" w:lineRule="auto"/>
              <w:rPr>
                <w:rFonts w:ascii="宋体" w:cs="Times New Roman"/>
                <w:sz w:val="24"/>
                <w:szCs w:val="24"/>
              </w:rPr>
            </w:pPr>
            <w:r>
              <w:rPr>
                <w:rFonts w:ascii="宋体" w:cs="宋体"/>
                <w:sz w:val="24"/>
                <w:szCs w:val="24"/>
              </w:rPr>
              <w:t>0-</w:t>
            </w:r>
            <w:r>
              <w:rPr>
                <w:rFonts w:ascii="宋体" w:hAnsi="宋体" w:cs="宋体"/>
                <w:sz w:val="24"/>
                <w:szCs w:val="24"/>
              </w:rPr>
              <w:t>15</w:t>
            </w:r>
            <w:r>
              <w:rPr>
                <w:rFonts w:ascii="宋体" w:hAnsi="宋体" w:cs="宋体" w:hint="eastAsia"/>
                <w:sz w:val="24"/>
                <w:szCs w:val="24"/>
              </w:rPr>
              <w:t>分</w:t>
            </w:r>
          </w:p>
        </w:tc>
      </w:tr>
      <w:tr w:rsidR="00C47C16">
        <w:trPr>
          <w:trHeight w:val="20"/>
        </w:trPr>
        <w:tc>
          <w:tcPr>
            <w:tcW w:w="1395" w:type="dxa"/>
            <w:vMerge/>
            <w:noWrap/>
            <w:vAlign w:val="center"/>
          </w:tcPr>
          <w:p w:rsidR="00C47C16" w:rsidRDefault="00C47C16">
            <w:pPr>
              <w:spacing w:line="360" w:lineRule="auto"/>
              <w:rPr>
                <w:rFonts w:ascii="宋体" w:cs="Times New Roman"/>
                <w:sz w:val="24"/>
                <w:szCs w:val="24"/>
              </w:rPr>
            </w:pPr>
          </w:p>
        </w:tc>
        <w:tc>
          <w:tcPr>
            <w:tcW w:w="1547" w:type="dxa"/>
            <w:noWrap/>
            <w:vAlign w:val="center"/>
          </w:tcPr>
          <w:p w:rsidR="00C47C16" w:rsidRDefault="009A3095">
            <w:pPr>
              <w:spacing w:line="360" w:lineRule="auto"/>
              <w:jc w:val="center"/>
              <w:rPr>
                <w:rFonts w:ascii="宋体" w:cs="Times New Roman"/>
                <w:sz w:val="24"/>
                <w:szCs w:val="24"/>
              </w:rPr>
            </w:pPr>
            <w:r>
              <w:rPr>
                <w:rFonts w:ascii="宋体" w:hAnsi="宋体" w:cs="宋体" w:hint="eastAsia"/>
                <w:sz w:val="24"/>
                <w:szCs w:val="24"/>
              </w:rPr>
              <w:t>项目实施方案</w:t>
            </w:r>
          </w:p>
        </w:tc>
        <w:tc>
          <w:tcPr>
            <w:tcW w:w="4809" w:type="dxa"/>
            <w:noWrap/>
            <w:vAlign w:val="center"/>
          </w:tcPr>
          <w:p w:rsidR="00C47C16" w:rsidRDefault="009A3095">
            <w:pPr>
              <w:spacing w:line="360" w:lineRule="auto"/>
              <w:rPr>
                <w:rFonts w:ascii="宋体" w:cs="Times New Roman"/>
                <w:sz w:val="24"/>
                <w:szCs w:val="24"/>
              </w:rPr>
            </w:pPr>
            <w:r>
              <w:rPr>
                <w:rFonts w:ascii="宋体" w:hAnsi="宋体" w:cs="宋体"/>
                <w:sz w:val="24"/>
                <w:szCs w:val="24"/>
              </w:rPr>
              <w:t>1</w:t>
            </w:r>
            <w:r>
              <w:rPr>
                <w:rFonts w:ascii="宋体" w:hAnsi="宋体" w:cs="宋体" w:hint="eastAsia"/>
                <w:sz w:val="24"/>
                <w:szCs w:val="24"/>
              </w:rPr>
              <w:t>、项目实施的质量保证措施，材料、设备质量和成品保护措施；主要从物资的准备和计划安排、施工机具的配备、各工种劳动力的安排是否满足各施工节点和进度安排的需要等方面进行评审</w:t>
            </w:r>
            <w:r>
              <w:rPr>
                <w:rFonts w:ascii="宋体" w:cs="宋体"/>
                <w:sz w:val="24"/>
                <w:szCs w:val="24"/>
              </w:rPr>
              <w:t>0-</w:t>
            </w:r>
            <w:r>
              <w:rPr>
                <w:rFonts w:ascii="宋体" w:hAnsi="宋体" w:cs="宋体"/>
                <w:sz w:val="24"/>
                <w:szCs w:val="24"/>
              </w:rPr>
              <w:t>2</w:t>
            </w:r>
            <w:r>
              <w:rPr>
                <w:rFonts w:ascii="宋体" w:hAnsi="宋体" w:cs="宋体" w:hint="eastAsia"/>
                <w:sz w:val="24"/>
                <w:szCs w:val="24"/>
              </w:rPr>
              <w:t>分；</w:t>
            </w:r>
          </w:p>
          <w:p w:rsidR="00C47C16" w:rsidRDefault="009A3095">
            <w:pPr>
              <w:spacing w:line="360" w:lineRule="auto"/>
              <w:rPr>
                <w:rFonts w:ascii="宋体" w:cs="Times New Roman"/>
                <w:sz w:val="24"/>
                <w:szCs w:val="24"/>
              </w:rPr>
            </w:pPr>
            <w:r>
              <w:rPr>
                <w:rFonts w:ascii="宋体" w:hAnsi="宋体" w:cs="宋体"/>
                <w:sz w:val="24"/>
                <w:szCs w:val="24"/>
              </w:rPr>
              <w:t>2</w:t>
            </w:r>
            <w:r>
              <w:rPr>
                <w:rFonts w:ascii="宋体" w:hAnsi="宋体" w:cs="宋体" w:hint="eastAsia"/>
                <w:sz w:val="24"/>
                <w:szCs w:val="24"/>
              </w:rPr>
              <w:t>、投标供应商自行踏勘现场，针对风雨操场活动看台实际需求进行设计，提供活动看台详细的设计效果图及</w:t>
            </w:r>
            <w:r>
              <w:rPr>
                <w:rFonts w:ascii="宋体" w:hAnsi="宋体" w:cs="宋体"/>
                <w:sz w:val="24"/>
                <w:szCs w:val="24"/>
              </w:rPr>
              <w:t>CAD</w:t>
            </w:r>
            <w:r>
              <w:rPr>
                <w:rFonts w:ascii="宋体" w:hAnsi="宋体" w:cs="宋体" w:hint="eastAsia"/>
                <w:sz w:val="24"/>
                <w:szCs w:val="24"/>
              </w:rPr>
              <w:t>安装施工指导图，根据效果图设计风格与风雨操场整体设计效果的一致性、美观程度及</w:t>
            </w:r>
            <w:r>
              <w:rPr>
                <w:rFonts w:ascii="宋体" w:hAnsi="宋体" w:cs="宋体"/>
                <w:sz w:val="24"/>
                <w:szCs w:val="24"/>
              </w:rPr>
              <w:t>CAD</w:t>
            </w:r>
            <w:r>
              <w:rPr>
                <w:rFonts w:ascii="宋体" w:hAnsi="宋体" w:cs="宋体" w:hint="eastAsia"/>
                <w:sz w:val="24"/>
                <w:szCs w:val="24"/>
              </w:rPr>
              <w:t>安装施工指导图的准确性、合理性进行评分。优良</w:t>
            </w:r>
            <w:r>
              <w:rPr>
                <w:rFonts w:ascii="宋体" w:hAnsi="宋体" w:cs="宋体"/>
                <w:sz w:val="24"/>
                <w:szCs w:val="24"/>
              </w:rPr>
              <w:t>4-6</w:t>
            </w:r>
            <w:r>
              <w:rPr>
                <w:rFonts w:ascii="宋体" w:hAnsi="宋体" w:cs="宋体" w:hint="eastAsia"/>
                <w:sz w:val="24"/>
                <w:szCs w:val="24"/>
              </w:rPr>
              <w:t>分，一般</w:t>
            </w:r>
            <w:r>
              <w:rPr>
                <w:rFonts w:ascii="宋体" w:hAnsi="宋体" w:cs="宋体"/>
                <w:sz w:val="24"/>
                <w:szCs w:val="24"/>
              </w:rPr>
              <w:t>1-3</w:t>
            </w:r>
            <w:r>
              <w:rPr>
                <w:rFonts w:ascii="宋体" w:hAnsi="宋体" w:cs="宋体" w:hint="eastAsia"/>
                <w:sz w:val="24"/>
                <w:szCs w:val="24"/>
              </w:rPr>
              <w:t>分，未提供不得分。</w:t>
            </w:r>
          </w:p>
        </w:tc>
        <w:tc>
          <w:tcPr>
            <w:tcW w:w="1236" w:type="dxa"/>
            <w:noWrap/>
            <w:vAlign w:val="center"/>
          </w:tcPr>
          <w:p w:rsidR="00C47C16" w:rsidRDefault="009A3095">
            <w:pPr>
              <w:spacing w:line="360" w:lineRule="auto"/>
              <w:rPr>
                <w:rFonts w:ascii="宋体" w:cs="Times New Roman"/>
                <w:sz w:val="24"/>
                <w:szCs w:val="24"/>
              </w:rPr>
            </w:pPr>
            <w:r>
              <w:rPr>
                <w:rFonts w:ascii="宋体" w:cs="宋体"/>
                <w:sz w:val="24"/>
                <w:szCs w:val="24"/>
              </w:rPr>
              <w:t>0-</w:t>
            </w:r>
            <w:r>
              <w:rPr>
                <w:rFonts w:ascii="宋体" w:hAnsi="宋体" w:cs="宋体"/>
                <w:sz w:val="24"/>
                <w:szCs w:val="24"/>
              </w:rPr>
              <w:t>8</w:t>
            </w:r>
            <w:r>
              <w:rPr>
                <w:rFonts w:ascii="宋体" w:hAnsi="宋体" w:cs="宋体" w:hint="eastAsia"/>
                <w:sz w:val="24"/>
                <w:szCs w:val="24"/>
              </w:rPr>
              <w:t>分</w:t>
            </w:r>
          </w:p>
        </w:tc>
      </w:tr>
      <w:tr w:rsidR="00C47C16">
        <w:trPr>
          <w:trHeight w:val="20"/>
        </w:trPr>
        <w:tc>
          <w:tcPr>
            <w:tcW w:w="1395" w:type="dxa"/>
            <w:vMerge/>
            <w:noWrap/>
            <w:vAlign w:val="center"/>
          </w:tcPr>
          <w:p w:rsidR="00C47C16" w:rsidRDefault="00C47C16">
            <w:pPr>
              <w:spacing w:line="360" w:lineRule="auto"/>
              <w:rPr>
                <w:rFonts w:ascii="宋体" w:cs="Times New Roman"/>
                <w:sz w:val="24"/>
                <w:szCs w:val="24"/>
              </w:rPr>
            </w:pPr>
          </w:p>
        </w:tc>
        <w:tc>
          <w:tcPr>
            <w:tcW w:w="1547" w:type="dxa"/>
            <w:noWrap/>
            <w:vAlign w:val="center"/>
          </w:tcPr>
          <w:p w:rsidR="00C47C16" w:rsidRDefault="009A3095">
            <w:pPr>
              <w:spacing w:line="360" w:lineRule="auto"/>
              <w:jc w:val="center"/>
              <w:rPr>
                <w:rFonts w:ascii="宋体" w:cs="Times New Roman"/>
                <w:sz w:val="24"/>
                <w:szCs w:val="24"/>
              </w:rPr>
            </w:pPr>
            <w:r>
              <w:rPr>
                <w:rFonts w:ascii="宋体" w:hAnsi="宋体" w:cs="宋体" w:hint="eastAsia"/>
                <w:sz w:val="24"/>
                <w:szCs w:val="24"/>
              </w:rPr>
              <w:t>售后服务及培训</w:t>
            </w:r>
          </w:p>
        </w:tc>
        <w:tc>
          <w:tcPr>
            <w:tcW w:w="4809" w:type="dxa"/>
            <w:noWrap/>
            <w:vAlign w:val="center"/>
          </w:tcPr>
          <w:p w:rsidR="00C47C16" w:rsidRDefault="009A3095">
            <w:pPr>
              <w:spacing w:line="360" w:lineRule="auto"/>
              <w:rPr>
                <w:rFonts w:ascii="宋体" w:cs="Times New Roman"/>
                <w:sz w:val="24"/>
                <w:szCs w:val="24"/>
              </w:rPr>
            </w:pPr>
            <w:r>
              <w:rPr>
                <w:rFonts w:ascii="宋体" w:hAnsi="宋体" w:cs="宋体" w:hint="eastAsia"/>
                <w:sz w:val="24"/>
                <w:szCs w:val="24"/>
              </w:rPr>
              <w:t>根据投标供应商的售后服务措施、维保技术力量配置及培训实施方案的科学合理性进行综合评比酌情评分，得</w:t>
            </w:r>
            <w:r>
              <w:rPr>
                <w:rFonts w:ascii="宋体" w:hAnsi="宋体" w:cs="宋体"/>
                <w:sz w:val="24"/>
                <w:szCs w:val="24"/>
              </w:rPr>
              <w:t>0-2</w:t>
            </w:r>
            <w:r>
              <w:rPr>
                <w:rFonts w:ascii="宋体" w:hAnsi="宋体" w:cs="宋体" w:hint="eastAsia"/>
                <w:sz w:val="24"/>
                <w:szCs w:val="24"/>
              </w:rPr>
              <w:t>分。</w:t>
            </w:r>
          </w:p>
        </w:tc>
        <w:tc>
          <w:tcPr>
            <w:tcW w:w="1236" w:type="dxa"/>
            <w:noWrap/>
            <w:vAlign w:val="center"/>
          </w:tcPr>
          <w:p w:rsidR="00C47C16" w:rsidRDefault="009A3095">
            <w:pPr>
              <w:spacing w:line="360" w:lineRule="auto"/>
              <w:rPr>
                <w:rFonts w:ascii="宋体" w:cs="Times New Roman"/>
                <w:sz w:val="24"/>
                <w:szCs w:val="24"/>
              </w:rPr>
            </w:pPr>
            <w:r>
              <w:rPr>
                <w:rFonts w:ascii="宋体" w:hAnsi="宋体" w:cs="宋体"/>
                <w:sz w:val="24"/>
                <w:szCs w:val="24"/>
              </w:rPr>
              <w:t>0-2</w:t>
            </w:r>
            <w:r>
              <w:rPr>
                <w:rFonts w:ascii="宋体" w:hAnsi="宋体" w:cs="宋体" w:hint="eastAsia"/>
                <w:sz w:val="24"/>
                <w:szCs w:val="24"/>
              </w:rPr>
              <w:t>分</w:t>
            </w:r>
          </w:p>
        </w:tc>
      </w:tr>
      <w:tr w:rsidR="00C47C16">
        <w:trPr>
          <w:trHeight w:val="20"/>
        </w:trPr>
        <w:tc>
          <w:tcPr>
            <w:tcW w:w="1395" w:type="dxa"/>
            <w:vMerge/>
            <w:noWrap/>
            <w:vAlign w:val="center"/>
          </w:tcPr>
          <w:p w:rsidR="00C47C16" w:rsidRDefault="00C47C16">
            <w:pPr>
              <w:spacing w:line="360" w:lineRule="auto"/>
              <w:rPr>
                <w:rFonts w:ascii="宋体" w:cs="Times New Roman"/>
                <w:sz w:val="24"/>
                <w:szCs w:val="24"/>
              </w:rPr>
            </w:pPr>
          </w:p>
        </w:tc>
        <w:tc>
          <w:tcPr>
            <w:tcW w:w="1547" w:type="dxa"/>
            <w:noWrap/>
            <w:vAlign w:val="center"/>
          </w:tcPr>
          <w:p w:rsidR="00C47C16" w:rsidRDefault="009A3095">
            <w:pPr>
              <w:spacing w:line="360" w:lineRule="auto"/>
              <w:jc w:val="center"/>
              <w:rPr>
                <w:rFonts w:ascii="宋体" w:cs="Times New Roman"/>
                <w:sz w:val="24"/>
                <w:szCs w:val="24"/>
              </w:rPr>
            </w:pPr>
            <w:r>
              <w:rPr>
                <w:rFonts w:ascii="宋体" w:hAnsi="宋体" w:cs="宋体" w:hint="eastAsia"/>
                <w:sz w:val="24"/>
                <w:szCs w:val="24"/>
              </w:rPr>
              <w:t>产品先进性</w:t>
            </w:r>
          </w:p>
        </w:tc>
        <w:tc>
          <w:tcPr>
            <w:tcW w:w="4809" w:type="dxa"/>
            <w:noWrap/>
            <w:vAlign w:val="center"/>
          </w:tcPr>
          <w:p w:rsidR="00C47C16" w:rsidRDefault="009A3095">
            <w:pPr>
              <w:spacing w:line="360" w:lineRule="auto"/>
              <w:rPr>
                <w:rFonts w:ascii="宋体" w:cs="Times New Roman"/>
                <w:sz w:val="24"/>
                <w:szCs w:val="24"/>
              </w:rPr>
            </w:pPr>
            <w:r>
              <w:rPr>
                <w:rFonts w:ascii="宋体" w:hAnsi="宋体" w:cs="宋体" w:hint="eastAsia"/>
                <w:sz w:val="24"/>
                <w:szCs w:val="24"/>
              </w:rPr>
              <w:t>活动看台底部结构的先进性：</w:t>
            </w:r>
          </w:p>
          <w:p w:rsidR="00C47C16" w:rsidRDefault="009A3095">
            <w:pPr>
              <w:spacing w:line="360" w:lineRule="auto"/>
              <w:rPr>
                <w:rFonts w:ascii="宋体" w:cs="Times New Roman"/>
                <w:sz w:val="24"/>
                <w:szCs w:val="24"/>
              </w:rPr>
            </w:pPr>
            <w:r>
              <w:rPr>
                <w:rFonts w:ascii="宋体" w:hAnsi="宋体" w:cs="宋体" w:hint="eastAsia"/>
                <w:sz w:val="24"/>
                <w:szCs w:val="24"/>
              </w:rPr>
              <w:t>①主支撑与床架之间的连接点在同一直线上，并且为最佳支撑点</w:t>
            </w:r>
          </w:p>
          <w:p w:rsidR="00C47C16" w:rsidRDefault="009A3095">
            <w:pPr>
              <w:spacing w:line="360" w:lineRule="auto"/>
              <w:rPr>
                <w:rFonts w:ascii="宋体" w:cs="Times New Roman"/>
                <w:sz w:val="24"/>
                <w:szCs w:val="24"/>
              </w:rPr>
            </w:pPr>
            <w:r>
              <w:rPr>
                <w:rFonts w:ascii="宋体" w:hAnsi="宋体" w:cs="宋体" w:hint="eastAsia"/>
                <w:sz w:val="24"/>
                <w:szCs w:val="24"/>
              </w:rPr>
              <w:t>②竖板与前缘辊压一体成型没有焊接</w:t>
            </w:r>
          </w:p>
          <w:p w:rsidR="00C47C16" w:rsidRDefault="009A3095">
            <w:pPr>
              <w:spacing w:line="360" w:lineRule="auto"/>
              <w:rPr>
                <w:rFonts w:ascii="宋体" w:cs="Times New Roman"/>
                <w:sz w:val="24"/>
                <w:szCs w:val="24"/>
              </w:rPr>
            </w:pPr>
            <w:r>
              <w:rPr>
                <w:rFonts w:ascii="宋体" w:hAnsi="宋体" w:cs="宋体" w:hint="eastAsia"/>
                <w:sz w:val="24"/>
                <w:szCs w:val="24"/>
              </w:rPr>
              <w:t>③导轨互锁、保证直线展开</w:t>
            </w:r>
          </w:p>
          <w:p w:rsidR="00C47C16" w:rsidRDefault="009A3095">
            <w:pPr>
              <w:spacing w:line="360" w:lineRule="auto"/>
              <w:rPr>
                <w:rFonts w:ascii="宋体" w:cs="Times New Roman"/>
                <w:sz w:val="24"/>
                <w:szCs w:val="24"/>
              </w:rPr>
            </w:pPr>
            <w:r>
              <w:rPr>
                <w:rFonts w:ascii="宋体" w:hAnsi="宋体" w:cs="宋体" w:hint="eastAsia"/>
                <w:sz w:val="24"/>
                <w:szCs w:val="24"/>
              </w:rPr>
              <w:t>④设制上部导轨展开灵活</w:t>
            </w:r>
          </w:p>
          <w:p w:rsidR="00C47C16" w:rsidRDefault="009A3095">
            <w:pPr>
              <w:spacing w:line="360" w:lineRule="auto"/>
              <w:rPr>
                <w:rFonts w:ascii="宋体" w:cs="Times New Roman"/>
                <w:sz w:val="24"/>
                <w:szCs w:val="24"/>
              </w:rPr>
            </w:pPr>
            <w:r>
              <w:rPr>
                <w:rFonts w:ascii="宋体" w:hAnsi="宋体" w:cs="宋体" w:hint="eastAsia"/>
                <w:b/>
                <w:bCs/>
                <w:sz w:val="24"/>
                <w:szCs w:val="24"/>
              </w:rPr>
              <w:t>投标文件中提供产品实物图片，并说明工作原理。</w:t>
            </w:r>
            <w:r>
              <w:rPr>
                <w:rFonts w:ascii="宋体" w:hAnsi="宋体" w:cs="宋体" w:hint="eastAsia"/>
                <w:sz w:val="24"/>
                <w:szCs w:val="24"/>
              </w:rPr>
              <w:t>每小项</w:t>
            </w:r>
            <w:r>
              <w:rPr>
                <w:rFonts w:ascii="宋体" w:hAnsi="宋体" w:cs="宋体"/>
                <w:sz w:val="24"/>
                <w:szCs w:val="24"/>
              </w:rPr>
              <w:t>1</w:t>
            </w:r>
            <w:r>
              <w:rPr>
                <w:rFonts w:ascii="宋体" w:hAnsi="宋体" w:cs="宋体" w:hint="eastAsia"/>
                <w:sz w:val="24"/>
                <w:szCs w:val="24"/>
              </w:rPr>
              <w:t>分，满分</w:t>
            </w:r>
            <w:r>
              <w:rPr>
                <w:rFonts w:ascii="宋体" w:hAnsi="宋体" w:cs="宋体"/>
                <w:sz w:val="24"/>
                <w:szCs w:val="24"/>
              </w:rPr>
              <w:t>4</w:t>
            </w:r>
            <w:r>
              <w:rPr>
                <w:rFonts w:ascii="宋体" w:hAnsi="宋体" w:cs="宋体" w:hint="eastAsia"/>
                <w:sz w:val="24"/>
                <w:szCs w:val="24"/>
              </w:rPr>
              <w:t>分</w:t>
            </w:r>
          </w:p>
        </w:tc>
        <w:tc>
          <w:tcPr>
            <w:tcW w:w="1236" w:type="dxa"/>
            <w:noWrap/>
            <w:vAlign w:val="center"/>
          </w:tcPr>
          <w:p w:rsidR="00C47C16" w:rsidRDefault="009A3095">
            <w:pPr>
              <w:spacing w:line="360" w:lineRule="auto"/>
              <w:rPr>
                <w:rFonts w:ascii="宋体" w:cs="Times New Roman"/>
                <w:sz w:val="24"/>
                <w:szCs w:val="24"/>
              </w:rPr>
            </w:pPr>
            <w:r>
              <w:rPr>
                <w:rFonts w:ascii="宋体" w:cs="宋体"/>
                <w:sz w:val="24"/>
                <w:szCs w:val="24"/>
              </w:rPr>
              <w:t>0-</w:t>
            </w:r>
            <w:r>
              <w:rPr>
                <w:rFonts w:ascii="宋体" w:hAnsi="宋体" w:cs="宋体"/>
                <w:sz w:val="24"/>
                <w:szCs w:val="24"/>
              </w:rPr>
              <w:t>4</w:t>
            </w:r>
            <w:r>
              <w:rPr>
                <w:rFonts w:ascii="宋体" w:hAnsi="宋体" w:cs="宋体" w:hint="eastAsia"/>
                <w:sz w:val="24"/>
                <w:szCs w:val="24"/>
              </w:rPr>
              <w:t>分</w:t>
            </w:r>
          </w:p>
        </w:tc>
      </w:tr>
      <w:tr w:rsidR="00C47C16">
        <w:trPr>
          <w:trHeight w:val="20"/>
        </w:trPr>
        <w:tc>
          <w:tcPr>
            <w:tcW w:w="1395" w:type="dxa"/>
            <w:vMerge/>
            <w:noWrap/>
            <w:vAlign w:val="center"/>
          </w:tcPr>
          <w:p w:rsidR="00C47C16" w:rsidRDefault="00C47C16">
            <w:pPr>
              <w:spacing w:line="360" w:lineRule="auto"/>
              <w:rPr>
                <w:rFonts w:ascii="宋体" w:cs="Times New Roman"/>
                <w:sz w:val="24"/>
                <w:szCs w:val="24"/>
              </w:rPr>
            </w:pPr>
          </w:p>
        </w:tc>
        <w:tc>
          <w:tcPr>
            <w:tcW w:w="1547" w:type="dxa"/>
            <w:noWrap/>
            <w:vAlign w:val="center"/>
          </w:tcPr>
          <w:p w:rsidR="00C47C16" w:rsidRDefault="009A3095">
            <w:pPr>
              <w:spacing w:line="360" w:lineRule="auto"/>
              <w:jc w:val="center"/>
              <w:rPr>
                <w:rFonts w:ascii="宋体" w:cs="Times New Roman"/>
                <w:sz w:val="24"/>
                <w:szCs w:val="24"/>
              </w:rPr>
            </w:pPr>
            <w:r>
              <w:rPr>
                <w:rFonts w:ascii="宋体" w:hAnsi="宋体" w:cs="宋体" w:hint="eastAsia"/>
                <w:sz w:val="24"/>
                <w:szCs w:val="24"/>
              </w:rPr>
              <w:t>效果演示</w:t>
            </w:r>
          </w:p>
        </w:tc>
        <w:tc>
          <w:tcPr>
            <w:tcW w:w="4809" w:type="dxa"/>
            <w:noWrap/>
            <w:vAlign w:val="center"/>
          </w:tcPr>
          <w:p w:rsidR="00C47C16" w:rsidRDefault="009A3095">
            <w:pPr>
              <w:spacing w:line="360" w:lineRule="auto"/>
              <w:rPr>
                <w:rFonts w:ascii="宋体" w:cs="Times New Roman"/>
                <w:sz w:val="24"/>
                <w:szCs w:val="24"/>
              </w:rPr>
            </w:pPr>
            <w:r>
              <w:rPr>
                <w:rFonts w:ascii="宋体" w:hAnsi="宋体" w:cs="宋体" w:hint="eastAsia"/>
                <w:sz w:val="24"/>
                <w:szCs w:val="24"/>
              </w:rPr>
              <w:t>评标现场进行“活动看台设计效果”现场演示，提供三维动画视频资料演示，三维动画演示需与施工指导图图纸相符，并含有投标产品运行现场视频</w:t>
            </w:r>
            <w:r>
              <w:rPr>
                <w:rFonts w:ascii="宋体" w:hAnsi="宋体" w:cs="宋体" w:hint="eastAsia"/>
                <w:sz w:val="24"/>
                <w:szCs w:val="24"/>
                <w:lang w:val="zh-CN"/>
              </w:rPr>
              <w:t>。</w:t>
            </w:r>
            <w:r>
              <w:rPr>
                <w:rFonts w:ascii="宋体" w:hAnsi="宋体" w:cs="宋体" w:hint="eastAsia"/>
                <w:sz w:val="24"/>
                <w:szCs w:val="24"/>
              </w:rPr>
              <w:t>三维动画讲解与运行现场视频均优良得</w:t>
            </w:r>
            <w:r>
              <w:rPr>
                <w:rFonts w:ascii="宋体" w:hAnsi="宋体" w:cs="宋体"/>
                <w:sz w:val="24"/>
                <w:szCs w:val="24"/>
              </w:rPr>
              <w:t>12-15</w:t>
            </w:r>
            <w:r>
              <w:rPr>
                <w:rFonts w:ascii="宋体" w:hAnsi="宋体" w:cs="宋体" w:hint="eastAsia"/>
                <w:sz w:val="24"/>
                <w:szCs w:val="24"/>
              </w:rPr>
              <w:t>分；三维动画讲解或运行现场视频只有其一得</w:t>
            </w:r>
            <w:r>
              <w:rPr>
                <w:rFonts w:ascii="宋体" w:hAnsi="宋体" w:cs="宋体"/>
                <w:sz w:val="24"/>
                <w:szCs w:val="24"/>
              </w:rPr>
              <w:t>5-8</w:t>
            </w:r>
            <w:r>
              <w:rPr>
                <w:rFonts w:ascii="宋体" w:hAnsi="宋体" w:cs="宋体" w:hint="eastAsia"/>
                <w:sz w:val="24"/>
                <w:szCs w:val="24"/>
              </w:rPr>
              <w:t>分；未提供的</w:t>
            </w:r>
            <w:r>
              <w:rPr>
                <w:rFonts w:ascii="宋体" w:hAnsi="宋体" w:cs="宋体" w:hint="eastAsia"/>
                <w:sz w:val="24"/>
                <w:szCs w:val="24"/>
              </w:rPr>
              <w:lastRenderedPageBreak/>
              <w:t>不得分。演示资料各投标供应商演示时间不超过</w:t>
            </w:r>
            <w:r>
              <w:rPr>
                <w:rFonts w:ascii="宋体" w:hAnsi="宋体" w:cs="宋体"/>
                <w:sz w:val="24"/>
                <w:szCs w:val="24"/>
              </w:rPr>
              <w:t>5</w:t>
            </w:r>
            <w:r>
              <w:rPr>
                <w:rFonts w:ascii="宋体" w:hAnsi="宋体" w:cs="宋体" w:hint="eastAsia"/>
                <w:sz w:val="24"/>
                <w:szCs w:val="24"/>
              </w:rPr>
              <w:t>分钟。</w:t>
            </w:r>
          </w:p>
          <w:p w:rsidR="00C47C16" w:rsidRDefault="009A3095">
            <w:pPr>
              <w:spacing w:line="360" w:lineRule="auto"/>
              <w:rPr>
                <w:rFonts w:ascii="宋体" w:cs="Times New Roman"/>
                <w:sz w:val="24"/>
                <w:szCs w:val="24"/>
              </w:rPr>
            </w:pPr>
            <w:r>
              <w:rPr>
                <w:rFonts w:ascii="宋体" w:hAnsi="宋体" w:cs="宋体" w:hint="eastAsia"/>
                <w:sz w:val="24"/>
                <w:szCs w:val="24"/>
              </w:rPr>
              <w:t>注：须播放真实演示视频，不允许</w:t>
            </w:r>
            <w:r>
              <w:rPr>
                <w:rFonts w:ascii="宋体" w:hAnsi="宋体" w:cs="宋体"/>
                <w:sz w:val="24"/>
                <w:szCs w:val="24"/>
              </w:rPr>
              <w:t>PPT</w:t>
            </w:r>
            <w:r>
              <w:rPr>
                <w:rFonts w:ascii="宋体" w:hAnsi="宋体" w:cs="宋体" w:hint="eastAsia"/>
                <w:sz w:val="24"/>
                <w:szCs w:val="24"/>
              </w:rPr>
              <w:t>方式演示。如若提供的三维动画视频与施工指导图图纸不符，则视为未提供演示视频。</w:t>
            </w:r>
          </w:p>
          <w:p w:rsidR="00C47C16" w:rsidRDefault="009A3095">
            <w:pPr>
              <w:spacing w:line="360" w:lineRule="auto"/>
              <w:rPr>
                <w:rFonts w:ascii="宋体" w:cs="Times New Roman"/>
                <w:sz w:val="24"/>
                <w:szCs w:val="24"/>
              </w:rPr>
            </w:pPr>
            <w:r>
              <w:rPr>
                <w:rFonts w:ascii="宋体" w:hAnsi="宋体" w:cs="宋体" w:hint="eastAsia"/>
                <w:sz w:val="24"/>
                <w:szCs w:val="24"/>
              </w:rPr>
              <w:t>评标现场只提供场地、电源、投影接入设备，参加演示的投标供应商演示所需要的其它软硬件设备须自备。</w:t>
            </w:r>
          </w:p>
        </w:tc>
        <w:tc>
          <w:tcPr>
            <w:tcW w:w="1236" w:type="dxa"/>
            <w:noWrap/>
            <w:vAlign w:val="center"/>
          </w:tcPr>
          <w:p w:rsidR="00C47C16" w:rsidRDefault="009A3095">
            <w:pPr>
              <w:spacing w:line="360" w:lineRule="auto"/>
              <w:rPr>
                <w:rFonts w:ascii="宋体" w:cs="Times New Roman"/>
                <w:sz w:val="24"/>
                <w:szCs w:val="24"/>
              </w:rPr>
            </w:pPr>
            <w:r>
              <w:rPr>
                <w:rFonts w:ascii="宋体" w:cs="宋体"/>
                <w:sz w:val="24"/>
                <w:szCs w:val="24"/>
              </w:rPr>
              <w:lastRenderedPageBreak/>
              <w:t>0-</w:t>
            </w:r>
            <w:r>
              <w:rPr>
                <w:rFonts w:ascii="宋体" w:hAnsi="宋体" w:cs="宋体"/>
                <w:sz w:val="24"/>
                <w:szCs w:val="24"/>
              </w:rPr>
              <w:t>15</w:t>
            </w:r>
            <w:r>
              <w:rPr>
                <w:rFonts w:ascii="宋体" w:hAnsi="宋体" w:cs="宋体" w:hint="eastAsia"/>
                <w:sz w:val="24"/>
                <w:szCs w:val="24"/>
              </w:rPr>
              <w:t>分</w:t>
            </w:r>
          </w:p>
        </w:tc>
      </w:tr>
      <w:tr w:rsidR="00C47C16">
        <w:trPr>
          <w:trHeight w:val="20"/>
        </w:trPr>
        <w:tc>
          <w:tcPr>
            <w:tcW w:w="1395" w:type="dxa"/>
            <w:vMerge w:val="restart"/>
            <w:noWrap/>
            <w:vAlign w:val="center"/>
          </w:tcPr>
          <w:p w:rsidR="00C47C16" w:rsidRDefault="009A3095">
            <w:pPr>
              <w:spacing w:line="360" w:lineRule="auto"/>
              <w:jc w:val="center"/>
              <w:rPr>
                <w:rFonts w:ascii="宋体" w:cs="Times New Roman"/>
                <w:sz w:val="24"/>
                <w:szCs w:val="24"/>
              </w:rPr>
            </w:pPr>
            <w:r>
              <w:rPr>
                <w:rFonts w:ascii="宋体" w:hAnsi="宋体" w:cs="宋体" w:hint="eastAsia"/>
                <w:sz w:val="24"/>
                <w:szCs w:val="24"/>
              </w:rPr>
              <w:lastRenderedPageBreak/>
              <w:t>资信分</w:t>
            </w:r>
          </w:p>
          <w:p w:rsidR="00C47C16" w:rsidRDefault="009A3095">
            <w:pPr>
              <w:spacing w:line="360" w:lineRule="auto"/>
              <w:jc w:val="center"/>
              <w:rPr>
                <w:rFonts w:ascii="宋体" w:cs="Times New Roman"/>
                <w:sz w:val="24"/>
                <w:szCs w:val="24"/>
              </w:rPr>
            </w:pPr>
            <w:r>
              <w:rPr>
                <w:rFonts w:ascii="宋体" w:hAnsi="宋体" w:cs="宋体" w:hint="eastAsia"/>
                <w:sz w:val="24"/>
                <w:szCs w:val="24"/>
              </w:rPr>
              <w:t>（</w:t>
            </w:r>
            <w:r>
              <w:rPr>
                <w:rFonts w:ascii="宋体" w:hAnsi="宋体" w:cs="宋体"/>
                <w:sz w:val="24"/>
                <w:szCs w:val="24"/>
              </w:rPr>
              <w:t>26</w:t>
            </w:r>
            <w:r>
              <w:rPr>
                <w:rFonts w:ascii="宋体" w:hAnsi="宋体" w:cs="宋体" w:hint="eastAsia"/>
                <w:sz w:val="24"/>
                <w:szCs w:val="24"/>
              </w:rPr>
              <w:t>分）</w:t>
            </w:r>
          </w:p>
        </w:tc>
        <w:tc>
          <w:tcPr>
            <w:tcW w:w="1547" w:type="dxa"/>
            <w:noWrap/>
            <w:vAlign w:val="center"/>
          </w:tcPr>
          <w:p w:rsidR="00C47C16" w:rsidRDefault="009A3095">
            <w:pPr>
              <w:spacing w:line="360" w:lineRule="auto"/>
              <w:jc w:val="center"/>
              <w:rPr>
                <w:rFonts w:ascii="宋体" w:cs="Times New Roman"/>
                <w:sz w:val="24"/>
                <w:szCs w:val="24"/>
              </w:rPr>
            </w:pPr>
            <w:r>
              <w:rPr>
                <w:rFonts w:ascii="宋体" w:hAnsi="宋体" w:cs="宋体" w:hint="eastAsia"/>
                <w:sz w:val="24"/>
                <w:szCs w:val="24"/>
              </w:rPr>
              <w:t>厂商资质</w:t>
            </w:r>
          </w:p>
        </w:tc>
        <w:tc>
          <w:tcPr>
            <w:tcW w:w="4809" w:type="dxa"/>
            <w:noWrap/>
            <w:vAlign w:val="center"/>
          </w:tcPr>
          <w:p w:rsidR="00C47C16" w:rsidRDefault="009A3095">
            <w:pPr>
              <w:spacing w:line="360" w:lineRule="auto"/>
              <w:rPr>
                <w:rFonts w:ascii="宋体" w:cs="Times New Roman"/>
                <w:sz w:val="24"/>
                <w:szCs w:val="24"/>
              </w:rPr>
            </w:pPr>
            <w:r>
              <w:rPr>
                <w:rFonts w:ascii="宋体" w:hAnsi="宋体" w:cs="宋体" w:hint="eastAsia"/>
                <w:sz w:val="24"/>
                <w:szCs w:val="24"/>
              </w:rPr>
              <w:t>生产厂商相关资质：</w:t>
            </w:r>
          </w:p>
          <w:p w:rsidR="00C47C16" w:rsidRDefault="009A3095">
            <w:pPr>
              <w:spacing w:line="360" w:lineRule="auto"/>
              <w:rPr>
                <w:rFonts w:ascii="宋体" w:cs="Times New Roman"/>
                <w:b/>
                <w:bCs/>
                <w:sz w:val="24"/>
                <w:szCs w:val="24"/>
              </w:rPr>
            </w:pPr>
            <w:r>
              <w:rPr>
                <w:rFonts w:ascii="宋体" w:hAnsi="宋体" w:cs="宋体"/>
                <w:sz w:val="24"/>
                <w:szCs w:val="24"/>
              </w:rPr>
              <w:t>1</w:t>
            </w:r>
            <w:r>
              <w:rPr>
                <w:rFonts w:ascii="宋体" w:hAnsi="宋体" w:cs="宋体" w:hint="eastAsia"/>
                <w:sz w:val="24"/>
                <w:szCs w:val="24"/>
              </w:rPr>
              <w:t>、所投产品生产制造商获国家场馆行业十佳供应商奖项的得</w:t>
            </w:r>
            <w:r>
              <w:rPr>
                <w:rFonts w:ascii="宋体" w:hAnsi="宋体" w:cs="宋体"/>
                <w:sz w:val="24"/>
                <w:szCs w:val="24"/>
              </w:rPr>
              <w:t>3</w:t>
            </w:r>
            <w:r>
              <w:rPr>
                <w:rFonts w:ascii="宋体" w:hAnsi="宋体" w:cs="宋体" w:hint="eastAsia"/>
                <w:sz w:val="24"/>
                <w:szCs w:val="24"/>
              </w:rPr>
              <w:t>分。获得省级场馆行业十佳供应商的得</w:t>
            </w:r>
            <w:r>
              <w:rPr>
                <w:rFonts w:ascii="宋体" w:hAnsi="宋体" w:cs="宋体"/>
                <w:sz w:val="24"/>
                <w:szCs w:val="24"/>
              </w:rPr>
              <w:t>1</w:t>
            </w:r>
            <w:r>
              <w:rPr>
                <w:rFonts w:ascii="宋体" w:hAnsi="宋体" w:cs="宋体" w:hint="eastAsia"/>
                <w:sz w:val="24"/>
                <w:szCs w:val="24"/>
              </w:rPr>
              <w:t>分。</w:t>
            </w:r>
            <w:r>
              <w:rPr>
                <w:rFonts w:ascii="宋体" w:hAnsi="宋体" w:cs="宋体" w:hint="eastAsia"/>
                <w:b/>
                <w:bCs/>
                <w:sz w:val="24"/>
                <w:szCs w:val="24"/>
              </w:rPr>
              <w:t>提供证书扫描件并加盖制造商公章；</w:t>
            </w:r>
          </w:p>
          <w:p w:rsidR="00C47C16" w:rsidRDefault="009A3095">
            <w:pPr>
              <w:spacing w:line="360" w:lineRule="auto"/>
              <w:rPr>
                <w:rFonts w:ascii="宋体" w:cs="Times New Roman"/>
                <w:b/>
                <w:bCs/>
                <w:sz w:val="24"/>
                <w:szCs w:val="24"/>
                <w:lang w:val="zh-CN"/>
              </w:rPr>
            </w:pPr>
            <w:r>
              <w:rPr>
                <w:rFonts w:ascii="宋体" w:hAnsi="宋体" w:cs="宋体" w:hint="eastAsia"/>
                <w:sz w:val="24"/>
                <w:szCs w:val="24"/>
              </w:rPr>
              <w:t>2、所投产品生产制造商座椅</w:t>
            </w:r>
            <w:r>
              <w:rPr>
                <w:rFonts w:ascii="宋体" w:hAnsi="宋体" w:cs="宋体" w:hint="eastAsia"/>
                <w:sz w:val="24"/>
                <w:szCs w:val="24"/>
                <w:lang w:val="zh-CN"/>
              </w:rPr>
              <w:t>产品，购买国内知名保险公司产品责任险，且赔付金额大于一百万，得</w:t>
            </w:r>
            <w:r>
              <w:rPr>
                <w:rFonts w:ascii="宋体" w:hAnsi="宋体" w:cs="宋体"/>
                <w:sz w:val="24"/>
                <w:szCs w:val="24"/>
              </w:rPr>
              <w:t>1</w:t>
            </w:r>
            <w:r>
              <w:rPr>
                <w:rFonts w:ascii="宋体" w:hAnsi="宋体" w:cs="宋体" w:hint="eastAsia"/>
                <w:sz w:val="24"/>
                <w:szCs w:val="24"/>
                <w:lang w:val="zh-CN"/>
              </w:rPr>
              <w:t>分。</w:t>
            </w:r>
            <w:r>
              <w:rPr>
                <w:rFonts w:ascii="宋体" w:hAnsi="宋体" w:cs="宋体" w:hint="eastAsia"/>
                <w:b/>
                <w:bCs/>
                <w:sz w:val="24"/>
                <w:szCs w:val="24"/>
              </w:rPr>
              <w:t>提供保险合同扫描件加盖制造商公章。</w:t>
            </w:r>
          </w:p>
          <w:p w:rsidR="00C47C16" w:rsidRDefault="009A3095">
            <w:pPr>
              <w:spacing w:line="360" w:lineRule="auto"/>
              <w:rPr>
                <w:rFonts w:ascii="宋体" w:cs="Times New Roman"/>
                <w:b/>
                <w:bCs/>
                <w:sz w:val="24"/>
                <w:szCs w:val="24"/>
              </w:rPr>
            </w:pPr>
            <w:r>
              <w:rPr>
                <w:rFonts w:ascii="宋体" w:hAnsi="宋体" w:cs="宋体" w:hint="eastAsia"/>
                <w:sz w:val="24"/>
                <w:szCs w:val="24"/>
              </w:rPr>
              <w:t>3、所投产品生产制造商获洲际或国家大型运动会座椅供应商得</w:t>
            </w:r>
            <w:r>
              <w:rPr>
                <w:rFonts w:ascii="宋体" w:hAnsi="宋体" w:cs="宋体"/>
                <w:sz w:val="24"/>
                <w:szCs w:val="24"/>
              </w:rPr>
              <w:t>3</w:t>
            </w:r>
            <w:r>
              <w:rPr>
                <w:rFonts w:ascii="宋体" w:hAnsi="宋体" w:cs="宋体" w:hint="eastAsia"/>
                <w:sz w:val="24"/>
                <w:szCs w:val="24"/>
              </w:rPr>
              <w:t>分，获省级大型运动会座椅供应商得</w:t>
            </w:r>
            <w:r>
              <w:rPr>
                <w:rFonts w:ascii="宋体" w:hAnsi="宋体" w:cs="宋体"/>
                <w:sz w:val="24"/>
                <w:szCs w:val="24"/>
              </w:rPr>
              <w:t>1</w:t>
            </w:r>
            <w:r>
              <w:rPr>
                <w:rFonts w:ascii="宋体" w:hAnsi="宋体" w:cs="宋体" w:hint="eastAsia"/>
                <w:sz w:val="24"/>
                <w:szCs w:val="24"/>
              </w:rPr>
              <w:t>分。</w:t>
            </w:r>
            <w:r>
              <w:rPr>
                <w:rFonts w:ascii="宋体" w:hAnsi="宋体" w:cs="宋体" w:hint="eastAsia"/>
                <w:b/>
                <w:bCs/>
                <w:sz w:val="24"/>
                <w:szCs w:val="24"/>
              </w:rPr>
              <w:t>提供证书扫描件并加盖制造商公章</w:t>
            </w:r>
          </w:p>
          <w:p w:rsidR="00C47C16" w:rsidRDefault="009A3095">
            <w:pPr>
              <w:spacing w:line="360" w:lineRule="auto"/>
              <w:rPr>
                <w:rFonts w:ascii="宋体" w:cs="Times New Roman"/>
                <w:b/>
                <w:bCs/>
                <w:sz w:val="24"/>
                <w:szCs w:val="24"/>
              </w:rPr>
            </w:pPr>
            <w:r>
              <w:rPr>
                <w:rFonts w:ascii="宋体" w:hAnsi="宋体" w:cs="宋体" w:hint="eastAsia"/>
                <w:sz w:val="24"/>
                <w:szCs w:val="24"/>
              </w:rPr>
              <w:t>4、提供所投产品生产制造商座椅类产品获得国际单项协会认证的得3分，提供所投产品生产制造商座椅类产品获得国内单项协会认证的得</w:t>
            </w:r>
            <w:r>
              <w:rPr>
                <w:rFonts w:ascii="宋体" w:hAnsi="宋体" w:cs="宋体"/>
                <w:sz w:val="24"/>
                <w:szCs w:val="24"/>
              </w:rPr>
              <w:t>1</w:t>
            </w:r>
            <w:r>
              <w:rPr>
                <w:rFonts w:ascii="宋体" w:hAnsi="宋体" w:cs="宋体" w:hint="eastAsia"/>
                <w:sz w:val="24"/>
                <w:szCs w:val="24"/>
              </w:rPr>
              <w:t>分；</w:t>
            </w:r>
            <w:r>
              <w:rPr>
                <w:rFonts w:ascii="宋体" w:hAnsi="宋体" w:cs="宋体" w:hint="eastAsia"/>
                <w:b/>
                <w:bCs/>
                <w:sz w:val="24"/>
                <w:szCs w:val="24"/>
              </w:rPr>
              <w:t>提供证书扫描件并加盖制造商公章</w:t>
            </w:r>
          </w:p>
          <w:p w:rsidR="00C47C16" w:rsidRDefault="009A3095">
            <w:pPr>
              <w:spacing w:line="360" w:lineRule="auto"/>
              <w:rPr>
                <w:rFonts w:ascii="宋体" w:cs="Times New Roman"/>
                <w:b/>
                <w:bCs/>
                <w:sz w:val="24"/>
                <w:szCs w:val="24"/>
              </w:rPr>
            </w:pPr>
            <w:r>
              <w:rPr>
                <w:rFonts w:ascii="宋体" w:hAnsi="宋体" w:cs="宋体" w:hint="eastAsia"/>
                <w:sz w:val="24"/>
                <w:szCs w:val="24"/>
              </w:rPr>
              <w:t>5、提供所投产品生产制造商产品通过国际或国家安全性能认证得3分，</w:t>
            </w:r>
            <w:r>
              <w:rPr>
                <w:rFonts w:ascii="宋体" w:hAnsi="宋体" w:cs="宋体" w:hint="eastAsia"/>
                <w:b/>
                <w:bCs/>
                <w:sz w:val="24"/>
                <w:szCs w:val="24"/>
              </w:rPr>
              <w:t>提供证书扫描件并加盖制造商公章</w:t>
            </w:r>
          </w:p>
        </w:tc>
        <w:tc>
          <w:tcPr>
            <w:tcW w:w="1236" w:type="dxa"/>
            <w:noWrap/>
            <w:vAlign w:val="center"/>
          </w:tcPr>
          <w:p w:rsidR="00C47C16" w:rsidRDefault="009A3095">
            <w:pPr>
              <w:spacing w:line="360" w:lineRule="auto"/>
              <w:rPr>
                <w:rFonts w:ascii="宋体" w:cs="Times New Roman"/>
                <w:sz w:val="24"/>
                <w:szCs w:val="24"/>
              </w:rPr>
            </w:pPr>
            <w:r>
              <w:rPr>
                <w:rFonts w:ascii="宋体" w:cs="宋体"/>
                <w:sz w:val="24"/>
                <w:szCs w:val="24"/>
              </w:rPr>
              <w:t>0-</w:t>
            </w:r>
            <w:r>
              <w:rPr>
                <w:rFonts w:ascii="宋体" w:hAnsi="宋体" w:cs="宋体"/>
                <w:sz w:val="24"/>
                <w:szCs w:val="24"/>
              </w:rPr>
              <w:t>13</w:t>
            </w:r>
            <w:r>
              <w:rPr>
                <w:rFonts w:ascii="宋体" w:hAnsi="宋体" w:cs="宋体" w:hint="eastAsia"/>
                <w:sz w:val="24"/>
                <w:szCs w:val="24"/>
              </w:rPr>
              <w:t>分</w:t>
            </w:r>
          </w:p>
        </w:tc>
      </w:tr>
      <w:tr w:rsidR="00C47C16">
        <w:trPr>
          <w:trHeight w:val="20"/>
        </w:trPr>
        <w:tc>
          <w:tcPr>
            <w:tcW w:w="1395" w:type="dxa"/>
            <w:vMerge/>
            <w:noWrap/>
            <w:vAlign w:val="center"/>
          </w:tcPr>
          <w:p w:rsidR="00C47C16" w:rsidRDefault="00C47C16">
            <w:pPr>
              <w:spacing w:line="360" w:lineRule="auto"/>
              <w:rPr>
                <w:rFonts w:ascii="宋体" w:cs="Times New Roman"/>
                <w:sz w:val="24"/>
                <w:szCs w:val="24"/>
              </w:rPr>
            </w:pPr>
          </w:p>
        </w:tc>
        <w:tc>
          <w:tcPr>
            <w:tcW w:w="1547" w:type="dxa"/>
            <w:noWrap/>
            <w:vAlign w:val="center"/>
          </w:tcPr>
          <w:p w:rsidR="00C47C16" w:rsidRDefault="009A3095">
            <w:pPr>
              <w:spacing w:line="360" w:lineRule="auto"/>
              <w:jc w:val="center"/>
              <w:rPr>
                <w:rFonts w:ascii="宋体" w:cs="Times New Roman"/>
                <w:sz w:val="24"/>
                <w:szCs w:val="24"/>
              </w:rPr>
            </w:pPr>
            <w:r>
              <w:rPr>
                <w:rFonts w:ascii="宋体" w:hAnsi="宋体" w:cs="宋体" w:hint="eastAsia"/>
                <w:sz w:val="24"/>
                <w:szCs w:val="24"/>
              </w:rPr>
              <w:t>产品成熟性</w:t>
            </w:r>
          </w:p>
        </w:tc>
        <w:tc>
          <w:tcPr>
            <w:tcW w:w="4809" w:type="dxa"/>
            <w:noWrap/>
            <w:vAlign w:val="center"/>
          </w:tcPr>
          <w:p w:rsidR="00C47C16" w:rsidRDefault="009A3095">
            <w:pPr>
              <w:spacing w:line="360" w:lineRule="auto"/>
              <w:rPr>
                <w:rFonts w:ascii="宋体" w:cs="Times New Roman"/>
                <w:sz w:val="24"/>
                <w:szCs w:val="24"/>
              </w:rPr>
            </w:pPr>
            <w:r>
              <w:rPr>
                <w:rFonts w:ascii="宋体" w:hAnsi="宋体" w:cs="宋体" w:hint="eastAsia"/>
                <w:sz w:val="24"/>
                <w:szCs w:val="24"/>
              </w:rPr>
              <w:t>生产厂商产品成熟性：</w:t>
            </w:r>
          </w:p>
          <w:p w:rsidR="00C47C16" w:rsidRPr="009A3095" w:rsidRDefault="009A3095">
            <w:pPr>
              <w:numPr>
                <w:ilvl w:val="0"/>
                <w:numId w:val="1"/>
              </w:numPr>
              <w:spacing w:line="360" w:lineRule="auto"/>
              <w:jc w:val="left"/>
              <w:rPr>
                <w:rFonts w:ascii="宋体" w:hAnsi="宋体" w:cs="宋体"/>
                <w:sz w:val="24"/>
                <w:szCs w:val="24"/>
              </w:rPr>
            </w:pPr>
            <w:r>
              <w:rPr>
                <w:rFonts w:ascii="宋体" w:hAnsi="宋体" w:cs="宋体" w:hint="eastAsia"/>
                <w:sz w:val="24"/>
                <w:szCs w:val="24"/>
                <w:lang w:val="zh-CN"/>
              </w:rPr>
              <w:t>抗老化性能</w:t>
            </w:r>
            <w:r w:rsidRPr="009A3095">
              <w:rPr>
                <w:rFonts w:ascii="宋体" w:hAnsi="宋体" w:cs="宋体" w:hint="eastAsia"/>
                <w:sz w:val="24"/>
                <w:szCs w:val="24"/>
              </w:rPr>
              <w:t>：</w:t>
            </w:r>
            <w:r>
              <w:rPr>
                <w:rFonts w:ascii="宋体" w:hAnsi="宋体" w:cs="宋体" w:hint="eastAsia"/>
                <w:sz w:val="24"/>
                <w:szCs w:val="24"/>
                <w:lang w:val="zh-CN"/>
              </w:rPr>
              <w:t>依据</w:t>
            </w:r>
            <w:r w:rsidRPr="009A3095">
              <w:rPr>
                <w:rFonts w:ascii="宋体" w:hAnsi="宋体" w:cs="宋体"/>
                <w:sz w:val="24"/>
                <w:szCs w:val="24"/>
              </w:rPr>
              <w:t>GB/T16422.2-1999,</w:t>
            </w:r>
          </w:p>
          <w:p w:rsidR="00C47C16" w:rsidRDefault="009A3095">
            <w:pPr>
              <w:spacing w:line="360" w:lineRule="auto"/>
              <w:jc w:val="left"/>
              <w:rPr>
                <w:rFonts w:ascii="宋体" w:cs="Times New Roman"/>
                <w:b/>
                <w:bCs/>
                <w:sz w:val="24"/>
                <w:szCs w:val="24"/>
                <w:lang w:val="zh-CN"/>
              </w:rPr>
            </w:pPr>
            <w:r>
              <w:rPr>
                <w:rFonts w:ascii="宋体" w:hAnsi="宋体" w:cs="宋体"/>
                <w:sz w:val="24"/>
                <w:szCs w:val="24"/>
                <w:lang w:val="zh-CN"/>
              </w:rPr>
              <w:t>GB/T250-2</w:t>
            </w:r>
            <w:r>
              <w:rPr>
                <w:rFonts w:ascii="宋体" w:hAnsi="宋体" w:cs="宋体"/>
                <w:sz w:val="24"/>
                <w:szCs w:val="24"/>
              </w:rPr>
              <w:t>008</w:t>
            </w:r>
            <w:r>
              <w:rPr>
                <w:rFonts w:ascii="宋体" w:hAnsi="宋体" w:cs="宋体" w:hint="eastAsia"/>
                <w:sz w:val="24"/>
                <w:szCs w:val="24"/>
                <w:lang w:val="zh-CN"/>
              </w:rPr>
              <w:t>氙灯抗老化外观评测，测试达到</w:t>
            </w:r>
            <w:r>
              <w:rPr>
                <w:rFonts w:ascii="宋体" w:hAnsi="宋体" w:cs="宋体"/>
                <w:sz w:val="24"/>
                <w:szCs w:val="24"/>
                <w:lang w:val="zh-CN"/>
              </w:rPr>
              <w:t>3000</w:t>
            </w:r>
            <w:r>
              <w:rPr>
                <w:rFonts w:ascii="宋体" w:hAnsi="宋体" w:cs="宋体" w:hint="eastAsia"/>
                <w:sz w:val="24"/>
                <w:szCs w:val="24"/>
                <w:lang w:val="zh-CN"/>
              </w:rPr>
              <w:t>小时，外观颜色变色评级好于</w:t>
            </w:r>
            <w:r>
              <w:rPr>
                <w:rFonts w:ascii="宋体" w:hAnsi="宋体" w:cs="宋体"/>
                <w:sz w:val="24"/>
                <w:szCs w:val="24"/>
                <w:lang w:val="zh-CN"/>
              </w:rPr>
              <w:t>3-4</w:t>
            </w:r>
            <w:r>
              <w:rPr>
                <w:rFonts w:ascii="宋体" w:hAnsi="宋体" w:cs="宋体" w:hint="eastAsia"/>
                <w:sz w:val="24"/>
                <w:szCs w:val="24"/>
                <w:lang w:val="zh-CN"/>
              </w:rPr>
              <w:t>级，得</w:t>
            </w:r>
            <w:r>
              <w:rPr>
                <w:rFonts w:ascii="宋体" w:hAnsi="宋体" w:cs="宋体"/>
                <w:sz w:val="24"/>
                <w:szCs w:val="24"/>
              </w:rPr>
              <w:t>2</w:t>
            </w:r>
            <w:r>
              <w:rPr>
                <w:rFonts w:ascii="宋体" w:hAnsi="宋体" w:cs="宋体" w:hint="eastAsia"/>
                <w:sz w:val="24"/>
                <w:szCs w:val="24"/>
                <w:lang w:val="zh-CN"/>
              </w:rPr>
              <w:t>分。</w:t>
            </w:r>
            <w:r>
              <w:rPr>
                <w:rFonts w:ascii="宋体" w:hAnsi="宋体" w:cs="宋体" w:hint="eastAsia"/>
                <w:b/>
                <w:bCs/>
                <w:sz w:val="24"/>
                <w:szCs w:val="24"/>
                <w:lang w:val="zh-CN"/>
              </w:rPr>
              <w:t>提供由国家认可的检测机构出具的合格检验报告</w:t>
            </w:r>
            <w:r>
              <w:rPr>
                <w:rFonts w:ascii="宋体" w:hAnsi="宋体" w:cs="宋体" w:hint="eastAsia"/>
                <w:b/>
                <w:bCs/>
                <w:sz w:val="24"/>
                <w:szCs w:val="24"/>
              </w:rPr>
              <w:t>扫描件并加盖制造商公章</w:t>
            </w:r>
            <w:r>
              <w:rPr>
                <w:rFonts w:ascii="宋体" w:hAnsi="宋体" w:cs="宋体" w:hint="eastAsia"/>
                <w:b/>
                <w:bCs/>
                <w:sz w:val="24"/>
                <w:szCs w:val="24"/>
                <w:lang w:val="zh-CN"/>
              </w:rPr>
              <w:t>。；</w:t>
            </w:r>
          </w:p>
          <w:p w:rsidR="00C47C16" w:rsidRDefault="009A3095">
            <w:pPr>
              <w:spacing w:line="360" w:lineRule="auto"/>
              <w:rPr>
                <w:rFonts w:ascii="宋体" w:cs="Times New Roman"/>
                <w:b/>
                <w:bCs/>
                <w:sz w:val="24"/>
                <w:szCs w:val="24"/>
                <w:lang w:val="zh-CN"/>
              </w:rPr>
            </w:pPr>
            <w:r>
              <w:rPr>
                <w:rFonts w:ascii="宋体" w:hAnsi="宋体" w:cs="宋体"/>
                <w:sz w:val="24"/>
                <w:szCs w:val="24"/>
              </w:rPr>
              <w:t>2</w:t>
            </w:r>
            <w:r>
              <w:rPr>
                <w:rFonts w:ascii="宋体" w:hAnsi="宋体" w:cs="宋体" w:hint="eastAsia"/>
                <w:sz w:val="24"/>
                <w:szCs w:val="24"/>
              </w:rPr>
              <w:t>、</w:t>
            </w:r>
            <w:r>
              <w:rPr>
                <w:rFonts w:ascii="宋体" w:hAnsi="宋体" w:cs="宋体" w:hint="eastAsia"/>
                <w:sz w:val="24"/>
                <w:szCs w:val="24"/>
                <w:lang w:val="zh-CN"/>
              </w:rPr>
              <w:t>座椅阻燃性能依据</w:t>
            </w:r>
            <w:r>
              <w:rPr>
                <w:rFonts w:ascii="宋体" w:hAnsi="宋体" w:cs="宋体"/>
                <w:sz w:val="24"/>
                <w:szCs w:val="24"/>
                <w:lang w:val="zh-CN"/>
              </w:rPr>
              <w:t>GB 20286-2006</w:t>
            </w:r>
            <w:r>
              <w:rPr>
                <w:rFonts w:ascii="宋体" w:hAnsi="宋体" w:cs="宋体" w:hint="eastAsia"/>
                <w:sz w:val="24"/>
                <w:szCs w:val="24"/>
                <w:lang w:val="zh-CN"/>
              </w:rPr>
              <w:t>《公共场所阻燃制品及组件燃烧性能要求和标识达到阻燃一级</w:t>
            </w:r>
            <w:r>
              <w:rPr>
                <w:rFonts w:ascii="宋体" w:hAnsi="宋体" w:cs="宋体" w:hint="eastAsia"/>
                <w:sz w:val="24"/>
                <w:szCs w:val="24"/>
              </w:rPr>
              <w:t>的得</w:t>
            </w:r>
            <w:r>
              <w:rPr>
                <w:rFonts w:ascii="宋体" w:hAnsi="宋体" w:cs="宋体"/>
                <w:sz w:val="24"/>
                <w:szCs w:val="24"/>
              </w:rPr>
              <w:t>2</w:t>
            </w:r>
            <w:r>
              <w:rPr>
                <w:rFonts w:ascii="宋体" w:hAnsi="宋体" w:cs="宋体" w:hint="eastAsia"/>
                <w:sz w:val="24"/>
                <w:szCs w:val="24"/>
              </w:rPr>
              <w:t>分</w:t>
            </w:r>
            <w:r>
              <w:rPr>
                <w:rFonts w:ascii="宋体" w:hAnsi="宋体" w:cs="宋体" w:hint="eastAsia"/>
                <w:sz w:val="24"/>
                <w:szCs w:val="24"/>
                <w:lang w:val="zh-CN"/>
              </w:rPr>
              <w:t>，座椅阻燃性能依据</w:t>
            </w:r>
            <w:r>
              <w:rPr>
                <w:rFonts w:ascii="宋体" w:hAnsi="宋体" w:cs="宋体"/>
                <w:sz w:val="24"/>
                <w:szCs w:val="24"/>
                <w:lang w:val="zh-CN"/>
              </w:rPr>
              <w:t>GB 20286-2006</w:t>
            </w:r>
            <w:r>
              <w:rPr>
                <w:rFonts w:ascii="宋体" w:hAnsi="宋体" w:cs="宋体" w:hint="eastAsia"/>
                <w:sz w:val="24"/>
                <w:szCs w:val="24"/>
                <w:lang w:val="zh-CN"/>
              </w:rPr>
              <w:t>《公共场所阻燃制品及组件燃烧性能要求和标识达到阻燃</w:t>
            </w:r>
            <w:r>
              <w:rPr>
                <w:rFonts w:ascii="宋体" w:hAnsi="宋体" w:cs="宋体" w:hint="eastAsia"/>
                <w:sz w:val="24"/>
                <w:szCs w:val="24"/>
              </w:rPr>
              <w:t>二</w:t>
            </w:r>
            <w:r>
              <w:rPr>
                <w:rFonts w:ascii="宋体" w:hAnsi="宋体" w:cs="宋体" w:hint="eastAsia"/>
                <w:sz w:val="24"/>
                <w:szCs w:val="24"/>
                <w:lang w:val="zh-CN"/>
              </w:rPr>
              <w:t>级</w:t>
            </w:r>
            <w:r>
              <w:rPr>
                <w:rFonts w:ascii="宋体" w:hAnsi="宋体" w:cs="宋体" w:hint="eastAsia"/>
                <w:sz w:val="24"/>
                <w:szCs w:val="24"/>
              </w:rPr>
              <w:t>的得</w:t>
            </w:r>
            <w:r>
              <w:rPr>
                <w:rFonts w:ascii="宋体" w:hAnsi="宋体" w:cs="宋体"/>
                <w:sz w:val="24"/>
                <w:szCs w:val="24"/>
              </w:rPr>
              <w:t>1</w:t>
            </w:r>
            <w:r>
              <w:rPr>
                <w:rFonts w:ascii="宋体" w:hAnsi="宋体" w:cs="宋体" w:hint="eastAsia"/>
                <w:sz w:val="24"/>
                <w:szCs w:val="24"/>
              </w:rPr>
              <w:t>分</w:t>
            </w:r>
            <w:r>
              <w:rPr>
                <w:rFonts w:ascii="宋体" w:hAnsi="宋体" w:cs="宋体" w:hint="eastAsia"/>
                <w:sz w:val="24"/>
                <w:szCs w:val="24"/>
                <w:lang w:val="zh-CN"/>
              </w:rPr>
              <w:t>，</w:t>
            </w:r>
            <w:r>
              <w:rPr>
                <w:rFonts w:ascii="宋体" w:hAnsi="宋体" w:cs="宋体" w:hint="eastAsia"/>
                <w:sz w:val="24"/>
                <w:szCs w:val="24"/>
              </w:rPr>
              <w:t>以下或不提供的不得分。</w:t>
            </w:r>
            <w:r>
              <w:rPr>
                <w:rFonts w:ascii="宋体" w:hAnsi="宋体" w:cs="宋体" w:hint="eastAsia"/>
                <w:b/>
                <w:bCs/>
                <w:sz w:val="24"/>
                <w:szCs w:val="24"/>
              </w:rPr>
              <w:t>提供提供国家级（或国际公认）的测试机构出具的检验报告扫描件并加盖制造商公章</w:t>
            </w:r>
          </w:p>
          <w:p w:rsidR="00C47C16" w:rsidRDefault="009A3095">
            <w:pPr>
              <w:spacing w:line="360" w:lineRule="auto"/>
              <w:rPr>
                <w:rFonts w:ascii="宋体" w:cs="Times New Roman"/>
                <w:sz w:val="24"/>
                <w:szCs w:val="24"/>
              </w:rPr>
            </w:pPr>
            <w:r>
              <w:rPr>
                <w:rFonts w:ascii="宋体" w:hAnsi="宋体" w:cs="宋体"/>
                <w:sz w:val="24"/>
                <w:szCs w:val="24"/>
              </w:rPr>
              <w:t>3</w:t>
            </w:r>
            <w:r>
              <w:rPr>
                <w:rFonts w:ascii="宋体" w:hAnsi="宋体" w:cs="宋体" w:hint="eastAsia"/>
                <w:sz w:val="24"/>
                <w:szCs w:val="24"/>
              </w:rPr>
              <w:t>、环保性能：座椅塑胶件符合</w:t>
            </w:r>
            <w:r>
              <w:rPr>
                <w:rFonts w:ascii="宋体" w:hAnsi="宋体" w:cs="宋体"/>
                <w:sz w:val="24"/>
                <w:szCs w:val="24"/>
              </w:rPr>
              <w:t>QB/2601-2013</w:t>
            </w:r>
            <w:r>
              <w:rPr>
                <w:rFonts w:ascii="宋体" w:hAnsi="宋体" w:cs="宋体" w:hint="eastAsia"/>
                <w:sz w:val="24"/>
                <w:szCs w:val="24"/>
              </w:rPr>
              <w:t>《体育场馆公共座椅》对可溶性汞、铬、铅、镉含量的要求。检测三项以上的得</w:t>
            </w:r>
            <w:r>
              <w:rPr>
                <w:rFonts w:ascii="宋体" w:hAnsi="宋体" w:cs="宋体"/>
                <w:sz w:val="24"/>
                <w:szCs w:val="24"/>
              </w:rPr>
              <w:t>2</w:t>
            </w:r>
            <w:r>
              <w:rPr>
                <w:rFonts w:ascii="宋体" w:hAnsi="宋体" w:cs="宋体" w:hint="eastAsia"/>
                <w:sz w:val="24"/>
                <w:szCs w:val="24"/>
              </w:rPr>
              <w:t>分，三项以下的得</w:t>
            </w:r>
            <w:r>
              <w:rPr>
                <w:rFonts w:ascii="宋体" w:hAnsi="宋体" w:cs="宋体"/>
                <w:sz w:val="24"/>
                <w:szCs w:val="24"/>
              </w:rPr>
              <w:t>0.5</w:t>
            </w:r>
            <w:r>
              <w:rPr>
                <w:rFonts w:ascii="宋体" w:hAnsi="宋体" w:cs="宋体" w:hint="eastAsia"/>
                <w:sz w:val="24"/>
                <w:szCs w:val="24"/>
              </w:rPr>
              <w:t>分。</w:t>
            </w:r>
            <w:r>
              <w:rPr>
                <w:rFonts w:ascii="宋体" w:hAnsi="宋体" w:cs="宋体" w:hint="eastAsia"/>
                <w:b/>
                <w:bCs/>
                <w:sz w:val="24"/>
                <w:szCs w:val="24"/>
              </w:rPr>
              <w:t>提供提供国家级（或国际公认）的测试机构出具的检验报告扫描件加盖制造商公章</w:t>
            </w:r>
          </w:p>
          <w:p w:rsidR="00C47C16" w:rsidRDefault="009A3095">
            <w:pPr>
              <w:numPr>
                <w:ilvl w:val="0"/>
                <w:numId w:val="2"/>
              </w:numPr>
              <w:spacing w:line="360" w:lineRule="auto"/>
              <w:rPr>
                <w:rFonts w:ascii="宋体" w:hAnsi="宋体" w:cs="宋体"/>
                <w:sz w:val="24"/>
                <w:szCs w:val="24"/>
              </w:rPr>
            </w:pPr>
            <w:r>
              <w:rPr>
                <w:rFonts w:ascii="宋体" w:hAnsi="宋体" w:cs="宋体" w:hint="eastAsia"/>
                <w:sz w:val="24"/>
                <w:szCs w:val="24"/>
              </w:rPr>
              <w:t>看台喷粉金属件</w:t>
            </w:r>
          </w:p>
          <w:p w:rsidR="00C47C16" w:rsidRDefault="009A3095">
            <w:pPr>
              <w:spacing w:line="360" w:lineRule="auto"/>
              <w:rPr>
                <w:rFonts w:ascii="宋体" w:cs="Times New Roman"/>
                <w:sz w:val="24"/>
                <w:szCs w:val="24"/>
              </w:rPr>
            </w:pPr>
            <w:r>
              <w:rPr>
                <w:rFonts w:ascii="宋体" w:hAnsi="宋体" w:cs="宋体" w:hint="eastAsia"/>
                <w:sz w:val="24"/>
                <w:szCs w:val="24"/>
              </w:rPr>
              <w:t>①依据</w:t>
            </w:r>
            <w:r>
              <w:rPr>
                <w:rFonts w:ascii="宋体" w:hAnsi="宋体" w:cs="宋体"/>
                <w:sz w:val="24"/>
                <w:szCs w:val="24"/>
              </w:rPr>
              <w:t xml:space="preserve"> ISO 6272-2:2011 </w:t>
            </w:r>
            <w:r>
              <w:rPr>
                <w:rFonts w:ascii="宋体" w:hAnsi="宋体" w:cs="宋体" w:hint="eastAsia"/>
                <w:sz w:val="24"/>
                <w:szCs w:val="24"/>
              </w:rPr>
              <w:t>检测，测试结果≥</w:t>
            </w:r>
          </w:p>
          <w:p w:rsidR="00C47C16" w:rsidRDefault="009A3095">
            <w:pPr>
              <w:spacing w:line="360" w:lineRule="auto"/>
              <w:rPr>
                <w:rFonts w:ascii="宋体" w:hAnsi="宋体" w:cs="宋体"/>
                <w:sz w:val="24"/>
                <w:szCs w:val="24"/>
              </w:rPr>
            </w:pPr>
            <w:r>
              <w:rPr>
                <w:rFonts w:ascii="宋体" w:hAnsi="宋体" w:cs="宋体"/>
                <w:sz w:val="24"/>
                <w:szCs w:val="24"/>
              </w:rPr>
              <w:t>200kg</w:t>
            </w:r>
            <w:r>
              <w:rPr>
                <w:rFonts w:ascii="宋体" w:hAnsi="宋体" w:cs="宋体" w:hint="eastAsia"/>
                <w:sz w:val="24"/>
                <w:szCs w:val="24"/>
              </w:rPr>
              <w:t>·</w:t>
            </w:r>
            <w:r>
              <w:rPr>
                <w:rFonts w:ascii="宋体" w:hAnsi="宋体" w:cs="宋体"/>
                <w:sz w:val="24"/>
                <w:szCs w:val="24"/>
              </w:rPr>
              <w:t xml:space="preserve">cm </w:t>
            </w:r>
            <w:r>
              <w:rPr>
                <w:rFonts w:ascii="宋体" w:hAnsi="宋体" w:cs="宋体" w:hint="eastAsia"/>
                <w:sz w:val="24"/>
                <w:szCs w:val="24"/>
              </w:rPr>
              <w:t>无开裂或剥落；</w:t>
            </w:r>
          </w:p>
          <w:p w:rsidR="00C47C16" w:rsidRDefault="009A3095">
            <w:pPr>
              <w:spacing w:line="360" w:lineRule="auto"/>
              <w:rPr>
                <w:rFonts w:ascii="宋体" w:cs="Times New Roman"/>
                <w:sz w:val="24"/>
                <w:szCs w:val="24"/>
              </w:rPr>
            </w:pPr>
            <w:r>
              <w:rPr>
                <w:rFonts w:ascii="宋体" w:hAnsi="宋体" w:cs="宋体" w:hint="eastAsia"/>
                <w:sz w:val="24"/>
                <w:szCs w:val="24"/>
              </w:rPr>
              <w:t>②依据</w:t>
            </w:r>
            <w:r>
              <w:rPr>
                <w:rFonts w:ascii="宋体" w:hAnsi="宋体" w:cs="宋体"/>
                <w:sz w:val="24"/>
                <w:szCs w:val="24"/>
              </w:rPr>
              <w:t xml:space="preserve"> ISO 9227-2012 </w:t>
            </w:r>
            <w:r>
              <w:rPr>
                <w:rFonts w:ascii="宋体" w:hAnsi="宋体" w:cs="宋体" w:hint="eastAsia"/>
                <w:sz w:val="24"/>
                <w:szCs w:val="24"/>
              </w:rPr>
              <w:t>人工气候环境腐</w:t>
            </w:r>
          </w:p>
          <w:p w:rsidR="00C47C16" w:rsidRDefault="009A3095">
            <w:pPr>
              <w:spacing w:line="360" w:lineRule="auto"/>
              <w:rPr>
                <w:rFonts w:ascii="宋体" w:hAnsi="宋体" w:cs="宋体"/>
                <w:sz w:val="24"/>
                <w:szCs w:val="24"/>
              </w:rPr>
            </w:pPr>
            <w:r>
              <w:rPr>
                <w:rFonts w:ascii="宋体" w:hAnsi="宋体" w:cs="宋体" w:hint="eastAsia"/>
                <w:sz w:val="24"/>
                <w:szCs w:val="24"/>
              </w:rPr>
              <w:t>蚀盐雾检测，测试结果不低于</w:t>
            </w:r>
            <w:r>
              <w:rPr>
                <w:rFonts w:ascii="宋体" w:hAnsi="宋体" w:cs="宋体"/>
                <w:sz w:val="24"/>
                <w:szCs w:val="24"/>
              </w:rPr>
              <w:t xml:space="preserve"> 10 </w:t>
            </w:r>
            <w:r>
              <w:rPr>
                <w:rFonts w:ascii="宋体" w:hAnsi="宋体" w:cs="宋体" w:hint="eastAsia"/>
                <w:sz w:val="24"/>
                <w:szCs w:val="24"/>
              </w:rPr>
              <w:t>级；</w:t>
            </w:r>
          </w:p>
          <w:p w:rsidR="00C47C16" w:rsidRDefault="009A3095">
            <w:pPr>
              <w:spacing w:line="360" w:lineRule="auto"/>
              <w:rPr>
                <w:rFonts w:ascii="宋体" w:hAnsi="宋体" w:cs="宋体"/>
                <w:sz w:val="24"/>
                <w:szCs w:val="24"/>
              </w:rPr>
            </w:pPr>
            <w:r>
              <w:rPr>
                <w:rFonts w:ascii="宋体" w:hAnsi="宋体" w:cs="宋体" w:hint="eastAsia"/>
                <w:sz w:val="24"/>
                <w:szCs w:val="24"/>
              </w:rPr>
              <w:t>③依据</w:t>
            </w:r>
            <w:r>
              <w:rPr>
                <w:rFonts w:ascii="宋体" w:hAnsi="宋体" w:cs="宋体"/>
                <w:sz w:val="24"/>
                <w:szCs w:val="24"/>
              </w:rPr>
              <w:t xml:space="preserve"> QB/2601-2013</w:t>
            </w:r>
            <w:r>
              <w:rPr>
                <w:rFonts w:ascii="宋体" w:hAnsi="宋体" w:cs="宋体" w:hint="eastAsia"/>
                <w:sz w:val="24"/>
                <w:szCs w:val="24"/>
              </w:rPr>
              <w:t>《体育</w:t>
            </w:r>
            <w:bookmarkStart w:id="0" w:name="_GoBack"/>
            <w:bookmarkEnd w:id="0"/>
            <w:r>
              <w:rPr>
                <w:rFonts w:ascii="宋体" w:hAnsi="宋体" w:cs="宋体" w:hint="eastAsia"/>
                <w:sz w:val="24"/>
                <w:szCs w:val="24"/>
              </w:rPr>
              <w:t>场馆公共座椅》要求附着力不低于</w:t>
            </w:r>
            <w:r>
              <w:rPr>
                <w:rFonts w:ascii="宋体" w:hAnsi="宋体" w:cs="宋体"/>
                <w:sz w:val="24"/>
                <w:szCs w:val="24"/>
              </w:rPr>
              <w:t xml:space="preserve"> 3 </w:t>
            </w:r>
            <w:r>
              <w:rPr>
                <w:rFonts w:ascii="宋体" w:hAnsi="宋体" w:cs="宋体" w:hint="eastAsia"/>
                <w:sz w:val="24"/>
                <w:szCs w:val="24"/>
              </w:rPr>
              <w:t>级；</w:t>
            </w:r>
          </w:p>
          <w:p w:rsidR="00C47C16" w:rsidRDefault="009A3095">
            <w:pPr>
              <w:spacing w:line="360" w:lineRule="auto"/>
              <w:rPr>
                <w:rFonts w:ascii="宋体" w:cs="Times New Roman"/>
                <w:sz w:val="24"/>
                <w:szCs w:val="24"/>
              </w:rPr>
            </w:pPr>
            <w:r>
              <w:rPr>
                <w:rFonts w:ascii="宋体" w:hAnsi="宋体" w:cs="宋体" w:hint="eastAsia"/>
                <w:sz w:val="24"/>
                <w:szCs w:val="24"/>
              </w:rPr>
              <w:t>④涂层厚度在</w:t>
            </w:r>
            <w:r>
              <w:rPr>
                <w:rFonts w:ascii="宋体" w:hAnsi="宋体" w:cs="宋体"/>
                <w:sz w:val="24"/>
                <w:szCs w:val="24"/>
              </w:rPr>
              <w:t xml:space="preserve"> 20-25</w:t>
            </w:r>
            <w:r>
              <w:rPr>
                <w:rFonts w:ascii="宋体" w:hAnsi="宋体" w:cs="宋体" w:hint="eastAsia"/>
                <w:sz w:val="24"/>
                <w:szCs w:val="24"/>
              </w:rPr>
              <w:t>℃，</w:t>
            </w:r>
            <w:r>
              <w:rPr>
                <w:rFonts w:ascii="宋体" w:hAnsi="宋体" w:cs="宋体"/>
                <w:sz w:val="24"/>
                <w:szCs w:val="24"/>
              </w:rPr>
              <w:t xml:space="preserve"> 50-65%RH </w:t>
            </w:r>
            <w:r>
              <w:rPr>
                <w:rFonts w:ascii="宋体" w:hAnsi="宋体" w:cs="宋体" w:hint="eastAsia"/>
                <w:sz w:val="24"/>
                <w:szCs w:val="24"/>
              </w:rPr>
              <w:t>的环境下不低于</w:t>
            </w:r>
            <w:r>
              <w:rPr>
                <w:rFonts w:ascii="宋体" w:hAnsi="宋体" w:cs="宋体"/>
                <w:sz w:val="24"/>
                <w:szCs w:val="24"/>
              </w:rPr>
              <w:t xml:space="preserve"> 94</w:t>
            </w:r>
            <w:r>
              <w:rPr>
                <w:rFonts w:ascii="宋体" w:hAnsi="宋体" w:cs="宋体" w:hint="eastAsia"/>
                <w:sz w:val="24"/>
                <w:szCs w:val="24"/>
              </w:rPr>
              <w:t>μ</w:t>
            </w:r>
            <w:r>
              <w:rPr>
                <w:rFonts w:ascii="宋体" w:hAnsi="宋体" w:cs="宋体"/>
                <w:sz w:val="24"/>
                <w:szCs w:val="24"/>
              </w:rPr>
              <w:t>m</w:t>
            </w:r>
            <w:r>
              <w:rPr>
                <w:rFonts w:ascii="宋体" w:hAnsi="宋体" w:cs="宋体" w:hint="eastAsia"/>
                <w:sz w:val="24"/>
                <w:szCs w:val="24"/>
              </w:rPr>
              <w:t>。缺少任意一项不得分，满</w:t>
            </w:r>
            <w:r>
              <w:rPr>
                <w:rFonts w:ascii="宋体" w:hAnsi="宋体" w:cs="宋体" w:hint="eastAsia"/>
                <w:sz w:val="24"/>
                <w:szCs w:val="24"/>
              </w:rPr>
              <w:lastRenderedPageBreak/>
              <w:t>分</w:t>
            </w:r>
            <w:r>
              <w:rPr>
                <w:rFonts w:ascii="宋体" w:hAnsi="宋体" w:cs="宋体"/>
                <w:sz w:val="24"/>
                <w:szCs w:val="24"/>
              </w:rPr>
              <w:t xml:space="preserve">2 </w:t>
            </w:r>
            <w:r>
              <w:rPr>
                <w:rFonts w:ascii="宋体" w:hAnsi="宋体" w:cs="宋体" w:hint="eastAsia"/>
                <w:sz w:val="24"/>
                <w:szCs w:val="24"/>
              </w:rPr>
              <w:t>分。</w:t>
            </w:r>
            <w:r>
              <w:rPr>
                <w:rFonts w:ascii="宋体" w:hAnsi="宋体" w:cs="宋体" w:hint="eastAsia"/>
                <w:b/>
                <w:bCs/>
                <w:sz w:val="24"/>
                <w:szCs w:val="24"/>
              </w:rPr>
              <w:t>提供提供国家级（或国际公认）的测试机构出具的检验报告扫描件加盖制造商公章</w:t>
            </w:r>
          </w:p>
        </w:tc>
        <w:tc>
          <w:tcPr>
            <w:tcW w:w="1236" w:type="dxa"/>
            <w:noWrap/>
            <w:vAlign w:val="center"/>
          </w:tcPr>
          <w:p w:rsidR="00C47C16" w:rsidRDefault="009A3095">
            <w:pPr>
              <w:spacing w:line="360" w:lineRule="auto"/>
              <w:rPr>
                <w:rFonts w:ascii="宋体" w:cs="Times New Roman"/>
                <w:sz w:val="24"/>
                <w:szCs w:val="24"/>
              </w:rPr>
            </w:pPr>
            <w:r>
              <w:rPr>
                <w:rFonts w:ascii="宋体" w:hAnsi="宋体" w:cs="宋体"/>
                <w:sz w:val="24"/>
                <w:szCs w:val="24"/>
              </w:rPr>
              <w:lastRenderedPageBreak/>
              <w:t>0-8</w:t>
            </w:r>
            <w:r>
              <w:rPr>
                <w:rFonts w:ascii="宋体" w:hAnsi="宋体" w:cs="宋体" w:hint="eastAsia"/>
                <w:sz w:val="24"/>
                <w:szCs w:val="24"/>
              </w:rPr>
              <w:t>分</w:t>
            </w:r>
          </w:p>
        </w:tc>
      </w:tr>
      <w:tr w:rsidR="00C47C16">
        <w:trPr>
          <w:trHeight w:val="20"/>
        </w:trPr>
        <w:tc>
          <w:tcPr>
            <w:tcW w:w="1395" w:type="dxa"/>
            <w:vMerge/>
            <w:noWrap/>
            <w:vAlign w:val="center"/>
          </w:tcPr>
          <w:p w:rsidR="00C47C16" w:rsidRDefault="00C47C16">
            <w:pPr>
              <w:spacing w:line="360" w:lineRule="auto"/>
              <w:rPr>
                <w:rFonts w:ascii="宋体" w:cs="Times New Roman"/>
                <w:sz w:val="24"/>
                <w:szCs w:val="24"/>
              </w:rPr>
            </w:pPr>
          </w:p>
        </w:tc>
        <w:tc>
          <w:tcPr>
            <w:tcW w:w="1547" w:type="dxa"/>
            <w:noWrap/>
            <w:vAlign w:val="center"/>
          </w:tcPr>
          <w:p w:rsidR="00C47C16" w:rsidRDefault="009A3095">
            <w:pPr>
              <w:spacing w:line="360" w:lineRule="auto"/>
              <w:jc w:val="center"/>
              <w:rPr>
                <w:rFonts w:ascii="宋体" w:cs="Times New Roman"/>
                <w:sz w:val="24"/>
                <w:szCs w:val="24"/>
              </w:rPr>
            </w:pPr>
            <w:r>
              <w:rPr>
                <w:rFonts w:ascii="宋体" w:hAnsi="宋体" w:cs="宋体" w:hint="eastAsia"/>
                <w:sz w:val="24"/>
                <w:szCs w:val="24"/>
              </w:rPr>
              <w:t>业绩</w:t>
            </w:r>
          </w:p>
        </w:tc>
        <w:tc>
          <w:tcPr>
            <w:tcW w:w="4809" w:type="dxa"/>
            <w:noWrap/>
            <w:vAlign w:val="center"/>
          </w:tcPr>
          <w:p w:rsidR="00C47C16" w:rsidRDefault="009A3095">
            <w:pPr>
              <w:spacing w:line="360" w:lineRule="auto"/>
              <w:rPr>
                <w:rFonts w:ascii="宋体" w:cs="宋体"/>
                <w:sz w:val="24"/>
                <w:szCs w:val="24"/>
              </w:rPr>
            </w:pPr>
            <w:r>
              <w:rPr>
                <w:rFonts w:ascii="宋体" w:hAnsi="宋体" w:cs="宋体" w:hint="eastAsia"/>
                <w:sz w:val="24"/>
                <w:szCs w:val="24"/>
              </w:rPr>
              <w:t>提供所投产品生产制造商</w:t>
            </w:r>
            <w:r>
              <w:rPr>
                <w:rFonts w:ascii="宋体" w:hAnsi="宋体" w:cs="宋体"/>
                <w:sz w:val="24"/>
                <w:szCs w:val="24"/>
              </w:rPr>
              <w:t>2017</w:t>
            </w:r>
            <w:r>
              <w:rPr>
                <w:rFonts w:ascii="宋体" w:hAnsi="宋体" w:cs="宋体" w:hint="eastAsia"/>
                <w:sz w:val="24"/>
                <w:szCs w:val="24"/>
              </w:rPr>
              <w:t>年以来同类型的工程项目，需包含有活动看台的中标通知书及合同，座椅数量</w:t>
            </w:r>
            <w:r>
              <w:rPr>
                <w:rFonts w:ascii="宋体" w:hAnsi="宋体" w:cs="宋体"/>
                <w:sz w:val="24"/>
                <w:szCs w:val="24"/>
              </w:rPr>
              <w:t>1000</w:t>
            </w:r>
            <w:r>
              <w:rPr>
                <w:rFonts w:ascii="宋体" w:hAnsi="宋体" w:cs="宋体" w:hint="eastAsia"/>
                <w:sz w:val="24"/>
                <w:szCs w:val="24"/>
              </w:rPr>
              <w:t>座以上，每个得</w:t>
            </w:r>
            <w:r>
              <w:rPr>
                <w:rFonts w:ascii="宋体" w:hAnsi="宋体" w:cs="宋体"/>
                <w:sz w:val="24"/>
                <w:szCs w:val="24"/>
              </w:rPr>
              <w:t>1</w:t>
            </w:r>
            <w:r>
              <w:rPr>
                <w:rFonts w:ascii="宋体" w:hAnsi="宋体" w:cs="宋体" w:hint="eastAsia"/>
                <w:sz w:val="24"/>
                <w:szCs w:val="24"/>
              </w:rPr>
              <w:t>分</w:t>
            </w:r>
            <w:r>
              <w:rPr>
                <w:rFonts w:ascii="宋体" w:cs="宋体"/>
                <w:sz w:val="24"/>
                <w:szCs w:val="24"/>
              </w:rPr>
              <w:t>.</w:t>
            </w:r>
            <w:r>
              <w:rPr>
                <w:rFonts w:ascii="宋体" w:hAnsi="宋体" w:cs="宋体" w:hint="eastAsia"/>
                <w:sz w:val="24"/>
                <w:szCs w:val="24"/>
              </w:rPr>
              <w:t>最高得</w:t>
            </w:r>
            <w:r>
              <w:rPr>
                <w:rFonts w:ascii="宋体" w:hAnsi="宋体" w:cs="宋体"/>
                <w:sz w:val="24"/>
                <w:szCs w:val="24"/>
              </w:rPr>
              <w:t>5</w:t>
            </w:r>
            <w:r>
              <w:rPr>
                <w:rFonts w:ascii="宋体" w:hAnsi="宋体" w:cs="宋体" w:hint="eastAsia"/>
                <w:sz w:val="24"/>
                <w:szCs w:val="24"/>
              </w:rPr>
              <w:t>分</w:t>
            </w:r>
            <w:r>
              <w:rPr>
                <w:rFonts w:ascii="宋体" w:cs="宋体"/>
                <w:sz w:val="24"/>
                <w:szCs w:val="24"/>
              </w:rPr>
              <w:t>.</w:t>
            </w:r>
          </w:p>
        </w:tc>
        <w:tc>
          <w:tcPr>
            <w:tcW w:w="1236" w:type="dxa"/>
            <w:noWrap/>
            <w:vAlign w:val="center"/>
          </w:tcPr>
          <w:p w:rsidR="00C47C16" w:rsidRDefault="009A3095">
            <w:pPr>
              <w:spacing w:line="360" w:lineRule="auto"/>
              <w:rPr>
                <w:rFonts w:ascii="宋体" w:cs="Times New Roman"/>
                <w:sz w:val="24"/>
                <w:szCs w:val="24"/>
              </w:rPr>
            </w:pPr>
            <w:r>
              <w:rPr>
                <w:rFonts w:ascii="宋体" w:hAnsi="宋体" w:cs="宋体"/>
                <w:sz w:val="24"/>
                <w:szCs w:val="24"/>
              </w:rPr>
              <w:t>0-5</w:t>
            </w:r>
            <w:r>
              <w:rPr>
                <w:rFonts w:ascii="宋体" w:hAnsi="宋体" w:cs="宋体" w:hint="eastAsia"/>
                <w:sz w:val="24"/>
                <w:szCs w:val="24"/>
              </w:rPr>
              <w:t>分</w:t>
            </w:r>
          </w:p>
        </w:tc>
      </w:tr>
      <w:tr w:rsidR="00C47C16">
        <w:trPr>
          <w:trHeight w:val="20"/>
        </w:trPr>
        <w:tc>
          <w:tcPr>
            <w:tcW w:w="1395" w:type="dxa"/>
            <w:noWrap/>
            <w:vAlign w:val="center"/>
          </w:tcPr>
          <w:p w:rsidR="00C47C16" w:rsidRDefault="009A3095">
            <w:pPr>
              <w:spacing w:line="360" w:lineRule="auto"/>
              <w:jc w:val="center"/>
              <w:rPr>
                <w:rFonts w:ascii="宋体" w:cs="Times New Roman"/>
                <w:sz w:val="24"/>
                <w:szCs w:val="24"/>
              </w:rPr>
            </w:pPr>
            <w:r>
              <w:rPr>
                <w:rFonts w:ascii="宋体" w:hAnsi="宋体" w:cs="宋体" w:hint="eastAsia"/>
                <w:sz w:val="24"/>
                <w:szCs w:val="24"/>
              </w:rPr>
              <w:t>价格分</w:t>
            </w:r>
          </w:p>
          <w:p w:rsidR="00C47C16" w:rsidRDefault="009A3095">
            <w:pPr>
              <w:spacing w:line="360" w:lineRule="auto"/>
              <w:jc w:val="center"/>
              <w:rPr>
                <w:rFonts w:ascii="宋体" w:cs="Times New Roman"/>
                <w:sz w:val="24"/>
                <w:szCs w:val="24"/>
              </w:rPr>
            </w:pPr>
            <w:r>
              <w:rPr>
                <w:rFonts w:ascii="宋体" w:hAnsi="宋体" w:cs="宋体" w:hint="eastAsia"/>
                <w:sz w:val="24"/>
                <w:szCs w:val="24"/>
              </w:rPr>
              <w:t>（</w:t>
            </w:r>
            <w:r>
              <w:rPr>
                <w:rFonts w:ascii="宋体" w:hAnsi="宋体" w:cs="宋体"/>
                <w:sz w:val="24"/>
                <w:szCs w:val="24"/>
              </w:rPr>
              <w:t xml:space="preserve">30 </w:t>
            </w:r>
            <w:r>
              <w:rPr>
                <w:rFonts w:ascii="宋体" w:hAnsi="宋体" w:cs="宋体" w:hint="eastAsia"/>
                <w:sz w:val="24"/>
                <w:szCs w:val="24"/>
              </w:rPr>
              <w:t>分）</w:t>
            </w:r>
          </w:p>
        </w:tc>
        <w:tc>
          <w:tcPr>
            <w:tcW w:w="7592" w:type="dxa"/>
            <w:gridSpan w:val="3"/>
            <w:noWrap/>
            <w:vAlign w:val="center"/>
          </w:tcPr>
          <w:p w:rsidR="00C47C16" w:rsidRDefault="009A3095">
            <w:pPr>
              <w:pStyle w:val="a3"/>
              <w:spacing w:line="360" w:lineRule="auto"/>
              <w:rPr>
                <w:rFonts w:ascii="宋体" w:cs="Times New Roman"/>
                <w:sz w:val="24"/>
                <w:szCs w:val="24"/>
              </w:rPr>
            </w:pPr>
            <w:r>
              <w:rPr>
                <w:rFonts w:ascii="宋体" w:hAnsi="宋体" w:cs="宋体" w:hint="eastAsia"/>
                <w:color w:val="000000"/>
                <w:kern w:val="0"/>
                <w:sz w:val="24"/>
                <w:szCs w:val="24"/>
              </w:rPr>
              <w:t>满足招标文件要求且投标价格最低的投标报价为评标基准价，其价格分为30 分。其他投标人的投标报价得分=(评标基准价／投标报价)×30（四舍五入，精确到小数点后两位）</w:t>
            </w:r>
          </w:p>
        </w:tc>
      </w:tr>
    </w:tbl>
    <w:p w:rsidR="00C47C16" w:rsidRDefault="00C47C16" w:rsidP="00E40501">
      <w:pPr>
        <w:spacing w:beforeLines="50" w:line="360" w:lineRule="auto"/>
        <w:ind w:firstLineChars="200" w:firstLine="480"/>
        <w:rPr>
          <w:rFonts w:ascii="宋体" w:cs="Times New Roman"/>
          <w:sz w:val="24"/>
          <w:szCs w:val="24"/>
        </w:rPr>
      </w:pPr>
    </w:p>
    <w:p w:rsidR="00C47C16" w:rsidRPr="000F53A4" w:rsidRDefault="009A3095" w:rsidP="000F53A4">
      <w:pPr>
        <w:pStyle w:val="1"/>
        <w:rPr>
          <w:sz w:val="28"/>
          <w:szCs w:val="28"/>
        </w:rPr>
      </w:pPr>
      <w:r>
        <w:rPr>
          <w:rFonts w:hint="eastAsia"/>
          <w:sz w:val="28"/>
          <w:szCs w:val="28"/>
        </w:rPr>
        <w:t>十、履约保证金</w:t>
      </w:r>
    </w:p>
    <w:p w:rsidR="000F53A4" w:rsidRDefault="009A3095" w:rsidP="00864423">
      <w:pPr>
        <w:autoSpaceDE w:val="0"/>
        <w:autoSpaceDN w:val="0"/>
        <w:adjustRightInd w:val="0"/>
        <w:spacing w:line="400" w:lineRule="exact"/>
        <w:ind w:firstLineChars="200" w:firstLine="480"/>
        <w:rPr>
          <w:rFonts w:ascii="宋体" w:hAnsi="宋体" w:cs="宋体"/>
          <w:sz w:val="24"/>
        </w:rPr>
      </w:pPr>
      <w:r>
        <w:rPr>
          <w:rFonts w:ascii="宋体" w:hAnsi="宋体" w:cs="宋体" w:hint="eastAsia"/>
          <w:sz w:val="24"/>
          <w:szCs w:val="24"/>
        </w:rPr>
        <w:t>签订合同前，中标人应按中标金额</w:t>
      </w:r>
      <w:r w:rsidR="000F53A4">
        <w:rPr>
          <w:rFonts w:ascii="宋体" w:hAnsi="宋体" w:cs="宋体" w:hint="eastAsia"/>
          <w:sz w:val="24"/>
          <w:szCs w:val="24"/>
        </w:rPr>
        <w:t>5</w:t>
      </w:r>
      <w:r>
        <w:rPr>
          <w:rFonts w:ascii="宋体" w:hAnsi="宋体" w:cs="宋体"/>
          <w:sz w:val="24"/>
          <w:szCs w:val="24"/>
        </w:rPr>
        <w:t>%</w:t>
      </w:r>
      <w:r>
        <w:rPr>
          <w:rFonts w:ascii="宋体" w:hAnsi="宋体" w:cs="宋体" w:hint="eastAsia"/>
          <w:sz w:val="24"/>
          <w:szCs w:val="24"/>
        </w:rPr>
        <w:t>提交履约保证金。</w:t>
      </w:r>
      <w:r w:rsidR="000F53A4" w:rsidRPr="001E6DB8">
        <w:rPr>
          <w:rFonts w:ascii="宋体" w:hAnsi="宋体" w:cs="宋体" w:hint="eastAsia"/>
          <w:sz w:val="24"/>
        </w:rPr>
        <w:t>在合同约定的质保期内无质量和售后服务问题，按质保年限分年度予以无息退还。</w:t>
      </w:r>
    </w:p>
    <w:p w:rsidR="00C47C16" w:rsidRDefault="009A3095" w:rsidP="000F53A4">
      <w:pPr>
        <w:pStyle w:val="1"/>
        <w:rPr>
          <w:sz w:val="28"/>
          <w:szCs w:val="28"/>
        </w:rPr>
      </w:pPr>
      <w:r>
        <w:rPr>
          <w:rFonts w:hint="eastAsia"/>
          <w:sz w:val="28"/>
          <w:szCs w:val="28"/>
        </w:rPr>
        <w:t>十一、合同主要条款</w:t>
      </w:r>
    </w:p>
    <w:p w:rsidR="00C47C16" w:rsidRDefault="009A3095">
      <w:pPr>
        <w:pStyle w:val="10"/>
        <w:spacing w:line="360" w:lineRule="auto"/>
        <w:ind w:left="0" w:firstLine="0"/>
        <w:jc w:val="both"/>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项目名称：</w:t>
      </w:r>
    </w:p>
    <w:p w:rsidR="00C47C16" w:rsidRDefault="009A3095">
      <w:pPr>
        <w:pStyle w:val="10"/>
        <w:spacing w:line="360" w:lineRule="auto"/>
        <w:ind w:left="0" w:firstLine="0"/>
        <w:jc w:val="both"/>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项目编号：合同编号：</w:t>
      </w:r>
    </w:p>
    <w:p w:rsidR="00C47C16" w:rsidRDefault="009A3095">
      <w:pPr>
        <w:pStyle w:val="10"/>
        <w:spacing w:line="360" w:lineRule="auto"/>
        <w:ind w:left="0" w:firstLine="0"/>
        <w:jc w:val="both"/>
        <w:rPr>
          <w:rFonts w:asciiTheme="minorEastAsia" w:eastAsiaTheme="minorEastAsia" w:hAnsiTheme="minorEastAsia" w:cstheme="minorEastAsia"/>
          <w:b/>
          <w:bCs/>
          <w:sz w:val="24"/>
          <w:szCs w:val="24"/>
        </w:rPr>
      </w:pPr>
      <w:r>
        <w:rPr>
          <w:rFonts w:asciiTheme="minorEastAsia" w:eastAsiaTheme="minorEastAsia" w:hAnsiTheme="minorEastAsia" w:cstheme="minorEastAsia" w:hint="eastAsia"/>
          <w:sz w:val="24"/>
          <w:szCs w:val="24"/>
        </w:rPr>
        <w:t>财政编号：</w:t>
      </w:r>
    </w:p>
    <w:p w:rsidR="00C47C16" w:rsidRDefault="009A3095">
      <w:pPr>
        <w:pStyle w:val="10"/>
        <w:spacing w:line="360" w:lineRule="auto"/>
        <w:ind w:left="0" w:firstLine="0"/>
        <w:jc w:val="both"/>
        <w:rPr>
          <w:rFonts w:asciiTheme="minorEastAsia" w:eastAsiaTheme="minorEastAsia" w:hAnsiTheme="minorEastAsia" w:cstheme="minorEastAsia"/>
          <w:sz w:val="24"/>
          <w:szCs w:val="24"/>
        </w:rPr>
      </w:pPr>
      <w:r>
        <w:rPr>
          <w:rFonts w:asciiTheme="minorEastAsia" w:eastAsiaTheme="minorEastAsia" w:hAnsiTheme="minorEastAsia" w:cstheme="minorEastAsia" w:hint="eastAsia"/>
          <w:b/>
          <w:bCs/>
          <w:sz w:val="24"/>
          <w:szCs w:val="24"/>
        </w:rPr>
        <w:t>甲方：</w:t>
      </w:r>
      <w:r>
        <w:rPr>
          <w:rFonts w:asciiTheme="minorEastAsia" w:eastAsiaTheme="minorEastAsia" w:hAnsiTheme="minorEastAsia" w:cstheme="minorEastAsia" w:hint="eastAsia"/>
          <w:sz w:val="24"/>
          <w:szCs w:val="24"/>
          <w:u w:val="single"/>
        </w:rPr>
        <w:t>铜陵学院</w:t>
      </w:r>
      <w:r>
        <w:rPr>
          <w:rFonts w:asciiTheme="minorEastAsia" w:eastAsiaTheme="minorEastAsia" w:hAnsiTheme="minorEastAsia" w:cstheme="minorEastAsia" w:hint="eastAsia"/>
          <w:sz w:val="24"/>
          <w:szCs w:val="24"/>
        </w:rPr>
        <w:t>电话：</w:t>
      </w:r>
      <w:r>
        <w:rPr>
          <w:rFonts w:asciiTheme="minorEastAsia" w:eastAsiaTheme="minorEastAsia" w:hAnsiTheme="minorEastAsia" w:cstheme="minorEastAsia" w:hint="eastAsia"/>
          <w:sz w:val="24"/>
          <w:szCs w:val="24"/>
          <w:u w:val="single"/>
        </w:rPr>
        <w:t>0562-5883540</w:t>
      </w:r>
    </w:p>
    <w:p w:rsidR="00C47C16" w:rsidRDefault="009A3095">
      <w:pPr>
        <w:pStyle w:val="10"/>
        <w:spacing w:line="360" w:lineRule="auto"/>
        <w:ind w:left="0" w:firstLine="0"/>
        <w:jc w:val="both"/>
        <w:rPr>
          <w:rFonts w:asciiTheme="minorEastAsia" w:eastAsiaTheme="minorEastAsia" w:hAnsiTheme="minorEastAsia" w:cstheme="minorEastAsia"/>
          <w:sz w:val="24"/>
          <w:szCs w:val="24"/>
        </w:rPr>
      </w:pPr>
      <w:r>
        <w:rPr>
          <w:rFonts w:asciiTheme="minorEastAsia" w:eastAsiaTheme="minorEastAsia" w:hAnsiTheme="minorEastAsia" w:cstheme="minorEastAsia" w:hint="eastAsia"/>
          <w:b/>
          <w:bCs/>
          <w:sz w:val="24"/>
          <w:szCs w:val="24"/>
        </w:rPr>
        <w:t>乙方：</w:t>
      </w:r>
      <w:r>
        <w:rPr>
          <w:rFonts w:asciiTheme="minorEastAsia" w:eastAsiaTheme="minorEastAsia" w:hAnsiTheme="minorEastAsia" w:cstheme="minorEastAsia" w:hint="eastAsia"/>
          <w:sz w:val="24"/>
          <w:szCs w:val="24"/>
        </w:rPr>
        <w:t>电话：</w:t>
      </w:r>
    </w:p>
    <w:p w:rsidR="00C47C16" w:rsidRDefault="009A3095">
      <w:pPr>
        <w:pStyle w:val="10"/>
        <w:spacing w:line="360" w:lineRule="auto"/>
        <w:ind w:left="0" w:firstLine="0"/>
        <w:jc w:val="both"/>
        <w:rPr>
          <w:rFonts w:asciiTheme="minorEastAsia" w:eastAsiaTheme="minorEastAsia" w:hAnsiTheme="minorEastAsia" w:cstheme="minorEastAsia"/>
          <w:sz w:val="24"/>
          <w:szCs w:val="24"/>
        </w:rPr>
      </w:pPr>
      <w:r>
        <w:rPr>
          <w:rFonts w:asciiTheme="minorEastAsia" w:eastAsiaTheme="minorEastAsia" w:hAnsiTheme="minorEastAsia" w:cstheme="minorEastAsia" w:hint="eastAsia"/>
          <w:b/>
          <w:bCs/>
          <w:sz w:val="24"/>
          <w:szCs w:val="24"/>
        </w:rPr>
        <w:t>见证方：</w:t>
      </w:r>
      <w:r>
        <w:rPr>
          <w:rFonts w:asciiTheme="minorEastAsia" w:eastAsiaTheme="minorEastAsia" w:hAnsiTheme="minorEastAsia" w:cstheme="minorEastAsia" w:hint="eastAsia"/>
          <w:sz w:val="24"/>
          <w:szCs w:val="24"/>
        </w:rPr>
        <w:t>铜陵市公共资源交易中心电话：</w:t>
      </w:r>
    </w:p>
    <w:p w:rsidR="00C47C16" w:rsidRDefault="009A3095">
      <w:pPr>
        <w:pStyle w:val="10"/>
        <w:spacing w:line="360" w:lineRule="auto"/>
        <w:ind w:left="0" w:firstLine="0"/>
        <w:jc w:val="both"/>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合同签订日期：签订地点：安徽铜陵</w:t>
      </w:r>
    </w:p>
    <w:p w:rsidR="00C47C16" w:rsidRDefault="009A3095">
      <w:pPr>
        <w:pStyle w:val="10"/>
        <w:spacing w:line="360" w:lineRule="auto"/>
        <w:ind w:left="0" w:firstLineChars="200" w:firstLine="480"/>
        <w:jc w:val="both"/>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甲方通过见证方组织的招标投标活动，经评标委员会评审，决定将项目（项目编号：）合同授予乙方。为进一步明确双方的责任，确保合同的顺利履行，甲乙双方商定同意按如下条款和条件签订本合同：</w:t>
      </w:r>
    </w:p>
    <w:p w:rsidR="00C47C16" w:rsidRDefault="009A3095">
      <w:pPr>
        <w:spacing w:line="360" w:lineRule="auto"/>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1.货物、服务的名称、技术规格、数量及合同价款</w:t>
      </w:r>
    </w:p>
    <w:p w:rsidR="00C47C16" w:rsidRDefault="009A3095">
      <w:pPr>
        <w:pStyle w:val="10"/>
        <w:spacing w:line="360" w:lineRule="auto"/>
        <w:ind w:left="0" w:firstLineChars="200" w:firstLine="480"/>
        <w:jc w:val="both"/>
        <w:rPr>
          <w:rFonts w:asciiTheme="minorEastAsia" w:eastAsiaTheme="minorEastAsia" w:hAnsiTheme="minorEastAsia" w:cstheme="minorEastAsia"/>
          <w:color w:val="000000"/>
          <w:sz w:val="24"/>
          <w:szCs w:val="24"/>
        </w:rPr>
      </w:pPr>
      <w:r>
        <w:rPr>
          <w:rFonts w:asciiTheme="minorEastAsia" w:eastAsiaTheme="minorEastAsia" w:hAnsiTheme="minorEastAsia" w:cstheme="minorEastAsia" w:hint="eastAsia"/>
          <w:sz w:val="24"/>
          <w:szCs w:val="24"/>
        </w:rPr>
        <w:lastRenderedPageBreak/>
        <w:t>本合同所采购货物、服务的名称、技术规格和数量等依据乙方投标书“供货及投标报价表”及相关内容确定。主要如下表：</w:t>
      </w:r>
      <w:r>
        <w:rPr>
          <w:rFonts w:asciiTheme="minorEastAsia" w:eastAsiaTheme="minorEastAsia" w:hAnsiTheme="minorEastAsia" w:cstheme="minorEastAsia" w:hint="eastAsia"/>
          <w:color w:val="000000"/>
          <w:sz w:val="24"/>
          <w:szCs w:val="24"/>
        </w:rPr>
        <w:t>（若产品过多则见附表，如有附表则必须加盖印章）</w:t>
      </w:r>
    </w:p>
    <w:p w:rsidR="00C47C16" w:rsidRDefault="00C47C16">
      <w:pPr>
        <w:pStyle w:val="10"/>
        <w:spacing w:line="360" w:lineRule="auto"/>
        <w:ind w:left="0" w:firstLineChars="200" w:firstLine="480"/>
        <w:jc w:val="both"/>
        <w:rPr>
          <w:rFonts w:asciiTheme="minorEastAsia" w:eastAsiaTheme="minorEastAsia" w:hAnsiTheme="minorEastAsia" w:cstheme="minorEastAsia"/>
          <w:color w:val="000000"/>
          <w:sz w:val="24"/>
          <w:szCs w:val="24"/>
        </w:rPr>
      </w:pPr>
    </w:p>
    <w:tbl>
      <w:tblPr>
        <w:tblW w:w="9262" w:type="dxa"/>
        <w:tblInd w:w="-3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677"/>
        <w:gridCol w:w="1309"/>
        <w:gridCol w:w="1942"/>
        <w:gridCol w:w="1145"/>
        <w:gridCol w:w="787"/>
        <w:gridCol w:w="1120"/>
        <w:gridCol w:w="1377"/>
        <w:gridCol w:w="905"/>
      </w:tblGrid>
      <w:tr w:rsidR="00C47C16">
        <w:tc>
          <w:tcPr>
            <w:tcW w:w="677" w:type="dxa"/>
            <w:vAlign w:val="center"/>
          </w:tcPr>
          <w:p w:rsidR="00C47C16" w:rsidRDefault="009A3095">
            <w:pPr>
              <w:pStyle w:val="10"/>
              <w:widowControl w:val="0"/>
              <w:spacing w:line="400" w:lineRule="exact"/>
              <w:ind w:left="0" w:firstLine="0"/>
              <w:jc w:val="center"/>
              <w:rPr>
                <w:rFonts w:hAnsi="宋体" w:cs="Times New Roman"/>
                <w:b/>
                <w:bCs/>
                <w:color w:val="000000"/>
                <w:sz w:val="24"/>
                <w:szCs w:val="24"/>
              </w:rPr>
            </w:pPr>
            <w:r>
              <w:rPr>
                <w:rFonts w:hAnsi="宋体" w:hint="eastAsia"/>
                <w:b/>
                <w:bCs/>
                <w:color w:val="000000"/>
                <w:sz w:val="24"/>
                <w:szCs w:val="24"/>
              </w:rPr>
              <w:t>序号</w:t>
            </w:r>
          </w:p>
        </w:tc>
        <w:tc>
          <w:tcPr>
            <w:tcW w:w="1309" w:type="dxa"/>
            <w:vAlign w:val="center"/>
          </w:tcPr>
          <w:p w:rsidR="00C47C16" w:rsidRDefault="009A3095">
            <w:pPr>
              <w:pStyle w:val="10"/>
              <w:widowControl w:val="0"/>
              <w:spacing w:line="400" w:lineRule="exact"/>
              <w:ind w:left="0" w:firstLine="0"/>
              <w:jc w:val="center"/>
              <w:rPr>
                <w:rFonts w:hAnsi="宋体" w:cs="Times New Roman"/>
                <w:b/>
                <w:bCs/>
                <w:color w:val="000000"/>
                <w:sz w:val="24"/>
                <w:szCs w:val="24"/>
              </w:rPr>
            </w:pPr>
            <w:r>
              <w:rPr>
                <w:rFonts w:hAnsi="宋体" w:hint="eastAsia"/>
                <w:b/>
                <w:bCs/>
                <w:color w:val="000000"/>
                <w:sz w:val="24"/>
                <w:szCs w:val="24"/>
              </w:rPr>
              <w:t>产品名称</w:t>
            </w:r>
          </w:p>
        </w:tc>
        <w:tc>
          <w:tcPr>
            <w:tcW w:w="1942" w:type="dxa"/>
            <w:vAlign w:val="center"/>
          </w:tcPr>
          <w:p w:rsidR="00C47C16" w:rsidRDefault="009A3095">
            <w:pPr>
              <w:pStyle w:val="10"/>
              <w:widowControl w:val="0"/>
              <w:spacing w:line="400" w:lineRule="exact"/>
              <w:ind w:left="0" w:firstLine="0"/>
              <w:jc w:val="center"/>
              <w:rPr>
                <w:rFonts w:hAnsi="宋体" w:cs="Times New Roman"/>
                <w:b/>
                <w:bCs/>
                <w:color w:val="000000"/>
                <w:sz w:val="24"/>
                <w:szCs w:val="24"/>
              </w:rPr>
            </w:pPr>
            <w:r>
              <w:rPr>
                <w:rFonts w:hAnsi="宋体" w:hint="eastAsia"/>
                <w:b/>
                <w:bCs/>
                <w:color w:val="000000"/>
                <w:sz w:val="24"/>
                <w:szCs w:val="24"/>
              </w:rPr>
              <w:t>品牌及规格型号</w:t>
            </w:r>
          </w:p>
        </w:tc>
        <w:tc>
          <w:tcPr>
            <w:tcW w:w="1145" w:type="dxa"/>
            <w:vAlign w:val="center"/>
          </w:tcPr>
          <w:p w:rsidR="00C47C16" w:rsidRDefault="009A3095">
            <w:pPr>
              <w:pStyle w:val="10"/>
              <w:widowControl w:val="0"/>
              <w:spacing w:line="400" w:lineRule="exact"/>
              <w:ind w:left="0" w:firstLine="0"/>
              <w:jc w:val="center"/>
              <w:rPr>
                <w:rFonts w:hAnsi="宋体" w:cs="Times New Roman"/>
                <w:b/>
                <w:bCs/>
                <w:color w:val="000000"/>
                <w:sz w:val="24"/>
                <w:szCs w:val="24"/>
              </w:rPr>
            </w:pPr>
            <w:r>
              <w:rPr>
                <w:rFonts w:hAnsi="宋体" w:hint="eastAsia"/>
                <w:b/>
                <w:bCs/>
                <w:color w:val="000000"/>
                <w:sz w:val="24"/>
                <w:szCs w:val="24"/>
              </w:rPr>
              <w:t>计量单位</w:t>
            </w:r>
          </w:p>
        </w:tc>
        <w:tc>
          <w:tcPr>
            <w:tcW w:w="787" w:type="dxa"/>
            <w:vAlign w:val="center"/>
          </w:tcPr>
          <w:p w:rsidR="00C47C16" w:rsidRDefault="009A3095">
            <w:pPr>
              <w:pStyle w:val="10"/>
              <w:widowControl w:val="0"/>
              <w:spacing w:line="400" w:lineRule="exact"/>
              <w:ind w:left="0" w:firstLine="0"/>
              <w:jc w:val="center"/>
              <w:rPr>
                <w:rFonts w:hAnsi="宋体" w:cs="Times New Roman"/>
                <w:b/>
                <w:bCs/>
                <w:color w:val="000000"/>
                <w:sz w:val="24"/>
                <w:szCs w:val="24"/>
              </w:rPr>
            </w:pPr>
            <w:r>
              <w:rPr>
                <w:rFonts w:hAnsi="宋体" w:hint="eastAsia"/>
                <w:b/>
                <w:bCs/>
                <w:color w:val="000000"/>
                <w:sz w:val="24"/>
                <w:szCs w:val="24"/>
              </w:rPr>
              <w:t>数量</w:t>
            </w:r>
          </w:p>
        </w:tc>
        <w:tc>
          <w:tcPr>
            <w:tcW w:w="1120" w:type="dxa"/>
            <w:vAlign w:val="center"/>
          </w:tcPr>
          <w:p w:rsidR="00C47C16" w:rsidRDefault="009A3095">
            <w:pPr>
              <w:pStyle w:val="10"/>
              <w:widowControl w:val="0"/>
              <w:spacing w:line="400" w:lineRule="exact"/>
              <w:ind w:left="0" w:firstLine="0"/>
              <w:jc w:val="center"/>
              <w:rPr>
                <w:rFonts w:hAnsi="宋体" w:cs="Times New Roman"/>
                <w:b/>
                <w:bCs/>
                <w:color w:val="000000"/>
                <w:sz w:val="24"/>
                <w:szCs w:val="24"/>
              </w:rPr>
            </w:pPr>
            <w:r>
              <w:rPr>
                <w:rFonts w:hAnsi="宋体" w:hint="eastAsia"/>
                <w:b/>
                <w:bCs/>
                <w:color w:val="000000"/>
                <w:sz w:val="24"/>
                <w:szCs w:val="24"/>
              </w:rPr>
              <w:t>单价（元）</w:t>
            </w:r>
          </w:p>
        </w:tc>
        <w:tc>
          <w:tcPr>
            <w:tcW w:w="1377" w:type="dxa"/>
            <w:vAlign w:val="center"/>
          </w:tcPr>
          <w:p w:rsidR="00C47C16" w:rsidRDefault="009A3095">
            <w:pPr>
              <w:pStyle w:val="10"/>
              <w:widowControl w:val="0"/>
              <w:spacing w:line="400" w:lineRule="exact"/>
              <w:ind w:left="0" w:firstLine="0"/>
              <w:jc w:val="center"/>
              <w:rPr>
                <w:rFonts w:hAnsi="宋体" w:cs="Times New Roman"/>
                <w:b/>
                <w:bCs/>
                <w:color w:val="000000"/>
                <w:sz w:val="24"/>
                <w:szCs w:val="24"/>
              </w:rPr>
            </w:pPr>
            <w:r>
              <w:rPr>
                <w:rFonts w:hAnsi="宋体" w:hint="eastAsia"/>
                <w:b/>
                <w:bCs/>
                <w:color w:val="000000"/>
                <w:sz w:val="24"/>
                <w:szCs w:val="24"/>
              </w:rPr>
              <w:t>小计（元）</w:t>
            </w:r>
          </w:p>
        </w:tc>
        <w:tc>
          <w:tcPr>
            <w:tcW w:w="905" w:type="dxa"/>
            <w:vAlign w:val="center"/>
          </w:tcPr>
          <w:p w:rsidR="00C47C16" w:rsidRDefault="009A3095">
            <w:pPr>
              <w:pStyle w:val="10"/>
              <w:widowControl w:val="0"/>
              <w:spacing w:line="400" w:lineRule="exact"/>
              <w:ind w:left="0" w:firstLine="0"/>
              <w:jc w:val="center"/>
              <w:rPr>
                <w:rFonts w:hAnsi="宋体" w:cs="Times New Roman"/>
                <w:b/>
                <w:bCs/>
                <w:color w:val="000000"/>
                <w:sz w:val="24"/>
                <w:szCs w:val="24"/>
              </w:rPr>
            </w:pPr>
            <w:r>
              <w:rPr>
                <w:rFonts w:hAnsi="宋体" w:hint="eastAsia"/>
                <w:b/>
                <w:bCs/>
                <w:color w:val="000000"/>
                <w:sz w:val="24"/>
                <w:szCs w:val="24"/>
              </w:rPr>
              <w:t>备注</w:t>
            </w:r>
          </w:p>
        </w:tc>
      </w:tr>
      <w:tr w:rsidR="00C47C16">
        <w:tc>
          <w:tcPr>
            <w:tcW w:w="677" w:type="dxa"/>
            <w:vAlign w:val="center"/>
          </w:tcPr>
          <w:p w:rsidR="00C47C16" w:rsidRDefault="00C47C16">
            <w:pPr>
              <w:pStyle w:val="10"/>
              <w:widowControl w:val="0"/>
              <w:spacing w:line="400" w:lineRule="exact"/>
              <w:ind w:left="0" w:firstLine="0"/>
              <w:jc w:val="center"/>
              <w:rPr>
                <w:rFonts w:hAnsi="宋体" w:cs="Times New Roman"/>
                <w:color w:val="000000"/>
                <w:sz w:val="24"/>
                <w:szCs w:val="24"/>
              </w:rPr>
            </w:pPr>
          </w:p>
        </w:tc>
        <w:tc>
          <w:tcPr>
            <w:tcW w:w="1309" w:type="dxa"/>
            <w:vAlign w:val="center"/>
          </w:tcPr>
          <w:p w:rsidR="00C47C16" w:rsidRDefault="00C47C16">
            <w:pPr>
              <w:pStyle w:val="10"/>
              <w:widowControl w:val="0"/>
              <w:spacing w:line="400" w:lineRule="exact"/>
              <w:ind w:left="0" w:firstLine="0"/>
              <w:jc w:val="center"/>
              <w:rPr>
                <w:rFonts w:hAnsi="宋体" w:cs="Times New Roman"/>
                <w:color w:val="000000"/>
                <w:sz w:val="24"/>
                <w:szCs w:val="24"/>
              </w:rPr>
            </w:pPr>
          </w:p>
        </w:tc>
        <w:tc>
          <w:tcPr>
            <w:tcW w:w="1942" w:type="dxa"/>
            <w:vAlign w:val="center"/>
          </w:tcPr>
          <w:p w:rsidR="00C47C16" w:rsidRDefault="00C47C16">
            <w:pPr>
              <w:pStyle w:val="10"/>
              <w:widowControl w:val="0"/>
              <w:spacing w:line="400" w:lineRule="exact"/>
              <w:ind w:left="0" w:firstLine="0"/>
              <w:jc w:val="center"/>
              <w:rPr>
                <w:rFonts w:hAnsi="宋体" w:cs="Times New Roman"/>
                <w:color w:val="000000"/>
                <w:sz w:val="24"/>
                <w:szCs w:val="24"/>
              </w:rPr>
            </w:pPr>
          </w:p>
        </w:tc>
        <w:tc>
          <w:tcPr>
            <w:tcW w:w="1145" w:type="dxa"/>
            <w:vAlign w:val="center"/>
          </w:tcPr>
          <w:p w:rsidR="00C47C16" w:rsidRDefault="00C47C16">
            <w:pPr>
              <w:pStyle w:val="10"/>
              <w:widowControl w:val="0"/>
              <w:spacing w:line="400" w:lineRule="exact"/>
              <w:ind w:left="0" w:firstLine="0"/>
              <w:jc w:val="center"/>
              <w:rPr>
                <w:rFonts w:hAnsi="宋体" w:cs="Times New Roman"/>
                <w:color w:val="000000"/>
                <w:sz w:val="24"/>
                <w:szCs w:val="24"/>
              </w:rPr>
            </w:pPr>
          </w:p>
        </w:tc>
        <w:tc>
          <w:tcPr>
            <w:tcW w:w="787" w:type="dxa"/>
            <w:vAlign w:val="center"/>
          </w:tcPr>
          <w:p w:rsidR="00C47C16" w:rsidRDefault="00C47C16">
            <w:pPr>
              <w:pStyle w:val="10"/>
              <w:widowControl w:val="0"/>
              <w:spacing w:line="400" w:lineRule="exact"/>
              <w:ind w:left="0" w:firstLine="0"/>
              <w:jc w:val="center"/>
              <w:rPr>
                <w:rFonts w:hAnsi="宋体" w:cs="Times New Roman"/>
                <w:color w:val="000000"/>
                <w:sz w:val="24"/>
                <w:szCs w:val="24"/>
              </w:rPr>
            </w:pPr>
          </w:p>
        </w:tc>
        <w:tc>
          <w:tcPr>
            <w:tcW w:w="1120" w:type="dxa"/>
            <w:vAlign w:val="center"/>
          </w:tcPr>
          <w:p w:rsidR="00C47C16" w:rsidRDefault="00C47C16">
            <w:pPr>
              <w:pStyle w:val="10"/>
              <w:widowControl w:val="0"/>
              <w:spacing w:line="400" w:lineRule="exact"/>
              <w:ind w:left="0" w:firstLine="0"/>
              <w:jc w:val="center"/>
              <w:rPr>
                <w:rFonts w:hAnsi="宋体" w:cs="Times New Roman"/>
                <w:color w:val="000000"/>
                <w:sz w:val="24"/>
                <w:szCs w:val="24"/>
              </w:rPr>
            </w:pPr>
          </w:p>
        </w:tc>
        <w:tc>
          <w:tcPr>
            <w:tcW w:w="1377" w:type="dxa"/>
            <w:vAlign w:val="center"/>
          </w:tcPr>
          <w:p w:rsidR="00C47C16" w:rsidRDefault="00C47C16">
            <w:pPr>
              <w:pStyle w:val="10"/>
              <w:widowControl w:val="0"/>
              <w:spacing w:line="400" w:lineRule="exact"/>
              <w:ind w:left="0" w:firstLine="0"/>
              <w:jc w:val="center"/>
              <w:rPr>
                <w:rFonts w:hAnsi="宋体" w:cs="Times New Roman"/>
                <w:color w:val="000000"/>
                <w:sz w:val="24"/>
                <w:szCs w:val="24"/>
              </w:rPr>
            </w:pPr>
          </w:p>
        </w:tc>
        <w:tc>
          <w:tcPr>
            <w:tcW w:w="905" w:type="dxa"/>
            <w:vAlign w:val="center"/>
          </w:tcPr>
          <w:p w:rsidR="00C47C16" w:rsidRDefault="00C47C16">
            <w:pPr>
              <w:pStyle w:val="10"/>
              <w:widowControl w:val="0"/>
              <w:spacing w:line="400" w:lineRule="exact"/>
              <w:ind w:left="0" w:firstLine="0"/>
              <w:jc w:val="center"/>
              <w:rPr>
                <w:rFonts w:hAnsi="宋体" w:cs="Times New Roman"/>
                <w:color w:val="000000"/>
                <w:sz w:val="24"/>
                <w:szCs w:val="24"/>
              </w:rPr>
            </w:pPr>
          </w:p>
        </w:tc>
      </w:tr>
      <w:tr w:rsidR="00C47C16">
        <w:tc>
          <w:tcPr>
            <w:tcW w:w="677" w:type="dxa"/>
            <w:vAlign w:val="center"/>
          </w:tcPr>
          <w:p w:rsidR="00C47C16" w:rsidRDefault="00C47C16">
            <w:pPr>
              <w:pStyle w:val="10"/>
              <w:widowControl w:val="0"/>
              <w:spacing w:line="400" w:lineRule="exact"/>
              <w:ind w:left="0" w:firstLine="0"/>
              <w:jc w:val="center"/>
              <w:rPr>
                <w:rFonts w:hAnsi="宋体" w:cs="Times New Roman"/>
                <w:color w:val="000000"/>
                <w:sz w:val="24"/>
                <w:szCs w:val="24"/>
              </w:rPr>
            </w:pPr>
          </w:p>
        </w:tc>
        <w:tc>
          <w:tcPr>
            <w:tcW w:w="1309" w:type="dxa"/>
            <w:vAlign w:val="center"/>
          </w:tcPr>
          <w:p w:rsidR="00C47C16" w:rsidRDefault="00C47C16">
            <w:pPr>
              <w:pStyle w:val="10"/>
              <w:widowControl w:val="0"/>
              <w:spacing w:line="400" w:lineRule="exact"/>
              <w:ind w:left="0" w:firstLine="0"/>
              <w:jc w:val="center"/>
              <w:rPr>
                <w:rFonts w:hAnsi="宋体" w:cs="Times New Roman"/>
                <w:color w:val="000000"/>
                <w:sz w:val="24"/>
                <w:szCs w:val="24"/>
              </w:rPr>
            </w:pPr>
          </w:p>
        </w:tc>
        <w:tc>
          <w:tcPr>
            <w:tcW w:w="1942" w:type="dxa"/>
            <w:vAlign w:val="center"/>
          </w:tcPr>
          <w:p w:rsidR="00C47C16" w:rsidRDefault="00C47C16">
            <w:pPr>
              <w:pStyle w:val="10"/>
              <w:widowControl w:val="0"/>
              <w:spacing w:line="400" w:lineRule="exact"/>
              <w:ind w:left="0" w:firstLine="0"/>
              <w:jc w:val="center"/>
              <w:rPr>
                <w:rFonts w:hAnsi="宋体" w:cs="Times New Roman"/>
                <w:color w:val="000000"/>
                <w:sz w:val="24"/>
                <w:szCs w:val="24"/>
              </w:rPr>
            </w:pPr>
          </w:p>
        </w:tc>
        <w:tc>
          <w:tcPr>
            <w:tcW w:w="1145" w:type="dxa"/>
            <w:vAlign w:val="center"/>
          </w:tcPr>
          <w:p w:rsidR="00C47C16" w:rsidRDefault="00C47C16">
            <w:pPr>
              <w:pStyle w:val="10"/>
              <w:widowControl w:val="0"/>
              <w:spacing w:line="400" w:lineRule="exact"/>
              <w:ind w:left="0" w:firstLine="0"/>
              <w:jc w:val="center"/>
              <w:rPr>
                <w:rFonts w:hAnsi="宋体" w:cs="Times New Roman"/>
                <w:color w:val="000000"/>
                <w:sz w:val="24"/>
                <w:szCs w:val="24"/>
              </w:rPr>
            </w:pPr>
          </w:p>
        </w:tc>
        <w:tc>
          <w:tcPr>
            <w:tcW w:w="787" w:type="dxa"/>
            <w:vAlign w:val="center"/>
          </w:tcPr>
          <w:p w:rsidR="00C47C16" w:rsidRDefault="00C47C16">
            <w:pPr>
              <w:pStyle w:val="10"/>
              <w:widowControl w:val="0"/>
              <w:spacing w:line="400" w:lineRule="exact"/>
              <w:ind w:left="0" w:firstLine="0"/>
              <w:jc w:val="center"/>
              <w:rPr>
                <w:rFonts w:hAnsi="宋体" w:cs="Times New Roman"/>
                <w:color w:val="000000"/>
                <w:sz w:val="24"/>
                <w:szCs w:val="24"/>
              </w:rPr>
            </w:pPr>
          </w:p>
        </w:tc>
        <w:tc>
          <w:tcPr>
            <w:tcW w:w="1120" w:type="dxa"/>
            <w:vAlign w:val="center"/>
          </w:tcPr>
          <w:p w:rsidR="00C47C16" w:rsidRDefault="00C47C16">
            <w:pPr>
              <w:pStyle w:val="10"/>
              <w:widowControl w:val="0"/>
              <w:spacing w:line="400" w:lineRule="exact"/>
              <w:ind w:left="0" w:firstLine="0"/>
              <w:jc w:val="center"/>
              <w:rPr>
                <w:rFonts w:hAnsi="宋体" w:cs="Times New Roman"/>
                <w:color w:val="000000"/>
                <w:sz w:val="24"/>
                <w:szCs w:val="24"/>
              </w:rPr>
            </w:pPr>
          </w:p>
        </w:tc>
        <w:tc>
          <w:tcPr>
            <w:tcW w:w="1377" w:type="dxa"/>
            <w:vAlign w:val="center"/>
          </w:tcPr>
          <w:p w:rsidR="00C47C16" w:rsidRDefault="00C47C16">
            <w:pPr>
              <w:pStyle w:val="10"/>
              <w:widowControl w:val="0"/>
              <w:spacing w:line="400" w:lineRule="exact"/>
              <w:ind w:left="0" w:firstLine="0"/>
              <w:jc w:val="center"/>
              <w:rPr>
                <w:rFonts w:hAnsi="宋体" w:cs="Times New Roman"/>
                <w:color w:val="000000"/>
                <w:sz w:val="24"/>
                <w:szCs w:val="24"/>
              </w:rPr>
            </w:pPr>
          </w:p>
        </w:tc>
        <w:tc>
          <w:tcPr>
            <w:tcW w:w="905" w:type="dxa"/>
            <w:vAlign w:val="center"/>
          </w:tcPr>
          <w:p w:rsidR="00C47C16" w:rsidRDefault="00C47C16">
            <w:pPr>
              <w:pStyle w:val="10"/>
              <w:widowControl w:val="0"/>
              <w:spacing w:line="400" w:lineRule="exact"/>
              <w:ind w:left="0" w:firstLine="0"/>
              <w:jc w:val="center"/>
              <w:rPr>
                <w:rFonts w:hAnsi="宋体" w:cs="Times New Roman"/>
                <w:color w:val="000000"/>
                <w:sz w:val="24"/>
                <w:szCs w:val="24"/>
              </w:rPr>
            </w:pPr>
          </w:p>
        </w:tc>
      </w:tr>
      <w:tr w:rsidR="00C47C16">
        <w:tc>
          <w:tcPr>
            <w:tcW w:w="677" w:type="dxa"/>
            <w:vAlign w:val="center"/>
          </w:tcPr>
          <w:p w:rsidR="00C47C16" w:rsidRDefault="00C47C16">
            <w:pPr>
              <w:pStyle w:val="10"/>
              <w:widowControl w:val="0"/>
              <w:spacing w:line="400" w:lineRule="exact"/>
              <w:ind w:left="0" w:firstLine="0"/>
              <w:jc w:val="center"/>
              <w:rPr>
                <w:rFonts w:hAnsi="宋体" w:cs="Times New Roman"/>
                <w:color w:val="000000"/>
                <w:sz w:val="24"/>
                <w:szCs w:val="24"/>
              </w:rPr>
            </w:pPr>
          </w:p>
        </w:tc>
        <w:tc>
          <w:tcPr>
            <w:tcW w:w="1309" w:type="dxa"/>
            <w:vAlign w:val="center"/>
          </w:tcPr>
          <w:p w:rsidR="00C47C16" w:rsidRDefault="00C47C16">
            <w:pPr>
              <w:pStyle w:val="10"/>
              <w:widowControl w:val="0"/>
              <w:spacing w:line="400" w:lineRule="exact"/>
              <w:ind w:left="0" w:firstLine="0"/>
              <w:jc w:val="center"/>
              <w:rPr>
                <w:rFonts w:hAnsi="宋体" w:cs="Times New Roman"/>
                <w:color w:val="000000"/>
                <w:sz w:val="24"/>
                <w:szCs w:val="24"/>
              </w:rPr>
            </w:pPr>
          </w:p>
        </w:tc>
        <w:tc>
          <w:tcPr>
            <w:tcW w:w="1942" w:type="dxa"/>
            <w:vAlign w:val="center"/>
          </w:tcPr>
          <w:p w:rsidR="00C47C16" w:rsidRDefault="00C47C16">
            <w:pPr>
              <w:pStyle w:val="10"/>
              <w:widowControl w:val="0"/>
              <w:spacing w:line="400" w:lineRule="exact"/>
              <w:ind w:left="0" w:firstLine="0"/>
              <w:jc w:val="center"/>
              <w:rPr>
                <w:rFonts w:hAnsi="宋体" w:cs="Times New Roman"/>
                <w:color w:val="000000"/>
                <w:sz w:val="24"/>
                <w:szCs w:val="24"/>
              </w:rPr>
            </w:pPr>
          </w:p>
        </w:tc>
        <w:tc>
          <w:tcPr>
            <w:tcW w:w="1145" w:type="dxa"/>
            <w:vAlign w:val="center"/>
          </w:tcPr>
          <w:p w:rsidR="00C47C16" w:rsidRDefault="00C47C16">
            <w:pPr>
              <w:pStyle w:val="10"/>
              <w:widowControl w:val="0"/>
              <w:spacing w:line="400" w:lineRule="exact"/>
              <w:ind w:left="0" w:firstLine="0"/>
              <w:jc w:val="center"/>
              <w:rPr>
                <w:rFonts w:hAnsi="宋体" w:cs="Times New Roman"/>
                <w:color w:val="000000"/>
                <w:sz w:val="24"/>
                <w:szCs w:val="24"/>
              </w:rPr>
            </w:pPr>
          </w:p>
        </w:tc>
        <w:tc>
          <w:tcPr>
            <w:tcW w:w="787" w:type="dxa"/>
            <w:vAlign w:val="center"/>
          </w:tcPr>
          <w:p w:rsidR="00C47C16" w:rsidRDefault="00C47C16">
            <w:pPr>
              <w:pStyle w:val="10"/>
              <w:widowControl w:val="0"/>
              <w:spacing w:line="400" w:lineRule="exact"/>
              <w:ind w:left="0" w:firstLine="0"/>
              <w:jc w:val="center"/>
              <w:rPr>
                <w:rFonts w:hAnsi="宋体" w:cs="Times New Roman"/>
                <w:color w:val="000000"/>
                <w:sz w:val="24"/>
                <w:szCs w:val="24"/>
              </w:rPr>
            </w:pPr>
          </w:p>
        </w:tc>
        <w:tc>
          <w:tcPr>
            <w:tcW w:w="1120" w:type="dxa"/>
            <w:vAlign w:val="center"/>
          </w:tcPr>
          <w:p w:rsidR="00C47C16" w:rsidRDefault="00C47C16">
            <w:pPr>
              <w:pStyle w:val="10"/>
              <w:widowControl w:val="0"/>
              <w:spacing w:line="400" w:lineRule="exact"/>
              <w:ind w:left="0" w:firstLine="0"/>
              <w:jc w:val="center"/>
              <w:rPr>
                <w:rFonts w:hAnsi="宋体" w:cs="Times New Roman"/>
                <w:color w:val="000000"/>
                <w:sz w:val="24"/>
                <w:szCs w:val="24"/>
              </w:rPr>
            </w:pPr>
          </w:p>
        </w:tc>
        <w:tc>
          <w:tcPr>
            <w:tcW w:w="1377" w:type="dxa"/>
            <w:vAlign w:val="center"/>
          </w:tcPr>
          <w:p w:rsidR="00C47C16" w:rsidRDefault="00C47C16">
            <w:pPr>
              <w:pStyle w:val="10"/>
              <w:widowControl w:val="0"/>
              <w:spacing w:line="400" w:lineRule="exact"/>
              <w:ind w:left="0" w:firstLine="0"/>
              <w:jc w:val="center"/>
              <w:rPr>
                <w:rFonts w:hAnsi="宋体" w:cs="Times New Roman"/>
                <w:color w:val="000000"/>
                <w:sz w:val="24"/>
                <w:szCs w:val="24"/>
              </w:rPr>
            </w:pPr>
          </w:p>
        </w:tc>
        <w:tc>
          <w:tcPr>
            <w:tcW w:w="905" w:type="dxa"/>
            <w:vAlign w:val="center"/>
          </w:tcPr>
          <w:p w:rsidR="00C47C16" w:rsidRDefault="00C47C16">
            <w:pPr>
              <w:pStyle w:val="10"/>
              <w:widowControl w:val="0"/>
              <w:spacing w:line="400" w:lineRule="exact"/>
              <w:ind w:left="0" w:firstLine="0"/>
              <w:jc w:val="center"/>
              <w:rPr>
                <w:rFonts w:hAnsi="宋体" w:cs="Times New Roman"/>
                <w:color w:val="000000"/>
                <w:sz w:val="24"/>
                <w:szCs w:val="24"/>
              </w:rPr>
            </w:pPr>
          </w:p>
        </w:tc>
      </w:tr>
      <w:tr w:rsidR="00C47C16">
        <w:tc>
          <w:tcPr>
            <w:tcW w:w="677" w:type="dxa"/>
            <w:vAlign w:val="center"/>
          </w:tcPr>
          <w:p w:rsidR="00C47C16" w:rsidRDefault="00C47C16">
            <w:pPr>
              <w:pStyle w:val="10"/>
              <w:widowControl w:val="0"/>
              <w:spacing w:line="400" w:lineRule="exact"/>
              <w:ind w:left="0" w:firstLine="0"/>
              <w:jc w:val="center"/>
              <w:rPr>
                <w:rFonts w:hAnsi="宋体" w:cs="Times New Roman"/>
                <w:color w:val="000000"/>
                <w:sz w:val="24"/>
                <w:szCs w:val="24"/>
              </w:rPr>
            </w:pPr>
          </w:p>
        </w:tc>
        <w:tc>
          <w:tcPr>
            <w:tcW w:w="1309" w:type="dxa"/>
            <w:vAlign w:val="center"/>
          </w:tcPr>
          <w:p w:rsidR="00C47C16" w:rsidRDefault="00C47C16">
            <w:pPr>
              <w:pStyle w:val="10"/>
              <w:widowControl w:val="0"/>
              <w:spacing w:line="400" w:lineRule="exact"/>
              <w:ind w:left="0" w:firstLine="0"/>
              <w:jc w:val="center"/>
              <w:rPr>
                <w:rFonts w:hAnsi="宋体" w:cs="Times New Roman"/>
                <w:color w:val="000000"/>
                <w:sz w:val="24"/>
                <w:szCs w:val="24"/>
              </w:rPr>
            </w:pPr>
          </w:p>
        </w:tc>
        <w:tc>
          <w:tcPr>
            <w:tcW w:w="1942" w:type="dxa"/>
            <w:vAlign w:val="center"/>
          </w:tcPr>
          <w:p w:rsidR="00C47C16" w:rsidRDefault="00C47C16">
            <w:pPr>
              <w:pStyle w:val="10"/>
              <w:widowControl w:val="0"/>
              <w:spacing w:line="400" w:lineRule="exact"/>
              <w:ind w:left="0" w:firstLine="0"/>
              <w:jc w:val="center"/>
              <w:rPr>
                <w:rFonts w:hAnsi="宋体" w:cs="Times New Roman"/>
                <w:color w:val="000000"/>
                <w:sz w:val="24"/>
                <w:szCs w:val="24"/>
              </w:rPr>
            </w:pPr>
          </w:p>
        </w:tc>
        <w:tc>
          <w:tcPr>
            <w:tcW w:w="1145" w:type="dxa"/>
            <w:vAlign w:val="center"/>
          </w:tcPr>
          <w:p w:rsidR="00C47C16" w:rsidRDefault="00C47C16">
            <w:pPr>
              <w:pStyle w:val="10"/>
              <w:widowControl w:val="0"/>
              <w:spacing w:line="400" w:lineRule="exact"/>
              <w:ind w:left="0" w:firstLine="0"/>
              <w:jc w:val="center"/>
              <w:rPr>
                <w:rFonts w:hAnsi="宋体" w:cs="Times New Roman"/>
                <w:color w:val="000000"/>
                <w:sz w:val="24"/>
                <w:szCs w:val="24"/>
              </w:rPr>
            </w:pPr>
          </w:p>
        </w:tc>
        <w:tc>
          <w:tcPr>
            <w:tcW w:w="787" w:type="dxa"/>
            <w:vAlign w:val="center"/>
          </w:tcPr>
          <w:p w:rsidR="00C47C16" w:rsidRDefault="00C47C16">
            <w:pPr>
              <w:pStyle w:val="10"/>
              <w:widowControl w:val="0"/>
              <w:spacing w:line="400" w:lineRule="exact"/>
              <w:ind w:left="0" w:firstLine="0"/>
              <w:jc w:val="center"/>
              <w:rPr>
                <w:rFonts w:hAnsi="宋体" w:cs="Times New Roman"/>
                <w:color w:val="000000"/>
                <w:sz w:val="24"/>
                <w:szCs w:val="24"/>
              </w:rPr>
            </w:pPr>
          </w:p>
        </w:tc>
        <w:tc>
          <w:tcPr>
            <w:tcW w:w="1120" w:type="dxa"/>
            <w:vAlign w:val="center"/>
          </w:tcPr>
          <w:p w:rsidR="00C47C16" w:rsidRDefault="00C47C16">
            <w:pPr>
              <w:pStyle w:val="10"/>
              <w:widowControl w:val="0"/>
              <w:spacing w:line="400" w:lineRule="exact"/>
              <w:ind w:left="0" w:firstLine="0"/>
              <w:jc w:val="center"/>
              <w:rPr>
                <w:rFonts w:hAnsi="宋体" w:cs="Times New Roman"/>
                <w:color w:val="000000"/>
                <w:sz w:val="24"/>
                <w:szCs w:val="24"/>
              </w:rPr>
            </w:pPr>
          </w:p>
        </w:tc>
        <w:tc>
          <w:tcPr>
            <w:tcW w:w="1377" w:type="dxa"/>
            <w:vAlign w:val="center"/>
          </w:tcPr>
          <w:p w:rsidR="00C47C16" w:rsidRDefault="00C47C16">
            <w:pPr>
              <w:pStyle w:val="10"/>
              <w:widowControl w:val="0"/>
              <w:spacing w:line="400" w:lineRule="exact"/>
              <w:ind w:left="0" w:firstLine="0"/>
              <w:jc w:val="center"/>
              <w:rPr>
                <w:rFonts w:hAnsi="宋体" w:cs="Times New Roman"/>
                <w:color w:val="000000"/>
                <w:sz w:val="24"/>
                <w:szCs w:val="24"/>
              </w:rPr>
            </w:pPr>
          </w:p>
        </w:tc>
        <w:tc>
          <w:tcPr>
            <w:tcW w:w="905" w:type="dxa"/>
            <w:vAlign w:val="center"/>
          </w:tcPr>
          <w:p w:rsidR="00C47C16" w:rsidRDefault="00C47C16">
            <w:pPr>
              <w:pStyle w:val="10"/>
              <w:widowControl w:val="0"/>
              <w:spacing w:line="400" w:lineRule="exact"/>
              <w:ind w:left="0" w:firstLine="0"/>
              <w:jc w:val="center"/>
              <w:rPr>
                <w:rFonts w:hAnsi="宋体" w:cs="Times New Roman"/>
                <w:color w:val="000000"/>
                <w:sz w:val="24"/>
                <w:szCs w:val="24"/>
              </w:rPr>
            </w:pPr>
          </w:p>
        </w:tc>
      </w:tr>
      <w:tr w:rsidR="00C47C16">
        <w:tc>
          <w:tcPr>
            <w:tcW w:w="1986" w:type="dxa"/>
            <w:gridSpan w:val="2"/>
            <w:vAlign w:val="center"/>
          </w:tcPr>
          <w:p w:rsidR="00C47C16" w:rsidRDefault="009A3095">
            <w:pPr>
              <w:pStyle w:val="10"/>
              <w:widowControl w:val="0"/>
              <w:spacing w:line="400" w:lineRule="exact"/>
              <w:ind w:left="0" w:firstLine="0"/>
              <w:jc w:val="center"/>
              <w:rPr>
                <w:rFonts w:hAnsi="宋体" w:cs="Times New Roman"/>
                <w:b/>
                <w:bCs/>
                <w:color w:val="000000"/>
                <w:sz w:val="24"/>
                <w:szCs w:val="24"/>
              </w:rPr>
            </w:pPr>
            <w:r>
              <w:rPr>
                <w:rFonts w:hAnsi="宋体" w:hint="eastAsia"/>
                <w:b/>
                <w:bCs/>
                <w:color w:val="000000"/>
                <w:sz w:val="24"/>
                <w:szCs w:val="24"/>
              </w:rPr>
              <w:t>合同总价款（大小写）</w:t>
            </w:r>
          </w:p>
        </w:tc>
        <w:tc>
          <w:tcPr>
            <w:tcW w:w="4994" w:type="dxa"/>
            <w:gridSpan w:val="4"/>
            <w:vAlign w:val="center"/>
          </w:tcPr>
          <w:p w:rsidR="00C47C16" w:rsidRDefault="009A3095">
            <w:pPr>
              <w:pStyle w:val="10"/>
              <w:widowControl w:val="0"/>
              <w:spacing w:line="400" w:lineRule="exact"/>
              <w:ind w:left="0" w:firstLine="0"/>
              <w:jc w:val="both"/>
              <w:rPr>
                <w:rFonts w:hAnsi="宋体" w:cs="Times New Roman"/>
                <w:b/>
                <w:bCs/>
                <w:color w:val="000000"/>
                <w:sz w:val="24"/>
                <w:szCs w:val="24"/>
              </w:rPr>
            </w:pPr>
            <w:r>
              <w:rPr>
                <w:rFonts w:hAnsi="宋体" w:hint="eastAsia"/>
                <w:b/>
                <w:bCs/>
                <w:color w:val="000000"/>
                <w:sz w:val="24"/>
                <w:szCs w:val="24"/>
              </w:rPr>
              <w:t>人民币：</w:t>
            </w:r>
          </w:p>
        </w:tc>
        <w:tc>
          <w:tcPr>
            <w:tcW w:w="1377" w:type="dxa"/>
            <w:vAlign w:val="center"/>
          </w:tcPr>
          <w:p w:rsidR="00C47C16" w:rsidRDefault="00C47C16">
            <w:pPr>
              <w:pStyle w:val="10"/>
              <w:widowControl w:val="0"/>
              <w:spacing w:line="400" w:lineRule="exact"/>
              <w:ind w:left="0" w:firstLine="0"/>
              <w:jc w:val="center"/>
              <w:rPr>
                <w:rFonts w:hAnsi="宋体" w:cs="Times New Roman"/>
                <w:color w:val="000000"/>
                <w:sz w:val="24"/>
                <w:szCs w:val="24"/>
              </w:rPr>
            </w:pPr>
          </w:p>
        </w:tc>
        <w:tc>
          <w:tcPr>
            <w:tcW w:w="905" w:type="dxa"/>
            <w:vAlign w:val="center"/>
          </w:tcPr>
          <w:p w:rsidR="00C47C16" w:rsidRDefault="00C47C16">
            <w:pPr>
              <w:pStyle w:val="10"/>
              <w:widowControl w:val="0"/>
              <w:spacing w:line="400" w:lineRule="exact"/>
              <w:ind w:left="0" w:firstLine="0"/>
              <w:jc w:val="center"/>
              <w:rPr>
                <w:rFonts w:hAnsi="宋体" w:cs="Times New Roman"/>
                <w:color w:val="000000"/>
                <w:sz w:val="24"/>
                <w:szCs w:val="24"/>
              </w:rPr>
            </w:pPr>
          </w:p>
        </w:tc>
      </w:tr>
    </w:tbl>
    <w:p w:rsidR="00C47C16" w:rsidRDefault="009A3095">
      <w:pPr>
        <w:pStyle w:val="10"/>
        <w:spacing w:line="360" w:lineRule="auto"/>
        <w:ind w:left="0" w:firstLine="0"/>
        <w:jc w:val="both"/>
        <w:rPr>
          <w:rFonts w:asciiTheme="minorEastAsia" w:eastAsiaTheme="minorEastAsia" w:hAnsiTheme="minorEastAsia" w:cstheme="minorEastAsia"/>
          <w:sz w:val="24"/>
          <w:szCs w:val="24"/>
        </w:rPr>
      </w:pPr>
      <w:r>
        <w:rPr>
          <w:rFonts w:asciiTheme="minorEastAsia" w:eastAsiaTheme="minorEastAsia" w:hAnsiTheme="minorEastAsia" w:cstheme="minorEastAsia" w:hint="eastAsia"/>
          <w:b/>
          <w:bCs/>
          <w:color w:val="000000"/>
          <w:sz w:val="24"/>
          <w:szCs w:val="24"/>
        </w:rPr>
        <w:t>说明：</w:t>
      </w:r>
      <w:r>
        <w:rPr>
          <w:rFonts w:asciiTheme="minorEastAsia" w:eastAsiaTheme="minorEastAsia" w:hAnsiTheme="minorEastAsia" w:cstheme="minorEastAsia" w:hint="eastAsia"/>
          <w:sz w:val="24"/>
          <w:szCs w:val="24"/>
        </w:rPr>
        <w:t>上述产品价格包含产品生产、运输&lt;送达至甲方指定地点并下货&gt;、安装、调试、培训、检验及售后服务、税金、劳保基金及应承担的风险以及必要的原有设备拆除费等全部费用。</w:t>
      </w:r>
    </w:p>
    <w:p w:rsidR="00C47C16" w:rsidRDefault="009A3095">
      <w:pPr>
        <w:pStyle w:val="10"/>
        <w:spacing w:line="360" w:lineRule="auto"/>
        <w:ind w:left="0" w:firstLine="0"/>
        <w:jc w:val="both"/>
        <w:rPr>
          <w:rFonts w:asciiTheme="minorEastAsia" w:eastAsiaTheme="minorEastAsia" w:hAnsiTheme="minorEastAsia" w:cstheme="minorEastAsia"/>
          <w:b/>
          <w:bCs/>
          <w:sz w:val="24"/>
          <w:szCs w:val="24"/>
        </w:rPr>
      </w:pPr>
      <w:r>
        <w:rPr>
          <w:rFonts w:asciiTheme="minorEastAsia" w:eastAsiaTheme="minorEastAsia" w:hAnsiTheme="minorEastAsia" w:cstheme="minorEastAsia" w:hint="eastAsia"/>
          <w:b/>
          <w:bCs/>
          <w:sz w:val="24"/>
          <w:szCs w:val="24"/>
        </w:rPr>
        <w:t>2.合同金额</w:t>
      </w:r>
    </w:p>
    <w:p w:rsidR="00C47C16" w:rsidRDefault="009A3095">
      <w:pPr>
        <w:pStyle w:val="10"/>
        <w:spacing w:line="360" w:lineRule="auto"/>
        <w:ind w:left="0" w:firstLineChars="200" w:firstLine="480"/>
        <w:jc w:val="both"/>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根据招标文件要求及乙方承诺，本合同的总金额为元(人民币大写：),分项价格在乙方投标书的投标报价表中有明确规定。</w:t>
      </w:r>
    </w:p>
    <w:p w:rsidR="00C47C16" w:rsidRDefault="009A3095">
      <w:pPr>
        <w:pStyle w:val="10"/>
        <w:spacing w:line="360" w:lineRule="auto"/>
        <w:ind w:left="0" w:firstLine="0"/>
        <w:jc w:val="both"/>
        <w:rPr>
          <w:rFonts w:asciiTheme="minorEastAsia" w:eastAsiaTheme="minorEastAsia" w:hAnsiTheme="minorEastAsia" w:cstheme="minorEastAsia"/>
          <w:b/>
          <w:bCs/>
          <w:sz w:val="24"/>
          <w:szCs w:val="24"/>
        </w:rPr>
      </w:pPr>
      <w:r>
        <w:rPr>
          <w:rFonts w:asciiTheme="minorEastAsia" w:eastAsiaTheme="minorEastAsia" w:hAnsiTheme="minorEastAsia" w:cstheme="minorEastAsia" w:hint="eastAsia"/>
          <w:b/>
          <w:bCs/>
          <w:sz w:val="24"/>
          <w:szCs w:val="24"/>
        </w:rPr>
        <w:t>3.付款条件</w:t>
      </w:r>
    </w:p>
    <w:p w:rsidR="00C47C16" w:rsidRDefault="009A3095">
      <w:pPr>
        <w:pStyle w:val="10"/>
        <w:spacing w:line="360" w:lineRule="auto"/>
        <w:ind w:left="0" w:firstLineChars="200" w:firstLine="480"/>
        <w:jc w:val="both"/>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采购项目完成并经甲方验收合格后，根据乙方提供合法、有效、完整的发票，由甲方通过“省监管服务平台”上传验收报告、发票原件等信息。经财政部门审核后，由甲方按申报的资金支付方式，在10个工作日内向乙方支付合同价款。</w:t>
      </w:r>
    </w:p>
    <w:p w:rsidR="00C47C16" w:rsidRDefault="009A3095">
      <w:pPr>
        <w:pStyle w:val="10"/>
        <w:spacing w:line="360" w:lineRule="auto"/>
        <w:ind w:left="0" w:firstLine="0"/>
        <w:jc w:val="both"/>
        <w:rPr>
          <w:rFonts w:asciiTheme="minorEastAsia" w:eastAsiaTheme="minorEastAsia" w:hAnsiTheme="minorEastAsia" w:cstheme="minorEastAsia"/>
          <w:b/>
          <w:bCs/>
          <w:sz w:val="24"/>
          <w:szCs w:val="24"/>
        </w:rPr>
      </w:pPr>
      <w:r>
        <w:rPr>
          <w:rFonts w:asciiTheme="minorEastAsia" w:eastAsiaTheme="minorEastAsia" w:hAnsiTheme="minorEastAsia" w:cstheme="minorEastAsia" w:hint="eastAsia"/>
          <w:b/>
          <w:bCs/>
          <w:sz w:val="24"/>
          <w:szCs w:val="24"/>
        </w:rPr>
        <w:t>4.产品的技术标准（包括产品质量）</w:t>
      </w:r>
    </w:p>
    <w:p w:rsidR="00C47C16" w:rsidRDefault="009A3095">
      <w:pPr>
        <w:pStyle w:val="10"/>
        <w:spacing w:line="360" w:lineRule="auto"/>
        <w:ind w:left="0" w:firstLineChars="200" w:firstLine="480"/>
        <w:jc w:val="both"/>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乙方提供和交付的货物技术标准应与招标文件规定的技术标准相一致。若技术标准中无相应规定，所投货物应符合相应的国家标准或原产地国家有关部门最新颁布的相应的正式标准。</w:t>
      </w:r>
    </w:p>
    <w:p w:rsidR="00C47C16" w:rsidRDefault="009A3095">
      <w:pPr>
        <w:pStyle w:val="10"/>
        <w:spacing w:line="360" w:lineRule="auto"/>
        <w:ind w:left="0" w:firstLineChars="200" w:firstLine="480"/>
        <w:jc w:val="both"/>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乙方所提供的货物应是全新、未使用过的，是完全符合以上质量标准的正品；相关的施工安装是由持有有权部门核发上岗证书的安装调试人员按照国际或国家现行安装验收规范来实施的；乙方所提供的货物在正确安装、正常使用和保养条件下，在其使用寿命内应具有满意的性能。</w:t>
      </w:r>
    </w:p>
    <w:p w:rsidR="00C47C16" w:rsidRDefault="009A3095">
      <w:pPr>
        <w:spacing w:line="360" w:lineRule="auto"/>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5.项目完成时间</w:t>
      </w:r>
    </w:p>
    <w:p w:rsidR="00C47C16" w:rsidRDefault="009A3095">
      <w:pPr>
        <w:pStyle w:val="10"/>
        <w:spacing w:line="360" w:lineRule="auto"/>
        <w:ind w:left="0" w:firstLineChars="200" w:firstLine="480"/>
        <w:jc w:val="both"/>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lastRenderedPageBreak/>
        <w:t>乙方应于合同签字生效后开始计算的日内，完成合同规定的全部责任与义务，提交一份完整的自我验收报告，由甲方进行验收。</w:t>
      </w:r>
    </w:p>
    <w:p w:rsidR="00C47C16" w:rsidRDefault="009A3095">
      <w:pPr>
        <w:pStyle w:val="10"/>
        <w:spacing w:line="360" w:lineRule="auto"/>
        <w:ind w:left="0" w:firstLine="0"/>
        <w:jc w:val="both"/>
        <w:rPr>
          <w:rFonts w:asciiTheme="minorEastAsia" w:eastAsiaTheme="minorEastAsia" w:hAnsiTheme="minorEastAsia" w:cstheme="minorEastAsia"/>
          <w:b/>
          <w:bCs/>
          <w:sz w:val="24"/>
          <w:szCs w:val="24"/>
        </w:rPr>
      </w:pPr>
      <w:r>
        <w:rPr>
          <w:rFonts w:asciiTheme="minorEastAsia" w:eastAsiaTheme="minorEastAsia" w:hAnsiTheme="minorEastAsia" w:cstheme="minorEastAsia" w:hint="eastAsia"/>
          <w:b/>
          <w:bCs/>
          <w:sz w:val="24"/>
          <w:szCs w:val="24"/>
        </w:rPr>
        <w:t>6.验收</w:t>
      </w:r>
    </w:p>
    <w:p w:rsidR="00C47C16" w:rsidRDefault="009A3095">
      <w:pPr>
        <w:pStyle w:val="10"/>
        <w:spacing w:line="360" w:lineRule="auto"/>
        <w:ind w:left="0" w:firstLine="0"/>
        <w:jc w:val="both"/>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（1）乙方安装调试后，在   天内通知甲方组织验收。验收不合格的，乙方应负责重新提供达到本合同约定的质量要求的产品。</w:t>
      </w:r>
    </w:p>
    <w:p w:rsidR="00C47C16" w:rsidRDefault="009A3095">
      <w:pPr>
        <w:pStyle w:val="10"/>
        <w:spacing w:line="360" w:lineRule="auto"/>
        <w:ind w:left="0" w:firstLine="0"/>
        <w:jc w:val="both"/>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（2）甲、乙双方应严格履行合同有关条款，如果验收过程中发现乙方在没有征得甲方同意的情况下擅自变更合同标的物，将拒绝通过验收，由此引起的一切后果及损失由乙方承担。</w:t>
      </w:r>
    </w:p>
    <w:p w:rsidR="00C47C16" w:rsidRDefault="009A3095">
      <w:pPr>
        <w:pStyle w:val="10"/>
        <w:spacing w:line="360" w:lineRule="auto"/>
        <w:ind w:left="0" w:firstLine="0"/>
        <w:jc w:val="both"/>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3）甲方验收时，应成立三人以上（由甲、乙双方、资产管理和使用人、技术人员、监察等相关人员组成）的验收小组，明确责任，严格依照采购文件、中标（成交）通知书、政府采购合同及相关验收规范进行核对、验收，形成验收结论。</w:t>
      </w:r>
    </w:p>
    <w:p w:rsidR="00C47C16" w:rsidRDefault="009A3095">
      <w:pPr>
        <w:pStyle w:val="10"/>
        <w:spacing w:line="360" w:lineRule="auto"/>
        <w:ind w:left="0" w:firstLine="0"/>
        <w:jc w:val="both"/>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（4）涉及安全、消防、环保等其他需要由质检或行业主管部门进行验收的项目，必须邀请相关部门或相关专家参与验收。</w:t>
      </w:r>
    </w:p>
    <w:p w:rsidR="00C47C16" w:rsidRDefault="009A3095">
      <w:pPr>
        <w:pStyle w:val="10"/>
        <w:spacing w:line="360" w:lineRule="auto"/>
        <w:ind w:left="0" w:firstLineChars="200" w:firstLine="480"/>
        <w:jc w:val="both"/>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检测、验收费用均由乙方承担。</w:t>
      </w:r>
    </w:p>
    <w:p w:rsidR="00C47C16" w:rsidRDefault="009A3095">
      <w:pPr>
        <w:pStyle w:val="10"/>
        <w:spacing w:line="360" w:lineRule="auto"/>
        <w:ind w:left="0" w:firstLine="0"/>
        <w:jc w:val="both"/>
        <w:rPr>
          <w:rFonts w:asciiTheme="minorEastAsia" w:eastAsiaTheme="minorEastAsia" w:hAnsiTheme="minorEastAsia" w:cstheme="minorEastAsia"/>
          <w:b/>
          <w:bCs/>
          <w:sz w:val="24"/>
          <w:szCs w:val="24"/>
        </w:rPr>
      </w:pPr>
      <w:r>
        <w:rPr>
          <w:rFonts w:asciiTheme="minorEastAsia" w:eastAsiaTheme="minorEastAsia" w:hAnsiTheme="minorEastAsia" w:cstheme="minorEastAsia" w:hint="eastAsia"/>
          <w:b/>
          <w:bCs/>
          <w:sz w:val="24"/>
          <w:szCs w:val="24"/>
        </w:rPr>
        <w:t xml:space="preserve"> 7.对产品提出异议的时间和办法</w:t>
      </w:r>
    </w:p>
    <w:p w:rsidR="00C47C16" w:rsidRDefault="009A3095">
      <w:pPr>
        <w:pStyle w:val="10"/>
        <w:spacing w:line="360" w:lineRule="auto"/>
        <w:ind w:left="0" w:firstLine="0"/>
        <w:jc w:val="both"/>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（1）甲方在验收中，如果发现产品不符合合同约定的，应一面妥为保管，一面在 个工作日内向乙方书面提出异议，并抄送交易中心。具体说明产品不符合规定的内容并附相关验收材料，同时提出不符合规定产品的处理意见。如果安装质量及标准不符合甲方招标文件及甲方其它合理化要求，乙方必须按甲方要求进行整改。</w:t>
      </w:r>
    </w:p>
    <w:p w:rsidR="00C47C16" w:rsidRDefault="009A3095">
      <w:pPr>
        <w:pStyle w:val="10"/>
        <w:spacing w:line="360" w:lineRule="auto"/>
        <w:ind w:left="0" w:firstLine="0"/>
        <w:jc w:val="both"/>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（2）乙方在接到甲方异议后，应在个工作日内负责处理，否则，即视为默认甲方提出的异议和处理意见。</w:t>
      </w:r>
    </w:p>
    <w:p w:rsidR="00C47C16" w:rsidRDefault="009A3095">
      <w:pPr>
        <w:pStyle w:val="10"/>
        <w:spacing w:line="360" w:lineRule="auto"/>
        <w:ind w:left="0" w:firstLine="0"/>
        <w:jc w:val="both"/>
        <w:rPr>
          <w:rFonts w:asciiTheme="minorEastAsia" w:eastAsiaTheme="minorEastAsia" w:hAnsiTheme="minorEastAsia" w:cstheme="minorEastAsia"/>
          <w:b/>
          <w:bCs/>
          <w:sz w:val="24"/>
          <w:szCs w:val="24"/>
        </w:rPr>
      </w:pPr>
      <w:r>
        <w:rPr>
          <w:rFonts w:asciiTheme="minorEastAsia" w:eastAsiaTheme="minorEastAsia" w:hAnsiTheme="minorEastAsia" w:cstheme="minorEastAsia" w:hint="eastAsia"/>
          <w:b/>
          <w:bCs/>
          <w:sz w:val="24"/>
          <w:szCs w:val="24"/>
        </w:rPr>
        <w:t xml:space="preserve"> 8.技术支持和售后服务</w:t>
      </w:r>
    </w:p>
    <w:p w:rsidR="00C47C16" w:rsidRDefault="009A3095">
      <w:pPr>
        <w:pStyle w:val="10"/>
        <w:spacing w:line="360" w:lineRule="auto"/>
        <w:ind w:left="0" w:firstLineChars="200" w:firstLine="480"/>
        <w:jc w:val="both"/>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乙方应提供完善周到的技术支持和售后服务，否则，甲方有权视情节轻重扣除乙方部分或全部履约保证金作为补偿。</w:t>
      </w:r>
    </w:p>
    <w:p w:rsidR="00C47C16" w:rsidRDefault="009A3095">
      <w:pPr>
        <w:pStyle w:val="10"/>
        <w:spacing w:line="360" w:lineRule="auto"/>
        <w:ind w:left="0" w:firstLine="0"/>
        <w:jc w:val="both"/>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（1）保修：</w:t>
      </w:r>
    </w:p>
    <w:p w:rsidR="00C47C16" w:rsidRDefault="009A3095">
      <w:pPr>
        <w:pStyle w:val="10"/>
        <w:spacing w:line="360" w:lineRule="auto"/>
        <w:ind w:left="0" w:firstLineChars="200" w:firstLine="480"/>
        <w:jc w:val="both"/>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乙方对其所提供的货物免费维护维修年，期限从验收合格之日开始。</w:t>
      </w:r>
      <w:r>
        <w:rPr>
          <w:rFonts w:asciiTheme="minorEastAsia" w:eastAsiaTheme="minorEastAsia" w:hAnsiTheme="minorEastAsia" w:cstheme="minorEastAsia" w:hint="eastAsia"/>
          <w:color w:val="000000"/>
          <w:sz w:val="24"/>
          <w:szCs w:val="24"/>
          <w:lang w:val="zh-CN"/>
        </w:rPr>
        <w:t>在免费服务期限内，乙方为甲方免费提供各种技术服务，包括解决系统本身出现的功能问题(必要时上门解决)；提供7*24小时电话及网络服务。</w:t>
      </w:r>
      <w:r>
        <w:rPr>
          <w:rFonts w:asciiTheme="minorEastAsia" w:eastAsiaTheme="minorEastAsia" w:hAnsiTheme="minorEastAsia" w:cstheme="minorEastAsia" w:hint="eastAsia"/>
          <w:sz w:val="24"/>
          <w:szCs w:val="24"/>
        </w:rPr>
        <w:t>乙方接到报修通知后</w:t>
      </w:r>
      <w:r>
        <w:rPr>
          <w:rFonts w:asciiTheme="minorEastAsia" w:eastAsiaTheme="minorEastAsia" w:hAnsiTheme="minorEastAsia" w:cstheme="minorEastAsia" w:hint="eastAsia"/>
          <w:sz w:val="24"/>
          <w:szCs w:val="24"/>
        </w:rPr>
        <w:lastRenderedPageBreak/>
        <w:t>应于小时内反应，如需上门维修应于日内上门维修，负责更换有瑕疵的货物、部件或提供相应的质量保证期内的服务。否则，由此造成的损失，甲方保留索赔的权利。</w:t>
      </w:r>
    </w:p>
    <w:p w:rsidR="00C47C16" w:rsidRDefault="009A3095">
      <w:pPr>
        <w:pStyle w:val="10"/>
        <w:spacing w:line="360" w:lineRule="auto"/>
        <w:ind w:left="0" w:firstLineChars="250" w:firstLine="600"/>
        <w:jc w:val="both"/>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如果乙方在收到报修通知后天内没有弥补缺陷，甲方可采取必要的补救措施，但费用和风险由乙方承担。</w:t>
      </w:r>
    </w:p>
    <w:p w:rsidR="00C47C16" w:rsidRDefault="009A3095">
      <w:pPr>
        <w:pStyle w:val="10"/>
        <w:spacing w:line="360" w:lineRule="auto"/>
        <w:ind w:left="0" w:firstLineChars="200" w:firstLine="480"/>
        <w:jc w:val="both"/>
        <w:rPr>
          <w:rFonts w:asciiTheme="minorEastAsia" w:eastAsiaTheme="minorEastAsia" w:hAnsiTheme="minorEastAsia" w:cstheme="minorEastAsia"/>
          <w:color w:val="000000"/>
          <w:sz w:val="24"/>
          <w:szCs w:val="24"/>
          <w:lang w:val="zh-CN"/>
        </w:rPr>
      </w:pPr>
      <w:r>
        <w:rPr>
          <w:rFonts w:asciiTheme="minorEastAsia" w:eastAsiaTheme="minorEastAsia" w:hAnsiTheme="minorEastAsia" w:cstheme="minorEastAsia" w:hint="eastAsia"/>
          <w:color w:val="000000"/>
          <w:sz w:val="24"/>
          <w:szCs w:val="24"/>
          <w:lang w:val="zh-CN"/>
        </w:rPr>
        <w:t>乙方须按甲方的要求，免费为甲方提供培训。</w:t>
      </w:r>
    </w:p>
    <w:p w:rsidR="00C47C16" w:rsidRDefault="009A3095">
      <w:pPr>
        <w:pStyle w:val="10"/>
        <w:spacing w:line="360" w:lineRule="auto"/>
        <w:ind w:left="0" w:firstLine="0"/>
        <w:jc w:val="both"/>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（2）维修：</w:t>
      </w:r>
    </w:p>
    <w:p w:rsidR="00C47C16" w:rsidRDefault="009A3095">
      <w:pPr>
        <w:pStyle w:val="10"/>
        <w:spacing w:line="360" w:lineRule="auto"/>
        <w:ind w:left="0" w:firstLineChars="250" w:firstLine="600"/>
        <w:jc w:val="both"/>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保修期（质保期）届满后，乙方应对其提供的货物负有维修义务，但所涉及的费用由甲方承担。</w:t>
      </w:r>
    </w:p>
    <w:p w:rsidR="00C47C16" w:rsidRDefault="009A3095">
      <w:pPr>
        <w:pStyle w:val="10"/>
        <w:spacing w:line="360" w:lineRule="auto"/>
        <w:ind w:left="0" w:firstLine="0"/>
        <w:jc w:val="both"/>
        <w:rPr>
          <w:rFonts w:asciiTheme="minorEastAsia" w:eastAsiaTheme="minorEastAsia" w:hAnsiTheme="minorEastAsia" w:cstheme="minorEastAsia"/>
          <w:b/>
          <w:bCs/>
          <w:sz w:val="24"/>
          <w:szCs w:val="24"/>
        </w:rPr>
      </w:pPr>
      <w:r>
        <w:rPr>
          <w:rFonts w:asciiTheme="minorEastAsia" w:eastAsiaTheme="minorEastAsia" w:hAnsiTheme="minorEastAsia" w:cstheme="minorEastAsia" w:hint="eastAsia"/>
          <w:b/>
          <w:bCs/>
          <w:sz w:val="24"/>
          <w:szCs w:val="24"/>
        </w:rPr>
        <w:t xml:space="preserve"> 9.乙方的违约责任</w:t>
      </w:r>
    </w:p>
    <w:p w:rsidR="00C47C16" w:rsidRDefault="009A3095">
      <w:pPr>
        <w:pStyle w:val="10"/>
        <w:spacing w:line="360" w:lineRule="auto"/>
        <w:ind w:left="0" w:firstLine="0"/>
        <w:jc w:val="both"/>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（1）乙方不能交货的，应承担由此给甲方造成的全部经济损失并向甲方偿付不能交货部分货款的%的违约金。</w:t>
      </w:r>
    </w:p>
    <w:p w:rsidR="00C47C16" w:rsidRDefault="009A3095">
      <w:pPr>
        <w:pStyle w:val="10"/>
        <w:spacing w:line="360" w:lineRule="auto"/>
        <w:ind w:left="0" w:firstLine="0"/>
        <w:jc w:val="both"/>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2）乙方所交产品不符合合同规定的，如果甲方同意利用，应当按质论价；如果甲方不能利用的，应根据产品的具体情况，由乙方负责包换或包修，并承担修理、调换或退货而支付的实际费用,同时，乙方应按规定，对更换件相应延长质量保证期，并赔偿甲方相应的损失。乙方不能修理或者不能调换的，按不能交货处理。</w:t>
      </w:r>
    </w:p>
    <w:p w:rsidR="00C47C16" w:rsidRDefault="009A3095">
      <w:pPr>
        <w:pStyle w:val="10"/>
        <w:spacing w:line="360" w:lineRule="auto"/>
        <w:ind w:left="0" w:firstLine="0"/>
        <w:jc w:val="both"/>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3）乙方因产品包装不符合合同规定，必须返修或重新包装的，乙方应负责返修或重包装，并承担支付的费用。甲方不要求返修或重新包装而要求赔偿损失的，乙方应当偿付甲方该不合格包装物低于合格包装物的价值部分。因包装不符合规定造成货物损坏或灭失的，乙方应当负责赔偿。每件货物包装箱内应附一份详细装箱单和质量证书。为进口件的，应出具报关手续和原产地、原产工厂证明、报关手续和商检证明等。</w:t>
      </w:r>
    </w:p>
    <w:p w:rsidR="00C47C16" w:rsidRDefault="009A3095">
      <w:pPr>
        <w:pStyle w:val="10"/>
        <w:spacing w:line="360" w:lineRule="auto"/>
        <w:ind w:left="0" w:firstLine="0"/>
        <w:jc w:val="both"/>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4）如果乙方没有按照规定的时间交货、完成货物安装和提供服务，应向甲方支付违约金，违约金从履约保证金中扣除，按每迟1天扣除履约保证金金额的%计收。但违约金的最高限额为合同履约保证金的总额。如果达到最高限额，甲方应考虑终止合同，由此给甲方造成的损失由乙方承担。</w:t>
      </w:r>
    </w:p>
    <w:p w:rsidR="00C47C16" w:rsidRDefault="009A3095">
      <w:pPr>
        <w:pStyle w:val="10"/>
        <w:spacing w:line="360" w:lineRule="auto"/>
        <w:ind w:left="0" w:firstLine="0"/>
        <w:jc w:val="both"/>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lastRenderedPageBreak/>
        <w:t>（5）乙方提前交货的产品、多交的产品和不符合合同规定的产品，甲方在代保管期内实际支付的保管、保养等费用以及非因甲方保管不善而发生的损失，应当由乙方承担。</w:t>
      </w:r>
    </w:p>
    <w:p w:rsidR="00C47C16" w:rsidRDefault="009A3095">
      <w:pPr>
        <w:pStyle w:val="10"/>
        <w:spacing w:line="360" w:lineRule="auto"/>
        <w:ind w:left="0" w:firstLine="0"/>
        <w:jc w:val="both"/>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（6）乙方应对其所提供的货物承担所有权担保责任，并应保证甲方在中华人民共和国内使用该货物时不侵犯第三人的知识产权。否则乙方应承担由此引起的一切法律责任及费用。</w:t>
      </w:r>
    </w:p>
    <w:p w:rsidR="00C47C16" w:rsidRDefault="009A3095">
      <w:pPr>
        <w:pStyle w:val="10"/>
        <w:spacing w:line="360" w:lineRule="auto"/>
        <w:ind w:left="0" w:firstLine="0"/>
        <w:jc w:val="both"/>
        <w:rPr>
          <w:rFonts w:asciiTheme="minorEastAsia" w:eastAsiaTheme="minorEastAsia" w:hAnsiTheme="minorEastAsia" w:cstheme="minorEastAsia"/>
          <w:b/>
          <w:bCs/>
          <w:sz w:val="24"/>
          <w:szCs w:val="24"/>
        </w:rPr>
      </w:pPr>
      <w:r>
        <w:rPr>
          <w:rFonts w:asciiTheme="minorEastAsia" w:eastAsiaTheme="minorEastAsia" w:hAnsiTheme="minorEastAsia" w:cstheme="minorEastAsia" w:hint="eastAsia"/>
          <w:b/>
          <w:bCs/>
          <w:sz w:val="24"/>
          <w:szCs w:val="24"/>
        </w:rPr>
        <w:t>10.甲方的违约责任</w:t>
      </w:r>
    </w:p>
    <w:p w:rsidR="00C47C16" w:rsidRDefault="009A3095">
      <w:pPr>
        <w:pStyle w:val="10"/>
        <w:spacing w:line="360" w:lineRule="auto"/>
        <w:ind w:left="0" w:firstLineChars="150" w:firstLine="360"/>
        <w:jc w:val="both"/>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（1）甲方中途无故退货，应向乙方偿付退货部分货款%的违约金。</w:t>
      </w:r>
    </w:p>
    <w:p w:rsidR="00C47C16" w:rsidRDefault="009A3095">
      <w:pPr>
        <w:pStyle w:val="10"/>
        <w:spacing w:line="360" w:lineRule="auto"/>
        <w:ind w:left="0" w:firstLineChars="150" w:firstLine="360"/>
        <w:jc w:val="both"/>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（2）甲方违反合同规定无故拒绝接货的，应当承担由此造成的损失。</w:t>
      </w:r>
    </w:p>
    <w:p w:rsidR="00C47C16" w:rsidRDefault="009A3095">
      <w:pPr>
        <w:pStyle w:val="10"/>
        <w:spacing w:line="360" w:lineRule="auto"/>
        <w:ind w:left="0" w:firstLine="0"/>
        <w:jc w:val="both"/>
        <w:rPr>
          <w:rFonts w:asciiTheme="minorEastAsia" w:eastAsiaTheme="minorEastAsia" w:hAnsiTheme="minorEastAsia" w:cstheme="minorEastAsia"/>
          <w:b/>
          <w:bCs/>
          <w:sz w:val="24"/>
          <w:szCs w:val="24"/>
        </w:rPr>
      </w:pPr>
      <w:r>
        <w:rPr>
          <w:rFonts w:asciiTheme="minorEastAsia" w:eastAsiaTheme="minorEastAsia" w:hAnsiTheme="minorEastAsia" w:cstheme="minorEastAsia" w:hint="eastAsia"/>
          <w:b/>
          <w:bCs/>
          <w:sz w:val="24"/>
          <w:szCs w:val="24"/>
        </w:rPr>
        <w:t>11.履约保证金</w:t>
      </w:r>
    </w:p>
    <w:p w:rsidR="00C47C16" w:rsidRDefault="009A3095">
      <w:pPr>
        <w:pStyle w:val="10"/>
        <w:spacing w:line="360" w:lineRule="auto"/>
        <w:ind w:left="0" w:firstLineChars="150" w:firstLine="360"/>
        <w:jc w:val="both"/>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（1）本项目履约保证金为(人民币),收受人为</w:t>
      </w:r>
      <w:r>
        <w:rPr>
          <w:rFonts w:asciiTheme="minorEastAsia" w:eastAsiaTheme="minorEastAsia" w:hAnsiTheme="minorEastAsia" w:cstheme="minorEastAsia" w:hint="eastAsia"/>
          <w:sz w:val="24"/>
          <w:szCs w:val="24"/>
          <w:u w:val="single"/>
        </w:rPr>
        <w:t xml:space="preserve"> 铜陵学院</w:t>
      </w:r>
      <w:r>
        <w:rPr>
          <w:rFonts w:asciiTheme="minorEastAsia" w:eastAsiaTheme="minorEastAsia" w:hAnsiTheme="minorEastAsia" w:cstheme="minorEastAsia" w:hint="eastAsia"/>
          <w:sz w:val="24"/>
          <w:szCs w:val="24"/>
        </w:rPr>
        <w:t>，期限至。</w:t>
      </w:r>
    </w:p>
    <w:p w:rsidR="00C47C16" w:rsidRDefault="009A3095">
      <w:pPr>
        <w:pStyle w:val="10"/>
        <w:spacing w:line="360" w:lineRule="auto"/>
        <w:ind w:left="0" w:firstLineChars="150" w:firstLine="360"/>
        <w:jc w:val="both"/>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（2）乙方提供的履约保证金按规定格式以形式提供的，与此有关的费用由乙方承担。</w:t>
      </w:r>
    </w:p>
    <w:p w:rsidR="00C47C16" w:rsidRDefault="009A3095">
      <w:pPr>
        <w:pStyle w:val="10"/>
        <w:spacing w:line="360" w:lineRule="auto"/>
        <w:ind w:left="0" w:firstLineChars="150" w:firstLine="360"/>
        <w:jc w:val="both"/>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（3）如乙方未能履行其合同规定的任何义务，甲方有权从履约保证金中取得补偿。</w:t>
      </w:r>
    </w:p>
    <w:p w:rsidR="00C47C16" w:rsidRDefault="009A3095">
      <w:pPr>
        <w:pStyle w:val="10"/>
        <w:spacing w:line="360" w:lineRule="auto"/>
        <w:ind w:left="0" w:firstLine="0"/>
        <w:jc w:val="both"/>
        <w:rPr>
          <w:rFonts w:asciiTheme="minorEastAsia" w:eastAsiaTheme="minorEastAsia" w:hAnsiTheme="minorEastAsia" w:cstheme="minorEastAsia"/>
          <w:b/>
          <w:bCs/>
          <w:sz w:val="24"/>
          <w:szCs w:val="24"/>
        </w:rPr>
      </w:pPr>
      <w:r>
        <w:rPr>
          <w:rFonts w:asciiTheme="minorEastAsia" w:eastAsiaTheme="minorEastAsia" w:hAnsiTheme="minorEastAsia" w:cstheme="minorEastAsia" w:hint="eastAsia"/>
          <w:b/>
          <w:bCs/>
          <w:sz w:val="24"/>
          <w:szCs w:val="24"/>
        </w:rPr>
        <w:t>12.组成合同的文件</w:t>
      </w:r>
    </w:p>
    <w:p w:rsidR="00C47C16" w:rsidRDefault="009A3095">
      <w:pPr>
        <w:pStyle w:val="10"/>
        <w:spacing w:line="360" w:lineRule="auto"/>
        <w:ind w:left="0" w:firstLineChars="200" w:firstLine="480"/>
        <w:jc w:val="both"/>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组成本合同的文件包括：</w:t>
      </w:r>
    </w:p>
    <w:p w:rsidR="00C47C16" w:rsidRDefault="009A3095">
      <w:pPr>
        <w:pStyle w:val="10"/>
        <w:spacing w:line="360" w:lineRule="auto"/>
        <w:ind w:left="0" w:firstLineChars="200" w:firstLine="480"/>
        <w:jc w:val="both"/>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（1）本项目招标文件及答疑、更正公告；</w:t>
      </w:r>
    </w:p>
    <w:p w:rsidR="00C47C16" w:rsidRDefault="009A3095">
      <w:pPr>
        <w:pStyle w:val="10"/>
        <w:spacing w:line="360" w:lineRule="auto"/>
        <w:ind w:left="0" w:firstLineChars="200" w:firstLine="480"/>
        <w:jc w:val="both"/>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（2）本项目中标公告；</w:t>
      </w:r>
    </w:p>
    <w:p w:rsidR="00C47C16" w:rsidRDefault="009A3095">
      <w:pPr>
        <w:pStyle w:val="10"/>
        <w:spacing w:line="360" w:lineRule="auto"/>
        <w:ind w:left="0" w:firstLineChars="200" w:firstLine="480"/>
        <w:jc w:val="both"/>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（3）乙方提交的投标书及书面承诺函；</w:t>
      </w:r>
    </w:p>
    <w:p w:rsidR="00C47C16" w:rsidRDefault="009A3095">
      <w:pPr>
        <w:pStyle w:val="10"/>
        <w:spacing w:line="360" w:lineRule="auto"/>
        <w:ind w:left="0" w:firstLineChars="200" w:firstLine="480"/>
        <w:jc w:val="both"/>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（4）本合同文本；</w:t>
      </w:r>
    </w:p>
    <w:p w:rsidR="00C47C16" w:rsidRDefault="009A3095">
      <w:pPr>
        <w:pStyle w:val="10"/>
        <w:spacing w:line="360" w:lineRule="auto"/>
        <w:ind w:left="0" w:firstLineChars="200" w:firstLine="480"/>
        <w:jc w:val="both"/>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（5）补充协议。</w:t>
      </w:r>
    </w:p>
    <w:p w:rsidR="00C47C16" w:rsidRDefault="009A3095">
      <w:pPr>
        <w:pStyle w:val="10"/>
        <w:spacing w:line="360" w:lineRule="auto"/>
        <w:ind w:left="0" w:firstLine="0"/>
        <w:jc w:val="both"/>
        <w:rPr>
          <w:rFonts w:asciiTheme="minorEastAsia" w:eastAsiaTheme="minorEastAsia" w:hAnsiTheme="minorEastAsia" w:cstheme="minorEastAsia"/>
          <w:b/>
          <w:bCs/>
          <w:sz w:val="24"/>
          <w:szCs w:val="24"/>
        </w:rPr>
      </w:pPr>
      <w:r>
        <w:rPr>
          <w:rFonts w:asciiTheme="minorEastAsia" w:eastAsiaTheme="minorEastAsia" w:hAnsiTheme="minorEastAsia" w:cstheme="minorEastAsia" w:hint="eastAsia"/>
          <w:b/>
          <w:bCs/>
          <w:sz w:val="24"/>
          <w:szCs w:val="24"/>
        </w:rPr>
        <w:t>13.合同生效</w:t>
      </w:r>
    </w:p>
    <w:p w:rsidR="00C47C16" w:rsidRDefault="009A3095">
      <w:pPr>
        <w:pStyle w:val="10"/>
        <w:spacing w:line="360" w:lineRule="auto"/>
        <w:ind w:left="0" w:firstLineChars="200" w:firstLine="480"/>
        <w:jc w:val="both"/>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本合同一式捌份，经甲乙双方</w:t>
      </w:r>
      <w:r>
        <w:rPr>
          <w:rFonts w:asciiTheme="minorEastAsia" w:eastAsiaTheme="minorEastAsia" w:hAnsiTheme="minorEastAsia" w:cstheme="minorEastAsia" w:hint="eastAsia"/>
          <w:sz w:val="24"/>
          <w:szCs w:val="24"/>
          <w:lang w:val="zh-CN"/>
        </w:rPr>
        <w:t>签字盖章</w:t>
      </w:r>
      <w:r>
        <w:rPr>
          <w:rFonts w:asciiTheme="minorEastAsia" w:eastAsiaTheme="minorEastAsia" w:hAnsiTheme="minorEastAsia" w:cstheme="minorEastAsia" w:hint="eastAsia"/>
          <w:sz w:val="24"/>
          <w:szCs w:val="24"/>
        </w:rPr>
        <w:t>，并在甲方收到乙方提交的履约保证金后立即生效。</w:t>
      </w:r>
    </w:p>
    <w:p w:rsidR="00C47C16" w:rsidRDefault="009A3095">
      <w:pPr>
        <w:autoSpaceDE w:val="0"/>
        <w:autoSpaceDN w:val="0"/>
        <w:adjustRightInd w:val="0"/>
        <w:snapToGrid w:val="0"/>
        <w:rPr>
          <w:rFonts w:asciiTheme="minorEastAsia" w:eastAsiaTheme="minorEastAsia" w:hAnsiTheme="minorEastAsia" w:cstheme="minorEastAsia"/>
          <w:sz w:val="24"/>
          <w:szCs w:val="24"/>
          <w:u w:val="single"/>
          <w:lang w:val="zh-CN"/>
        </w:rPr>
      </w:pPr>
      <w:r>
        <w:rPr>
          <w:rFonts w:asciiTheme="minorEastAsia" w:eastAsiaTheme="minorEastAsia" w:hAnsiTheme="minorEastAsia" w:cstheme="minorEastAsia" w:hint="eastAsia"/>
          <w:sz w:val="24"/>
          <w:szCs w:val="24"/>
          <w:lang w:val="zh-CN"/>
        </w:rPr>
        <w:t>甲方：                                           乙方：</w:t>
      </w:r>
    </w:p>
    <w:p w:rsidR="00C47C16" w:rsidRDefault="009A3095">
      <w:pPr>
        <w:autoSpaceDE w:val="0"/>
        <w:autoSpaceDN w:val="0"/>
        <w:adjustRightInd w:val="0"/>
        <w:snapToGrid w:val="0"/>
        <w:ind w:left="840"/>
        <w:rPr>
          <w:rFonts w:asciiTheme="minorEastAsia" w:eastAsiaTheme="minorEastAsia" w:hAnsiTheme="minorEastAsia" w:cstheme="minorEastAsia"/>
          <w:sz w:val="24"/>
          <w:szCs w:val="24"/>
          <w:lang w:val="zh-CN"/>
        </w:rPr>
      </w:pPr>
      <w:r>
        <w:rPr>
          <w:rFonts w:asciiTheme="minorEastAsia" w:eastAsiaTheme="minorEastAsia" w:hAnsiTheme="minorEastAsia" w:cstheme="minorEastAsia" w:hint="eastAsia"/>
          <w:sz w:val="24"/>
          <w:szCs w:val="24"/>
          <w:lang w:val="zh-CN"/>
        </w:rPr>
        <w:t>（合同专用章）                               （合同专用章）</w:t>
      </w:r>
    </w:p>
    <w:p w:rsidR="00C47C16" w:rsidRDefault="009A3095">
      <w:pPr>
        <w:autoSpaceDE w:val="0"/>
        <w:autoSpaceDN w:val="0"/>
        <w:adjustRightInd w:val="0"/>
        <w:snapToGrid w:val="0"/>
        <w:rPr>
          <w:rFonts w:asciiTheme="minorEastAsia" w:eastAsiaTheme="minorEastAsia" w:hAnsiTheme="minorEastAsia" w:cstheme="minorEastAsia"/>
          <w:sz w:val="24"/>
          <w:szCs w:val="24"/>
          <w:lang w:val="zh-CN"/>
        </w:rPr>
      </w:pPr>
      <w:r>
        <w:rPr>
          <w:rFonts w:asciiTheme="minorEastAsia" w:eastAsiaTheme="minorEastAsia" w:hAnsiTheme="minorEastAsia" w:cstheme="minorEastAsia" w:hint="eastAsia"/>
          <w:sz w:val="24"/>
          <w:szCs w:val="24"/>
        </w:rPr>
        <w:t>法定代表人</w:t>
      </w:r>
      <w:r>
        <w:rPr>
          <w:rFonts w:asciiTheme="minorEastAsia" w:eastAsiaTheme="minorEastAsia" w:hAnsiTheme="minorEastAsia" w:cstheme="minorEastAsia" w:hint="eastAsia"/>
          <w:sz w:val="24"/>
          <w:szCs w:val="24"/>
          <w:lang w:val="zh-CN"/>
        </w:rPr>
        <w:t>（签字或盖章）：                       法定代表人（签字或盖章）：</w:t>
      </w:r>
    </w:p>
    <w:p w:rsidR="00C47C16" w:rsidRDefault="009A3095">
      <w:pPr>
        <w:autoSpaceDE w:val="0"/>
        <w:autoSpaceDN w:val="0"/>
        <w:adjustRightInd w:val="0"/>
        <w:snapToGrid w:val="0"/>
        <w:rPr>
          <w:rFonts w:asciiTheme="minorEastAsia" w:eastAsiaTheme="minorEastAsia" w:hAnsiTheme="minorEastAsia" w:cstheme="minorEastAsia"/>
          <w:sz w:val="24"/>
          <w:szCs w:val="24"/>
          <w:lang w:val="zh-CN"/>
        </w:rPr>
      </w:pPr>
      <w:r>
        <w:rPr>
          <w:rFonts w:asciiTheme="minorEastAsia" w:eastAsiaTheme="minorEastAsia" w:hAnsiTheme="minorEastAsia" w:cstheme="minorEastAsia" w:hint="eastAsia"/>
          <w:sz w:val="24"/>
          <w:szCs w:val="24"/>
        </w:rPr>
        <w:t>代理人（被授权人）</w:t>
      </w:r>
      <w:r>
        <w:rPr>
          <w:rFonts w:asciiTheme="minorEastAsia" w:eastAsiaTheme="minorEastAsia" w:hAnsiTheme="minorEastAsia" w:cstheme="minorEastAsia" w:hint="eastAsia"/>
          <w:sz w:val="24"/>
          <w:szCs w:val="24"/>
          <w:lang w:val="zh-CN"/>
        </w:rPr>
        <w:t xml:space="preserve">（签字）：                     </w:t>
      </w:r>
      <w:r>
        <w:rPr>
          <w:rFonts w:asciiTheme="minorEastAsia" w:eastAsiaTheme="minorEastAsia" w:hAnsiTheme="minorEastAsia" w:cstheme="minorEastAsia" w:hint="eastAsia"/>
          <w:sz w:val="24"/>
          <w:szCs w:val="24"/>
        </w:rPr>
        <w:t>代理人（被授权人）</w:t>
      </w:r>
      <w:r>
        <w:rPr>
          <w:rFonts w:asciiTheme="minorEastAsia" w:eastAsiaTheme="minorEastAsia" w:hAnsiTheme="minorEastAsia" w:cstheme="minorEastAsia" w:hint="eastAsia"/>
          <w:sz w:val="24"/>
          <w:szCs w:val="24"/>
          <w:lang w:val="zh-CN"/>
        </w:rPr>
        <w:t>（签字）：</w:t>
      </w:r>
    </w:p>
    <w:p w:rsidR="00C47C16" w:rsidRDefault="009A3095">
      <w:pPr>
        <w:autoSpaceDE w:val="0"/>
        <w:autoSpaceDN w:val="0"/>
        <w:adjustRightInd w:val="0"/>
        <w:snapToGrid w:val="0"/>
        <w:rPr>
          <w:rFonts w:asciiTheme="minorEastAsia" w:eastAsiaTheme="minorEastAsia" w:hAnsiTheme="minorEastAsia" w:cstheme="minorEastAsia"/>
          <w:sz w:val="24"/>
          <w:szCs w:val="24"/>
          <w:lang w:val="zh-CN"/>
        </w:rPr>
      </w:pPr>
      <w:r>
        <w:rPr>
          <w:rFonts w:asciiTheme="minorEastAsia" w:eastAsiaTheme="minorEastAsia" w:hAnsiTheme="minorEastAsia" w:cstheme="minorEastAsia" w:hint="eastAsia"/>
          <w:sz w:val="24"/>
          <w:szCs w:val="24"/>
          <w:lang w:val="zh-CN"/>
        </w:rPr>
        <w:t xml:space="preserve">日期：                         日  期: </w:t>
      </w:r>
    </w:p>
    <w:p w:rsidR="00C47C16" w:rsidRDefault="009A3095">
      <w:pPr>
        <w:autoSpaceDE w:val="0"/>
        <w:autoSpaceDN w:val="0"/>
        <w:adjustRightInd w:val="0"/>
        <w:snapToGrid w:val="0"/>
        <w:ind w:firstLineChars="2400" w:firstLine="5760"/>
        <w:rPr>
          <w:rFonts w:asciiTheme="minorEastAsia" w:eastAsiaTheme="minorEastAsia" w:hAnsiTheme="minorEastAsia" w:cstheme="minorEastAsia"/>
          <w:sz w:val="24"/>
          <w:szCs w:val="24"/>
          <w:lang w:val="zh-CN"/>
        </w:rPr>
      </w:pPr>
      <w:r>
        <w:rPr>
          <w:rFonts w:asciiTheme="minorEastAsia" w:eastAsiaTheme="minorEastAsia" w:hAnsiTheme="minorEastAsia" w:cstheme="minorEastAsia" w:hint="eastAsia"/>
          <w:sz w:val="24"/>
          <w:szCs w:val="24"/>
          <w:lang w:val="zh-CN"/>
        </w:rPr>
        <w:lastRenderedPageBreak/>
        <w:t>户名：</w:t>
      </w:r>
    </w:p>
    <w:p w:rsidR="00C47C16" w:rsidRDefault="009A3095">
      <w:pPr>
        <w:autoSpaceDE w:val="0"/>
        <w:autoSpaceDN w:val="0"/>
        <w:adjustRightInd w:val="0"/>
        <w:snapToGrid w:val="0"/>
        <w:ind w:firstLineChars="2400" w:firstLine="5760"/>
        <w:rPr>
          <w:rFonts w:asciiTheme="minorEastAsia" w:eastAsiaTheme="minorEastAsia" w:hAnsiTheme="minorEastAsia" w:cstheme="minorEastAsia"/>
          <w:sz w:val="24"/>
          <w:szCs w:val="24"/>
          <w:lang w:val="zh-CN"/>
        </w:rPr>
      </w:pPr>
      <w:r>
        <w:rPr>
          <w:rFonts w:asciiTheme="minorEastAsia" w:eastAsiaTheme="minorEastAsia" w:hAnsiTheme="minorEastAsia" w:cstheme="minorEastAsia" w:hint="eastAsia"/>
          <w:sz w:val="24"/>
          <w:szCs w:val="24"/>
          <w:lang w:val="zh-CN"/>
        </w:rPr>
        <w:t>开户行：</w:t>
      </w:r>
    </w:p>
    <w:p w:rsidR="00C47C16" w:rsidRDefault="009A3095">
      <w:pPr>
        <w:ind w:firstLineChars="2400" w:firstLine="5760"/>
        <w:rPr>
          <w:rFonts w:ascii="宋体" w:cs="Times New Roman"/>
          <w:sz w:val="24"/>
          <w:szCs w:val="24"/>
        </w:rPr>
      </w:pPr>
      <w:r>
        <w:rPr>
          <w:rFonts w:asciiTheme="minorEastAsia" w:eastAsiaTheme="minorEastAsia" w:hAnsiTheme="minorEastAsia" w:cstheme="minorEastAsia" w:hint="eastAsia"/>
          <w:sz w:val="24"/>
          <w:szCs w:val="24"/>
          <w:lang w:val="zh-CN"/>
        </w:rPr>
        <w:t>账号：</w:t>
      </w:r>
    </w:p>
    <w:sectPr w:rsidR="00C47C16" w:rsidSect="00C47C1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390C" w:rsidRDefault="008B390C" w:rsidP="009A3095">
      <w:r>
        <w:separator/>
      </w:r>
    </w:p>
  </w:endnote>
  <w:endnote w:type="continuationSeparator" w:id="1">
    <w:p w:rsidR="008B390C" w:rsidRDefault="008B390C" w:rsidP="009A309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monospace">
    <w:altName w:val="Segoe Print"/>
    <w:charset w:val="00"/>
    <w:family w:val="auto"/>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390C" w:rsidRDefault="008B390C" w:rsidP="009A3095">
      <w:r>
        <w:separator/>
      </w:r>
    </w:p>
  </w:footnote>
  <w:footnote w:type="continuationSeparator" w:id="1">
    <w:p w:rsidR="008B390C" w:rsidRDefault="008B390C" w:rsidP="009A309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D97F0FA"/>
    <w:multiLevelType w:val="singleLevel"/>
    <w:tmpl w:val="FD97F0FA"/>
    <w:lvl w:ilvl="0">
      <w:start w:val="4"/>
      <w:numFmt w:val="decimal"/>
      <w:suff w:val="space"/>
      <w:lvlText w:val="%1、"/>
      <w:lvlJc w:val="left"/>
    </w:lvl>
  </w:abstractNum>
  <w:abstractNum w:abstractNumId="1">
    <w:nsid w:val="7EA2D9EB"/>
    <w:multiLevelType w:val="singleLevel"/>
    <w:tmpl w:val="7EA2D9EB"/>
    <w:lvl w:ilvl="0">
      <w:start w:val="1"/>
      <w:numFmt w:val="decimal"/>
      <w:suff w:val="nothing"/>
      <w:lvlText w:val="%1、"/>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oNotHyphenateCaps/>
  <w:drawingGridVerticalSpacing w:val="156"/>
  <w:noPunctuationKerning/>
  <w:characterSpacingControl w:val="compressPunctuation"/>
  <w:noLineBreaksAfter w:lang="zh-CN" w:val="$([{£¥·‘“〈《「『【〔〖〝﹙﹛﹝＄（．［｛￡￥"/>
  <w:noLineBreaksBefore w:lang="zh-CN" w:val="!%),.:;&gt;?]}¢¨°·ˇˉ―‖’”…‰′″›℃∶、。〃〉》」』】〕〗〞︶︺︾﹀﹄﹚﹜﹞！＂％＇），．：；？］｀｜｝～￠"/>
  <w:doNotValidateAgainstSchema/>
  <w:doNotDemarcateInvalidXml/>
  <w:hdrShapeDefaults>
    <o:shapedefaults v:ext="edit" spidmax="11266"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849A6"/>
    <w:rsid w:val="00031312"/>
    <w:rsid w:val="000F53A4"/>
    <w:rsid w:val="00112E3B"/>
    <w:rsid w:val="001B1D3B"/>
    <w:rsid w:val="003317DD"/>
    <w:rsid w:val="003850AC"/>
    <w:rsid w:val="00465279"/>
    <w:rsid w:val="00470824"/>
    <w:rsid w:val="004A6AE1"/>
    <w:rsid w:val="004A6BF6"/>
    <w:rsid w:val="005F7796"/>
    <w:rsid w:val="007042C0"/>
    <w:rsid w:val="0079410E"/>
    <w:rsid w:val="00864423"/>
    <w:rsid w:val="00885758"/>
    <w:rsid w:val="008A45F6"/>
    <w:rsid w:val="008B390C"/>
    <w:rsid w:val="009A3095"/>
    <w:rsid w:val="009D5E25"/>
    <w:rsid w:val="00A72E99"/>
    <w:rsid w:val="00A7596B"/>
    <w:rsid w:val="00B849A6"/>
    <w:rsid w:val="00BD2B91"/>
    <w:rsid w:val="00C27A38"/>
    <w:rsid w:val="00C47C16"/>
    <w:rsid w:val="00C54955"/>
    <w:rsid w:val="00CE1A5D"/>
    <w:rsid w:val="00DB6C9F"/>
    <w:rsid w:val="00E40501"/>
    <w:rsid w:val="00E71956"/>
    <w:rsid w:val="00F23F53"/>
    <w:rsid w:val="00FC2768"/>
    <w:rsid w:val="02D10AC4"/>
    <w:rsid w:val="062D2CF7"/>
    <w:rsid w:val="06862337"/>
    <w:rsid w:val="06B241E0"/>
    <w:rsid w:val="0700432F"/>
    <w:rsid w:val="080B0AA3"/>
    <w:rsid w:val="085F6D82"/>
    <w:rsid w:val="0E59092B"/>
    <w:rsid w:val="10674D65"/>
    <w:rsid w:val="112537EF"/>
    <w:rsid w:val="1373374E"/>
    <w:rsid w:val="13796688"/>
    <w:rsid w:val="168D31B6"/>
    <w:rsid w:val="17D91D75"/>
    <w:rsid w:val="18DB6A92"/>
    <w:rsid w:val="191F2ABC"/>
    <w:rsid w:val="21DC6382"/>
    <w:rsid w:val="22652CF3"/>
    <w:rsid w:val="237E670C"/>
    <w:rsid w:val="238E658F"/>
    <w:rsid w:val="2530370C"/>
    <w:rsid w:val="255A09DB"/>
    <w:rsid w:val="25780BD7"/>
    <w:rsid w:val="2AAD7873"/>
    <w:rsid w:val="2B25505D"/>
    <w:rsid w:val="2ED16638"/>
    <w:rsid w:val="3BC051A6"/>
    <w:rsid w:val="47CF4D79"/>
    <w:rsid w:val="49280EB9"/>
    <w:rsid w:val="4C5244D0"/>
    <w:rsid w:val="51B67745"/>
    <w:rsid w:val="520F2428"/>
    <w:rsid w:val="54296C83"/>
    <w:rsid w:val="5501111D"/>
    <w:rsid w:val="55C64CE4"/>
    <w:rsid w:val="57A16A59"/>
    <w:rsid w:val="580639EC"/>
    <w:rsid w:val="580E094B"/>
    <w:rsid w:val="588E0A2A"/>
    <w:rsid w:val="5DAC3063"/>
    <w:rsid w:val="5DDA57EF"/>
    <w:rsid w:val="5FCB287A"/>
    <w:rsid w:val="61FC652C"/>
    <w:rsid w:val="659E5006"/>
    <w:rsid w:val="68B02C7A"/>
    <w:rsid w:val="6AA9690D"/>
    <w:rsid w:val="6C0D0587"/>
    <w:rsid w:val="6DE22EDE"/>
    <w:rsid w:val="6E7933B6"/>
    <w:rsid w:val="6F806705"/>
    <w:rsid w:val="717501F0"/>
    <w:rsid w:val="7A317430"/>
    <w:rsid w:val="7CE56827"/>
    <w:rsid w:val="7FE64C7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6"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semiHidden="0"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unhideWhenUsed="0" w:qFormat="1"/>
    <w:lsdException w:name="caption" w:locked="1" w:uiPriority="0" w:qFormat="1"/>
    <w:lsdException w:name="annotation reference" w:qFormat="1"/>
    <w:lsdException w:name="Title" w:locked="1" w:semiHidden="0" w:uiPriority="0" w:unhideWhenUsed="0" w:qFormat="1"/>
    <w:lsdException w:name="Default Paragraph Font" w:uiPriority="1"/>
    <w:lsdException w:name="Body Text Indent" w:semiHidden="0" w:unhideWhenUsed="0"/>
    <w:lsdException w:name="Subtitle" w:locked="1" w:semiHidden="0" w:uiPriority="0" w:unhideWhenUsed="0" w:qFormat="1"/>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HTML Acronym" w:semiHidden="0" w:unhideWhenUsed="0"/>
    <w:lsdException w:name="HTML Cite" w:semiHidden="0" w:unhideWhenUsed="0" w:qFormat="1"/>
    <w:lsdException w:name="HTML Code" w:semiHidden="0" w:unhideWhenUsed="0" w:qFormat="1"/>
    <w:lsdException w:name="HTML Definition" w:semiHidden="0" w:unhideWhenUsed="0" w:qFormat="1"/>
    <w:lsdException w:name="HTML Keyboard" w:semiHidden="0" w:unhideWhenUsed="0" w:qFormat="1"/>
    <w:lsdException w:name="HTML Sample" w:semiHidden="0" w:unhideWhenUsed="0" w:qFormat="1"/>
    <w:lsdException w:name="HTML Typewriter" w:semiHidden="0" w:unhideWhenUsed="0" w:qFormat="1"/>
    <w:lsdException w:name="HTML Variable" w:semiHidden="0" w:unhideWhenUsed="0" w:qFormat="1"/>
    <w:lsdException w:name="Normal Table" w:qFormat="1"/>
    <w:lsdException w:name="annotation subject"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7C16"/>
    <w:pPr>
      <w:widowControl w:val="0"/>
      <w:jc w:val="both"/>
    </w:pPr>
    <w:rPr>
      <w:rFonts w:ascii="Calibri" w:hAnsi="Calibri" w:cs="Calibri"/>
      <w:kern w:val="2"/>
      <w:sz w:val="21"/>
      <w:szCs w:val="21"/>
    </w:rPr>
  </w:style>
  <w:style w:type="paragraph" w:styleId="1">
    <w:name w:val="heading 1"/>
    <w:basedOn w:val="a"/>
    <w:next w:val="a"/>
    <w:link w:val="1Char"/>
    <w:qFormat/>
    <w:locked/>
    <w:rsid w:val="00C47C16"/>
    <w:pPr>
      <w:keepNext/>
      <w:keepLines/>
      <w:spacing w:line="576" w:lineRule="auto"/>
      <w:outlineLvl w:val="0"/>
    </w:pPr>
    <w:rPr>
      <w:b/>
      <w:kern w:val="44"/>
      <w:sz w:val="44"/>
    </w:rPr>
  </w:style>
  <w:style w:type="paragraph" w:styleId="2">
    <w:name w:val="heading 2"/>
    <w:basedOn w:val="a"/>
    <w:next w:val="a"/>
    <w:unhideWhenUsed/>
    <w:qFormat/>
    <w:locked/>
    <w:rsid w:val="00C47C16"/>
    <w:pPr>
      <w:keepNext/>
      <w:keepLines/>
      <w:spacing w:line="413" w:lineRule="auto"/>
      <w:outlineLvl w:val="1"/>
    </w:pPr>
    <w:rPr>
      <w:rFonts w:ascii="Arial" w:eastAsia="黑体" w:hAnsi="Arial"/>
      <w:b/>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rsid w:val="00C47C16"/>
    <w:pPr>
      <w:jc w:val="left"/>
    </w:pPr>
  </w:style>
  <w:style w:type="paragraph" w:styleId="a4">
    <w:name w:val="Body Text Indent"/>
    <w:basedOn w:val="a"/>
    <w:link w:val="Char0"/>
    <w:uiPriority w:val="99"/>
    <w:rsid w:val="00C47C16"/>
    <w:pPr>
      <w:ind w:firstLine="645"/>
    </w:pPr>
    <w:rPr>
      <w:rFonts w:ascii="@仿宋_GB2312" w:eastAsia="@仿宋_GB2312" w:cs="@仿宋_GB2312"/>
      <w:sz w:val="32"/>
      <w:szCs w:val="32"/>
    </w:rPr>
  </w:style>
  <w:style w:type="paragraph" w:styleId="a5">
    <w:name w:val="Balloon Text"/>
    <w:basedOn w:val="a"/>
    <w:link w:val="Char1"/>
    <w:uiPriority w:val="99"/>
    <w:semiHidden/>
    <w:unhideWhenUsed/>
    <w:qFormat/>
    <w:rsid w:val="00C47C16"/>
    <w:rPr>
      <w:sz w:val="18"/>
      <w:szCs w:val="18"/>
    </w:rPr>
  </w:style>
  <w:style w:type="paragraph" w:styleId="a6">
    <w:name w:val="footer"/>
    <w:basedOn w:val="a"/>
    <w:link w:val="Char2"/>
    <w:uiPriority w:val="99"/>
    <w:semiHidden/>
    <w:unhideWhenUsed/>
    <w:rsid w:val="00C47C16"/>
    <w:pPr>
      <w:tabs>
        <w:tab w:val="center" w:pos="4153"/>
        <w:tab w:val="right" w:pos="8306"/>
      </w:tabs>
      <w:snapToGrid w:val="0"/>
      <w:jc w:val="left"/>
    </w:pPr>
    <w:rPr>
      <w:sz w:val="18"/>
      <w:szCs w:val="18"/>
    </w:rPr>
  </w:style>
  <w:style w:type="paragraph" w:styleId="a7">
    <w:name w:val="header"/>
    <w:basedOn w:val="a"/>
    <w:link w:val="Char3"/>
    <w:uiPriority w:val="99"/>
    <w:qFormat/>
    <w:rsid w:val="00C47C16"/>
    <w:pPr>
      <w:pBdr>
        <w:bottom w:val="single" w:sz="6" w:space="1" w:color="auto"/>
      </w:pBdr>
      <w:tabs>
        <w:tab w:val="center" w:pos="4153"/>
        <w:tab w:val="right" w:pos="8306"/>
      </w:tabs>
      <w:snapToGrid w:val="0"/>
      <w:jc w:val="center"/>
    </w:pPr>
    <w:rPr>
      <w:sz w:val="18"/>
      <w:szCs w:val="18"/>
    </w:rPr>
  </w:style>
  <w:style w:type="paragraph" w:styleId="a8">
    <w:name w:val="annotation subject"/>
    <w:basedOn w:val="a3"/>
    <w:next w:val="a3"/>
    <w:link w:val="Char4"/>
    <w:uiPriority w:val="99"/>
    <w:semiHidden/>
    <w:unhideWhenUsed/>
    <w:qFormat/>
    <w:rsid w:val="00C47C16"/>
    <w:rPr>
      <w:b/>
      <w:bCs/>
    </w:rPr>
  </w:style>
  <w:style w:type="character" w:styleId="a9">
    <w:name w:val="Strong"/>
    <w:basedOn w:val="a0"/>
    <w:uiPriority w:val="99"/>
    <w:qFormat/>
    <w:rsid w:val="00C47C16"/>
  </w:style>
  <w:style w:type="character" w:styleId="aa">
    <w:name w:val="FollowedHyperlink"/>
    <w:basedOn w:val="a0"/>
    <w:uiPriority w:val="99"/>
    <w:rsid w:val="00C47C16"/>
    <w:rPr>
      <w:color w:val="800080"/>
      <w:u w:val="none"/>
    </w:rPr>
  </w:style>
  <w:style w:type="character" w:styleId="ab">
    <w:name w:val="Emphasis"/>
    <w:basedOn w:val="a0"/>
    <w:uiPriority w:val="99"/>
    <w:qFormat/>
    <w:rsid w:val="00C47C16"/>
  </w:style>
  <w:style w:type="character" w:styleId="HTML">
    <w:name w:val="HTML Definition"/>
    <w:basedOn w:val="a0"/>
    <w:uiPriority w:val="99"/>
    <w:qFormat/>
    <w:rsid w:val="00C47C16"/>
  </w:style>
  <w:style w:type="character" w:styleId="HTML0">
    <w:name w:val="HTML Typewriter"/>
    <w:basedOn w:val="a0"/>
    <w:uiPriority w:val="99"/>
    <w:qFormat/>
    <w:rsid w:val="00C47C16"/>
    <w:rPr>
      <w:rFonts w:ascii="monospace" w:eastAsia="Times New Roman" w:hAnsi="monospace" w:cs="monospace"/>
      <w:sz w:val="20"/>
      <w:szCs w:val="20"/>
    </w:rPr>
  </w:style>
  <w:style w:type="character" w:styleId="HTML1">
    <w:name w:val="HTML Acronym"/>
    <w:basedOn w:val="a0"/>
    <w:uiPriority w:val="99"/>
    <w:rsid w:val="00C47C16"/>
  </w:style>
  <w:style w:type="character" w:styleId="HTML2">
    <w:name w:val="HTML Variable"/>
    <w:basedOn w:val="a0"/>
    <w:uiPriority w:val="99"/>
    <w:qFormat/>
    <w:rsid w:val="00C47C16"/>
  </w:style>
  <w:style w:type="character" w:styleId="ac">
    <w:name w:val="Hyperlink"/>
    <w:basedOn w:val="a0"/>
    <w:uiPriority w:val="99"/>
    <w:rsid w:val="00C47C16"/>
    <w:rPr>
      <w:color w:val="0000FF"/>
      <w:u w:val="none"/>
    </w:rPr>
  </w:style>
  <w:style w:type="character" w:styleId="HTML3">
    <w:name w:val="HTML Code"/>
    <w:basedOn w:val="a0"/>
    <w:uiPriority w:val="99"/>
    <w:qFormat/>
    <w:rsid w:val="00C47C16"/>
    <w:rPr>
      <w:rFonts w:ascii="monospace" w:eastAsia="Times New Roman" w:hAnsi="monospace" w:cs="monospace"/>
      <w:sz w:val="20"/>
      <w:szCs w:val="20"/>
    </w:rPr>
  </w:style>
  <w:style w:type="character" w:styleId="ad">
    <w:name w:val="annotation reference"/>
    <w:basedOn w:val="a0"/>
    <w:uiPriority w:val="99"/>
    <w:semiHidden/>
    <w:unhideWhenUsed/>
    <w:qFormat/>
    <w:rsid w:val="00C47C16"/>
    <w:rPr>
      <w:sz w:val="21"/>
      <w:szCs w:val="21"/>
    </w:rPr>
  </w:style>
  <w:style w:type="character" w:styleId="HTML4">
    <w:name w:val="HTML Cite"/>
    <w:basedOn w:val="a0"/>
    <w:uiPriority w:val="99"/>
    <w:qFormat/>
    <w:rsid w:val="00C47C16"/>
  </w:style>
  <w:style w:type="character" w:styleId="HTML5">
    <w:name w:val="HTML Keyboard"/>
    <w:basedOn w:val="a0"/>
    <w:uiPriority w:val="99"/>
    <w:qFormat/>
    <w:rsid w:val="00C47C16"/>
    <w:rPr>
      <w:rFonts w:ascii="monospace" w:eastAsia="Times New Roman" w:hAnsi="monospace" w:cs="monospace"/>
      <w:sz w:val="20"/>
      <w:szCs w:val="20"/>
    </w:rPr>
  </w:style>
  <w:style w:type="character" w:styleId="HTML6">
    <w:name w:val="HTML Sample"/>
    <w:basedOn w:val="a0"/>
    <w:uiPriority w:val="99"/>
    <w:qFormat/>
    <w:rsid w:val="00C47C16"/>
    <w:rPr>
      <w:rFonts w:ascii="monospace" w:eastAsia="Times New Roman" w:hAnsi="monospace" w:cs="monospace"/>
    </w:rPr>
  </w:style>
  <w:style w:type="character" w:customStyle="1" w:styleId="Char0">
    <w:name w:val="正文文本缩进 Char"/>
    <w:basedOn w:val="a0"/>
    <w:link w:val="a4"/>
    <w:uiPriority w:val="99"/>
    <w:semiHidden/>
    <w:rsid w:val="00C47C16"/>
    <w:rPr>
      <w:rFonts w:ascii="Calibri" w:hAnsi="Calibri" w:cs="Calibri"/>
      <w:szCs w:val="21"/>
    </w:rPr>
  </w:style>
  <w:style w:type="character" w:customStyle="1" w:styleId="Char3">
    <w:name w:val="页眉 Char"/>
    <w:basedOn w:val="a0"/>
    <w:link w:val="a7"/>
    <w:uiPriority w:val="99"/>
    <w:semiHidden/>
    <w:qFormat/>
    <w:rsid w:val="00C47C16"/>
    <w:rPr>
      <w:rFonts w:ascii="Calibri" w:hAnsi="Calibri" w:cs="Calibri"/>
      <w:sz w:val="18"/>
      <w:szCs w:val="18"/>
    </w:rPr>
  </w:style>
  <w:style w:type="paragraph" w:customStyle="1" w:styleId="DL">
    <w:name w:val="D&amp;L"/>
    <w:basedOn w:val="a7"/>
    <w:uiPriority w:val="99"/>
    <w:rsid w:val="00C47C16"/>
    <w:pPr>
      <w:pBdr>
        <w:bottom w:val="thinThickSmallGap" w:sz="18" w:space="1" w:color="auto"/>
      </w:pBdr>
      <w:adjustRightInd w:val="0"/>
      <w:snapToGrid/>
      <w:spacing w:line="240" w:lineRule="atLeast"/>
      <w:textAlignment w:val="baseline"/>
    </w:pPr>
    <w:rPr>
      <w:kern w:val="0"/>
      <w:sz w:val="24"/>
      <w:szCs w:val="24"/>
    </w:rPr>
  </w:style>
  <w:style w:type="paragraph" w:styleId="ae">
    <w:name w:val="List Paragraph"/>
    <w:basedOn w:val="a"/>
    <w:uiPriority w:val="99"/>
    <w:qFormat/>
    <w:rsid w:val="00C47C16"/>
    <w:pPr>
      <w:ind w:firstLineChars="200" w:firstLine="420"/>
    </w:pPr>
    <w:rPr>
      <w:rFonts w:ascii="@仿宋_GB2312" w:hAnsi="@仿宋_GB2312" w:cs="@仿宋_GB2312"/>
    </w:rPr>
  </w:style>
  <w:style w:type="character" w:customStyle="1" w:styleId="bdsmore">
    <w:name w:val="bds_more"/>
    <w:basedOn w:val="a0"/>
    <w:uiPriority w:val="99"/>
    <w:qFormat/>
    <w:rsid w:val="00C47C16"/>
    <w:rPr>
      <w:rFonts w:ascii="宋体" w:eastAsia="宋体" w:hAnsi="宋体" w:cs="宋体"/>
    </w:rPr>
  </w:style>
  <w:style w:type="character" w:customStyle="1" w:styleId="bdsmore1">
    <w:name w:val="bds_more1"/>
    <w:basedOn w:val="a0"/>
    <w:uiPriority w:val="99"/>
    <w:qFormat/>
    <w:rsid w:val="00C47C16"/>
  </w:style>
  <w:style w:type="character" w:customStyle="1" w:styleId="bdsmore2">
    <w:name w:val="bds_more2"/>
    <w:basedOn w:val="a0"/>
    <w:uiPriority w:val="99"/>
    <w:rsid w:val="00C47C16"/>
  </w:style>
  <w:style w:type="character" w:customStyle="1" w:styleId="bdsnopic">
    <w:name w:val="bds_nopic"/>
    <w:basedOn w:val="a0"/>
    <w:uiPriority w:val="99"/>
    <w:rsid w:val="00C47C16"/>
  </w:style>
  <w:style w:type="character" w:customStyle="1" w:styleId="bdsnopic1">
    <w:name w:val="bds_nopic1"/>
    <w:basedOn w:val="a0"/>
    <w:uiPriority w:val="99"/>
    <w:rsid w:val="00C47C16"/>
  </w:style>
  <w:style w:type="character" w:customStyle="1" w:styleId="bdsnopic2">
    <w:name w:val="bds_nopic2"/>
    <w:basedOn w:val="a0"/>
    <w:uiPriority w:val="99"/>
    <w:rsid w:val="00C47C16"/>
  </w:style>
  <w:style w:type="character" w:customStyle="1" w:styleId="Char2">
    <w:name w:val="页脚 Char"/>
    <w:basedOn w:val="a0"/>
    <w:link w:val="a6"/>
    <w:uiPriority w:val="99"/>
    <w:semiHidden/>
    <w:rsid w:val="00C47C16"/>
    <w:rPr>
      <w:rFonts w:ascii="Calibri" w:hAnsi="Calibri" w:cs="Calibri"/>
      <w:sz w:val="18"/>
      <w:szCs w:val="18"/>
    </w:rPr>
  </w:style>
  <w:style w:type="character" w:customStyle="1" w:styleId="Char">
    <w:name w:val="批注文字 Char"/>
    <w:basedOn w:val="a0"/>
    <w:link w:val="a3"/>
    <w:uiPriority w:val="99"/>
    <w:semiHidden/>
    <w:qFormat/>
    <w:rsid w:val="00C47C16"/>
    <w:rPr>
      <w:rFonts w:ascii="Calibri" w:hAnsi="Calibri" w:cs="Calibri"/>
      <w:szCs w:val="21"/>
    </w:rPr>
  </w:style>
  <w:style w:type="character" w:customStyle="1" w:styleId="Char4">
    <w:name w:val="批注主题 Char"/>
    <w:basedOn w:val="Char"/>
    <w:link w:val="a8"/>
    <w:uiPriority w:val="99"/>
    <w:semiHidden/>
    <w:qFormat/>
    <w:rsid w:val="00C47C16"/>
    <w:rPr>
      <w:b/>
      <w:bCs/>
    </w:rPr>
  </w:style>
  <w:style w:type="character" w:customStyle="1" w:styleId="Char1">
    <w:name w:val="批注框文本 Char"/>
    <w:basedOn w:val="a0"/>
    <w:link w:val="a5"/>
    <w:uiPriority w:val="99"/>
    <w:semiHidden/>
    <w:qFormat/>
    <w:rsid w:val="00C47C16"/>
    <w:rPr>
      <w:rFonts w:ascii="Calibri" w:hAnsi="Calibri" w:cs="Calibri"/>
      <w:sz w:val="18"/>
      <w:szCs w:val="18"/>
    </w:rPr>
  </w:style>
  <w:style w:type="paragraph" w:customStyle="1" w:styleId="af">
    <w:name w:val="样式"/>
    <w:uiPriority w:val="99"/>
    <w:qFormat/>
    <w:rsid w:val="00C47C16"/>
    <w:pPr>
      <w:widowControl w:val="0"/>
      <w:autoSpaceDE w:val="0"/>
      <w:autoSpaceDN w:val="0"/>
      <w:adjustRightInd w:val="0"/>
    </w:pPr>
    <w:rPr>
      <w:rFonts w:ascii="宋体" w:hAnsi="宋体" w:cs="宋体"/>
      <w:sz w:val="24"/>
      <w:szCs w:val="24"/>
    </w:rPr>
  </w:style>
  <w:style w:type="character" w:customStyle="1" w:styleId="1Char0">
    <w:name w:val="样式1 Char"/>
    <w:link w:val="10"/>
    <w:uiPriority w:val="99"/>
    <w:qFormat/>
    <w:locked/>
    <w:rsid w:val="00C47C16"/>
    <w:rPr>
      <w:rFonts w:ascii="宋体" w:cs="宋体"/>
      <w:kern w:val="2"/>
      <w:sz w:val="32"/>
      <w:szCs w:val="32"/>
      <w:lang w:val="en-US" w:eastAsia="zh-CN" w:bidi="ar-SA"/>
    </w:rPr>
  </w:style>
  <w:style w:type="paragraph" w:customStyle="1" w:styleId="10">
    <w:name w:val="样式1"/>
    <w:link w:val="1Char0"/>
    <w:uiPriority w:val="99"/>
    <w:qFormat/>
    <w:rsid w:val="00C47C16"/>
    <w:pPr>
      <w:spacing w:line="415" w:lineRule="auto"/>
      <w:ind w:left="425" w:hanging="425"/>
    </w:pPr>
    <w:rPr>
      <w:rFonts w:ascii="宋体" w:cs="宋体"/>
      <w:kern w:val="2"/>
      <w:sz w:val="32"/>
      <w:szCs w:val="32"/>
    </w:rPr>
  </w:style>
  <w:style w:type="character" w:customStyle="1" w:styleId="1Char">
    <w:name w:val="标题 1 Char"/>
    <w:link w:val="1"/>
    <w:rsid w:val="00C47C16"/>
    <w:rPr>
      <w:b/>
      <w:kern w:val="44"/>
      <w:sz w:val="4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1214</Words>
  <Characters>6921</Characters>
  <Application>Microsoft Office Word</Application>
  <DocSecurity>0</DocSecurity>
  <Lines>57</Lines>
  <Paragraphs>16</Paragraphs>
  <ScaleCrop>false</ScaleCrop>
  <Company>China</Company>
  <LinksUpToDate>false</LinksUpToDate>
  <CharactersWithSpaces>8119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2019年铜陵学院风雨操场活动看台采购安装项目3</dc:title>
  <dc:creator>asus-pc</dc:creator>
  <cp:lastModifiedBy>NTKO</cp:lastModifiedBy>
  <cp:revision>2</cp:revision>
  <dcterms:created xsi:type="dcterms:W3CDTF">2019-09-27T08:09:00Z</dcterms:created>
  <dcterms:modified xsi:type="dcterms:W3CDTF">2019-09-27T08:09:00Z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