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bookmarkStart w:id="0" w:name="_Toc44142838"/>
      <w:bookmarkStart w:id="10" w:name="_GoBack"/>
      <w:bookmarkEnd w:id="10"/>
      <w:r>
        <w:rPr>
          <w:rFonts w:hint="eastAsia"/>
        </w:rPr>
        <w:t xml:space="preserve"> 采购要求</w:t>
      </w:r>
      <w:bookmarkEnd w:id="0"/>
    </w:p>
    <w:p>
      <w:pPr>
        <w:pStyle w:val="7"/>
        <w:rPr>
          <w:sz w:val="24"/>
        </w:rPr>
      </w:pPr>
      <w:bookmarkStart w:id="1" w:name="_Toc44142839"/>
      <w:r>
        <w:rPr>
          <w:rFonts w:hint="eastAsia"/>
          <w:sz w:val="24"/>
        </w:rPr>
        <w:t>一、服务要求</w:t>
      </w:r>
      <w:bookmarkEnd w:id="1"/>
    </w:p>
    <w:p>
      <w:pPr>
        <w:adjustRightInd w:val="0"/>
        <w:snapToGrid w:val="0"/>
        <w:spacing w:line="500" w:lineRule="exact"/>
        <w:ind w:firstLine="422" w:firstLineChars="200"/>
        <w:rPr>
          <w:rFonts w:ascii="宋体" w:hAnsi="宋体" w:eastAsia="Times New Roman"/>
          <w:b/>
          <w:bCs/>
          <w:color w:val="000000"/>
          <w:szCs w:val="21"/>
        </w:rPr>
      </w:pPr>
      <w:bookmarkStart w:id="2" w:name="_Toc328055416"/>
      <w:bookmarkStart w:id="3" w:name="_Toc329967263"/>
      <w:bookmarkStart w:id="4" w:name="_Toc199237953"/>
      <w:r>
        <w:rPr>
          <w:rFonts w:hint="eastAsia" w:ascii="宋体" w:hAnsi="宋体" w:cs="Arial"/>
          <w:b/>
          <w:bCs/>
          <w:color w:val="000000"/>
          <w:szCs w:val="21"/>
        </w:rPr>
        <w:t>一）、</w:t>
      </w:r>
      <w:bookmarkEnd w:id="2"/>
      <w:bookmarkEnd w:id="3"/>
      <w:r>
        <w:rPr>
          <w:rFonts w:hint="eastAsia" w:ascii="宋体" w:hAnsi="宋体" w:eastAsia="Times New Roman"/>
          <w:b/>
          <w:bCs/>
          <w:color w:val="000000"/>
          <w:szCs w:val="21"/>
        </w:rPr>
        <w:t>本项目的形式和要求</w:t>
      </w:r>
    </w:p>
    <w:p>
      <w:pPr>
        <w:adjustRightInd w:val="0"/>
        <w:snapToGrid w:val="0"/>
        <w:spacing w:line="500" w:lineRule="exact"/>
        <w:ind w:firstLine="422" w:firstLineChars="200"/>
        <w:rPr>
          <w:rFonts w:ascii="宋体" w:hAnsi="宋体"/>
          <w:b/>
          <w:bCs/>
          <w:color w:val="000000"/>
          <w:szCs w:val="21"/>
        </w:rPr>
      </w:pPr>
      <w:bookmarkStart w:id="5" w:name="_Toc328055417"/>
      <w:bookmarkStart w:id="6" w:name="_Toc329967264"/>
      <w:r>
        <w:rPr>
          <w:rFonts w:hint="eastAsia" w:ascii="宋体" w:hAnsi="宋体"/>
          <w:b/>
          <w:bCs/>
          <w:color w:val="000000"/>
          <w:szCs w:val="21"/>
        </w:rPr>
        <w:t>1、项目背景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  枞阳县地区。地势西北高，东南低，北部为低山区，西北部为低丘漫岗，中部是犬牙交错的丘陵 岗冲，东南部属沿江洲圩，境内河流纵横，水系发达，主要河流有横埠河、杨市河、钱桥河、罗昌河、枞阳河等通江湖泊有白荡湖、陈瑶湖、菜子湖、枫沙湖、两赛湖等 。枞阳县亚热带湿润性季风气候，四季分明，降水充沛，地表迳流通畅，水系发育，河谷侵蚀强烈。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枞阳县地质灾害发育，主要灾种有滑坡、崩塌、不稳定斜坡、泥石流等类型，具有突发、多发、频发的特点，造成了较严重的经济损失，威胁广大人民群众生命财产安全，制约了当地经济发展，因此查清地质灾害隐患、形成机制、划分地质灾害风险区等是一项迫在眉睫的工作。根据自然资源部《地质灾害防治三年行动实施纲领》（自然资办发【2020】16号），拟开枞阳县地质灾害风险调查，通过更高精度的调查评价，基本可以查明地质灾害孕灾条件和基本特征，找出地质灾害隐患点和疑似隐患点，根据不同区段地质灾害风险差异，划分地质灾害风险区，提出地质灾害风险管控措施和国土空间规划用途管制建议，建立地质灾害风险管控体系，推进地质灾害防治由隐患点监测转变为地质灾害隐患风险区管控，切实增加地质灾害调查评价的精度、广度、深度，为全区地质灾害防治工作奠定坚实基础。</w:t>
      </w:r>
    </w:p>
    <w:p>
      <w:pPr>
        <w:adjustRightInd w:val="0"/>
        <w:snapToGrid w:val="0"/>
        <w:spacing w:line="500" w:lineRule="exact"/>
        <w:ind w:firstLine="422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2、工作任务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2.1开展地质灾害与孕灾地质条件、承灾体调查，判识地质灾害隐患，总结调查区地质灾害发育分布规律，分析地质灾害成灾模式。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2.2开展地质灾害易发性、危险性和风险评价，编制地质灾害风险调查评价相关图件。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2.3建立地质灾害风险调查空间数据库。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2.4提出地质灾害风险管控对策建议。</w:t>
      </w:r>
    </w:p>
    <w:p>
      <w:pPr>
        <w:spacing w:line="460" w:lineRule="exact"/>
        <w:ind w:firstLine="420" w:firstLineChars="200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szCs w:val="21"/>
        </w:rPr>
        <w:t>2.5依据《地质灾害风险调查评价技术要求(1:50 000)（试行）》编制调查报告。</w:t>
      </w:r>
    </w:p>
    <w:p>
      <w:pPr>
        <w:adjustRightInd w:val="0"/>
        <w:snapToGrid w:val="0"/>
        <w:spacing w:line="500" w:lineRule="exact"/>
        <w:ind w:firstLine="422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3、总体技术要求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1、充分收集利用调查区及周边地质灾害、工程地质、水文地质、环境地质、岩土工程勘察等已有成果资料，结合遥感解译成果，初步分析总结地质灾害发育分布规律和成灾模式，在此基础上开展野外踏勘。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2、遥感解译应编制地质环境条件解译图和地质灾害遥感解译图；在精度满足要求的前提下，可用遥感调查等手段代替部分地面调查工作量。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3、野外调查工作应采用数字化填图方式。加强高分辨率光学影像、无人机遥感、合成孔径雷达干涉测量（InSAR）、激光雷达测量（LiDAR）、地球物理勘探等技术综合应用。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一般调查区应采用1:50 000或更大比例尺地形图作为工作底图。重点调查区应采用1:10 000或更大比例尺地形图作为工作底图，按斜坡单元开展地质灾害风险调查评价。斜坡单元采用汇水盆地与河网沟谷结合的方法进行剖分，单元尺寸根据地形切割和地质灾害发育程度确定。单体地质灾害调查点和勘查点应分别开展定性和定量风险评价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5、野外调查定位上图精度误差应小于2mm，应勾绘出图斑面积大于4mm2的地质灾害和长度大于2mm的线状地物；小于最小上图精度的用规定符号表示。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6、建立地质灾害风险调查空间数据库，按照不同调查比例尺编制图件，提交风险调查评价成果。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7、按相关规定汇交资料。</w:t>
      </w:r>
    </w:p>
    <w:p>
      <w:pPr>
        <w:spacing w:line="520" w:lineRule="exact"/>
        <w:ind w:firstLine="422" w:firstLineChars="200"/>
        <w:rPr>
          <w:rFonts w:ascii="宋体" w:hAnsi="宋体" w:cs="Arial"/>
          <w:b/>
          <w:bCs/>
          <w:color w:val="000000"/>
          <w:szCs w:val="21"/>
        </w:rPr>
      </w:pPr>
      <w:r>
        <w:rPr>
          <w:rFonts w:hint="eastAsia" w:ascii="宋体" w:hAnsi="宋体" w:cs="Arial"/>
          <w:b/>
          <w:bCs/>
          <w:color w:val="000000"/>
          <w:szCs w:val="21"/>
        </w:rPr>
        <w:t>二）、编制依据</w:t>
      </w:r>
      <w:bookmarkEnd w:id="5"/>
      <w:bookmarkEnd w:id="6"/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bookmarkStart w:id="7" w:name="_Toc6062"/>
      <w:r>
        <w:rPr>
          <w:rFonts w:hint="eastAsia" w:ascii="宋体" w:hAnsi="宋体"/>
          <w:szCs w:val="21"/>
        </w:rPr>
        <w:t>《地质灾害风险调查评价技术要求(1:50 000)（试行）》</w:t>
      </w:r>
      <w:bookmarkEnd w:id="7"/>
    </w:p>
    <w:p>
      <w:pPr>
        <w:pStyle w:val="8"/>
        <w:spacing w:line="500" w:lineRule="exact"/>
        <w:ind w:firstLine="422" w:firstLineChars="200"/>
        <w:rPr>
          <w:rFonts w:ascii="宋体" w:hAnsi="宋体" w:cs="Arial"/>
          <w:b/>
          <w:bCs/>
          <w:szCs w:val="21"/>
        </w:rPr>
      </w:pPr>
      <w:bookmarkStart w:id="8" w:name="_Toc329967265"/>
      <w:bookmarkStart w:id="9" w:name="_Toc328055419"/>
      <w:r>
        <w:rPr>
          <w:rFonts w:hint="eastAsia" w:ascii="宋体" w:hAnsi="宋体" w:cs="Arial"/>
          <w:b/>
          <w:bCs/>
          <w:szCs w:val="21"/>
        </w:rPr>
        <w:t>三）、</w:t>
      </w:r>
      <w:bookmarkEnd w:id="4"/>
      <w:bookmarkEnd w:id="8"/>
      <w:bookmarkEnd w:id="9"/>
      <w:r>
        <w:rPr>
          <w:rFonts w:hint="eastAsia" w:ascii="宋体" w:hAnsi="宋体" w:cs="Arial"/>
          <w:b/>
          <w:bCs/>
          <w:szCs w:val="21"/>
        </w:rPr>
        <w:t>工作时限</w:t>
      </w:r>
    </w:p>
    <w:p>
      <w:pPr>
        <w:adjustRightInd w:val="0"/>
        <w:snapToGrid w:val="0"/>
        <w:spacing w:line="500" w:lineRule="exact"/>
        <w:ind w:firstLine="420" w:firstLineChars="200"/>
      </w:pPr>
      <w:r>
        <w:rPr>
          <w:rFonts w:hint="eastAsia"/>
        </w:rPr>
        <w:t>按省自然资源厅要求执行。</w:t>
      </w:r>
    </w:p>
    <w:p>
      <w:pPr>
        <w:spacing w:line="520" w:lineRule="exact"/>
        <w:ind w:firstLine="422" w:firstLineChars="200"/>
        <w:rPr>
          <w:rFonts w:ascii="宋体" w:hAnsi="宋体" w:cs="Arial"/>
          <w:b/>
          <w:bCs/>
          <w:szCs w:val="21"/>
        </w:rPr>
      </w:pPr>
      <w:r>
        <w:rPr>
          <w:rFonts w:hint="eastAsia" w:ascii="宋体" w:hAnsi="宋体" w:cs="Arial"/>
          <w:b/>
          <w:bCs/>
          <w:szCs w:val="21"/>
        </w:rPr>
        <w:t>四)、提交成果</w:t>
      </w:r>
    </w:p>
    <w:p>
      <w:pPr>
        <w:adjustRightInd w:val="0"/>
        <w:snapToGrid w:val="0"/>
        <w:spacing w:line="500" w:lineRule="exact"/>
        <w:ind w:firstLine="420" w:firstLineChars="200"/>
      </w:pPr>
      <w:r>
        <w:rPr>
          <w:rFonts w:hint="eastAsia"/>
        </w:rPr>
        <w:t>依据《地质灾害风险调查评价技术要求(1:50 000)（试行）》提交完整的调查报告及附件。</w:t>
      </w:r>
    </w:p>
    <w:p>
      <w:pPr>
        <w:adjustRightInd w:val="0"/>
        <w:snapToGrid w:val="0"/>
        <w:spacing w:line="500" w:lineRule="exact"/>
        <w:ind w:firstLine="422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hint="eastAsia"/>
          <w:b/>
          <w:bCs/>
        </w:rPr>
        <w:t>五）、</w:t>
      </w:r>
      <w:r>
        <w:rPr>
          <w:rFonts w:hint="eastAsia" w:ascii="宋体" w:hAnsi="宋体"/>
          <w:b/>
          <w:bCs/>
          <w:color w:val="000000"/>
          <w:szCs w:val="21"/>
        </w:rPr>
        <w:t>项目工作清单（包括但不限于）</w:t>
      </w:r>
    </w:p>
    <w:tbl>
      <w:tblPr>
        <w:tblStyle w:val="4"/>
        <w:tblW w:w="773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1"/>
        <w:gridCol w:w="1941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工</w:t>
            </w:r>
            <w:r>
              <w:rPr>
                <w:rStyle w:val="9"/>
                <w:rFonts w:hint="default" w:ascii="宋体" w:hAnsi="宋体"/>
              </w:rPr>
              <w:t xml:space="preserve">  作 内 容</w:t>
            </w:r>
          </w:p>
        </w:tc>
        <w:tc>
          <w:tcPr>
            <w:tcW w:w="1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1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工程量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一、地形测绘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地形测量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1、1：1000地形测量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Style w:val="11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2、1：1000剖面测量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二、专项地质灾害测量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1、1:5万专项地质灾害测量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lang w:eastAsia="zh-CN"/>
              </w:rPr>
              <w:t>修测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Style w:val="11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2、1:1万专项地质灾害测量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  <w:lang w:eastAsia="zh-CN"/>
              </w:rPr>
              <w:t>修测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Style w:val="11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三、遥感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b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1：5万遥感解译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Style w:val="11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  <w:r>
              <w:t>：1万遥感解译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Style w:val="11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四、物探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b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1、 </w:t>
            </w:r>
            <w:r>
              <w:t>高密度电阻率(&lt;15m)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五、钻探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b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工程地质钻探（螺纹钻）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工程地质钻探（钻机）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六、山地工程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b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1、浅井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土石井</w:t>
            </w:r>
            <w:r>
              <w:rPr>
                <w:rStyle w:val="10"/>
                <w:rFonts w:hint="default" w:ascii="宋体" w:hAnsi="宋体"/>
              </w:rPr>
              <w:t>(0－5m)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2、槽探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0－1.5m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1"/>
                <w:lang w:val="en-US" w:eastAsia="zh-CN" w:bidi="ar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七、测试与试验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1、标准贯入试验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2、重型触探试验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3、土工测试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4、岩样测试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八、地质编录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1</w:t>
            </w:r>
            <w:r>
              <w:rPr>
                <w:rStyle w:val="10"/>
                <w:rFonts w:hint="default" w:ascii="宋体" w:hAnsi="宋体"/>
              </w:rPr>
              <w:t>、槽探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11"/>
                <w:lang w:val="en-US" w:eastAsia="zh-CN" w:bidi="ar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2</w:t>
            </w:r>
            <w:r>
              <w:rPr>
                <w:rStyle w:val="10"/>
                <w:rFonts w:hint="default" w:ascii="宋体" w:hAnsi="宋体"/>
              </w:rPr>
              <w:t>、浅井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3</w:t>
            </w:r>
            <w:r>
              <w:rPr>
                <w:rStyle w:val="10"/>
                <w:rFonts w:hint="default" w:ascii="宋体" w:hAnsi="宋体"/>
              </w:rPr>
              <w:t>、钻探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九、数据库建设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十、设计论证编写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十一、报告编制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十二、报告印刷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before="99" w:beforeLines="30" w:line="500" w:lineRule="exact"/>
        <w:ind w:firstLine="420" w:firstLineChars="200"/>
        <w:rPr>
          <w:rFonts w:ascii="宋体" w:hAnsi="宋体"/>
          <w:szCs w:val="21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52333"/>
    <w:rsid w:val="09D52333"/>
    <w:rsid w:val="19835E6C"/>
    <w:rsid w:val="261D5BC2"/>
    <w:rsid w:val="28E3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H1"/>
    <w:basedOn w:val="2"/>
    <w:next w:val="1"/>
    <w:qFormat/>
    <w:uiPriority w:val="0"/>
    <w:pPr>
      <w:spacing w:line="600" w:lineRule="exact"/>
      <w:jc w:val="center"/>
    </w:pPr>
    <w:rPr>
      <w:rFonts w:ascii="宋体" w:hAnsi="宋体" w:eastAsia="黑体"/>
      <w:color w:val="000000"/>
      <w:sz w:val="32"/>
      <w:szCs w:val="21"/>
    </w:rPr>
  </w:style>
  <w:style w:type="paragraph" w:customStyle="1" w:styleId="7">
    <w:name w:val="H2"/>
    <w:basedOn w:val="3"/>
    <w:next w:val="1"/>
    <w:qFormat/>
    <w:uiPriority w:val="0"/>
    <w:pPr>
      <w:keepNext w:val="0"/>
      <w:keepLines w:val="0"/>
      <w:spacing w:before="0" w:after="0" w:line="360" w:lineRule="auto"/>
      <w:jc w:val="center"/>
    </w:pPr>
    <w:rPr>
      <w:rFonts w:ascii="宋体" w:hAnsi="宋体" w:cs="Arial"/>
      <w:color w:val="000000"/>
      <w:sz w:val="21"/>
      <w:szCs w:val="21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9">
    <w:name w:val="font41"/>
    <w:basedOn w:val="5"/>
    <w:qFormat/>
    <w:uiPriority w:val="0"/>
    <w:rPr>
      <w:rFonts w:hint="eastAsia" w:ascii="仿宋" w:hAnsi="仿宋" w:eastAsia="仿宋" w:cs="仿宋"/>
      <w:b/>
      <w:color w:val="000000"/>
      <w:sz w:val="21"/>
      <w:szCs w:val="21"/>
      <w:u w:val="none"/>
    </w:rPr>
  </w:style>
  <w:style w:type="character" w:customStyle="1" w:styleId="10">
    <w:name w:val="font2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2020-12-14T01:03:00Z</dcterms:created>
  <dc:creator>徒步者</dc:creator>
  <cp:lastModifiedBy>Administrator</cp:lastModifiedBy>
  <dcterms:modified xsi:type="dcterms:W3CDTF">2020-12-21T07:42:12Z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