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260" w:beforeLines="0" w:after="260" w:afterLines="0" w:line="416" w:lineRule="auto"/>
        <w:jc w:val="center"/>
        <w:outlineLvl w:val="1"/>
        <w:rPr>
          <w:rFonts w:hint="eastAsia" w:ascii="宋体" w:hAnsi="宋体" w:eastAsia="宋体" w:cs="宋体"/>
          <w:b/>
          <w:bCs/>
          <w:color w:val="auto"/>
          <w:kern w:val="2"/>
          <w:sz w:val="36"/>
          <w:szCs w:val="36"/>
          <w:highlight w:val="none"/>
          <w:lang w:val="en-US" w:eastAsia="zh-CN" w:bidi="ar-SA"/>
        </w:rPr>
      </w:pPr>
      <w:bookmarkStart w:id="18" w:name="_GoBack"/>
      <w:r>
        <w:rPr>
          <w:rFonts w:hint="eastAsia" w:ascii="宋体" w:hAnsi="宋体" w:eastAsia="宋体" w:cs="宋体"/>
          <w:b/>
          <w:bCs/>
          <w:color w:val="auto"/>
          <w:kern w:val="2"/>
          <w:sz w:val="36"/>
          <w:szCs w:val="36"/>
          <w:highlight w:val="none"/>
          <w:lang w:val="en-US" w:eastAsia="zh-CN" w:bidi="ar-SA"/>
        </w:rPr>
        <w:t>铜陵市中医医院总院区能源托管项目需求公示</w:t>
      </w:r>
    </w:p>
    <w:p>
      <w:pPr>
        <w:keepNext/>
        <w:keepLines/>
        <w:widowControl w:val="0"/>
        <w:spacing w:before="260" w:beforeLines="0" w:after="260" w:afterLines="0" w:line="416" w:lineRule="auto"/>
        <w:jc w:val="center"/>
        <w:outlineLvl w:val="1"/>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项目需求</w:t>
      </w:r>
    </w:p>
    <w:p>
      <w:pPr>
        <w:pageBreakBefore w:val="0"/>
        <w:kinsoku/>
        <w:wordWrap/>
        <w:overflowPunct/>
        <w:topLinePunct w:val="0"/>
        <w:autoSpaceDE/>
        <w:autoSpaceDN/>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pPr>
        <w:pageBreakBefore w:val="0"/>
        <w:kinsoku/>
        <w:wordWrap/>
        <w:overflowPunct/>
        <w:topLinePunct w:val="0"/>
        <w:autoSpaceDE/>
        <w:autoSpaceDN/>
        <w:bidi w:val="0"/>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 供应商须对本项目为单位的服务进行整体响应，任何只对其中一部分内容进行的响应都被视为无效响应。</w:t>
      </w:r>
    </w:p>
    <w:p>
      <w:pPr>
        <w:pageBreakBefore w:val="0"/>
        <w:widowControl w:val="0"/>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用户需求书中打“★”号条款为实质性条款，供应商如有任何一条负偏离则导致投标无效。</w:t>
      </w:r>
    </w:p>
    <w:tbl>
      <w:tblPr>
        <w:tblStyle w:val="3"/>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12"/>
        <w:gridCol w:w="1466"/>
        <w:gridCol w:w="4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86" w:type="pct"/>
            <w:shd w:val="clear" w:color="auto" w:fill="EDEBE0"/>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color w:val="auto"/>
                <w:sz w:val="24"/>
                <w:highlight w:val="none"/>
              </w:rPr>
            </w:pPr>
            <w:r>
              <w:rPr>
                <w:rFonts w:hint="eastAsia"/>
                <w:color w:val="auto"/>
                <w:sz w:val="24"/>
                <w:highlight w:val="none"/>
              </w:rPr>
              <w:t>采购内容</w:t>
            </w:r>
          </w:p>
        </w:tc>
        <w:tc>
          <w:tcPr>
            <w:tcW w:w="879" w:type="pct"/>
            <w:shd w:val="clear" w:color="auto" w:fill="EDEBE0"/>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color w:val="auto"/>
                <w:sz w:val="24"/>
                <w:highlight w:val="none"/>
              </w:rPr>
            </w:pPr>
            <w:r>
              <w:rPr>
                <w:rFonts w:hint="eastAsia"/>
                <w:color w:val="auto"/>
                <w:sz w:val="24"/>
                <w:highlight w:val="none"/>
              </w:rPr>
              <w:t>服务期</w:t>
            </w:r>
          </w:p>
        </w:tc>
        <w:tc>
          <w:tcPr>
            <w:tcW w:w="2736" w:type="pct"/>
            <w:shd w:val="clear" w:color="auto" w:fill="EDEBE0"/>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color w:val="auto"/>
                <w:sz w:val="24"/>
                <w:highlight w:val="none"/>
              </w:rPr>
            </w:pPr>
            <w:r>
              <w:rPr>
                <w:rFonts w:hint="eastAsia"/>
                <w:color w:val="auto"/>
                <w:sz w:val="24"/>
                <w:highlight w:val="none"/>
              </w:rPr>
              <w:t>最高费用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86"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color w:val="auto"/>
                <w:sz w:val="24"/>
                <w:highlight w:val="none"/>
              </w:rPr>
            </w:pPr>
            <w:r>
              <w:rPr>
                <w:rFonts w:hint="eastAsia"/>
                <w:color w:val="auto"/>
                <w:sz w:val="24"/>
                <w:highlight w:val="none"/>
              </w:rPr>
              <w:t>能耗总包 EMC</w:t>
            </w:r>
          </w:p>
        </w:tc>
        <w:tc>
          <w:tcPr>
            <w:tcW w:w="879"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eastAsia="宋体"/>
                <w:color w:val="auto"/>
                <w:sz w:val="24"/>
                <w:highlight w:val="none"/>
                <w:lang w:eastAsia="zh-CN"/>
              </w:rPr>
            </w:pPr>
            <w:r>
              <w:rPr>
                <w:rFonts w:hint="eastAsia"/>
                <w:color w:val="auto"/>
                <w:sz w:val="24"/>
                <w:highlight w:val="none"/>
                <w:lang w:eastAsia="zh-CN"/>
              </w:rPr>
              <w:t>10年</w:t>
            </w:r>
          </w:p>
        </w:tc>
        <w:tc>
          <w:tcPr>
            <w:tcW w:w="2736" w:type="pct"/>
            <w:noWrap w:val="0"/>
            <w:vAlign w:val="top"/>
          </w:tcPr>
          <w:p>
            <w:pPr>
              <w:pStyle w:val="6"/>
              <w:pageBreakBefore w:val="0"/>
              <w:kinsoku/>
              <w:wordWrap/>
              <w:overflowPunct/>
              <w:topLinePunct w:val="0"/>
              <w:autoSpaceDE/>
              <w:autoSpaceDN/>
              <w:bidi w:val="0"/>
              <w:snapToGrid w:val="0"/>
              <w:spacing w:line="360" w:lineRule="auto"/>
              <w:ind w:firstLine="120" w:firstLineChars="50"/>
              <w:rPr>
                <w:rFonts w:hint="eastAsia"/>
                <w:color w:val="auto"/>
                <w:sz w:val="24"/>
                <w:highlight w:val="none"/>
              </w:rPr>
            </w:pPr>
            <w:r>
              <w:rPr>
                <w:rFonts w:hint="eastAsia"/>
                <w:color w:val="auto"/>
                <w:sz w:val="24"/>
                <w:highlight w:val="none"/>
              </w:rPr>
              <w:t>人民币</w:t>
            </w:r>
            <w:r>
              <w:rPr>
                <w:rFonts w:hint="eastAsia"/>
                <w:color w:val="auto"/>
                <w:sz w:val="24"/>
                <w:highlight w:val="none"/>
                <w:u w:val="single"/>
                <w:lang w:val="en-US" w:eastAsia="zh-CN"/>
              </w:rPr>
              <w:t>240万元</w:t>
            </w:r>
            <w:r>
              <w:rPr>
                <w:rFonts w:hint="eastAsia"/>
                <w:color w:val="auto"/>
                <w:sz w:val="24"/>
                <w:highlight w:val="none"/>
              </w:rPr>
              <w:t>(包含天然气、电)</w:t>
            </w:r>
            <w:r>
              <w:rPr>
                <w:rFonts w:hint="eastAsia"/>
                <w:color w:val="auto"/>
                <w:sz w:val="24"/>
                <w:highlight w:val="none"/>
              </w:rPr>
              <w:t>/每年</w:t>
            </w:r>
          </w:p>
        </w:tc>
      </w:tr>
    </w:tbl>
    <w:p>
      <w:pPr>
        <w:pageBreakBefore w:val="0"/>
        <w:widowControl w:val="0"/>
        <w:kinsoku/>
        <w:wordWrap/>
        <w:overflowPunct/>
        <w:topLinePunct w:val="0"/>
        <w:autoSpaceDE/>
        <w:autoSpaceDN/>
        <w:bidi w:val="0"/>
        <w:snapToGrid w:val="0"/>
        <w:spacing w:line="360" w:lineRule="auto"/>
        <w:ind w:firstLine="446"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pacing w:val="-9"/>
          <w:kern w:val="2"/>
          <w:sz w:val="24"/>
          <w:szCs w:val="24"/>
          <w:highlight w:val="none"/>
          <w:lang w:val="en-US" w:eastAsia="zh-CN" w:bidi="ar-SA"/>
        </w:rPr>
        <w:t>注：</w:t>
      </w:r>
      <w:r>
        <w:rPr>
          <w:rFonts w:hint="eastAsia" w:ascii="宋体" w:hAnsi="宋体" w:eastAsia="宋体" w:cs="宋体"/>
          <w:color w:val="auto"/>
          <w:kern w:val="2"/>
          <w:sz w:val="24"/>
          <w:szCs w:val="24"/>
          <w:highlight w:val="none"/>
          <w:lang w:val="en-US" w:eastAsia="zh-CN" w:bidi="ar-SA"/>
        </w:rPr>
        <w:t xml:space="preserve"> 中标单位、医院方、</w:t>
      </w:r>
      <w:r>
        <w:rPr>
          <w:rFonts w:hint="eastAsia" w:ascii="宋体" w:hAnsi="宋体" w:cs="宋体"/>
          <w:color w:val="auto"/>
          <w:kern w:val="2"/>
          <w:sz w:val="24"/>
          <w:szCs w:val="24"/>
          <w:highlight w:val="none"/>
          <w:lang w:val="en-US" w:eastAsia="zh-CN" w:bidi="ar-SA"/>
        </w:rPr>
        <w:t>水/天然气/电</w:t>
      </w:r>
      <w:r>
        <w:rPr>
          <w:rFonts w:hint="eastAsia" w:ascii="宋体" w:hAnsi="宋体" w:eastAsia="宋体" w:cs="宋体"/>
          <w:color w:val="auto"/>
          <w:kern w:val="2"/>
          <w:sz w:val="24"/>
          <w:szCs w:val="24"/>
          <w:highlight w:val="none"/>
          <w:lang w:val="en-US" w:eastAsia="zh-CN" w:bidi="ar-SA"/>
        </w:rPr>
        <w:t>供能单位签订三方协议进行能源缴费过户，中标单位需要根据医院和</w:t>
      </w:r>
      <w:r>
        <w:rPr>
          <w:rFonts w:hint="eastAsia" w:ascii="宋体" w:hAnsi="宋体" w:cs="宋体"/>
          <w:color w:val="auto"/>
          <w:kern w:val="2"/>
          <w:sz w:val="24"/>
          <w:szCs w:val="24"/>
          <w:highlight w:val="none"/>
          <w:lang w:val="en-US" w:eastAsia="zh-CN" w:bidi="ar-SA"/>
        </w:rPr>
        <w:t>水/天然气/电</w:t>
      </w:r>
      <w:r>
        <w:rPr>
          <w:rFonts w:hint="eastAsia" w:ascii="宋体" w:hAnsi="宋体" w:eastAsia="宋体" w:cs="宋体"/>
          <w:color w:val="auto"/>
          <w:kern w:val="2"/>
          <w:sz w:val="24"/>
          <w:szCs w:val="24"/>
          <w:highlight w:val="none"/>
          <w:lang w:val="en-US" w:eastAsia="zh-CN" w:bidi="ar-SA"/>
        </w:rPr>
        <w:t>供能单位要求，及时、足额缴纳医院</w:t>
      </w:r>
      <w:r>
        <w:rPr>
          <w:rFonts w:hint="eastAsia" w:ascii="宋体" w:hAnsi="宋体" w:cs="宋体"/>
          <w:color w:val="auto"/>
          <w:kern w:val="2"/>
          <w:sz w:val="24"/>
          <w:szCs w:val="24"/>
          <w:highlight w:val="none"/>
          <w:lang w:val="en-US" w:eastAsia="zh-CN" w:bidi="ar-SA"/>
        </w:rPr>
        <w:t>水费电费天然气费</w:t>
      </w:r>
      <w:r>
        <w:rPr>
          <w:rFonts w:hint="eastAsia" w:ascii="宋体" w:hAnsi="宋体" w:eastAsia="宋体" w:cs="宋体"/>
          <w:color w:val="auto"/>
          <w:kern w:val="2"/>
          <w:sz w:val="24"/>
          <w:szCs w:val="24"/>
          <w:highlight w:val="none"/>
          <w:lang w:val="en-US" w:eastAsia="zh-CN" w:bidi="ar-SA"/>
        </w:rPr>
        <w:t>，保障医院</w:t>
      </w:r>
      <w:r>
        <w:rPr>
          <w:rFonts w:hint="eastAsia" w:ascii="宋体" w:hAnsi="宋体" w:cs="宋体"/>
          <w:color w:val="auto"/>
          <w:kern w:val="2"/>
          <w:sz w:val="24"/>
          <w:szCs w:val="24"/>
          <w:highlight w:val="none"/>
          <w:lang w:val="en-US" w:eastAsia="zh-CN" w:bidi="ar-SA"/>
        </w:rPr>
        <w:t>用水、用电、用气</w:t>
      </w:r>
      <w:r>
        <w:rPr>
          <w:rFonts w:hint="eastAsia" w:ascii="宋体" w:hAnsi="宋体" w:eastAsia="宋体" w:cs="宋体"/>
          <w:color w:val="auto"/>
          <w:kern w:val="2"/>
          <w:sz w:val="24"/>
          <w:szCs w:val="24"/>
          <w:highlight w:val="none"/>
          <w:lang w:val="en-US" w:eastAsia="zh-CN" w:bidi="ar-SA"/>
        </w:rPr>
        <w:t>安全。</w:t>
      </w:r>
    </w:p>
    <w:p>
      <w:pPr>
        <w:pageBreakBefore w:val="0"/>
        <w:widowControl w:val="0"/>
        <w:numPr>
          <w:ilvl w:val="2"/>
          <w:numId w:val="1"/>
        </w:numPr>
        <w:tabs>
          <w:tab w:val="left" w:pos="1024"/>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本项目预算编制依据铜陵市中医医院</w:t>
      </w:r>
      <w:r>
        <w:rPr>
          <w:rFonts w:hint="eastAsia" w:ascii="宋体" w:hAnsi="宋体" w:eastAsia="宋体" w:cs="宋体"/>
          <w:color w:val="auto"/>
          <w:kern w:val="0"/>
          <w:sz w:val="24"/>
          <w:szCs w:val="24"/>
          <w:highlight w:val="none"/>
          <w:lang w:val="en-US" w:eastAsia="zh-CN" w:bidi="ar-SA"/>
        </w:rPr>
        <w:t>202</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lang w:val="en-US" w:eastAsia="zh-CN" w:bidi="ar-SA"/>
        </w:rPr>
        <w:t>能源单价计算：电价：0.55 元/度， 天然气价:2.97元/m³（夏季）、3.45元/m³（冬季）</w:t>
      </w:r>
    </w:p>
    <w:p>
      <w:pPr>
        <w:pageBreakBefore w:val="0"/>
        <w:widowControl w:val="0"/>
        <w:numPr>
          <w:ilvl w:val="2"/>
          <w:numId w:val="1"/>
        </w:numPr>
        <w:tabs>
          <w:tab w:val="left" w:pos="99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本项目不组织集中勘查，若需勘查现场，请与采购人联系。</w:t>
      </w:r>
    </w:p>
    <w:p>
      <w:pPr>
        <w:pageBreakBefore w:val="0"/>
        <w:widowControl w:val="0"/>
        <w:tabs>
          <w:tab w:val="left" w:pos="999"/>
        </w:tabs>
        <w:kinsoku/>
        <w:wordWrap/>
        <w:overflowPunct/>
        <w:topLinePunct w:val="0"/>
        <w:autoSpaceDE/>
        <w:autoSpaceDN/>
        <w:bidi w:val="0"/>
        <w:snapToGrid w:val="0"/>
        <w:spacing w:line="360" w:lineRule="auto"/>
        <w:ind w:firstLine="0" w:firstLineChars="0"/>
        <w:jc w:val="both"/>
        <w:rPr>
          <w:rFonts w:hint="eastAsia" w:ascii="Calibri" w:hAnsi="Calibri" w:eastAsia="宋体" w:cs="Times New Roman"/>
          <w:b/>
          <w:color w:val="auto"/>
          <w:kern w:val="0"/>
          <w:sz w:val="32"/>
          <w:szCs w:val="32"/>
          <w:highlight w:val="none"/>
          <w:lang w:val="en-US" w:eastAsia="zh-CN" w:bidi="ar-SA"/>
        </w:rPr>
      </w:pPr>
      <w:r>
        <w:rPr>
          <w:rFonts w:hint="eastAsia" w:ascii="Calibri" w:hAnsi="Calibri" w:eastAsia="宋体" w:cs="Times New Roman"/>
          <w:b/>
          <w:color w:val="auto"/>
          <w:kern w:val="0"/>
          <w:sz w:val="32"/>
          <w:szCs w:val="32"/>
          <w:highlight w:val="none"/>
          <w:lang w:val="en-US" w:eastAsia="zh-CN" w:bidi="ar-SA"/>
        </w:rPr>
        <w:t>一、 项目要求</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left"/>
        <w:rPr>
          <w:rFonts w:hint="eastAsia" w:ascii="宋体" w:hAnsi="宋体" w:eastAsia="宋体" w:cs="宋体"/>
          <w:b/>
          <w:bCs/>
          <w:color w:val="auto"/>
          <w:kern w:val="0"/>
          <w:sz w:val="24"/>
          <w:szCs w:val="24"/>
          <w:highlight w:val="none"/>
          <w:lang w:val="en-US" w:eastAsia="zh-CN" w:bidi="ar-SA"/>
        </w:rPr>
      </w:pPr>
      <w:bookmarkStart w:id="0" w:name="1.1 建设目标"/>
      <w:bookmarkEnd w:id="0"/>
      <w:r>
        <w:rPr>
          <w:rFonts w:hint="eastAsia" w:ascii="宋体" w:hAnsi="宋体" w:eastAsia="宋体" w:cs="宋体"/>
          <w:b/>
          <w:bCs/>
          <w:color w:val="auto"/>
          <w:kern w:val="0"/>
          <w:sz w:val="24"/>
          <w:szCs w:val="24"/>
          <w:highlight w:val="none"/>
          <w:lang w:val="en-US" w:eastAsia="zh-CN" w:bidi="ar-SA"/>
        </w:rPr>
        <w:t>建设目标</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降低医院整体能耗</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0"/>
          <w:highlight w:val="none"/>
        </w:rPr>
      </w:pPr>
      <w:r>
        <w:rPr>
          <w:rFonts w:ascii="宋体" w:hAnsi="宋体"/>
          <w:color w:val="auto"/>
          <w:sz w:val="24"/>
          <w:szCs w:val="20"/>
          <w:highlight w:val="none"/>
        </w:rPr>
        <w:t>本项目旨在通过实施技术、管理专业化能源一揽子解决方案，</w:t>
      </w:r>
      <w:r>
        <w:rPr>
          <w:rFonts w:hint="eastAsia" w:ascii="宋体" w:hAnsi="宋体" w:eastAsia="宋体" w:cs="宋体"/>
          <w:color w:val="auto"/>
          <w:kern w:val="2"/>
          <w:sz w:val="24"/>
          <w:szCs w:val="24"/>
          <w:highlight w:val="none"/>
          <w:lang w:val="en-US" w:eastAsia="zh-CN" w:bidi="ar-SA"/>
        </w:rPr>
        <w:t>采用能耗总包合同能源管理模式，在满足中医医院总院院公共区域及办公楼宇正常使用的前提下，</w:t>
      </w:r>
      <w:r>
        <w:rPr>
          <w:rFonts w:ascii="宋体" w:hAnsi="宋体"/>
          <w:color w:val="auto"/>
          <w:sz w:val="24"/>
          <w:szCs w:val="20"/>
          <w:highlight w:val="none"/>
        </w:rPr>
        <w:t>委托专业能源服务公司，利用国内外最新能源及信息技术发展成果，统筹推进</w:t>
      </w:r>
      <w:r>
        <w:rPr>
          <w:rFonts w:hint="eastAsia" w:ascii="宋体" w:hAnsi="宋体"/>
          <w:color w:val="auto"/>
          <w:sz w:val="24"/>
          <w:szCs w:val="20"/>
          <w:highlight w:val="none"/>
          <w:lang w:val="en-US" w:eastAsia="zh-CN"/>
        </w:rPr>
        <w:t>铜陵市</w:t>
      </w:r>
      <w:r>
        <w:rPr>
          <w:rFonts w:hint="eastAsia" w:ascii="宋体" w:hAnsi="宋体"/>
          <w:color w:val="auto"/>
          <w:sz w:val="24"/>
          <w:szCs w:val="20"/>
          <w:highlight w:val="none"/>
        </w:rPr>
        <w:t>中医</w:t>
      </w:r>
      <w:r>
        <w:rPr>
          <w:rFonts w:hint="eastAsia" w:ascii="宋体" w:hAnsi="宋体"/>
          <w:color w:val="auto"/>
          <w:sz w:val="24"/>
          <w:szCs w:val="20"/>
          <w:highlight w:val="none"/>
          <w:lang w:val="en-US" w:eastAsia="zh-CN"/>
        </w:rPr>
        <w:t>医</w:t>
      </w:r>
      <w:r>
        <w:rPr>
          <w:rFonts w:hint="eastAsia" w:ascii="宋体" w:hAnsi="宋体"/>
          <w:color w:val="auto"/>
          <w:sz w:val="24"/>
          <w:szCs w:val="20"/>
          <w:highlight w:val="none"/>
        </w:rPr>
        <w:t>院</w:t>
      </w:r>
      <w:r>
        <w:rPr>
          <w:rFonts w:ascii="宋体" w:hAnsi="宋体"/>
          <w:color w:val="auto"/>
          <w:sz w:val="24"/>
          <w:szCs w:val="20"/>
          <w:highlight w:val="none"/>
        </w:rPr>
        <w:t>能源系统改造，提升能源综合利用水平，实现能源利用高效化、清洁化、智能化、数字化，逐步降低综合能耗。</w:t>
      </w:r>
      <w:r>
        <w:rPr>
          <w:rFonts w:hint="eastAsia" w:ascii="宋体" w:hAnsi="宋体"/>
          <w:color w:val="auto"/>
          <w:sz w:val="24"/>
          <w:szCs w:val="20"/>
          <w:highlight w:val="none"/>
          <w:lang w:eastAsia="zh-CN"/>
        </w:rPr>
        <w:t>采购人</w:t>
      </w:r>
      <w:r>
        <w:rPr>
          <w:rFonts w:ascii="宋体" w:hAnsi="宋体"/>
          <w:color w:val="auto"/>
          <w:sz w:val="24"/>
          <w:szCs w:val="20"/>
          <w:highlight w:val="none"/>
        </w:rPr>
        <w:t>按照协议约定向</w:t>
      </w:r>
      <w:r>
        <w:rPr>
          <w:rFonts w:hint="eastAsia" w:ascii="宋体" w:hAnsi="宋体"/>
          <w:color w:val="auto"/>
          <w:sz w:val="24"/>
          <w:szCs w:val="20"/>
          <w:highlight w:val="none"/>
        </w:rPr>
        <w:t>中标</w:t>
      </w:r>
      <w:r>
        <w:rPr>
          <w:rFonts w:ascii="宋体" w:hAnsi="宋体"/>
          <w:color w:val="auto"/>
          <w:sz w:val="24"/>
          <w:szCs w:val="20"/>
          <w:highlight w:val="none"/>
        </w:rPr>
        <w:t>人支付</w:t>
      </w:r>
      <w:r>
        <w:rPr>
          <w:rFonts w:hint="eastAsia" w:ascii="宋体" w:hAnsi="宋体"/>
          <w:color w:val="auto"/>
          <w:sz w:val="24"/>
          <w:szCs w:val="20"/>
          <w:highlight w:val="none"/>
        </w:rPr>
        <w:t>能源托管服务费。中</w:t>
      </w:r>
      <w:r>
        <w:rPr>
          <w:rFonts w:ascii="宋体" w:hAnsi="宋体"/>
          <w:color w:val="auto"/>
          <w:sz w:val="24"/>
          <w:szCs w:val="20"/>
          <w:highlight w:val="none"/>
        </w:rPr>
        <w:t>标人负责</w:t>
      </w:r>
      <w:r>
        <w:rPr>
          <w:rFonts w:hint="eastAsia" w:ascii="宋体" w:hAnsi="宋体"/>
          <w:color w:val="auto"/>
          <w:sz w:val="24"/>
          <w:szCs w:val="20"/>
          <w:highlight w:val="none"/>
        </w:rPr>
        <w:t>实施能源系统改造及相关设备运维，同时缴纳</w:t>
      </w:r>
      <w:r>
        <w:rPr>
          <w:rFonts w:hint="eastAsia" w:ascii="宋体" w:hAnsi="宋体" w:eastAsia="宋体" w:cs="宋体"/>
          <w:b/>
          <w:bCs/>
          <w:color w:val="auto"/>
          <w:kern w:val="2"/>
          <w:sz w:val="24"/>
          <w:szCs w:val="24"/>
          <w:highlight w:val="none"/>
          <w:lang w:val="en-US" w:eastAsia="zh-CN" w:bidi="ar-SA"/>
        </w:rPr>
        <w:t>服务期间采购人的</w:t>
      </w:r>
      <w:r>
        <w:rPr>
          <w:rFonts w:hint="eastAsia" w:ascii="宋体" w:hAnsi="宋体" w:cs="宋体"/>
          <w:b/>
          <w:bCs/>
          <w:color w:val="auto"/>
          <w:kern w:val="2"/>
          <w:sz w:val="24"/>
          <w:szCs w:val="24"/>
          <w:highlight w:val="none"/>
          <w:lang w:val="en-US" w:eastAsia="zh-CN" w:bidi="ar-SA"/>
        </w:rPr>
        <w:t>水费、电费、天然气费</w:t>
      </w:r>
      <w:r>
        <w:rPr>
          <w:rFonts w:hint="eastAsia" w:ascii="宋体" w:hAnsi="宋体" w:eastAsia="宋体" w:cs="宋体"/>
          <w:b/>
          <w:bCs/>
          <w:color w:val="auto"/>
          <w:kern w:val="2"/>
          <w:sz w:val="24"/>
          <w:szCs w:val="24"/>
          <w:highlight w:val="none"/>
          <w:lang w:val="en-US" w:eastAsia="zh-CN" w:bidi="ar-SA"/>
        </w:rPr>
        <w:t>、设备改造维护费用</w:t>
      </w:r>
      <w:r>
        <w:rPr>
          <w:rFonts w:hint="eastAsia" w:ascii="宋体" w:hAnsi="宋体"/>
          <w:color w:val="auto"/>
          <w:sz w:val="24"/>
          <w:szCs w:val="20"/>
          <w:highlight w:val="none"/>
        </w:rPr>
        <w:t>。项目由节能技改</w:t>
      </w:r>
      <w:r>
        <w:rPr>
          <w:rFonts w:hint="eastAsia" w:ascii="宋体" w:hAnsi="宋体"/>
          <w:color w:val="auto"/>
          <w:sz w:val="24"/>
          <w:szCs w:val="20"/>
          <w:highlight w:val="none"/>
          <w:lang w:eastAsia="zh-CN"/>
        </w:rPr>
        <w:t>（</w:t>
      </w:r>
      <w:r>
        <w:rPr>
          <w:rFonts w:hint="eastAsia" w:ascii="宋体" w:hAnsi="宋体" w:eastAsia="宋体" w:cs="宋体"/>
          <w:color w:val="auto"/>
          <w:kern w:val="2"/>
          <w:sz w:val="24"/>
          <w:szCs w:val="24"/>
          <w:highlight w:val="none"/>
          <w:lang w:val="en-US" w:eastAsia="zh-CN" w:bidi="ar-SA"/>
        </w:rPr>
        <w:t>中标人自行投资开展铜陵市中医医院项目综合节能改造，改造范围主要为中央空调系统</w:t>
      </w:r>
      <w:r>
        <w:rPr>
          <w:rFonts w:hint="eastAsia" w:ascii="宋体" w:hAnsi="宋体"/>
          <w:color w:val="auto"/>
          <w:sz w:val="24"/>
          <w:szCs w:val="20"/>
          <w:highlight w:val="none"/>
          <w:lang w:eastAsia="zh-CN"/>
        </w:rPr>
        <w:t>）</w:t>
      </w:r>
      <w:r>
        <w:rPr>
          <w:rFonts w:hint="eastAsia" w:ascii="宋体" w:hAnsi="宋体"/>
          <w:color w:val="auto"/>
          <w:sz w:val="24"/>
          <w:szCs w:val="20"/>
          <w:highlight w:val="none"/>
        </w:rPr>
        <w:t>、代维及相关服务组成，包括与之相关的设计、采购、施工等。</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textAlignment w:val="auto"/>
        <w:rPr>
          <w:rFonts w:ascii="宋体" w:hAnsi="宋体"/>
          <w:color w:val="auto"/>
          <w:sz w:val="24"/>
          <w:szCs w:val="24"/>
          <w:highlight w:val="none"/>
        </w:rPr>
      </w:pPr>
      <w:r>
        <w:rPr>
          <w:rFonts w:hint="eastAsia" w:ascii="宋体" w:hAnsi="宋体"/>
          <w:color w:val="auto"/>
          <w:sz w:val="24"/>
          <w:szCs w:val="24"/>
          <w:highlight w:val="none"/>
        </w:rPr>
        <w:t>如中标人所投入改造设备遇国家强制要求节能整改，中标人应无条件实施，不得向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提出经济索赔。中标人认为有节能潜力的其它项目在实施前必须取得</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同意方可实施。</w:t>
      </w:r>
    </w:p>
    <w:p>
      <w:pPr>
        <w:keepNext w:val="0"/>
        <w:keepLines w:val="0"/>
        <w:pageBreakBefore w:val="0"/>
        <w:widowControl w:val="0"/>
        <w:numPr>
          <w:ilvl w:val="2"/>
          <w:numId w:val="2"/>
        </w:numPr>
        <w:tabs>
          <w:tab w:val="left" w:pos="909"/>
        </w:tabs>
        <w:kinsoku/>
        <w:wordWrap/>
        <w:overflowPunct/>
        <w:topLinePunct w:val="0"/>
        <w:autoSpaceDE/>
        <w:autoSpaceDN/>
        <w:bidi w:val="0"/>
        <w:adjustRightInd/>
        <w:snapToGrid w:val="0"/>
        <w:spacing w:line="360" w:lineRule="auto"/>
        <w:ind w:left="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解决医院空调系统存在问题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★综合解决医院现有建筑空调机房系统老化及异常等问题，保证医院的空调使用要求。</w:t>
      </w:r>
      <w:r>
        <w:rPr>
          <w:rFonts w:hint="eastAsia" w:ascii="宋体" w:hAnsi="宋体" w:eastAsia="宋体" w:cs="宋体"/>
          <w:b/>
          <w:bCs/>
          <w:color w:val="auto"/>
          <w:kern w:val="2"/>
          <w:sz w:val="24"/>
          <w:szCs w:val="24"/>
          <w:highlight w:val="none"/>
          <w:lang w:val="en-US" w:eastAsia="zh-CN" w:bidi="ar-SA"/>
        </w:rPr>
        <w:t>（提供承诺函）</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bookmarkStart w:id="1" w:name="1.2 总体要求"/>
      <w:bookmarkEnd w:id="1"/>
      <w:r>
        <w:rPr>
          <w:rFonts w:hint="eastAsia" w:ascii="宋体" w:hAnsi="宋体" w:eastAsia="宋体" w:cs="宋体"/>
          <w:b/>
          <w:bCs/>
          <w:color w:val="auto"/>
          <w:kern w:val="0"/>
          <w:sz w:val="24"/>
          <w:szCs w:val="24"/>
          <w:highlight w:val="none"/>
          <w:lang w:val="en-US" w:eastAsia="zh-CN" w:bidi="ar-SA"/>
        </w:rPr>
        <w:t>总体要求</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改造原则</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由供应商根据现场调查情况，因地制宜，选择技术先进、经济合理的技术或产品，技术或产品要求技术成熟、稳定可靠。</w:t>
      </w:r>
    </w:p>
    <w:p>
      <w:pPr>
        <w:pageBreakBefore w:val="0"/>
        <w:widowControl w:val="0"/>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改造应在不对医院造成重大影响的情况进行；改造不应影响原有系统的正常运行；</w:t>
      </w:r>
    </w:p>
    <w:p>
      <w:pPr>
        <w:pageBreakBefore w:val="0"/>
        <w:widowControl w:val="0"/>
        <w:numPr>
          <w:ilvl w:val="3"/>
          <w:numId w:val="2"/>
        </w:numPr>
        <w:tabs>
          <w:tab w:val="left" w:pos="112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★对中央空调系统主机进行改造，确保中央空调系统正常运行，合同签订之日起1年内完成改造，改造期间不得影响空调效果和医院正常营业。(提供承诺函）</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bookmarkStart w:id="2" w:name="1.3 技术要求"/>
      <w:bookmarkEnd w:id="2"/>
      <w:r>
        <w:rPr>
          <w:rFonts w:hint="eastAsia" w:ascii="宋体" w:hAnsi="宋体" w:eastAsia="宋体" w:cs="宋体"/>
          <w:b/>
          <w:bCs/>
          <w:color w:val="auto"/>
          <w:kern w:val="0"/>
          <w:sz w:val="24"/>
          <w:szCs w:val="24"/>
          <w:highlight w:val="none"/>
          <w:lang w:val="en-US" w:eastAsia="zh-CN" w:bidi="ar-SA"/>
        </w:rPr>
        <w:t>技术要求</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节能改造技术要求</w:t>
      </w:r>
    </w:p>
    <w:p>
      <w:pPr>
        <w:pageBreakBefore w:val="0"/>
        <w:widowControl w:val="0"/>
        <w:numPr>
          <w:ilvl w:val="3"/>
          <w:numId w:val="2"/>
        </w:numPr>
        <w:tabs>
          <w:tab w:val="left" w:pos="1068"/>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节能措施应符合国家法律法规、产业政策要求以及工艺、设备等相关标准的规定。产品设计及设备安装应符合《合同能源管理技术通则》（GB/T24915-2010）规定。</w:t>
      </w:r>
    </w:p>
    <w:p>
      <w:pPr>
        <w:pageBreakBefore w:val="0"/>
        <w:widowControl w:val="0"/>
        <w:numPr>
          <w:ilvl w:val="3"/>
          <w:numId w:val="2"/>
        </w:numPr>
        <w:tabs>
          <w:tab w:val="left" w:pos="112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项目节能率的确定可按照 GB/T 13234 节能量计算方法及相关标准规范执行。</w:t>
      </w:r>
    </w:p>
    <w:p>
      <w:pPr>
        <w:pageBreakBefore w:val="0"/>
        <w:widowControl w:val="0"/>
        <w:numPr>
          <w:ilvl w:val="3"/>
          <w:numId w:val="2"/>
        </w:numPr>
        <w:tabs>
          <w:tab w:val="left" w:pos="112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项目的技术改造不能影响原系统的使用，并保证项目运行的安全性、可靠性。</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left"/>
        <w:rPr>
          <w:rFonts w:hint="eastAsia" w:ascii="宋体" w:hAnsi="宋体" w:eastAsia="宋体" w:cs="宋体"/>
          <w:b/>
          <w:bCs/>
          <w:color w:val="auto"/>
          <w:kern w:val="0"/>
          <w:sz w:val="24"/>
          <w:szCs w:val="24"/>
          <w:highlight w:val="none"/>
          <w:lang w:val="en-US" w:eastAsia="zh-CN" w:bidi="ar-SA"/>
        </w:rPr>
      </w:pPr>
      <w:bookmarkStart w:id="3" w:name="1.4 设备要求"/>
      <w:bookmarkEnd w:id="3"/>
      <w:r>
        <w:rPr>
          <w:rFonts w:hint="eastAsia" w:ascii="宋体" w:hAnsi="宋体" w:eastAsia="宋体" w:cs="宋体"/>
          <w:b/>
          <w:bCs/>
          <w:color w:val="auto"/>
          <w:kern w:val="0"/>
          <w:sz w:val="24"/>
          <w:szCs w:val="24"/>
          <w:highlight w:val="none"/>
          <w:lang w:val="en-US" w:eastAsia="zh-CN" w:bidi="ar-SA"/>
        </w:rPr>
        <w:t>设备要求</w:t>
      </w:r>
    </w:p>
    <w:p>
      <w:pPr>
        <w:pageBreakBefore w:val="0"/>
        <w:widowControl w:val="0"/>
        <w:tabs>
          <w:tab w:val="left" w:pos="909"/>
        </w:tabs>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使用现在先进、节能的设备替换原有设备的，需要征得采购人同意，并保证新投入设备必需要有符合国家规定的证明文件，不影响医院正常运营。</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left"/>
        <w:rPr>
          <w:rFonts w:hint="eastAsia" w:ascii="宋体" w:hAnsi="宋体" w:eastAsia="宋体" w:cs="宋体"/>
          <w:b/>
          <w:bCs/>
          <w:color w:val="auto"/>
          <w:kern w:val="0"/>
          <w:sz w:val="24"/>
          <w:szCs w:val="24"/>
          <w:highlight w:val="none"/>
          <w:lang w:val="en-US" w:eastAsia="zh-CN" w:bidi="ar-SA"/>
        </w:rPr>
      </w:pPr>
      <w:bookmarkStart w:id="4" w:name="1.5 验收标准"/>
      <w:bookmarkEnd w:id="4"/>
      <w:r>
        <w:rPr>
          <w:rFonts w:hint="eastAsia" w:ascii="宋体" w:hAnsi="宋体" w:eastAsia="宋体" w:cs="宋体"/>
          <w:b/>
          <w:bCs/>
          <w:color w:val="auto"/>
          <w:kern w:val="0"/>
          <w:sz w:val="24"/>
          <w:szCs w:val="24"/>
          <w:highlight w:val="none"/>
          <w:lang w:val="en-US" w:eastAsia="zh-CN" w:bidi="ar-SA"/>
        </w:rPr>
        <w:t>验收标准</w:t>
      </w:r>
    </w:p>
    <w:p>
      <w:pPr>
        <w:pageBreakBefore w:val="0"/>
        <w:widowControl w:val="0"/>
        <w:tabs>
          <w:tab w:val="left" w:pos="909"/>
        </w:tabs>
        <w:kinsoku/>
        <w:wordWrap/>
        <w:overflowPunct/>
        <w:topLinePunct w:val="0"/>
        <w:autoSpaceDE/>
        <w:autoSpaceDN/>
        <w:bidi w:val="0"/>
        <w:snapToGrid w:val="0"/>
        <w:spacing w:line="360" w:lineRule="auto"/>
        <w:ind w:left="48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中央空调系统的验收：在改造完成后所有楼宇均能保证满足国标要求的空调效果。</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bookmarkStart w:id="5" w:name="1.6 保修和售后服务要求"/>
      <w:bookmarkEnd w:id="5"/>
      <w:r>
        <w:rPr>
          <w:rFonts w:hint="eastAsia" w:ascii="宋体" w:hAnsi="宋体" w:eastAsia="宋体" w:cs="宋体"/>
          <w:b/>
          <w:bCs/>
          <w:color w:val="auto"/>
          <w:kern w:val="0"/>
          <w:sz w:val="24"/>
          <w:szCs w:val="24"/>
          <w:highlight w:val="none"/>
          <w:lang w:val="en-US" w:eastAsia="zh-CN" w:bidi="ar-SA"/>
        </w:rPr>
        <w:t>保修和售后服务要求</w:t>
      </w:r>
    </w:p>
    <w:p>
      <w:pPr>
        <w:pageBreakBefore w:val="0"/>
        <w:widowControl w:val="0"/>
        <w:numPr>
          <w:ilvl w:val="2"/>
          <w:numId w:val="2"/>
        </w:numPr>
        <w:tabs>
          <w:tab w:val="left" w:pos="85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中标人应设专门的售后服务管理部门，4 小时内到达现场，快速响应要求，投标文件中应列出具体响应方式及保障措施。</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在改造项目中加装或更换或经重大改造的设备的维修和保养，在合同期内均由中标人负责。</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bookmarkStart w:id="6" w:name="1.7 节能服务合同年限：10年。"/>
      <w:bookmarkEnd w:id="6"/>
      <w:r>
        <w:rPr>
          <w:rFonts w:hint="eastAsia" w:ascii="宋体" w:hAnsi="宋体" w:eastAsia="宋体" w:cs="宋体"/>
          <w:b/>
          <w:bCs/>
          <w:color w:val="auto"/>
          <w:kern w:val="0"/>
          <w:sz w:val="24"/>
          <w:szCs w:val="24"/>
          <w:highlight w:val="none"/>
          <w:lang w:val="en-US" w:eastAsia="zh-CN" w:bidi="ar-SA"/>
        </w:rPr>
        <w:t>节能服务合同年限：</w:t>
      </w:r>
      <w:r>
        <w:rPr>
          <w:rFonts w:hint="eastAsia" w:ascii="宋体" w:hAnsi="宋体" w:cs="宋体"/>
          <w:b/>
          <w:bCs/>
          <w:color w:val="auto"/>
          <w:kern w:val="0"/>
          <w:sz w:val="24"/>
          <w:szCs w:val="24"/>
          <w:highlight w:val="none"/>
          <w:lang w:val="en-US" w:eastAsia="zh-CN" w:bidi="ar-SA"/>
        </w:rPr>
        <w:t xml:space="preserve">10年（如一年内有两次考核不合格或连续两年内有考核不合格，中标人不采取实质性改进措施，医院有权立即终止合同。）合同期内，中标者投资的设备的维修保养由投资方负责，投资方免费培训院方工作人员维修维保技能。合同期满后，中标者向院方无偿移交全部固定资产、无形资产以及相关文件资料，并确保设备完好并正常运行一年以上。 </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bookmarkStart w:id="7" w:name="1.8 合同支付和结算方式"/>
      <w:bookmarkEnd w:id="7"/>
      <w:r>
        <w:rPr>
          <w:rFonts w:hint="eastAsia" w:ascii="宋体" w:hAnsi="宋体" w:eastAsia="宋体" w:cs="宋体"/>
          <w:b/>
          <w:bCs/>
          <w:color w:val="auto"/>
          <w:kern w:val="0"/>
          <w:sz w:val="24"/>
          <w:szCs w:val="24"/>
          <w:highlight w:val="none"/>
          <w:lang w:val="en-US" w:eastAsia="zh-CN" w:bidi="ar-SA"/>
        </w:rPr>
        <w:t>合同支付和结算方式</w:t>
      </w:r>
    </w:p>
    <w:p>
      <w:pPr>
        <w:pageBreakBefore w:val="0"/>
        <w:widowControl w:val="0"/>
        <w:numPr>
          <w:ilvl w:val="2"/>
          <w:numId w:val="2"/>
        </w:numPr>
        <w:tabs>
          <w:tab w:val="left" w:pos="912"/>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bookmarkStart w:id="8" w:name="1.8.1 能耗总包费用以投标能耗总包能源费用为准；结算电价/气价以当期物价局颁"/>
      <w:bookmarkEnd w:id="8"/>
      <w:r>
        <w:rPr>
          <w:rFonts w:hint="eastAsia" w:ascii="宋体" w:hAnsi="宋体" w:eastAsia="宋体" w:cs="宋体"/>
          <w:color w:val="auto"/>
          <w:kern w:val="0"/>
          <w:sz w:val="24"/>
          <w:szCs w:val="24"/>
          <w:highlight w:val="none"/>
          <w:lang w:val="en-US" w:eastAsia="zh-CN" w:bidi="ar-SA"/>
        </w:rPr>
        <w:t>能耗总包费用以投标能耗总包能源费用为准；结算</w:t>
      </w:r>
      <w:r>
        <w:rPr>
          <w:rFonts w:hint="eastAsia" w:ascii="宋体" w:hAnsi="宋体" w:cs="宋体"/>
          <w:color w:val="auto"/>
          <w:kern w:val="0"/>
          <w:sz w:val="24"/>
          <w:szCs w:val="24"/>
          <w:highlight w:val="none"/>
          <w:lang w:val="en-US" w:eastAsia="zh-CN" w:bidi="ar-SA"/>
        </w:rPr>
        <w:t>水价/电价/气价</w:t>
      </w:r>
      <w:r>
        <w:rPr>
          <w:rFonts w:hint="eastAsia" w:ascii="宋体" w:hAnsi="宋体" w:eastAsia="宋体" w:cs="宋体"/>
          <w:color w:val="auto"/>
          <w:kern w:val="0"/>
          <w:sz w:val="24"/>
          <w:szCs w:val="24"/>
          <w:highlight w:val="none"/>
          <w:lang w:val="en-US" w:eastAsia="zh-CN" w:bidi="ar-SA"/>
        </w:rPr>
        <w:t>以当期物价局颁布的执行价格为准，如能源单价发生变化，可根据能源单价调价机制进行调整。</w:t>
      </w:r>
    </w:p>
    <w:p>
      <w:pPr>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当任何一种能源的价格变化（上涨/下降率）≥5%，收费标准按热源65%、电16%、水3%、其它16%的比例对应调整（其它指税率或政府收费发生变化或物价上涨指数变化导致的材料、人工、管理等费用的变化。物价上涨指数按国家统计局每年发布的CPI数据为准，如果上涨/下降率≥5%，则调整收费）。每月15日前变化的则当月调整，15日后变化的则次月调整（视具体情况甲、乙双方协商解决）。</w:t>
      </w:r>
    </w:p>
    <w:p>
      <w:pPr>
        <w:pageBreakBefore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2.计算公式为：收费标准=原收费标准×（1＋热源上涨率/下降率×65%＋电价上涨率/下降率  ×16%＋水价上涨率/下降率×3%＋其他上涨率/下降率×16%）注：上涨率为正值，下降率为负值，上涨/下降率＜5%时按0计算。</w:t>
      </w:r>
    </w:p>
    <w:p>
      <w:pPr>
        <w:pageBreakBefore w:val="0"/>
        <w:tabs>
          <w:tab w:val="left" w:pos="546"/>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auto"/>
          <w:sz w:val="24"/>
          <w:highlight w:val="none"/>
        </w:rPr>
      </w:pPr>
      <w:r>
        <w:rPr>
          <w:rFonts w:hint="eastAsia" w:ascii="宋体" w:hAnsi="宋体" w:cs="宋体"/>
          <w:b/>
          <w:color w:val="auto"/>
          <w:sz w:val="24"/>
          <w:highlight w:val="none"/>
        </w:rPr>
        <w:t>3.当实际计费面积或建筑功能占比变化超过2%，则当月起按各功能区域的实际计费面积相应调整收费。</w:t>
      </w:r>
    </w:p>
    <w:p>
      <w:pPr>
        <w:pageBreakBefore w:val="0"/>
        <w:widowControl w:val="0"/>
        <w:numPr>
          <w:ilvl w:val="2"/>
          <w:numId w:val="2"/>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bookmarkStart w:id="9" w:name="1.8.2 由采购人按总包费用每月支付给中标人，中标人应开具发票。医院实际产生费"/>
      <w:bookmarkEnd w:id="9"/>
      <w:r>
        <w:rPr>
          <w:rFonts w:hint="eastAsia" w:ascii="宋体" w:hAnsi="宋体" w:eastAsia="宋体" w:cs="宋体"/>
          <w:color w:val="auto"/>
          <w:kern w:val="0"/>
          <w:sz w:val="24"/>
          <w:szCs w:val="24"/>
          <w:highlight w:val="none"/>
          <w:lang w:val="en-US" w:eastAsia="zh-CN" w:bidi="ar-SA"/>
        </w:rPr>
        <w:t>由采购人按总包费用每月支付给中标人，中标人应开具发票。医院实际产生费用由中标人支付。（中标人必须按照</w:t>
      </w:r>
      <w:r>
        <w:rPr>
          <w:rFonts w:hint="eastAsia" w:ascii="宋体" w:hAnsi="宋体" w:cs="宋体"/>
          <w:color w:val="auto"/>
          <w:kern w:val="0"/>
          <w:sz w:val="24"/>
          <w:szCs w:val="24"/>
          <w:highlight w:val="none"/>
          <w:lang w:val="en-US" w:eastAsia="zh-CN" w:bidi="ar-SA"/>
        </w:rPr>
        <w:t>供水供电供气</w:t>
      </w:r>
      <w:r>
        <w:rPr>
          <w:rFonts w:hint="eastAsia" w:ascii="宋体" w:hAnsi="宋体" w:eastAsia="宋体" w:cs="宋体"/>
          <w:color w:val="auto"/>
          <w:kern w:val="0"/>
          <w:sz w:val="24"/>
          <w:szCs w:val="24"/>
          <w:highlight w:val="none"/>
          <w:lang w:val="en-US" w:eastAsia="zh-CN" w:bidi="ar-SA"/>
        </w:rPr>
        <w:t>部门和医院的要求，及时、足额缴纳</w:t>
      </w:r>
      <w:r>
        <w:rPr>
          <w:rFonts w:hint="eastAsia" w:ascii="宋体" w:hAnsi="宋体" w:cs="宋体"/>
          <w:color w:val="auto"/>
          <w:kern w:val="0"/>
          <w:sz w:val="24"/>
          <w:szCs w:val="24"/>
          <w:highlight w:val="none"/>
          <w:lang w:val="en-US" w:eastAsia="zh-CN" w:bidi="ar-SA"/>
        </w:rPr>
        <w:t>水费</w:t>
      </w:r>
      <w:r>
        <w:rPr>
          <w:rFonts w:hint="eastAsia" w:ascii="宋体" w:hAnsi="宋体" w:eastAsia="宋体" w:cs="宋体"/>
          <w:color w:val="auto"/>
          <w:kern w:val="0"/>
          <w:sz w:val="24"/>
          <w:szCs w:val="24"/>
          <w:highlight w:val="none"/>
          <w:lang w:val="en-US" w:eastAsia="zh-CN" w:bidi="ar-SA"/>
        </w:rPr>
        <w:t>电费气费，保障医院</w:t>
      </w:r>
      <w:r>
        <w:rPr>
          <w:rFonts w:hint="eastAsia" w:ascii="宋体" w:hAnsi="宋体" w:cs="宋体"/>
          <w:color w:val="auto"/>
          <w:kern w:val="0"/>
          <w:sz w:val="24"/>
          <w:szCs w:val="24"/>
          <w:highlight w:val="none"/>
          <w:lang w:val="en-US" w:eastAsia="zh-CN" w:bidi="ar-SA"/>
        </w:rPr>
        <w:t>用水</w:t>
      </w:r>
      <w:r>
        <w:rPr>
          <w:rFonts w:hint="eastAsia" w:ascii="宋体" w:hAnsi="宋体" w:eastAsia="宋体" w:cs="宋体"/>
          <w:color w:val="auto"/>
          <w:kern w:val="0"/>
          <w:sz w:val="24"/>
          <w:szCs w:val="24"/>
          <w:highlight w:val="none"/>
          <w:lang w:val="en-US" w:eastAsia="zh-CN" w:bidi="ar-SA"/>
        </w:rPr>
        <w:t>用电用气安全，不得以任何理由拖延缴费，否则视为违约）。</w:t>
      </w:r>
    </w:p>
    <w:p>
      <w:pPr>
        <w:pageBreakBefore w:val="0"/>
        <w:widowControl w:val="0"/>
        <w:numPr>
          <w:ilvl w:val="2"/>
          <w:numId w:val="2"/>
        </w:numPr>
        <w:tabs>
          <w:tab w:val="left" w:pos="85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bookmarkStart w:id="10" w:name="1.8.3采购人按月支付上一月能源服务费,中标人应于下一月3日前向采购人开具发票"/>
      <w:bookmarkEnd w:id="10"/>
      <w:r>
        <w:rPr>
          <w:rFonts w:hint="eastAsia" w:ascii="宋体" w:hAnsi="宋体" w:eastAsia="宋体" w:cs="宋体"/>
          <w:color w:val="auto"/>
          <w:kern w:val="0"/>
          <w:sz w:val="24"/>
          <w:szCs w:val="24"/>
          <w:highlight w:val="none"/>
          <w:lang w:val="en-US" w:eastAsia="zh-CN" w:bidi="ar-SA"/>
        </w:rPr>
        <w:t xml:space="preserve">采购人按月支付上一月能源服务费,中标人应于下一月 </w:t>
      </w:r>
      <w:r>
        <w:rPr>
          <w:rFonts w:hint="eastAsia" w:ascii="宋体" w:hAnsi="宋体" w:eastAsia="宋体" w:cs="宋体"/>
          <w:color w:val="auto"/>
          <w:kern w:val="0"/>
          <w:sz w:val="24"/>
          <w:szCs w:val="24"/>
          <w:highlight w:val="none"/>
          <w:u w:val="single"/>
          <w:lang w:val="en-US" w:eastAsia="zh-CN" w:bidi="ar-SA"/>
        </w:rPr>
        <w:t>3</w:t>
      </w:r>
      <w:r>
        <w:rPr>
          <w:rFonts w:hint="eastAsia" w:ascii="宋体" w:hAnsi="宋体" w:eastAsia="宋体" w:cs="宋体"/>
          <w:color w:val="auto"/>
          <w:kern w:val="0"/>
          <w:sz w:val="24"/>
          <w:szCs w:val="24"/>
          <w:highlight w:val="none"/>
          <w:lang w:val="en-US" w:eastAsia="zh-CN" w:bidi="ar-SA"/>
        </w:rPr>
        <w:t xml:space="preserve"> 日前向采购人开具发票。采购人自收到发票后的10个工作日内并确认中标人已缴纳采购人上一个月的实际费用后，向中标人支付上一月能源服务费。</w:t>
      </w:r>
    </w:p>
    <w:p>
      <w:pPr>
        <w:pageBreakBefore w:val="0"/>
        <w:widowControl w:val="0"/>
        <w:numPr>
          <w:ilvl w:val="1"/>
          <w:numId w:val="2"/>
        </w:numPr>
        <w:tabs>
          <w:tab w:val="left" w:pos="700"/>
        </w:tabs>
        <w:kinsoku/>
        <w:wordWrap/>
        <w:overflowPunct/>
        <w:topLinePunct w:val="0"/>
        <w:autoSpaceDE/>
        <w:autoSpaceDN/>
        <w:bidi w:val="0"/>
        <w:snapToGrid w:val="0"/>
        <w:spacing w:line="360" w:lineRule="auto"/>
        <w:ind w:left="0" w:firstLine="482" w:firstLineChars="200"/>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费用总包注意事项</w:t>
      </w:r>
    </w:p>
    <w:p>
      <w:pPr>
        <w:pageBreakBefore w:val="0"/>
        <w:widowControl w:val="0"/>
        <w:tabs>
          <w:tab w:val="left" w:pos="859"/>
        </w:tabs>
        <w:kinsoku/>
        <w:wordWrap/>
        <w:overflowPunct/>
        <w:topLinePunct w:val="0"/>
        <w:autoSpaceDE/>
        <w:autoSpaceDN/>
        <w:bidi w:val="0"/>
        <w:snapToGrid w:val="0"/>
        <w:spacing w:line="360" w:lineRule="auto"/>
        <w:ind w:left="48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投标人应考虑现有机电系统有问题时可能引起的能耗增加，该部分费用应包含在能耗总包费用中，采购人不另行支付。</w:t>
      </w:r>
    </w:p>
    <w:p>
      <w:pPr>
        <w:pageBreakBefore w:val="0"/>
        <w:kinsoku/>
        <w:wordWrap/>
        <w:overflowPunct/>
        <w:topLinePunct w:val="0"/>
        <w:autoSpaceDE/>
        <w:autoSpaceDN/>
        <w:bidi w:val="0"/>
        <w:snapToGrid w:val="0"/>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二、能耗总包内容</w:t>
      </w:r>
    </w:p>
    <w:p>
      <w:pPr>
        <w:pageBreakBefore w:val="0"/>
        <w:widowControl w:val="0"/>
        <w:numPr>
          <w:ilvl w:val="1"/>
          <w:numId w:val="3"/>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改造内容</w:t>
      </w:r>
    </w:p>
    <w:p>
      <w:pPr>
        <w:pageBreakBefore w:val="0"/>
        <w:widowControl w:val="0"/>
        <w:tabs>
          <w:tab w:val="left" w:pos="700"/>
        </w:tabs>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委托中标人总包能源系统，中标人负责投资项目改造的全部费用，包括节能改造和运行管理，提高能源效率，降低能源等费用，对项目费用进行承包。改造范围主要为中央空调系统，合同期内的经济效益风险由中标人自行承担。</w:t>
      </w:r>
    </w:p>
    <w:p>
      <w:pPr>
        <w:pageBreakBefore w:val="0"/>
        <w:widowControl w:val="0"/>
        <w:numPr>
          <w:ilvl w:val="1"/>
          <w:numId w:val="3"/>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中标人负责中央空调系统的节能改造。</w:t>
      </w:r>
    </w:p>
    <w:p>
      <w:pPr>
        <w:pageBreakBefore w:val="0"/>
        <w:widowControl w:val="0"/>
        <w:numPr>
          <w:ilvl w:val="2"/>
          <w:numId w:val="3"/>
        </w:numPr>
        <w:tabs>
          <w:tab w:val="left" w:pos="909"/>
        </w:tabs>
        <w:kinsoku/>
        <w:wordWrap/>
        <w:overflowPunct/>
        <w:topLinePunct w:val="0"/>
        <w:autoSpaceDE/>
        <w:autoSpaceDN/>
        <w:bidi w:val="0"/>
        <w:snapToGrid w:val="0"/>
        <w:spacing w:line="360" w:lineRule="auto"/>
        <w:ind w:left="4" w:firstLine="529"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★在改造过程或后续节能运行中，如有进一步节能的需要，中标人须编制相关改造详细方案，经采购人相关主管部门同意后才能实施。</w:t>
      </w:r>
      <w:r>
        <w:rPr>
          <w:rFonts w:hint="eastAsia" w:ascii="宋体" w:hAnsi="宋体" w:eastAsia="宋体" w:cs="宋体"/>
          <w:b/>
          <w:bCs/>
          <w:color w:val="auto"/>
          <w:kern w:val="0"/>
          <w:sz w:val="24"/>
          <w:szCs w:val="24"/>
          <w:highlight w:val="none"/>
          <w:lang w:val="en-US" w:eastAsia="zh-CN" w:bidi="ar-SA"/>
        </w:rPr>
        <w:t>（提供承诺函）</w:t>
      </w:r>
      <w:r>
        <w:rPr>
          <w:rFonts w:hint="eastAsia" w:ascii="宋体" w:hAnsi="宋体" w:eastAsia="宋体" w:cs="宋体"/>
          <w:color w:val="auto"/>
          <w:kern w:val="0"/>
          <w:sz w:val="24"/>
          <w:szCs w:val="24"/>
          <w:highlight w:val="none"/>
          <w:lang w:val="en-US" w:eastAsia="zh-CN" w:bidi="ar-SA"/>
        </w:rPr>
        <w:t>。</w:t>
      </w:r>
    </w:p>
    <w:p>
      <w:pPr>
        <w:pageBreakBefore w:val="0"/>
        <w:widowControl w:val="0"/>
        <w:numPr>
          <w:ilvl w:val="1"/>
          <w:numId w:val="3"/>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能源系统的运行管理责任。</w:t>
      </w:r>
    </w:p>
    <w:p>
      <w:pPr>
        <w:pageBreakBefore w:val="0"/>
        <w:widowControl w:val="0"/>
        <w:numPr>
          <w:ilvl w:val="2"/>
          <w:numId w:val="3"/>
        </w:numPr>
        <w:tabs>
          <w:tab w:val="left" w:pos="909"/>
        </w:tabs>
        <w:kinsoku/>
        <w:wordWrap/>
        <w:overflowPunct/>
        <w:topLinePunct w:val="0"/>
        <w:autoSpaceDE/>
        <w:autoSpaceDN/>
        <w:bidi w:val="0"/>
        <w:snapToGrid w:val="0"/>
        <w:spacing w:line="360" w:lineRule="auto"/>
        <w:ind w:left="4" w:firstLine="56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采购人现有中央空调主机、水泵等旧设备归采购人所有，中标人投资的节能设备、工程等项目产权在能源合同期间归中标人所有，采购人享有使用权，合同期结束且采购人付清合同下全部费用后归采购人所有，</w:t>
      </w:r>
      <w:r>
        <w:rPr>
          <w:rFonts w:hint="eastAsia" w:ascii="宋体" w:hAnsi="宋体" w:eastAsia="宋体" w:cs="宋体"/>
          <w:color w:val="auto"/>
          <w:kern w:val="0"/>
          <w:sz w:val="24"/>
          <w:szCs w:val="24"/>
          <w:highlight w:val="none"/>
          <w:lang w:val="en-US" w:eastAsia="zh-CN" w:bidi="ar-SA"/>
        </w:rPr>
        <w:t>如合同期提前结束</w:t>
      </w:r>
      <w:r>
        <w:rPr>
          <w:rFonts w:hint="eastAsia" w:ascii="宋体" w:hAnsi="宋体" w:eastAsia="宋体" w:cs="宋体"/>
          <w:color w:val="auto"/>
          <w:kern w:val="0"/>
          <w:sz w:val="24"/>
          <w:szCs w:val="24"/>
          <w:highlight w:val="none"/>
          <w:lang w:val="en-US" w:eastAsia="zh-CN" w:bidi="ar-SA"/>
        </w:rPr>
        <w:t>，中标人投资额按</w:t>
      </w:r>
      <w:r>
        <w:rPr>
          <w:rFonts w:hint="eastAsia" w:ascii="宋体" w:hAnsi="宋体" w:cs="宋体"/>
          <w:color w:val="auto"/>
          <w:kern w:val="0"/>
          <w:sz w:val="24"/>
          <w:szCs w:val="24"/>
          <w:highlight w:val="none"/>
          <w:lang w:val="en-US" w:eastAsia="zh-CN" w:bidi="ar-SA"/>
        </w:rPr>
        <w:t>10年</w:t>
      </w:r>
      <w:r>
        <w:rPr>
          <w:rFonts w:hint="eastAsia" w:ascii="宋体" w:hAnsi="宋体" w:eastAsia="宋体" w:cs="宋体"/>
          <w:color w:val="auto"/>
          <w:kern w:val="0"/>
          <w:sz w:val="24"/>
          <w:szCs w:val="24"/>
          <w:highlight w:val="none"/>
          <w:lang w:val="en-US" w:eastAsia="zh-CN" w:bidi="ar-SA"/>
        </w:rPr>
        <w:t>平均折算，采购人付清未执行期间对应投资费用后节能设备等项目产权归采购人所有。（中标人投资的节能设备、工程等投资额需结束后及时由采购人认可）。</w:t>
      </w:r>
    </w:p>
    <w:p>
      <w:pPr>
        <w:pageBreakBefore w:val="0"/>
        <w:widowControl w:val="0"/>
        <w:numPr>
          <w:ilvl w:val="2"/>
          <w:numId w:val="3"/>
        </w:numPr>
        <w:tabs>
          <w:tab w:val="left" w:pos="856"/>
        </w:tabs>
        <w:kinsoku/>
        <w:wordWrap/>
        <w:overflowPunct/>
        <w:topLinePunct w:val="0"/>
        <w:autoSpaceDE/>
        <w:autoSpaceDN/>
        <w:bidi w:val="0"/>
        <w:snapToGrid w:val="0"/>
        <w:spacing w:line="360" w:lineRule="auto"/>
        <w:ind w:left="4" w:firstLine="556"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中标人投资的节能设备或经中标人改造后的设备的维保由中标人负责。中标人新增节能设备在合同期间的设备质量问题由中标人负责。</w:t>
      </w:r>
    </w:p>
    <w:p>
      <w:pPr>
        <w:pageBreakBefore w:val="0"/>
        <w:widowControl w:val="0"/>
        <w:numPr>
          <w:ilvl w:val="2"/>
          <w:numId w:val="3"/>
        </w:numPr>
        <w:tabs>
          <w:tab w:val="left" w:pos="909"/>
        </w:tabs>
        <w:kinsoku/>
        <w:wordWrap/>
        <w:overflowPunct/>
        <w:topLinePunct w:val="0"/>
        <w:autoSpaceDE/>
        <w:autoSpaceDN/>
        <w:bidi w:val="0"/>
        <w:snapToGrid w:val="0"/>
        <w:spacing w:line="360" w:lineRule="auto"/>
        <w:ind w:left="4" w:firstLine="505"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完成节能改造建设调试后，中标人应根据设定的节能目标在不影响采购人的使用需求的情况下编制运行调节策略。</w:t>
      </w:r>
    </w:p>
    <w:p>
      <w:pPr>
        <w:pageBreakBefore w:val="0"/>
        <w:widowControl w:val="0"/>
        <w:numPr>
          <w:ilvl w:val="2"/>
          <w:numId w:val="3"/>
        </w:numPr>
        <w:tabs>
          <w:tab w:val="left" w:pos="909"/>
        </w:tabs>
        <w:kinsoku/>
        <w:wordWrap/>
        <w:overflowPunct/>
        <w:topLinePunct w:val="0"/>
        <w:autoSpaceDE/>
        <w:autoSpaceDN/>
        <w:bidi w:val="0"/>
        <w:snapToGrid w:val="0"/>
        <w:spacing w:line="360" w:lineRule="auto"/>
        <w:ind w:left="4" w:firstLine="52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中标人应以全面节能为目标，结合项目使用功能情况现状，协助采购人建立完善节能管理体系。</w:t>
      </w:r>
    </w:p>
    <w:p>
      <w:pPr>
        <w:pageBreakBefore w:val="0"/>
        <w:widowControl w:val="0"/>
        <w:numPr>
          <w:ilvl w:val="2"/>
          <w:numId w:val="3"/>
        </w:numPr>
        <w:tabs>
          <w:tab w:val="left" w:pos="909"/>
        </w:tabs>
        <w:kinsoku/>
        <w:wordWrap/>
        <w:overflowPunct/>
        <w:topLinePunct w:val="0"/>
        <w:autoSpaceDE/>
        <w:autoSpaceDN/>
        <w:bidi w:val="0"/>
        <w:snapToGrid w:val="0"/>
        <w:spacing w:line="360" w:lineRule="auto"/>
        <w:ind w:left="4" w:firstLine="505"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在托管期内，中标人指派管理专员对整个系统的运行策略进行全日制管理，每个月提供运行指导策略书，保障按照设定策略运行。</w:t>
      </w:r>
    </w:p>
    <w:p>
      <w:pPr>
        <w:pageBreakBefore w:val="0"/>
        <w:widowControl w:val="0"/>
        <w:numPr>
          <w:ilvl w:val="2"/>
          <w:numId w:val="3"/>
        </w:numPr>
        <w:tabs>
          <w:tab w:val="left" w:pos="856"/>
        </w:tabs>
        <w:kinsoku/>
        <w:wordWrap/>
        <w:overflowPunct/>
        <w:topLinePunct w:val="0"/>
        <w:autoSpaceDE/>
        <w:autoSpaceDN/>
        <w:bidi w:val="0"/>
        <w:snapToGrid w:val="0"/>
        <w:spacing w:line="360" w:lineRule="auto"/>
        <w:ind w:left="4" w:firstLine="521"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中标人负责向采购人提供每季度、年中、全年度的能耗运行分析报告。依据分析报告结果制定相应的管理对策或改造方案，保障医院能源供应，降低能源消耗。</w:t>
      </w:r>
    </w:p>
    <w:p>
      <w:pPr>
        <w:pageBreakBefore w:val="0"/>
        <w:widowControl w:val="0"/>
        <w:numPr>
          <w:ilvl w:val="1"/>
          <w:numId w:val="3"/>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后期改造</w:t>
      </w:r>
    </w:p>
    <w:p>
      <w:pPr>
        <w:pageBreakBefore w:val="0"/>
        <w:widowControl w:val="0"/>
        <w:tabs>
          <w:tab w:val="left" w:pos="700"/>
        </w:tabs>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合同期间，在征得采购人同意的情况下，中标人可多次对能源系统进行适宜的节能改造，进一步挖掘节能空间。</w:t>
      </w:r>
    </w:p>
    <w:p>
      <w:pPr>
        <w:keepNext/>
        <w:keepLines/>
        <w:pageBreakBefore w:val="0"/>
        <w:widowControl w:val="0"/>
        <w:kinsoku/>
        <w:wordWrap/>
        <w:overflowPunct/>
        <w:topLinePunct w:val="0"/>
        <w:autoSpaceDE/>
        <w:autoSpaceDN/>
        <w:bidi w:val="0"/>
        <w:snapToGrid w:val="0"/>
        <w:spacing w:line="360" w:lineRule="auto"/>
        <w:jc w:val="both"/>
        <w:outlineLvl w:val="4"/>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三、 管理办法</w:t>
      </w:r>
    </w:p>
    <w:p>
      <w:pPr>
        <w:pageBreakBefore w:val="0"/>
        <w:widowControl w:val="0"/>
        <w:numPr>
          <w:ilvl w:val="1"/>
          <w:numId w:val="4"/>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应在合同生效后，向采购人定期提交中央空调运行管理文件，为院方相关管理人员进行培训，根据医院实际需求，编制节能运行的管理体系文件、技术体系文件、培训体系文件、现场指导性文件和保障体系文件等。</w:t>
      </w:r>
    </w:p>
    <w:p>
      <w:pPr>
        <w:pageBreakBefore w:val="0"/>
        <w:widowControl w:val="0"/>
        <w:numPr>
          <w:ilvl w:val="1"/>
          <w:numId w:val="4"/>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中标人应按能源总包方案的要求，负责合同期内医院能源系统的运行管理策略，享有能源节省</w:t>
      </w:r>
      <w:r>
        <w:rPr>
          <w:rFonts w:hint="eastAsia" w:ascii="宋体" w:hAnsi="宋体" w:cs="宋体"/>
          <w:color w:val="auto"/>
          <w:kern w:val="0"/>
          <w:sz w:val="24"/>
          <w:szCs w:val="24"/>
          <w:highlight w:val="none"/>
          <w:lang w:val="en-US" w:eastAsia="zh-CN" w:bidi="ar-SA"/>
        </w:rPr>
        <w:t>水费</w:t>
      </w:r>
      <w:r>
        <w:rPr>
          <w:rFonts w:hint="eastAsia" w:ascii="宋体" w:hAnsi="宋体" w:eastAsia="宋体" w:cs="宋体"/>
          <w:color w:val="auto"/>
          <w:kern w:val="0"/>
          <w:sz w:val="24"/>
          <w:szCs w:val="24"/>
          <w:highlight w:val="none"/>
          <w:lang w:val="en-US" w:eastAsia="zh-CN" w:bidi="ar-SA"/>
        </w:rPr>
        <w:t>电费气费的效益获得权，同时承担能源</w:t>
      </w:r>
      <w:r>
        <w:rPr>
          <w:rFonts w:hint="eastAsia" w:ascii="宋体" w:hAnsi="宋体" w:cs="宋体"/>
          <w:color w:val="auto"/>
          <w:kern w:val="0"/>
          <w:sz w:val="24"/>
          <w:szCs w:val="24"/>
          <w:highlight w:val="none"/>
          <w:lang w:val="en-US" w:eastAsia="zh-CN" w:bidi="ar-SA"/>
        </w:rPr>
        <w:t>水费</w:t>
      </w:r>
      <w:r>
        <w:rPr>
          <w:rFonts w:hint="eastAsia" w:ascii="宋体" w:hAnsi="宋体" w:eastAsia="宋体" w:cs="宋体"/>
          <w:color w:val="auto"/>
          <w:kern w:val="0"/>
          <w:sz w:val="24"/>
          <w:szCs w:val="24"/>
          <w:highlight w:val="none"/>
          <w:lang w:val="en-US" w:eastAsia="zh-CN" w:bidi="ar-SA"/>
        </w:rPr>
        <w:t>电费气费超支的风险。</w:t>
      </w:r>
    </w:p>
    <w:p>
      <w:pPr>
        <w:pageBreakBefore w:val="0"/>
        <w:widowControl w:val="0"/>
        <w:numPr>
          <w:ilvl w:val="1"/>
          <w:numId w:val="4"/>
        </w:numPr>
        <w:tabs>
          <w:tab w:val="left" w:pos="648"/>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双方应对项目现有的能源系统设施、设备进行登记造册，设施设备的数量、功率、使用时间经双方评估签字确认后，办理移交清单及实物。移交清单中的设施、设备总功率作为能源托管的基准功率。合同期内新增/减用能设备须提前经双方签字确认，相应能耗费由采购人负责。</w:t>
      </w:r>
    </w:p>
    <w:p>
      <w:pPr>
        <w:pageBreakBefore w:val="0"/>
        <w:widowControl w:val="0"/>
        <w:numPr>
          <w:ilvl w:val="1"/>
          <w:numId w:val="4"/>
        </w:numPr>
        <w:tabs>
          <w:tab w:val="left" w:pos="648"/>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采购人负责协助办理基础能源供应相关手续，争取当地最优惠的基础能源价格（如</w:t>
      </w:r>
      <w:r>
        <w:rPr>
          <w:rFonts w:hint="eastAsia" w:ascii="宋体" w:hAnsi="宋体" w:cs="宋体"/>
          <w:color w:val="auto"/>
          <w:kern w:val="0"/>
          <w:sz w:val="24"/>
          <w:szCs w:val="24"/>
          <w:highlight w:val="none"/>
          <w:lang w:val="en-US" w:eastAsia="zh-CN" w:bidi="ar-SA"/>
        </w:rPr>
        <w:t>水、</w:t>
      </w:r>
      <w:r>
        <w:rPr>
          <w:rFonts w:hint="eastAsia" w:ascii="宋体" w:hAnsi="宋体" w:eastAsia="宋体" w:cs="宋体"/>
          <w:color w:val="auto"/>
          <w:kern w:val="0"/>
          <w:sz w:val="24"/>
          <w:szCs w:val="24"/>
          <w:highlight w:val="none"/>
          <w:lang w:val="en-US" w:eastAsia="zh-CN" w:bidi="ar-SA"/>
        </w:rPr>
        <w:t>燃料、电等）并保证能源供应。</w:t>
      </w:r>
    </w:p>
    <w:p>
      <w:pPr>
        <w:pageBreakBefore w:val="0"/>
        <w:widowControl w:val="0"/>
        <w:numPr>
          <w:ilvl w:val="1"/>
          <w:numId w:val="4"/>
        </w:numPr>
        <w:tabs>
          <w:tab w:val="left" w:pos="700"/>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采购人按月支付能源费给中标人，由中标人根据实际发生费用缴付至当地</w:t>
      </w:r>
      <w:r>
        <w:rPr>
          <w:rFonts w:hint="eastAsia" w:ascii="宋体" w:hAnsi="宋体" w:cs="宋体"/>
          <w:color w:val="auto"/>
          <w:kern w:val="0"/>
          <w:sz w:val="24"/>
          <w:szCs w:val="24"/>
          <w:highlight w:val="none"/>
          <w:lang w:val="en-US" w:eastAsia="zh-CN" w:bidi="ar-SA"/>
        </w:rPr>
        <w:t>供水供电供气</w:t>
      </w:r>
      <w:r>
        <w:rPr>
          <w:rFonts w:hint="eastAsia" w:ascii="宋体" w:hAnsi="宋体" w:eastAsia="宋体" w:cs="宋体"/>
          <w:color w:val="auto"/>
          <w:kern w:val="0"/>
          <w:sz w:val="24"/>
          <w:szCs w:val="24"/>
          <w:highlight w:val="none"/>
          <w:lang w:val="en-US" w:eastAsia="zh-CN" w:bidi="ar-SA"/>
        </w:rPr>
        <w:t>部门。如实际发生费用多于托管费用，中标人自行负责超支部分的费用缴交。</w:t>
      </w:r>
    </w:p>
    <w:p>
      <w:pPr>
        <w:pageBreakBefore w:val="0"/>
        <w:widowControl w:val="0"/>
        <w:numPr>
          <w:ilvl w:val="1"/>
          <w:numId w:val="4"/>
        </w:numPr>
        <w:tabs>
          <w:tab w:val="left" w:pos="648"/>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双方按照如下标准和方式进行节能改造项目的验收：</w:t>
      </w:r>
    </w:p>
    <w:p>
      <w:pPr>
        <w:pageBreakBefore w:val="0"/>
        <w:widowControl w:val="0"/>
        <w:numPr>
          <w:ilvl w:val="2"/>
          <w:numId w:val="4"/>
        </w:numPr>
        <w:tabs>
          <w:tab w:val="left" w:pos="909"/>
        </w:tabs>
        <w:kinsoku/>
        <w:wordWrap/>
        <w:overflowPunct/>
        <w:topLinePunct w:val="0"/>
        <w:autoSpaceDE/>
        <w:autoSpaceDN/>
        <w:bidi w:val="0"/>
        <w:snapToGrid w:val="0"/>
        <w:spacing w:line="360" w:lineRule="auto"/>
        <w:ind w:left="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验收标准：符合国家或行业相关设计和施工验收规范、标准和要求。</w:t>
      </w:r>
    </w:p>
    <w:p>
      <w:pPr>
        <w:pageBreakBefore w:val="0"/>
        <w:widowControl w:val="0"/>
        <w:numPr>
          <w:ilvl w:val="2"/>
          <w:numId w:val="4"/>
        </w:numPr>
        <w:tabs>
          <w:tab w:val="left" w:pos="909"/>
        </w:tabs>
        <w:kinsoku/>
        <w:wordWrap/>
        <w:overflowPunct/>
        <w:topLinePunct w:val="0"/>
        <w:autoSpaceDE/>
        <w:autoSpaceDN/>
        <w:bidi w:val="0"/>
        <w:snapToGrid w:val="0"/>
        <w:spacing w:line="360" w:lineRule="auto"/>
        <w:ind w:left="0" w:firstLine="480" w:firstLineChars="200"/>
        <w:jc w:val="both"/>
        <w:rPr>
          <w:rFonts w:hint="eastAsia" w:ascii="Calibri" w:hAnsi="Calibri" w:eastAsia="宋体" w:cs="Times New Roman"/>
          <w:b/>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验收模式：由双方共同进行，采取中标人测试，采购人见证并确认的模式。</w:t>
      </w:r>
      <w:r>
        <w:rPr>
          <w:rFonts w:hint="eastAsia" w:ascii="Calibri" w:hAnsi="Calibri" w:eastAsia="宋体" w:cs="Times New Roman"/>
          <w:color w:val="auto"/>
          <w:kern w:val="0"/>
          <w:sz w:val="24"/>
          <w:szCs w:val="24"/>
          <w:highlight w:val="none"/>
          <w:lang w:val="en-US" w:eastAsia="zh-CN" w:bidi="ar-SA"/>
        </w:rPr>
        <w:t xml:space="preserve">  </w:t>
      </w:r>
    </w:p>
    <w:p>
      <w:pPr>
        <w:pageBreakBefore w:val="0"/>
        <w:widowControl w:val="0"/>
        <w:tabs>
          <w:tab w:val="left" w:pos="909"/>
        </w:tabs>
        <w:kinsoku/>
        <w:wordWrap/>
        <w:overflowPunct/>
        <w:topLinePunct w:val="0"/>
        <w:autoSpaceDE/>
        <w:autoSpaceDN/>
        <w:bidi w:val="0"/>
        <w:snapToGrid w:val="0"/>
        <w:spacing w:line="360" w:lineRule="auto"/>
        <w:ind w:firstLine="0" w:firstLineChars="0"/>
        <w:jc w:val="both"/>
        <w:rPr>
          <w:rFonts w:hint="eastAsia" w:ascii="Calibri" w:hAnsi="Calibri" w:eastAsia="宋体" w:cs="Times New Roman"/>
          <w:b/>
          <w:color w:val="auto"/>
          <w:kern w:val="0"/>
          <w:sz w:val="32"/>
          <w:szCs w:val="32"/>
          <w:highlight w:val="none"/>
          <w:lang w:val="en-US" w:eastAsia="zh-CN" w:bidi="ar-SA"/>
        </w:rPr>
      </w:pPr>
      <w:r>
        <w:rPr>
          <w:rFonts w:hint="eastAsia" w:ascii="Calibri" w:hAnsi="Calibri" w:eastAsia="宋体" w:cs="Times New Roman"/>
          <w:b/>
          <w:color w:val="auto"/>
          <w:kern w:val="0"/>
          <w:sz w:val="32"/>
          <w:szCs w:val="32"/>
          <w:highlight w:val="none"/>
          <w:lang w:val="en-US" w:eastAsia="zh-CN" w:bidi="ar-SA"/>
        </w:rPr>
        <w:t>四、 医院能耗及设备情况</w:t>
      </w:r>
    </w:p>
    <w:p>
      <w:pPr>
        <w:pageBreakBefore w:val="0"/>
        <w:widowControl w:val="0"/>
        <w:tabs>
          <w:tab w:val="left" w:pos="648"/>
        </w:tabs>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bookmarkStart w:id="11" w:name="4.1建筑情况"/>
      <w:bookmarkEnd w:id="11"/>
      <w:r>
        <w:rPr>
          <w:rFonts w:hint="eastAsia" w:ascii="宋体" w:hAnsi="宋体" w:eastAsia="宋体" w:cs="宋体"/>
          <w:color w:val="auto"/>
          <w:kern w:val="0"/>
          <w:sz w:val="24"/>
          <w:szCs w:val="24"/>
          <w:highlight w:val="none"/>
          <w:lang w:val="en-US" w:eastAsia="zh-CN" w:bidi="ar-SA"/>
        </w:rPr>
        <w:t>4.1项目概况</w:t>
      </w:r>
    </w:p>
    <w:p>
      <w:pPr>
        <w:pageBreakBefore w:val="0"/>
        <w:widowControl w:val="0"/>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bookmarkStart w:id="12" w:name="焦作市第二人民医院建筑面积8.8万㎡，是一所以肿瘤防治为重点，集医疗、教学、科研"/>
      <w:bookmarkEnd w:id="12"/>
      <w:r>
        <w:rPr>
          <w:rFonts w:hint="eastAsia" w:ascii="宋体" w:hAnsi="宋体" w:eastAsia="宋体" w:cs="宋体"/>
          <w:color w:val="auto"/>
          <w:kern w:val="2"/>
          <w:sz w:val="24"/>
          <w:szCs w:val="24"/>
          <w:highlight w:val="none"/>
          <w:lang w:val="en-US" w:eastAsia="zh-CN" w:bidi="ar-SA"/>
        </w:rPr>
        <w:t>铜陵市中医医院始建于</w:t>
      </w:r>
      <w:r>
        <w:rPr>
          <w:rFonts w:hint="eastAsia" w:ascii="宋体" w:hAnsi="宋体" w:cs="宋体"/>
          <w:color w:val="auto"/>
          <w:kern w:val="2"/>
          <w:sz w:val="24"/>
          <w:szCs w:val="24"/>
          <w:highlight w:val="none"/>
          <w:lang w:val="en-US" w:eastAsia="zh-CN" w:bidi="ar-SA"/>
        </w:rPr>
        <w:t>1955</w:t>
      </w:r>
      <w:r>
        <w:rPr>
          <w:rFonts w:hint="eastAsia" w:ascii="宋体" w:hAnsi="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lang w:val="en-US" w:eastAsia="zh-CN" w:bidi="ar-SA"/>
        </w:rPr>
        <w:t>3月18日，是一所集医疗预防、康复保健、教学科研、养老服务等功能为一体的国家三级甲等中医医院，安徽省示范中医医院，安徽中医药大学附属医院，江西中医药大学教学医院，是国家中医住院医师和全科医师规范化培训基地。</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铜陵市中医医院太平湖路总院区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w:t>
      </w:r>
      <w:r>
        <w:rPr>
          <w:rFonts w:hint="eastAsia" w:ascii="宋体" w:hAnsi="宋体" w:cs="宋体"/>
          <w:color w:val="auto"/>
          <w:sz w:val="24"/>
          <w:highlight w:val="none"/>
          <w:lang w:val="en-US" w:eastAsia="zh-CN"/>
        </w:rPr>
        <w:t>门诊病房医技综合楼、制剂中心、食堂、发热门诊、发热门诊留观室、放疗中心等</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现</w:t>
      </w:r>
      <w:r>
        <w:rPr>
          <w:rFonts w:hint="eastAsia" w:ascii="宋体" w:hAnsi="宋体" w:cs="宋体"/>
          <w:color w:val="auto"/>
          <w:sz w:val="24"/>
          <w:highlight w:val="none"/>
        </w:rPr>
        <w:t>使用两台溴化锂燃气中央空调机组提供制冷，采暖需求。拟采用合同能源管理模式，由中标人为医院提供中央空调运营管理服务并进行节能改造。</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4、2招标内容</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对铜陵市中医医院太平湖路总院区中央空调运营管理服务并进行节能改造。改造内容包含但不局限于：高效的制冷设备、水泵输配系统、吊装运输等。</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4、3服务内容：</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pacing w:val="0"/>
          <w:w w:val="100"/>
          <w:sz w:val="24"/>
          <w:szCs w:val="24"/>
          <w:highlight w:val="none"/>
        </w:rPr>
      </w:pPr>
      <w:r>
        <w:rPr>
          <w:rFonts w:hint="eastAsia" w:ascii="宋体" w:hAnsi="宋体" w:cs="宋体"/>
          <w:color w:val="auto"/>
          <w:sz w:val="24"/>
          <w:highlight w:val="none"/>
        </w:rPr>
        <w:t>招标范围内的（1）中央空调供应（制冷、采暖和卫生热水）；（2）中央空调机房及末端设备的日常值班操作、维护（修）保养及安保；（3）空调系统冷却水、冷温水的水质处理、保养维护；（4）冷却塔系统的操作、维护（修）保养；（5）采购结算建筑运行所需的</w:t>
      </w:r>
      <w:r>
        <w:rPr>
          <w:rFonts w:hint="eastAsia" w:ascii="宋体" w:hAnsi="宋体" w:cs="宋体"/>
          <w:color w:val="auto"/>
          <w:sz w:val="24"/>
          <w:highlight w:val="none"/>
          <w:lang w:val="en-US" w:eastAsia="zh-CN"/>
        </w:rPr>
        <w:t>水、</w:t>
      </w:r>
      <w:r>
        <w:rPr>
          <w:rFonts w:hint="eastAsia" w:ascii="宋体" w:hAnsi="宋体" w:cs="宋体"/>
          <w:color w:val="auto"/>
          <w:sz w:val="24"/>
          <w:highlight w:val="none"/>
        </w:rPr>
        <w:t>燃气、电力能源费用；（6）合同期机房内空调设备维护保养；（7）满足甲方日常管理要求；（8）现场运维人员不少于2人（食宿自理）；（9）含空调系统末端维护</w:t>
      </w:r>
      <w:r>
        <w:rPr>
          <w:rFonts w:hint="eastAsia" w:ascii="宋体" w:hAnsi="宋体" w:cs="宋体"/>
          <w:color w:val="auto"/>
          <w:sz w:val="24"/>
          <w:highlight w:val="none"/>
          <w:lang w:eastAsia="zh-CN"/>
        </w:rPr>
        <w:t>，</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10</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院内其他空调的维护工作（包含配件更换及人工服务）</w:t>
      </w:r>
      <w:r>
        <w:rPr>
          <w:rFonts w:hint="eastAsia" w:ascii="宋体" w:hAnsi="宋体" w:eastAsia="宋体" w:cs="宋体"/>
          <w:color w:val="auto"/>
          <w:spacing w:val="0"/>
          <w:w w:val="100"/>
          <w:sz w:val="24"/>
          <w:szCs w:val="24"/>
          <w:highlight w:val="none"/>
        </w:rPr>
        <w:t>。</w:t>
      </w:r>
    </w:p>
    <w:tbl>
      <w:tblPr>
        <w:tblStyle w:val="3"/>
        <w:tblpPr w:leftFromText="180" w:rightFromText="180" w:vertAnchor="text" w:horzAnchor="page" w:tblpX="1387" w:tblpY="467"/>
        <w:tblOverlap w:val="never"/>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7"/>
        <w:gridCol w:w="1421"/>
        <w:gridCol w:w="1879"/>
        <w:gridCol w:w="1359"/>
        <w:gridCol w:w="1439"/>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5"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eastAsia" w:ascii="宋体" w:hAnsi="宋体" w:eastAsia="宋体" w:cs="宋体"/>
                <w:color w:val="auto"/>
                <w:spacing w:val="0"/>
                <w:w w:val="100"/>
                <w:sz w:val="24"/>
                <w:szCs w:val="24"/>
                <w:highlight w:val="none"/>
              </w:rPr>
            </w:pPr>
            <w:bookmarkStart w:id="13" w:name="4.2医院用电/用气情况"/>
            <w:bookmarkEnd w:id="13"/>
            <w:r>
              <w:rPr>
                <w:rFonts w:hint="eastAsia" w:ascii="宋体" w:hAnsi="宋体" w:eastAsia="宋体" w:cs="宋体"/>
                <w:color w:val="auto"/>
                <w:spacing w:val="0"/>
                <w:w w:val="100"/>
                <w:sz w:val="24"/>
                <w:szCs w:val="24"/>
                <w:highlight w:val="none"/>
              </w:rPr>
              <w:t>年度</w:t>
            </w:r>
          </w:p>
        </w:tc>
        <w:tc>
          <w:tcPr>
            <w:tcW w:w="853" w:type="pct"/>
            <w:noWrap w:val="0"/>
            <w:vAlign w:val="top"/>
          </w:tcPr>
          <w:p>
            <w:pPr>
              <w:pStyle w:val="6"/>
              <w:pageBreakBefore w:val="0"/>
              <w:kinsoku/>
              <w:wordWrap/>
              <w:overflowPunct/>
              <w:topLinePunct w:val="0"/>
              <w:autoSpaceDE/>
              <w:autoSpaceDN/>
              <w:bidi w:val="0"/>
              <w:snapToGrid w:val="0"/>
              <w:spacing w:line="360" w:lineRule="auto"/>
              <w:jc w:val="center"/>
              <w:rPr>
                <w:rFonts w:hint="eastAsia" w:ascii="宋体" w:hAnsi="宋体" w:eastAsia="宋体" w:cs="宋体"/>
                <w:color w:val="auto"/>
                <w:spacing w:val="0"/>
                <w:w w:val="100"/>
                <w:sz w:val="24"/>
                <w:szCs w:val="24"/>
                <w:highlight w:val="none"/>
                <w:lang w:eastAsia="zh-CN"/>
              </w:rPr>
            </w:pPr>
            <w:r>
              <w:rPr>
                <w:rFonts w:hint="eastAsia" w:cs="宋体"/>
                <w:color w:val="auto"/>
                <w:spacing w:val="0"/>
                <w:w w:val="100"/>
                <w:sz w:val="24"/>
                <w:szCs w:val="24"/>
                <w:highlight w:val="none"/>
                <w:lang w:val="en-US" w:eastAsia="zh-CN"/>
              </w:rPr>
              <w:t>水费（万元）</w:t>
            </w:r>
          </w:p>
        </w:tc>
        <w:tc>
          <w:tcPr>
            <w:tcW w:w="1128" w:type="pct"/>
            <w:noWrap w:val="0"/>
            <w:vAlign w:val="top"/>
          </w:tcPr>
          <w:p>
            <w:pPr>
              <w:pStyle w:val="6"/>
              <w:pageBreakBefore w:val="0"/>
              <w:kinsoku/>
              <w:wordWrap/>
              <w:overflowPunct/>
              <w:topLinePunct w:val="0"/>
              <w:autoSpaceDE/>
              <w:autoSpaceDN/>
              <w:bidi w:val="0"/>
              <w:snapToGrid w:val="0"/>
              <w:spacing w:line="360" w:lineRule="auto"/>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天然气费（万元）</w:t>
            </w:r>
          </w:p>
        </w:tc>
        <w:tc>
          <w:tcPr>
            <w:tcW w:w="816" w:type="pct"/>
            <w:noWrap w:val="0"/>
            <w:vAlign w:val="top"/>
          </w:tcPr>
          <w:p>
            <w:pPr>
              <w:pStyle w:val="6"/>
              <w:pageBreakBefore w:val="0"/>
              <w:kinsoku/>
              <w:wordWrap/>
              <w:overflowPunct/>
              <w:topLinePunct w:val="0"/>
              <w:autoSpaceDE/>
              <w:autoSpaceDN/>
              <w:bidi w:val="0"/>
              <w:snapToGrid w:val="0"/>
              <w:spacing w:line="360" w:lineRule="auto"/>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电费（万元）</w:t>
            </w:r>
          </w:p>
        </w:tc>
        <w:tc>
          <w:tcPr>
            <w:tcW w:w="864" w:type="pct"/>
            <w:noWrap w:val="0"/>
            <w:vAlign w:val="top"/>
          </w:tcPr>
          <w:p>
            <w:pPr>
              <w:pStyle w:val="6"/>
              <w:pageBreakBefore w:val="0"/>
              <w:kinsoku/>
              <w:wordWrap/>
              <w:overflowPunct/>
              <w:topLinePunct w:val="0"/>
              <w:autoSpaceDE/>
              <w:autoSpaceDN/>
              <w:bidi w:val="0"/>
              <w:snapToGrid w:val="0"/>
              <w:spacing w:line="360" w:lineRule="auto"/>
              <w:jc w:val="both"/>
              <w:rPr>
                <w:rFonts w:hint="default" w:ascii="宋体" w:hAnsi="宋体" w:eastAsia="宋体" w:cs="宋体"/>
                <w:color w:val="auto"/>
                <w:spacing w:val="0"/>
                <w:w w:val="100"/>
                <w:sz w:val="24"/>
                <w:szCs w:val="24"/>
                <w:highlight w:val="none"/>
                <w:lang w:val="en-US" w:eastAsia="zh-CN"/>
              </w:rPr>
            </w:pPr>
            <w:r>
              <w:rPr>
                <w:rFonts w:hint="eastAsia" w:cs="宋体"/>
                <w:color w:val="auto"/>
                <w:spacing w:val="0"/>
                <w:w w:val="100"/>
                <w:sz w:val="24"/>
                <w:szCs w:val="24"/>
                <w:highlight w:val="none"/>
                <w:lang w:val="en-US" w:eastAsia="zh-CN"/>
              </w:rPr>
              <w:t>维护费（万元）</w:t>
            </w:r>
          </w:p>
        </w:tc>
        <w:tc>
          <w:tcPr>
            <w:tcW w:w="761" w:type="pct"/>
            <w:noWrap w:val="0"/>
            <w:vAlign w:val="top"/>
          </w:tcPr>
          <w:p>
            <w:pPr>
              <w:pStyle w:val="6"/>
              <w:pageBreakBefore w:val="0"/>
              <w:kinsoku/>
              <w:wordWrap/>
              <w:overflowPunct/>
              <w:topLinePunct w:val="0"/>
              <w:autoSpaceDE/>
              <w:autoSpaceDN/>
              <w:bidi w:val="0"/>
              <w:snapToGrid w:val="0"/>
              <w:spacing w:line="360" w:lineRule="auto"/>
              <w:jc w:val="both"/>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合计（万元）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5" w:type="pct"/>
            <w:noWrap w:val="0"/>
            <w:vAlign w:val="top"/>
          </w:tcPr>
          <w:p>
            <w:pPr>
              <w:pStyle w:val="6"/>
              <w:pageBreakBefore w:val="0"/>
              <w:kinsoku/>
              <w:wordWrap/>
              <w:overflowPunct/>
              <w:topLinePunct w:val="0"/>
              <w:autoSpaceDE/>
              <w:autoSpaceDN/>
              <w:bidi w:val="0"/>
              <w:snapToGrid w:val="0"/>
              <w:spacing w:line="360" w:lineRule="auto"/>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20</w:t>
            </w:r>
            <w:r>
              <w:rPr>
                <w:rFonts w:hint="eastAsia" w:ascii="宋体" w:hAnsi="宋体" w:eastAsia="宋体" w:cs="宋体"/>
                <w:color w:val="auto"/>
                <w:spacing w:val="0"/>
                <w:w w:val="100"/>
                <w:sz w:val="24"/>
                <w:szCs w:val="24"/>
                <w:highlight w:val="none"/>
                <w:lang w:val="en-US"/>
              </w:rPr>
              <w:t>2</w:t>
            </w:r>
            <w:r>
              <w:rPr>
                <w:rFonts w:hint="eastAsia" w:ascii="宋体" w:hAnsi="宋体" w:eastAsia="宋体" w:cs="宋体"/>
                <w:color w:val="auto"/>
                <w:spacing w:val="0"/>
                <w:w w:val="100"/>
                <w:sz w:val="24"/>
                <w:szCs w:val="24"/>
                <w:highlight w:val="none"/>
                <w:lang w:val="en-US" w:eastAsia="zh-CN"/>
              </w:rPr>
              <w:t>1</w:t>
            </w:r>
            <w:r>
              <w:rPr>
                <w:rFonts w:hint="eastAsia" w:ascii="宋体" w:hAnsi="宋体" w:eastAsia="宋体" w:cs="宋体"/>
                <w:color w:val="auto"/>
                <w:spacing w:val="0"/>
                <w:w w:val="100"/>
                <w:sz w:val="24"/>
                <w:szCs w:val="24"/>
                <w:highlight w:val="none"/>
              </w:rPr>
              <w:t>年</w:t>
            </w:r>
          </w:p>
        </w:tc>
        <w:tc>
          <w:tcPr>
            <w:tcW w:w="853"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default" w:ascii="宋体" w:hAnsi="宋体" w:eastAsia="宋体" w:cs="宋体"/>
                <w:color w:val="auto"/>
                <w:spacing w:val="0"/>
                <w:w w:val="100"/>
                <w:sz w:val="24"/>
                <w:szCs w:val="24"/>
                <w:highlight w:val="none"/>
                <w:lang w:val="en-US" w:eastAsia="zh-CN"/>
              </w:rPr>
            </w:pPr>
            <w:r>
              <w:rPr>
                <w:rFonts w:hint="eastAsia" w:cs="宋体"/>
                <w:color w:val="auto"/>
                <w:spacing w:val="0"/>
                <w:w w:val="100"/>
                <w:sz w:val="24"/>
                <w:szCs w:val="24"/>
                <w:highlight w:val="none"/>
                <w:lang w:val="en-US" w:eastAsia="zh-CN"/>
              </w:rPr>
              <w:t>19.15</w:t>
            </w:r>
          </w:p>
        </w:tc>
        <w:tc>
          <w:tcPr>
            <w:tcW w:w="1128"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default"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68.2</w:t>
            </w:r>
          </w:p>
        </w:tc>
        <w:tc>
          <w:tcPr>
            <w:tcW w:w="816" w:type="pct"/>
            <w:noWrap w:val="0"/>
            <w:vAlign w:val="top"/>
          </w:tcPr>
          <w:p>
            <w:pPr>
              <w:pStyle w:val="6"/>
              <w:pageBreakBefore w:val="0"/>
              <w:kinsoku/>
              <w:wordWrap/>
              <w:overflowPunct/>
              <w:topLinePunct w:val="0"/>
              <w:autoSpaceDE/>
              <w:autoSpaceDN/>
              <w:bidi w:val="0"/>
              <w:snapToGrid w:val="0"/>
              <w:spacing w:line="360" w:lineRule="auto"/>
              <w:ind w:firstLine="480" w:firstLineChars="200"/>
              <w:jc w:val="center"/>
              <w:rPr>
                <w:rFonts w:hint="default" w:ascii="宋体" w:hAnsi="宋体" w:eastAsia="宋体" w:cs="宋体"/>
                <w:color w:val="auto"/>
                <w:spacing w:val="0"/>
                <w:w w:val="100"/>
                <w:sz w:val="24"/>
                <w:szCs w:val="24"/>
                <w:highlight w:val="none"/>
                <w:lang w:val="en-US" w:eastAsia="zh-CN"/>
              </w:rPr>
            </w:pPr>
            <w:r>
              <w:rPr>
                <w:rFonts w:hint="eastAsia" w:ascii="宋体" w:hAnsi="宋体" w:eastAsia="宋体" w:cs="宋体"/>
                <w:color w:val="auto"/>
                <w:spacing w:val="0"/>
                <w:w w:val="100"/>
                <w:sz w:val="24"/>
                <w:szCs w:val="24"/>
                <w:highlight w:val="none"/>
                <w:lang w:val="en-US" w:eastAsia="zh-CN"/>
              </w:rPr>
              <w:t>143.9</w:t>
            </w:r>
          </w:p>
        </w:tc>
        <w:tc>
          <w:tcPr>
            <w:tcW w:w="864" w:type="pct"/>
            <w:noWrap w:val="0"/>
            <w:vAlign w:val="top"/>
          </w:tcPr>
          <w:p>
            <w:pPr>
              <w:pStyle w:val="6"/>
              <w:pageBreakBefore w:val="0"/>
              <w:tabs>
                <w:tab w:val="center" w:pos="1316"/>
              </w:tabs>
              <w:kinsoku/>
              <w:wordWrap/>
              <w:overflowPunct/>
              <w:topLinePunct w:val="0"/>
              <w:autoSpaceDE/>
              <w:autoSpaceDN/>
              <w:bidi w:val="0"/>
              <w:snapToGrid w:val="0"/>
              <w:spacing w:line="360" w:lineRule="auto"/>
              <w:ind w:firstLine="480" w:firstLineChars="200"/>
              <w:jc w:val="center"/>
              <w:rPr>
                <w:rFonts w:hint="default" w:ascii="宋体" w:hAnsi="宋体" w:eastAsia="宋体" w:cs="宋体"/>
                <w:color w:val="auto"/>
                <w:spacing w:val="0"/>
                <w:w w:val="100"/>
                <w:sz w:val="24"/>
                <w:szCs w:val="24"/>
                <w:highlight w:val="none"/>
                <w:lang w:val="en-US" w:eastAsia="zh-CN"/>
              </w:rPr>
            </w:pPr>
            <w:r>
              <w:rPr>
                <w:rFonts w:hint="eastAsia" w:cs="宋体"/>
                <w:color w:val="auto"/>
                <w:spacing w:val="0"/>
                <w:w w:val="100"/>
                <w:sz w:val="24"/>
                <w:szCs w:val="24"/>
                <w:highlight w:val="none"/>
                <w:lang w:val="en-US" w:eastAsia="zh-CN"/>
              </w:rPr>
              <w:t>15</w:t>
            </w:r>
          </w:p>
        </w:tc>
        <w:tc>
          <w:tcPr>
            <w:tcW w:w="761" w:type="pct"/>
            <w:noWrap w:val="0"/>
            <w:vAlign w:val="top"/>
          </w:tcPr>
          <w:p>
            <w:pPr>
              <w:pStyle w:val="6"/>
              <w:pageBreakBefore w:val="0"/>
              <w:tabs>
                <w:tab w:val="center" w:pos="1316"/>
              </w:tabs>
              <w:kinsoku/>
              <w:wordWrap/>
              <w:overflowPunct/>
              <w:topLinePunct w:val="0"/>
              <w:autoSpaceDE/>
              <w:autoSpaceDN/>
              <w:bidi w:val="0"/>
              <w:snapToGrid w:val="0"/>
              <w:spacing w:line="360" w:lineRule="auto"/>
              <w:ind w:firstLine="480" w:firstLineChars="200"/>
              <w:jc w:val="center"/>
              <w:rPr>
                <w:rFonts w:hint="eastAsia" w:cs="宋体"/>
                <w:color w:val="auto"/>
                <w:spacing w:val="0"/>
                <w:w w:val="100"/>
                <w:sz w:val="24"/>
                <w:szCs w:val="24"/>
                <w:highlight w:val="none"/>
                <w:lang w:val="en-US" w:eastAsia="zh-CN"/>
              </w:rPr>
            </w:pPr>
            <w:r>
              <w:rPr>
                <w:rFonts w:hint="eastAsia" w:cs="宋体"/>
                <w:color w:val="auto"/>
                <w:spacing w:val="0"/>
                <w:w w:val="100"/>
                <w:sz w:val="24"/>
                <w:szCs w:val="24"/>
                <w:highlight w:val="none"/>
                <w:lang w:val="en-US" w:eastAsia="zh-CN"/>
              </w:rPr>
              <w:t>246.25</w:t>
            </w:r>
          </w:p>
        </w:tc>
      </w:tr>
    </w:tbl>
    <w:p>
      <w:pPr>
        <w:pageBreakBefore w:val="0"/>
        <w:widowControl w:val="0"/>
        <w:tabs>
          <w:tab w:val="left" w:pos="648"/>
        </w:tabs>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4、4医院用</w:t>
      </w:r>
      <w:r>
        <w:rPr>
          <w:rFonts w:hint="eastAsia" w:ascii="宋体" w:hAnsi="宋体" w:cs="宋体"/>
          <w:color w:val="auto"/>
          <w:kern w:val="0"/>
          <w:sz w:val="24"/>
          <w:szCs w:val="24"/>
          <w:highlight w:val="none"/>
          <w:lang w:val="en-US" w:eastAsia="zh-CN" w:bidi="ar-SA"/>
        </w:rPr>
        <w:t>水电</w:t>
      </w:r>
      <w:r>
        <w:rPr>
          <w:rFonts w:hint="eastAsia" w:ascii="宋体" w:hAnsi="宋体" w:eastAsia="宋体" w:cs="宋体"/>
          <w:color w:val="auto"/>
          <w:kern w:val="0"/>
          <w:sz w:val="24"/>
          <w:szCs w:val="24"/>
          <w:highlight w:val="none"/>
          <w:lang w:val="en-US" w:eastAsia="zh-CN" w:bidi="ar-SA"/>
        </w:rPr>
        <w:t>气情况</w:t>
      </w:r>
    </w:p>
    <w:p>
      <w:pPr>
        <w:keepNext/>
        <w:keepLines/>
        <w:pageBreakBefore w:val="0"/>
        <w:widowControl w:val="0"/>
        <w:tabs>
          <w:tab w:val="left" w:pos="648"/>
        </w:tabs>
        <w:kinsoku/>
        <w:wordWrap/>
        <w:overflowPunct/>
        <w:topLinePunct w:val="0"/>
        <w:autoSpaceDE/>
        <w:autoSpaceDN/>
        <w:bidi w:val="0"/>
        <w:snapToGrid w:val="0"/>
        <w:spacing w:line="360" w:lineRule="auto"/>
        <w:ind w:firstLine="480" w:firstLineChars="200"/>
        <w:jc w:val="both"/>
        <w:outlineLvl w:val="4"/>
        <w:rPr>
          <w:rFonts w:hint="eastAsia" w:ascii="宋体" w:hAnsi="宋体" w:eastAsia="宋体" w:cs="宋体"/>
          <w:b w:val="0"/>
          <w:bCs w:val="0"/>
          <w:color w:val="auto"/>
          <w:kern w:val="2"/>
          <w:sz w:val="24"/>
          <w:szCs w:val="24"/>
          <w:highlight w:val="none"/>
          <w:lang w:val="en-US" w:eastAsia="zh-CN" w:bidi="ar-SA"/>
        </w:rPr>
      </w:pPr>
      <w:bookmarkStart w:id="14" w:name="4.3设备情况"/>
      <w:bookmarkEnd w:id="14"/>
      <w:r>
        <w:rPr>
          <w:rFonts w:hint="eastAsia" w:ascii="宋体" w:hAnsi="宋体" w:eastAsia="宋体" w:cs="宋体"/>
          <w:b w:val="0"/>
          <w:bCs w:val="0"/>
          <w:color w:val="auto"/>
          <w:kern w:val="2"/>
          <w:sz w:val="24"/>
          <w:szCs w:val="24"/>
          <w:highlight w:val="none"/>
          <w:lang w:val="en-US" w:eastAsia="zh-CN" w:bidi="ar-SA"/>
        </w:rPr>
        <w:t>设备情况：整个院区由地面2台同方川崎燃气溴化锂主机提供满足医院制冷</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采暖需求。</w:t>
      </w:r>
    </w:p>
    <w:p>
      <w:pPr>
        <w:keepNext/>
        <w:keepLines/>
        <w:pageBreakBefore w:val="0"/>
        <w:widowControl w:val="0"/>
        <w:kinsoku/>
        <w:wordWrap/>
        <w:overflowPunct/>
        <w:topLinePunct w:val="0"/>
        <w:autoSpaceDE/>
        <w:autoSpaceDN/>
        <w:bidi w:val="0"/>
        <w:snapToGrid w:val="0"/>
        <w:spacing w:line="360" w:lineRule="auto"/>
        <w:jc w:val="both"/>
        <w:outlineLvl w:val="4"/>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五、主要改造内容</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5.1节能改造</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在满足医院空调舒适的前提下，中标人自行投资开展综合节能改造，改造内容至少包括如下：</w:t>
      </w:r>
    </w:p>
    <w:tbl>
      <w:tblPr>
        <w:tblStyle w:val="3"/>
        <w:tblW w:w="9560" w:type="dxa"/>
        <w:tblInd w:w="-213"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301"/>
        <w:gridCol w:w="6718"/>
        <w:gridCol w:w="76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12" w:space="0"/>
              <w:left w:val="single" w:color="auto" w:sz="12" w:space="0"/>
            </w:tcBorders>
            <w:noWrap w:val="0"/>
            <w:vAlign w:val="center"/>
          </w:tcPr>
          <w:p>
            <w:pPr>
              <w:pageBreakBefore w:val="0"/>
              <w:widowControl w:val="0"/>
              <w:kinsoku/>
              <w:wordWrap/>
              <w:overflowPunct/>
              <w:topLinePunct w:val="0"/>
              <w:autoSpaceDE/>
              <w:autoSpaceDN/>
              <w:bidi w:val="0"/>
              <w:snapToGrid w:val="0"/>
              <w:spacing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301" w:type="dxa"/>
            <w:tcBorders>
              <w:top w:val="single" w:color="auto" w:sz="12" w:space="0"/>
            </w:tcBorders>
            <w:noWrap w:val="0"/>
            <w:vAlign w:val="center"/>
          </w:tcPr>
          <w:p>
            <w:pPr>
              <w:pageBreakBefore w:val="0"/>
              <w:widowControl w:val="0"/>
              <w:kinsoku/>
              <w:wordWrap/>
              <w:overflowPunct/>
              <w:topLinePunct w:val="0"/>
              <w:autoSpaceDE/>
              <w:autoSpaceDN/>
              <w:bidi w:val="0"/>
              <w:snapToGrid w:val="0"/>
              <w:spacing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改造项目名称</w:t>
            </w:r>
          </w:p>
        </w:tc>
        <w:tc>
          <w:tcPr>
            <w:tcW w:w="6718" w:type="dxa"/>
            <w:tcBorders>
              <w:top w:val="single" w:color="auto" w:sz="12" w:space="0"/>
              <w:right w:val="single" w:color="auto" w:sz="12" w:space="0"/>
            </w:tcBorders>
            <w:noWrap w:val="0"/>
            <w:vAlign w:val="center"/>
          </w:tcPr>
          <w:p>
            <w:pPr>
              <w:pageBreakBefore w:val="0"/>
              <w:widowControl w:val="0"/>
              <w:kinsoku/>
              <w:wordWrap/>
              <w:overflowPunct/>
              <w:topLinePunct w:val="0"/>
              <w:autoSpaceDE/>
              <w:autoSpaceDN/>
              <w:bidi w:val="0"/>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设备要求</w:t>
            </w:r>
          </w:p>
        </w:tc>
        <w:tc>
          <w:tcPr>
            <w:tcW w:w="766" w:type="dxa"/>
            <w:tcBorders>
              <w:top w:val="single" w:color="auto" w:sz="12" w:space="0"/>
              <w:right w:val="single" w:color="auto" w:sz="12" w:space="0"/>
            </w:tcBorders>
            <w:noWrap w:val="0"/>
            <w:vAlign w:val="center"/>
          </w:tcPr>
          <w:p>
            <w:pPr>
              <w:pageBreakBefore w:val="0"/>
              <w:widowControl w:val="0"/>
              <w:kinsoku/>
              <w:wordWrap/>
              <w:overflowPunct/>
              <w:topLinePunct w:val="0"/>
              <w:autoSpaceDE/>
              <w:autoSpaceDN/>
              <w:bidi w:val="0"/>
              <w:snapToGrid w:val="0"/>
              <w:spacing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775" w:type="dxa"/>
            <w:tcBorders>
              <w:left w:val="single" w:color="auto" w:sz="12" w:space="0"/>
            </w:tcBorders>
            <w:noWrap w:val="0"/>
            <w:vAlign w:val="center"/>
          </w:tcPr>
          <w:p>
            <w:pPr>
              <w:pageBreakBefore w:val="0"/>
              <w:widowControl w:val="0"/>
              <w:kinsoku/>
              <w:wordWrap/>
              <w:overflowPunct/>
              <w:topLinePunct w:val="0"/>
              <w:autoSpaceDE/>
              <w:autoSpaceDN/>
              <w:bidi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1" w:type="dxa"/>
            <w:noWrap w:val="0"/>
            <w:vAlign w:val="center"/>
          </w:tcPr>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增加主机</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lang w:eastAsia="zh-CN"/>
              </w:rPr>
            </w:pPr>
          </w:p>
        </w:tc>
        <w:tc>
          <w:tcPr>
            <w:tcW w:w="6718" w:type="dxa"/>
            <w:tcBorders>
              <w:right w:val="single" w:color="auto" w:sz="12" w:space="0"/>
            </w:tcBorders>
            <w:noWrap w:val="0"/>
            <w:vAlign w:val="center"/>
          </w:tcPr>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1.制冷量≥1045KW；设备台数1台；</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★2.压缩机性能要求：压缩机台数≥2台，提供承诺并加盖投标单位公章；</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3.需要与原有空调系统并联，可实现并联运行；</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4.控制系统要求：需采用PLC控制，使用欧姆龙、西门子施耐德（或相当于）高性能PLC；</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5.机组控制屏为高分辨率彩色液晶触摸式显示屏，品牌与PLC品牌一致，支持中文显示，屏幕尺寸≥12英寸；</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6.机组控制部件均为丹弗斯、欧姆龙、施耐德(或相当于）国际知名品牌；</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7.制冷机组变频控制器采用西门子、施耐德、丹佛斯（或相当于）等国际知名品牌；</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★8.机组寿命期内终身免费提供365天24 小时不间断联网监控，提供承诺并加盖投标单位公章；</w:t>
            </w:r>
          </w:p>
          <w:p>
            <w:pPr>
              <w:pStyle w:val="7"/>
              <w:pageBreakBefore w:val="0"/>
              <w:kinsoku/>
              <w:wordWrap/>
              <w:overflowPunct/>
              <w:topLinePunct w:val="0"/>
              <w:autoSpaceDE/>
              <w:autoSpaceDN/>
              <w:bidi w:val="0"/>
              <w:snapToGrid w:val="0"/>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★9.管热管厚度冷凝器、蒸发器采用铜管，厚度≥1.0mm（提供铜管厚度参数说明加盖投标单位公章</w:t>
            </w:r>
          </w:p>
        </w:tc>
        <w:tc>
          <w:tcPr>
            <w:tcW w:w="766" w:type="dxa"/>
            <w:tcBorders>
              <w:right w:val="single" w:color="auto" w:sz="12" w:space="0"/>
            </w:tcBorders>
            <w:noWrap w:val="0"/>
            <w:vAlign w:val="center"/>
          </w:tcPr>
          <w:p>
            <w:pPr>
              <w:pStyle w:val="7"/>
              <w:pageBreakBefore w:val="0"/>
              <w:kinsoku/>
              <w:wordWrap/>
              <w:overflowPunct/>
              <w:topLinePunct w:val="0"/>
              <w:autoSpaceDE/>
              <w:autoSpaceDN/>
              <w:bidi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ageBreakBefore w:val="0"/>
              <w:widowControl w:val="0"/>
              <w:kinsoku/>
              <w:wordWrap/>
              <w:overflowPunct/>
              <w:topLinePunct w:val="0"/>
              <w:autoSpaceDE/>
              <w:autoSpaceDN/>
              <w:bidi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301" w:type="dxa"/>
            <w:noWrap w:val="0"/>
            <w:vAlign w:val="center"/>
          </w:tcPr>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增加风冷热泵主机</w:t>
            </w:r>
          </w:p>
        </w:tc>
        <w:tc>
          <w:tcPr>
            <w:tcW w:w="6718" w:type="dxa"/>
            <w:noWrap w:val="0"/>
            <w:vAlign w:val="center"/>
          </w:tcPr>
          <w:p>
            <w:pPr>
              <w:pageBreakBefore w:val="0"/>
              <w:kinsoku/>
              <w:wordWrap/>
              <w:overflowPunct/>
              <w:topLinePunct w:val="0"/>
              <w:autoSpaceDE/>
              <w:autoSpaceDN/>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中标单位自行考虑主机运输通道、空间位置和设备基础等</w:t>
            </w:r>
          </w:p>
          <w:p>
            <w:pPr>
              <w:pageBreakBefore w:val="0"/>
              <w:kinsoku/>
              <w:wordWrap/>
              <w:overflowPunct/>
              <w:topLinePunct w:val="0"/>
              <w:autoSpaceDE/>
              <w:autoSpaceDN/>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风冷热泵制冷量≥130KW,6台，推荐品牌：天加、特灵、开利</w:t>
            </w:r>
          </w:p>
        </w:tc>
        <w:tc>
          <w:tcPr>
            <w:tcW w:w="766" w:type="dxa"/>
            <w:noWrap w:val="0"/>
            <w:vAlign w:val="center"/>
          </w:tcPr>
          <w:p>
            <w:pPr>
              <w:pageBreakBefore w:val="0"/>
              <w:kinsoku/>
              <w:wordWrap/>
              <w:overflowPunct/>
              <w:topLinePunct w:val="0"/>
              <w:autoSpaceDE/>
              <w:autoSpaceDN/>
              <w:bidi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1套</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c>
          <w:tcPr>
            <w:tcW w:w="775" w:type="dxa"/>
            <w:tcBorders>
              <w:left w:val="single" w:color="auto" w:sz="12" w:space="0"/>
            </w:tcBorders>
            <w:noWrap w:val="0"/>
            <w:vAlign w:val="center"/>
          </w:tcPr>
          <w:p>
            <w:pPr>
              <w:pStyle w:val="7"/>
              <w:pageBreakBefore w:val="0"/>
              <w:kinsoku/>
              <w:wordWrap/>
              <w:overflowPunct/>
              <w:topLinePunct w:val="0"/>
              <w:autoSpaceDE/>
              <w:autoSpaceDN/>
              <w:bidi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1" w:type="dxa"/>
            <w:noWrap w:val="0"/>
            <w:vAlign w:val="center"/>
          </w:tcPr>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增加空调自动控制系统</w:t>
            </w:r>
          </w:p>
        </w:tc>
        <w:tc>
          <w:tcPr>
            <w:tcW w:w="6718" w:type="dxa"/>
            <w:tcBorders>
              <w:right w:val="single" w:color="auto" w:sz="12" w:space="0"/>
            </w:tcBorders>
            <w:noWrap w:val="0"/>
            <w:vAlign w:val="center"/>
          </w:tcPr>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1.、风冷热泵主机、输配系统实现联动控制，一键开机；</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2.主机实时显示主机能效；</w:t>
            </w:r>
          </w:p>
          <w:p>
            <w:pPr>
              <w:pStyle w:val="7"/>
              <w:pageBreakBefore w:val="0"/>
              <w:kinsoku/>
              <w:wordWrap/>
              <w:overflowPunct/>
              <w:topLinePunct w:val="0"/>
              <w:autoSpaceDE/>
              <w:autoSpaceDN/>
              <w:bidi w:val="0"/>
              <w:snapToGrid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3.免费提供365 天 24 小时不间断联网监控。</w:t>
            </w:r>
          </w:p>
        </w:tc>
        <w:tc>
          <w:tcPr>
            <w:tcW w:w="766" w:type="dxa"/>
            <w:tcBorders>
              <w:right w:val="single" w:color="auto" w:sz="12" w:space="0"/>
            </w:tcBorders>
            <w:noWrap w:val="0"/>
            <w:vAlign w:val="center"/>
          </w:tcPr>
          <w:p>
            <w:pPr>
              <w:pStyle w:val="7"/>
              <w:pageBreakBefore w:val="0"/>
              <w:kinsoku/>
              <w:wordWrap/>
              <w:overflowPunct/>
              <w:topLinePunct w:val="0"/>
              <w:autoSpaceDE/>
              <w:autoSpaceDN/>
              <w:bidi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1台</w:t>
            </w:r>
          </w:p>
        </w:tc>
      </w:tr>
    </w:tbl>
    <w:p>
      <w:pPr>
        <w:keepNext w:val="0"/>
        <w:keepLines w:val="0"/>
        <w:pageBreakBefore w:val="0"/>
        <w:widowControl/>
        <w:kinsoku/>
        <w:wordWrap/>
        <w:overflowPunct/>
        <w:topLinePunct w:val="0"/>
        <w:autoSpaceDE/>
        <w:autoSpaceDN/>
        <w:bidi w:val="0"/>
        <w:snapToGrid w:val="0"/>
        <w:spacing w:line="360" w:lineRule="auto"/>
        <w:ind w:left="480" w:hanging="480" w:hangingChars="200"/>
        <w:rPr>
          <w:rFonts w:hint="eastAsia" w:ascii="宋体" w:hAnsi="宋体" w:cs="宋体"/>
          <w:color w:val="auto"/>
          <w:sz w:val="24"/>
          <w:highlight w:val="none"/>
          <w:lang w:val="zh-CN" w:bidi="zh-CN"/>
        </w:rPr>
      </w:pPr>
      <w:r>
        <w:rPr>
          <w:rFonts w:hint="eastAsia" w:ascii="宋体" w:hAnsi="宋体" w:cs="宋体"/>
          <w:color w:val="auto"/>
          <w:sz w:val="24"/>
          <w:highlight w:val="none"/>
          <w:lang w:val="zh-CN" w:bidi="zh-CN"/>
        </w:rPr>
        <w:t>备注：1、合同签订</w:t>
      </w:r>
      <w:r>
        <w:rPr>
          <w:rFonts w:hint="eastAsia" w:ascii="宋体" w:hAnsi="宋体" w:cs="宋体"/>
          <w:color w:val="auto"/>
          <w:sz w:val="24"/>
          <w:highlight w:val="none"/>
          <w:lang w:val="en-US" w:bidi="zh-CN"/>
        </w:rPr>
        <w:t>十</w:t>
      </w:r>
      <w:r>
        <w:rPr>
          <w:rFonts w:hint="eastAsia" w:ascii="宋体" w:hAnsi="宋体" w:cs="宋体"/>
          <w:color w:val="auto"/>
          <w:sz w:val="24"/>
          <w:highlight w:val="none"/>
          <w:lang w:val="zh-CN" w:bidi="zh-CN"/>
        </w:rPr>
        <w:t>年后且甲方对乙方无欠款，则乙方所投设备的产权归甲方所有</w:t>
      </w:r>
      <w:r>
        <w:rPr>
          <w:rFonts w:hint="eastAsia" w:ascii="宋体" w:hAnsi="宋体" w:cs="宋体"/>
          <w:color w:val="auto"/>
          <w:sz w:val="24"/>
          <w:highlight w:val="none"/>
          <w:lang w:bidi="zh-CN"/>
        </w:rPr>
        <w:t>2、</w:t>
      </w:r>
      <w:r>
        <w:rPr>
          <w:rFonts w:hint="eastAsia" w:ascii="宋体" w:hAnsi="宋体" w:cs="宋体"/>
          <w:color w:val="auto"/>
          <w:sz w:val="24"/>
          <w:highlight w:val="none"/>
          <w:lang w:val="zh-CN" w:bidi="zh-CN"/>
        </w:rPr>
        <w:t>如有改造范围的增减需获得采购人的认可；</w:t>
      </w:r>
    </w:p>
    <w:p>
      <w:pPr>
        <w:keepNext w:val="0"/>
        <w:keepLines w:val="0"/>
        <w:pageBreakBefore w:val="0"/>
        <w:widowControl/>
        <w:numPr>
          <w:ilvl w:val="0"/>
          <w:numId w:val="5"/>
        </w:numPr>
        <w:kinsoku/>
        <w:wordWrap/>
        <w:overflowPunct/>
        <w:topLinePunct w:val="0"/>
        <w:autoSpaceDE/>
        <w:autoSpaceDN/>
        <w:bidi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bidi="zh-CN"/>
        </w:rPr>
        <w:t>以上新投入设备必须为全新未使用过的设备。</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color w:val="auto"/>
          <w:kern w:val="0"/>
          <w:sz w:val="24"/>
          <w:szCs w:val="20"/>
          <w:highlight w:val="none"/>
        </w:rPr>
      </w:pPr>
      <w:r>
        <w:rPr>
          <w:rFonts w:hint="eastAsia"/>
          <w:color w:val="auto"/>
          <w:kern w:val="0"/>
          <w:sz w:val="24"/>
          <w:szCs w:val="20"/>
          <w:highlight w:val="none"/>
          <w:lang w:val="en-US" w:eastAsia="zh-CN"/>
        </w:rPr>
        <w:t>4、</w:t>
      </w:r>
      <w:r>
        <w:rPr>
          <w:rFonts w:hint="eastAsia"/>
          <w:color w:val="auto"/>
          <w:kern w:val="0"/>
          <w:sz w:val="24"/>
          <w:szCs w:val="20"/>
          <w:highlight w:val="none"/>
        </w:rPr>
        <w:t>上述节能技改项目中机电设备安装部分必须由具备相关资质的单位负责，投标人若不具备相关资质，可以分包给具备相关资质的单位承接。</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Times New Roman" w:hAnsi="Times New Roman" w:eastAsia="宋体" w:cs="Times New Roman"/>
          <w:color w:val="auto"/>
          <w:kern w:val="0"/>
          <w:sz w:val="24"/>
          <w:szCs w:val="20"/>
          <w:highlight w:val="none"/>
        </w:rPr>
      </w:pPr>
      <w:r>
        <w:rPr>
          <w:rFonts w:hint="eastAsia" w:ascii="Times New Roman" w:hAnsi="Times New Roman" w:eastAsia="宋体" w:cs="Times New Roman"/>
          <w:color w:val="auto"/>
          <w:kern w:val="0"/>
          <w:sz w:val="24"/>
          <w:szCs w:val="20"/>
          <w:highlight w:val="none"/>
        </w:rPr>
        <w:t>投标人（或分包单位）须具有</w:t>
      </w:r>
      <w:r>
        <w:rPr>
          <w:rFonts w:hint="eastAsia" w:ascii="Times New Roman" w:hAnsi="Times New Roman" w:eastAsia="宋体" w:cs="Times New Roman"/>
          <w:color w:val="auto"/>
          <w:kern w:val="0"/>
          <w:sz w:val="24"/>
          <w:szCs w:val="20"/>
          <w:highlight w:val="none"/>
          <w:lang w:val="zh-CN"/>
        </w:rPr>
        <w:t>具有</w:t>
      </w:r>
      <w:r>
        <w:rPr>
          <w:rFonts w:hint="eastAsia" w:ascii="Times New Roman" w:hAnsi="Times New Roman" w:eastAsia="宋体" w:cs="Times New Roman"/>
          <w:color w:val="auto"/>
          <w:kern w:val="0"/>
          <w:sz w:val="24"/>
          <w:szCs w:val="20"/>
          <w:highlight w:val="none"/>
        </w:rPr>
        <w:t>有效的</w:t>
      </w:r>
      <w:r>
        <w:rPr>
          <w:rFonts w:hint="eastAsia" w:ascii="Times New Roman" w:hAnsi="Times New Roman" w:eastAsia="宋体" w:cs="Times New Roman"/>
          <w:color w:val="auto"/>
          <w:kern w:val="0"/>
          <w:sz w:val="24"/>
          <w:szCs w:val="20"/>
          <w:highlight w:val="none"/>
          <w:lang w:val="zh-CN"/>
        </w:rPr>
        <w:t>机电工程施工总承包三级及以上资质或建筑机电安装工程专业承包三级及以上资质</w:t>
      </w:r>
      <w:r>
        <w:rPr>
          <w:rFonts w:hint="eastAsia" w:ascii="Times New Roman" w:hAnsi="Times New Roman" w:eastAsia="宋体" w:cs="Times New Roman"/>
          <w:color w:val="auto"/>
          <w:kern w:val="0"/>
          <w:sz w:val="24"/>
          <w:szCs w:val="20"/>
          <w:highlight w:val="none"/>
        </w:rPr>
        <w:t>。（</w:t>
      </w:r>
      <w:r>
        <w:rPr>
          <w:rFonts w:hint="eastAsia" w:ascii="Times New Roman" w:hAnsi="Times New Roman" w:eastAsia="宋体" w:cs="Times New Roman"/>
          <w:color w:val="auto"/>
          <w:kern w:val="0"/>
          <w:sz w:val="24"/>
          <w:szCs w:val="20"/>
          <w:highlight w:val="none"/>
          <w:lang w:val="en-US" w:eastAsia="zh-CN"/>
        </w:rPr>
        <w:t>中标后</w:t>
      </w:r>
      <w:r>
        <w:rPr>
          <w:rFonts w:hint="eastAsia" w:ascii="Times New Roman" w:hAnsi="Times New Roman" w:eastAsia="宋体" w:cs="Times New Roman"/>
          <w:color w:val="auto"/>
          <w:kern w:val="0"/>
          <w:sz w:val="24"/>
          <w:szCs w:val="20"/>
          <w:highlight w:val="none"/>
        </w:rPr>
        <w:t>提供承接单位营业执照、有效期内的资质证书、有效期内的安全生产许可证及项目分包协议（若分包））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color w:val="auto"/>
          <w:kern w:val="0"/>
          <w:sz w:val="24"/>
          <w:szCs w:val="20"/>
          <w:highlight w:val="none"/>
          <w:u w:val="single"/>
        </w:rPr>
      </w:pPr>
      <w:r>
        <w:rPr>
          <w:rFonts w:hint="eastAsia"/>
          <w:color w:val="auto"/>
          <w:kern w:val="0"/>
          <w:sz w:val="24"/>
          <w:szCs w:val="20"/>
          <w:highlight w:val="none"/>
        </w:rPr>
        <w:t>中标后，上述资质证书、分包协议（若有）等文件均需提交甲方备案。供电方案、机电设备安装施工图图纸须符合施工图审查和供电部门的相关要求并取得甲方同意。</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baseline"/>
        <w:rPr>
          <w:color w:val="auto"/>
          <w:kern w:val="0"/>
          <w:sz w:val="24"/>
          <w:szCs w:val="20"/>
          <w:highlight w:val="none"/>
        </w:rPr>
      </w:pPr>
      <w:r>
        <w:rPr>
          <w:rFonts w:hint="eastAsia"/>
          <w:color w:val="auto"/>
          <w:kern w:val="0"/>
          <w:sz w:val="24"/>
          <w:szCs w:val="20"/>
          <w:highlight w:val="none"/>
        </w:rPr>
        <w:t>4.实施前须申报方案并经过</w:t>
      </w:r>
      <w:r>
        <w:rPr>
          <w:rFonts w:hint="eastAsia"/>
          <w:color w:val="auto"/>
          <w:kern w:val="0"/>
          <w:sz w:val="24"/>
          <w:szCs w:val="20"/>
          <w:highlight w:val="none"/>
          <w:lang w:eastAsia="zh-CN"/>
        </w:rPr>
        <w:t>采购人</w:t>
      </w:r>
      <w:r>
        <w:rPr>
          <w:rFonts w:hint="eastAsia"/>
          <w:color w:val="auto"/>
          <w:kern w:val="0"/>
          <w:sz w:val="24"/>
          <w:szCs w:val="20"/>
          <w:highlight w:val="none"/>
        </w:rPr>
        <w:t>同意方可实施。施工期间</w:t>
      </w:r>
      <w:r>
        <w:rPr>
          <w:rFonts w:hint="eastAsia"/>
          <w:color w:val="auto"/>
          <w:kern w:val="0"/>
          <w:sz w:val="24"/>
          <w:szCs w:val="20"/>
          <w:highlight w:val="none"/>
          <w:lang w:eastAsia="zh-CN"/>
        </w:rPr>
        <w:t>中标人</w:t>
      </w:r>
      <w:r>
        <w:rPr>
          <w:rFonts w:hint="eastAsia"/>
          <w:color w:val="auto"/>
          <w:kern w:val="0"/>
          <w:sz w:val="24"/>
          <w:szCs w:val="20"/>
          <w:highlight w:val="none"/>
        </w:rPr>
        <w:t>应精心组织、合理安排、安全文明不得影响或扰乱正常的医疗秩序。否则</w:t>
      </w:r>
      <w:r>
        <w:rPr>
          <w:rFonts w:hint="eastAsia"/>
          <w:color w:val="auto"/>
          <w:kern w:val="0"/>
          <w:sz w:val="24"/>
          <w:szCs w:val="20"/>
          <w:highlight w:val="none"/>
          <w:lang w:eastAsia="zh-CN"/>
        </w:rPr>
        <w:t>采购人</w:t>
      </w:r>
      <w:r>
        <w:rPr>
          <w:rFonts w:hint="eastAsia"/>
          <w:color w:val="auto"/>
          <w:kern w:val="0"/>
          <w:sz w:val="24"/>
          <w:szCs w:val="20"/>
          <w:highlight w:val="none"/>
        </w:rPr>
        <w:t>有权命令</w:t>
      </w:r>
      <w:r>
        <w:rPr>
          <w:rFonts w:hint="eastAsia"/>
          <w:color w:val="auto"/>
          <w:kern w:val="0"/>
          <w:sz w:val="24"/>
          <w:szCs w:val="20"/>
          <w:highlight w:val="none"/>
          <w:lang w:eastAsia="zh-CN"/>
        </w:rPr>
        <w:t>中标人</w:t>
      </w:r>
      <w:r>
        <w:rPr>
          <w:rFonts w:hint="eastAsia"/>
          <w:color w:val="auto"/>
          <w:kern w:val="0"/>
          <w:sz w:val="24"/>
          <w:szCs w:val="20"/>
          <w:highlight w:val="none"/>
        </w:rPr>
        <w:t>停工，工期不顺延。</w:t>
      </w:r>
    </w:p>
    <w:p>
      <w:pPr>
        <w:keepNext w:val="0"/>
        <w:keepLines w:val="0"/>
        <w:pageBreakBefore w:val="0"/>
        <w:widowControl/>
        <w:kinsoku/>
        <w:wordWrap/>
        <w:overflowPunct/>
        <w:topLinePunct w:val="0"/>
        <w:autoSpaceDE/>
        <w:autoSpaceDN/>
        <w:bidi w:val="0"/>
        <w:adjustRightInd w:val="0"/>
        <w:snapToGrid w:val="0"/>
        <w:spacing w:line="360" w:lineRule="auto"/>
        <w:ind w:firstLine="462" w:firstLineChars="200"/>
        <w:rPr>
          <w:rFonts w:hint="eastAsia" w:ascii="宋体" w:hAnsi="宋体" w:cs="宋体"/>
          <w:b/>
          <w:bCs/>
          <w:color w:val="auto"/>
          <w:spacing w:val="-5"/>
          <w:sz w:val="24"/>
          <w:highlight w:val="none"/>
        </w:rPr>
      </w:pPr>
      <w:r>
        <w:rPr>
          <w:rFonts w:hint="eastAsia" w:ascii="宋体" w:hAnsi="宋体" w:cs="宋体"/>
          <w:b/>
          <w:bCs/>
          <w:color w:val="auto"/>
          <w:spacing w:val="-5"/>
          <w:sz w:val="24"/>
          <w:highlight w:val="none"/>
        </w:rPr>
        <w:t>4 总体要求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4.1改造原则：由</w:t>
      </w:r>
      <w:r>
        <w:rPr>
          <w:rFonts w:hint="eastAsia" w:ascii="宋体" w:hAnsi="宋体" w:cs="宋体"/>
          <w:color w:val="auto"/>
          <w:spacing w:val="-5"/>
          <w:sz w:val="24"/>
          <w:highlight w:val="none"/>
          <w:lang w:val="en-US" w:eastAsia="zh-CN"/>
        </w:rPr>
        <w:t>中标</w:t>
      </w:r>
      <w:r>
        <w:rPr>
          <w:rFonts w:hint="eastAsia" w:ascii="宋体" w:hAnsi="宋体" w:cs="宋体"/>
          <w:color w:val="auto"/>
          <w:spacing w:val="-5"/>
          <w:sz w:val="24"/>
          <w:highlight w:val="none"/>
        </w:rPr>
        <w:t>人根据现场调查情况，因地制宜，选择技术先进、经济合理的技术或产品，技术或产品要求技术成熟、稳定可靠。</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a)改造应在不对医院造成重大影响的情况进行；</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b)改造不应影响原有系统的正常运行；</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4.2 改造要求：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合同签订之日起，1年内完成改造并达到要求。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5.技术要求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5.1 节能改造技术要求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5.1.1节能措施应符合国家法律法规、产业政策要求以及工艺、设备等相关标准的规定。产品设计及设备安装应符合《合同能源管理技术通则》（GB/T24915-2010）规定。</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 xml:space="preserve">5.1.2 项目的技术改造不能影响原设备使用，保证项目运行安全性、可靠性。 </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6.设备要求</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pacing w:val="-5"/>
          <w:sz w:val="24"/>
          <w:highlight w:val="none"/>
          <w:lang w:val="en-US" w:eastAsia="zh-CN"/>
        </w:rPr>
      </w:pPr>
      <w:r>
        <w:rPr>
          <w:rFonts w:ascii="宋体" w:hAnsi="宋体"/>
          <w:color w:val="auto"/>
          <w:sz w:val="24"/>
          <w:szCs w:val="24"/>
          <w:highlight w:val="none"/>
        </w:rPr>
        <w:t>根据能源设备实际情况，寻找节能潜力，实施节能改造，降低整体能源消耗。</w:t>
      </w:r>
      <w:r>
        <w:rPr>
          <w:rFonts w:hint="eastAsia" w:ascii="宋体" w:hAnsi="宋体"/>
          <w:color w:val="auto"/>
          <w:sz w:val="24"/>
          <w:szCs w:val="24"/>
          <w:highlight w:val="none"/>
          <w:lang w:val="en-US" w:eastAsia="zh-CN"/>
        </w:rPr>
        <w:t>中标</w:t>
      </w:r>
      <w:r>
        <w:rPr>
          <w:rFonts w:ascii="宋体" w:hAnsi="宋体"/>
          <w:color w:val="auto"/>
          <w:sz w:val="24"/>
          <w:szCs w:val="24"/>
          <w:highlight w:val="none"/>
        </w:rPr>
        <w:t>人应在获得</w:t>
      </w:r>
      <w:r>
        <w:rPr>
          <w:rFonts w:hint="eastAsia" w:ascii="宋体" w:hAnsi="宋体"/>
          <w:color w:val="auto"/>
          <w:sz w:val="24"/>
          <w:szCs w:val="24"/>
          <w:highlight w:val="none"/>
          <w:lang w:val="en-US" w:eastAsia="zh-CN"/>
        </w:rPr>
        <w:t>采购</w:t>
      </w:r>
      <w:r>
        <w:rPr>
          <w:rFonts w:ascii="宋体" w:hAnsi="宋体"/>
          <w:color w:val="auto"/>
          <w:sz w:val="24"/>
          <w:szCs w:val="24"/>
          <w:highlight w:val="none"/>
        </w:rPr>
        <w:t>人的同意下，不断进行节能改造设备投入。实施节能改造需向相应的政府机构或者其他第三方申请许可、同意或者批准的，由</w:t>
      </w:r>
      <w:r>
        <w:rPr>
          <w:rFonts w:hint="eastAsia" w:ascii="宋体" w:hAnsi="宋体"/>
          <w:color w:val="auto"/>
          <w:sz w:val="24"/>
          <w:szCs w:val="24"/>
          <w:highlight w:val="none"/>
          <w:lang w:val="en-US" w:eastAsia="zh-CN"/>
        </w:rPr>
        <w:t>中标</w:t>
      </w:r>
      <w:r>
        <w:rPr>
          <w:rFonts w:ascii="宋体" w:hAnsi="宋体"/>
          <w:color w:val="auto"/>
          <w:sz w:val="24"/>
          <w:szCs w:val="24"/>
          <w:highlight w:val="none"/>
        </w:rPr>
        <w:t>人组织申请，并在本合同期间保持其有效性。</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使用现在先进、节能的设备与原系统匹配，需要征得采购人同意，提供设计图纸，并保证新投入设备必需要有符合国家规定的证明文件，不影响医院正常运营。</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 能源设施的安全、可靠</w:t>
      </w:r>
      <w:r>
        <w:rPr>
          <w:rFonts w:hint="eastAsia" w:ascii="宋体" w:hAnsi="宋体"/>
          <w:color w:val="auto"/>
          <w:sz w:val="24"/>
          <w:szCs w:val="24"/>
          <w:highlight w:val="none"/>
        </w:rPr>
        <w:t>运营管理</w:t>
      </w:r>
      <w:r>
        <w:rPr>
          <w:rFonts w:ascii="宋体" w:hAnsi="宋体"/>
          <w:color w:val="auto"/>
          <w:sz w:val="24"/>
          <w:szCs w:val="24"/>
          <w:highlight w:val="none"/>
        </w:rPr>
        <w:t>技术支持</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ascii="宋体" w:hAnsi="宋体"/>
          <w:color w:val="auto"/>
          <w:sz w:val="24"/>
          <w:szCs w:val="24"/>
          <w:highlight w:val="none"/>
        </w:rPr>
        <w:t>深入研究</w:t>
      </w:r>
      <w:r>
        <w:rPr>
          <w:rFonts w:hint="eastAsia" w:ascii="宋体" w:hAnsi="宋体"/>
          <w:color w:val="auto"/>
          <w:sz w:val="24"/>
          <w:szCs w:val="24"/>
          <w:highlight w:val="none"/>
        </w:rPr>
        <w:t>医院</w:t>
      </w:r>
      <w:r>
        <w:rPr>
          <w:rFonts w:ascii="宋体" w:hAnsi="宋体"/>
          <w:color w:val="auto"/>
          <w:sz w:val="24"/>
          <w:szCs w:val="24"/>
          <w:highlight w:val="none"/>
        </w:rPr>
        <w:t>现有能源系统、各能源子系统运行管理现状，对</w:t>
      </w:r>
      <w:r>
        <w:rPr>
          <w:rFonts w:hint="eastAsia" w:ascii="宋体" w:hAnsi="宋体"/>
          <w:color w:val="auto"/>
          <w:sz w:val="24"/>
          <w:szCs w:val="24"/>
          <w:highlight w:val="none"/>
        </w:rPr>
        <w:t>能源设施</w:t>
      </w:r>
      <w:r>
        <w:rPr>
          <w:rFonts w:ascii="宋体" w:hAnsi="宋体"/>
          <w:color w:val="auto"/>
          <w:sz w:val="24"/>
          <w:szCs w:val="24"/>
          <w:highlight w:val="none"/>
        </w:rPr>
        <w:t>安全、可靠运行、能源系统分析功能提出改进意见，包括但不限于对核心指标以及整体运行情况分析（指标管理、能源指标分析等），并在</w:t>
      </w:r>
      <w:r>
        <w:rPr>
          <w:rFonts w:hint="eastAsia" w:ascii="宋体" w:hAnsi="宋体"/>
          <w:color w:val="auto"/>
          <w:sz w:val="24"/>
          <w:szCs w:val="24"/>
          <w:highlight w:val="none"/>
          <w:lang w:eastAsia="zh-CN"/>
        </w:rPr>
        <w:t>采购人</w:t>
      </w:r>
      <w:r>
        <w:rPr>
          <w:rFonts w:ascii="宋体" w:hAnsi="宋体"/>
          <w:color w:val="auto"/>
          <w:sz w:val="24"/>
          <w:szCs w:val="24"/>
          <w:highlight w:val="none"/>
        </w:rPr>
        <w:t>同意后协助实施</w:t>
      </w:r>
      <w:r>
        <w:rPr>
          <w:rFonts w:hint="eastAsia" w:ascii="宋体" w:hAnsi="宋体" w:cs="宋体"/>
          <w:color w:val="auto"/>
          <w:sz w:val="24"/>
          <w:szCs w:val="24"/>
          <w:highlight w:val="none"/>
        </w:rPr>
        <w:t>。</w:t>
      </w:r>
      <w:r>
        <w:rPr>
          <w:rFonts w:ascii="宋体" w:hAnsi="宋体"/>
          <w:color w:val="auto"/>
          <w:sz w:val="24"/>
          <w:szCs w:val="24"/>
          <w:highlight w:val="none"/>
        </w:rPr>
        <w:t>在接到</w:t>
      </w:r>
      <w:r>
        <w:rPr>
          <w:rFonts w:hint="eastAsia" w:ascii="宋体" w:hAnsi="宋体"/>
          <w:color w:val="auto"/>
          <w:sz w:val="24"/>
          <w:szCs w:val="24"/>
          <w:highlight w:val="none"/>
          <w:lang w:eastAsia="zh-CN"/>
        </w:rPr>
        <w:t>采购人</w:t>
      </w:r>
      <w:r>
        <w:rPr>
          <w:rFonts w:ascii="宋体" w:hAnsi="宋体"/>
          <w:color w:val="auto"/>
          <w:sz w:val="24"/>
          <w:szCs w:val="24"/>
          <w:highlight w:val="none"/>
        </w:rPr>
        <w:t>关于项目运行故障的通知之后，</w:t>
      </w:r>
      <w:r>
        <w:rPr>
          <w:rFonts w:hint="eastAsia" w:ascii="宋体" w:hAnsi="宋体"/>
          <w:color w:val="auto"/>
          <w:sz w:val="24"/>
          <w:szCs w:val="24"/>
          <w:highlight w:val="none"/>
          <w:lang w:eastAsia="zh-CN"/>
        </w:rPr>
        <w:t>中标人</w:t>
      </w:r>
      <w:r>
        <w:rPr>
          <w:rFonts w:ascii="宋体" w:hAnsi="宋体"/>
          <w:color w:val="auto"/>
          <w:sz w:val="24"/>
          <w:szCs w:val="24"/>
          <w:highlight w:val="none"/>
        </w:rPr>
        <w:t>应根据相关规定和要求，及时</w:t>
      </w:r>
      <w:r>
        <w:rPr>
          <w:rFonts w:hint="eastAsia" w:ascii="宋体" w:hAnsi="宋体"/>
          <w:color w:val="auto"/>
          <w:sz w:val="24"/>
          <w:szCs w:val="24"/>
          <w:highlight w:val="none"/>
        </w:rPr>
        <w:t>监督</w:t>
      </w:r>
      <w:r>
        <w:rPr>
          <w:rFonts w:ascii="宋体" w:hAnsi="宋体"/>
          <w:color w:val="auto"/>
          <w:sz w:val="24"/>
          <w:szCs w:val="24"/>
          <w:highlight w:val="none"/>
        </w:rPr>
        <w:t>完成相关维修或设备更换。</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、日常管理</w:t>
      </w:r>
    </w:p>
    <w:p>
      <w:pPr>
        <w:pageBreakBefore w:val="0"/>
        <w:kinsoku/>
        <w:wordWrap/>
        <w:overflowPunct/>
        <w:topLinePunct w:val="0"/>
        <w:autoSpaceDE/>
        <w:autoSpaceDN/>
        <w:bidi w:val="0"/>
        <w:snapToGrid w:val="0"/>
        <w:spacing w:line="360" w:lineRule="auto"/>
        <w:ind w:firstLine="240"/>
        <w:rPr>
          <w:rFonts w:ascii="宋体" w:hAns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）维护人员必须遵守各项规章制度，严格遵守医院安全规定，不准在机房吸烟，不准带易燃易爆的物品进入机房。人员只能对代维保的设备进行操作，未经</w:t>
      </w:r>
      <w:r>
        <w:rPr>
          <w:rFonts w:ascii="宋体" w:hAnsi="宋体" w:cs="宋体"/>
          <w:color w:val="auto"/>
          <w:sz w:val="24"/>
          <w:szCs w:val="24"/>
          <w:highlight w:val="none"/>
        </w:rPr>
        <w:t>院方管理部门允许，</w:t>
      </w:r>
      <w:r>
        <w:rPr>
          <w:rFonts w:hint="eastAsia" w:ascii="宋体" w:hAnsi="宋体" w:cs="宋体"/>
          <w:color w:val="auto"/>
          <w:sz w:val="24"/>
          <w:szCs w:val="24"/>
          <w:highlight w:val="none"/>
        </w:rPr>
        <w:t>不得擅自动用其他设备，否则将承担全部经济及安全责任。运维人员必须配合院方做好安全管理工作，严格遵守《医院施工管理工作制度》、〈停车场管理制度〉、《消防安全管理制度》、《控烟管理制度》等相关管理制度。</w:t>
      </w:r>
    </w:p>
    <w:p>
      <w:pPr>
        <w:pageBreakBefore w:val="0"/>
        <w:kinsoku/>
        <w:wordWrap/>
        <w:overflowPunct/>
        <w:topLinePunct w:val="0"/>
        <w:autoSpaceDE/>
        <w:autoSpaceDN/>
        <w:bidi w:val="0"/>
        <w:snapToGrid w:val="0"/>
        <w:spacing w:line="360" w:lineRule="auto"/>
        <w:ind w:firstLine="240"/>
        <w:rPr>
          <w:rFonts w:ascii="宋体" w:hAns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）提供运维人员定期岗位培训计划和安全生产教育计划，新</w:t>
      </w:r>
      <w:r>
        <w:rPr>
          <w:rFonts w:ascii="宋体" w:hAnsi="宋体" w:cs="宋体"/>
          <w:color w:val="auto"/>
          <w:sz w:val="24"/>
          <w:szCs w:val="24"/>
          <w:highlight w:val="none"/>
        </w:rPr>
        <w:t>上岗维保</w:t>
      </w:r>
      <w:r>
        <w:rPr>
          <w:rFonts w:hint="eastAsia" w:ascii="宋体" w:hAnsi="宋体" w:cs="宋体"/>
          <w:color w:val="auto"/>
          <w:sz w:val="24"/>
          <w:szCs w:val="24"/>
          <w:highlight w:val="none"/>
        </w:rPr>
        <w:t>人员需经过公司严格培训合格以及</w:t>
      </w:r>
      <w:r>
        <w:rPr>
          <w:rFonts w:ascii="宋体" w:hAnsi="宋体" w:cs="宋体"/>
          <w:color w:val="auto"/>
          <w:sz w:val="24"/>
          <w:szCs w:val="24"/>
          <w:highlight w:val="none"/>
        </w:rPr>
        <w:t>院方</w:t>
      </w:r>
      <w:r>
        <w:rPr>
          <w:rFonts w:hint="eastAsia" w:ascii="宋体" w:hAnsi="宋体" w:cs="宋体"/>
          <w:color w:val="auto"/>
          <w:sz w:val="24"/>
          <w:szCs w:val="24"/>
          <w:highlight w:val="none"/>
        </w:rPr>
        <w:t>管理部门同意</w:t>
      </w:r>
      <w:r>
        <w:rPr>
          <w:rFonts w:ascii="宋体" w:hAnsi="宋体" w:cs="宋体"/>
          <w:color w:val="auto"/>
          <w:sz w:val="24"/>
          <w:szCs w:val="24"/>
          <w:highlight w:val="none"/>
        </w:rPr>
        <w:t>后，</w:t>
      </w:r>
      <w:r>
        <w:rPr>
          <w:rFonts w:hint="eastAsia" w:ascii="宋体" w:hAnsi="宋体" w:cs="宋体"/>
          <w:color w:val="auto"/>
          <w:sz w:val="24"/>
          <w:szCs w:val="24"/>
          <w:highlight w:val="none"/>
        </w:rPr>
        <w:t>方可安排工作。需接受院方管理部门的监督及检查，对于院方管理部门认定服务态度恶劣、责任心不强、技术不过关的人员，院方管理部门有权要求该人员调离本项目服务范围。</w:t>
      </w:r>
    </w:p>
    <w:p>
      <w:pPr>
        <w:pageBreakBefore w:val="0"/>
        <w:kinsoku/>
        <w:wordWrap/>
        <w:overflowPunct/>
        <w:topLinePunct w:val="0"/>
        <w:autoSpaceDE/>
        <w:autoSpaceDN/>
        <w:bidi w:val="0"/>
        <w:snapToGrid w:val="0"/>
        <w:spacing w:line="360" w:lineRule="auto"/>
        <w:ind w:firstLine="24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）在院维保人员</w:t>
      </w:r>
      <w:r>
        <w:rPr>
          <w:rFonts w:ascii="宋体" w:hAnsi="宋体" w:cs="宋体"/>
          <w:color w:val="auto"/>
          <w:sz w:val="24"/>
          <w:szCs w:val="24"/>
          <w:highlight w:val="none"/>
        </w:rPr>
        <w:t>必须</w:t>
      </w:r>
      <w:r>
        <w:rPr>
          <w:rFonts w:hint="eastAsia" w:ascii="宋体" w:hAnsi="宋体" w:cs="宋体"/>
          <w:color w:val="auto"/>
          <w:sz w:val="24"/>
          <w:szCs w:val="24"/>
          <w:highlight w:val="none"/>
        </w:rPr>
        <w:t>文明服务，统一着装，佩带工作证，并遵守维保现场的安全，运维过程中必须采取得当的安全防护措施，确保人身安全，如在维保过程中发生事故、工作人员伤害及其他人员伤害，将由中标人承担一切</w:t>
      </w:r>
      <w:r>
        <w:rPr>
          <w:rFonts w:ascii="宋体" w:hAnsi="宋体" w:cs="宋体"/>
          <w:color w:val="auto"/>
          <w:sz w:val="24"/>
          <w:szCs w:val="24"/>
          <w:highlight w:val="none"/>
        </w:rPr>
        <w:t>责任</w:t>
      </w:r>
      <w:r>
        <w:rPr>
          <w:rFonts w:hint="eastAsia" w:ascii="宋体" w:hAnsi="宋体" w:cs="宋体"/>
          <w:color w:val="auto"/>
          <w:sz w:val="24"/>
          <w:szCs w:val="24"/>
          <w:highlight w:val="none"/>
        </w:rPr>
        <w:t>。</w:t>
      </w:r>
    </w:p>
    <w:p>
      <w:pPr>
        <w:pageBreakBefore w:val="0"/>
        <w:kinsoku/>
        <w:wordWrap/>
        <w:overflowPunct/>
        <w:topLinePunct w:val="0"/>
        <w:autoSpaceDE/>
        <w:autoSpaceDN/>
        <w:bidi w:val="0"/>
        <w:snapToGrid w:val="0"/>
        <w:spacing w:line="360" w:lineRule="auto"/>
        <w:ind w:firstLine="24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rPr>
        <w:t>维护人员需遵守医院院感防控的要求。</w:t>
      </w:r>
    </w:p>
    <w:p>
      <w:pPr>
        <w:pageBreakBefore w:val="0"/>
        <w:kinsoku/>
        <w:wordWrap/>
        <w:overflowPunct/>
        <w:topLinePunct w:val="0"/>
        <w:autoSpaceDE/>
        <w:autoSpaceDN/>
        <w:bidi w:val="0"/>
        <w:snapToGrid w:val="0"/>
        <w:spacing w:line="360" w:lineRule="auto"/>
        <w:ind w:firstLine="240"/>
        <w:rPr>
          <w:rFonts w:ascii="宋体" w:hAnsi="宋体"/>
          <w:color w:val="auto"/>
          <w:sz w:val="24"/>
          <w:szCs w:val="24"/>
          <w:highlight w:val="none"/>
        </w:rPr>
      </w:pPr>
      <w:r>
        <w:rPr>
          <w:rFonts w:hint="eastAsia" w:ascii="宋体" w:hAnsi="宋体" w:cs="宋体"/>
          <w:color w:val="auto"/>
          <w:sz w:val="24"/>
          <w:szCs w:val="24"/>
          <w:highlight w:val="none"/>
        </w:rPr>
        <w:t>（5）定期向院方管理部门提供节假日运维人员值班表及保养计划安排时间表。</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、故障维修及响应</w:t>
      </w:r>
    </w:p>
    <w:p>
      <w:pPr>
        <w:pageBreakBefore w:val="0"/>
        <w:kinsoku/>
        <w:wordWrap/>
        <w:overflowPunct/>
        <w:topLinePunct w:val="0"/>
        <w:autoSpaceDE/>
        <w:autoSpaceDN/>
        <w:bidi w:val="0"/>
        <w:snapToGrid w:val="0"/>
        <w:spacing w:line="360" w:lineRule="auto"/>
        <w:ind w:firstLine="240"/>
        <w:rPr>
          <w:rFonts w:ascii="宋体" w:hAns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应提供</w:t>
      </w:r>
      <w:r>
        <w:rPr>
          <w:rFonts w:ascii="宋体" w:hAnsi="宋体" w:cs="宋体"/>
          <w:color w:val="auto"/>
          <w:sz w:val="24"/>
          <w:szCs w:val="24"/>
          <w:highlight w:val="none"/>
        </w:rPr>
        <w:t>7*24</w:t>
      </w:r>
      <w:r>
        <w:rPr>
          <w:rFonts w:hint="eastAsia" w:ascii="宋体" w:hAnsi="宋体" w:cs="宋体"/>
          <w:color w:val="auto"/>
          <w:sz w:val="24"/>
          <w:szCs w:val="24"/>
          <w:highlight w:val="none"/>
        </w:rPr>
        <w:t>小时驻场服务，项目负责人1人需驻现场，每周不少于5日，项目组成人员驻场轮流排班，接到</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电话后，对于自维设备必须</w:t>
      </w:r>
      <w:r>
        <w:rPr>
          <w:rFonts w:ascii="宋体" w:hAnsi="宋体" w:cs="宋体"/>
          <w:color w:val="auto"/>
          <w:sz w:val="24"/>
          <w:szCs w:val="24"/>
          <w:highlight w:val="none"/>
        </w:rPr>
        <w:t>15</w:t>
      </w:r>
      <w:r>
        <w:rPr>
          <w:rFonts w:hint="eastAsia" w:ascii="宋体" w:hAnsi="宋体" w:cs="宋体"/>
          <w:color w:val="auto"/>
          <w:sz w:val="24"/>
          <w:szCs w:val="24"/>
          <w:highlight w:val="none"/>
        </w:rPr>
        <w:t>分钟内响应并保证设备正常运行。对于代维设备，代维人员接到</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电话后必须</w:t>
      </w:r>
      <w:r>
        <w:rPr>
          <w:rFonts w:ascii="宋体" w:hAnsi="宋体" w:cs="宋体"/>
          <w:color w:val="auto"/>
          <w:sz w:val="24"/>
          <w:szCs w:val="24"/>
          <w:highlight w:val="none"/>
        </w:rPr>
        <w:t>15</w:t>
      </w:r>
      <w:r>
        <w:rPr>
          <w:rFonts w:hint="eastAsia" w:ascii="宋体" w:hAnsi="宋体" w:cs="宋体"/>
          <w:color w:val="auto"/>
          <w:sz w:val="24"/>
          <w:szCs w:val="24"/>
          <w:highlight w:val="none"/>
        </w:rPr>
        <w:t>分钟内响应，无更换零配件的情况下</w:t>
      </w:r>
      <w:r>
        <w:rPr>
          <w:rFonts w:ascii="宋体" w:hAnsi="宋体" w:cs="宋体"/>
          <w:color w:val="auto"/>
          <w:sz w:val="24"/>
          <w:szCs w:val="24"/>
          <w:highlight w:val="none"/>
        </w:rPr>
        <w:t>2</w:t>
      </w:r>
      <w:r>
        <w:rPr>
          <w:rFonts w:hint="eastAsia" w:ascii="宋体" w:hAnsi="宋体" w:cs="宋体"/>
          <w:color w:val="auto"/>
          <w:sz w:val="24"/>
          <w:szCs w:val="24"/>
          <w:highlight w:val="none"/>
        </w:rPr>
        <w:t>小时内修复；小故障（小故障是指4小时内可修复的故障）获得</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配件后</w:t>
      </w:r>
      <w:r>
        <w:rPr>
          <w:rFonts w:ascii="宋体" w:hAnsi="宋体" w:cs="宋体"/>
          <w:color w:val="auto"/>
          <w:sz w:val="24"/>
          <w:szCs w:val="24"/>
          <w:highlight w:val="none"/>
        </w:rPr>
        <w:t>4</w:t>
      </w:r>
      <w:r>
        <w:rPr>
          <w:rFonts w:hint="eastAsia" w:ascii="宋体" w:hAnsi="宋体" w:cs="宋体"/>
          <w:color w:val="auto"/>
          <w:sz w:val="24"/>
          <w:szCs w:val="24"/>
          <w:highlight w:val="none"/>
        </w:rPr>
        <w:t>小时内更换解决，大故障（大故障是指修复时间需要4小时以上的故障且需要更换专用配件或更新程序。）向总务处报告并拟定维修方案包括更换配件的详细信息，由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确认后在规定的工作日内恢复运转，并采取技术手段确保正常工作不受影响；</w:t>
      </w:r>
      <w:r>
        <w:rPr>
          <w:rFonts w:ascii="宋体" w:hAnsi="宋体" w:cs="宋体"/>
          <w:color w:val="auto"/>
          <w:sz w:val="24"/>
          <w:szCs w:val="24"/>
          <w:highlight w:val="none"/>
        </w:rPr>
        <w:t>发生故障4</w:t>
      </w:r>
      <w:r>
        <w:rPr>
          <w:rFonts w:hint="eastAsia" w:ascii="宋体" w:hAnsi="宋体" w:cs="宋体"/>
          <w:color w:val="auto"/>
          <w:sz w:val="24"/>
          <w:szCs w:val="24"/>
          <w:highlight w:val="none"/>
        </w:rPr>
        <w:t>小时</w:t>
      </w:r>
      <w:r>
        <w:rPr>
          <w:rFonts w:ascii="宋体" w:hAnsi="宋体" w:cs="宋体"/>
          <w:color w:val="auto"/>
          <w:sz w:val="24"/>
          <w:szCs w:val="24"/>
          <w:highlight w:val="none"/>
        </w:rPr>
        <w:t>内</w:t>
      </w:r>
      <w:r>
        <w:rPr>
          <w:rFonts w:hint="eastAsia" w:ascii="宋体" w:hAnsi="宋体" w:cs="宋体"/>
          <w:color w:val="auto"/>
          <w:sz w:val="24"/>
          <w:szCs w:val="24"/>
          <w:highlight w:val="none"/>
        </w:rPr>
        <w:t>未解决的需立即反馈给院方</w:t>
      </w:r>
      <w:r>
        <w:rPr>
          <w:rFonts w:ascii="宋体" w:hAnsi="宋体" w:cs="宋体"/>
          <w:color w:val="auto"/>
          <w:sz w:val="24"/>
          <w:szCs w:val="24"/>
          <w:highlight w:val="none"/>
        </w:rPr>
        <w:t>管理部门</w:t>
      </w:r>
      <w:r>
        <w:rPr>
          <w:rFonts w:hint="eastAsia" w:ascii="宋体" w:hAnsi="宋体" w:cs="宋体"/>
          <w:color w:val="auto"/>
          <w:sz w:val="24"/>
          <w:szCs w:val="24"/>
          <w:highlight w:val="none"/>
        </w:rPr>
        <w:t>，同时组织启动应急预案；设备停用</w:t>
      </w:r>
      <w:r>
        <w:rPr>
          <w:rFonts w:ascii="宋体" w:hAnsi="宋体" w:cs="宋体"/>
          <w:color w:val="auto"/>
          <w:sz w:val="24"/>
          <w:szCs w:val="24"/>
          <w:highlight w:val="none"/>
        </w:rPr>
        <w:t>4</w:t>
      </w:r>
      <w:r>
        <w:rPr>
          <w:rFonts w:hint="eastAsia" w:ascii="宋体" w:hAnsi="宋体" w:cs="宋体"/>
          <w:color w:val="auto"/>
          <w:sz w:val="24"/>
          <w:szCs w:val="24"/>
          <w:highlight w:val="none"/>
        </w:rPr>
        <w:t>小时</w:t>
      </w:r>
      <w:r>
        <w:rPr>
          <w:rFonts w:ascii="宋体" w:hAnsi="宋体" w:cs="宋体"/>
          <w:color w:val="auto"/>
          <w:sz w:val="24"/>
          <w:szCs w:val="24"/>
          <w:highlight w:val="none"/>
        </w:rPr>
        <w:t>以上，且未给院方管理部门</w:t>
      </w:r>
      <w:r>
        <w:rPr>
          <w:rFonts w:hint="eastAsia" w:ascii="宋体" w:hAnsi="宋体" w:cs="宋体"/>
          <w:color w:val="auto"/>
          <w:sz w:val="24"/>
          <w:szCs w:val="24"/>
          <w:highlight w:val="none"/>
        </w:rPr>
        <w:t>任何说明及响应措施，每超时</w:t>
      </w:r>
      <w:r>
        <w:rPr>
          <w:rFonts w:ascii="宋体" w:hAnsi="宋体" w:cs="宋体"/>
          <w:color w:val="auto"/>
          <w:sz w:val="24"/>
          <w:szCs w:val="24"/>
          <w:highlight w:val="none"/>
        </w:rPr>
        <w:t>解决1小时，</w:t>
      </w:r>
      <w:r>
        <w:rPr>
          <w:rFonts w:hint="eastAsia" w:ascii="宋体" w:hAnsi="宋体" w:cs="宋体"/>
          <w:color w:val="auto"/>
          <w:sz w:val="24"/>
          <w:szCs w:val="24"/>
          <w:highlight w:val="none"/>
        </w:rPr>
        <w:t>则在月度考核中扣分并且影响服务费用的支付。</w:t>
      </w:r>
    </w:p>
    <w:p>
      <w:pPr>
        <w:pageBreakBefore w:val="0"/>
        <w:kinsoku/>
        <w:wordWrap/>
        <w:overflowPunct/>
        <w:topLinePunct w:val="0"/>
        <w:autoSpaceDE/>
        <w:autoSpaceDN/>
        <w:bidi w:val="0"/>
        <w:snapToGrid w:val="0"/>
        <w:spacing w:line="360" w:lineRule="auto"/>
        <w:ind w:firstLine="240"/>
        <w:rPr>
          <w:rFonts w:ascii="宋体" w:hAnsi="宋体"/>
          <w:color w:val="auto"/>
          <w:sz w:val="24"/>
          <w:szCs w:val="24"/>
          <w:highlight w:val="none"/>
        </w:rPr>
      </w:pPr>
      <w:r>
        <w:rPr>
          <w:rFonts w:hint="eastAsia" w:ascii="宋体" w:hAnsi="宋体" w:cs="宋体"/>
          <w:color w:val="auto"/>
          <w:sz w:val="24"/>
          <w:szCs w:val="24"/>
          <w:highlight w:val="none"/>
        </w:rPr>
        <w:t>（2）故障维修处理</w:t>
      </w:r>
      <w:r>
        <w:rPr>
          <w:rFonts w:ascii="宋体" w:hAnsi="宋体" w:cs="宋体"/>
          <w:color w:val="auto"/>
          <w:sz w:val="24"/>
          <w:szCs w:val="24"/>
          <w:highlight w:val="none"/>
        </w:rPr>
        <w:t>完成</w:t>
      </w:r>
      <w:r>
        <w:rPr>
          <w:rFonts w:hint="eastAsia" w:ascii="宋体" w:hAnsi="宋体" w:cs="宋体"/>
          <w:color w:val="auto"/>
          <w:sz w:val="24"/>
          <w:szCs w:val="24"/>
          <w:highlight w:val="none"/>
        </w:rPr>
        <w:t>后需认真填写设备故障维修记录表，并在每月月底将故障维修记录表交至</w:t>
      </w:r>
      <w:r>
        <w:rPr>
          <w:rFonts w:hint="eastAsia" w:ascii="宋体" w:hAnsi="宋体" w:cs="宋体"/>
          <w:color w:val="auto"/>
          <w:sz w:val="24"/>
          <w:szCs w:val="24"/>
          <w:highlight w:val="none"/>
          <w:lang w:eastAsia="zh-CN"/>
        </w:rPr>
        <w:t>采购人</w:t>
      </w:r>
      <w:r>
        <w:rPr>
          <w:rFonts w:ascii="宋体" w:hAnsi="宋体" w:cs="宋体"/>
          <w:color w:val="auto"/>
          <w:sz w:val="24"/>
          <w:szCs w:val="24"/>
          <w:highlight w:val="none"/>
        </w:rPr>
        <w:t>管理部门</w:t>
      </w:r>
      <w:r>
        <w:rPr>
          <w:rFonts w:hint="eastAsia" w:ascii="宋体" w:hAnsi="宋体" w:cs="宋体"/>
          <w:color w:val="auto"/>
          <w:sz w:val="24"/>
          <w:szCs w:val="24"/>
          <w:highlight w:val="none"/>
        </w:rPr>
        <w:t>，超过</w:t>
      </w:r>
      <w:r>
        <w:rPr>
          <w:rFonts w:ascii="宋体" w:hAnsi="宋体" w:cs="宋体"/>
          <w:color w:val="auto"/>
          <w:sz w:val="24"/>
          <w:szCs w:val="24"/>
          <w:highlight w:val="none"/>
        </w:rPr>
        <w:t>4h</w:t>
      </w:r>
      <w:r>
        <w:rPr>
          <w:rFonts w:hint="eastAsia" w:ascii="宋体" w:hAnsi="宋体" w:cs="宋体"/>
          <w:color w:val="auto"/>
          <w:sz w:val="24"/>
          <w:szCs w:val="24"/>
          <w:highlight w:val="none"/>
        </w:rPr>
        <w:t>未修复的故障需在</w:t>
      </w:r>
      <w:r>
        <w:rPr>
          <w:rFonts w:ascii="宋体" w:hAnsi="宋体" w:cs="宋体"/>
          <w:color w:val="auto"/>
          <w:sz w:val="24"/>
          <w:szCs w:val="24"/>
          <w:highlight w:val="none"/>
        </w:rPr>
        <w:t>24</w:t>
      </w:r>
      <w:r>
        <w:rPr>
          <w:rFonts w:hint="eastAsia" w:ascii="宋体" w:hAnsi="宋体" w:cs="宋体"/>
          <w:color w:val="auto"/>
          <w:sz w:val="24"/>
          <w:szCs w:val="24"/>
          <w:highlight w:val="none"/>
        </w:rPr>
        <w:t>小时内提供故障报告至</w:t>
      </w:r>
      <w:r>
        <w:rPr>
          <w:rFonts w:hint="eastAsia" w:ascii="宋体" w:hAnsi="宋体" w:cs="宋体"/>
          <w:color w:val="auto"/>
          <w:sz w:val="24"/>
          <w:szCs w:val="24"/>
          <w:highlight w:val="none"/>
          <w:lang w:eastAsia="zh-CN"/>
        </w:rPr>
        <w:t>采购人</w:t>
      </w:r>
      <w:r>
        <w:rPr>
          <w:rFonts w:ascii="宋体" w:hAnsi="宋体" w:cs="宋体"/>
          <w:color w:val="auto"/>
          <w:sz w:val="24"/>
          <w:szCs w:val="24"/>
          <w:highlight w:val="none"/>
        </w:rPr>
        <w:t>管理部门</w:t>
      </w:r>
      <w:r>
        <w:rPr>
          <w:rFonts w:hint="eastAsia" w:ascii="宋体" w:hAnsi="宋体" w:cs="宋体"/>
          <w:color w:val="auto"/>
          <w:sz w:val="24"/>
          <w:szCs w:val="24"/>
          <w:highlight w:val="none"/>
        </w:rPr>
        <w:t>。</w:t>
      </w:r>
    </w:p>
    <w:p>
      <w:pPr>
        <w:pageBreakBefore w:val="0"/>
        <w:widowControl/>
        <w:kinsoku/>
        <w:wordWrap/>
        <w:overflowPunct/>
        <w:topLinePunct w:val="0"/>
        <w:autoSpaceDE/>
        <w:autoSpaceDN/>
        <w:bidi w:val="0"/>
        <w:snapToGrid w:val="0"/>
        <w:spacing w:line="360" w:lineRule="auto"/>
        <w:ind w:firstLine="240"/>
        <w:rPr>
          <w:rFonts w:hint="eastAsia" w:ascii="宋体" w:hAnsi="宋体" w:cs="宋体"/>
          <w:color w:val="auto"/>
          <w:spacing w:val="-5"/>
          <w:sz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需提供采取</w:t>
      </w:r>
      <w:r>
        <w:rPr>
          <w:rFonts w:ascii="宋体" w:hAnsi="宋体" w:cs="宋体"/>
          <w:color w:val="auto"/>
          <w:sz w:val="24"/>
          <w:szCs w:val="24"/>
          <w:highlight w:val="none"/>
        </w:rPr>
        <w:t>的一系列管理</w:t>
      </w:r>
      <w:r>
        <w:rPr>
          <w:rFonts w:hint="eastAsia" w:ascii="宋体" w:hAnsi="宋体" w:cs="宋体"/>
          <w:color w:val="auto"/>
          <w:sz w:val="24"/>
          <w:szCs w:val="24"/>
          <w:highlight w:val="none"/>
        </w:rPr>
        <w:t>或</w:t>
      </w:r>
      <w:r>
        <w:rPr>
          <w:rFonts w:ascii="宋体" w:hAnsi="宋体" w:cs="宋体"/>
          <w:color w:val="auto"/>
          <w:sz w:val="24"/>
          <w:szCs w:val="24"/>
          <w:highlight w:val="none"/>
        </w:rPr>
        <w:t>技术措施</w:t>
      </w:r>
      <w:r>
        <w:rPr>
          <w:rFonts w:hint="eastAsia" w:ascii="宋体" w:hAnsi="宋体" w:cs="宋体"/>
          <w:color w:val="auto"/>
          <w:sz w:val="24"/>
          <w:szCs w:val="24"/>
          <w:highlight w:val="none"/>
        </w:rPr>
        <w:t>，对设备进行良好的维护保养，尽可能减少设备故障发生。</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10</w:t>
      </w:r>
      <w:r>
        <w:rPr>
          <w:rFonts w:hint="eastAsia" w:ascii="宋体" w:hAnsi="宋体" w:cs="宋体"/>
          <w:color w:val="auto"/>
          <w:spacing w:val="-5"/>
          <w:sz w:val="24"/>
          <w:highlight w:val="none"/>
        </w:rPr>
        <w:t>.费用托管注意事项</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若在运营服务期开始后，医院的用能面积有改变，按照比例对能源服务费用进行增加或者减少。</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11</w:t>
      </w:r>
      <w:r>
        <w:rPr>
          <w:rFonts w:hint="eastAsia" w:ascii="宋体" w:hAnsi="宋体" w:cs="宋体"/>
          <w:color w:val="auto"/>
          <w:spacing w:val="-5"/>
          <w:sz w:val="24"/>
          <w:highlight w:val="none"/>
        </w:rPr>
        <w:t>.中央空调服务内容及技术参数</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11</w:t>
      </w:r>
      <w:r>
        <w:rPr>
          <w:rFonts w:hint="eastAsia" w:ascii="宋体" w:hAnsi="宋体" w:cs="宋体"/>
          <w:color w:val="auto"/>
          <w:spacing w:val="-5"/>
          <w:sz w:val="24"/>
          <w:highlight w:val="none"/>
        </w:rPr>
        <w:t>.1由中标单位承包运营整个中央空调系统：包含机房内设备设施、管路系统、末端设备等运行、保养；中标单位负责水质管理、人员工资，并承担风险，同时享有合同约定的项目运营收益权。</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11</w:t>
      </w:r>
      <w:r>
        <w:rPr>
          <w:rFonts w:hint="eastAsia" w:ascii="宋体" w:hAnsi="宋体" w:cs="宋体"/>
          <w:color w:val="auto"/>
          <w:spacing w:val="-5"/>
          <w:sz w:val="24"/>
          <w:highlight w:val="none"/>
        </w:rPr>
        <w:t>.2空调冷热水供应要求</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11</w:t>
      </w:r>
      <w:r>
        <w:rPr>
          <w:rFonts w:hint="eastAsia" w:ascii="宋体" w:hAnsi="宋体" w:cs="宋体"/>
          <w:color w:val="auto"/>
          <w:spacing w:val="-5"/>
          <w:sz w:val="24"/>
          <w:highlight w:val="none"/>
        </w:rPr>
        <w:t>.2.1空调供冷：室内温度需达到26±2℃的标准</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供冷时间为：5月1日至10月15日，或开机时间满足以下条件：</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室外最高气温连续5天&gt;28℃或2天&gt;30℃或当天&gt;31℃开始供冷</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室外最高气温连续5天&lt;23℃或2天&lt;22℃或当天&lt;21℃停止供冷</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lang w:val="en-US" w:eastAsia="zh-CN"/>
        </w:rPr>
        <w:t>11</w:t>
      </w:r>
      <w:r>
        <w:rPr>
          <w:rFonts w:hint="eastAsia" w:ascii="宋体" w:hAnsi="宋体" w:cs="宋体"/>
          <w:color w:val="auto"/>
          <w:spacing w:val="-5"/>
          <w:sz w:val="24"/>
          <w:highlight w:val="none"/>
        </w:rPr>
        <w:t>.2.2空调供热时间为11月15日至次年3月25日，或开机时间满足以下条件：</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室外最低气温连续5天&lt;15℃或2天&lt;13℃或当天&lt;10℃开始供热</w:t>
      </w:r>
    </w:p>
    <w:p>
      <w:pPr>
        <w:pageBreakBefore w:val="0"/>
        <w:widowControl/>
        <w:kinsoku/>
        <w:wordWrap/>
        <w:overflowPunct/>
        <w:topLinePunct w:val="0"/>
        <w:autoSpaceDE/>
        <w:autoSpaceDN/>
        <w:bidi w:val="0"/>
        <w:adjustRightInd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室外最低气温连续5天&gt;21℃或2天&gt;22℃或当天&gt;23℃停止供热</w:t>
      </w:r>
    </w:p>
    <w:p>
      <w:pPr>
        <w:pageBreakBefore w:val="0"/>
        <w:kinsoku/>
        <w:wordWrap/>
        <w:overflowPunct/>
        <w:topLinePunct w:val="0"/>
        <w:autoSpaceDE/>
        <w:autoSpaceDN/>
        <w:bidi w:val="0"/>
        <w:snapToGrid w:val="0"/>
        <w:spacing w:line="360" w:lineRule="auto"/>
        <w:ind w:firstLine="460" w:firstLineChars="200"/>
        <w:rPr>
          <w:rFonts w:hint="eastAsia" w:ascii="宋体" w:hAnsi="宋体" w:cs="宋体"/>
          <w:color w:val="auto"/>
          <w:spacing w:val="-5"/>
          <w:sz w:val="24"/>
          <w:highlight w:val="none"/>
        </w:rPr>
      </w:pPr>
      <w:r>
        <w:rPr>
          <w:rFonts w:hint="eastAsia" w:ascii="宋体" w:hAnsi="宋体" w:cs="宋体"/>
          <w:color w:val="auto"/>
          <w:spacing w:val="-5"/>
          <w:sz w:val="24"/>
          <w:highlight w:val="none"/>
        </w:rPr>
        <w:t>室内温度需达到18±2℃标准。</w:t>
      </w:r>
    </w:p>
    <w:p>
      <w:pPr>
        <w:pageBreakBefore w:val="0"/>
        <w:widowControl w:val="0"/>
        <w:kinsoku/>
        <w:wordWrap/>
        <w:overflowPunct/>
        <w:topLinePunct w:val="0"/>
        <w:autoSpaceDE/>
        <w:autoSpaceDN/>
        <w:bidi w:val="0"/>
        <w:snapToGrid w:val="0"/>
        <w:spacing w:line="360" w:lineRule="auto"/>
        <w:ind w:firstLine="460" w:firstLineChars="200"/>
        <w:jc w:val="both"/>
        <w:rPr>
          <w:rFonts w:hint="eastAsia" w:ascii="宋体" w:hAnsi="宋体" w:eastAsia="宋体" w:cs="宋体"/>
          <w:color w:val="auto"/>
          <w:spacing w:val="-5"/>
          <w:kern w:val="2"/>
          <w:sz w:val="24"/>
          <w:szCs w:val="24"/>
          <w:highlight w:val="none"/>
          <w:lang w:val="en-US" w:eastAsia="zh-CN" w:bidi="ar-SA"/>
        </w:rPr>
      </w:pPr>
      <w:r>
        <w:rPr>
          <w:rFonts w:hint="eastAsia" w:ascii="宋体" w:hAnsi="宋体" w:cs="宋体"/>
          <w:color w:val="auto"/>
          <w:spacing w:val="-5"/>
          <w:kern w:val="2"/>
          <w:sz w:val="24"/>
          <w:szCs w:val="24"/>
          <w:highlight w:val="none"/>
          <w:lang w:val="en-US" w:eastAsia="zh-CN" w:bidi="ar-SA"/>
        </w:rPr>
        <w:t>11</w:t>
      </w:r>
      <w:r>
        <w:rPr>
          <w:rFonts w:hint="eastAsia" w:ascii="宋体" w:hAnsi="宋体" w:eastAsia="宋体" w:cs="宋体"/>
          <w:color w:val="auto"/>
          <w:spacing w:val="-5"/>
          <w:kern w:val="2"/>
          <w:sz w:val="24"/>
          <w:szCs w:val="24"/>
          <w:highlight w:val="none"/>
          <w:lang w:val="en-US" w:eastAsia="zh-CN" w:bidi="ar-SA"/>
        </w:rPr>
        <w:t>.2.3特殊情况，业主方可要求临时开机。</w:t>
      </w:r>
    </w:p>
    <w:p>
      <w:pPr>
        <w:pageBreakBefore w:val="0"/>
        <w:widowControl/>
        <w:shd w:val="clear" w:color="auto" w:fill="FFFFFF"/>
        <w:kinsoku/>
        <w:wordWrap/>
        <w:overflowPunct/>
        <w:topLinePunct w:val="0"/>
        <w:autoSpaceDE/>
        <w:autoSpaceDN/>
        <w:bidi w:val="0"/>
        <w:snapToGrid w:val="0"/>
        <w:spacing w:line="360" w:lineRule="auto"/>
        <w:ind w:firstLine="42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12</w:t>
      </w:r>
      <w:r>
        <w:rPr>
          <w:rFonts w:ascii="宋体" w:hAnsi="宋体"/>
          <w:color w:val="auto"/>
          <w:sz w:val="24"/>
          <w:szCs w:val="24"/>
          <w:highlight w:val="none"/>
        </w:rPr>
        <w:t>.</w:t>
      </w:r>
      <w:r>
        <w:rPr>
          <w:rFonts w:ascii="宋体" w:hAnsi="宋体"/>
          <w:color w:val="auto"/>
          <w:sz w:val="24"/>
          <w:szCs w:val="24"/>
          <w:highlight w:val="none"/>
        </w:rPr>
        <w:t xml:space="preserve"> 合同期满后，</w:t>
      </w:r>
      <w:r>
        <w:rPr>
          <w:rFonts w:hint="eastAsia" w:ascii="宋体" w:hAnsi="宋体"/>
          <w:color w:val="auto"/>
          <w:sz w:val="24"/>
          <w:szCs w:val="24"/>
          <w:highlight w:val="none"/>
        </w:rPr>
        <w:t>中</w:t>
      </w:r>
      <w:r>
        <w:rPr>
          <w:rFonts w:ascii="宋体" w:hAnsi="宋体"/>
          <w:color w:val="auto"/>
          <w:sz w:val="24"/>
          <w:szCs w:val="24"/>
          <w:highlight w:val="none"/>
        </w:rPr>
        <w:t>标人所投项目财产的所有权将无偿移交给</w:t>
      </w:r>
      <w:r>
        <w:rPr>
          <w:rFonts w:hint="eastAsia" w:ascii="宋体" w:hAnsi="宋体"/>
          <w:color w:val="auto"/>
          <w:sz w:val="24"/>
          <w:szCs w:val="24"/>
          <w:highlight w:val="none"/>
          <w:lang w:eastAsia="zh-CN"/>
        </w:rPr>
        <w:t>采购人</w:t>
      </w:r>
      <w:r>
        <w:rPr>
          <w:rFonts w:ascii="宋体" w:hAnsi="宋体"/>
          <w:color w:val="auto"/>
          <w:sz w:val="24"/>
          <w:szCs w:val="24"/>
          <w:highlight w:val="none"/>
        </w:rPr>
        <w:t>，</w:t>
      </w:r>
      <w:r>
        <w:rPr>
          <w:rFonts w:hint="eastAsia" w:ascii="宋体" w:hAnsi="宋体"/>
          <w:color w:val="auto"/>
          <w:sz w:val="24"/>
          <w:szCs w:val="24"/>
          <w:highlight w:val="none"/>
        </w:rPr>
        <w:t>中</w:t>
      </w:r>
      <w:r>
        <w:rPr>
          <w:rFonts w:ascii="宋体" w:hAnsi="宋体"/>
          <w:color w:val="auto"/>
          <w:sz w:val="24"/>
          <w:szCs w:val="24"/>
          <w:highlight w:val="none"/>
        </w:rPr>
        <w:t>标人应保证</w:t>
      </w:r>
      <w:r>
        <w:rPr>
          <w:rFonts w:hint="eastAsia" w:ascii="宋体" w:hAnsi="宋体"/>
          <w:color w:val="auto"/>
          <w:sz w:val="24"/>
          <w:szCs w:val="24"/>
          <w:highlight w:val="none"/>
        </w:rPr>
        <w:t>技改项目设施设备</w:t>
      </w:r>
      <w:r>
        <w:rPr>
          <w:rFonts w:ascii="宋体" w:hAnsi="宋体"/>
          <w:color w:val="auto"/>
          <w:sz w:val="24"/>
          <w:szCs w:val="24"/>
          <w:highlight w:val="none"/>
        </w:rPr>
        <w:t>正常运行，项目财产的所有权移交时，应同时移交本项目</w:t>
      </w:r>
      <w:r>
        <w:rPr>
          <w:rFonts w:hint="eastAsia" w:ascii="宋体" w:hAnsi="宋体"/>
          <w:color w:val="auto"/>
          <w:sz w:val="24"/>
          <w:szCs w:val="24"/>
          <w:highlight w:val="none"/>
        </w:rPr>
        <w:t>竣工资料和日常</w:t>
      </w:r>
      <w:r>
        <w:rPr>
          <w:rFonts w:ascii="宋体" w:hAnsi="宋体"/>
          <w:color w:val="auto"/>
          <w:sz w:val="24"/>
          <w:szCs w:val="24"/>
          <w:highlight w:val="none"/>
        </w:rPr>
        <w:t>运行所必需的资料。如该项目财产的继续使用需要乙方的相关技术或相关知识产权的授权，</w:t>
      </w:r>
      <w:r>
        <w:rPr>
          <w:rFonts w:hint="eastAsia" w:ascii="宋体" w:hAnsi="宋体"/>
          <w:color w:val="auto"/>
          <w:sz w:val="24"/>
          <w:szCs w:val="24"/>
          <w:highlight w:val="none"/>
          <w:lang w:eastAsia="zh-CN"/>
        </w:rPr>
        <w:t>中标人</w:t>
      </w:r>
      <w:r>
        <w:rPr>
          <w:rFonts w:ascii="宋体" w:hAnsi="宋体"/>
          <w:color w:val="auto"/>
          <w:sz w:val="24"/>
          <w:szCs w:val="24"/>
          <w:highlight w:val="none"/>
        </w:rPr>
        <w:t>应当无偿向</w:t>
      </w:r>
      <w:r>
        <w:rPr>
          <w:rFonts w:hint="eastAsia" w:ascii="宋体" w:hAnsi="宋体"/>
          <w:color w:val="auto"/>
          <w:sz w:val="24"/>
          <w:szCs w:val="24"/>
          <w:highlight w:val="none"/>
          <w:lang w:eastAsia="zh-CN"/>
        </w:rPr>
        <w:t>采购人</w:t>
      </w:r>
      <w:r>
        <w:rPr>
          <w:rFonts w:ascii="宋体" w:hAnsi="宋体"/>
          <w:color w:val="auto"/>
          <w:sz w:val="24"/>
          <w:szCs w:val="24"/>
          <w:highlight w:val="none"/>
        </w:rPr>
        <w:t>提供仅适用于本项目的授权。</w:t>
      </w:r>
      <w:r>
        <w:rPr>
          <w:rFonts w:hint="eastAsia" w:ascii="宋体" w:hAnsi="宋体"/>
          <w:color w:val="auto"/>
          <w:sz w:val="24"/>
          <w:szCs w:val="24"/>
          <w:highlight w:val="none"/>
        </w:rPr>
        <w:t>如果因中标人原因导致合同没有正常执行到服务期满，</w:t>
      </w:r>
      <w:r>
        <w:rPr>
          <w:rFonts w:hint="eastAsia" w:ascii="宋体" w:hAnsi="宋体"/>
          <w:color w:val="auto"/>
          <w:sz w:val="24"/>
          <w:szCs w:val="24"/>
          <w:highlight w:val="none"/>
        </w:rPr>
        <w:t>中标人</w:t>
      </w:r>
      <w:r>
        <w:rPr>
          <w:rFonts w:ascii="宋体" w:hAnsi="宋体"/>
          <w:color w:val="auto"/>
          <w:sz w:val="24"/>
          <w:szCs w:val="24"/>
          <w:highlight w:val="none"/>
        </w:rPr>
        <w:t>所投项目财产</w:t>
      </w:r>
      <w:r>
        <w:rPr>
          <w:rFonts w:hint="eastAsia" w:ascii="宋体" w:hAnsi="宋体"/>
          <w:color w:val="auto"/>
          <w:sz w:val="24"/>
          <w:szCs w:val="24"/>
          <w:highlight w:val="none"/>
        </w:rPr>
        <w:t>应按</w:t>
      </w: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年折旧处理，具体约定如下：如服务时间已满</w:t>
      </w: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年以上，参照合同期满后的相关约定，中</w:t>
      </w:r>
      <w:r>
        <w:rPr>
          <w:rFonts w:ascii="宋体" w:hAnsi="宋体"/>
          <w:color w:val="auto"/>
          <w:sz w:val="24"/>
          <w:szCs w:val="24"/>
          <w:highlight w:val="none"/>
        </w:rPr>
        <w:t>标人所投项目财产的所有权将无偿移交给</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；如服务时间不到</w:t>
      </w: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按</w:t>
      </w:r>
      <w:r>
        <w:rPr>
          <w:rFonts w:hint="eastAsia" w:ascii="宋体" w:hAnsi="宋体"/>
          <w:color w:val="auto"/>
          <w:sz w:val="24"/>
          <w:szCs w:val="24"/>
          <w:highlight w:val="none"/>
          <w:lang w:val="en-US" w:eastAsia="zh-CN"/>
        </w:rPr>
        <w:t>十</w:t>
      </w:r>
      <w:r>
        <w:rPr>
          <w:rFonts w:hint="eastAsia" w:ascii="宋体" w:hAnsi="宋体"/>
          <w:color w:val="auto"/>
          <w:sz w:val="24"/>
          <w:szCs w:val="24"/>
          <w:highlight w:val="none"/>
        </w:rPr>
        <w:t>年折旧率（每年折旧率按</w:t>
      </w:r>
      <w:r>
        <w:rPr>
          <w:rFonts w:hint="eastAsia" w:ascii="宋体" w:hAnsi="宋体"/>
          <w:color w:val="auto"/>
          <w:sz w:val="24"/>
          <w:szCs w:val="24"/>
          <w:highlight w:val="none"/>
          <w:lang w:val="en-US" w:eastAsia="zh-CN"/>
        </w:rPr>
        <w:t>10</w:t>
      </w:r>
      <w:r>
        <w:rPr>
          <w:rFonts w:ascii="宋体" w:hAnsi="宋体"/>
          <w:color w:val="auto"/>
          <w:sz w:val="24"/>
          <w:szCs w:val="24"/>
          <w:highlight w:val="none"/>
        </w:rPr>
        <w:t>%计算</w:t>
      </w:r>
      <w:r>
        <w:rPr>
          <w:rFonts w:hint="eastAsia" w:ascii="宋体" w:hAnsi="宋体"/>
          <w:color w:val="auto"/>
          <w:sz w:val="24"/>
          <w:szCs w:val="24"/>
          <w:highlight w:val="none"/>
        </w:rPr>
        <w:t>），以及投标时的分项设备报价，将折旧后的剩余设备价值补贴给中标人（但不补贴人工、维保等服务性支出，只补贴固定资产价值），中</w:t>
      </w:r>
      <w:r>
        <w:rPr>
          <w:rFonts w:ascii="宋体" w:hAnsi="宋体"/>
          <w:color w:val="auto"/>
          <w:sz w:val="24"/>
          <w:szCs w:val="24"/>
          <w:highlight w:val="none"/>
        </w:rPr>
        <w:t>标人</w:t>
      </w:r>
      <w:r>
        <w:rPr>
          <w:rFonts w:hint="eastAsia" w:ascii="宋体" w:hAnsi="宋体"/>
          <w:color w:val="auto"/>
          <w:sz w:val="24"/>
          <w:szCs w:val="24"/>
          <w:highlight w:val="none"/>
        </w:rPr>
        <w:t>将</w:t>
      </w:r>
      <w:r>
        <w:rPr>
          <w:rFonts w:ascii="宋体" w:hAnsi="宋体"/>
          <w:color w:val="auto"/>
          <w:sz w:val="24"/>
          <w:szCs w:val="24"/>
          <w:highlight w:val="none"/>
        </w:rPr>
        <w:t>所投项目财产的所有权移交给</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ascii="宋体" w:hAnsi="宋体"/>
          <w:color w:val="auto"/>
          <w:sz w:val="24"/>
          <w:szCs w:val="24"/>
          <w:highlight w:val="none"/>
        </w:rPr>
        <w:t>在合同期限内</w:t>
      </w:r>
      <w:r>
        <w:rPr>
          <w:rFonts w:hint="eastAsia" w:ascii="宋体" w:hAnsi="宋体" w:cs="宋体"/>
          <w:color w:val="auto"/>
          <w:sz w:val="24"/>
          <w:szCs w:val="24"/>
          <w:highlight w:val="none"/>
        </w:rPr>
        <w:t>因</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原因造成水务集团、供电公司、港华燃气能源供给单位中断或停止供应水、电、燃气能源供给，并影响到正常的医疗秩序或影响到正常的医疗职业或工作开展，</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有权解除合同并追诉因此原因造成的经济损失。</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合同履约期间节能技改项目范围内的设备设施由中标人自行负责维保，同时中标人对技改范围以外的部分设施设备进行代维。</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技改期间中标人负责技改所需设备设施的拆除，拆除的原设备设施处置权归中标人所有，中标人须按照政府法律法规规定妥善处理施工所产生的危废、固废、危化品，相关费用由中标人承担，若未按相关法律法规规定处置的一切责任由中标人承担。</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lang w:val="en-US" w:eastAsia="zh-CN"/>
        </w:rPr>
        <w:t>13</w:t>
      </w:r>
      <w:r>
        <w:rPr>
          <w:rFonts w:ascii="宋体" w:hAnsi="宋体"/>
          <w:color w:val="auto"/>
          <w:sz w:val="24"/>
          <w:szCs w:val="24"/>
          <w:highlight w:val="none"/>
        </w:rPr>
        <w:t>.在合同期限内，</w:t>
      </w:r>
      <w:r>
        <w:rPr>
          <w:rFonts w:hint="eastAsia" w:ascii="宋体" w:hAnsi="宋体"/>
          <w:color w:val="auto"/>
          <w:sz w:val="24"/>
          <w:szCs w:val="24"/>
          <w:highlight w:val="none"/>
        </w:rPr>
        <w:t>全院的供能源</w:t>
      </w:r>
      <w:r>
        <w:rPr>
          <w:rFonts w:ascii="宋体" w:hAnsi="宋体"/>
          <w:color w:val="auto"/>
          <w:sz w:val="24"/>
          <w:szCs w:val="24"/>
          <w:highlight w:val="none"/>
        </w:rPr>
        <w:t>设备</w:t>
      </w:r>
      <w:r>
        <w:rPr>
          <w:rFonts w:hint="eastAsia" w:ascii="宋体" w:hAnsi="宋体"/>
          <w:color w:val="auto"/>
          <w:sz w:val="24"/>
          <w:szCs w:val="24"/>
          <w:highlight w:val="none"/>
        </w:rPr>
        <w:t>和用能设备</w:t>
      </w:r>
      <w:r>
        <w:rPr>
          <w:rFonts w:ascii="宋体" w:hAnsi="宋体"/>
          <w:color w:val="auto"/>
          <w:sz w:val="24"/>
          <w:szCs w:val="24"/>
          <w:highlight w:val="none"/>
        </w:rPr>
        <w:t>的</w:t>
      </w:r>
      <w:r>
        <w:rPr>
          <w:rFonts w:hint="eastAsia" w:ascii="宋体" w:hAnsi="宋体"/>
          <w:color w:val="auto"/>
          <w:sz w:val="24"/>
          <w:szCs w:val="24"/>
          <w:highlight w:val="none"/>
        </w:rPr>
        <w:t>代维包括但不限于巡视</w:t>
      </w:r>
      <w:r>
        <w:rPr>
          <w:rFonts w:ascii="宋体" w:hAnsi="宋体"/>
          <w:color w:val="auto"/>
          <w:sz w:val="24"/>
          <w:szCs w:val="24"/>
          <w:highlight w:val="none"/>
        </w:rPr>
        <w:t>、</w:t>
      </w:r>
      <w:r>
        <w:rPr>
          <w:rFonts w:hint="eastAsia" w:ascii="宋体" w:hAnsi="宋体"/>
          <w:color w:val="auto"/>
          <w:sz w:val="24"/>
          <w:szCs w:val="24"/>
          <w:highlight w:val="none"/>
        </w:rPr>
        <w:t>安全生产监督、</w:t>
      </w:r>
      <w:r>
        <w:rPr>
          <w:rFonts w:ascii="宋体" w:hAnsi="宋体"/>
          <w:color w:val="auto"/>
          <w:sz w:val="24"/>
          <w:szCs w:val="24"/>
          <w:highlight w:val="none"/>
        </w:rPr>
        <w:t>维护保养</w:t>
      </w:r>
      <w:r>
        <w:rPr>
          <w:rFonts w:hint="eastAsia" w:ascii="宋体" w:hAnsi="宋体"/>
          <w:color w:val="auto"/>
          <w:sz w:val="24"/>
          <w:szCs w:val="24"/>
          <w:highlight w:val="none"/>
        </w:rPr>
        <w:t>、技术安全培训，考核评价等</w:t>
      </w:r>
      <w:r>
        <w:rPr>
          <w:rFonts w:ascii="宋体" w:hAnsi="宋体"/>
          <w:color w:val="auto"/>
          <w:sz w:val="24"/>
          <w:szCs w:val="24"/>
          <w:highlight w:val="none"/>
        </w:rPr>
        <w:t>工作</w:t>
      </w:r>
      <w:r>
        <w:rPr>
          <w:rFonts w:hint="eastAsia" w:ascii="宋体" w:hAnsi="宋体"/>
          <w:color w:val="auto"/>
          <w:sz w:val="24"/>
          <w:szCs w:val="24"/>
          <w:highlight w:val="none"/>
        </w:rPr>
        <w:t>。维修措施、安全文明措施费用均由</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负责。</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投资的安全生产责任由</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承担。</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应切实履行代维设备设施巡视监督义务并相应承担安全生产责任。</w:t>
      </w:r>
    </w:p>
    <w:p>
      <w:pPr>
        <w:pageBreakBefore w:val="0"/>
        <w:widowControl/>
        <w:shd w:val="clear" w:color="auto" w:fill="FFFFFF"/>
        <w:kinsoku/>
        <w:wordWrap/>
        <w:overflowPunct/>
        <w:topLinePunct w:val="0"/>
        <w:autoSpaceDE/>
        <w:autoSpaceDN/>
        <w:bidi w:val="0"/>
        <w:snapToGrid w:val="0"/>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应对所属工作人员的安全问题负完全责任，鼓励购置相关责任保险；派驻到医院的工作人员如发生人身、职业伤害的，由</w:t>
      </w:r>
      <w:r>
        <w:rPr>
          <w:rFonts w:hint="eastAsia" w:ascii="宋体" w:hAnsi="宋体"/>
          <w:color w:val="auto"/>
          <w:sz w:val="24"/>
          <w:szCs w:val="24"/>
          <w:highlight w:val="none"/>
          <w:lang w:eastAsia="zh-CN"/>
        </w:rPr>
        <w:t>中标人</w:t>
      </w:r>
      <w:r>
        <w:rPr>
          <w:rFonts w:hint="eastAsia" w:ascii="宋体" w:hAnsi="宋体"/>
          <w:color w:val="auto"/>
          <w:sz w:val="24"/>
          <w:szCs w:val="24"/>
          <w:highlight w:val="none"/>
        </w:rPr>
        <w:t>承担责任，与医院无关；但医院有违规违法行为直接导致的伤害除外。</w:t>
      </w:r>
    </w:p>
    <w:p>
      <w:pPr>
        <w:keepNext/>
        <w:keepLines/>
        <w:pageBreakBefore w:val="0"/>
        <w:widowControl w:val="0"/>
        <w:kinsoku/>
        <w:wordWrap/>
        <w:overflowPunct/>
        <w:topLinePunct w:val="0"/>
        <w:autoSpaceDE/>
        <w:autoSpaceDN/>
        <w:bidi w:val="0"/>
        <w:snapToGrid w:val="0"/>
        <w:spacing w:line="360" w:lineRule="auto"/>
        <w:jc w:val="both"/>
        <w:outlineLvl w:val="4"/>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六、其他内容</w:t>
      </w:r>
    </w:p>
    <w:p>
      <w:pPr>
        <w:widowControl/>
        <w:spacing w:line="460" w:lineRule="exact"/>
        <w:ind w:firstLine="480"/>
        <w:rPr>
          <w:rFonts w:ascii="宋体" w:hAnsi="宋体"/>
          <w:b/>
          <w:color w:val="auto"/>
          <w:sz w:val="24"/>
          <w:szCs w:val="24"/>
          <w:highlight w:val="none"/>
        </w:rPr>
      </w:pP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付款方式</w:t>
      </w:r>
    </w:p>
    <w:p>
      <w:pPr>
        <w:widowControl/>
        <w:shd w:val="clear" w:color="auto" w:fill="FFFFFF"/>
        <w:spacing w:line="460" w:lineRule="exact"/>
        <w:ind w:firstLine="480" w:firstLineChars="200"/>
        <w:rPr>
          <w:rFonts w:ascii="宋体" w:hAnsi="宋体"/>
          <w:color w:val="auto"/>
          <w:sz w:val="24"/>
          <w:szCs w:val="24"/>
          <w:highlight w:val="none"/>
        </w:rPr>
      </w:pPr>
      <w:bookmarkStart w:id="15" w:name="_Toc2493"/>
      <w:bookmarkStart w:id="16" w:name="_Toc19736"/>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.1支付方式：</w:t>
      </w:r>
      <w:r>
        <w:rPr>
          <w:rFonts w:hint="eastAsia" w:ascii="宋体" w:hAnsi="宋体"/>
          <w:color w:val="auto"/>
          <w:sz w:val="24"/>
          <w:szCs w:val="24"/>
          <w:highlight w:val="none"/>
          <w:lang w:val="zh-CN" w:eastAsia="zh-CN"/>
        </w:rPr>
        <w:t>采购人按月支付上一月能源服务费,中标人应于下一月3日前向采购人开具发票。采购人自收到发票后的10个工作日内并确认中标人已缴纳采购人上一个月的实际费用后，向中标人支付上一月能源服务费。</w:t>
      </w:r>
      <w:bookmarkEnd w:id="15"/>
      <w:bookmarkEnd w:id="16"/>
    </w:p>
    <w:p>
      <w:pPr>
        <w:widowControl/>
        <w:shd w:val="clear" w:color="auto" w:fill="FFFFFF"/>
        <w:spacing w:line="460" w:lineRule="exact"/>
        <w:ind w:firstLine="480" w:firstLineChars="200"/>
        <w:rPr>
          <w:rFonts w:ascii="宋体" w:hAnsi="宋体"/>
          <w:color w:val="auto"/>
          <w:sz w:val="24"/>
          <w:szCs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.2</w:t>
      </w:r>
      <w:r>
        <w:rPr>
          <w:rFonts w:hint="eastAsia" w:ascii="宋体" w:hAnsi="宋体" w:cs="宋体"/>
          <w:color w:val="auto"/>
          <w:sz w:val="24"/>
          <w:highlight w:val="none"/>
        </w:rPr>
        <w:t>托管期间</w:t>
      </w:r>
      <w:r>
        <w:rPr>
          <w:rFonts w:hint="eastAsia" w:ascii="宋体" w:hAnsi="宋体"/>
          <w:color w:val="auto"/>
          <w:sz w:val="24"/>
          <w:highlight w:val="none"/>
        </w:rPr>
        <w:t>因国家政策原因，能源、资源单价涨跌幅在5%范围内由乙方承担涨跌幅的能源费；能源、资源单价跌幅超过5%，则由乙方按季按实退还甲方超出5%部分的能源、资源费；若能源、资源单价涨幅超出5%，则由甲方按季按实支付乙方超出5%部分的能源、资源费。能源、资源费超出部分结算基准单价为：</w:t>
      </w:r>
      <w:r>
        <w:rPr>
          <w:rFonts w:hint="eastAsia" w:ascii="宋体" w:hAnsi="宋体"/>
          <w:color w:val="auto"/>
          <w:sz w:val="24"/>
          <w:highlight w:val="none"/>
          <w:lang w:val="en-US" w:eastAsia="zh-CN"/>
        </w:rPr>
        <w:t>2021</w:t>
      </w:r>
      <w:r>
        <w:rPr>
          <w:rFonts w:hint="eastAsia" w:ascii="宋体" w:hAnsi="宋体"/>
          <w:color w:val="auto"/>
          <w:sz w:val="24"/>
          <w:highlight w:val="none"/>
        </w:rPr>
        <w:t>年能源、资源费单价。</w:t>
      </w:r>
      <w:r>
        <w:rPr>
          <w:rFonts w:hint="eastAsia" w:ascii="宋体" w:hAnsi="宋体"/>
          <w:color w:val="auto"/>
          <w:sz w:val="24"/>
          <w:szCs w:val="24"/>
          <w:highlight w:val="none"/>
        </w:rPr>
        <w:t xml:space="preserve">   </w:t>
      </w:r>
    </w:p>
    <w:p>
      <w:pPr>
        <w:widowControl/>
        <w:shd w:val="clear" w:color="auto" w:fill="FFFFFF"/>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.3.合同实施过程中，实际计费面积或建筑功能占比变化</w:t>
      </w:r>
      <w:r>
        <w:rPr>
          <w:rFonts w:hint="eastAsia" w:ascii="宋体" w:hAnsi="宋体"/>
          <w:color w:val="auto"/>
          <w:sz w:val="24"/>
          <w:szCs w:val="24"/>
          <w:highlight w:val="none"/>
          <w:lang w:val="en-US" w:eastAsia="zh-CN"/>
        </w:rPr>
        <w:t>不</w:t>
      </w:r>
      <w:r>
        <w:rPr>
          <w:rFonts w:hint="eastAsia" w:ascii="宋体" w:hAnsi="宋体"/>
          <w:color w:val="auto"/>
          <w:sz w:val="24"/>
          <w:szCs w:val="24"/>
          <w:highlight w:val="none"/>
        </w:rPr>
        <w:t>超过2%则合同费用不变，当实际计费面积或建筑功能占比变化超过2%，则当月起按各功能区域的实际计费面积相应调整收费。若减少建筑面积则以</w:t>
      </w:r>
      <w:r>
        <w:rPr>
          <w:rFonts w:hint="eastAsia" w:ascii="宋体" w:hAnsi="宋体"/>
          <w:color w:val="auto"/>
          <w:sz w:val="24"/>
          <w:szCs w:val="24"/>
          <w:highlight w:val="none"/>
          <w:lang w:val="en-US" w:eastAsia="zh-CN"/>
        </w:rPr>
        <w:t>2021</w:t>
      </w:r>
      <w:r>
        <w:rPr>
          <w:rFonts w:hint="eastAsia" w:ascii="宋体" w:hAnsi="宋体"/>
          <w:color w:val="auto"/>
          <w:sz w:val="24"/>
          <w:szCs w:val="24"/>
          <w:highlight w:val="none"/>
          <w:lang w:val="en-US" w:eastAsia="zh-CN"/>
        </w:rPr>
        <w:t>年</w:t>
      </w:r>
      <w:r>
        <w:rPr>
          <w:rFonts w:hint="eastAsia" w:ascii="宋体" w:hAnsi="宋体"/>
          <w:color w:val="auto"/>
          <w:sz w:val="24"/>
          <w:szCs w:val="24"/>
          <w:highlight w:val="none"/>
        </w:rPr>
        <w:t>耗能数据在自然年终支付能源费用是扣除。</w:t>
      </w:r>
      <w:r>
        <w:rPr>
          <w:rFonts w:hint="eastAsia" w:ascii="宋体" w:hAnsi="宋体"/>
          <w:color w:val="auto"/>
          <w:sz w:val="24"/>
          <w:szCs w:val="24"/>
          <w:highlight w:val="none"/>
        </w:rPr>
        <w:t>在双方新增大型设备铭牌累计功率300kW以内则合同费用不变。若新增铭牌功率超出</w:t>
      </w:r>
      <w:r>
        <w:rPr>
          <w:rFonts w:ascii="宋体" w:hAnsi="宋体"/>
          <w:color w:val="auto"/>
          <w:sz w:val="24"/>
          <w:szCs w:val="24"/>
          <w:highlight w:val="none"/>
        </w:rPr>
        <w:t>300KW以上的用电设备</w:t>
      </w:r>
      <w:r>
        <w:rPr>
          <w:rFonts w:hint="eastAsia" w:ascii="宋体" w:hAnsi="宋体"/>
          <w:color w:val="auto"/>
          <w:sz w:val="24"/>
          <w:szCs w:val="24"/>
          <w:highlight w:val="none"/>
        </w:rPr>
        <w:t>，能源费计算如下：铭牌累计功率减去300KW的差值功率（KW）乘以使用时间所得电能（KWh）或独立计量，产生的能源费。该能源费报总务处确认后由财务部门支付给中标人。依据建筑面积和设备增减调整下一年度合同价。供水及燃气不做调整。</w:t>
      </w:r>
    </w:p>
    <w:p>
      <w:pPr>
        <w:widowControl/>
        <w:shd w:val="clear" w:color="auto" w:fill="FFFFFF"/>
        <w:spacing w:line="46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若建筑面积和设备减少电能经计算或已分计量方式</w:t>
      </w:r>
      <w:r>
        <w:rPr>
          <w:rFonts w:hint="eastAsia" w:ascii="宋体" w:hAnsi="宋体" w:cs="宋体"/>
          <w:color w:val="auto"/>
          <w:sz w:val="24"/>
          <w:szCs w:val="24"/>
          <w:highlight w:val="none"/>
        </w:rPr>
        <w:t>重新确定能源基准和基准能耗费用。基准能耗费用的调整双方应以补充协议确定。</w:t>
      </w:r>
    </w:p>
    <w:p>
      <w:pPr>
        <w:widowControl/>
        <w:shd w:val="clear" w:color="auto" w:fill="FFFFFF"/>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.4本次因节能技改投入的用能设备（包括电、天然气）造成的能源费的增减不在合同调整范围且不予调整。</w:t>
      </w:r>
    </w:p>
    <w:p>
      <w:pPr>
        <w:widowControl/>
        <w:shd w:val="clear" w:color="auto" w:fill="FFFFFF"/>
        <w:spacing w:line="4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.5</w:t>
      </w:r>
      <w:r>
        <w:rPr>
          <w:rFonts w:hint="eastAsia" w:ascii="宋体" w:hAnsi="宋体"/>
          <w:color w:val="auto"/>
          <w:sz w:val="24"/>
          <w:szCs w:val="24"/>
          <w:highlight w:val="none"/>
        </w:rPr>
        <w:t>涉及中标人节能技改的设备设施维修保养、检测、特种设备年检年审以及更换相关费用由中标人自行承担。</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2.采购人现有设备在服务期内如由中标人原因造成的损坏、故障、性能衰减等问题由中标人负责；</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3.采购人现有设备在服务期内如由采购人原因造成的损坏、故障、性能衰减（含设备老化等自然损耗）等问题由中标人负责维修，主材由采购人提供。</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4.服务期间，中标人负责采购人本项目区域内空调、热水、照明系统维保及运行管理工作，工作范畴包括但不限于：对用电设备进行运行管理、设备维护、保养、和有限的故障维修服务、提出维保工作技术要求。</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5.中标人应以全面节能为目标，结合项目使用功能情况现状，负责建立完善节能管理体系，担负能源管理主体职责，协助采购人推行绿色办公，并协助采购人解决现有能源系统存在的问题。</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6.后续如有政府补贴，补贴金额由采购人与中标人分成，具体分成比例为：采购人占 40%，中标人占 60%。</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.投标人承诺中标后在合同期内须提供涉及第三方的服务或相关知识产权的所有权或使用权，并承诺合同期满后将该部分所有权与硬件一并移交甲方，提供承诺书加盖公章，格式自拟。</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.投标人须承诺中标后完全认可第三方评估单位及其出具的基准能耗评测报告，并放弃对此误解的权利，提供承诺书加盖公章，格式自拟。</w:t>
      </w:r>
    </w:p>
    <w:p>
      <w:pPr>
        <w:widowControl/>
        <w:shd w:val="clear" w:color="auto" w:fill="FFFFFF"/>
        <w:spacing w:line="46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rPr>
        <w:t>.投标人承诺中标后在进行运维管理和技术改造时将遵守</w:t>
      </w:r>
      <w:r>
        <w:rPr>
          <w:rFonts w:hint="eastAsia" w:ascii="宋体" w:hAnsi="宋体" w:eastAsia="宋体" w:cs="Times New Roman"/>
          <w:color w:val="auto"/>
          <w:sz w:val="24"/>
          <w:szCs w:val="24"/>
          <w:highlight w:val="none"/>
          <w:lang w:eastAsia="zh-CN"/>
        </w:rPr>
        <w:t>采购人</w:t>
      </w:r>
      <w:r>
        <w:rPr>
          <w:rFonts w:hint="eastAsia" w:ascii="宋体" w:hAnsi="宋体" w:eastAsia="宋体" w:cs="Times New Roman"/>
          <w:color w:val="auto"/>
          <w:sz w:val="24"/>
          <w:szCs w:val="24"/>
          <w:highlight w:val="none"/>
        </w:rPr>
        <w:t>的相关制度和管理规定，提供承诺书加盖公章，格式自拟。</w:t>
      </w:r>
    </w:p>
    <w:p>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pPr>
        <w:keepNext w:val="0"/>
        <w:keepLines w:val="0"/>
        <w:widowControl/>
        <w:suppressLineNumbers w:val="0"/>
        <w:jc w:val="left"/>
        <w:textAlignment w:val="center"/>
        <w:rPr>
          <w:rFonts w:hint="eastAsia" w:ascii="宋体" w:hAnsi="宋体" w:eastAsia="宋体" w:cs="宋体"/>
          <w:b w:val="0"/>
          <w:bCs w:val="0"/>
          <w:i w:val="0"/>
          <w:iCs w:val="0"/>
          <w:color w:val="auto"/>
          <w:sz w:val="36"/>
          <w:szCs w:val="36"/>
          <w:highlight w:val="none"/>
          <w:u w:val="none"/>
          <w:lang w:val="en-US" w:eastAsia="zh-CN"/>
        </w:rPr>
      </w:pPr>
      <w:r>
        <w:rPr>
          <w:rFonts w:hint="eastAsia" w:ascii="宋体" w:hAnsi="宋体" w:eastAsia="宋体" w:cs="宋体"/>
          <w:b/>
          <w:bCs/>
          <w:i w:val="0"/>
          <w:iCs w:val="0"/>
          <w:color w:val="auto"/>
          <w:sz w:val="36"/>
          <w:szCs w:val="36"/>
          <w:highlight w:val="none"/>
          <w:u w:val="none"/>
          <w:lang w:val="en-US" w:eastAsia="zh-CN"/>
        </w:rPr>
        <w:t>附件一：</w:t>
      </w:r>
      <w:r>
        <w:rPr>
          <w:rFonts w:hint="eastAsia" w:ascii="宋体" w:hAnsi="宋体" w:eastAsia="宋体" w:cs="宋体"/>
          <w:b/>
          <w:bCs/>
          <w:i w:val="0"/>
          <w:iCs w:val="0"/>
          <w:color w:val="auto"/>
          <w:sz w:val="36"/>
          <w:szCs w:val="36"/>
          <w:highlight w:val="none"/>
          <w:u w:val="none"/>
        </w:rPr>
        <w:t>能源托管服务考核</w:t>
      </w:r>
      <w:r>
        <w:rPr>
          <w:rFonts w:hint="eastAsia" w:ascii="宋体" w:hAnsi="宋体" w:eastAsia="宋体" w:cs="宋体"/>
          <w:b/>
          <w:bCs/>
          <w:i w:val="0"/>
          <w:iCs w:val="0"/>
          <w:color w:val="auto"/>
          <w:sz w:val="36"/>
          <w:szCs w:val="36"/>
          <w:highlight w:val="none"/>
          <w:u w:val="none"/>
          <w:lang w:val="en-US" w:eastAsia="zh-CN"/>
        </w:rPr>
        <w:t>评分细则</w:t>
      </w:r>
    </w:p>
    <w:tbl>
      <w:tblPr>
        <w:tblStyle w:val="3"/>
        <w:tblpPr w:leftFromText="180" w:rightFromText="180" w:vertAnchor="text" w:horzAnchor="page" w:tblpX="1180" w:tblpY="273"/>
        <w:tblOverlap w:val="never"/>
        <w:tblW w:w="10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765"/>
        <w:gridCol w:w="1635"/>
        <w:gridCol w:w="2610"/>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1"/>
                <w:szCs w:val="21"/>
                <w:highlight w:val="none"/>
                <w:u w:val="none"/>
              </w:rPr>
            </w:pPr>
          </w:p>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7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总分</w:t>
            </w:r>
          </w:p>
        </w:tc>
        <w:tc>
          <w:tcPr>
            <w:tcW w:w="16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考核要点</w:t>
            </w:r>
          </w:p>
        </w:tc>
        <w:tc>
          <w:tcPr>
            <w:tcW w:w="261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考核目标</w:t>
            </w:r>
          </w:p>
        </w:tc>
        <w:tc>
          <w:tcPr>
            <w:tcW w:w="453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扣分标准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节能技改设施设备维护保养</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按年度月度维保计划实施保养维护，并建立健全设备设施台账，规范设备操作流程，监督运行人员工作状态及运行记录。并规范填写保养维护记录。</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根据维保计划检查中发现一处不合格每次扣1分；                                                                              2、设备、设施维护保养不到位、保养记录填写不完整一次扣1分；                                                            3、未按计划执行维保每次扣1分</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4、其余每项未按目标完成的每项扣1分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节能技改维护设备运行和巡检</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运行期间依据日巡检计划执行，并存有巡检记录表；机房日常管理。</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1、运行期间每天巡查不少于2 次，并做好记录，不达标每次扣1分；                                                                        2、因乙方原因影响空调效果的每次扣2分；                                                                              3、未按甲方要求进行整改或执行不到位影响设备运行和安全生产的每次扣1分；                                                                                                             4、乙方自行管理的重点部位机房配电房未按甲方要求保持环境清洁整洁，标示完整，不堆放杂物、工具摆放整齐、门窗关闭等，发现每项扣1分                                                                                                     5、未及时开关机，每次扣1分；                                                                                          6、室内温度未达标，造成投诉，每次扣1分；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安全生产日常管理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乙方自行管理机房、配电房和设备应依据医院后勤安全生产工作管理指南实施对标管理。</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未按医院后勤安全生产工作管理指南相关内容执行的每项扣1分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服务管理</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依据合同要求实施冷冻站、热交换站、变配电站、锅炉房代维设备设施的管理服务。</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1、运维人员的巡检记录每日不少于1次，巡检记录签名，不达标每次扣1分；                                                                        2、年度月度维保计划及监督实施情况并签字不达标每次扣1分；                                                                              3、每月不低于2次对代维区域机房配电房设备设施疏散通道室进行安全检查，对环境卫生进行检查并留存检查记录不达标每次扣1分。                                                                                                                 4、特种设备年检：压力容器、压力管道、安全阀、压力表（特检院）。 计量器具年检：安全阀、减压阀、压力表（计量院）等各类设备设施的年检、复检的代办、代检，未按合同要求造成未检和过检每项 扣2分                                                                                       5、未按要求进行变配电房预防性实验；安全防护用品复检；安全工具复检每项 扣2分                                                                                          6、未建立特种设备台账、未张贴特种设备使用证登记证和下次年检时间的的每项次扣1分；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E</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及时整改安全隐患，且发现问题及时上报</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及时整改，上报及时</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b w:val="0"/>
                <w:bCs w:val="0"/>
                <w:color w:val="auto"/>
                <w:sz w:val="21"/>
                <w:szCs w:val="21"/>
                <w:highlight w:val="none"/>
                <w:lang w:val="en-US" w:eastAsia="zh-CN" w:bidi="ar"/>
              </w:rPr>
              <w:t>1、隐患未及时整改每次扣2分；                                                                                          2、安全隐患未及时上报每次扣2</w:t>
            </w:r>
            <w:r>
              <w:rPr>
                <w:rStyle w:val="9"/>
                <w:b w:val="0"/>
                <w:bCs w:val="0"/>
                <w:color w:val="auto"/>
                <w:sz w:val="21"/>
                <w:szCs w:val="21"/>
                <w:highlight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岗位职责要求及甲方临时交办任务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岗位职责100%执行，上级临时交办任务按时保质完成</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b w:val="0"/>
                <w:bCs w:val="0"/>
                <w:color w:val="auto"/>
                <w:sz w:val="21"/>
                <w:szCs w:val="21"/>
                <w:highlight w:val="none"/>
                <w:lang w:val="en-US" w:eastAsia="zh-CN" w:bidi="ar"/>
              </w:rPr>
              <w:t>1、岗位职责执行不到位，一处扣1分；                                                                                    2、领导安排的工作未按时完成扣2分；                                                                                    3、领导安排的工作拒不执行扣5</w:t>
            </w:r>
            <w:r>
              <w:rPr>
                <w:rStyle w:val="9"/>
                <w:b w:val="0"/>
                <w:bCs w:val="0"/>
                <w:color w:val="auto"/>
                <w:sz w:val="21"/>
                <w:szCs w:val="21"/>
                <w:highlight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对于乙方维修人员未有效履行工作职责，而导致的事故</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b w:val="0"/>
                <w:bCs w:val="0"/>
                <w:color w:val="auto"/>
                <w:sz w:val="21"/>
                <w:szCs w:val="21"/>
                <w:highlight w:val="none"/>
                <w:lang w:val="en-US" w:eastAsia="zh-CN" w:bidi="ar"/>
              </w:rPr>
              <w:t>1、未持证上岗 每次扣1分；                                                                                                       2、未公示运维人员证书</w:t>
            </w:r>
            <w:r>
              <w:rPr>
                <w:rStyle w:val="9"/>
                <w:b w:val="0"/>
                <w:bCs w:val="0"/>
                <w:color w:val="auto"/>
                <w:sz w:val="21"/>
                <w:szCs w:val="21"/>
                <w:highlight w:val="none"/>
                <w:lang w:val="en-US" w:eastAsia="zh-CN" w:bidi="ar"/>
              </w:rPr>
              <w:t xml:space="preserve"> 每次扣</w:t>
            </w:r>
            <w:r>
              <w:rPr>
                <w:rStyle w:val="8"/>
                <w:b w:val="0"/>
                <w:bCs w:val="0"/>
                <w:color w:val="auto"/>
                <w:sz w:val="21"/>
                <w:szCs w:val="21"/>
                <w:highlight w:val="none"/>
                <w:lang w:val="en-US" w:eastAsia="zh-CN" w:bidi="ar"/>
              </w:rPr>
              <w:t>1</w:t>
            </w:r>
            <w:r>
              <w:rPr>
                <w:rStyle w:val="9"/>
                <w:b w:val="0"/>
                <w:bCs w:val="0"/>
                <w:color w:val="auto"/>
                <w:sz w:val="21"/>
                <w:szCs w:val="21"/>
                <w:highlight w:val="none"/>
                <w:lang w:val="en-US" w:eastAsia="zh-CN" w:bidi="ar"/>
              </w:rPr>
              <w:t xml:space="preserve">分                                                                                                     </w:t>
            </w:r>
            <w:r>
              <w:rPr>
                <w:rStyle w:val="8"/>
                <w:b w:val="0"/>
                <w:bCs w:val="0"/>
                <w:color w:val="auto"/>
                <w:sz w:val="21"/>
                <w:szCs w:val="21"/>
                <w:highlight w:val="none"/>
                <w:lang w:val="en-US" w:eastAsia="zh-CN" w:bidi="ar"/>
              </w:rPr>
              <w:t>3</w:t>
            </w:r>
            <w:r>
              <w:rPr>
                <w:rStyle w:val="9"/>
                <w:b w:val="0"/>
                <w:bCs w:val="0"/>
                <w:color w:val="auto"/>
                <w:sz w:val="21"/>
                <w:szCs w:val="21"/>
                <w:highlight w:val="none"/>
                <w:lang w:val="en-US" w:eastAsia="zh-CN" w:bidi="ar"/>
              </w:rPr>
              <w:t>、因维护保养不到，导致设施无法正常运行，空调系统无法运作等 每次扣</w:t>
            </w:r>
            <w:r>
              <w:rPr>
                <w:rStyle w:val="8"/>
                <w:b w:val="0"/>
                <w:bCs w:val="0"/>
                <w:color w:val="auto"/>
                <w:sz w:val="21"/>
                <w:szCs w:val="21"/>
                <w:highlight w:val="none"/>
                <w:lang w:val="en-US" w:eastAsia="zh-CN" w:bidi="ar"/>
              </w:rPr>
              <w:t>5</w:t>
            </w:r>
            <w:r>
              <w:rPr>
                <w:rStyle w:val="9"/>
                <w:b w:val="0"/>
                <w:bCs w:val="0"/>
                <w:color w:val="auto"/>
                <w:sz w:val="21"/>
                <w:szCs w:val="21"/>
                <w:highlight w:val="none"/>
                <w:lang w:val="en-US" w:eastAsia="zh-CN" w:bidi="ar"/>
              </w:rPr>
              <w:t xml:space="preserve">分                                                          </w:t>
            </w:r>
            <w:r>
              <w:rPr>
                <w:rStyle w:val="8"/>
                <w:b w:val="0"/>
                <w:bCs w:val="0"/>
                <w:color w:val="auto"/>
                <w:sz w:val="21"/>
                <w:szCs w:val="21"/>
                <w:highlight w:val="none"/>
                <w:lang w:val="en-US" w:eastAsia="zh-CN" w:bidi="ar"/>
              </w:rPr>
              <w:t>4</w:t>
            </w:r>
            <w:r>
              <w:rPr>
                <w:rStyle w:val="9"/>
                <w:b w:val="0"/>
                <w:bCs w:val="0"/>
                <w:color w:val="auto"/>
                <w:sz w:val="21"/>
                <w:szCs w:val="21"/>
                <w:highlight w:val="none"/>
                <w:lang w:val="en-US" w:eastAsia="zh-CN" w:bidi="ar"/>
              </w:rPr>
              <w:t>、因设备故障检修不力造成连续2天（含）温度不达标每次扣</w:t>
            </w:r>
            <w:r>
              <w:rPr>
                <w:rStyle w:val="8"/>
                <w:b w:val="0"/>
                <w:bCs w:val="0"/>
                <w:color w:val="auto"/>
                <w:sz w:val="21"/>
                <w:szCs w:val="21"/>
                <w:highlight w:val="none"/>
                <w:lang w:val="en-US" w:eastAsia="zh-CN" w:bidi="ar"/>
              </w:rPr>
              <w:t>10</w:t>
            </w:r>
            <w:r>
              <w:rPr>
                <w:rStyle w:val="9"/>
                <w:b w:val="0"/>
                <w:bCs w:val="0"/>
                <w:color w:val="auto"/>
                <w:sz w:val="21"/>
                <w:szCs w:val="21"/>
                <w:highlight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5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对于乙方运行特种员工未按工作职责进行巡查、检查</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Style w:val="8"/>
                <w:b w:val="0"/>
                <w:bCs w:val="0"/>
                <w:color w:val="auto"/>
                <w:sz w:val="21"/>
                <w:szCs w:val="21"/>
                <w:highlight w:val="none"/>
                <w:lang w:val="en-US" w:eastAsia="zh-CN" w:bidi="ar"/>
              </w:rPr>
              <w:t>1、未按要求进行巡查  每次扣2</w:t>
            </w:r>
            <w:r>
              <w:rPr>
                <w:rStyle w:val="9"/>
                <w:b w:val="0"/>
                <w:bCs w:val="0"/>
                <w:color w:val="auto"/>
                <w:sz w:val="21"/>
                <w:szCs w:val="21"/>
                <w:highlight w:val="none"/>
                <w:lang w:val="en-US" w:eastAsia="zh-CN" w:bidi="ar"/>
              </w:rPr>
              <w:t>分                                                                                                 2、工作期间脱岗、睡岗，吸烟   每次扣</w:t>
            </w:r>
            <w:r>
              <w:rPr>
                <w:rStyle w:val="8"/>
                <w:b w:val="0"/>
                <w:bCs w:val="0"/>
                <w:color w:val="auto"/>
                <w:sz w:val="21"/>
                <w:szCs w:val="21"/>
                <w:highlight w:val="none"/>
                <w:lang w:val="en-US" w:eastAsia="zh-CN" w:bidi="ar"/>
              </w:rPr>
              <w:t>5</w:t>
            </w:r>
            <w:r>
              <w:rPr>
                <w:rStyle w:val="9"/>
                <w:b w:val="0"/>
                <w:bCs w:val="0"/>
                <w:color w:val="auto"/>
                <w:sz w:val="21"/>
                <w:szCs w:val="21"/>
                <w:highlight w:val="none"/>
                <w:lang w:val="en-US" w:eastAsia="zh-CN" w:bidi="ar"/>
              </w:rPr>
              <w:t>分                                                                                        3、检查中发现的隐患未及时整改造成设备严重损耗或损坏（人为原因）每次扣</w:t>
            </w:r>
            <w:r>
              <w:rPr>
                <w:rStyle w:val="8"/>
                <w:b w:val="0"/>
                <w:bCs w:val="0"/>
                <w:color w:val="auto"/>
                <w:sz w:val="21"/>
                <w:szCs w:val="21"/>
                <w:highlight w:val="none"/>
                <w:lang w:val="en-US" w:eastAsia="zh-CN" w:bidi="ar"/>
              </w:rPr>
              <w:t>5</w:t>
            </w:r>
            <w:r>
              <w:rPr>
                <w:rStyle w:val="9"/>
                <w:b w:val="0"/>
                <w:bCs w:val="0"/>
                <w:color w:val="auto"/>
                <w:sz w:val="21"/>
                <w:szCs w:val="21"/>
                <w:highlight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101" w:type="dxa"/>
            <w:gridSpan w:val="5"/>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备注：以上内容每月考核1次；总分100分；合格分大于85分；乙方工作人员违法违规者及红线扣分（扣分大于15分）者甲方有权勒令其限期离场。</w:t>
            </w:r>
          </w:p>
        </w:tc>
      </w:tr>
    </w:tbl>
    <w:p>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p>
    <w:p>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p>
    <w:p>
      <w:pPr>
        <w:keepNext w:val="0"/>
        <w:keepLines w:val="0"/>
        <w:widowControl/>
        <w:suppressLineNumbers w:val="0"/>
        <w:jc w:val="left"/>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sz w:val="36"/>
          <w:szCs w:val="36"/>
          <w:highlight w:val="none"/>
          <w:u w:val="none"/>
          <w:lang w:val="en-US" w:eastAsia="zh-CN"/>
        </w:rPr>
        <w:t>附件</w:t>
      </w:r>
      <w:r>
        <w:rPr>
          <w:rFonts w:hint="eastAsia" w:ascii="宋体" w:hAnsi="宋体" w:cs="宋体"/>
          <w:b/>
          <w:bCs/>
          <w:i w:val="0"/>
          <w:iCs w:val="0"/>
          <w:color w:val="auto"/>
          <w:sz w:val="36"/>
          <w:szCs w:val="36"/>
          <w:highlight w:val="none"/>
          <w:u w:val="none"/>
          <w:lang w:val="en-US" w:eastAsia="zh-CN"/>
        </w:rPr>
        <w:t>二</w:t>
      </w:r>
      <w:r>
        <w:rPr>
          <w:rFonts w:hint="eastAsia" w:ascii="宋体" w:hAnsi="宋体" w:eastAsia="宋体" w:cs="宋体"/>
          <w:b/>
          <w:bCs/>
          <w:i w:val="0"/>
          <w:iCs w:val="0"/>
          <w:color w:val="auto"/>
          <w:sz w:val="36"/>
          <w:szCs w:val="36"/>
          <w:highlight w:val="none"/>
          <w:u w:val="none"/>
          <w:lang w:val="en-US" w:eastAsia="zh-CN"/>
        </w:rPr>
        <w:t>：</w:t>
      </w:r>
      <w:r>
        <w:rPr>
          <w:rFonts w:hint="eastAsia" w:ascii="宋体" w:hAnsi="宋体" w:eastAsia="宋体" w:cs="宋体"/>
          <w:b/>
          <w:bCs/>
          <w:i w:val="0"/>
          <w:iCs w:val="0"/>
          <w:color w:val="auto"/>
          <w:sz w:val="36"/>
          <w:szCs w:val="36"/>
          <w:highlight w:val="none"/>
          <w:u w:val="none"/>
        </w:rPr>
        <w:t>能源托管服务</w:t>
      </w:r>
      <w:r>
        <w:rPr>
          <w:rFonts w:hint="eastAsia" w:ascii="宋体" w:hAnsi="宋体" w:eastAsia="宋体" w:cs="宋体"/>
          <w:b/>
          <w:bCs/>
          <w:i w:val="0"/>
          <w:iCs w:val="0"/>
          <w:color w:val="auto"/>
          <w:sz w:val="36"/>
          <w:szCs w:val="36"/>
          <w:highlight w:val="none"/>
          <w:u w:val="none"/>
          <w:lang w:val="en-US" w:eastAsia="zh-CN"/>
        </w:rPr>
        <w:t>月</w:t>
      </w:r>
      <w:r>
        <w:rPr>
          <w:rFonts w:hint="eastAsia" w:ascii="宋体" w:hAnsi="宋体" w:eastAsia="宋体" w:cs="宋体"/>
          <w:b/>
          <w:bCs/>
          <w:i w:val="0"/>
          <w:iCs w:val="0"/>
          <w:color w:val="auto"/>
          <w:sz w:val="36"/>
          <w:szCs w:val="36"/>
          <w:highlight w:val="none"/>
          <w:u w:val="none"/>
        </w:rPr>
        <w:t>考核评分表</w:t>
      </w:r>
    </w:p>
    <w:tbl>
      <w:tblPr>
        <w:tblStyle w:val="3"/>
        <w:tblpPr w:leftFromText="180" w:rightFromText="180" w:vertAnchor="text" w:horzAnchor="page" w:tblpX="1180" w:tblpY="273"/>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1"/>
        <w:gridCol w:w="1470"/>
        <w:gridCol w:w="5579"/>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color w:val="auto"/>
                <w:kern w:val="0"/>
                <w:sz w:val="21"/>
                <w:szCs w:val="21"/>
                <w:highlight w:val="none"/>
                <w:u w:val="none"/>
                <w:lang w:val="en-US" w:eastAsia="zh-CN" w:bidi="ar"/>
              </w:rPr>
              <w:t>月</w:t>
            </w:r>
          </w:p>
        </w:tc>
        <w:tc>
          <w:tcPr>
            <w:tcW w:w="147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考核项目</w:t>
            </w:r>
          </w:p>
        </w:tc>
        <w:tc>
          <w:tcPr>
            <w:tcW w:w="557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扣分原因</w:t>
            </w:r>
          </w:p>
        </w:tc>
        <w:tc>
          <w:tcPr>
            <w:tcW w:w="21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累计扣分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47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A</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145" w:type="dxa"/>
            <w:vMerge w:val="restar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D</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E</w:t>
            </w:r>
          </w:p>
        </w:tc>
        <w:tc>
          <w:tcPr>
            <w:tcW w:w="557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w:t>
            </w:r>
          </w:p>
        </w:tc>
        <w:tc>
          <w:tcPr>
            <w:tcW w:w="557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901"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highlight w:val="none"/>
                <w:u w:val="none"/>
              </w:rPr>
            </w:pPr>
          </w:p>
        </w:tc>
        <w:tc>
          <w:tcPr>
            <w:tcW w:w="147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w:t>
            </w:r>
          </w:p>
        </w:tc>
        <w:tc>
          <w:tcPr>
            <w:tcW w:w="5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095"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pPr>
              <w:ind w:firstLine="1050" w:firstLineChars="500"/>
              <w:jc w:val="left"/>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合计得分：</w:t>
            </w:r>
          </w:p>
        </w:tc>
      </w:tr>
    </w:tbl>
    <w:p>
      <w:pPr>
        <w:widowControl w:val="0"/>
        <w:numPr>
          <w:numId w:val="0"/>
        </w:numPr>
        <w:wordWrap w:val="0"/>
        <w:autoSpaceDE w:val="0"/>
        <w:autoSpaceDN w:val="0"/>
        <w:adjustRightInd/>
        <w:snapToGrid w:val="0"/>
        <w:spacing w:line="360" w:lineRule="auto"/>
        <w:jc w:val="both"/>
        <w:rPr>
          <w:rFonts w:hint="eastAsia" w:ascii="宋体" w:hAnsi="宋体" w:cs="宋体"/>
          <w:b/>
          <w:color w:val="auto"/>
          <w:sz w:val="24"/>
          <w:szCs w:val="24"/>
          <w:highlight w:val="none"/>
          <w:lang w:val="en-US" w:eastAsia="zh-CN" w:bidi="ar-SA"/>
        </w:rPr>
      </w:pPr>
    </w:p>
    <w:p>
      <w:pPr>
        <w:widowControl w:val="0"/>
        <w:numPr>
          <w:numId w:val="0"/>
        </w:numPr>
        <w:wordWrap w:val="0"/>
        <w:autoSpaceDE w:val="0"/>
        <w:autoSpaceDN w:val="0"/>
        <w:adjustRightInd/>
        <w:snapToGrid w:val="0"/>
        <w:spacing w:line="360" w:lineRule="auto"/>
        <w:jc w:val="center"/>
        <w:rPr>
          <w:rFonts w:hint="eastAsia" w:ascii="宋体" w:hAnsi="宋体" w:eastAsia="宋体" w:cs="宋体"/>
          <w:b/>
          <w:bCs/>
          <w:color w:val="auto"/>
          <w:sz w:val="36"/>
          <w:szCs w:val="28"/>
          <w:highlight w:val="none"/>
          <w:lang w:val="en-US" w:eastAsia="zh-CN" w:bidi="ar-SA"/>
        </w:rPr>
      </w:pPr>
      <w:r>
        <w:rPr>
          <w:rFonts w:hint="eastAsia" w:ascii="宋体" w:hAnsi="宋体" w:eastAsia="宋体" w:cs="宋体"/>
          <w:b/>
          <w:color w:val="auto"/>
          <w:sz w:val="36"/>
          <w:szCs w:val="36"/>
          <w:highlight w:val="none"/>
          <w:lang w:val="en-US" w:eastAsia="zh-CN" w:bidi="ar-SA"/>
        </w:rPr>
        <w:t>评标办法</w:t>
      </w:r>
    </w:p>
    <w:tbl>
      <w:tblPr>
        <w:tblStyle w:val="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评分项</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78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bookmarkStart w:id="17" w:name="OLE_LINK4" w:colFirst="2" w:colLast="2"/>
            <w:r>
              <w:rPr>
                <w:rFonts w:hint="eastAsia" w:ascii="宋体" w:hAnsi="宋体" w:eastAsia="宋体" w:cs="宋体"/>
                <w:color w:val="auto"/>
                <w:kern w:val="0"/>
                <w:sz w:val="24"/>
                <w:szCs w:val="24"/>
                <w:highlight w:val="none"/>
              </w:rPr>
              <w:t>技术能力</w:t>
            </w:r>
          </w:p>
        </w:tc>
        <w:tc>
          <w:tcPr>
            <w:tcW w:w="7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1、投标人获得省级以上政府部门颁发的“高新技术企业”证书的计</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满分2分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7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2、投标人具有中国设备维修安装企业能力等级证书，达到A类I级</w:t>
            </w:r>
            <w:r>
              <w:rPr>
                <w:rFonts w:hint="eastAsia" w:ascii="宋体" w:hAnsi="宋体" w:eastAsia="宋体" w:cs="宋体"/>
                <w:color w:val="auto"/>
                <w:kern w:val="0"/>
                <w:sz w:val="24"/>
                <w:szCs w:val="24"/>
                <w:highlight w:val="none"/>
                <w:lang w:val="en-US" w:eastAsia="zh-CN"/>
              </w:rPr>
              <w:t>及以上的</w:t>
            </w:r>
            <w:r>
              <w:rPr>
                <w:rFonts w:hint="eastAsia" w:ascii="宋体" w:hAnsi="宋体" w:eastAsia="宋体" w:cs="宋体"/>
                <w:color w:val="auto"/>
                <w:kern w:val="0"/>
                <w:sz w:val="24"/>
                <w:szCs w:val="24"/>
                <w:highlight w:val="none"/>
              </w:rPr>
              <w:t>得3分，A类II级</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得2分，其他</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得1分，没有不得分。</w:t>
            </w:r>
            <w:r>
              <w:rPr>
                <w:rFonts w:hint="eastAsia" w:ascii="宋体" w:hAnsi="宋体" w:eastAsia="宋体" w:cs="宋体"/>
                <w:color w:val="auto"/>
                <w:kern w:val="0"/>
                <w:sz w:val="24"/>
                <w:szCs w:val="24"/>
                <w:highlight w:val="none"/>
                <w:lang w:val="en-US" w:eastAsia="zh-CN"/>
              </w:rPr>
              <w:t>多个等级不重复计分，满分3分。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业绩状况</w:t>
            </w:r>
          </w:p>
        </w:tc>
        <w:tc>
          <w:tcPr>
            <w:tcW w:w="709"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投标人承担过中央空调能源管理项目</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，每</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一项计</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分，满分14分。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备注：须提供合同</w:t>
            </w:r>
            <w:r>
              <w:rPr>
                <w:rFonts w:hint="eastAsia" w:ascii="宋体" w:hAnsi="宋体" w:eastAsia="宋体" w:cs="宋体"/>
                <w:color w:val="auto"/>
                <w:kern w:val="0"/>
                <w:sz w:val="24"/>
                <w:szCs w:val="24"/>
                <w:highlight w:val="none"/>
                <w:lang w:val="en-US" w:eastAsia="zh-CN"/>
              </w:rPr>
              <w:t>扫描件</w:t>
            </w:r>
            <w:r>
              <w:rPr>
                <w:rFonts w:hint="eastAsia" w:ascii="宋体" w:hAnsi="宋体" w:eastAsia="宋体" w:cs="宋体"/>
                <w:color w:val="auto"/>
                <w:kern w:val="0"/>
                <w:sz w:val="24"/>
                <w:szCs w:val="24"/>
                <w:highlight w:val="none"/>
              </w:rPr>
              <w:t>，业主方出具的项目正常运行的证明材料，机房运营照片。</w:t>
            </w:r>
            <w:r>
              <w:rPr>
                <w:rFonts w:hint="eastAsia" w:ascii="宋体" w:hAnsi="宋体" w:eastAsia="宋体" w:cs="宋体"/>
                <w:iCs/>
                <w:color w:val="auto"/>
                <w:sz w:val="24"/>
                <w:szCs w:val="24"/>
                <w:highlight w:val="none"/>
              </w:rPr>
              <w:t>上述材料缺一不得分。</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注：同一单位的不可累计计分</w:t>
            </w:r>
            <w:r>
              <w:rPr>
                <w:rFonts w:hint="eastAsia" w:ascii="宋体" w:hAnsi="宋体" w:eastAsia="宋体" w:cs="宋体"/>
                <w:i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34" w:type="dxa"/>
            <w:vMerge w:val="restart"/>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企业实力</w:t>
            </w:r>
          </w:p>
        </w:tc>
        <w:tc>
          <w:tcPr>
            <w:tcW w:w="709" w:type="dxa"/>
            <w:vMerge w:val="restart"/>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1、投标人获得第三方信用评价机构</w:t>
            </w:r>
            <w:r>
              <w:rPr>
                <w:rFonts w:hint="eastAsia" w:ascii="宋体" w:hAnsi="宋体" w:eastAsia="宋体" w:cs="宋体"/>
                <w:color w:val="auto"/>
                <w:kern w:val="0"/>
                <w:sz w:val="24"/>
                <w:szCs w:val="24"/>
                <w:highlight w:val="none"/>
                <w:lang w:val="en-US" w:eastAsia="zh-CN"/>
              </w:rPr>
              <w:t>颁发的</w:t>
            </w:r>
            <w:r>
              <w:rPr>
                <w:rFonts w:hint="eastAsia" w:ascii="宋体" w:hAnsi="宋体" w:eastAsia="宋体" w:cs="宋体"/>
                <w:color w:val="auto"/>
                <w:kern w:val="0"/>
                <w:sz w:val="24"/>
                <w:szCs w:val="24"/>
                <w:highlight w:val="none"/>
              </w:rPr>
              <w:t>企业信用等级 AAA 级证书的得 2 分，AA 级得 1 分，其他不得分。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continue"/>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p>
        </w:tc>
        <w:tc>
          <w:tcPr>
            <w:tcW w:w="709" w:type="dxa"/>
            <w:vMerge w:val="continue"/>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投标人获有国家认证认可监督管理委员会认可机构颁发的符合“RB/T 302《合同能源管理服务认证要求》标准”的“合同能源管理服务认证证书”，认证范围：电机系统节能、锅炉（窑炉）改造、建筑节能改造、能量系统优化、余热余压利用</w:t>
            </w:r>
            <w:r>
              <w:rPr>
                <w:rFonts w:hint="eastAsia" w:ascii="宋体" w:hAnsi="宋体" w:eastAsia="宋体" w:cs="宋体"/>
                <w:color w:val="auto"/>
                <w:kern w:val="0"/>
                <w:sz w:val="24"/>
                <w:szCs w:val="24"/>
                <w:highlight w:val="none"/>
                <w:lang w:eastAsia="zh-CN"/>
              </w:rPr>
              <w:t>；</w:t>
            </w:r>
          </w:p>
          <w:p>
            <w:pPr>
              <w:pStyle w:val="5"/>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《节能技术服务认证证书》AAAAA级 ，认证范围：节能技术服务；</w:t>
            </w:r>
          </w:p>
          <w:p>
            <w:pPr>
              <w:pStyle w:val="5"/>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《综合能源服务认证证书》AAAAA级，认证范围：综合能效提升服务、分布式能源系统服务、电力运营服务、能源供应服务、多能互补、互联网+智慧能源服务；</w:t>
            </w:r>
          </w:p>
          <w:p>
            <w:pPr>
              <w:pStyle w:val="5"/>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《售后服务认证证书》五星级，认证范围：中央空调设备及系统服务、合同能源管理服务。</w:t>
            </w:r>
          </w:p>
          <w:p>
            <w:pPr>
              <w:pStyle w:val="5"/>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个领域认证中每获得1个得2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满分10分</w:t>
            </w:r>
            <w:r>
              <w:rPr>
                <w:rFonts w:hint="eastAsia" w:ascii="宋体" w:hAnsi="宋体" w:eastAsia="宋体" w:cs="宋体"/>
                <w:color w:val="auto"/>
                <w:kern w:val="0"/>
                <w:sz w:val="24"/>
                <w:szCs w:val="24"/>
                <w:highlight w:val="none"/>
              </w:rPr>
              <w:t>。注：提供证书</w:t>
            </w:r>
            <w:r>
              <w:rPr>
                <w:rFonts w:hint="eastAsia" w:ascii="宋体" w:hAnsi="宋体" w:eastAsia="宋体" w:cs="宋体"/>
                <w:color w:val="auto"/>
                <w:kern w:val="0"/>
                <w:sz w:val="24"/>
                <w:szCs w:val="24"/>
                <w:highlight w:val="none"/>
                <w:lang w:val="en-US" w:eastAsia="zh-CN"/>
              </w:rPr>
              <w:t>扫描件</w:t>
            </w:r>
            <w:r>
              <w:rPr>
                <w:rFonts w:hint="eastAsia" w:ascii="宋体" w:hAnsi="宋体" w:eastAsia="宋体" w:cs="宋体"/>
                <w:color w:val="auto"/>
                <w:kern w:val="0"/>
                <w:sz w:val="24"/>
                <w:szCs w:val="24"/>
                <w:highlight w:val="none"/>
              </w:rPr>
              <w:t>及国家认证认可监督管理委员会网站查询截图加盖投标</w:t>
            </w:r>
            <w:r>
              <w:rPr>
                <w:rFonts w:hint="eastAsia" w:ascii="宋体" w:hAnsi="宋体" w:eastAsia="宋体" w:cs="宋体"/>
                <w:color w:val="auto"/>
                <w:kern w:val="0"/>
                <w:sz w:val="24"/>
                <w:szCs w:val="24"/>
                <w:highlight w:val="none"/>
                <w:lang w:val="en-US" w:eastAsia="zh-CN"/>
              </w:rPr>
              <w:t>单位电子</w:t>
            </w:r>
            <w:r>
              <w:rPr>
                <w:rFonts w:hint="eastAsia" w:ascii="宋体" w:hAnsi="宋体" w:eastAsia="宋体" w:cs="宋体"/>
                <w:color w:val="auto"/>
                <w:kern w:val="0"/>
                <w:sz w:val="24"/>
                <w:szCs w:val="24"/>
                <w:highlight w:val="none"/>
              </w:rPr>
              <w:t>章作为证明材料，否则不计分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节能改造方案与能力</w:t>
            </w:r>
          </w:p>
        </w:tc>
        <w:tc>
          <w:tcPr>
            <w:tcW w:w="7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1、节能改造方案与技术经济分析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根据投标单位的</w:t>
            </w:r>
            <w:r>
              <w:rPr>
                <w:rFonts w:hint="eastAsia" w:ascii="宋体" w:hAnsi="宋体" w:eastAsia="宋体" w:cs="宋体"/>
                <w:color w:val="auto"/>
                <w:kern w:val="0"/>
                <w:sz w:val="24"/>
                <w:szCs w:val="24"/>
                <w:highlight w:val="none"/>
              </w:rPr>
              <w:t>节能改造方案与技术经济分析</w:t>
            </w:r>
            <w:r>
              <w:rPr>
                <w:rFonts w:hint="eastAsia" w:ascii="宋体" w:hAnsi="宋体" w:cs="宋体"/>
                <w:color w:val="auto"/>
                <w:sz w:val="24"/>
                <w:szCs w:val="24"/>
                <w:highlight w:val="none"/>
                <w:lang w:val="en-US" w:eastAsia="zh-CN"/>
              </w:rPr>
              <w:t>详细度合理度，分优秀、良好、一般三个档次，对应分值5分、3分、1分。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备注：投标人须附方案可行性以及技术经济分析相关数据。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1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2、所投设备的生产厂家获得ISO9001质量管理体系认证证书、ISO14001环境管理体系认证证书、ISO45001职业健康安全管理体系认证证书体系认证，每获得一项得1分，</w:t>
            </w:r>
            <w:r>
              <w:rPr>
                <w:rFonts w:hint="eastAsia" w:ascii="宋体" w:hAnsi="宋体" w:eastAsia="宋体" w:cs="宋体"/>
                <w:color w:val="auto"/>
                <w:kern w:val="0"/>
                <w:sz w:val="24"/>
                <w:szCs w:val="24"/>
                <w:highlight w:val="none"/>
                <w:lang w:val="en-US" w:eastAsia="zh-CN"/>
              </w:rPr>
              <w:t>多个相同认证证书不重复计分，</w:t>
            </w:r>
            <w:r>
              <w:rPr>
                <w:rFonts w:hint="eastAsia" w:ascii="宋体" w:hAnsi="宋体" w:eastAsia="宋体" w:cs="宋体"/>
                <w:color w:val="auto"/>
                <w:kern w:val="0"/>
                <w:sz w:val="24"/>
                <w:szCs w:val="24"/>
                <w:highlight w:val="none"/>
              </w:rPr>
              <w:t>满分3分。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技术参数响应</w:t>
            </w:r>
          </w:p>
        </w:tc>
        <w:tc>
          <w:tcPr>
            <w:tcW w:w="7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投标人所投主机型号取得《中国能效标识》一级能效计2分；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备注：提供机组取得的已备案的《中国能效标识》及在《中国能效标识网》查询结果的截图，否则不计分。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履约能力</w:t>
            </w:r>
          </w:p>
        </w:tc>
        <w:tc>
          <w:tcPr>
            <w:tcW w:w="7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运营服务方案评审（12分）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sz w:val="24"/>
                <w:szCs w:val="24"/>
                <w:highlight w:val="none"/>
                <w:lang w:val="en-US" w:eastAsia="zh-CN"/>
              </w:rPr>
              <w:t>根据投标单位的管理机构设置的合理性、管理制度的完整度，分优秀、良好、一般三个档次，对应分值3分、2分、1分。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sz w:val="24"/>
                <w:szCs w:val="24"/>
                <w:highlight w:val="none"/>
                <w:lang w:val="en-US" w:eastAsia="zh-CN"/>
              </w:rPr>
              <w:t>根据投标单位的</w:t>
            </w:r>
            <w:r>
              <w:rPr>
                <w:rFonts w:hint="eastAsia" w:ascii="宋体" w:hAnsi="宋体" w:eastAsia="宋体" w:cs="宋体"/>
                <w:color w:val="auto"/>
                <w:kern w:val="0"/>
                <w:sz w:val="24"/>
                <w:szCs w:val="24"/>
                <w:highlight w:val="none"/>
              </w:rPr>
              <w:t>中央空调系统机房设备的维护保养项目</w:t>
            </w:r>
            <w:r>
              <w:rPr>
                <w:rFonts w:hint="eastAsia" w:ascii="宋体" w:hAnsi="宋体" w:eastAsia="宋体" w:cs="宋体"/>
                <w:color w:val="auto"/>
                <w:kern w:val="0"/>
                <w:sz w:val="24"/>
                <w:szCs w:val="24"/>
                <w:highlight w:val="none"/>
                <w:lang w:val="en-US" w:eastAsia="zh-CN"/>
              </w:rPr>
              <w:t>合理性</w:t>
            </w:r>
            <w:r>
              <w:rPr>
                <w:rFonts w:hint="eastAsia" w:ascii="宋体" w:hAnsi="宋体" w:eastAsia="宋体" w:cs="宋体"/>
                <w:color w:val="auto"/>
                <w:kern w:val="0"/>
                <w:sz w:val="24"/>
                <w:szCs w:val="24"/>
                <w:highlight w:val="none"/>
              </w:rPr>
              <w:t>完整度</w:t>
            </w:r>
            <w:r>
              <w:rPr>
                <w:rFonts w:hint="eastAsia" w:ascii="宋体" w:hAnsi="宋体" w:cs="宋体"/>
                <w:color w:val="auto"/>
                <w:sz w:val="24"/>
                <w:szCs w:val="24"/>
                <w:highlight w:val="none"/>
                <w:lang w:val="en-US" w:eastAsia="zh-CN"/>
              </w:rPr>
              <w:t>，分优秀、良好、一般三个档次，对应分值3分、2分、1分。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sz w:val="24"/>
                <w:szCs w:val="24"/>
                <w:highlight w:val="none"/>
                <w:lang w:val="en-US" w:eastAsia="zh-CN"/>
              </w:rPr>
              <w:t>根据投标单位的</w:t>
            </w:r>
            <w:r>
              <w:rPr>
                <w:rFonts w:hint="eastAsia" w:ascii="宋体" w:hAnsi="宋体" w:eastAsia="宋体" w:cs="宋体"/>
                <w:color w:val="auto"/>
                <w:kern w:val="0"/>
                <w:sz w:val="24"/>
                <w:szCs w:val="24"/>
                <w:highlight w:val="none"/>
              </w:rPr>
              <w:t>设备运行维保及节能措施方案</w:t>
            </w:r>
            <w:r>
              <w:rPr>
                <w:rFonts w:hint="eastAsia" w:ascii="宋体" w:hAnsi="宋体" w:eastAsia="宋体" w:cs="宋体"/>
                <w:color w:val="auto"/>
                <w:kern w:val="0"/>
                <w:sz w:val="24"/>
                <w:szCs w:val="24"/>
                <w:highlight w:val="none"/>
                <w:lang w:val="en-US" w:eastAsia="zh-CN"/>
              </w:rPr>
              <w:t>全面性、</w:t>
            </w:r>
            <w:r>
              <w:rPr>
                <w:rFonts w:hint="eastAsia" w:ascii="宋体" w:hAnsi="宋体" w:cs="宋体"/>
                <w:color w:val="auto"/>
                <w:sz w:val="24"/>
                <w:szCs w:val="24"/>
                <w:highlight w:val="none"/>
                <w:lang w:val="en-US" w:eastAsia="zh-CN"/>
              </w:rPr>
              <w:t>详细度、合理度，分优秀、良好、一般三个档次，对应分值3分、2分、1分。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sz w:val="24"/>
                <w:szCs w:val="24"/>
                <w:highlight w:val="none"/>
                <w:lang w:val="en-US" w:eastAsia="zh-CN"/>
              </w:rPr>
              <w:t>根据投标单位的</w:t>
            </w:r>
            <w:r>
              <w:rPr>
                <w:rFonts w:hint="eastAsia" w:ascii="宋体" w:hAnsi="宋体" w:eastAsia="宋体" w:cs="宋体"/>
                <w:color w:val="auto"/>
                <w:kern w:val="0"/>
                <w:sz w:val="24"/>
                <w:szCs w:val="24"/>
                <w:highlight w:val="none"/>
              </w:rPr>
              <w:t>标准化机房建设方案</w:t>
            </w:r>
            <w:r>
              <w:rPr>
                <w:rFonts w:hint="eastAsia" w:ascii="宋体" w:hAnsi="宋体" w:eastAsia="宋体" w:cs="宋体"/>
                <w:color w:val="auto"/>
                <w:kern w:val="0"/>
                <w:sz w:val="24"/>
                <w:szCs w:val="24"/>
                <w:highlight w:val="none"/>
                <w:lang w:val="en-US" w:eastAsia="zh-CN"/>
              </w:rPr>
              <w:t>全面性、</w:t>
            </w:r>
            <w:r>
              <w:rPr>
                <w:rFonts w:hint="eastAsia" w:ascii="宋体" w:hAnsi="宋体" w:cs="宋体"/>
                <w:color w:val="auto"/>
                <w:sz w:val="24"/>
                <w:szCs w:val="24"/>
                <w:highlight w:val="none"/>
                <w:lang w:val="en-US" w:eastAsia="zh-CN"/>
              </w:rPr>
              <w:t>详细度、合理度，分优秀、良好、一般三个档次，对应分值3分、2分、1分。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1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企业荣誉（10分）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1、投标人201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年1月1日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时间以证书颁发时间为准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以来，获得过由中国节能协会节能服务产业委员会颁发的“节能服务产业品牌企业”的荣誉称号的得2分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满分2分</w:t>
            </w:r>
            <w:r>
              <w:rPr>
                <w:rFonts w:hint="eastAsia" w:ascii="宋体" w:hAnsi="宋体" w:eastAsia="宋体" w:cs="宋体"/>
                <w:color w:val="auto"/>
                <w:kern w:val="0"/>
                <w:sz w:val="24"/>
                <w:szCs w:val="24"/>
                <w:highlight w:val="none"/>
              </w:rPr>
              <w:t>；获得过“综合能源服务优秀企业”荣誉称号得2分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满分2分</w:t>
            </w:r>
            <w:r>
              <w:rPr>
                <w:rFonts w:hint="eastAsia" w:ascii="宋体" w:hAnsi="宋体" w:eastAsia="宋体" w:cs="宋体"/>
                <w:color w:val="auto"/>
                <w:kern w:val="0"/>
                <w:sz w:val="24"/>
                <w:szCs w:val="24"/>
                <w:highlight w:val="none"/>
              </w:rPr>
              <w:t>；获得过“建筑领域节能服务公司综合能力等级证书”AAAAA得2分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满分2分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本项</w:t>
            </w:r>
            <w:r>
              <w:rPr>
                <w:rFonts w:hint="eastAsia" w:ascii="宋体" w:hAnsi="宋体" w:eastAsia="宋体" w:cs="宋体"/>
                <w:color w:val="auto"/>
                <w:kern w:val="0"/>
                <w:sz w:val="24"/>
                <w:szCs w:val="24"/>
                <w:highlight w:val="none"/>
              </w:rPr>
              <w:t>满分6分。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r>
              <w:rPr>
                <w:rFonts w:hint="eastAsia" w:ascii="宋体" w:hAnsi="宋体" w:eastAsia="宋体" w:cs="宋体"/>
                <w:color w:val="auto"/>
                <w:kern w:val="0"/>
                <w:sz w:val="24"/>
                <w:szCs w:val="24"/>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2、投标人201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年1月1日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时间以证书颁发时间为准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以来所运营项目获得由中国节能协会节能服务产业委员会颁发的 “合同能源管理优秀示范项目”，每获得1项得1分，满分得4分。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证书</w:t>
            </w:r>
            <w:r>
              <w:rPr>
                <w:rFonts w:hint="eastAsia" w:ascii="宋体" w:hAnsi="宋体" w:cs="宋体"/>
                <w:color w:val="auto"/>
                <w:sz w:val="24"/>
                <w:szCs w:val="24"/>
                <w:highlight w:val="none"/>
                <w:lang w:val="en-US" w:eastAsia="zh-CN"/>
              </w:rPr>
              <w:t>扫描件放入电子投标文件</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售后服务</w:t>
            </w:r>
          </w:p>
        </w:tc>
        <w:tc>
          <w:tcPr>
            <w:tcW w:w="70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1、运营管理团队（2分）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投标人承诺在项目运营期间配置至少2名运营服务人员，其中至少有1名持有初级以上职称的专业技术资格（电气、电子、工程管理等相关专业）或持有制冷技师以上职业资格证书</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得2分。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备注：需提供</w:t>
            </w:r>
            <w:r>
              <w:rPr>
                <w:rFonts w:hint="eastAsia" w:ascii="宋体" w:hAnsi="宋体" w:eastAsia="宋体" w:cs="宋体"/>
                <w:color w:val="auto"/>
                <w:kern w:val="0"/>
                <w:sz w:val="24"/>
                <w:szCs w:val="24"/>
                <w:highlight w:val="none"/>
                <w:lang w:val="en-US" w:eastAsia="zh-CN"/>
              </w:rPr>
              <w:t>承诺及</w:t>
            </w:r>
            <w:r>
              <w:rPr>
                <w:rFonts w:hint="eastAsia" w:ascii="宋体" w:hAnsi="宋体" w:eastAsia="宋体" w:cs="宋体"/>
                <w:color w:val="auto"/>
                <w:kern w:val="0"/>
                <w:sz w:val="24"/>
                <w:szCs w:val="24"/>
                <w:highlight w:val="none"/>
              </w:rPr>
              <w:t>专业技术人员</w:t>
            </w:r>
            <w:r>
              <w:rPr>
                <w:rFonts w:hint="eastAsia" w:ascii="宋体" w:hAnsi="宋体" w:eastAsia="宋体" w:cs="宋体"/>
                <w:color w:val="auto"/>
                <w:kern w:val="0"/>
                <w:sz w:val="24"/>
                <w:szCs w:val="24"/>
                <w:highlight w:val="none"/>
                <w:lang w:val="en-US" w:eastAsia="zh-CN"/>
              </w:rPr>
              <w:t>开标前半年连续3个月供应商为其缴纳的社保（基本养老保险或基本医疗保险均可）</w:t>
            </w:r>
            <w:r>
              <w:rPr>
                <w:rFonts w:hint="eastAsia" w:ascii="宋体" w:hAnsi="宋体" w:eastAsia="宋体" w:cs="宋体"/>
                <w:color w:val="auto"/>
                <w:kern w:val="0"/>
                <w:sz w:val="24"/>
                <w:szCs w:val="24"/>
                <w:highlight w:val="none"/>
              </w:rPr>
              <w:t>，职称证证书扫描件（若职称证书上无法证明其专业，可提供毕业证证书扫描件），否则不得分。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0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2、服务满意度（15分）</w:t>
            </w:r>
          </w:p>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投标人须出具运营 3年以上合同能源管理服务满意度证明（良好及以上），需提供业主单位出具加盖</w:t>
            </w:r>
            <w:r>
              <w:rPr>
                <w:rFonts w:hint="eastAsia" w:ascii="宋体" w:hAnsi="宋体" w:eastAsia="宋体" w:cs="宋体"/>
                <w:color w:val="auto"/>
                <w:kern w:val="0"/>
                <w:sz w:val="24"/>
                <w:szCs w:val="24"/>
                <w:highlight w:val="none"/>
                <w:lang w:eastAsia="zh-CN"/>
              </w:rPr>
              <w:t>用户</w:t>
            </w:r>
            <w:r>
              <w:rPr>
                <w:rFonts w:hint="eastAsia" w:ascii="宋体" w:hAnsi="宋体" w:eastAsia="宋体" w:cs="宋体"/>
                <w:color w:val="auto"/>
                <w:kern w:val="0"/>
                <w:sz w:val="24"/>
                <w:szCs w:val="24"/>
                <w:highlight w:val="none"/>
              </w:rPr>
              <w:t>公章的相关证明文件。每个用户得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 分，最多15分。获得一般及不满意评价的不得分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注：</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证明材料</w:t>
            </w:r>
            <w:r>
              <w:rPr>
                <w:rFonts w:hint="eastAsia" w:ascii="宋体" w:hAnsi="宋体" w:cs="宋体"/>
                <w:color w:val="auto"/>
                <w:sz w:val="24"/>
                <w:szCs w:val="24"/>
                <w:highlight w:val="none"/>
                <w:lang w:val="en-US" w:eastAsia="zh-CN"/>
              </w:rPr>
              <w:t>扫描件放入电子投标文件</w:t>
            </w:r>
            <w:r>
              <w:rPr>
                <w:rFonts w:hint="eastAsia" w:ascii="宋体" w:hAnsi="宋体" w:eastAsia="宋体" w:cs="宋体"/>
                <w:color w:val="auto"/>
                <w:kern w:val="0"/>
                <w:sz w:val="24"/>
                <w:szCs w:val="24"/>
                <w:highlight w:val="none"/>
              </w:rPr>
              <w:t>。</w:t>
            </w:r>
            <w:r>
              <w:rPr>
                <w:rFonts w:hint="eastAsia" w:ascii="宋体" w:hAnsi="宋体" w:eastAsia="宋体" w:cs="宋体"/>
                <w:iCs/>
                <w:color w:val="auto"/>
                <w:sz w:val="24"/>
                <w:szCs w:val="24"/>
                <w:highlight w:val="none"/>
                <w:lang w:eastAsia="zh-CN"/>
              </w:rPr>
              <w:t>（</w:t>
            </w:r>
            <w:r>
              <w:rPr>
                <w:rFonts w:hint="eastAsia" w:ascii="宋体" w:hAnsi="宋体" w:eastAsia="宋体" w:cs="宋体"/>
                <w:iCs/>
                <w:color w:val="auto"/>
                <w:sz w:val="24"/>
                <w:szCs w:val="24"/>
                <w:highlight w:val="none"/>
                <w:lang w:val="en-US" w:eastAsia="zh-CN"/>
              </w:rPr>
              <w:t>注：同一单位的不可累计计分</w:t>
            </w:r>
            <w:r>
              <w:rPr>
                <w:rFonts w:hint="eastAsia" w:ascii="宋体" w:hAnsi="宋体" w:eastAsia="宋体" w:cs="宋体"/>
                <w:i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运营管理制度</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根据投标单位的</w:t>
            </w:r>
            <w:r>
              <w:rPr>
                <w:rFonts w:hint="eastAsia" w:ascii="宋体" w:hAnsi="宋体" w:eastAsia="宋体" w:cs="宋体"/>
                <w:color w:val="auto"/>
                <w:kern w:val="0"/>
                <w:sz w:val="24"/>
                <w:szCs w:val="24"/>
                <w:highlight w:val="none"/>
              </w:rPr>
              <w:t>安全管理制度：</w:t>
            </w:r>
            <w:r>
              <w:rPr>
                <w:rFonts w:hint="eastAsia" w:ascii="宋体" w:hAnsi="宋体" w:eastAsia="宋体" w:cs="宋体"/>
                <w:color w:val="auto"/>
                <w:kern w:val="0"/>
                <w:sz w:val="24"/>
                <w:szCs w:val="24"/>
                <w:highlight w:val="none"/>
                <w:lang w:val="en-US" w:eastAsia="zh-CN"/>
              </w:rPr>
              <w:t>至少包括</w:t>
            </w:r>
            <w:r>
              <w:rPr>
                <w:rFonts w:hint="eastAsia" w:ascii="宋体" w:hAnsi="宋体" w:eastAsia="宋体" w:cs="宋体"/>
                <w:color w:val="auto"/>
                <w:kern w:val="0"/>
                <w:sz w:val="24"/>
                <w:szCs w:val="24"/>
                <w:highlight w:val="none"/>
              </w:rPr>
              <w:t>人身安全制度、设备安全制度、系统安全制度、动火安全制度、消防安全制度、攀登安全制度、劳保配置等制度</w:t>
            </w:r>
            <w:r>
              <w:rPr>
                <w:rFonts w:hint="eastAsia" w:ascii="宋体" w:hAnsi="宋体" w:eastAsia="宋体" w:cs="宋体"/>
                <w:color w:val="auto"/>
                <w:kern w:val="0"/>
                <w:sz w:val="24"/>
                <w:szCs w:val="24"/>
                <w:highlight w:val="none"/>
                <w:lang w:val="en-US" w:eastAsia="zh-CN"/>
              </w:rPr>
              <w:t>的</w:t>
            </w:r>
            <w:r>
              <w:rPr>
                <w:rFonts w:hint="eastAsia" w:ascii="宋体" w:hAnsi="宋体" w:cs="宋体"/>
                <w:color w:val="auto"/>
                <w:sz w:val="24"/>
                <w:szCs w:val="24"/>
                <w:highlight w:val="none"/>
                <w:lang w:val="en-US" w:eastAsia="zh-CN"/>
              </w:rPr>
              <w:t>合理性、完整度分优秀、良好、一般三个档次，对应分值5分、3分、1分。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投标报价</w:t>
            </w:r>
          </w:p>
        </w:tc>
        <w:tc>
          <w:tcPr>
            <w:tcW w:w="7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7803" w:type="dxa"/>
            <w:tcBorders>
              <w:tl2br w:val="nil"/>
              <w:tr2bl w:val="nil"/>
            </w:tcBorders>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满足招标文件要求的最低投标报价为评标基准价， 其价格分为满分。其他投标人的价格分统一按照下列公式计算：投标报价得分＝（评标基准价/投标报价）×15%×100；</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注：因落实政府采购政策进行价格调整的，以调整后的价格计算评标基准价和投标报价。</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bookmarkEnd w:id="17"/>
    </w:tbl>
    <w:p>
      <w:pPr>
        <w:rPr>
          <w:color w:val="auto"/>
          <w:highlight w:val="none"/>
        </w:rPr>
      </w:pPr>
    </w:p>
    <w:bookmarkEnd w:id="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方正中等线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2"/>
      <w:numFmt w:val="decimal"/>
      <w:lvlText w:val="%1"/>
      <w:lvlJc w:val="left"/>
      <w:pPr>
        <w:ind w:left="280" w:hanging="420"/>
      </w:pPr>
      <w:rPr>
        <w:rFonts w:hint="default"/>
        <w:lang w:val="zh-CN" w:eastAsia="zh-CN" w:bidi="zh-CN"/>
      </w:rPr>
    </w:lvl>
    <w:lvl w:ilvl="1" w:tentative="0">
      <w:start w:val="1"/>
      <w:numFmt w:val="decimal"/>
      <w:lvlText w:val="%1.%2"/>
      <w:lvlJc w:val="left"/>
      <w:pPr>
        <w:ind w:left="280" w:hanging="420"/>
      </w:pPr>
      <w:rPr>
        <w:rFonts w:hint="default" w:ascii="宋体" w:hAnsi="宋体" w:eastAsia="宋体" w:cs="宋体"/>
        <w:b w:val="0"/>
        <w:bCs w:val="0"/>
        <w:spacing w:val="0"/>
        <w:w w:val="99"/>
        <w:sz w:val="24"/>
        <w:szCs w:val="24"/>
        <w:lang w:val="zh-CN" w:eastAsia="zh-CN" w:bidi="zh-CN"/>
      </w:rPr>
    </w:lvl>
    <w:lvl w:ilvl="2" w:tentative="0">
      <w:start w:val="1"/>
      <w:numFmt w:val="decimal"/>
      <w:lvlText w:val="%1.%2.%3"/>
      <w:lvlJc w:val="left"/>
      <w:pPr>
        <w:ind w:left="284" w:hanging="629"/>
      </w:pPr>
      <w:rPr>
        <w:rFonts w:hint="default" w:ascii="宋体" w:hAnsi="宋体" w:eastAsia="宋体" w:cs="宋体"/>
        <w:spacing w:val="-2"/>
        <w:w w:val="99"/>
        <w:sz w:val="24"/>
        <w:szCs w:val="24"/>
        <w:lang w:val="zh-CN" w:eastAsia="zh-CN" w:bidi="zh-CN"/>
      </w:rPr>
    </w:lvl>
    <w:lvl w:ilvl="3" w:tentative="0">
      <w:start w:val="0"/>
      <w:numFmt w:val="bullet"/>
      <w:lvlText w:val="•"/>
      <w:lvlJc w:val="left"/>
      <w:pPr>
        <w:ind w:left="3107" w:hanging="629"/>
      </w:pPr>
      <w:rPr>
        <w:rFonts w:hint="default"/>
        <w:lang w:val="zh-CN" w:eastAsia="zh-CN" w:bidi="zh-CN"/>
      </w:rPr>
    </w:lvl>
    <w:lvl w:ilvl="4" w:tentative="0">
      <w:start w:val="0"/>
      <w:numFmt w:val="bullet"/>
      <w:lvlText w:val="•"/>
      <w:lvlJc w:val="left"/>
      <w:pPr>
        <w:ind w:left="4050" w:hanging="629"/>
      </w:pPr>
      <w:rPr>
        <w:rFonts w:hint="default"/>
        <w:lang w:val="zh-CN" w:eastAsia="zh-CN" w:bidi="zh-CN"/>
      </w:rPr>
    </w:lvl>
    <w:lvl w:ilvl="5" w:tentative="0">
      <w:start w:val="0"/>
      <w:numFmt w:val="bullet"/>
      <w:lvlText w:val="•"/>
      <w:lvlJc w:val="left"/>
      <w:pPr>
        <w:ind w:left="4993" w:hanging="629"/>
      </w:pPr>
      <w:rPr>
        <w:rFonts w:hint="default"/>
        <w:lang w:val="zh-CN" w:eastAsia="zh-CN" w:bidi="zh-CN"/>
      </w:rPr>
    </w:lvl>
    <w:lvl w:ilvl="6" w:tentative="0">
      <w:start w:val="0"/>
      <w:numFmt w:val="bullet"/>
      <w:lvlText w:val="•"/>
      <w:lvlJc w:val="left"/>
      <w:pPr>
        <w:ind w:left="5935" w:hanging="629"/>
      </w:pPr>
      <w:rPr>
        <w:rFonts w:hint="default"/>
        <w:lang w:val="zh-CN" w:eastAsia="zh-CN" w:bidi="zh-CN"/>
      </w:rPr>
    </w:lvl>
    <w:lvl w:ilvl="7" w:tentative="0">
      <w:start w:val="0"/>
      <w:numFmt w:val="bullet"/>
      <w:lvlText w:val="•"/>
      <w:lvlJc w:val="left"/>
      <w:pPr>
        <w:ind w:left="6878" w:hanging="629"/>
      </w:pPr>
      <w:rPr>
        <w:rFonts w:hint="default"/>
        <w:lang w:val="zh-CN" w:eastAsia="zh-CN" w:bidi="zh-CN"/>
      </w:rPr>
    </w:lvl>
    <w:lvl w:ilvl="8" w:tentative="0">
      <w:start w:val="0"/>
      <w:numFmt w:val="bullet"/>
      <w:lvlText w:val="•"/>
      <w:lvlJc w:val="left"/>
      <w:pPr>
        <w:ind w:left="7820" w:hanging="629"/>
      </w:pPr>
      <w:rPr>
        <w:rFonts w:hint="default"/>
        <w:lang w:val="zh-CN" w:eastAsia="zh-CN" w:bidi="zh-CN"/>
      </w:rPr>
    </w:lvl>
  </w:abstractNum>
  <w:abstractNum w:abstractNumId="1">
    <w:nsid w:val="F744FC8D"/>
    <w:multiLevelType w:val="singleLevel"/>
    <w:tmpl w:val="F744FC8D"/>
    <w:lvl w:ilvl="0" w:tentative="0">
      <w:start w:val="3"/>
      <w:numFmt w:val="decimal"/>
      <w:suff w:val="nothing"/>
      <w:lvlText w:val="%1、"/>
      <w:lvlJc w:val="left"/>
    </w:lvl>
  </w:abstractNum>
  <w:abstractNum w:abstractNumId="2">
    <w:nsid w:val="48F2CB11"/>
    <w:multiLevelType w:val="singleLevel"/>
    <w:tmpl w:val="48F2CB11"/>
    <w:lvl w:ilvl="0" w:tentative="0">
      <w:start w:val="1"/>
      <w:numFmt w:val="decimal"/>
      <w:suff w:val="nothing"/>
      <w:lvlText w:val="%1、"/>
      <w:lvlJc w:val="left"/>
    </w:lvl>
  </w:abstractNum>
  <w:abstractNum w:abstractNumId="3">
    <w:nsid w:val="629F7852"/>
    <w:multiLevelType w:val="multilevel"/>
    <w:tmpl w:val="629F7852"/>
    <w:lvl w:ilvl="0" w:tentative="0">
      <w:start w:val="3"/>
      <w:numFmt w:val="decimal"/>
      <w:lvlText w:val="%1"/>
      <w:lvlJc w:val="left"/>
      <w:pPr>
        <w:ind w:left="280" w:hanging="420"/>
      </w:pPr>
      <w:rPr>
        <w:rFonts w:hint="default"/>
        <w:lang w:val="zh-CN" w:eastAsia="zh-CN" w:bidi="zh-CN"/>
      </w:rPr>
    </w:lvl>
    <w:lvl w:ilvl="1" w:tentative="0">
      <w:start w:val="1"/>
      <w:numFmt w:val="decimal"/>
      <w:lvlText w:val="%1.%2"/>
      <w:lvlJc w:val="left"/>
      <w:pPr>
        <w:ind w:left="280" w:hanging="420"/>
      </w:pPr>
      <w:rPr>
        <w:rFonts w:hint="default" w:ascii="宋体" w:hAnsi="宋体" w:eastAsia="宋体" w:cs="宋体"/>
        <w:spacing w:val="0"/>
        <w:w w:val="99"/>
        <w:sz w:val="24"/>
        <w:szCs w:val="24"/>
        <w:lang w:val="zh-CN" w:eastAsia="zh-CN" w:bidi="zh-CN"/>
      </w:rPr>
    </w:lvl>
    <w:lvl w:ilvl="2" w:tentative="0">
      <w:start w:val="1"/>
      <w:numFmt w:val="decimal"/>
      <w:lvlText w:val="%1.%2.%3"/>
      <w:lvlJc w:val="left"/>
      <w:pPr>
        <w:ind w:left="908" w:hanging="629"/>
      </w:pPr>
      <w:rPr>
        <w:rFonts w:hint="default" w:ascii="宋体" w:hAnsi="宋体" w:eastAsia="宋体" w:cs="宋体"/>
        <w:b w:val="0"/>
        <w:bCs w:val="0"/>
        <w:spacing w:val="-2"/>
        <w:w w:val="99"/>
        <w:sz w:val="24"/>
        <w:szCs w:val="24"/>
        <w:lang w:val="zh-CN" w:eastAsia="zh-CN" w:bidi="zh-CN"/>
      </w:rPr>
    </w:lvl>
    <w:lvl w:ilvl="3" w:tentative="0">
      <w:start w:val="0"/>
      <w:numFmt w:val="bullet"/>
      <w:lvlText w:val="•"/>
      <w:lvlJc w:val="left"/>
      <w:pPr>
        <w:ind w:left="2856" w:hanging="629"/>
      </w:pPr>
      <w:rPr>
        <w:rFonts w:hint="default"/>
        <w:lang w:val="zh-CN" w:eastAsia="zh-CN" w:bidi="zh-CN"/>
      </w:rPr>
    </w:lvl>
    <w:lvl w:ilvl="4" w:tentative="0">
      <w:start w:val="0"/>
      <w:numFmt w:val="bullet"/>
      <w:lvlText w:val="•"/>
      <w:lvlJc w:val="left"/>
      <w:pPr>
        <w:ind w:left="3835" w:hanging="629"/>
      </w:pPr>
      <w:rPr>
        <w:rFonts w:hint="default"/>
        <w:lang w:val="zh-CN" w:eastAsia="zh-CN" w:bidi="zh-CN"/>
      </w:rPr>
    </w:lvl>
    <w:lvl w:ilvl="5" w:tentative="0">
      <w:start w:val="0"/>
      <w:numFmt w:val="bullet"/>
      <w:lvlText w:val="•"/>
      <w:lvlJc w:val="left"/>
      <w:pPr>
        <w:ind w:left="4813" w:hanging="629"/>
      </w:pPr>
      <w:rPr>
        <w:rFonts w:hint="default"/>
        <w:lang w:val="zh-CN" w:eastAsia="zh-CN" w:bidi="zh-CN"/>
      </w:rPr>
    </w:lvl>
    <w:lvl w:ilvl="6" w:tentative="0">
      <w:start w:val="0"/>
      <w:numFmt w:val="bullet"/>
      <w:lvlText w:val="•"/>
      <w:lvlJc w:val="left"/>
      <w:pPr>
        <w:ind w:left="5792" w:hanging="629"/>
      </w:pPr>
      <w:rPr>
        <w:rFonts w:hint="default"/>
        <w:lang w:val="zh-CN" w:eastAsia="zh-CN" w:bidi="zh-CN"/>
      </w:rPr>
    </w:lvl>
    <w:lvl w:ilvl="7" w:tentative="0">
      <w:start w:val="0"/>
      <w:numFmt w:val="bullet"/>
      <w:lvlText w:val="•"/>
      <w:lvlJc w:val="left"/>
      <w:pPr>
        <w:ind w:left="6770" w:hanging="629"/>
      </w:pPr>
      <w:rPr>
        <w:rFonts w:hint="default"/>
        <w:lang w:val="zh-CN" w:eastAsia="zh-CN" w:bidi="zh-CN"/>
      </w:rPr>
    </w:lvl>
    <w:lvl w:ilvl="8" w:tentative="0">
      <w:start w:val="0"/>
      <w:numFmt w:val="bullet"/>
      <w:lvlText w:val="•"/>
      <w:lvlJc w:val="left"/>
      <w:pPr>
        <w:ind w:left="7749" w:hanging="629"/>
      </w:pPr>
      <w:rPr>
        <w:rFonts w:hint="default"/>
        <w:lang w:val="zh-CN" w:eastAsia="zh-CN" w:bidi="zh-CN"/>
      </w:rPr>
    </w:lvl>
  </w:abstractNum>
  <w:abstractNum w:abstractNumId="4">
    <w:nsid w:val="77ECEA79"/>
    <w:multiLevelType w:val="multilevel"/>
    <w:tmpl w:val="77ECEA79"/>
    <w:lvl w:ilvl="0" w:tentative="0">
      <w:start w:val="1"/>
      <w:numFmt w:val="decimal"/>
      <w:lvlText w:val="%1"/>
      <w:lvlJc w:val="left"/>
      <w:pPr>
        <w:ind w:left="700" w:hanging="420"/>
      </w:pPr>
      <w:rPr>
        <w:rFonts w:hint="default"/>
        <w:lang w:val="zh-CN" w:eastAsia="zh-CN" w:bidi="zh-CN"/>
      </w:rPr>
    </w:lvl>
    <w:lvl w:ilvl="1" w:tentative="0">
      <w:start w:val="1"/>
      <w:numFmt w:val="decimal"/>
      <w:lvlText w:val="%1.%2"/>
      <w:lvlJc w:val="left"/>
      <w:pPr>
        <w:ind w:left="700" w:hanging="420"/>
      </w:pPr>
      <w:rPr>
        <w:rFonts w:hint="default" w:ascii="宋体" w:hAnsi="宋体" w:eastAsia="宋体" w:cs="宋体"/>
        <w:spacing w:val="0"/>
        <w:w w:val="99"/>
        <w:sz w:val="28"/>
        <w:szCs w:val="28"/>
        <w:lang w:val="zh-CN" w:eastAsia="zh-CN" w:bidi="zh-CN"/>
      </w:rPr>
    </w:lvl>
    <w:lvl w:ilvl="2" w:tentative="0">
      <w:start w:val="1"/>
      <w:numFmt w:val="decimal"/>
      <w:lvlText w:val="%1.%2.%3"/>
      <w:lvlJc w:val="left"/>
      <w:pPr>
        <w:ind w:left="908" w:hanging="629"/>
      </w:pPr>
      <w:rPr>
        <w:rFonts w:hint="default" w:ascii="宋体" w:hAnsi="宋体" w:eastAsia="宋体" w:cs="宋体"/>
        <w:spacing w:val="-2"/>
        <w:w w:val="99"/>
        <w:sz w:val="28"/>
        <w:szCs w:val="28"/>
        <w:lang w:val="zh-CN" w:eastAsia="zh-CN" w:bidi="zh-CN"/>
      </w:rPr>
    </w:lvl>
    <w:lvl w:ilvl="3" w:tentative="0">
      <w:start w:val="1"/>
      <w:numFmt w:val="decimal"/>
      <w:lvlText w:val="%1.%2.%3.%4"/>
      <w:lvlJc w:val="left"/>
      <w:pPr>
        <w:ind w:left="280" w:hanging="840"/>
      </w:pPr>
      <w:rPr>
        <w:rFonts w:hint="default" w:ascii="宋体" w:hAnsi="宋体" w:eastAsia="宋体" w:cs="宋体"/>
        <w:spacing w:val="-2"/>
        <w:w w:val="99"/>
        <w:sz w:val="28"/>
        <w:szCs w:val="28"/>
        <w:lang w:val="zh-CN" w:eastAsia="zh-CN" w:bidi="zh-CN"/>
      </w:rPr>
    </w:lvl>
    <w:lvl w:ilvl="4" w:tentative="0">
      <w:start w:val="0"/>
      <w:numFmt w:val="bullet"/>
      <w:lvlText w:val="•"/>
      <w:lvlJc w:val="left"/>
      <w:pPr>
        <w:ind w:left="3101" w:hanging="840"/>
      </w:pPr>
      <w:rPr>
        <w:rFonts w:hint="default"/>
        <w:lang w:val="zh-CN" w:eastAsia="zh-CN" w:bidi="zh-CN"/>
      </w:rPr>
    </w:lvl>
    <w:lvl w:ilvl="5" w:tentative="0">
      <w:start w:val="0"/>
      <w:numFmt w:val="bullet"/>
      <w:lvlText w:val="•"/>
      <w:lvlJc w:val="left"/>
      <w:pPr>
        <w:ind w:left="4202" w:hanging="840"/>
      </w:pPr>
      <w:rPr>
        <w:rFonts w:hint="default"/>
        <w:lang w:val="zh-CN" w:eastAsia="zh-CN" w:bidi="zh-CN"/>
      </w:rPr>
    </w:lvl>
    <w:lvl w:ilvl="6" w:tentative="0">
      <w:start w:val="0"/>
      <w:numFmt w:val="bullet"/>
      <w:lvlText w:val="•"/>
      <w:lvlJc w:val="left"/>
      <w:pPr>
        <w:ind w:left="5303" w:hanging="840"/>
      </w:pPr>
      <w:rPr>
        <w:rFonts w:hint="default"/>
        <w:lang w:val="zh-CN" w:eastAsia="zh-CN" w:bidi="zh-CN"/>
      </w:rPr>
    </w:lvl>
    <w:lvl w:ilvl="7" w:tentative="0">
      <w:start w:val="0"/>
      <w:numFmt w:val="bullet"/>
      <w:lvlText w:val="•"/>
      <w:lvlJc w:val="left"/>
      <w:pPr>
        <w:ind w:left="6403" w:hanging="840"/>
      </w:pPr>
      <w:rPr>
        <w:rFonts w:hint="default"/>
        <w:lang w:val="zh-CN" w:eastAsia="zh-CN" w:bidi="zh-CN"/>
      </w:rPr>
    </w:lvl>
    <w:lvl w:ilvl="8" w:tentative="0">
      <w:start w:val="0"/>
      <w:numFmt w:val="bullet"/>
      <w:lvlText w:val="•"/>
      <w:lvlJc w:val="left"/>
      <w:pPr>
        <w:ind w:left="7504" w:hanging="840"/>
      </w:pPr>
      <w:rPr>
        <w:rFonts w:hint="default"/>
        <w:lang w:val="zh-CN" w:eastAsia="zh-CN" w:bidi="zh-CN"/>
      </w:rPr>
    </w:lvl>
  </w:abstractNum>
  <w:abstractNum w:abstractNumId="5">
    <w:nsid w:val="7C246926"/>
    <w:multiLevelType w:val="multilevel"/>
    <w:tmpl w:val="7C246926"/>
    <w:lvl w:ilvl="0" w:tentative="0">
      <w:start w:val="39"/>
      <w:numFmt w:val="decimal"/>
      <w:lvlText w:val="%1"/>
      <w:lvlJc w:val="left"/>
      <w:pPr>
        <w:ind w:left="908" w:hanging="629"/>
      </w:pPr>
      <w:rPr>
        <w:rFonts w:hint="default"/>
        <w:lang w:val="zh-CN" w:eastAsia="zh-CN" w:bidi="zh-CN"/>
      </w:rPr>
    </w:lvl>
    <w:lvl w:ilvl="1" w:tentative="0">
      <w:start w:val="1"/>
      <w:numFmt w:val="decimal"/>
      <w:lvlText w:val="%1.%2"/>
      <w:lvlJc w:val="left"/>
      <w:pPr>
        <w:ind w:left="908" w:hanging="629"/>
      </w:pPr>
      <w:rPr>
        <w:rFonts w:hint="default" w:ascii="宋体" w:hAnsi="宋体" w:eastAsia="宋体" w:cs="宋体"/>
        <w:spacing w:val="0"/>
        <w:w w:val="99"/>
        <w:sz w:val="28"/>
        <w:szCs w:val="28"/>
        <w:lang w:val="zh-CN" w:eastAsia="zh-CN" w:bidi="zh-CN"/>
      </w:rPr>
    </w:lvl>
    <w:lvl w:ilvl="2" w:tentative="0">
      <w:start w:val="2"/>
      <w:numFmt w:val="decimal"/>
      <w:lvlText w:val="%3）"/>
      <w:lvlJc w:val="left"/>
      <w:pPr>
        <w:ind w:left="988" w:hanging="320"/>
      </w:pPr>
      <w:rPr>
        <w:rFonts w:hint="default" w:ascii="宋体" w:hAnsi="宋体" w:eastAsia="宋体" w:cs="宋体"/>
        <w:b w:val="0"/>
        <w:bCs w:val="0"/>
        <w:spacing w:val="1"/>
        <w:w w:val="99"/>
        <w:sz w:val="28"/>
        <w:szCs w:val="28"/>
        <w:lang w:val="zh-CN" w:eastAsia="zh-CN" w:bidi="zh-CN"/>
      </w:rPr>
    </w:lvl>
    <w:lvl w:ilvl="3" w:tentative="0">
      <w:start w:val="0"/>
      <w:numFmt w:val="bullet"/>
      <w:lvlText w:val="•"/>
      <w:lvlJc w:val="left"/>
      <w:pPr>
        <w:ind w:left="2919" w:hanging="320"/>
      </w:pPr>
      <w:rPr>
        <w:rFonts w:hint="default"/>
        <w:lang w:val="zh-CN" w:eastAsia="zh-CN" w:bidi="zh-CN"/>
      </w:rPr>
    </w:lvl>
    <w:lvl w:ilvl="4" w:tentative="0">
      <w:start w:val="0"/>
      <w:numFmt w:val="bullet"/>
      <w:lvlText w:val="•"/>
      <w:lvlJc w:val="left"/>
      <w:pPr>
        <w:ind w:left="3888" w:hanging="320"/>
      </w:pPr>
      <w:rPr>
        <w:rFonts w:hint="default"/>
        <w:lang w:val="zh-CN" w:eastAsia="zh-CN" w:bidi="zh-CN"/>
      </w:rPr>
    </w:lvl>
    <w:lvl w:ilvl="5" w:tentative="0">
      <w:start w:val="0"/>
      <w:numFmt w:val="bullet"/>
      <w:lvlText w:val="•"/>
      <w:lvlJc w:val="left"/>
      <w:pPr>
        <w:ind w:left="4858" w:hanging="320"/>
      </w:pPr>
      <w:rPr>
        <w:rFonts w:hint="default"/>
        <w:lang w:val="zh-CN" w:eastAsia="zh-CN" w:bidi="zh-CN"/>
      </w:rPr>
    </w:lvl>
    <w:lvl w:ilvl="6" w:tentative="0">
      <w:start w:val="0"/>
      <w:numFmt w:val="bullet"/>
      <w:lvlText w:val="•"/>
      <w:lvlJc w:val="left"/>
      <w:pPr>
        <w:ind w:left="5827" w:hanging="320"/>
      </w:pPr>
      <w:rPr>
        <w:rFonts w:hint="default"/>
        <w:lang w:val="zh-CN" w:eastAsia="zh-CN" w:bidi="zh-CN"/>
      </w:rPr>
    </w:lvl>
    <w:lvl w:ilvl="7" w:tentative="0">
      <w:start w:val="0"/>
      <w:numFmt w:val="bullet"/>
      <w:lvlText w:val="•"/>
      <w:lvlJc w:val="left"/>
      <w:pPr>
        <w:ind w:left="6797" w:hanging="320"/>
      </w:pPr>
      <w:rPr>
        <w:rFonts w:hint="default"/>
        <w:lang w:val="zh-CN" w:eastAsia="zh-CN" w:bidi="zh-CN"/>
      </w:rPr>
    </w:lvl>
    <w:lvl w:ilvl="8" w:tentative="0">
      <w:start w:val="0"/>
      <w:numFmt w:val="bullet"/>
      <w:lvlText w:val="•"/>
      <w:lvlJc w:val="left"/>
      <w:pPr>
        <w:ind w:left="7766" w:hanging="320"/>
      </w:pPr>
      <w:rPr>
        <w:rFonts w:hint="default"/>
        <w:lang w:val="zh-CN" w:eastAsia="zh-CN" w:bidi="zh-CN"/>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15AFB"/>
    <w:rsid w:val="42715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华文宋体"/>
      <w:sz w:val="28"/>
      <w:szCs w:val="20"/>
    </w:rPr>
  </w:style>
  <w:style w:type="paragraph" w:customStyle="1" w:styleId="5">
    <w:name w:val="正文 New New"/>
    <w:qFormat/>
    <w:uiPriority w:val="0"/>
    <w:pPr>
      <w:widowControl w:val="0"/>
      <w:jc w:val="both"/>
    </w:pPr>
    <w:rPr>
      <w:rFonts w:ascii="新宋体" w:hAnsi="新宋体" w:eastAsia="新宋体" w:cs="Arial"/>
      <w:kern w:val="21"/>
      <w:sz w:val="21"/>
      <w:szCs w:val="21"/>
      <w:lang w:val="en-US" w:eastAsia="zh-CN" w:bidi="ar-SA"/>
    </w:rPr>
  </w:style>
  <w:style w:type="paragraph" w:customStyle="1" w:styleId="6">
    <w:name w:val="Table Paragraph"/>
    <w:basedOn w:val="1"/>
    <w:qFormat/>
    <w:uiPriority w:val="1"/>
    <w:rPr>
      <w:rFonts w:ascii="宋体" w:hAnsi="宋体" w:eastAsia="宋体" w:cs="宋体"/>
      <w:lang w:val="zh-CN" w:eastAsia="zh-CN" w:bidi="zh-CN"/>
    </w:rPr>
  </w:style>
  <w:style w:type="paragraph" w:customStyle="1" w:styleId="7">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character" w:customStyle="1" w:styleId="8">
    <w:name w:val="font31"/>
    <w:basedOn w:val="4"/>
    <w:qFormat/>
    <w:uiPriority w:val="0"/>
    <w:rPr>
      <w:rFonts w:hint="eastAsia" w:ascii="宋体" w:hAnsi="宋体" w:eastAsia="宋体" w:cs="宋体"/>
      <w:color w:val="000000"/>
      <w:sz w:val="12"/>
      <w:szCs w:val="12"/>
      <w:u w:val="none"/>
    </w:rPr>
  </w:style>
  <w:style w:type="character" w:customStyle="1" w:styleId="9">
    <w:name w:val="font81"/>
    <w:basedOn w:val="4"/>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2022-04-07T00:47:13Z</dcterms:created>
  <dc:creator>Administrator</dc:creator>
  <cp:lastModifiedBy>钱志凯</cp:lastModifiedBy>
  <dcterms:modified xsi:type="dcterms:W3CDTF">2022-04-07T00:51:56Z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6DDB6CCEA03C47369BB3241414B9315D</vt:lpwstr>
  </property>
</Properties>
</file>