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beforeLines="50" w:after="156" w:afterLines="50" w:line="360" w:lineRule="atLeast"/>
        <w:jc w:val="center"/>
        <w:outlineLvl w:val="0"/>
        <w:rPr>
          <w:rFonts w:hint="eastAsia" w:ascii="宋体" w:hAnsi="宋体" w:cs="宋体"/>
          <w:b/>
          <w:w w:val="90"/>
          <w:sz w:val="44"/>
          <w:szCs w:val="44"/>
          <w:lang w:val="en-US" w:eastAsia="zh-CN"/>
        </w:rPr>
      </w:pPr>
      <w:r>
        <w:rPr>
          <w:rFonts w:hint="eastAsia" w:ascii="宋体" w:hAnsi="宋体" w:cs="宋体"/>
          <w:b/>
          <w:w w:val="90"/>
          <w:sz w:val="32"/>
          <w:szCs w:val="32"/>
          <w:lang w:val="zh-CN" w:eastAsia="zh-CN"/>
        </w:rPr>
        <w:t>2019年铜陵学院质量工程项目管理系统</w:t>
      </w:r>
      <w:r>
        <w:rPr>
          <w:rFonts w:hint="eastAsia" w:ascii="宋体" w:hAnsi="宋体" w:cs="宋体"/>
          <w:b/>
          <w:w w:val="90"/>
          <w:sz w:val="32"/>
          <w:szCs w:val="32"/>
          <w:lang w:val="en-US" w:eastAsia="zh-CN"/>
        </w:rPr>
        <w:t>需求</w:t>
      </w:r>
    </w:p>
    <w:p>
      <w:pPr>
        <w:pStyle w:val="13"/>
        <w:adjustRightInd/>
        <w:jc w:val="both"/>
        <w:rPr>
          <w:rFonts w:hint="eastAsia" w:cs="华文仿宋"/>
          <w:bCs/>
          <w:sz w:val="28"/>
          <w:szCs w:val="28"/>
        </w:rPr>
      </w:pPr>
      <w:r>
        <w:rPr>
          <w:rFonts w:hint="eastAsia" w:cs="华文仿宋"/>
          <w:bCs/>
          <w:sz w:val="28"/>
          <w:szCs w:val="28"/>
        </w:rPr>
        <w:t>一、采购人提出的技术服务要求</w:t>
      </w:r>
    </w:p>
    <w:p>
      <w:pPr>
        <w:spacing w:line="360" w:lineRule="auto"/>
        <w:ind w:firstLine="482"/>
        <w:rPr>
          <w:rFonts w:hint="eastAsia" w:ascii="宋体" w:hAnsi="宋体"/>
          <w:b/>
          <w:lang w:eastAsia="zh-CN"/>
        </w:rPr>
      </w:pPr>
      <w:r>
        <w:rPr>
          <w:rFonts w:hint="eastAsia" w:ascii="宋体" w:hAnsi="宋体"/>
          <w:b/>
          <w:lang w:eastAsia="zh-CN"/>
        </w:rPr>
        <w:t>技术方案和服务内容</w:t>
      </w:r>
    </w:p>
    <w:p>
      <w:pPr>
        <w:spacing w:line="360" w:lineRule="auto"/>
        <w:ind w:firstLine="482"/>
        <w:rPr>
          <w:rFonts w:hint="eastAsia" w:ascii="宋体" w:hAnsi="宋体"/>
          <w:color w:val="auto"/>
          <w:lang w:eastAsia="zh-CN"/>
        </w:rPr>
      </w:pPr>
      <w:r>
        <w:rPr>
          <w:rFonts w:hint="eastAsia" w:ascii="宋体" w:hAnsi="宋体"/>
          <w:b/>
          <w:lang w:eastAsia="zh-CN"/>
        </w:rPr>
        <w:t>1.服务内容</w:t>
      </w:r>
    </w:p>
    <w:p>
      <w:pPr>
        <w:spacing w:line="360" w:lineRule="auto"/>
        <w:ind w:right="-483" w:rightChars="-230" w:firstLine="371" w:firstLineChars="177"/>
        <w:rPr>
          <w:rFonts w:hint="eastAsia" w:ascii="宋体" w:hAnsi="宋体"/>
          <w:szCs w:val="21"/>
        </w:rPr>
      </w:pPr>
      <w:r>
        <w:rPr>
          <w:rFonts w:hint="eastAsia" w:ascii="宋体" w:hAnsi="宋体"/>
          <w:szCs w:val="21"/>
        </w:rPr>
        <w:t>质量工程项目管理系统，对省级</w:t>
      </w:r>
      <w:r>
        <w:rPr>
          <w:rFonts w:hint="eastAsia"/>
        </w:rPr>
        <w:t>质量工程</w:t>
      </w:r>
      <w:r>
        <w:rPr>
          <w:rFonts w:hint="eastAsia" w:ascii="宋体" w:hAnsi="宋体"/>
          <w:szCs w:val="21"/>
        </w:rPr>
        <w:t>项目申报、审批、立项及结题进行全过程管理。可以自定义院系级项目类别，并通过配置将不同类别的项目分配给不同角色用户独立管理。能够对项目立项后的资金拨付、使用、报销等情况进行跟踪、统计，确保资金使用的合理、有效。具备自定义评审体系功能，专家网上在线评审项目。同时具备强大的统计分析功能，对项目不同阶段的数据进行统计分析，并以图形化方式显示。</w:t>
      </w:r>
    </w:p>
    <w:p>
      <w:pPr>
        <w:spacing w:line="360" w:lineRule="auto"/>
        <w:ind w:right="-483" w:rightChars="-230" w:firstLine="371" w:firstLineChars="177"/>
        <w:rPr>
          <w:rFonts w:hint="eastAsia" w:ascii="宋体" w:hAnsi="宋体"/>
          <w:szCs w:val="21"/>
          <w:lang w:eastAsia="zh-CN"/>
        </w:rPr>
      </w:pPr>
      <w:r>
        <w:rPr>
          <w:rFonts w:hint="eastAsia" w:ascii="宋体" w:hAnsi="宋体"/>
          <w:szCs w:val="21"/>
        </w:rPr>
        <w:t>该系统通过省、校级管理系统数据接口，使得校级系统与安徽省教育厅质量工程项目管理信息系统在线无缝对接，</w:t>
      </w:r>
      <w:r>
        <w:rPr>
          <w:rFonts w:hint="eastAsia" w:ascii="宋体" w:hAnsi="Calibri" w:cs="宋体"/>
          <w:szCs w:val="21"/>
          <w:lang w:val="zh-CN"/>
        </w:rPr>
        <w:t>免除各高校再次录入数据的繁琐程序，确保省与校之间项目全过程数据的一致性</w:t>
      </w:r>
      <w:r>
        <w:rPr>
          <w:rFonts w:hint="eastAsia" w:ascii="宋体" w:hAnsi="宋体"/>
          <w:szCs w:val="21"/>
        </w:rPr>
        <w:t>。</w:t>
      </w:r>
    </w:p>
    <w:p>
      <w:pPr>
        <w:spacing w:line="360" w:lineRule="auto"/>
        <w:ind w:firstLine="422" w:firstLineChars="200"/>
        <w:rPr>
          <w:rFonts w:hint="eastAsia" w:ascii="宋体" w:hAnsi="宋体"/>
          <w:b/>
          <w:color w:val="auto"/>
          <w:lang w:eastAsia="zh-CN"/>
        </w:rPr>
      </w:pPr>
      <w:r>
        <w:rPr>
          <w:rFonts w:hint="eastAsia" w:ascii="宋体" w:hAnsi="宋体"/>
          <w:b/>
          <w:color w:val="auto"/>
          <w:lang w:eastAsia="zh-CN"/>
        </w:rPr>
        <w:t>2.采购需求表</w:t>
      </w:r>
    </w:p>
    <w:tbl>
      <w:tblPr>
        <w:tblStyle w:val="6"/>
        <w:tblW w:w="94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75"/>
        <w:gridCol w:w="5639"/>
        <w:gridCol w:w="1134"/>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7" w:type="dxa"/>
            <w:noWrap w:val="0"/>
            <w:vAlign w:val="center"/>
          </w:tcPr>
          <w:p>
            <w:pPr>
              <w:spacing w:line="360" w:lineRule="auto"/>
              <w:jc w:val="center"/>
              <w:rPr>
                <w:rFonts w:ascii="宋体" w:hAnsi="宋体"/>
                <w:color w:val="auto"/>
              </w:rPr>
            </w:pPr>
            <w:r>
              <w:rPr>
                <w:rFonts w:hint="eastAsia" w:ascii="宋体" w:hAnsi="宋体"/>
                <w:color w:val="auto"/>
              </w:rPr>
              <w:t>序号</w:t>
            </w:r>
          </w:p>
        </w:tc>
        <w:tc>
          <w:tcPr>
            <w:tcW w:w="875" w:type="dxa"/>
            <w:noWrap w:val="0"/>
            <w:vAlign w:val="center"/>
          </w:tcPr>
          <w:p>
            <w:pPr>
              <w:spacing w:line="360" w:lineRule="auto"/>
              <w:jc w:val="center"/>
              <w:rPr>
                <w:rFonts w:ascii="宋体" w:hAnsi="宋体"/>
                <w:color w:val="auto"/>
              </w:rPr>
            </w:pPr>
            <w:r>
              <w:rPr>
                <w:rFonts w:hint="eastAsia" w:ascii="宋体" w:hAnsi="宋体"/>
                <w:color w:val="auto"/>
              </w:rPr>
              <w:t>品目名称</w:t>
            </w:r>
          </w:p>
        </w:tc>
        <w:tc>
          <w:tcPr>
            <w:tcW w:w="5639" w:type="dxa"/>
            <w:noWrap w:val="0"/>
            <w:vAlign w:val="center"/>
          </w:tcPr>
          <w:p>
            <w:pPr>
              <w:spacing w:line="360" w:lineRule="auto"/>
              <w:jc w:val="center"/>
              <w:rPr>
                <w:rFonts w:ascii="宋体" w:hAnsi="宋体"/>
                <w:color w:val="auto"/>
              </w:rPr>
            </w:pPr>
            <w:r>
              <w:rPr>
                <w:rFonts w:hint="eastAsia" w:ascii="宋体" w:hAnsi="宋体"/>
                <w:color w:val="auto"/>
              </w:rPr>
              <w:t>技术</w:t>
            </w:r>
            <w:r>
              <w:rPr>
                <w:rFonts w:ascii="宋体" w:hAnsi="宋体"/>
                <w:color w:val="auto"/>
              </w:rPr>
              <w:t>参数要求</w:t>
            </w:r>
          </w:p>
        </w:tc>
        <w:tc>
          <w:tcPr>
            <w:tcW w:w="1134" w:type="dxa"/>
            <w:noWrap w:val="0"/>
            <w:vAlign w:val="center"/>
          </w:tcPr>
          <w:p>
            <w:pPr>
              <w:spacing w:line="360" w:lineRule="auto"/>
              <w:jc w:val="center"/>
              <w:rPr>
                <w:rFonts w:ascii="宋体" w:hAnsi="宋体"/>
                <w:color w:val="auto"/>
              </w:rPr>
            </w:pPr>
            <w:r>
              <w:rPr>
                <w:rFonts w:hint="eastAsia" w:ascii="宋体" w:hAnsi="宋体"/>
                <w:color w:val="auto"/>
              </w:rPr>
              <w:t>数量</w:t>
            </w:r>
          </w:p>
        </w:tc>
        <w:tc>
          <w:tcPr>
            <w:tcW w:w="1171" w:type="dxa"/>
            <w:noWrap w:val="0"/>
            <w:vAlign w:val="center"/>
          </w:tcPr>
          <w:p>
            <w:pPr>
              <w:spacing w:line="360" w:lineRule="auto"/>
              <w:jc w:val="center"/>
              <w:rPr>
                <w:rFonts w:ascii="宋体" w:hAnsi="宋体"/>
                <w:color w:val="auto"/>
              </w:rPr>
            </w:pPr>
            <w:r>
              <w:rPr>
                <w:rFonts w:hint="eastAsia" w:ascii="宋体" w:hAnsi="宋体"/>
                <w:color w:val="auto"/>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7" w:type="dxa"/>
            <w:noWrap w:val="0"/>
            <w:vAlign w:val="center"/>
          </w:tcPr>
          <w:p>
            <w:pPr>
              <w:jc w:val="center"/>
              <w:rPr>
                <w:rFonts w:ascii="宋体" w:hAnsi="宋体"/>
                <w:color w:val="auto"/>
              </w:rPr>
            </w:pPr>
            <w:r>
              <w:rPr>
                <w:rFonts w:hint="eastAsia" w:ascii="宋体" w:hAnsi="宋体"/>
                <w:color w:val="auto"/>
              </w:rPr>
              <w:t>1</w:t>
            </w:r>
          </w:p>
        </w:tc>
        <w:tc>
          <w:tcPr>
            <w:tcW w:w="875" w:type="dxa"/>
            <w:noWrap w:val="0"/>
            <w:vAlign w:val="center"/>
          </w:tcPr>
          <w:p>
            <w:pPr>
              <w:jc w:val="center"/>
              <w:rPr>
                <w:rFonts w:ascii="宋体" w:hAnsi="宋体"/>
                <w:color w:val="auto"/>
              </w:rPr>
            </w:pPr>
            <w:r>
              <w:rPr>
                <w:rFonts w:hint="eastAsia" w:ascii="宋体" w:hAnsi="宋体"/>
                <w:szCs w:val="21"/>
              </w:rPr>
              <w:t>质量工程项目管理系统</w:t>
            </w:r>
          </w:p>
        </w:tc>
        <w:tc>
          <w:tcPr>
            <w:tcW w:w="5639" w:type="dxa"/>
            <w:noWrap w:val="0"/>
            <w:vAlign w:val="top"/>
          </w:tcPr>
          <w:p>
            <w:pPr>
              <w:spacing w:line="360" w:lineRule="auto"/>
              <w:rPr>
                <w:rFonts w:hint="eastAsia" w:ascii="宋体" w:hAnsi="宋体"/>
                <w:szCs w:val="21"/>
              </w:rPr>
            </w:pPr>
            <w:r>
              <w:rPr>
                <w:rFonts w:hint="eastAsia" w:ascii="宋体" w:hAnsi="宋体"/>
                <w:szCs w:val="21"/>
                <w:lang w:eastAsia="zh-CN"/>
              </w:rPr>
              <w:t>一</w:t>
            </w:r>
            <w:r>
              <w:rPr>
                <w:rFonts w:hint="eastAsia" w:ascii="宋体" w:hAnsi="宋体"/>
                <w:szCs w:val="21"/>
              </w:rPr>
              <w:t>、申报审批</w:t>
            </w:r>
          </w:p>
          <w:p>
            <w:pPr>
              <w:snapToGrid w:val="0"/>
              <w:spacing w:line="360" w:lineRule="auto"/>
              <w:rPr>
                <w:rFonts w:ascii="宋体" w:hAnsi="宋体"/>
                <w:szCs w:val="21"/>
              </w:rPr>
            </w:pPr>
            <w:r>
              <w:rPr>
                <w:rFonts w:hint="eastAsia" w:ascii="宋体" w:hAnsi="宋体"/>
                <w:sz w:val="28"/>
                <w:szCs w:val="28"/>
              </w:rPr>
              <w:t>★</w:t>
            </w:r>
            <w:r>
              <w:rPr>
                <w:rFonts w:hint="eastAsia" w:ascii="宋体" w:hAnsi="宋体"/>
                <w:szCs w:val="21"/>
              </w:rPr>
              <w:t>1) 申报人或学校管理员根据当前申报类别的期限，录入项目及负责人、经费预算表、参与人、建设目标与预期成果、项目附件等信息，提交时系统自动根据不同类别申报的配置，判断是否满足申报条件。</w:t>
            </w:r>
          </w:p>
          <w:p>
            <w:pPr>
              <w:snapToGrid w:val="0"/>
              <w:spacing w:line="360" w:lineRule="auto"/>
              <w:rPr>
                <w:rFonts w:ascii="宋体" w:hAnsi="宋体"/>
                <w:szCs w:val="21"/>
              </w:rPr>
            </w:pPr>
            <w:r>
              <w:rPr>
                <w:rFonts w:hint="eastAsia" w:ascii="宋体" w:hAnsi="宋体"/>
                <w:szCs w:val="21"/>
              </w:rPr>
              <w:t>2) 院系管理员通过设置推荐排名和推荐意见推荐或驳回项目，也可以在申报截止期前撤回推荐项目进行修改。可以生成唯一索引PDF汇总表报送学校。</w:t>
            </w:r>
          </w:p>
          <w:p>
            <w:pPr>
              <w:snapToGrid w:val="0"/>
              <w:spacing w:line="360" w:lineRule="auto"/>
              <w:rPr>
                <w:rFonts w:ascii="宋体" w:hAnsi="宋体"/>
                <w:szCs w:val="21"/>
              </w:rPr>
            </w:pPr>
            <w:r>
              <w:rPr>
                <w:rFonts w:hint="eastAsia" w:ascii="宋体" w:hAnsi="宋体"/>
                <w:szCs w:val="21"/>
              </w:rPr>
              <w:t>3）学校管理员对项目进行审查和立项操作，确立项目的国家级、省级、校级、院系级的项目级别。</w:t>
            </w:r>
          </w:p>
          <w:p>
            <w:pPr>
              <w:spacing w:line="360" w:lineRule="auto"/>
              <w:rPr>
                <w:rFonts w:hint="eastAsia" w:ascii="宋体" w:hAnsi="宋体"/>
                <w:szCs w:val="21"/>
              </w:rPr>
            </w:pPr>
            <w:r>
              <w:rPr>
                <w:rFonts w:hint="eastAsia" w:ascii="宋体" w:hAnsi="宋体"/>
                <w:sz w:val="28"/>
                <w:szCs w:val="28"/>
              </w:rPr>
              <w:t>★</w:t>
            </w:r>
            <w:r>
              <w:rPr>
                <w:rFonts w:hint="eastAsia" w:ascii="宋体" w:hAnsi="宋体"/>
                <w:szCs w:val="21"/>
              </w:rPr>
              <w:t>4) 将确认上报教育厅的项目通过数据接口在线直接上传安徽省教育厅质量工程项目管理系统。</w:t>
            </w:r>
          </w:p>
          <w:p>
            <w:pPr>
              <w:spacing w:line="360" w:lineRule="auto"/>
              <w:rPr>
                <w:rFonts w:hint="eastAsia" w:ascii="宋体" w:hAnsi="宋体"/>
                <w:szCs w:val="21"/>
              </w:rPr>
            </w:pPr>
            <w:r>
              <w:rPr>
                <w:rFonts w:hint="eastAsia" w:ascii="宋体" w:hAnsi="宋体"/>
                <w:szCs w:val="21"/>
                <w:lang w:eastAsia="zh-CN"/>
              </w:rPr>
              <w:t>二</w:t>
            </w:r>
            <w:r>
              <w:rPr>
                <w:rFonts w:hint="eastAsia" w:ascii="宋体" w:hAnsi="宋体"/>
                <w:szCs w:val="21"/>
              </w:rPr>
              <w:t>、网络评审</w:t>
            </w:r>
          </w:p>
          <w:p>
            <w:pPr>
              <w:snapToGrid w:val="0"/>
              <w:spacing w:line="360" w:lineRule="auto"/>
              <w:rPr>
                <w:rFonts w:ascii="宋体" w:hAnsi="宋体"/>
                <w:szCs w:val="21"/>
              </w:rPr>
            </w:pPr>
            <w:r>
              <w:rPr>
                <w:rFonts w:hint="eastAsia" w:ascii="宋体" w:hAnsi="宋体"/>
                <w:szCs w:val="21"/>
              </w:rPr>
              <w:t>1) 设置评审指标、评审计划，将不同的项目纳入的评审计划当中，并为合适的专家分配评审项目。</w:t>
            </w:r>
          </w:p>
          <w:p>
            <w:pPr>
              <w:snapToGrid w:val="0"/>
              <w:spacing w:line="360" w:lineRule="auto"/>
              <w:rPr>
                <w:rFonts w:ascii="宋体" w:hAnsi="宋体"/>
                <w:szCs w:val="21"/>
              </w:rPr>
            </w:pPr>
            <w:r>
              <w:rPr>
                <w:rFonts w:hint="eastAsia" w:ascii="宋体" w:hAnsi="宋体"/>
                <w:szCs w:val="21"/>
              </w:rPr>
              <w:t>2) 专家在线查看、评审项目，学校管理员可以查看、排序、导出评审结果。</w:t>
            </w:r>
          </w:p>
          <w:p>
            <w:pPr>
              <w:spacing w:line="360" w:lineRule="auto"/>
              <w:rPr>
                <w:rFonts w:hint="eastAsia" w:ascii="宋体" w:hAnsi="宋体"/>
                <w:szCs w:val="21"/>
              </w:rPr>
            </w:pPr>
            <w:r>
              <w:rPr>
                <w:rFonts w:hint="eastAsia" w:ascii="宋体" w:hAnsi="宋体"/>
                <w:szCs w:val="21"/>
              </w:rPr>
              <w:t>3) 建立校级专家库，对专家的各种数据进行录入。</w:t>
            </w:r>
          </w:p>
          <w:p>
            <w:pPr>
              <w:spacing w:line="360" w:lineRule="auto"/>
              <w:rPr>
                <w:rFonts w:hint="eastAsia" w:ascii="宋体" w:hAnsi="宋体"/>
                <w:szCs w:val="21"/>
              </w:rPr>
            </w:pPr>
            <w:r>
              <w:rPr>
                <w:rFonts w:hint="eastAsia" w:ascii="宋体" w:hAnsi="宋体"/>
                <w:szCs w:val="21"/>
                <w:lang w:eastAsia="zh-CN"/>
              </w:rPr>
              <w:t>三</w:t>
            </w:r>
            <w:r>
              <w:rPr>
                <w:rFonts w:hint="eastAsia" w:ascii="宋体" w:hAnsi="宋体"/>
                <w:szCs w:val="21"/>
              </w:rPr>
              <w:t>、过程管理</w:t>
            </w:r>
          </w:p>
          <w:p>
            <w:pPr>
              <w:snapToGrid w:val="0"/>
              <w:spacing w:line="360" w:lineRule="auto"/>
              <w:rPr>
                <w:rFonts w:ascii="宋体" w:hAnsi="宋体"/>
                <w:szCs w:val="21"/>
              </w:rPr>
            </w:pPr>
            <w:r>
              <w:rPr>
                <w:rFonts w:hint="eastAsia" w:ascii="宋体" w:hAnsi="宋体"/>
                <w:szCs w:val="21"/>
              </w:rPr>
              <w:t>1) 通过设置过程管理计划，将项目纳入到计划中。项目负责人根据计划时间安排上传项目任务书、进展报告、结题报告等文档，并编写已完成建设目标与成果。</w:t>
            </w:r>
          </w:p>
          <w:p>
            <w:pPr>
              <w:snapToGrid w:val="0"/>
              <w:spacing w:line="360" w:lineRule="auto"/>
              <w:rPr>
                <w:rFonts w:ascii="宋体" w:hAnsi="宋体"/>
                <w:szCs w:val="21"/>
              </w:rPr>
            </w:pPr>
            <w:r>
              <w:rPr>
                <w:rFonts w:hint="eastAsia" w:ascii="宋体" w:hAnsi="宋体"/>
                <w:szCs w:val="21"/>
              </w:rPr>
              <w:t>2) 学校根据项目进展情况和成果进行审核决定项目是否通过年度检查与验收。</w:t>
            </w:r>
          </w:p>
          <w:p>
            <w:pPr>
              <w:spacing w:line="360" w:lineRule="auto"/>
              <w:rPr>
                <w:rFonts w:hint="eastAsia" w:ascii="宋体" w:hAnsi="宋体"/>
                <w:szCs w:val="21"/>
              </w:rPr>
            </w:pPr>
            <w:r>
              <w:rPr>
                <w:rFonts w:hint="eastAsia" w:ascii="宋体" w:hAnsi="宋体"/>
                <w:sz w:val="28"/>
                <w:szCs w:val="28"/>
              </w:rPr>
              <w:t>★</w:t>
            </w:r>
            <w:r>
              <w:rPr>
                <w:rFonts w:hint="eastAsia" w:ascii="宋体" w:hAnsi="宋体"/>
                <w:szCs w:val="21"/>
              </w:rPr>
              <w:t>3) 将项目任务书、进展报告、结题报告等文档通过数据接口在线直接上传安徽省教育厅质量工程项目管理系统。</w:t>
            </w:r>
          </w:p>
          <w:p>
            <w:pPr>
              <w:spacing w:line="360" w:lineRule="auto"/>
              <w:rPr>
                <w:rFonts w:hint="eastAsia" w:ascii="宋体" w:hAnsi="宋体"/>
                <w:szCs w:val="21"/>
              </w:rPr>
            </w:pPr>
            <w:r>
              <w:rPr>
                <w:rFonts w:hint="eastAsia" w:ascii="宋体" w:hAnsi="宋体"/>
                <w:szCs w:val="21"/>
                <w:lang w:eastAsia="zh-CN"/>
              </w:rPr>
              <w:t>四</w:t>
            </w:r>
            <w:r>
              <w:rPr>
                <w:rFonts w:hint="eastAsia" w:ascii="宋体" w:hAnsi="宋体"/>
                <w:szCs w:val="21"/>
              </w:rPr>
              <w:t>、经费管理</w:t>
            </w:r>
          </w:p>
          <w:p>
            <w:pPr>
              <w:snapToGrid w:val="0"/>
              <w:spacing w:line="360" w:lineRule="auto"/>
              <w:rPr>
                <w:rFonts w:ascii="宋体" w:hAnsi="宋体"/>
                <w:szCs w:val="21"/>
              </w:rPr>
            </w:pPr>
            <w:r>
              <w:rPr>
                <w:rFonts w:hint="eastAsia" w:ascii="宋体" w:hAnsi="宋体"/>
                <w:sz w:val="28"/>
                <w:szCs w:val="28"/>
              </w:rPr>
              <w:t>★</w:t>
            </w:r>
            <w:r>
              <w:rPr>
                <w:rFonts w:hint="eastAsia" w:ascii="宋体" w:hAnsi="宋体"/>
                <w:szCs w:val="21"/>
              </w:rPr>
              <w:t>1) 对项目的拨款情况、经费使用情况以及项目的工作量分配情况进行管理。学校管理员对项目进行拨款处理并可以查看立项金额、已拨款总金额、支出总金额、支出总金额与已拨款总金额的比例，可以在线查看经费使用情况发票电子版或截图。</w:t>
            </w:r>
          </w:p>
          <w:p>
            <w:pPr>
              <w:snapToGrid w:val="0"/>
              <w:spacing w:line="360" w:lineRule="auto"/>
              <w:rPr>
                <w:rFonts w:ascii="宋体" w:hAnsi="宋体"/>
                <w:szCs w:val="21"/>
              </w:rPr>
            </w:pPr>
            <w:r>
              <w:rPr>
                <w:rFonts w:hint="eastAsia" w:ascii="宋体" w:hAnsi="宋体"/>
                <w:szCs w:val="21"/>
              </w:rPr>
              <w:t>★2) 申报人对项目资金使用情况进行录入，并可以上传经费使用情况发票电子版或截图。</w:t>
            </w:r>
          </w:p>
          <w:p>
            <w:pPr>
              <w:spacing w:line="360" w:lineRule="auto"/>
              <w:rPr>
                <w:rFonts w:hint="eastAsia" w:ascii="宋体" w:hAnsi="宋体"/>
                <w:szCs w:val="21"/>
              </w:rPr>
            </w:pPr>
            <w:r>
              <w:rPr>
                <w:rFonts w:hint="eastAsia" w:ascii="宋体" w:hAnsi="宋体"/>
                <w:szCs w:val="21"/>
              </w:rPr>
              <w:t>3) 可以对项目参与人的工作量进行统计和分配。</w:t>
            </w:r>
          </w:p>
          <w:p>
            <w:pPr>
              <w:snapToGrid w:val="0"/>
              <w:spacing w:line="360" w:lineRule="auto"/>
              <w:rPr>
                <w:rFonts w:ascii="宋体" w:hAnsi="宋体"/>
                <w:szCs w:val="21"/>
              </w:rPr>
            </w:pPr>
            <w:r>
              <w:rPr>
                <w:rFonts w:hint="eastAsia" w:ascii="宋体" w:hAnsi="宋体"/>
                <w:szCs w:val="21"/>
              </w:rPr>
              <w:t>★4）预算管理：具备严格的预算控制与管理功能，明晰各经费支出项目比例及具体报销科目，超出预警，并可对项目预算在合理的范围内进行调整。可以按照经济科目分类进行经费支出登记、经费支出审批、经费报销登记。按月或年统计项目经费使用情况。</w:t>
            </w:r>
          </w:p>
          <w:p>
            <w:pPr>
              <w:snapToGrid w:val="0"/>
              <w:spacing w:line="360" w:lineRule="auto"/>
              <w:rPr>
                <w:rFonts w:hint="eastAsia" w:ascii="宋体" w:hAnsi="宋体"/>
                <w:szCs w:val="21"/>
              </w:rPr>
            </w:pPr>
            <w:r>
              <w:rPr>
                <w:rFonts w:hint="eastAsia" w:ascii="宋体" w:hAnsi="宋体"/>
                <w:szCs w:val="21"/>
              </w:rPr>
              <w:t>★5）财务对接：与本校财务管理系统中科研经费管理功能实现对接。可随时据实查阅项目经费使用情况，支出明细。</w:t>
            </w:r>
          </w:p>
          <w:p>
            <w:pPr>
              <w:spacing w:line="360" w:lineRule="auto"/>
              <w:rPr>
                <w:rFonts w:hint="eastAsia" w:ascii="宋体" w:hAnsi="宋体"/>
                <w:szCs w:val="21"/>
              </w:rPr>
            </w:pPr>
            <w:r>
              <w:rPr>
                <w:rFonts w:hint="eastAsia" w:ascii="宋体" w:hAnsi="宋体"/>
                <w:szCs w:val="21"/>
                <w:lang w:eastAsia="zh-CN"/>
              </w:rPr>
              <w:t>五</w:t>
            </w:r>
            <w:r>
              <w:rPr>
                <w:rFonts w:hint="eastAsia" w:ascii="宋体" w:hAnsi="宋体"/>
                <w:szCs w:val="21"/>
              </w:rPr>
              <w:t>、统计查询</w:t>
            </w:r>
          </w:p>
          <w:p>
            <w:pPr>
              <w:snapToGrid w:val="0"/>
              <w:spacing w:line="360" w:lineRule="auto"/>
              <w:rPr>
                <w:rFonts w:ascii="宋体" w:hAnsi="宋体"/>
                <w:szCs w:val="21"/>
              </w:rPr>
            </w:pPr>
            <w:r>
              <w:rPr>
                <w:rFonts w:hint="eastAsia" w:ascii="宋体" w:hAnsi="宋体"/>
                <w:szCs w:val="21"/>
              </w:rPr>
              <w:t>1) 对项目按照状态、所属单位、项目类别进行统计、分析，并进行图形化显示。</w:t>
            </w:r>
          </w:p>
          <w:p>
            <w:pPr>
              <w:snapToGrid w:val="0"/>
              <w:spacing w:line="360" w:lineRule="auto"/>
              <w:rPr>
                <w:rFonts w:ascii="宋体" w:hAnsi="宋体"/>
                <w:szCs w:val="21"/>
              </w:rPr>
            </w:pPr>
            <w:r>
              <w:rPr>
                <w:rFonts w:hint="eastAsia" w:ascii="宋体" w:hAnsi="宋体"/>
                <w:szCs w:val="21"/>
              </w:rPr>
              <w:t>2) 对项目评审的不同阶段按照不同方式进行统计分析，并进行图形化显示。</w:t>
            </w:r>
          </w:p>
          <w:p>
            <w:pPr>
              <w:spacing w:line="360" w:lineRule="auto"/>
              <w:rPr>
                <w:rFonts w:hint="eastAsia" w:ascii="宋体" w:hAnsi="宋体"/>
                <w:szCs w:val="21"/>
              </w:rPr>
            </w:pPr>
            <w:r>
              <w:rPr>
                <w:rFonts w:hint="eastAsia" w:ascii="宋体" w:hAnsi="宋体"/>
                <w:szCs w:val="21"/>
              </w:rPr>
              <w:t>3) 对项目过程管理的不同阶段产生的文档进行统计分析，并进行图形化显示。</w:t>
            </w:r>
          </w:p>
          <w:p>
            <w:pPr>
              <w:spacing w:line="360" w:lineRule="auto"/>
              <w:rPr>
                <w:rFonts w:hint="eastAsia" w:ascii="宋体" w:hAnsi="宋体"/>
                <w:szCs w:val="21"/>
              </w:rPr>
            </w:pPr>
            <w:r>
              <w:rPr>
                <w:rFonts w:hint="eastAsia" w:ascii="宋体" w:hAnsi="宋体"/>
                <w:szCs w:val="21"/>
                <w:lang w:eastAsia="zh-CN"/>
              </w:rPr>
              <w:t>六</w:t>
            </w:r>
            <w:r>
              <w:rPr>
                <w:rFonts w:hint="eastAsia" w:ascii="宋体" w:hAnsi="宋体"/>
                <w:szCs w:val="21"/>
              </w:rPr>
              <w:t>、系统管理</w:t>
            </w:r>
          </w:p>
          <w:p>
            <w:pPr>
              <w:snapToGrid w:val="0"/>
              <w:spacing w:line="360" w:lineRule="auto"/>
              <w:rPr>
                <w:rFonts w:ascii="宋体" w:hAnsi="宋体"/>
                <w:szCs w:val="21"/>
              </w:rPr>
            </w:pPr>
            <w:r>
              <w:rPr>
                <w:rFonts w:hint="eastAsia" w:ascii="宋体" w:hAnsi="宋体"/>
                <w:sz w:val="28"/>
                <w:szCs w:val="28"/>
              </w:rPr>
              <w:t>★</w:t>
            </w:r>
            <w:r>
              <w:rPr>
                <w:rFonts w:hint="eastAsia" w:ascii="宋体" w:hAnsi="宋体"/>
                <w:szCs w:val="21"/>
              </w:rPr>
              <w:t>1) 对系统整个功能进行基本数据的管理，包括用户、角色、单位、项目类别、年度、限额等。可以动态定义项目类别、子类别，对不同类别的权限、数据范围、审批流程、申报数据要求进行自定义的配置。针对不同用户群发布通知公告。</w:t>
            </w:r>
          </w:p>
          <w:p>
            <w:pPr>
              <w:spacing w:line="360" w:lineRule="auto"/>
              <w:rPr>
                <w:rFonts w:hint="eastAsia" w:ascii="宋体" w:hAnsi="宋体"/>
                <w:szCs w:val="21"/>
                <w:lang w:eastAsia="zh-CN"/>
              </w:rPr>
            </w:pPr>
            <w:r>
              <w:rPr>
                <w:rFonts w:hint="eastAsia" w:ascii="宋体" w:hAnsi="宋体"/>
                <w:szCs w:val="21"/>
              </w:rPr>
              <w:t>2) 对系统产生的各种日志记录进行跟踪、统计。</w:t>
            </w:r>
          </w:p>
          <w:p>
            <w:pPr>
              <w:spacing w:line="360" w:lineRule="auto"/>
              <w:rPr>
                <w:rFonts w:hint="eastAsia" w:ascii="宋体" w:hAnsi="宋体"/>
                <w:szCs w:val="21"/>
              </w:rPr>
            </w:pPr>
            <w:r>
              <w:rPr>
                <w:rFonts w:hint="eastAsia" w:ascii="宋体" w:hAnsi="宋体"/>
                <w:szCs w:val="21"/>
                <w:lang w:eastAsia="zh-CN"/>
              </w:rPr>
              <w:t>七</w:t>
            </w:r>
            <w:r>
              <w:rPr>
                <w:rFonts w:hint="eastAsia" w:ascii="宋体" w:hAnsi="宋体"/>
                <w:szCs w:val="21"/>
              </w:rPr>
              <w:t>、成果展示</w:t>
            </w:r>
          </w:p>
          <w:p>
            <w:pPr>
              <w:spacing w:line="360" w:lineRule="auto"/>
              <w:rPr>
                <w:rFonts w:hint="eastAsia" w:ascii="宋体" w:hAnsi="宋体"/>
                <w:szCs w:val="21"/>
              </w:rPr>
            </w:pPr>
            <w:r>
              <w:rPr>
                <w:rFonts w:hint="eastAsia" w:ascii="宋体" w:hAnsi="宋体"/>
                <w:szCs w:val="21"/>
              </w:rPr>
              <w:t>1) 对系统过程中产生的各种成果、专利展示到质量工程系统网站中。</w:t>
            </w:r>
          </w:p>
          <w:p>
            <w:pPr>
              <w:pStyle w:val="14"/>
              <w:spacing w:line="360" w:lineRule="auto"/>
              <w:ind w:firstLine="0" w:firstLineChars="0"/>
              <w:rPr>
                <w:rFonts w:hint="eastAsia" w:ascii="宋体" w:hAnsi="宋体"/>
                <w:lang w:val="en-US" w:eastAsia="zh-CN"/>
              </w:rPr>
            </w:pPr>
            <w:r>
              <w:rPr>
                <w:rFonts w:hint="eastAsia" w:ascii="宋体" w:hAnsi="宋体"/>
                <w:lang w:val="en-US" w:eastAsia="zh-CN"/>
              </w:rPr>
              <w:t>八、单点登录</w:t>
            </w:r>
          </w:p>
          <w:p>
            <w:pPr>
              <w:pStyle w:val="14"/>
              <w:spacing w:line="360" w:lineRule="auto"/>
              <w:ind w:firstLine="0" w:firstLineChars="0"/>
              <w:rPr>
                <w:rFonts w:hint="eastAsia" w:ascii="宋体" w:hAnsi="宋体"/>
                <w:lang w:val="en-US" w:eastAsia="zh-CN"/>
              </w:rPr>
            </w:pPr>
            <w:r>
              <w:rPr>
                <w:rFonts w:hint="eastAsia" w:ascii="宋体" w:hAnsi="宋体"/>
                <w:lang w:val="en-US" w:eastAsia="zh-CN"/>
              </w:rPr>
              <w:t>1）实现学院的统一身份认证平台的接口对接。</w:t>
            </w:r>
          </w:p>
          <w:p>
            <w:pPr>
              <w:pStyle w:val="14"/>
              <w:spacing w:line="360" w:lineRule="auto"/>
              <w:ind w:firstLine="0" w:firstLineChars="0"/>
              <w:rPr>
                <w:rFonts w:hint="eastAsia" w:ascii="宋体" w:hAnsi="宋体"/>
                <w:lang w:val="en-US" w:eastAsia="zh-CN"/>
              </w:rPr>
            </w:pPr>
            <w:r>
              <w:rPr>
                <w:rFonts w:hint="eastAsia" w:ascii="宋体" w:hAnsi="宋体"/>
                <w:lang w:val="en-US" w:eastAsia="zh-CN"/>
              </w:rPr>
              <w:t>九、负责省级质量工程项目数据及文档导入系统。</w:t>
            </w:r>
          </w:p>
          <w:p>
            <w:pPr>
              <w:pStyle w:val="15"/>
              <w:jc w:val="both"/>
            </w:pPr>
            <w:r>
              <w:rPr>
                <w:rFonts w:hint="eastAsia"/>
              </w:rPr>
              <w:t>系统部署与培训要求：</w:t>
            </w:r>
          </w:p>
          <w:p>
            <w:pPr>
              <w:pStyle w:val="14"/>
              <w:snapToGrid w:val="0"/>
              <w:spacing w:line="360" w:lineRule="auto"/>
              <w:ind w:firstLine="0" w:firstLineChars="0"/>
              <w:rPr>
                <w:rFonts w:ascii="宋体" w:hAnsi="宋体"/>
                <w:szCs w:val="24"/>
                <w:lang w:val="en-US" w:eastAsia="zh-CN"/>
              </w:rPr>
            </w:pPr>
            <w:r>
              <w:rPr>
                <w:szCs w:val="24"/>
              </w:rPr>
              <w:t>1</w:t>
            </w:r>
            <w:r>
              <w:rPr>
                <w:rFonts w:hint="eastAsia"/>
                <w:szCs w:val="24"/>
              </w:rPr>
              <w:t>）</w:t>
            </w:r>
            <w:r>
              <w:rPr>
                <w:rFonts w:hint="eastAsia" w:ascii="宋体" w:hAnsi="宋体"/>
                <w:szCs w:val="24"/>
                <w:lang w:val="en-US" w:eastAsia="zh-CN"/>
              </w:rPr>
              <w:t>采用本地部署方式，</w:t>
            </w:r>
            <w:r>
              <w:rPr>
                <w:rFonts w:hint="eastAsia" w:ascii="宋体" w:hAnsi="宋体"/>
              </w:rPr>
              <w:t>需确保数据信息安全</w:t>
            </w:r>
            <w:r>
              <w:rPr>
                <w:rFonts w:hint="eastAsia" w:ascii="宋体" w:hAnsi="宋体"/>
                <w:szCs w:val="24"/>
                <w:lang w:val="en-US" w:eastAsia="zh-CN"/>
              </w:rPr>
              <w:t>。</w:t>
            </w:r>
          </w:p>
          <w:p>
            <w:pPr>
              <w:pStyle w:val="14"/>
              <w:spacing w:line="360" w:lineRule="auto"/>
              <w:ind w:firstLine="0" w:firstLineChars="0"/>
              <w:rPr>
                <w:rFonts w:hint="eastAsia" w:ascii="宋体" w:hAnsi="宋体"/>
                <w:szCs w:val="24"/>
                <w:lang w:eastAsia="zh-CN"/>
              </w:rPr>
            </w:pPr>
            <w:r>
              <w:rPr>
                <w:szCs w:val="24"/>
              </w:rPr>
              <w:t>2</w:t>
            </w:r>
            <w:r>
              <w:rPr>
                <w:rFonts w:hint="eastAsia"/>
                <w:szCs w:val="24"/>
              </w:rPr>
              <w:t>）免费提供至少</w:t>
            </w:r>
            <w:r>
              <w:rPr>
                <w:szCs w:val="24"/>
              </w:rPr>
              <w:t>2</w:t>
            </w:r>
            <w:r>
              <w:rPr>
                <w:rFonts w:hint="eastAsia"/>
                <w:szCs w:val="24"/>
              </w:rPr>
              <w:t>次系统管理员的系统维护培训服务及必要的支撑技术培训服务。</w:t>
            </w:r>
            <w:r>
              <w:rPr>
                <w:szCs w:val="24"/>
              </w:rPr>
              <w:t xml:space="preserve"> </w:t>
            </w:r>
          </w:p>
        </w:tc>
        <w:tc>
          <w:tcPr>
            <w:tcW w:w="1134" w:type="dxa"/>
            <w:noWrap w:val="0"/>
            <w:vAlign w:val="center"/>
          </w:tcPr>
          <w:p>
            <w:pPr>
              <w:jc w:val="center"/>
              <w:rPr>
                <w:rFonts w:ascii="宋体" w:hAnsi="宋体"/>
                <w:color w:val="auto"/>
                <w:lang w:eastAsia="zh-CN"/>
              </w:rPr>
            </w:pPr>
            <w:r>
              <w:rPr>
                <w:rFonts w:hint="eastAsia" w:ascii="宋体" w:hAnsi="宋体"/>
                <w:color w:val="auto"/>
                <w:lang w:eastAsia="zh-CN"/>
              </w:rPr>
              <w:t>1</w:t>
            </w:r>
          </w:p>
        </w:tc>
        <w:tc>
          <w:tcPr>
            <w:tcW w:w="1171" w:type="dxa"/>
            <w:noWrap w:val="0"/>
            <w:vAlign w:val="center"/>
          </w:tcPr>
          <w:p>
            <w:pPr>
              <w:jc w:val="center"/>
              <w:rPr>
                <w:rFonts w:hint="eastAsia" w:ascii="宋体" w:hAnsi="宋体"/>
                <w:color w:val="auto"/>
                <w:lang w:eastAsia="zh-CN"/>
              </w:rPr>
            </w:pPr>
            <w:r>
              <w:rPr>
                <w:rFonts w:hint="eastAsia" w:ascii="宋体" w:hAnsi="宋体"/>
                <w:color w:val="auto"/>
                <w:lang w:eastAsia="zh-CN"/>
              </w:rPr>
              <w:t>套</w:t>
            </w:r>
          </w:p>
        </w:tc>
      </w:tr>
    </w:tbl>
    <w:p>
      <w:pPr>
        <w:spacing w:line="360" w:lineRule="auto"/>
        <w:ind w:firstLine="420" w:firstLineChars="200"/>
        <w:rPr>
          <w:rFonts w:hint="eastAsia" w:ascii="宋体" w:hAnsi="宋体"/>
          <w:color w:val="auto"/>
          <w:lang w:eastAsia="zh-CN"/>
        </w:rPr>
      </w:pPr>
      <w:r>
        <w:rPr>
          <w:rFonts w:hint="eastAsia" w:ascii="宋体" w:hAnsi="宋体"/>
          <w:color w:val="auto"/>
          <w:lang w:eastAsia="zh-CN"/>
        </w:rPr>
        <w:t xml:space="preserve"> </w:t>
      </w:r>
    </w:p>
    <w:p>
      <w:pPr>
        <w:spacing w:line="360" w:lineRule="auto"/>
        <w:ind w:firstLine="422" w:firstLineChars="200"/>
        <w:rPr>
          <w:rFonts w:hint="eastAsia" w:ascii="宋体" w:hAnsi="宋体"/>
          <w:b/>
          <w:color w:val="auto"/>
          <w:lang w:eastAsia="zh-CN"/>
        </w:rPr>
      </w:pPr>
      <w:r>
        <w:rPr>
          <w:rFonts w:hint="eastAsia" w:ascii="宋体" w:hAnsi="宋体"/>
          <w:b/>
          <w:color w:val="auto"/>
          <w:lang w:eastAsia="zh-CN"/>
        </w:rPr>
        <w:t xml:space="preserve">3. 售后服务要求： </w:t>
      </w:r>
    </w:p>
    <w:p>
      <w:pPr>
        <w:spacing w:line="360" w:lineRule="auto"/>
        <w:ind w:firstLine="420" w:firstLineChars="200"/>
        <w:rPr>
          <w:rFonts w:hint="eastAsia"/>
          <w:lang w:eastAsia="zh-CN"/>
        </w:rPr>
      </w:pPr>
      <w:r>
        <w:rPr>
          <w:rFonts w:hint="eastAsia" w:ascii="宋体" w:hAnsi="宋体"/>
          <w:color w:val="auto"/>
          <w:lang w:eastAsia="zh-CN"/>
        </w:rPr>
        <w:t>本项目</w:t>
      </w:r>
      <w:r>
        <w:t>要求免费质量保证</w:t>
      </w:r>
      <w:r>
        <w:rPr>
          <w:rFonts w:hint="eastAsia"/>
          <w:lang w:eastAsia="zh-CN"/>
        </w:rPr>
        <w:t>至少为一</w:t>
      </w:r>
      <w:r>
        <w:t>年，自项目验收合格之日起计算</w:t>
      </w:r>
      <w:r>
        <w:rPr>
          <w:rFonts w:hint="eastAsia"/>
          <w:lang w:eastAsia="zh-CN"/>
        </w:rPr>
        <w:t>，</w:t>
      </w:r>
      <w:r>
        <w:rPr>
          <w:rFonts w:hint="eastAsia" w:ascii="宋体" w:hAnsi="宋体"/>
        </w:rPr>
        <w:t>免费质量保证须免费提供系统维护、升级等技术支持服务</w:t>
      </w:r>
      <w:r>
        <w:t>。免费质量保证期后应提供系统维护、扩充、升级等方面的技术支持服务，并明确连续5年每年的系统维护费用（含升级）</w:t>
      </w:r>
      <w:r>
        <w:rPr>
          <w:rFonts w:hint="eastAsia"/>
          <w:lang w:eastAsia="zh-CN"/>
        </w:rPr>
        <w:t>。</w:t>
      </w:r>
    </w:p>
    <w:p>
      <w:pPr>
        <w:spacing w:line="360" w:lineRule="auto"/>
        <w:ind w:firstLine="420" w:firstLineChars="200"/>
        <w:rPr>
          <w:rFonts w:hint="eastAsia"/>
          <w:lang w:eastAsia="zh-CN"/>
        </w:rPr>
      </w:pPr>
      <w:r>
        <w:rPr>
          <w:rFonts w:hint="eastAsia" w:ascii="宋体" w:hAnsi="宋体"/>
        </w:rPr>
        <w:t>提供7x24小时售后服务热线；系统出现故障，在接到采购人通知维修后，4小时内对问题做出响应。若运用通讯工具不能解决问题，必须在48小时之内到达现场予以解决并应对相关事项进行及时处理</w:t>
      </w:r>
      <w:r>
        <w:rPr>
          <w:rFonts w:hint="eastAsia" w:ascii="宋体" w:hAnsi="宋体"/>
          <w:lang w:eastAsia="zh-CN"/>
        </w:rPr>
        <w:t>。</w:t>
      </w:r>
    </w:p>
    <w:p>
      <w:pPr>
        <w:spacing w:line="360" w:lineRule="auto"/>
        <w:ind w:firstLine="420" w:firstLineChars="200"/>
        <w:rPr>
          <w:rFonts w:hint="eastAsia"/>
          <w:lang w:eastAsia="zh-CN"/>
        </w:rPr>
      </w:pPr>
      <w:r>
        <w:rPr>
          <w:rFonts w:hint="eastAsia"/>
        </w:rPr>
        <w:t>免费提供不少于</w:t>
      </w:r>
      <w:r>
        <w:rPr>
          <w:rFonts w:hint="eastAsia"/>
          <w:lang w:eastAsia="zh-CN"/>
        </w:rPr>
        <w:t>2</w:t>
      </w:r>
      <w:r>
        <w:rPr>
          <w:rFonts w:hint="eastAsia"/>
        </w:rPr>
        <w:t>次的系统维护</w:t>
      </w:r>
      <w:r>
        <w:rPr>
          <w:rFonts w:hint="eastAsia"/>
          <w:lang w:eastAsia="zh-CN"/>
        </w:rPr>
        <w:t>、</w:t>
      </w:r>
      <w:r>
        <w:rPr>
          <w:rFonts w:hint="eastAsia"/>
        </w:rPr>
        <w:t>支撑技术培训服务</w:t>
      </w:r>
      <w:r>
        <w:rPr>
          <w:rFonts w:hint="eastAsia"/>
          <w:lang w:eastAsia="zh-CN"/>
        </w:rPr>
        <w:t>。</w:t>
      </w:r>
    </w:p>
    <w:p>
      <w:pPr>
        <w:spacing w:line="360" w:lineRule="auto"/>
        <w:ind w:firstLine="420" w:firstLineChars="200"/>
        <w:rPr>
          <w:rFonts w:hint="eastAsia" w:ascii="宋体" w:hAnsi="宋体"/>
          <w:lang w:eastAsia="zh-CN"/>
        </w:rPr>
      </w:pPr>
      <w:r>
        <w:rPr>
          <w:rFonts w:hint="eastAsia" w:ascii="宋体" w:hAnsi="宋体"/>
        </w:rPr>
        <w:t>自最终验收合格之日起3日历日内，成交供应商必须将所有相关技术资料（包含并不仅限于：所提供产品的产品说明书、服务手册等）交采购人留存备案</w:t>
      </w:r>
      <w:r>
        <w:rPr>
          <w:rFonts w:hint="eastAsia" w:ascii="宋体" w:hAnsi="宋体"/>
          <w:lang w:eastAsia="zh-CN"/>
        </w:rPr>
        <w:t>。</w:t>
      </w:r>
    </w:p>
    <w:p>
      <w:pPr>
        <w:spacing w:line="360" w:lineRule="auto"/>
        <w:rPr>
          <w:rFonts w:hint="eastAsia" w:ascii="宋体" w:hAnsi="宋体" w:eastAsia="宋体" w:cs="华文仿宋"/>
          <w:bCs/>
          <w:kern w:val="0"/>
          <w:sz w:val="28"/>
          <w:szCs w:val="28"/>
          <w:lang w:val="en-US" w:eastAsia="zh-CN" w:bidi="ar-SA"/>
        </w:rPr>
      </w:pPr>
      <w:r>
        <w:rPr>
          <w:rFonts w:hint="eastAsia" w:ascii="宋体" w:hAnsi="宋体" w:eastAsia="宋体" w:cs="华文仿宋"/>
          <w:bCs/>
          <w:kern w:val="0"/>
          <w:sz w:val="28"/>
          <w:szCs w:val="28"/>
          <w:lang w:val="en-US" w:eastAsia="zh-CN" w:bidi="ar-SA"/>
        </w:rPr>
        <w:t>二、综合评分法</w:t>
      </w:r>
    </w:p>
    <w:tbl>
      <w:tblPr>
        <w:tblStyle w:val="6"/>
        <w:tblW w:w="1044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47"/>
        <w:gridCol w:w="1341"/>
        <w:gridCol w:w="4374"/>
        <w:gridCol w:w="1934"/>
        <w:gridCol w:w="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noWrap w:val="0"/>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color w:val="auto"/>
                <w:szCs w:val="21"/>
              </w:rPr>
              <w:t>评分标准</w:t>
            </w:r>
          </w:p>
        </w:tc>
        <w:tc>
          <w:tcPr>
            <w:tcW w:w="5715" w:type="dxa"/>
            <w:gridSpan w:val="2"/>
            <w:noWrap w:val="0"/>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color w:val="auto"/>
                <w:szCs w:val="21"/>
              </w:rPr>
              <w:t>评分因素</w:t>
            </w:r>
          </w:p>
        </w:tc>
        <w:tc>
          <w:tcPr>
            <w:tcW w:w="1934" w:type="dxa"/>
            <w:noWrap w:val="0"/>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color w:val="auto"/>
                <w:szCs w:val="21"/>
              </w:rPr>
              <w:t>所需提供材料</w:t>
            </w:r>
          </w:p>
        </w:tc>
        <w:tc>
          <w:tcPr>
            <w:tcW w:w="946" w:type="dxa"/>
            <w:noWrap w:val="0"/>
            <w:vAlign w:val="center"/>
          </w:tcPr>
          <w:p>
            <w:pPr>
              <w:adjustRightInd w:val="0"/>
              <w:snapToGrid w:val="0"/>
              <w:spacing w:before="100" w:beforeAutospacing="1" w:after="100" w:afterAutospacing="1"/>
              <w:jc w:val="center"/>
              <w:rPr>
                <w:rFonts w:ascii="宋体" w:hAnsi="宋体"/>
                <w:b/>
                <w:szCs w:val="21"/>
              </w:rPr>
            </w:pPr>
            <w:r>
              <w:rPr>
                <w:rFonts w:hint="eastAsia" w:ascii="宋体" w:hAnsi="宋体"/>
                <w:b/>
                <w:color w:val="auto"/>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95" w:hRule="atLeast"/>
          <w:jc w:val="center"/>
        </w:trPr>
        <w:tc>
          <w:tcPr>
            <w:tcW w:w="1847" w:type="dxa"/>
            <w:vMerge w:val="restart"/>
            <w:noWrap w:val="0"/>
            <w:vAlign w:val="center"/>
          </w:tcPr>
          <w:p>
            <w:pPr>
              <w:spacing w:line="300" w:lineRule="exact"/>
              <w:jc w:val="center"/>
              <w:rPr>
                <w:rFonts w:ascii="宋体" w:hAnsi="宋体"/>
                <w:spacing w:val="-12"/>
                <w:szCs w:val="21"/>
              </w:rPr>
            </w:pPr>
            <w:r>
              <w:rPr>
                <w:rFonts w:hint="eastAsia" w:ascii="宋体" w:hAnsi="宋体"/>
                <w:color w:val="auto"/>
                <w:spacing w:val="-12"/>
                <w:szCs w:val="21"/>
              </w:rPr>
              <w:t>技术部分标准</w:t>
            </w:r>
          </w:p>
        </w:tc>
        <w:tc>
          <w:tcPr>
            <w:tcW w:w="1341" w:type="dxa"/>
            <w:noWrap w:val="0"/>
            <w:vAlign w:val="center"/>
          </w:tcPr>
          <w:p>
            <w:pPr>
              <w:spacing w:line="300" w:lineRule="exact"/>
              <w:jc w:val="center"/>
              <w:rPr>
                <w:rFonts w:ascii="宋体" w:hAnsi="宋体"/>
                <w:bCs/>
                <w:szCs w:val="21"/>
              </w:rPr>
            </w:pPr>
            <w:r>
              <w:rPr>
                <w:rFonts w:hint="eastAsia" w:ascii="宋体" w:hAnsi="宋体"/>
                <w:bCs/>
                <w:color w:val="auto"/>
                <w:szCs w:val="21"/>
              </w:rPr>
              <w:t>性能和技术参数</w:t>
            </w:r>
          </w:p>
        </w:tc>
        <w:tc>
          <w:tcPr>
            <w:tcW w:w="4374" w:type="dxa"/>
            <w:noWrap w:val="0"/>
            <w:vAlign w:val="center"/>
          </w:tcPr>
          <w:p>
            <w:pPr>
              <w:numPr>
                <w:ilvl w:val="0"/>
                <w:numId w:val="1"/>
              </w:numPr>
              <w:snapToGrid w:val="0"/>
              <w:spacing w:line="320" w:lineRule="exact"/>
              <w:jc w:val="both"/>
              <w:rPr>
                <w:rFonts w:ascii="宋体" w:hAnsi="宋体" w:cs="宋体"/>
                <w:szCs w:val="21"/>
              </w:rPr>
            </w:pPr>
            <w:r>
              <w:rPr>
                <w:rFonts w:hint="eastAsia" w:ascii="宋体" w:hAnsi="宋体"/>
                <w:color w:val="auto"/>
                <w:szCs w:val="21"/>
              </w:rPr>
              <w:t>标</w:t>
            </w:r>
            <w:r>
              <w:rPr>
                <w:rFonts w:hint="eastAsia" w:ascii="宋体" w:hAnsi="宋体" w:cs="宋体"/>
                <w:color w:val="auto"/>
                <w:szCs w:val="21"/>
              </w:rPr>
              <w:t>★参数为关键性参数，一项不满足视为不响应</w:t>
            </w:r>
          </w:p>
          <w:p>
            <w:pPr>
              <w:numPr>
                <w:ilvl w:val="0"/>
                <w:numId w:val="1"/>
              </w:numPr>
              <w:snapToGrid w:val="0"/>
              <w:spacing w:line="320" w:lineRule="exact"/>
              <w:jc w:val="both"/>
              <w:rPr>
                <w:rFonts w:ascii="宋体" w:hAnsi="宋体"/>
                <w:szCs w:val="21"/>
              </w:rPr>
            </w:pPr>
            <w:r>
              <w:rPr>
                <w:rFonts w:hint="eastAsia" w:ascii="宋体" w:hAnsi="宋体" w:cs="宋体"/>
                <w:color w:val="auto"/>
                <w:szCs w:val="21"/>
              </w:rPr>
              <w:t>剩余参数满足招标文件要求的，得满分，若一项负偏离则扣</w:t>
            </w:r>
            <w:r>
              <w:rPr>
                <w:rFonts w:hint="eastAsia" w:ascii="宋体" w:hAnsi="宋体" w:cs="宋体"/>
                <w:color w:val="auto"/>
                <w:szCs w:val="21"/>
                <w:lang w:eastAsia="zh-CN"/>
              </w:rPr>
              <w:t>2</w:t>
            </w:r>
            <w:r>
              <w:rPr>
                <w:rFonts w:hint="eastAsia" w:ascii="宋体" w:hAnsi="宋体" w:cs="宋体"/>
                <w:color w:val="auto"/>
                <w:szCs w:val="21"/>
              </w:rPr>
              <w:t>分，扣完为止</w:t>
            </w:r>
            <w:r>
              <w:rPr>
                <w:rFonts w:hint="eastAsia" w:ascii="宋体" w:hAnsi="宋体" w:cs="宋体"/>
                <w:color w:val="auto"/>
                <w:szCs w:val="21"/>
                <w:lang w:eastAsia="zh-CN"/>
              </w:rPr>
              <w:t>。</w:t>
            </w:r>
          </w:p>
        </w:tc>
        <w:tc>
          <w:tcPr>
            <w:tcW w:w="1934" w:type="dxa"/>
            <w:noWrap w:val="0"/>
            <w:vAlign w:val="center"/>
          </w:tcPr>
          <w:p>
            <w:pPr>
              <w:spacing w:line="300" w:lineRule="exact"/>
              <w:jc w:val="center"/>
              <w:rPr>
                <w:rFonts w:ascii="宋体" w:hAnsi="宋体"/>
                <w:szCs w:val="21"/>
              </w:rPr>
            </w:pPr>
            <w:r>
              <w:rPr>
                <w:rFonts w:hint="eastAsia" w:ascii="宋体" w:hAnsi="宋体"/>
                <w:color w:val="auto"/>
                <w:szCs w:val="21"/>
              </w:rPr>
              <w:t>提供产品技术参数的相关证明材料。</w:t>
            </w:r>
          </w:p>
        </w:tc>
        <w:tc>
          <w:tcPr>
            <w:tcW w:w="946" w:type="dxa"/>
            <w:noWrap w:val="0"/>
            <w:vAlign w:val="center"/>
          </w:tcPr>
          <w:p>
            <w:pPr>
              <w:spacing w:line="300" w:lineRule="exact"/>
              <w:jc w:val="center"/>
              <w:rPr>
                <w:rFonts w:ascii="宋体" w:hAnsi="宋体"/>
                <w:szCs w:val="21"/>
              </w:rPr>
            </w:pPr>
            <w:r>
              <w:rPr>
                <w:rFonts w:hint="eastAsia" w:ascii="宋体" w:hAnsi="宋体"/>
                <w:color w:val="auto"/>
                <w:szCs w:val="21"/>
                <w:lang w:eastAsia="zh-CN"/>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jc w:val="center"/>
              <w:rPr>
                <w:rFonts w:ascii="宋体" w:hAnsi="宋体"/>
                <w:spacing w:val="-12"/>
                <w:szCs w:val="21"/>
              </w:rPr>
            </w:pPr>
          </w:p>
        </w:tc>
        <w:tc>
          <w:tcPr>
            <w:tcW w:w="1341" w:type="dxa"/>
            <w:noWrap w:val="0"/>
            <w:vAlign w:val="center"/>
          </w:tcPr>
          <w:p>
            <w:pPr>
              <w:spacing w:line="300" w:lineRule="exact"/>
              <w:jc w:val="center"/>
              <w:rPr>
                <w:rFonts w:ascii="宋体" w:hAnsi="宋体"/>
                <w:bCs/>
                <w:szCs w:val="21"/>
              </w:rPr>
            </w:pPr>
            <w:r>
              <w:rPr>
                <w:rFonts w:hint="eastAsia" w:ascii="宋体"/>
                <w:bCs/>
                <w:color w:val="auto"/>
              </w:rPr>
              <w:t>现场演示</w:t>
            </w:r>
          </w:p>
        </w:tc>
        <w:tc>
          <w:tcPr>
            <w:tcW w:w="4374" w:type="dxa"/>
            <w:noWrap w:val="0"/>
            <w:vAlign w:val="center"/>
          </w:tcPr>
          <w:p>
            <w:pPr>
              <w:snapToGrid w:val="0"/>
              <w:spacing w:line="320" w:lineRule="exact"/>
              <w:jc w:val="both"/>
              <w:rPr>
                <w:szCs w:val="21"/>
                <w:lang w:eastAsia="zh-CN"/>
              </w:rPr>
            </w:pPr>
            <w:r>
              <w:rPr>
                <w:rFonts w:hint="eastAsia" w:ascii="宋体" w:hAnsi="宋体" w:cs="宋体"/>
                <w:color w:val="auto"/>
                <w:szCs w:val="21"/>
              </w:rPr>
              <w:t>提供质量工程项目管理系统现场演示，</w:t>
            </w:r>
            <w:r>
              <w:rPr>
                <w:rFonts w:ascii="宋体" w:hAnsi="宋体" w:cs="宋体"/>
                <w:color w:val="auto"/>
                <w:szCs w:val="21"/>
              </w:rPr>
              <w:t>PPT</w:t>
            </w:r>
            <w:r>
              <w:rPr>
                <w:rFonts w:hint="eastAsia" w:ascii="宋体" w:hAnsi="宋体" w:cs="宋体"/>
                <w:color w:val="auto"/>
                <w:szCs w:val="21"/>
              </w:rPr>
              <w:t>演示不得分；由供应商自行携带演示所须设备，自备网络环境，对本项目主要功能进行现场演示，演示人员不超过</w:t>
            </w:r>
            <w:r>
              <w:rPr>
                <w:rFonts w:ascii="宋体" w:hAnsi="宋体" w:cs="宋体"/>
                <w:color w:val="auto"/>
                <w:szCs w:val="21"/>
              </w:rPr>
              <w:t>2</w:t>
            </w:r>
            <w:r>
              <w:rPr>
                <w:rFonts w:hint="eastAsia" w:ascii="宋体" w:hAnsi="宋体" w:cs="宋体"/>
                <w:color w:val="auto"/>
                <w:szCs w:val="21"/>
              </w:rPr>
              <w:t>人（包含授权代表）。</w:t>
            </w:r>
            <w:r>
              <w:rPr>
                <w:rFonts w:ascii="宋体" w:hAnsi="宋体" w:cs="宋体"/>
                <w:color w:val="auto"/>
                <w:szCs w:val="21"/>
              </w:rPr>
              <w:t xml:space="preserve"> </w:t>
            </w:r>
            <w:r>
              <w:rPr>
                <w:rFonts w:hint="eastAsia" w:ascii="宋体" w:hAnsi="宋体" w:cs="宋体"/>
                <w:color w:val="auto"/>
                <w:szCs w:val="21"/>
              </w:rPr>
              <w:t>具体演示内容见下表。</w:t>
            </w:r>
          </w:p>
        </w:tc>
        <w:tc>
          <w:tcPr>
            <w:tcW w:w="1934" w:type="dxa"/>
            <w:noWrap w:val="0"/>
            <w:vAlign w:val="center"/>
          </w:tcPr>
          <w:p>
            <w:pPr>
              <w:spacing w:line="300" w:lineRule="exact"/>
              <w:jc w:val="center"/>
              <w:rPr>
                <w:rFonts w:ascii="宋体" w:hAnsi="宋体"/>
                <w:szCs w:val="21"/>
              </w:rPr>
            </w:pPr>
            <w:r>
              <w:rPr>
                <w:rFonts w:hint="eastAsia" w:ascii="宋体" w:hAnsi="宋体"/>
                <w:color w:val="auto"/>
              </w:rPr>
              <w:t>投标人须自备演示设备，单个投标人的演示时间不超过20分钟。</w:t>
            </w:r>
          </w:p>
        </w:tc>
        <w:tc>
          <w:tcPr>
            <w:tcW w:w="946" w:type="dxa"/>
            <w:noWrap w:val="0"/>
            <w:vAlign w:val="center"/>
          </w:tcPr>
          <w:p>
            <w:pPr>
              <w:spacing w:line="300" w:lineRule="exact"/>
              <w:jc w:val="center"/>
              <w:rPr>
                <w:rFonts w:hint="eastAsia" w:ascii="宋体" w:hAnsi="宋体"/>
                <w:color w:val="auto"/>
                <w:szCs w:val="21"/>
                <w:lang w:eastAsia="zh-CN"/>
              </w:rPr>
            </w:pPr>
            <w:r>
              <w:rPr>
                <w:rFonts w:hint="eastAsia" w:ascii="宋体" w:hAnsi="宋体"/>
                <w:color w:val="auto"/>
                <w:szCs w:val="21"/>
                <w:lang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 w:hRule="atLeast"/>
          <w:jc w:val="center"/>
        </w:trPr>
        <w:tc>
          <w:tcPr>
            <w:tcW w:w="1847" w:type="dxa"/>
            <w:vMerge w:val="restart"/>
            <w:noWrap w:val="0"/>
            <w:vAlign w:val="center"/>
          </w:tcPr>
          <w:p>
            <w:pPr>
              <w:spacing w:line="300" w:lineRule="exact"/>
              <w:jc w:val="center"/>
              <w:rPr>
                <w:rFonts w:ascii="宋体" w:hAnsi="宋体"/>
                <w:spacing w:val="-12"/>
                <w:szCs w:val="21"/>
              </w:rPr>
            </w:pPr>
            <w:r>
              <w:rPr>
                <w:rFonts w:hint="eastAsia" w:ascii="宋体" w:hAnsi="宋体"/>
                <w:color w:val="auto"/>
                <w:spacing w:val="-12"/>
                <w:szCs w:val="21"/>
              </w:rPr>
              <w:t>商务部分标准</w:t>
            </w:r>
          </w:p>
        </w:tc>
        <w:tc>
          <w:tcPr>
            <w:tcW w:w="1341" w:type="dxa"/>
            <w:noWrap w:val="0"/>
            <w:vAlign w:val="center"/>
          </w:tcPr>
          <w:p>
            <w:pPr>
              <w:spacing w:line="300" w:lineRule="exact"/>
              <w:jc w:val="center"/>
              <w:rPr>
                <w:rFonts w:ascii="宋体" w:hAnsi="宋体"/>
                <w:bCs/>
                <w:szCs w:val="21"/>
              </w:rPr>
            </w:pPr>
            <w:r>
              <w:rPr>
                <w:rFonts w:hint="eastAsia" w:ascii="宋体" w:hAnsi="宋体"/>
                <w:bCs/>
                <w:color w:val="auto"/>
                <w:szCs w:val="21"/>
              </w:rPr>
              <w:t>售后服务优惠承诺</w:t>
            </w:r>
          </w:p>
        </w:tc>
        <w:tc>
          <w:tcPr>
            <w:tcW w:w="4374" w:type="dxa"/>
            <w:noWrap w:val="0"/>
            <w:vAlign w:val="center"/>
          </w:tcPr>
          <w:p>
            <w:pPr>
              <w:snapToGrid w:val="0"/>
              <w:spacing w:line="320" w:lineRule="exact"/>
              <w:rPr>
                <w:rFonts w:ascii="宋体" w:hAnsi="宋体"/>
                <w:szCs w:val="21"/>
              </w:rPr>
            </w:pPr>
            <w:r>
              <w:rPr>
                <w:rFonts w:hint="eastAsia" w:ascii="宋体" w:hAnsi="宋体"/>
                <w:color w:val="auto"/>
              </w:rPr>
              <w:t>综合比较所有投标人的售后服务承诺和培训计划，主要内容为在项目需求中售后服务要求的基础上进行更好响应的，优的得</w:t>
            </w:r>
            <w:r>
              <w:rPr>
                <w:rFonts w:hint="eastAsia" w:ascii="宋体" w:hAnsi="宋体"/>
                <w:color w:val="auto"/>
                <w:lang w:eastAsia="zh-CN"/>
              </w:rPr>
              <w:t>8</w:t>
            </w:r>
            <w:r>
              <w:rPr>
                <w:rFonts w:hint="eastAsia" w:ascii="宋体" w:hAnsi="宋体"/>
                <w:color w:val="auto"/>
              </w:rPr>
              <w:t>-1</w:t>
            </w:r>
            <w:r>
              <w:rPr>
                <w:rFonts w:hint="eastAsia" w:ascii="宋体" w:hAnsi="宋体"/>
                <w:color w:val="auto"/>
                <w:lang w:eastAsia="zh-CN"/>
              </w:rPr>
              <w:t>0</w:t>
            </w:r>
            <w:r>
              <w:rPr>
                <w:rFonts w:hint="eastAsia" w:ascii="宋体" w:hAnsi="宋体"/>
                <w:color w:val="auto"/>
              </w:rPr>
              <w:t>分；良好得</w:t>
            </w:r>
            <w:r>
              <w:rPr>
                <w:rFonts w:hint="eastAsia" w:ascii="宋体" w:hAnsi="宋体"/>
                <w:color w:val="auto"/>
                <w:lang w:eastAsia="zh-CN"/>
              </w:rPr>
              <w:t>5</w:t>
            </w:r>
            <w:r>
              <w:rPr>
                <w:rFonts w:hint="eastAsia" w:ascii="宋体" w:hAnsi="宋体"/>
                <w:color w:val="auto"/>
              </w:rPr>
              <w:t>-</w:t>
            </w:r>
            <w:r>
              <w:rPr>
                <w:rFonts w:hint="eastAsia" w:ascii="宋体" w:hAnsi="宋体"/>
                <w:color w:val="auto"/>
                <w:lang w:eastAsia="zh-CN"/>
              </w:rPr>
              <w:t>7</w:t>
            </w:r>
            <w:r>
              <w:rPr>
                <w:rFonts w:hint="eastAsia" w:ascii="宋体" w:hAnsi="宋体"/>
                <w:color w:val="auto"/>
              </w:rPr>
              <w:t>分，一般得0-4分。</w:t>
            </w:r>
          </w:p>
        </w:tc>
        <w:tc>
          <w:tcPr>
            <w:tcW w:w="1934" w:type="dxa"/>
            <w:noWrap w:val="0"/>
            <w:vAlign w:val="center"/>
          </w:tcPr>
          <w:p>
            <w:pPr>
              <w:spacing w:line="300" w:lineRule="exact"/>
              <w:jc w:val="center"/>
              <w:rPr>
                <w:rFonts w:ascii="宋体" w:hAnsi="宋体"/>
                <w:szCs w:val="21"/>
              </w:rPr>
            </w:pPr>
            <w:r>
              <w:rPr>
                <w:rFonts w:hint="eastAsia" w:ascii="宋体" w:hAnsi="宋体"/>
                <w:color w:val="auto"/>
                <w:szCs w:val="21"/>
              </w:rPr>
              <w:t>提供售后服务方案装订入投标文件，未提供售后服务方案的不得分。</w:t>
            </w:r>
          </w:p>
        </w:tc>
        <w:tc>
          <w:tcPr>
            <w:tcW w:w="946" w:type="dxa"/>
            <w:noWrap w:val="0"/>
            <w:vAlign w:val="center"/>
          </w:tcPr>
          <w:p>
            <w:pPr>
              <w:spacing w:line="300" w:lineRule="exact"/>
              <w:jc w:val="center"/>
              <w:rPr>
                <w:rFonts w:ascii="宋体" w:hAnsi="宋体"/>
                <w:szCs w:val="21"/>
                <w:lang w:eastAsia="zh-CN"/>
              </w:rPr>
            </w:pPr>
            <w:r>
              <w:rPr>
                <w:rFonts w:hint="eastAsia" w:ascii="宋体" w:hAnsi="宋体"/>
                <w:color w:val="auto"/>
                <w:szCs w:val="21"/>
                <w:lang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5" w:hRule="atLeast"/>
          <w:jc w:val="center"/>
        </w:trPr>
        <w:tc>
          <w:tcPr>
            <w:tcW w:w="1847" w:type="dxa"/>
            <w:vMerge w:val="continue"/>
            <w:noWrap w:val="0"/>
            <w:vAlign w:val="center"/>
          </w:tcPr>
          <w:p>
            <w:pPr>
              <w:autoSpaceDE w:val="0"/>
              <w:autoSpaceDN w:val="0"/>
              <w:adjustRightInd w:val="0"/>
              <w:spacing w:line="300" w:lineRule="exact"/>
              <w:rPr>
                <w:rFonts w:ascii="宋体" w:hAnsi="宋体"/>
                <w:spacing w:val="-12"/>
                <w:szCs w:val="21"/>
              </w:rPr>
            </w:pPr>
          </w:p>
        </w:tc>
        <w:tc>
          <w:tcPr>
            <w:tcW w:w="1341" w:type="dxa"/>
            <w:noWrap w:val="0"/>
            <w:vAlign w:val="center"/>
          </w:tcPr>
          <w:p>
            <w:pPr>
              <w:spacing w:line="300" w:lineRule="exact"/>
              <w:jc w:val="center"/>
              <w:rPr>
                <w:rFonts w:ascii="宋体" w:hAnsi="宋体" w:cs="Arial"/>
                <w:bCs/>
                <w:szCs w:val="21"/>
              </w:rPr>
            </w:pPr>
            <w:r>
              <w:rPr>
                <w:rFonts w:hint="eastAsia" w:ascii="宋体" w:hAnsi="宋体"/>
                <w:bCs/>
                <w:color w:val="auto"/>
                <w:szCs w:val="21"/>
              </w:rPr>
              <w:t>成功案例及业绩</w:t>
            </w:r>
          </w:p>
        </w:tc>
        <w:tc>
          <w:tcPr>
            <w:tcW w:w="4374" w:type="dxa"/>
            <w:noWrap w:val="0"/>
            <w:vAlign w:val="center"/>
          </w:tcPr>
          <w:p>
            <w:pPr>
              <w:pStyle w:val="15"/>
              <w:jc w:val="both"/>
              <w:rPr>
                <w:rFonts w:hint="eastAsia" w:ascii="宋体" w:hAnsi="宋体" w:cs="Arial"/>
                <w:color w:val="auto"/>
                <w:szCs w:val="21"/>
              </w:rPr>
            </w:pPr>
            <w:r>
              <w:rPr>
                <w:rFonts w:hint="eastAsia" w:ascii="宋体" w:hAnsi="宋体" w:cs="Arial"/>
                <w:color w:val="auto"/>
                <w:szCs w:val="21"/>
              </w:rPr>
              <w:t>投标人自开标截止之日起前三年实施的同类项目业绩或案例</w:t>
            </w:r>
            <w:r>
              <w:rPr>
                <w:rFonts w:hint="eastAsia"/>
                <w:sz w:val="23"/>
                <w:szCs w:val="23"/>
              </w:rPr>
              <w:t>，</w:t>
            </w:r>
            <w:r>
              <w:rPr>
                <w:rFonts w:hint="eastAsia" w:ascii="宋体" w:hAnsi="宋体" w:cs="Arial"/>
                <w:color w:val="auto"/>
                <w:szCs w:val="21"/>
              </w:rPr>
              <w:t>每提供一项得</w:t>
            </w:r>
            <w:r>
              <w:rPr>
                <w:rFonts w:hint="eastAsia" w:cs="Arial"/>
                <w:color w:val="auto"/>
                <w:szCs w:val="21"/>
                <w:lang w:val="en-US" w:eastAsia="zh-CN"/>
              </w:rPr>
              <w:t>3</w:t>
            </w:r>
            <w:r>
              <w:rPr>
                <w:rFonts w:hint="eastAsia" w:ascii="宋体" w:hAnsi="宋体" w:cs="Arial"/>
                <w:color w:val="auto"/>
                <w:szCs w:val="21"/>
              </w:rPr>
              <w:t>分，最高得</w:t>
            </w:r>
            <w:r>
              <w:rPr>
                <w:rFonts w:hint="eastAsia" w:cs="Arial"/>
                <w:color w:val="auto"/>
                <w:szCs w:val="21"/>
                <w:lang w:val="en-US" w:eastAsia="zh-CN"/>
              </w:rPr>
              <w:t>15</w:t>
            </w:r>
            <w:r>
              <w:rPr>
                <w:rFonts w:hint="eastAsia" w:ascii="宋体" w:hAnsi="宋体" w:cs="Arial"/>
                <w:color w:val="auto"/>
                <w:szCs w:val="21"/>
              </w:rPr>
              <w:t>分。</w:t>
            </w:r>
            <w:r>
              <w:rPr>
                <w:rFonts w:ascii="宋体" w:hAnsi="宋体" w:cs="Arial"/>
                <w:color w:val="auto"/>
                <w:szCs w:val="21"/>
              </w:rPr>
              <w:t xml:space="preserve"> </w:t>
            </w:r>
          </w:p>
          <w:p>
            <w:pPr>
              <w:spacing w:line="300" w:lineRule="exact"/>
              <w:ind w:firstLine="422" w:firstLineChars="200"/>
              <w:rPr>
                <w:rFonts w:hint="eastAsia" w:ascii="宋体" w:hAnsi="宋体" w:cs="Arial"/>
                <w:color w:val="auto"/>
                <w:szCs w:val="21"/>
                <w:lang w:eastAsia="zh-CN"/>
              </w:rPr>
            </w:pPr>
            <w:r>
              <w:rPr>
                <w:rFonts w:hint="eastAsia"/>
                <w:b/>
                <w:color w:val="auto"/>
                <w:sz w:val="21"/>
                <w:szCs w:val="21"/>
              </w:rPr>
              <w:t>注：本项满分1</w:t>
            </w:r>
            <w:r>
              <w:rPr>
                <w:rFonts w:hint="eastAsia"/>
                <w:b/>
                <w:color w:val="auto"/>
                <w:sz w:val="21"/>
                <w:szCs w:val="21"/>
                <w:lang w:val="en-US" w:eastAsia="zh-CN"/>
              </w:rPr>
              <w:t>5</w:t>
            </w:r>
            <w:r>
              <w:rPr>
                <w:rFonts w:hint="eastAsia"/>
                <w:b/>
                <w:color w:val="auto"/>
                <w:sz w:val="21"/>
                <w:szCs w:val="21"/>
              </w:rPr>
              <w:t>分，同一项目不重复计分。提供业绩合同扫描件或影印件，如合同无法体现项目内容的，须另附业主证明材料扫描件或影印件。</w:t>
            </w:r>
          </w:p>
        </w:tc>
        <w:tc>
          <w:tcPr>
            <w:tcW w:w="1934" w:type="dxa"/>
            <w:noWrap w:val="0"/>
            <w:vAlign w:val="center"/>
          </w:tcPr>
          <w:p>
            <w:pPr>
              <w:autoSpaceDE w:val="0"/>
              <w:autoSpaceDN w:val="0"/>
              <w:adjustRightInd w:val="0"/>
              <w:spacing w:line="300" w:lineRule="exact"/>
              <w:jc w:val="center"/>
              <w:rPr>
                <w:rFonts w:ascii="宋体" w:hAnsi="宋体"/>
                <w:szCs w:val="21"/>
              </w:rPr>
            </w:pPr>
            <w:r>
              <w:rPr>
                <w:rFonts w:hint="eastAsia" w:ascii="宋体" w:hAnsi="宋体" w:cs="Arial"/>
                <w:color w:val="auto"/>
                <w:szCs w:val="21"/>
              </w:rPr>
              <w:t>提供合同复印件，以签订日期为准</w:t>
            </w:r>
          </w:p>
        </w:tc>
        <w:tc>
          <w:tcPr>
            <w:tcW w:w="946" w:type="dxa"/>
            <w:noWrap w:val="0"/>
            <w:vAlign w:val="center"/>
          </w:tcPr>
          <w:p>
            <w:pPr>
              <w:autoSpaceDE w:val="0"/>
              <w:autoSpaceDN w:val="0"/>
              <w:adjustRightInd w:val="0"/>
              <w:spacing w:line="300" w:lineRule="exact"/>
              <w:jc w:val="center"/>
              <w:rPr>
                <w:rFonts w:hint="default" w:ascii="宋体" w:hAnsi="宋体" w:eastAsia="宋体"/>
                <w:szCs w:val="21"/>
                <w:lang w:val="en-US" w:eastAsia="zh-CN"/>
              </w:rPr>
            </w:pPr>
            <w:r>
              <w:rPr>
                <w:rFonts w:hint="eastAsia" w:ascii="宋体" w:hAnsi="宋体"/>
                <w:color w:val="auto"/>
                <w:szCs w:val="21"/>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5" w:hRule="atLeast"/>
          <w:jc w:val="center"/>
        </w:trPr>
        <w:tc>
          <w:tcPr>
            <w:tcW w:w="1847" w:type="dxa"/>
            <w:noWrap w:val="0"/>
            <w:vAlign w:val="center"/>
          </w:tcPr>
          <w:p>
            <w:pPr>
              <w:autoSpaceDE w:val="0"/>
              <w:autoSpaceDN w:val="0"/>
              <w:adjustRightInd w:val="0"/>
              <w:spacing w:line="300" w:lineRule="exact"/>
              <w:jc w:val="center"/>
              <w:rPr>
                <w:rFonts w:ascii="宋体" w:hAnsi="宋体"/>
                <w:spacing w:val="-12"/>
                <w:szCs w:val="21"/>
              </w:rPr>
            </w:pPr>
            <w:r>
              <w:rPr>
                <w:rFonts w:hint="eastAsia" w:ascii="宋体" w:hAnsi="宋体"/>
                <w:color w:val="auto"/>
                <w:spacing w:val="-12"/>
                <w:szCs w:val="21"/>
              </w:rPr>
              <w:t>报价部分评分</w:t>
            </w:r>
          </w:p>
        </w:tc>
        <w:tc>
          <w:tcPr>
            <w:tcW w:w="5715" w:type="dxa"/>
            <w:gridSpan w:val="2"/>
            <w:noWrap w:val="0"/>
            <w:vAlign w:val="center"/>
          </w:tcPr>
          <w:p>
            <w:pPr>
              <w:spacing w:line="300" w:lineRule="exact"/>
              <w:ind w:firstLine="420" w:firstLineChars="200"/>
              <w:rPr>
                <w:rFonts w:ascii="宋体" w:hAnsi="宋体" w:cs="Arial"/>
                <w:szCs w:val="21"/>
              </w:rPr>
            </w:pPr>
            <w:r>
              <w:rPr>
                <w:rFonts w:hint="eastAsia" w:ascii="宋体" w:hAnsi="宋体" w:cs="Arial"/>
                <w:color w:val="auto"/>
                <w:szCs w:val="21"/>
              </w:rPr>
              <w:t>根据各投标人的最终有效投标报价，以满足招标文件要求且最终有效投标价格最低的投标报价为评标基准价，其价格分为满分40分。其它投标人的价格分统一按照下列公式计算：投标报价得分=(评标基准价／投标报价)×40（四舍五入，精确到小数点后二位）。</w:t>
            </w:r>
          </w:p>
        </w:tc>
        <w:tc>
          <w:tcPr>
            <w:tcW w:w="1934" w:type="dxa"/>
            <w:noWrap w:val="0"/>
            <w:vAlign w:val="center"/>
          </w:tcPr>
          <w:p>
            <w:pPr>
              <w:autoSpaceDE w:val="0"/>
              <w:autoSpaceDN w:val="0"/>
              <w:adjustRightInd w:val="0"/>
              <w:spacing w:line="300" w:lineRule="exact"/>
              <w:jc w:val="center"/>
              <w:rPr>
                <w:rFonts w:ascii="宋体" w:hAnsi="宋体"/>
                <w:szCs w:val="21"/>
              </w:rPr>
            </w:pPr>
            <w:r>
              <w:rPr>
                <w:rFonts w:hint="eastAsia" w:ascii="宋体" w:hAnsi="宋体"/>
                <w:color w:val="auto"/>
                <w:szCs w:val="21"/>
              </w:rPr>
              <w:t>以报价表中的金额为准</w:t>
            </w:r>
          </w:p>
        </w:tc>
        <w:tc>
          <w:tcPr>
            <w:tcW w:w="946" w:type="dxa"/>
            <w:noWrap w:val="0"/>
            <w:vAlign w:val="center"/>
          </w:tcPr>
          <w:p>
            <w:pPr>
              <w:autoSpaceDE w:val="0"/>
              <w:autoSpaceDN w:val="0"/>
              <w:adjustRightInd w:val="0"/>
              <w:spacing w:line="300" w:lineRule="exact"/>
              <w:jc w:val="center"/>
              <w:rPr>
                <w:rFonts w:ascii="宋体" w:hAnsi="宋体"/>
                <w:szCs w:val="21"/>
              </w:rPr>
            </w:pPr>
            <w:r>
              <w:rPr>
                <w:rFonts w:hint="eastAsia" w:ascii="宋体" w:hAnsi="宋体"/>
                <w:color w:val="auto"/>
                <w:szCs w:val="21"/>
              </w:rPr>
              <w:t>40</w:t>
            </w:r>
          </w:p>
        </w:tc>
      </w:tr>
    </w:tbl>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p>
      <w:pPr>
        <w:spacing w:line="360" w:lineRule="auto"/>
        <w:rPr>
          <w:rFonts w:hint="eastAsia" w:ascii="宋体" w:hAnsi="宋体" w:eastAsia="宋体" w:cs="华文仿宋"/>
          <w:bCs/>
          <w:kern w:val="0"/>
          <w:sz w:val="28"/>
          <w:szCs w:val="28"/>
          <w:lang w:val="en-US" w:eastAsia="zh-CN" w:bidi="ar-SA"/>
        </w:rPr>
      </w:pPr>
    </w:p>
    <w:p>
      <w:pPr>
        <w:spacing w:line="360" w:lineRule="auto"/>
        <w:rPr>
          <w:rFonts w:hint="eastAsia" w:ascii="宋体" w:hAnsi="宋体" w:eastAsia="宋体" w:cs="华文仿宋"/>
          <w:bCs/>
          <w:kern w:val="0"/>
          <w:sz w:val="28"/>
          <w:szCs w:val="28"/>
          <w:lang w:val="en-US" w:eastAsia="zh-CN" w:bidi="ar-SA"/>
        </w:rPr>
      </w:pPr>
      <w:r>
        <w:rPr>
          <w:rFonts w:hint="eastAsia" w:ascii="宋体" w:hAnsi="宋体" w:eastAsia="宋体" w:cs="华文仿宋"/>
          <w:bCs/>
          <w:kern w:val="0"/>
          <w:sz w:val="28"/>
          <w:szCs w:val="28"/>
          <w:lang w:val="en-US" w:eastAsia="zh-CN" w:bidi="ar-SA"/>
        </w:rPr>
        <w:t>三、演示内容</w:t>
      </w:r>
    </w:p>
    <w:tbl>
      <w:tblPr>
        <w:tblStyle w:val="6"/>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560"/>
        <w:gridCol w:w="4920"/>
        <w:gridCol w:w="975"/>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pStyle w:val="13"/>
              <w:adjustRightInd/>
              <w:jc w:val="center"/>
              <w:rPr>
                <w:rFonts w:cs="华文仿宋"/>
                <w:b/>
                <w:sz w:val="21"/>
                <w:szCs w:val="21"/>
              </w:rPr>
            </w:pPr>
            <w:r>
              <w:rPr>
                <w:rFonts w:hint="eastAsia" w:cs="华文仿宋"/>
                <w:b/>
                <w:sz w:val="21"/>
                <w:szCs w:val="21"/>
              </w:rPr>
              <w:t>序号</w:t>
            </w:r>
          </w:p>
        </w:tc>
        <w:tc>
          <w:tcPr>
            <w:tcW w:w="6480" w:type="dxa"/>
            <w:gridSpan w:val="2"/>
            <w:noWrap w:val="0"/>
            <w:vAlign w:val="center"/>
          </w:tcPr>
          <w:p>
            <w:pPr>
              <w:pStyle w:val="13"/>
              <w:wordWrap w:val="0"/>
              <w:adjustRightInd/>
              <w:jc w:val="center"/>
              <w:rPr>
                <w:rFonts w:cs="华文仿宋"/>
                <w:b/>
                <w:sz w:val="21"/>
                <w:szCs w:val="21"/>
              </w:rPr>
            </w:pPr>
            <w:r>
              <w:rPr>
                <w:rFonts w:hint="eastAsia" w:cs="华文仿宋"/>
                <w:b/>
                <w:sz w:val="21"/>
                <w:szCs w:val="21"/>
              </w:rPr>
              <w:t>演示内容及效果</w:t>
            </w:r>
          </w:p>
        </w:tc>
        <w:tc>
          <w:tcPr>
            <w:tcW w:w="975" w:type="dxa"/>
            <w:noWrap w:val="0"/>
            <w:vAlign w:val="center"/>
          </w:tcPr>
          <w:p>
            <w:pPr>
              <w:pStyle w:val="13"/>
              <w:wordWrap w:val="0"/>
              <w:adjustRightInd/>
              <w:jc w:val="center"/>
              <w:rPr>
                <w:rFonts w:cs="华文仿宋"/>
                <w:b/>
                <w:sz w:val="21"/>
                <w:szCs w:val="21"/>
              </w:rPr>
            </w:pPr>
            <w:r>
              <w:rPr>
                <w:rFonts w:hint="eastAsia" w:cs="华文仿宋"/>
                <w:b/>
                <w:sz w:val="21"/>
                <w:szCs w:val="21"/>
              </w:rPr>
              <w:t>分值</w:t>
            </w:r>
          </w:p>
        </w:tc>
        <w:tc>
          <w:tcPr>
            <w:tcW w:w="1535" w:type="dxa"/>
            <w:noWrap w:val="0"/>
            <w:vAlign w:val="center"/>
          </w:tcPr>
          <w:p>
            <w:pPr>
              <w:pStyle w:val="13"/>
              <w:wordWrap w:val="0"/>
              <w:adjustRightInd/>
              <w:jc w:val="center"/>
              <w:rPr>
                <w:rFonts w:cs="华文仿宋"/>
                <w:b/>
                <w:sz w:val="21"/>
                <w:szCs w:val="21"/>
              </w:rPr>
            </w:pPr>
            <w:r>
              <w:rPr>
                <w:rFonts w:hint="eastAsia" w:cs="华文仿宋"/>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7" w:hRule="exact"/>
          <w:jc w:val="center"/>
        </w:trPr>
        <w:tc>
          <w:tcPr>
            <w:tcW w:w="810"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60" w:type="dxa"/>
            <w:noWrap w:val="0"/>
            <w:vAlign w:val="center"/>
          </w:tcPr>
          <w:p>
            <w:pPr>
              <w:jc w:val="center"/>
            </w:pPr>
            <w:r>
              <w:rPr>
                <w:rFonts w:hint="eastAsia"/>
                <w:color w:val="auto"/>
                <w:sz w:val="21"/>
                <w:szCs w:val="21"/>
              </w:rPr>
              <w:t>申报审批</w:t>
            </w:r>
          </w:p>
        </w:tc>
        <w:tc>
          <w:tcPr>
            <w:tcW w:w="4920" w:type="dxa"/>
            <w:noWrap w:val="0"/>
            <w:vAlign w:val="center"/>
          </w:tcPr>
          <w:p>
            <w:pPr>
              <w:rPr>
                <w:rFonts w:ascii="宋体" w:hAnsi="宋体"/>
                <w:spacing w:val="-6"/>
                <w:lang w:val="zh-CN" w:eastAsia="zh-CN"/>
              </w:rPr>
            </w:pPr>
            <w:r>
              <w:rPr>
                <w:rFonts w:hint="eastAsia" w:ascii="宋体" w:hAnsi="宋体"/>
                <w:color w:val="auto"/>
                <w:sz w:val="21"/>
                <w:szCs w:val="21"/>
              </w:rPr>
              <w:t>系统能够满足申报人根据当前申报类别的期限，录入项目及负责人、经费预算表、参与人、建设目标与预期成果、项目附件等信息</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restart"/>
            <w:noWrap w:val="0"/>
            <w:vAlign w:val="center"/>
          </w:tcPr>
          <w:p>
            <w:pPr>
              <w:pStyle w:val="13"/>
              <w:wordWrap w:val="0"/>
              <w:adjustRightInd/>
              <w:jc w:val="center"/>
              <w:rPr>
                <w:rFonts w:hint="eastAsia" w:cs="Times New Roman"/>
                <w:spacing w:val="-6"/>
                <w:sz w:val="20"/>
                <w:szCs w:val="20"/>
                <w:lang w:val="zh-CN"/>
              </w:rPr>
            </w:pPr>
            <w:r>
              <w:rPr>
                <w:rFonts w:hint="eastAsia" w:cs="Times New Roman"/>
                <w:spacing w:val="-6"/>
                <w:sz w:val="20"/>
                <w:szCs w:val="20"/>
                <w:lang w:val="zh-CN"/>
              </w:rPr>
              <w:t>1.投标人自行准备演示设备，演示时间达到20分钟立即停止，按项赋分。</w:t>
            </w:r>
          </w:p>
          <w:p>
            <w:pPr>
              <w:pStyle w:val="13"/>
              <w:wordWrap w:val="0"/>
              <w:adjustRightInd/>
              <w:jc w:val="center"/>
              <w:rPr>
                <w:rFonts w:cs="Times New Roman"/>
                <w:spacing w:val="-6"/>
                <w:sz w:val="20"/>
                <w:szCs w:val="20"/>
                <w:lang w:val="zh-CN"/>
              </w:rPr>
            </w:pPr>
            <w:r>
              <w:rPr>
                <w:rFonts w:hint="eastAsia" w:cs="Times New Roman"/>
                <w:spacing w:val="-6"/>
                <w:sz w:val="20"/>
                <w:szCs w:val="20"/>
                <w:lang w:val="zh-CN"/>
              </w:rPr>
              <w:t>2.</w:t>
            </w:r>
            <w:r>
              <w:rPr>
                <w:sz w:val="21"/>
                <w:szCs w:val="21"/>
              </w:rPr>
              <w:t xml:space="preserve"> </w:t>
            </w:r>
            <w:r>
              <w:rPr>
                <w:rFonts w:cs="Times New Roman"/>
                <w:spacing w:val="-6"/>
                <w:sz w:val="20"/>
                <w:szCs w:val="20"/>
                <w:lang w:val="zh-CN"/>
              </w:rPr>
              <w:t>供应商须采用真实用户系统环境演示（需要网络演示的供应商自行准备网络环境），且自行携带演示设备</w:t>
            </w:r>
            <w:r>
              <w:rPr>
                <w:rFonts w:hint="eastAsia" w:cs="Times New Roman"/>
                <w:spacing w:val="-6"/>
                <w:sz w:val="20"/>
                <w:szCs w:val="20"/>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2</w:t>
            </w:r>
          </w:p>
        </w:tc>
        <w:tc>
          <w:tcPr>
            <w:tcW w:w="1560" w:type="dxa"/>
            <w:noWrap w:val="0"/>
            <w:vAlign w:val="center"/>
          </w:tcPr>
          <w:p>
            <w:pPr>
              <w:jc w:val="center"/>
            </w:pPr>
            <w:r>
              <w:rPr>
                <w:rFonts w:hint="eastAsia"/>
                <w:color w:val="auto"/>
                <w:sz w:val="21"/>
                <w:szCs w:val="21"/>
              </w:rPr>
              <w:t>申报审批</w:t>
            </w:r>
          </w:p>
        </w:tc>
        <w:tc>
          <w:tcPr>
            <w:tcW w:w="4920" w:type="dxa"/>
            <w:noWrap w:val="0"/>
            <w:vAlign w:val="center"/>
          </w:tcPr>
          <w:p>
            <w:pPr>
              <w:rPr>
                <w:rFonts w:ascii="宋体" w:hAnsi="宋体"/>
                <w:spacing w:val="-6"/>
                <w:lang w:val="zh-CN" w:eastAsia="zh-CN"/>
              </w:rPr>
            </w:pPr>
            <w:r>
              <w:rPr>
                <w:rFonts w:hint="eastAsia" w:ascii="宋体" w:hAnsi="宋体"/>
                <w:color w:val="auto"/>
                <w:sz w:val="21"/>
                <w:szCs w:val="21"/>
              </w:rPr>
              <w:t>项目推荐：院系管理员通过设置推荐排名和推荐意见推荐或驳回项目</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0.5</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3</w:t>
            </w:r>
          </w:p>
        </w:tc>
        <w:tc>
          <w:tcPr>
            <w:tcW w:w="1560" w:type="dxa"/>
            <w:noWrap w:val="0"/>
            <w:vAlign w:val="center"/>
          </w:tcPr>
          <w:p>
            <w:pPr>
              <w:jc w:val="center"/>
            </w:pPr>
            <w:r>
              <w:rPr>
                <w:rFonts w:hint="eastAsia"/>
                <w:color w:val="auto"/>
                <w:sz w:val="21"/>
                <w:szCs w:val="21"/>
              </w:rPr>
              <w:t>申报审批</w:t>
            </w:r>
          </w:p>
        </w:tc>
        <w:tc>
          <w:tcPr>
            <w:tcW w:w="4920" w:type="dxa"/>
            <w:noWrap w:val="0"/>
            <w:vAlign w:val="center"/>
          </w:tcPr>
          <w:p>
            <w:pPr>
              <w:rPr>
                <w:rFonts w:ascii="宋体" w:hAnsi="宋体"/>
                <w:spacing w:val="-6"/>
                <w:lang w:val="zh-CN"/>
              </w:rPr>
            </w:pPr>
            <w:r>
              <w:rPr>
                <w:rFonts w:hint="eastAsia" w:ascii="宋体" w:hAnsi="宋体"/>
                <w:color w:val="auto"/>
                <w:sz w:val="21"/>
                <w:szCs w:val="21"/>
              </w:rPr>
              <w:t>项目上报：将省级质量工程项目上报安徽省教育厅质量工程项目管理系统，同时显示是否上报的状态</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4</w:t>
            </w:r>
          </w:p>
        </w:tc>
        <w:tc>
          <w:tcPr>
            <w:tcW w:w="1560" w:type="dxa"/>
            <w:noWrap w:val="0"/>
            <w:vAlign w:val="center"/>
          </w:tcPr>
          <w:p>
            <w:pPr>
              <w:jc w:val="center"/>
            </w:pPr>
            <w:r>
              <w:rPr>
                <w:rFonts w:hint="eastAsia"/>
                <w:color w:val="auto"/>
                <w:sz w:val="21"/>
                <w:szCs w:val="21"/>
              </w:rPr>
              <w:t>网络评审</w:t>
            </w:r>
          </w:p>
        </w:tc>
        <w:tc>
          <w:tcPr>
            <w:tcW w:w="4920" w:type="dxa"/>
            <w:noWrap w:val="0"/>
            <w:vAlign w:val="center"/>
          </w:tcPr>
          <w:p>
            <w:pPr>
              <w:pStyle w:val="15"/>
              <w:spacing w:line="360" w:lineRule="auto"/>
              <w:rPr>
                <w:rFonts w:ascii="宋体" w:hAnsi="宋体"/>
                <w:color w:val="auto"/>
                <w:sz w:val="21"/>
                <w:szCs w:val="21"/>
              </w:rPr>
            </w:pPr>
            <w:r>
              <w:rPr>
                <w:rFonts w:hint="eastAsia" w:ascii="宋体" w:hAnsi="宋体"/>
                <w:color w:val="auto"/>
                <w:sz w:val="21"/>
                <w:szCs w:val="21"/>
              </w:rPr>
              <w:t>系统可对评审指标进行动态设置</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0.5</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5</w:t>
            </w:r>
          </w:p>
        </w:tc>
        <w:tc>
          <w:tcPr>
            <w:tcW w:w="1560" w:type="dxa"/>
            <w:noWrap w:val="0"/>
            <w:vAlign w:val="center"/>
          </w:tcPr>
          <w:p>
            <w:pPr>
              <w:jc w:val="center"/>
            </w:pPr>
            <w:r>
              <w:rPr>
                <w:rFonts w:hint="eastAsia"/>
                <w:color w:val="auto"/>
                <w:sz w:val="21"/>
                <w:szCs w:val="21"/>
              </w:rPr>
              <w:t>网络评审</w:t>
            </w:r>
          </w:p>
        </w:tc>
        <w:tc>
          <w:tcPr>
            <w:tcW w:w="4920" w:type="dxa"/>
            <w:noWrap w:val="0"/>
            <w:vAlign w:val="center"/>
          </w:tcPr>
          <w:p>
            <w:pPr>
              <w:rPr>
                <w:rFonts w:ascii="宋体" w:hAnsi="宋体"/>
                <w:spacing w:val="-6"/>
                <w:lang w:val="zh-CN"/>
              </w:rPr>
            </w:pPr>
            <w:r>
              <w:rPr>
                <w:rFonts w:hint="eastAsia" w:ascii="宋体" w:hAnsi="宋体"/>
                <w:color w:val="auto"/>
                <w:sz w:val="21"/>
                <w:szCs w:val="21"/>
              </w:rPr>
              <w:t>系统可对评审项目可以查看评审时间、发审数、已审数、平均分、评审等级等信息，并可以排序或导出评审结果</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6</w:t>
            </w:r>
          </w:p>
        </w:tc>
        <w:tc>
          <w:tcPr>
            <w:tcW w:w="1560" w:type="dxa"/>
            <w:noWrap w:val="0"/>
            <w:vAlign w:val="center"/>
          </w:tcPr>
          <w:p>
            <w:pPr>
              <w:jc w:val="center"/>
            </w:pPr>
            <w:r>
              <w:rPr>
                <w:rFonts w:hint="eastAsia"/>
                <w:color w:val="auto"/>
                <w:sz w:val="21"/>
                <w:szCs w:val="21"/>
              </w:rPr>
              <w:t>经费管理</w:t>
            </w:r>
          </w:p>
        </w:tc>
        <w:tc>
          <w:tcPr>
            <w:tcW w:w="4920" w:type="dxa"/>
            <w:noWrap w:val="0"/>
            <w:vAlign w:val="center"/>
          </w:tcPr>
          <w:p>
            <w:pPr>
              <w:pStyle w:val="15"/>
              <w:spacing w:line="360" w:lineRule="auto"/>
              <w:rPr>
                <w:rFonts w:hint="eastAsia" w:ascii="宋体" w:hAnsi="宋体"/>
                <w:color w:val="auto"/>
                <w:sz w:val="21"/>
                <w:szCs w:val="21"/>
              </w:rPr>
            </w:pPr>
            <w:r>
              <w:rPr>
                <w:rFonts w:hint="eastAsia" w:ascii="宋体" w:hAnsi="宋体"/>
                <w:color w:val="auto"/>
                <w:sz w:val="21"/>
                <w:szCs w:val="21"/>
              </w:rPr>
              <w:t>管理员能录入项目经费拨款情况并可以导出数据</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7</w:t>
            </w:r>
          </w:p>
        </w:tc>
        <w:tc>
          <w:tcPr>
            <w:tcW w:w="1560" w:type="dxa"/>
            <w:noWrap w:val="0"/>
            <w:vAlign w:val="center"/>
          </w:tcPr>
          <w:p>
            <w:pPr>
              <w:jc w:val="center"/>
            </w:pPr>
            <w:r>
              <w:rPr>
                <w:rFonts w:hint="eastAsia"/>
                <w:color w:val="auto"/>
                <w:sz w:val="21"/>
                <w:szCs w:val="21"/>
              </w:rPr>
              <w:t>经费管理</w:t>
            </w:r>
          </w:p>
        </w:tc>
        <w:tc>
          <w:tcPr>
            <w:tcW w:w="4920" w:type="dxa"/>
            <w:noWrap w:val="0"/>
            <w:vAlign w:val="center"/>
          </w:tcPr>
          <w:p>
            <w:pPr>
              <w:rPr>
                <w:rFonts w:ascii="宋体" w:hAnsi="宋体"/>
                <w:spacing w:val="-6"/>
                <w:lang w:val="zh-CN"/>
              </w:rPr>
            </w:pPr>
            <w:r>
              <w:rPr>
                <w:rFonts w:hint="eastAsia" w:ascii="宋体" w:hAnsi="宋体"/>
                <w:color w:val="auto"/>
                <w:sz w:val="21"/>
                <w:szCs w:val="21"/>
              </w:rPr>
              <w:t>项目负责人可以录入项目经费使用情况</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0.5</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8</w:t>
            </w:r>
          </w:p>
        </w:tc>
        <w:tc>
          <w:tcPr>
            <w:tcW w:w="1560" w:type="dxa"/>
            <w:noWrap w:val="0"/>
            <w:vAlign w:val="center"/>
          </w:tcPr>
          <w:p>
            <w:pPr>
              <w:jc w:val="center"/>
            </w:pPr>
            <w:r>
              <w:rPr>
                <w:rFonts w:hint="eastAsia"/>
                <w:color w:val="auto"/>
                <w:sz w:val="21"/>
                <w:szCs w:val="21"/>
              </w:rPr>
              <w:t>经费管理</w:t>
            </w:r>
          </w:p>
        </w:tc>
        <w:tc>
          <w:tcPr>
            <w:tcW w:w="4920" w:type="dxa"/>
            <w:noWrap w:val="0"/>
            <w:vAlign w:val="center"/>
          </w:tcPr>
          <w:p>
            <w:pPr>
              <w:rPr>
                <w:rFonts w:ascii="宋体" w:hAnsi="宋体"/>
                <w:spacing w:val="-6"/>
                <w:lang w:val="zh-CN"/>
              </w:rPr>
            </w:pPr>
            <w:r>
              <w:rPr>
                <w:rFonts w:hint="eastAsia" w:ascii="宋体" w:hAnsi="宋体"/>
                <w:color w:val="auto"/>
                <w:sz w:val="21"/>
                <w:szCs w:val="21"/>
              </w:rPr>
              <w:t>对超出预算的经费不能录入并提示信息</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9</w:t>
            </w:r>
          </w:p>
        </w:tc>
        <w:tc>
          <w:tcPr>
            <w:tcW w:w="1560" w:type="dxa"/>
            <w:noWrap w:val="0"/>
            <w:vAlign w:val="center"/>
          </w:tcPr>
          <w:p>
            <w:pPr>
              <w:jc w:val="center"/>
            </w:pPr>
            <w:r>
              <w:rPr>
                <w:rFonts w:hint="eastAsia"/>
                <w:color w:val="auto"/>
                <w:sz w:val="21"/>
                <w:szCs w:val="21"/>
              </w:rPr>
              <w:t>经费管理</w:t>
            </w:r>
          </w:p>
        </w:tc>
        <w:tc>
          <w:tcPr>
            <w:tcW w:w="4920" w:type="dxa"/>
            <w:noWrap w:val="0"/>
            <w:vAlign w:val="center"/>
          </w:tcPr>
          <w:p>
            <w:pPr>
              <w:rPr>
                <w:rFonts w:ascii="宋体" w:hAnsi="宋体"/>
                <w:spacing w:val="-6"/>
                <w:lang w:val="zh-CN"/>
              </w:rPr>
            </w:pPr>
            <w:r>
              <w:rPr>
                <w:rFonts w:hint="eastAsia" w:ascii="宋体" w:hAnsi="宋体"/>
                <w:color w:val="auto"/>
                <w:sz w:val="21"/>
                <w:szCs w:val="21"/>
              </w:rPr>
              <w:t>可以对年度预算进行调整</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10</w:t>
            </w:r>
          </w:p>
        </w:tc>
        <w:tc>
          <w:tcPr>
            <w:tcW w:w="1560" w:type="dxa"/>
            <w:noWrap w:val="0"/>
            <w:vAlign w:val="center"/>
          </w:tcPr>
          <w:p>
            <w:pPr>
              <w:jc w:val="center"/>
            </w:pPr>
            <w:r>
              <w:rPr>
                <w:rFonts w:hint="eastAsia"/>
                <w:color w:val="auto"/>
                <w:sz w:val="21"/>
                <w:szCs w:val="21"/>
              </w:rPr>
              <w:t>经费管理</w:t>
            </w:r>
          </w:p>
        </w:tc>
        <w:tc>
          <w:tcPr>
            <w:tcW w:w="4920" w:type="dxa"/>
            <w:noWrap w:val="0"/>
            <w:vAlign w:val="center"/>
          </w:tcPr>
          <w:p>
            <w:pPr>
              <w:rPr>
                <w:rFonts w:ascii="宋体" w:hAnsi="宋体"/>
                <w:spacing w:val="-6"/>
                <w:lang w:val="zh-CN"/>
              </w:rPr>
            </w:pPr>
            <w:r>
              <w:rPr>
                <w:rFonts w:hint="eastAsia" w:ascii="宋体" w:hAnsi="宋体"/>
                <w:color w:val="auto"/>
                <w:sz w:val="21"/>
                <w:szCs w:val="21"/>
              </w:rPr>
              <w:t>对年度预算进行调整的审批流程</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0.5</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5"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11</w:t>
            </w:r>
          </w:p>
        </w:tc>
        <w:tc>
          <w:tcPr>
            <w:tcW w:w="1560" w:type="dxa"/>
            <w:noWrap w:val="0"/>
            <w:vAlign w:val="center"/>
          </w:tcPr>
          <w:p>
            <w:pPr>
              <w:jc w:val="center"/>
              <w:rPr>
                <w:rFonts w:ascii="宋体" w:hAnsi="宋体"/>
                <w:spacing w:val="-6"/>
                <w:lang w:val="zh-CN"/>
              </w:rPr>
            </w:pPr>
            <w:r>
              <w:rPr>
                <w:rFonts w:hint="eastAsia" w:ascii="宋体" w:hAnsi="宋体"/>
                <w:color w:val="auto"/>
                <w:sz w:val="21"/>
                <w:szCs w:val="21"/>
                <w:lang w:val="en-US" w:eastAsia="zh-CN"/>
              </w:rPr>
              <w:t>系统管理</w:t>
            </w:r>
          </w:p>
        </w:tc>
        <w:tc>
          <w:tcPr>
            <w:tcW w:w="4920" w:type="dxa"/>
            <w:noWrap w:val="0"/>
            <w:vAlign w:val="center"/>
          </w:tcPr>
          <w:p>
            <w:pPr>
              <w:spacing w:line="360" w:lineRule="auto"/>
              <w:rPr>
                <w:rFonts w:ascii="宋体" w:hAnsi="宋体"/>
                <w:spacing w:val="-6"/>
                <w:lang w:val="zh-CN"/>
              </w:rPr>
            </w:pPr>
            <w:r>
              <w:rPr>
                <w:rFonts w:hint="eastAsia" w:ascii="宋体" w:hAnsi="宋体"/>
                <w:color w:val="auto"/>
                <w:sz w:val="21"/>
                <w:szCs w:val="21"/>
                <w:lang w:eastAsia="zh-CN"/>
              </w:rPr>
              <w:t>对不同的科研项目类别进行设置，</w:t>
            </w:r>
            <w:r>
              <w:rPr>
                <w:rFonts w:hint="eastAsia" w:ascii="宋体" w:hAnsi="宋体"/>
                <w:color w:val="auto"/>
                <w:sz w:val="21"/>
                <w:szCs w:val="21"/>
              </w:rPr>
              <w:t>可以动态定义项目类别</w:t>
            </w:r>
            <w:r>
              <w:rPr>
                <w:rFonts w:hint="eastAsia" w:ascii="宋体" w:hAnsi="宋体"/>
                <w:color w:val="auto"/>
                <w:sz w:val="21"/>
                <w:szCs w:val="21"/>
                <w:lang w:eastAsia="zh-CN"/>
              </w:rPr>
              <w:t>，并可以对项目类别分权限进行管理</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1</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12</w:t>
            </w:r>
          </w:p>
        </w:tc>
        <w:tc>
          <w:tcPr>
            <w:tcW w:w="1560" w:type="dxa"/>
            <w:noWrap w:val="0"/>
            <w:vAlign w:val="center"/>
          </w:tcPr>
          <w:p>
            <w:pPr>
              <w:jc w:val="center"/>
            </w:pPr>
            <w:r>
              <w:rPr>
                <w:rFonts w:hint="eastAsia" w:ascii="宋体" w:hAnsi="宋体"/>
                <w:color w:val="auto"/>
                <w:sz w:val="21"/>
                <w:szCs w:val="21"/>
                <w:lang w:val="en-US" w:eastAsia="zh-CN"/>
              </w:rPr>
              <w:t>系统管理</w:t>
            </w:r>
          </w:p>
        </w:tc>
        <w:tc>
          <w:tcPr>
            <w:tcW w:w="4920" w:type="dxa"/>
            <w:noWrap w:val="0"/>
            <w:vAlign w:val="center"/>
          </w:tcPr>
          <w:p>
            <w:pPr>
              <w:rPr>
                <w:rFonts w:ascii="宋体" w:hAnsi="宋体"/>
                <w:spacing w:val="-6"/>
                <w:lang w:val="zh-CN"/>
              </w:rPr>
            </w:pPr>
            <w:r>
              <w:rPr>
                <w:rFonts w:hint="eastAsia" w:ascii="宋体" w:hAnsi="宋体"/>
                <w:color w:val="auto"/>
                <w:sz w:val="21"/>
                <w:szCs w:val="21"/>
                <w:lang w:eastAsia="zh-CN"/>
              </w:rPr>
              <w:t>对各个院系申报项目的推荐数量进行设置</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0.5</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0" w:type="dxa"/>
            <w:noWrap w:val="0"/>
            <w:vAlign w:val="center"/>
          </w:tcPr>
          <w:p>
            <w:pPr>
              <w:jc w:val="center"/>
              <w:rPr>
                <w:rFonts w:ascii="宋体" w:hAnsi="宋体"/>
                <w:spacing w:val="-6"/>
                <w:lang w:val="zh-CN"/>
              </w:rPr>
            </w:pPr>
            <w:r>
              <w:rPr>
                <w:rFonts w:hint="eastAsia" w:ascii="宋体" w:hAnsi="宋体"/>
                <w:color w:val="auto"/>
                <w:spacing w:val="-6"/>
                <w:lang w:val="zh-CN"/>
              </w:rPr>
              <w:t>13</w:t>
            </w:r>
          </w:p>
        </w:tc>
        <w:tc>
          <w:tcPr>
            <w:tcW w:w="1560" w:type="dxa"/>
            <w:noWrap w:val="0"/>
            <w:vAlign w:val="center"/>
          </w:tcPr>
          <w:p>
            <w:pPr>
              <w:jc w:val="center"/>
            </w:pPr>
            <w:r>
              <w:rPr>
                <w:rFonts w:hint="eastAsia" w:ascii="宋体" w:hAnsi="宋体"/>
                <w:color w:val="auto"/>
                <w:sz w:val="21"/>
                <w:szCs w:val="21"/>
                <w:lang w:val="en-US" w:eastAsia="zh-CN"/>
              </w:rPr>
              <w:t>系统管理</w:t>
            </w:r>
          </w:p>
        </w:tc>
        <w:tc>
          <w:tcPr>
            <w:tcW w:w="4920" w:type="dxa"/>
            <w:noWrap w:val="0"/>
            <w:vAlign w:val="center"/>
          </w:tcPr>
          <w:p>
            <w:pPr>
              <w:rPr>
                <w:rFonts w:ascii="宋体" w:hAnsi="宋体"/>
                <w:spacing w:val="-6"/>
                <w:lang w:val="zh-CN"/>
              </w:rPr>
            </w:pPr>
            <w:r>
              <w:rPr>
                <w:rFonts w:hint="eastAsia" w:ascii="宋体" w:hAnsi="宋体"/>
                <w:color w:val="auto"/>
                <w:sz w:val="21"/>
                <w:szCs w:val="21"/>
                <w:lang w:eastAsia="zh-CN"/>
              </w:rPr>
              <w:t>对每一年度申报的项目类别设置申报年度、开始时间和结束时间</w:t>
            </w:r>
          </w:p>
        </w:tc>
        <w:tc>
          <w:tcPr>
            <w:tcW w:w="975" w:type="dxa"/>
            <w:noWrap w:val="0"/>
            <w:vAlign w:val="center"/>
          </w:tcPr>
          <w:p>
            <w:pPr>
              <w:pStyle w:val="13"/>
              <w:wordWrap w:val="0"/>
              <w:adjustRightInd/>
              <w:jc w:val="center"/>
              <w:rPr>
                <w:rFonts w:cs="Times New Roman"/>
                <w:spacing w:val="-6"/>
                <w:sz w:val="20"/>
                <w:szCs w:val="20"/>
                <w:lang w:val="zh-CN"/>
              </w:rPr>
            </w:pPr>
            <w:r>
              <w:rPr>
                <w:rFonts w:hint="eastAsia" w:cs="Times New Roman"/>
                <w:spacing w:val="-6"/>
                <w:sz w:val="20"/>
                <w:szCs w:val="20"/>
                <w:lang w:val="zh-CN"/>
              </w:rPr>
              <w:t>0.5</w:t>
            </w:r>
          </w:p>
        </w:tc>
        <w:tc>
          <w:tcPr>
            <w:tcW w:w="1535" w:type="dxa"/>
            <w:vMerge w:val="continue"/>
            <w:noWrap w:val="0"/>
            <w:vAlign w:val="center"/>
          </w:tcPr>
          <w:p>
            <w:pPr>
              <w:pStyle w:val="13"/>
              <w:wordWrap w:val="0"/>
              <w:adjustRightInd/>
              <w:jc w:val="center"/>
              <w:rPr>
                <w:rFonts w:cs="Times New Roman"/>
                <w:spacing w:val="-6"/>
                <w:sz w:val="20"/>
                <w:szCs w:val="20"/>
                <w:lang w:val="zh-CN"/>
              </w:rPr>
            </w:pPr>
          </w:p>
        </w:tc>
      </w:tr>
    </w:tbl>
    <w:p>
      <w:pPr>
        <w:widowControl/>
        <w:shd w:val="clear" w:color="auto" w:fill="FFFFFF"/>
        <w:spacing w:line="560" w:lineRule="exact"/>
        <w:ind w:firstLine="640"/>
        <w:rPr>
          <w:rFonts w:hint="eastAsia" w:ascii="宋体" w:hAnsi="宋体" w:cs="宋体"/>
          <w:b/>
          <w:w w:val="90"/>
          <w:sz w:val="24"/>
          <w:szCs w:val="24"/>
          <w:lang w:val="en-US" w:eastAsia="zh-CN"/>
        </w:rPr>
      </w:pPr>
    </w:p>
    <w:p>
      <w:pPr>
        <w:widowControl/>
        <w:shd w:val="clear" w:color="auto" w:fill="FFFFFF"/>
        <w:spacing w:line="560" w:lineRule="exact"/>
        <w:ind w:firstLine="640"/>
        <w:rPr>
          <w:rFonts w:hint="eastAsia" w:ascii="宋体" w:hAnsi="宋体" w:cs="宋体"/>
          <w:b/>
          <w:w w:val="9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1ED7B"/>
    <w:multiLevelType w:val="singleLevel"/>
    <w:tmpl w:val="5BB1ED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03D90"/>
    <w:rsid w:val="0004171E"/>
    <w:rsid w:val="00081508"/>
    <w:rsid w:val="000A1464"/>
    <w:rsid w:val="00106628"/>
    <w:rsid w:val="00131591"/>
    <w:rsid w:val="001779CF"/>
    <w:rsid w:val="00184FB0"/>
    <w:rsid w:val="001861EA"/>
    <w:rsid w:val="00192707"/>
    <w:rsid w:val="001B2C7C"/>
    <w:rsid w:val="001B66F2"/>
    <w:rsid w:val="001C076B"/>
    <w:rsid w:val="001C4623"/>
    <w:rsid w:val="001E4630"/>
    <w:rsid w:val="00232CF4"/>
    <w:rsid w:val="002561C7"/>
    <w:rsid w:val="002D0CF2"/>
    <w:rsid w:val="002D2C84"/>
    <w:rsid w:val="002F16E9"/>
    <w:rsid w:val="00367A1A"/>
    <w:rsid w:val="00400246"/>
    <w:rsid w:val="00406107"/>
    <w:rsid w:val="00414325"/>
    <w:rsid w:val="00475EA0"/>
    <w:rsid w:val="004B45B4"/>
    <w:rsid w:val="004E64EF"/>
    <w:rsid w:val="004E78D8"/>
    <w:rsid w:val="005058DB"/>
    <w:rsid w:val="0056206B"/>
    <w:rsid w:val="00566348"/>
    <w:rsid w:val="00573B5C"/>
    <w:rsid w:val="005B5C0E"/>
    <w:rsid w:val="00634A9B"/>
    <w:rsid w:val="006F3DEB"/>
    <w:rsid w:val="006F7982"/>
    <w:rsid w:val="007028CF"/>
    <w:rsid w:val="007853C5"/>
    <w:rsid w:val="007B5542"/>
    <w:rsid w:val="007E5F9B"/>
    <w:rsid w:val="00850E9E"/>
    <w:rsid w:val="00872F2B"/>
    <w:rsid w:val="008739FA"/>
    <w:rsid w:val="008D3193"/>
    <w:rsid w:val="008E1ECE"/>
    <w:rsid w:val="00901D2E"/>
    <w:rsid w:val="009609F0"/>
    <w:rsid w:val="00991553"/>
    <w:rsid w:val="009D7F37"/>
    <w:rsid w:val="009E6AD5"/>
    <w:rsid w:val="009F4088"/>
    <w:rsid w:val="00A237C1"/>
    <w:rsid w:val="00A64D7A"/>
    <w:rsid w:val="00A77942"/>
    <w:rsid w:val="00AB1CA1"/>
    <w:rsid w:val="00B25E9E"/>
    <w:rsid w:val="00B35B7E"/>
    <w:rsid w:val="00B77CF8"/>
    <w:rsid w:val="00B84BAA"/>
    <w:rsid w:val="00BA7A29"/>
    <w:rsid w:val="00BB00B9"/>
    <w:rsid w:val="00BF0D0B"/>
    <w:rsid w:val="00C20B6B"/>
    <w:rsid w:val="00C23066"/>
    <w:rsid w:val="00C35B90"/>
    <w:rsid w:val="00C53B9F"/>
    <w:rsid w:val="00C67EFB"/>
    <w:rsid w:val="00D32DA9"/>
    <w:rsid w:val="00D422C4"/>
    <w:rsid w:val="00D734D7"/>
    <w:rsid w:val="00DA3873"/>
    <w:rsid w:val="00E03D90"/>
    <w:rsid w:val="00E16029"/>
    <w:rsid w:val="00E32606"/>
    <w:rsid w:val="00E85C5D"/>
    <w:rsid w:val="00E91FCD"/>
    <w:rsid w:val="00ED06AB"/>
    <w:rsid w:val="00EF4A26"/>
    <w:rsid w:val="00F14BE6"/>
    <w:rsid w:val="00F50E90"/>
    <w:rsid w:val="00F771E7"/>
    <w:rsid w:val="00FB10B0"/>
    <w:rsid w:val="00FC38C0"/>
    <w:rsid w:val="00FD14AE"/>
    <w:rsid w:val="00FF38C3"/>
    <w:rsid w:val="2B1D6AA4"/>
    <w:rsid w:val="38DD3A97"/>
    <w:rsid w:val="4FC33249"/>
    <w:rsid w:val="5753206E"/>
    <w:rsid w:val="609C4777"/>
    <w:rsid w:val="710A3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ourier New" w:hAnsi="Courier New" w:eastAsia="宋体" w:cs="Courier New"/>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1"/>
    <w:qFormat/>
    <w:uiPriority w:val="0"/>
    <w:rPr>
      <w:rFonts w:ascii="宋体" w:hAnsi="Courier New" w:eastAsia="华文宋体"/>
      <w:sz w:val="2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lang w:bidi="he-IL"/>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纯文本 Char"/>
    <w:link w:val="2"/>
    <w:qFormat/>
    <w:uiPriority w:val="0"/>
    <w:rPr>
      <w:rFonts w:ascii="宋体" w:hAnsi="Courier New" w:eastAsia="华文宋体"/>
      <w:sz w:val="28"/>
    </w:rPr>
  </w:style>
  <w:style w:type="character" w:customStyle="1" w:styleId="11">
    <w:name w:val="纯文本 Char1"/>
    <w:basedOn w:val="7"/>
    <w:link w:val="2"/>
    <w:semiHidden/>
    <w:qFormat/>
    <w:uiPriority w:val="99"/>
    <w:rPr>
      <w:rFonts w:ascii="宋体" w:hAnsi="Courier New" w:eastAsia="宋体" w:cs="Courier New"/>
      <w:szCs w:val="21"/>
    </w:rPr>
  </w:style>
  <w:style w:type="paragraph" w:customStyle="1" w:styleId="12">
    <w:name w:val="p0"/>
    <w:basedOn w:val="1"/>
    <w:qFormat/>
    <w:uiPriority w:val="0"/>
    <w:pPr>
      <w:widowControl/>
    </w:pPr>
    <w:rPr>
      <w:rFonts w:ascii="Times New Roman" w:hAnsi="Times New Roman" w:eastAsia="宋体" w:cs="Times New Roman"/>
      <w:kern w:val="0"/>
      <w:szCs w:val="21"/>
    </w:rPr>
  </w:style>
  <w:style w:type="paragraph" w:customStyle="1" w:styleId="13">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styleId="14">
    <w:name w:val="List Paragraph"/>
    <w:basedOn w:val="1"/>
    <w:qFormat/>
    <w:uiPriority w:val="0"/>
    <w:pPr>
      <w:ind w:firstLine="420" w:firstLineChars="200"/>
    </w:pPr>
    <w:rPr>
      <w:rFonts w:ascii="Calibri" w:hAnsi="Calibri"/>
      <w:kern w:val="0"/>
      <w:sz w:val="20"/>
      <w:szCs w:val="20"/>
    </w:rPr>
  </w:style>
  <w:style w:type="paragraph" w:customStyle="1" w:styleId="1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51</Words>
  <Characters>294</Characters>
  <Lines>2</Lines>
  <Paragraphs>1</Paragraphs>
  <TotalTime>2</TotalTime>
  <ScaleCrop>false</ScaleCrop>
  <LinksUpToDate>false</LinksUpToDate>
  <CharactersWithSpaces>344</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2018-07-06T03:52:00Z</dcterms:created>
  <dc:creator>微软用户</dc:creator>
  <cp:lastModifiedBy>wwx</cp:lastModifiedBy>
  <dcterms:modified xsi:type="dcterms:W3CDTF">2019-05-14T01:15:30Z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