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铜陵市义安区教体局中考网上巡查系统升级改造设备采购项目</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一、项目概况</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根据《教育部关于做好国家教育考试标准化考点建设工作的通知》《安徽省教育招生考试院关于加快我省标准化考点高清升级、推进五大系统综合应用的通知》及《国家教育考试网上巡查系统视频标准技术规范（2017版）》要求，在我区顺安中学中考标准化考点基础上进行升级改造。包括1个区指挥中心、1个标准化考点，1个试卷保密室、考场（含考务室）42间。本次招标内容为1个区指挥中心和1个考点考场监考巡考系统项目的软硬件设备的供货、安装、施工、调试、运维及其它相关服务（出厂检验、调试、集成、验收、培训、售后服务等）。预算金额105万元。</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二、资格条件：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1、符合《中华人民共和国政府采购法》第二十二条规定，且具有从事本项目的经营范围和能力；</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2、本项目不接受联合体投标；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3、供应商存在以下不良信用记录情形之一的，不得推荐为中标候选供应商，不得确定为中标供应商：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(1）供应商被人民法院列入失信被执行人的；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(2）供应商或其法定代表人或拟派项目经理（项目负责人）被人民检察院列入行贿犯罪档案的；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(3）供应商被工商行政管理部门列入企业经营异常名录的；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(4）供应商被税务部门列入重大税收违法案件当事人名单的；</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(5）供应商被政府采购监管部门列入政府采购严重违法失信行为记录名单的。</w:t>
      </w:r>
    </w:p>
    <w:p>
      <w:pPr>
        <w:spacing w:line="360" w:lineRule="auto"/>
        <w:ind w:firstLine="480" w:firstLineChars="200"/>
        <w:rPr>
          <w:rFonts w:hint="eastAsia" w:asciiTheme="minorEastAsia" w:hAnsiTheme="minorEastAsia"/>
          <w:sz w:val="24"/>
          <w:szCs w:val="24"/>
        </w:rPr>
      </w:pPr>
      <w:r>
        <w:rPr>
          <w:rFonts w:hint="eastAsia" w:ascii="宋体" w:hAnsi="宋体" w:cs="宋体"/>
          <w:color w:val="000000"/>
          <w:sz w:val="24"/>
        </w:rPr>
        <w:t>（6）被铜陵市公共资源交易监管部门记录的不良行为累计分值在 10 分（含）-15 分（不含），且最近一次不良行为记录公布日距开标日未超过 3 个月；</w:t>
      </w:r>
      <w:r>
        <w:rPr>
          <w:rFonts w:hint="eastAsia" w:ascii="宋体" w:hAnsi="宋体" w:cs="宋体"/>
          <w:color w:val="000000"/>
          <w:sz w:val="24"/>
        </w:rPr>
        <w:br w:type="textWrapping"/>
      </w:r>
      <w:r>
        <w:rPr>
          <w:rFonts w:hint="eastAsia" w:ascii="宋体" w:hAnsi="宋体" w:cs="宋体"/>
          <w:color w:val="000000"/>
          <w:sz w:val="24"/>
        </w:rPr>
        <w:t xml:space="preserve">   （7）被铜陵市公共资源交易监管部门记不良行为记录累计分值在 15 分（含）-20 分（不含），且最近一次不良行为记录公布日距开标日未超过 6 个月；</w:t>
      </w:r>
      <w:r>
        <w:rPr>
          <w:rFonts w:hint="eastAsia" w:ascii="宋体" w:hAnsi="宋体" w:cs="宋体"/>
          <w:color w:val="000000"/>
          <w:sz w:val="24"/>
        </w:rPr>
        <w:br w:type="textWrapping"/>
      </w:r>
      <w:r>
        <w:rPr>
          <w:rFonts w:hint="eastAsia" w:ascii="宋体" w:hAnsi="宋体" w:cs="宋体"/>
          <w:color w:val="000000"/>
          <w:sz w:val="24"/>
        </w:rPr>
        <w:t xml:space="preserve">   （8）被铜陵市公共资源交易监管部门记不良行为记录累计分值达 20 分（含）以上，且最近一次不良行为记录公布日距开标日未超过 12 个月。</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三、技术要求：</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（一）建设目标与内容</w:t>
      </w:r>
    </w:p>
    <w:p>
      <w:pPr>
        <w:spacing w:line="360" w:lineRule="auto"/>
        <w:ind w:firstLine="480" w:firstLineChars="200"/>
        <w:rPr>
          <w:rFonts w:hint="eastAsia" w:asciiTheme="minorEastAsia" w:hAnsiTheme="minorEastAsia"/>
          <w:b/>
          <w:sz w:val="24"/>
          <w:szCs w:val="24"/>
        </w:rPr>
      </w:pPr>
      <w:r>
        <w:rPr>
          <w:rFonts w:hint="eastAsia" w:asciiTheme="minorEastAsia" w:hAnsiTheme="minorEastAsia"/>
          <w:b/>
          <w:sz w:val="24"/>
          <w:szCs w:val="24"/>
        </w:rPr>
        <w:t>1.建设目标</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系统建设成功后可在各类不同的考试中，实时通过视频影像对全区的考点进行实时监控。对考试情况进行全面掌控，在突发事件发生时，辅助进行决策指挥和应急处置。同时能够满足市级考试中心、省级考试院和教育部考试管理中心，当需要调取、控制相关的考点的视频、音频、数据信息时，可作为特殊权限及功能的用户实现。</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本次建设的标准化考点网上巡查系统应符合《国家教育考试网上巡查系统视频标准技术规范（2017 版）》，须与铜陵市网上巡查系统平台按照《国家教育考试网上巡查系统视频标准技术规范（2017 版）》 规定的协议进行对接，否则将导致此次建设毫无意义。</w:t>
      </w:r>
    </w:p>
    <w:p>
      <w:pPr>
        <w:spacing w:line="360" w:lineRule="auto"/>
        <w:ind w:firstLine="480" w:firstLineChars="200"/>
        <w:rPr>
          <w:rFonts w:hint="eastAsia" w:asciiTheme="minorEastAsia" w:hAnsiTheme="minorEastAsia"/>
          <w:b/>
          <w:sz w:val="24"/>
          <w:szCs w:val="24"/>
        </w:rPr>
      </w:pPr>
      <w:bookmarkStart w:id="0" w:name="_Toc10554"/>
      <w:r>
        <w:rPr>
          <w:rFonts w:hint="eastAsia" w:asciiTheme="minorEastAsia" w:hAnsiTheme="minorEastAsia"/>
          <w:b/>
          <w:sz w:val="24"/>
          <w:szCs w:val="24"/>
        </w:rPr>
        <w:t>2 .建设内容</w:t>
      </w:r>
      <w:bookmarkEnd w:id="0"/>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1）区级巡查系统</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区级巡查系统部署在区教体局考试指挥中心，主要设备有SIP\转发\管理服务器、解码器、网络存储、核心交换机、液晶拼接屏、LED条屏等。</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2）校级巡查系统</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校级巡查系统部署在顺安中学， 由前端、传输网络、存储、后端组成，主要设备有SIP\转发\管理服务器、摄像机、拾音器、网络时钟终端、管理服务器和管理终端等设备组成，实现视音频信号的采集和存储，同时利用互联网将视音频信号传输到上级考试机构实现网上巡查。</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网上巡查的范围涵盖考场、考务、保密室、通道、校门口待考区域。</w:t>
      </w:r>
    </w:p>
    <w:p>
      <w:pPr>
        <w:spacing w:line="360" w:lineRule="auto"/>
        <w:ind w:firstLine="480" w:firstLineChars="200"/>
        <w:rPr>
          <w:rFonts w:hint="eastAsia" w:asciiTheme="minorEastAsia" w:hAnsiTheme="minorEastAsia"/>
          <w:sz w:val="24"/>
          <w:szCs w:val="24"/>
        </w:rPr>
      </w:pPr>
      <w:bookmarkStart w:id="1" w:name="_Toc32579"/>
      <w:r>
        <w:rPr>
          <w:rFonts w:hint="eastAsia" w:asciiTheme="minorEastAsia" w:hAnsiTheme="minorEastAsia"/>
          <w:sz w:val="24"/>
          <w:szCs w:val="24"/>
        </w:rPr>
        <w:t>3） 网上巡查系统设计方案</w:t>
      </w:r>
      <w:bookmarkEnd w:id="1"/>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   </w:t>
      </w:r>
      <w:bookmarkStart w:id="2" w:name="_Toc20025"/>
      <w:r>
        <w:rPr>
          <w:rFonts w:hint="eastAsia" w:asciiTheme="minorEastAsia" w:hAnsiTheme="minorEastAsia"/>
          <w:sz w:val="24"/>
          <w:szCs w:val="24"/>
        </w:rPr>
        <w:t>系统拓扑图如下：</w:t>
      </w:r>
      <w:bookmarkEnd w:id="2"/>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drawing>
          <wp:inline distT="0" distB="0" distL="114300" distR="114300">
            <wp:extent cx="3171825" cy="2684780"/>
            <wp:effectExtent l="19050" t="0" r="9525" b="0"/>
            <wp:docPr id="1" name="图片 1" descr="标准化考点项目-网-络拓扑图0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准化考点项目-网-络拓扑图0109jpg"/>
                    <pic:cNvPicPr>
                      <a:picLocks noChangeAspect="1"/>
                    </pic:cNvPicPr>
                  </pic:nvPicPr>
                  <pic:blipFill>
                    <a:blip r:embed="rId4" cstate="print"/>
                    <a:stretch>
                      <a:fillRect/>
                    </a:stretch>
                  </pic:blipFill>
                  <pic:spPr>
                    <a:xfrm>
                      <a:off x="0" y="0"/>
                      <a:ext cx="3179961" cy="2691710"/>
                    </a:xfrm>
                    <a:prstGeom prst="rect">
                      <a:avLst/>
                    </a:prstGeom>
                  </pic:spPr>
                </pic:pic>
              </a:graphicData>
            </a:graphic>
          </wp:inline>
        </w:drawing>
      </w:r>
    </w:p>
    <w:p>
      <w:pPr>
        <w:spacing w:line="360" w:lineRule="auto"/>
        <w:ind w:firstLine="480" w:firstLineChars="200"/>
        <w:rPr>
          <w:rFonts w:hint="eastAsia" w:asciiTheme="minorEastAsia" w:hAnsiTheme="minorEastAsia"/>
          <w:b/>
          <w:sz w:val="24"/>
          <w:szCs w:val="24"/>
        </w:rPr>
      </w:pPr>
      <w:bookmarkStart w:id="3" w:name="_Toc8471"/>
      <w:r>
        <w:rPr>
          <w:rFonts w:hint="eastAsia" w:asciiTheme="minorEastAsia" w:hAnsiTheme="minorEastAsia"/>
          <w:b/>
          <w:sz w:val="24"/>
          <w:szCs w:val="24"/>
        </w:rPr>
        <w:t>3.各功能区建设情况</w:t>
      </w:r>
      <w:bookmarkEnd w:id="3"/>
    </w:p>
    <w:p>
      <w:pPr>
        <w:spacing w:line="360" w:lineRule="auto"/>
        <w:ind w:firstLine="480" w:firstLineChars="200"/>
        <w:rPr>
          <w:rFonts w:hint="eastAsia" w:asciiTheme="minorEastAsia" w:hAnsiTheme="minorEastAsia"/>
          <w:sz w:val="24"/>
          <w:szCs w:val="24"/>
        </w:rPr>
      </w:pPr>
      <w:bookmarkStart w:id="4" w:name="_Toc4205"/>
      <w:r>
        <w:rPr>
          <w:rFonts w:hint="eastAsia" w:asciiTheme="minorEastAsia" w:hAnsiTheme="minorEastAsia"/>
          <w:sz w:val="24"/>
          <w:szCs w:val="24"/>
        </w:rPr>
        <w:t>1） 教体局及学校机房建设</w:t>
      </w:r>
      <w:bookmarkEnd w:id="4"/>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核心交换机采用10000M三层交换机，满足大流量网络数据传输。网络存储服务器对前端的网络摄像机图像进行集中存储。服务器完成与上级平台之间的互联互通，同时对本系统的所有设备进行管理和设置。</w:t>
      </w:r>
    </w:p>
    <w:p>
      <w:pPr>
        <w:spacing w:line="360" w:lineRule="auto"/>
        <w:ind w:firstLine="480" w:firstLineChars="200"/>
        <w:rPr>
          <w:rFonts w:hint="eastAsia" w:asciiTheme="minorEastAsia" w:hAnsiTheme="minorEastAsia"/>
          <w:sz w:val="24"/>
          <w:szCs w:val="24"/>
        </w:rPr>
      </w:pPr>
      <w:bookmarkStart w:id="5" w:name="_Toc21773"/>
      <w:r>
        <w:rPr>
          <w:rFonts w:hint="eastAsia" w:asciiTheme="minorEastAsia" w:hAnsiTheme="minorEastAsia"/>
          <w:sz w:val="24"/>
          <w:szCs w:val="24"/>
        </w:rPr>
        <w:t>2）考点（即学校）考场建设</w:t>
      </w:r>
      <w:bookmarkEnd w:id="5"/>
    </w:p>
    <w:tbl>
      <w:tblPr>
        <w:tblStyle w:val="11"/>
        <w:tblpPr w:leftFromText="180" w:rightFromText="180" w:vertAnchor="text" w:horzAnchor="margin" w:tblpY="2005"/>
        <w:tblOverlap w:val="never"/>
        <w:tblW w:w="8095" w:type="dxa"/>
        <w:tblInd w:w="0" w:type="dxa"/>
        <w:tblLayout w:type="autofit"/>
        <w:tblCellMar>
          <w:top w:w="0" w:type="dxa"/>
          <w:left w:w="0" w:type="dxa"/>
          <w:bottom w:w="0" w:type="dxa"/>
          <w:right w:w="0" w:type="dxa"/>
        </w:tblCellMar>
      </w:tblPr>
      <w:tblGrid>
        <w:gridCol w:w="2142"/>
        <w:gridCol w:w="2874"/>
        <w:gridCol w:w="3079"/>
      </w:tblGrid>
      <w:tr>
        <w:tblPrEx>
          <w:tblCellMar>
            <w:top w:w="0" w:type="dxa"/>
            <w:left w:w="0" w:type="dxa"/>
            <w:bottom w:w="0" w:type="dxa"/>
            <w:right w:w="0" w:type="dxa"/>
          </w:tblCellMar>
        </w:tblPrEx>
        <w:trPr>
          <w:trHeight w:val="285" w:hRule="atLeast"/>
        </w:trPr>
        <w:tc>
          <w:tcPr>
            <w:tcW w:w="2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位置</w:t>
            </w: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半球网络摄像安装数量</w:t>
            </w:r>
          </w:p>
        </w:tc>
        <w:tc>
          <w:tcPr>
            <w:tcW w:w="3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筒型网络摄像机安装数量</w:t>
            </w:r>
          </w:p>
        </w:tc>
      </w:tr>
      <w:tr>
        <w:tblPrEx>
          <w:tblCellMar>
            <w:top w:w="0" w:type="dxa"/>
            <w:left w:w="0" w:type="dxa"/>
            <w:bottom w:w="0" w:type="dxa"/>
            <w:right w:w="0" w:type="dxa"/>
          </w:tblCellMar>
        </w:tblPrEx>
        <w:trPr>
          <w:trHeight w:val="285" w:hRule="atLeast"/>
        </w:trPr>
        <w:tc>
          <w:tcPr>
            <w:tcW w:w="2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主教学楼一层</w:t>
            </w: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9</w:t>
            </w:r>
          </w:p>
        </w:tc>
        <w:tc>
          <w:tcPr>
            <w:tcW w:w="3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w:t>
            </w:r>
          </w:p>
        </w:tc>
      </w:tr>
      <w:tr>
        <w:tblPrEx>
          <w:tblCellMar>
            <w:top w:w="0" w:type="dxa"/>
            <w:left w:w="0" w:type="dxa"/>
            <w:bottom w:w="0" w:type="dxa"/>
            <w:right w:w="0" w:type="dxa"/>
          </w:tblCellMar>
        </w:tblPrEx>
        <w:trPr>
          <w:trHeight w:val="285" w:hRule="atLeast"/>
        </w:trPr>
        <w:tc>
          <w:tcPr>
            <w:tcW w:w="2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主教学楼二层</w:t>
            </w: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7</w:t>
            </w:r>
          </w:p>
        </w:tc>
        <w:tc>
          <w:tcPr>
            <w:tcW w:w="3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w:t>
            </w:r>
          </w:p>
        </w:tc>
      </w:tr>
      <w:tr>
        <w:tblPrEx>
          <w:tblCellMar>
            <w:top w:w="0" w:type="dxa"/>
            <w:left w:w="0" w:type="dxa"/>
            <w:bottom w:w="0" w:type="dxa"/>
            <w:right w:w="0" w:type="dxa"/>
          </w:tblCellMar>
        </w:tblPrEx>
        <w:trPr>
          <w:trHeight w:val="285" w:hRule="atLeast"/>
        </w:trPr>
        <w:tc>
          <w:tcPr>
            <w:tcW w:w="2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主教学楼三层</w:t>
            </w: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6</w:t>
            </w:r>
          </w:p>
        </w:tc>
        <w:tc>
          <w:tcPr>
            <w:tcW w:w="3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w:t>
            </w:r>
          </w:p>
        </w:tc>
      </w:tr>
      <w:tr>
        <w:tblPrEx>
          <w:tblCellMar>
            <w:top w:w="0" w:type="dxa"/>
            <w:left w:w="0" w:type="dxa"/>
            <w:bottom w:w="0" w:type="dxa"/>
            <w:right w:w="0" w:type="dxa"/>
          </w:tblCellMar>
        </w:tblPrEx>
        <w:trPr>
          <w:trHeight w:val="285" w:hRule="atLeast"/>
        </w:trPr>
        <w:tc>
          <w:tcPr>
            <w:tcW w:w="2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主教学楼四层</w:t>
            </w: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10</w:t>
            </w:r>
          </w:p>
        </w:tc>
        <w:tc>
          <w:tcPr>
            <w:tcW w:w="3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w:t>
            </w:r>
          </w:p>
        </w:tc>
      </w:tr>
      <w:tr>
        <w:tblPrEx>
          <w:tblCellMar>
            <w:top w:w="0" w:type="dxa"/>
            <w:left w:w="0" w:type="dxa"/>
            <w:bottom w:w="0" w:type="dxa"/>
            <w:right w:w="0" w:type="dxa"/>
          </w:tblCellMar>
        </w:tblPrEx>
        <w:trPr>
          <w:trHeight w:val="285" w:hRule="atLeast"/>
        </w:trPr>
        <w:tc>
          <w:tcPr>
            <w:tcW w:w="2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附教学楼一层</w:t>
            </w: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6</w:t>
            </w:r>
          </w:p>
        </w:tc>
        <w:tc>
          <w:tcPr>
            <w:tcW w:w="3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w:t>
            </w:r>
          </w:p>
        </w:tc>
      </w:tr>
      <w:tr>
        <w:tblPrEx>
          <w:tblCellMar>
            <w:top w:w="0" w:type="dxa"/>
            <w:left w:w="0" w:type="dxa"/>
            <w:bottom w:w="0" w:type="dxa"/>
            <w:right w:w="0" w:type="dxa"/>
          </w:tblCellMar>
        </w:tblPrEx>
        <w:trPr>
          <w:trHeight w:val="285" w:hRule="atLeast"/>
        </w:trPr>
        <w:tc>
          <w:tcPr>
            <w:tcW w:w="2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附教学楼二层</w:t>
            </w: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w:t>
            </w:r>
          </w:p>
        </w:tc>
        <w:tc>
          <w:tcPr>
            <w:tcW w:w="3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w:t>
            </w:r>
          </w:p>
        </w:tc>
      </w:tr>
      <w:tr>
        <w:tblPrEx>
          <w:tblCellMar>
            <w:top w:w="0" w:type="dxa"/>
            <w:left w:w="0" w:type="dxa"/>
            <w:bottom w:w="0" w:type="dxa"/>
            <w:right w:w="0" w:type="dxa"/>
          </w:tblCellMar>
        </w:tblPrEx>
        <w:trPr>
          <w:trHeight w:val="285" w:hRule="atLeast"/>
        </w:trPr>
        <w:tc>
          <w:tcPr>
            <w:tcW w:w="2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附教学楼三层</w:t>
            </w: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w:t>
            </w:r>
          </w:p>
        </w:tc>
        <w:tc>
          <w:tcPr>
            <w:tcW w:w="3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w:t>
            </w:r>
          </w:p>
        </w:tc>
      </w:tr>
      <w:tr>
        <w:tblPrEx>
          <w:tblCellMar>
            <w:top w:w="0" w:type="dxa"/>
            <w:left w:w="0" w:type="dxa"/>
            <w:bottom w:w="0" w:type="dxa"/>
            <w:right w:w="0" w:type="dxa"/>
          </w:tblCellMar>
        </w:tblPrEx>
        <w:trPr>
          <w:trHeight w:val="285" w:hRule="atLeast"/>
        </w:trPr>
        <w:tc>
          <w:tcPr>
            <w:tcW w:w="2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合       计</w:t>
            </w: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42</w:t>
            </w:r>
          </w:p>
        </w:tc>
        <w:tc>
          <w:tcPr>
            <w:tcW w:w="3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23</w:t>
            </w:r>
          </w:p>
        </w:tc>
      </w:tr>
    </w:tbl>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在顺安中学共有考场40间、考务室1间、广播室1间，共安装42个半球网络摄像机。在走廊安装23个筒型网络摄像机。具体安装位置分布如下：</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每个考场需要安装一台1080P的自带拾音器半球网络摄像机，要求能将整个教室无死角的监控，以及参照《摄像机照射范围示意图》：</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安装方式：将摄像机安装在D墙（即讲台一方），其示意图如下：</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drawing>
          <wp:inline distT="0" distB="0" distL="0" distR="0">
            <wp:extent cx="4562475" cy="2442210"/>
            <wp:effectExtent l="1905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5" cstate="print">
                      <a:extLst>
                        <a:ext uri="{28A0092B-C50C-407E-A947-70E740481C1C}">
                          <a14:useLocalDpi xmlns:a14="http://schemas.microsoft.com/office/drawing/2010/main" val="0"/>
                        </a:ext>
                      </a:extLst>
                    </a:blip>
                    <a:srcRect b="9940"/>
                    <a:stretch>
                      <a:fillRect/>
                    </a:stretch>
                  </pic:blipFill>
                  <pic:spPr>
                    <a:xfrm>
                      <a:off x="0" y="0"/>
                      <a:ext cx="4562475" cy="2442625"/>
                    </a:xfrm>
                    <a:prstGeom prst="rect">
                      <a:avLst/>
                    </a:prstGeom>
                    <a:noFill/>
                    <a:ln>
                      <a:noFill/>
                    </a:ln>
                  </pic:spPr>
                </pic:pic>
              </a:graphicData>
            </a:graphic>
          </wp:inline>
        </w:drawing>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校门口的摄像机采用带云台变焦功能的球型摄像机，安装在考点学校门口，采用壁挂安装，安装后应能拍摄校门口待考区域的情况。</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中心机房在主教学楼三楼，所有后端设备均安装中心机房里，中心机房有光纤与附教学楼的网络节点相连。</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在附教学楼新增的9个考场中每个考场均需增加音箱，该音箱需接入到原来校听力广播系统里。增加一台广播监控主机，可实时查询系统设备的状态，让系统维护更加方便。</w:t>
      </w:r>
    </w:p>
    <w:p>
      <w:pPr>
        <w:spacing w:line="360" w:lineRule="auto"/>
        <w:ind w:firstLine="480" w:firstLineChars="200"/>
        <w:rPr>
          <w:rFonts w:hint="eastAsia" w:asciiTheme="minorEastAsia" w:hAnsiTheme="minorEastAsia"/>
          <w:sz w:val="24"/>
          <w:szCs w:val="24"/>
        </w:rPr>
      </w:pPr>
      <w:bookmarkStart w:id="6" w:name="_Toc12283"/>
      <w:r>
        <w:rPr>
          <w:rFonts w:hint="eastAsia" w:asciiTheme="minorEastAsia" w:hAnsiTheme="minorEastAsia"/>
          <w:sz w:val="24"/>
          <w:szCs w:val="24"/>
        </w:rPr>
        <w:t>3 ）保密室建设或试卷分发室建设</w:t>
      </w:r>
      <w:bookmarkEnd w:id="6"/>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保密室为分成值班定和试卷存放室两部分，保密室配置2台半球网络摄像机及1套红外报警系统，保密室外的走廊安装2台半球网络摄像机。前端摄像机采集信号后，通过专网传输到存储服务器上，完成图像编码及存储，并实现本地存储及图像数据的上传。</w:t>
      </w:r>
    </w:p>
    <w:p>
      <w:pPr>
        <w:spacing w:line="360" w:lineRule="auto"/>
        <w:ind w:firstLine="480" w:firstLineChars="200"/>
        <w:rPr>
          <w:rFonts w:hint="eastAsia" w:asciiTheme="minorEastAsia" w:hAnsiTheme="minorEastAsia"/>
          <w:sz w:val="24"/>
          <w:szCs w:val="24"/>
        </w:rPr>
      </w:pPr>
      <w:bookmarkStart w:id="7" w:name="_Toc17075"/>
      <w:r>
        <w:rPr>
          <w:rFonts w:hint="eastAsia" w:asciiTheme="minorEastAsia" w:hAnsiTheme="minorEastAsia"/>
          <w:sz w:val="24"/>
          <w:szCs w:val="24"/>
        </w:rPr>
        <w:t>4 ）考务专网建设</w:t>
      </w:r>
      <w:bookmarkEnd w:id="7"/>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整个网络分成为核心-接入两个层次，选用一台万兆路由交换机作为核心交换机，同时有冗余作其他应用。</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在顺安中学里，整个网络在校内与其它网络物理隔离，在校级网络核心到区级网络核心、区级网络核心到市级网络核心的链路利用已建成城域网链路，整个网络安全、可靠。</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顺安中学中各个网络摄像机、网络时钟等前端设备通过单独敷设的六类网线连接到各楼层的接入交换机。主教学楼的各个接入交换机通过单独敷设的六类网线与核心交换机相连。附教学楼的接入交换机通过学校已有的单独光纤与核心交换机相连。顺安中学的核心交换机通过城域网与区级巡查系统的核心交换机相连。区级巡查系统的核心交换机通过城域网与铜陵市级巡查系统核心交换机相连。</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区级巡查系统里的网络摄像机等前端设备通过单独敷设的六类网线直接与区级巡查系统的核心交换机相连。</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网上巡查系统巡查中心网络带宽包括四部分：前端设备接入校级巡查中心、巡查中心之间级联、用户终端接入巡查中心和预留的网络带宽。1080P分辨率的单路视频码率按4Mbps估算。</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根据上述网络传输介质情况，整个网络的带宽能满足本系统实际所需要的带宽。</w:t>
      </w:r>
    </w:p>
    <w:p>
      <w:pPr>
        <w:spacing w:line="360" w:lineRule="auto"/>
        <w:ind w:firstLine="480" w:firstLineChars="200"/>
        <w:rPr>
          <w:rFonts w:hint="eastAsia" w:asciiTheme="minorEastAsia" w:hAnsiTheme="minorEastAsia"/>
          <w:sz w:val="24"/>
          <w:szCs w:val="24"/>
        </w:rPr>
      </w:pPr>
      <w:bookmarkStart w:id="8" w:name="_Toc1584"/>
      <w:r>
        <w:rPr>
          <w:rFonts w:hint="eastAsia" w:asciiTheme="minorEastAsia" w:hAnsiTheme="minorEastAsia"/>
          <w:sz w:val="24"/>
          <w:szCs w:val="24"/>
        </w:rPr>
        <w:t>5）显示系统建设</w:t>
      </w:r>
      <w:bookmarkEnd w:id="8"/>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顺安中学考点采用82寸显示屏1台，对考场图像实时显示；区教体局指挥中心用6块巡考显示终端及一块LED条屏。</w:t>
      </w:r>
    </w:p>
    <w:p>
      <w:pPr>
        <w:spacing w:line="360" w:lineRule="auto"/>
        <w:ind w:firstLine="480" w:firstLineChars="200"/>
        <w:rPr>
          <w:rFonts w:hint="eastAsia" w:asciiTheme="minorEastAsia" w:hAnsiTheme="minorEastAsia"/>
          <w:sz w:val="24"/>
          <w:szCs w:val="24"/>
        </w:rPr>
      </w:pPr>
      <w:bookmarkStart w:id="9" w:name="_Toc24370456"/>
      <w:bookmarkStart w:id="10" w:name="_Toc22076"/>
      <w:r>
        <w:rPr>
          <w:rFonts w:hint="eastAsia" w:asciiTheme="minorEastAsia" w:hAnsiTheme="minorEastAsia"/>
          <w:sz w:val="24"/>
          <w:szCs w:val="24"/>
        </w:rPr>
        <w:t>6）综合布线子系统</w:t>
      </w:r>
      <w:bookmarkEnd w:id="9"/>
      <w:bookmarkEnd w:id="10"/>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本次系统设计完全遵循国家的有关建筑物综合布线系统及网络和通讯工程的设计和施工规范，以保证义安区国家教育考试标准化考场升级工程的综合布线系统是一套完整的规范的信息链路；</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（1）具有高品质的布线部件，所采用的布线部件全部符合国家标准对其的技术要求；</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（2）系统所有设备、零部件均涂有永久、易识别的标志，线缆均做到用编号及不同颜色加以区分；</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（3）系统简单可靠、管理方便，且又具有先进性；</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（4）系统安装、检测及维护简便，零部件、易损部件容易拆卸、更换；</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（5）系统具有极高的可靠性，整个系统链路非常稳定可靠，多通路交换，故障检测恢复快捷；</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（6）系统具有经济性，在满足应用要求的基础上，充分了降低工程造价，并遵循技术先进、设备优良、经济合理和质量优质的原则。</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7）数据处理和存储系统建设</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监控录像是查处考风考纪和考场违规行为的重要依据，因此录像的存储对网上巡查系统来说是非常重要的，因此，我们采用CVR网络存储实现对前端音视频数据的统一存储。存储设备符合《国家教育考试网上巡查系统视频标准技术规范（2017版）》。</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为避免单机故障或者设备硬盘故障，网络存储需要支持RAID技术，充分保证数据的安全性和存储系统的稳定性。</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前端摄像机采用支持SD卡的设备，如网络中断，监控录像存储于SD卡中，待网络故障恢复后，能将中断期间内的录像上传至网络存储。</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每天每个网络摄像机需0.0412T的存储空间，存储容量计算如下表所示：</w:t>
      </w:r>
    </w:p>
    <w:tbl>
      <w:tblPr>
        <w:tblStyle w:val="11"/>
        <w:tblW w:w="7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296"/>
        <w:gridCol w:w="1165"/>
        <w:gridCol w:w="1296"/>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912" w:type="dxa"/>
            <w:vAlign w:val="center"/>
          </w:tcPr>
          <w:p>
            <w:pPr>
              <w:spacing w:line="360" w:lineRule="auto"/>
              <w:rPr>
                <w:rFonts w:asciiTheme="minorEastAsia" w:hAnsiTheme="minorEastAsia"/>
                <w:szCs w:val="21"/>
              </w:rPr>
            </w:pPr>
            <w:r>
              <w:rPr>
                <w:rFonts w:hint="eastAsia" w:asciiTheme="minorEastAsia" w:hAnsiTheme="minorEastAsia"/>
                <w:szCs w:val="21"/>
              </w:rPr>
              <w:t>序号</w:t>
            </w:r>
          </w:p>
        </w:tc>
        <w:tc>
          <w:tcPr>
            <w:tcW w:w="1296" w:type="dxa"/>
            <w:vAlign w:val="center"/>
          </w:tcPr>
          <w:p>
            <w:pPr>
              <w:spacing w:line="360" w:lineRule="auto"/>
              <w:rPr>
                <w:rFonts w:asciiTheme="minorEastAsia" w:hAnsiTheme="minorEastAsia"/>
                <w:szCs w:val="21"/>
              </w:rPr>
            </w:pPr>
            <w:r>
              <w:rPr>
                <w:rFonts w:hint="eastAsia" w:asciiTheme="minorEastAsia" w:hAnsiTheme="minorEastAsia"/>
                <w:szCs w:val="21"/>
              </w:rPr>
              <w:t>编码类型</w:t>
            </w:r>
          </w:p>
        </w:tc>
        <w:tc>
          <w:tcPr>
            <w:tcW w:w="1165" w:type="dxa"/>
            <w:vAlign w:val="center"/>
          </w:tcPr>
          <w:p>
            <w:pPr>
              <w:spacing w:line="360" w:lineRule="auto"/>
              <w:rPr>
                <w:rFonts w:asciiTheme="minorEastAsia" w:hAnsiTheme="minorEastAsia"/>
                <w:szCs w:val="21"/>
              </w:rPr>
            </w:pPr>
            <w:r>
              <w:rPr>
                <w:rFonts w:hint="eastAsia" w:asciiTheme="minorEastAsia" w:hAnsiTheme="minorEastAsia"/>
                <w:szCs w:val="21"/>
              </w:rPr>
              <w:t>分辨率</w:t>
            </w:r>
          </w:p>
        </w:tc>
        <w:tc>
          <w:tcPr>
            <w:tcW w:w="1296" w:type="dxa"/>
            <w:vAlign w:val="center"/>
          </w:tcPr>
          <w:p>
            <w:pPr>
              <w:spacing w:line="360" w:lineRule="auto"/>
              <w:rPr>
                <w:rFonts w:asciiTheme="minorEastAsia" w:hAnsiTheme="minorEastAsia"/>
                <w:szCs w:val="21"/>
              </w:rPr>
            </w:pPr>
            <w:r>
              <w:rPr>
                <w:rFonts w:hint="eastAsia" w:asciiTheme="minorEastAsia" w:hAnsiTheme="minorEastAsia"/>
                <w:szCs w:val="21"/>
              </w:rPr>
              <w:t>码流大小</w:t>
            </w:r>
          </w:p>
        </w:tc>
        <w:tc>
          <w:tcPr>
            <w:tcW w:w="2449" w:type="dxa"/>
            <w:vAlign w:val="center"/>
          </w:tcPr>
          <w:p>
            <w:pPr>
              <w:spacing w:line="360" w:lineRule="auto"/>
              <w:ind w:firstLine="420" w:firstLineChars="200"/>
              <w:rPr>
                <w:rFonts w:asciiTheme="minorEastAsia" w:hAnsiTheme="minorEastAsia"/>
                <w:szCs w:val="21"/>
              </w:rPr>
            </w:pPr>
            <w:r>
              <w:rPr>
                <w:rFonts w:hint="eastAsia" w:asciiTheme="minorEastAsia" w:hAnsiTheme="minorEastAsia"/>
                <w:szCs w:val="21"/>
              </w:rPr>
              <w:t>1天存储空间（TB）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912" w:type="dxa"/>
            <w:vAlign w:val="center"/>
          </w:tcPr>
          <w:p>
            <w:pPr>
              <w:spacing w:line="360" w:lineRule="auto"/>
              <w:ind w:firstLine="420" w:firstLineChars="200"/>
              <w:rPr>
                <w:rFonts w:asciiTheme="minorEastAsia" w:hAnsiTheme="minorEastAsia"/>
                <w:szCs w:val="21"/>
              </w:rPr>
            </w:pPr>
            <w:r>
              <w:rPr>
                <w:rFonts w:hint="eastAsia" w:asciiTheme="minorEastAsia" w:hAnsiTheme="minorEastAsia"/>
                <w:szCs w:val="21"/>
              </w:rPr>
              <w:t>1</w:t>
            </w:r>
          </w:p>
        </w:tc>
        <w:tc>
          <w:tcPr>
            <w:tcW w:w="1296" w:type="dxa"/>
            <w:vAlign w:val="center"/>
          </w:tcPr>
          <w:p>
            <w:pPr>
              <w:spacing w:line="360" w:lineRule="auto"/>
              <w:ind w:firstLine="420" w:firstLineChars="200"/>
              <w:rPr>
                <w:rFonts w:asciiTheme="minorEastAsia" w:hAnsiTheme="minorEastAsia"/>
                <w:szCs w:val="21"/>
              </w:rPr>
            </w:pPr>
            <w:r>
              <w:rPr>
                <w:rFonts w:hint="eastAsia" w:asciiTheme="minorEastAsia" w:hAnsiTheme="minorEastAsia"/>
                <w:szCs w:val="21"/>
              </w:rPr>
              <w:t>H.264</w:t>
            </w:r>
          </w:p>
        </w:tc>
        <w:tc>
          <w:tcPr>
            <w:tcW w:w="1165" w:type="dxa"/>
            <w:vAlign w:val="center"/>
          </w:tcPr>
          <w:p>
            <w:pPr>
              <w:spacing w:line="360" w:lineRule="auto"/>
              <w:ind w:firstLine="420" w:firstLineChars="200"/>
              <w:rPr>
                <w:rFonts w:asciiTheme="minorEastAsia" w:hAnsiTheme="minorEastAsia"/>
                <w:szCs w:val="21"/>
              </w:rPr>
            </w:pPr>
            <w:r>
              <w:rPr>
                <w:rFonts w:hint="eastAsia" w:asciiTheme="minorEastAsia" w:hAnsiTheme="minorEastAsia"/>
                <w:szCs w:val="21"/>
              </w:rPr>
              <w:t>1080P</w:t>
            </w:r>
          </w:p>
        </w:tc>
        <w:tc>
          <w:tcPr>
            <w:tcW w:w="1296" w:type="dxa"/>
            <w:vAlign w:val="center"/>
          </w:tcPr>
          <w:p>
            <w:pPr>
              <w:spacing w:line="360" w:lineRule="auto"/>
              <w:ind w:firstLine="420" w:firstLineChars="200"/>
              <w:rPr>
                <w:rFonts w:asciiTheme="minorEastAsia" w:hAnsiTheme="minorEastAsia"/>
                <w:szCs w:val="21"/>
              </w:rPr>
            </w:pPr>
            <w:r>
              <w:rPr>
                <w:rFonts w:hint="eastAsia" w:asciiTheme="minorEastAsia" w:hAnsiTheme="minorEastAsia"/>
                <w:szCs w:val="21"/>
              </w:rPr>
              <w:t>4Mbps</w:t>
            </w:r>
          </w:p>
        </w:tc>
        <w:tc>
          <w:tcPr>
            <w:tcW w:w="2449" w:type="dxa"/>
            <w:vAlign w:val="center"/>
          </w:tcPr>
          <w:p>
            <w:pPr>
              <w:spacing w:line="360" w:lineRule="auto"/>
              <w:ind w:firstLine="420" w:firstLineChars="200"/>
              <w:rPr>
                <w:rFonts w:asciiTheme="minorEastAsia" w:hAnsiTheme="minorEastAsia"/>
                <w:szCs w:val="21"/>
              </w:rPr>
            </w:pPr>
            <w:r>
              <w:rPr>
                <w:rFonts w:asciiTheme="minorEastAsia" w:hAnsiTheme="minorEastAsia"/>
                <w:szCs w:val="21"/>
              </w:rPr>
              <w:t>0.0412</w:t>
            </w:r>
          </w:p>
        </w:tc>
      </w:tr>
    </w:tbl>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顺安中学共有66个前端网络摄像头，每天需2.72T容量，本次设计方案中，共配6块6T硬盘，网络存储使用RAID5冗余存储方式，实际存储空间为30T,可以满足11天（每天24小时）的录像存储所需。在区指挥中心共有4个前端网络摄像头，每天需0.1648T容量，本次设计方案中，共配2块6T硬盘，实际使用空间为6T，可以满足36天（每天24小时）的录像存储所需。</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记录介质安全应按照 GA/T390-2002 的 4.1.3 中的要求，在本地的存储采用支持RAID0、1、5的设备，只有通过身份认证的人员才能访问、拷贝相关数据。在考试结束后，立即用移动视频备份硬盘将考试的录像进行备份，并将移动视频备份硬盘放在区指挥中心保密室的专用保存设备里统一存放。</w:t>
      </w:r>
    </w:p>
    <w:p>
      <w:pPr>
        <w:spacing w:line="360" w:lineRule="auto"/>
        <w:ind w:firstLine="480" w:firstLineChars="200"/>
        <w:rPr>
          <w:rFonts w:hint="eastAsia" w:asciiTheme="minorEastAsia" w:hAnsiTheme="minorEastAsia"/>
          <w:sz w:val="24"/>
          <w:szCs w:val="24"/>
        </w:rPr>
      </w:pPr>
      <w:bookmarkStart w:id="11" w:name="_Toc28996"/>
      <w:r>
        <w:rPr>
          <w:rFonts w:hint="eastAsia" w:asciiTheme="minorEastAsia" w:hAnsiTheme="minorEastAsia"/>
          <w:sz w:val="24"/>
          <w:szCs w:val="24"/>
        </w:rPr>
        <w:t>8）网络系统建设</w:t>
      </w:r>
      <w:bookmarkEnd w:id="11"/>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为了保证网上巡查系统中信息的实时传输，要求IP网络服务质量（Qos）等级要达到通信行业标准YD/T 1171-2015中所规定的1级（交互式）或1级以上。影响IP网络服务质量（QoS）的性能参数主要包括网络时延、抖动和丢包率等，参照YDT1171-2001，具体指标如下：端到端通信的网络时延上限应小于400ms；端到端通信的时延抖动上限应小于50ms；端到端通信的丢包率上限应小于1×10-3。</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因此，内网需采用“千兆接入，千兆主干”。</w:t>
      </w:r>
    </w:p>
    <w:p>
      <w:pPr>
        <w:spacing w:line="360" w:lineRule="auto"/>
        <w:ind w:firstLine="480" w:firstLineChars="200"/>
        <w:rPr>
          <w:rFonts w:hint="eastAsia" w:asciiTheme="minorEastAsia" w:hAnsiTheme="minorEastAsia"/>
          <w:sz w:val="24"/>
          <w:szCs w:val="24"/>
        </w:rPr>
      </w:pPr>
      <w:bookmarkStart w:id="12" w:name="_Toc22115"/>
      <w:r>
        <w:rPr>
          <w:rFonts w:hint="eastAsia" w:asciiTheme="minorEastAsia" w:hAnsiTheme="minorEastAsia"/>
          <w:sz w:val="24"/>
          <w:szCs w:val="24"/>
        </w:rPr>
        <w:t>9）安全系统建设</w:t>
      </w:r>
      <w:bookmarkEnd w:id="12"/>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网上巡查系统单独组网，根据《国家教育考试网上巡查系统视频标准技术规范（2017版）》，SIP/分发服务器使用的端口音视频流的传输端口：8000-9000、9901，控制传输端口：9902，TELNET 端口：9923，FTP 端口：9921，备用：9903。</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根据《国家教育考试网上巡查系统视频标准技术规范（2017版）》中的相关规定：1.10.3 安全保护等级建议 ：国家中心（一级中心）建议定级为二级；省级巡查中心（二级中心）建议定级为二级；地市级巡查中心（三级中心）自行制定；区县级巡查中心（四级中心）自行制定；考点自行制定。</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在本次方案设计中，接入网与其它网络物理隔离，校级核心到区级核心、区级核心到市级核心均利用城域网，综合各方面情况，在本次方案中不建设安全等保系统。</w:t>
      </w:r>
    </w:p>
    <w:p>
      <w:pPr>
        <w:spacing w:line="360" w:lineRule="auto"/>
        <w:ind w:firstLine="480" w:firstLineChars="200"/>
        <w:rPr>
          <w:rFonts w:hint="eastAsia" w:asciiTheme="minorEastAsia" w:hAnsiTheme="minorEastAsia"/>
          <w:sz w:val="24"/>
          <w:szCs w:val="24"/>
        </w:rPr>
      </w:pPr>
      <w:bookmarkStart w:id="13" w:name="_Toc30436"/>
      <w:r>
        <w:rPr>
          <w:rFonts w:hint="eastAsia" w:asciiTheme="minorEastAsia" w:hAnsiTheme="minorEastAsia"/>
          <w:sz w:val="24"/>
          <w:szCs w:val="24"/>
        </w:rPr>
        <w:t>10）机房建设</w:t>
      </w:r>
      <w:bookmarkEnd w:id="13"/>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根据《国家教育考试网上巡查系统视频标准技术规范（2017版）》，巡查中心机房安全应符合GA/T390-2002中4.1.1.1的第1-9部分，机房场地选择、机房内部安全防护、机房防火、机房供配电、机房空调降温、机房防水与防潮、机房防静电、机房接地与防雷击、机房电磁防护、通信线路的安全防护的要求。</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顺安中学原来的校中心机房基本能达到上述要求，校级巡查中心机房安装在原来的校中心机房里。</w:t>
      </w:r>
    </w:p>
    <w:p>
      <w:pPr>
        <w:spacing w:line="360" w:lineRule="auto"/>
        <w:ind w:firstLine="480" w:firstLineChars="200"/>
        <w:rPr>
          <w:rFonts w:hint="eastAsia" w:asciiTheme="minorEastAsia" w:hAnsiTheme="minorEastAsia"/>
          <w:sz w:val="24"/>
          <w:szCs w:val="24"/>
        </w:rPr>
      </w:pPr>
      <w:bookmarkStart w:id="14" w:name="_Toc27056"/>
      <w:r>
        <w:rPr>
          <w:rFonts w:hint="eastAsia" w:asciiTheme="minorEastAsia" w:hAnsiTheme="minorEastAsia"/>
          <w:sz w:val="24"/>
          <w:szCs w:val="24"/>
        </w:rPr>
        <w:t>11）运行维护系统建设</w:t>
      </w:r>
      <w:bookmarkEnd w:id="14"/>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义安区教体局巡考平台技术保障及运维服务。本次项目建设中包含五年运营维护费用。主要运营维护内容如下：</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（1）在中考或区、局组织的人事考试前负责所有考场设备的检修测试；</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（2）考试前根据上级统一安排与省市以及各考点联调提供技术支持。</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（3）考试期间为每个考点和区局平台提供专职技术服务人员。</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（4）考试结束后负责考点及区局平台考试设备的整理和录像资料的存储备份。</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考试若利用铜陵中学考点，须将铜陵中学考点的巡察系统接入到区指挥平台。</w:t>
      </w:r>
    </w:p>
    <w:p>
      <w:pPr>
        <w:spacing w:line="360" w:lineRule="auto"/>
        <w:ind w:firstLine="480" w:firstLineChars="200"/>
        <w:rPr>
          <w:rFonts w:asciiTheme="minorEastAsia" w:hAnsiTheme="minorEastAsia"/>
          <w:b/>
          <w:sz w:val="24"/>
          <w:szCs w:val="24"/>
        </w:rPr>
      </w:pPr>
      <w:r>
        <w:rPr>
          <w:rFonts w:hint="eastAsia" w:asciiTheme="minorEastAsia" w:hAnsiTheme="minorEastAsia"/>
          <w:b/>
          <w:sz w:val="24"/>
          <w:szCs w:val="24"/>
        </w:rPr>
        <w:t>4.培训</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项目建成后， 中标供应商需对设备和系统的使用和维护提供一次技术培训，服务期内每年提供一次技术培训，并提供详细的培训计划和培训内容。培训对象为考点学校的系统管理员，培训内容包括系统的操作、主要设备的使用和常见故障的处理方法等内容，使考点学校的系统管理员能够熟练操作和自行完成日常维护。中标供应商需提供技术文件，培训手册等有关培训资料。</w:t>
      </w:r>
    </w:p>
    <w:p>
      <w:pPr>
        <w:spacing w:line="360" w:lineRule="auto"/>
        <w:ind w:firstLine="480" w:firstLineChars="200"/>
        <w:rPr>
          <w:rFonts w:asciiTheme="minorEastAsia" w:hAnsiTheme="minorEastAsia"/>
          <w:b/>
          <w:sz w:val="24"/>
          <w:szCs w:val="24"/>
        </w:rPr>
      </w:pPr>
      <w:r>
        <w:rPr>
          <w:rFonts w:hint="eastAsia" w:asciiTheme="minorEastAsia" w:hAnsiTheme="minorEastAsia"/>
          <w:b/>
          <w:sz w:val="24"/>
          <w:szCs w:val="24"/>
        </w:rPr>
        <w:t>5.项目实施</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中标供应商需针对考点学校制定详细的设计方案和施工方案，获得采购人和考点学校同意后，才能进场施工。施工期间，不得影响学校的教学活动。为确保新旧系统平稳过渡，所有旧设备必须在新设备安装到位并调试完成后才能进行拆除，并运送到采购人指定地点。</w:t>
      </w:r>
    </w:p>
    <w:p>
      <w:pPr>
        <w:spacing w:line="360" w:lineRule="auto"/>
        <w:ind w:firstLine="480" w:firstLineChars="200"/>
        <w:rPr>
          <w:rFonts w:asciiTheme="minorEastAsia" w:hAnsiTheme="minorEastAsia"/>
          <w:b/>
          <w:sz w:val="24"/>
          <w:szCs w:val="24"/>
        </w:rPr>
      </w:pPr>
      <w:r>
        <w:rPr>
          <w:rFonts w:hint="eastAsia" w:asciiTheme="minorEastAsia" w:hAnsiTheme="minorEastAsia"/>
          <w:b/>
          <w:sz w:val="24"/>
          <w:szCs w:val="24"/>
        </w:rPr>
        <w:t>6.系统对接</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本次建设的标准化考点网上巡查系统应符合《国家教育考试网上巡查系统视频标准技术规范（2017 版）》，需与省级网上巡查系统平台、各县（区）网上巡查系统平台按照《国家教育考试网上巡查系统视频标准技术规范（2017 版）》 规定的协议进行对接，实现考场视频监控国家级、省级、市级、区县级、校级 3-5 级联网。</w:t>
      </w:r>
    </w:p>
    <w:p>
      <w:pPr>
        <w:spacing w:line="360" w:lineRule="auto"/>
        <w:ind w:firstLine="480" w:firstLineChars="200"/>
        <w:rPr>
          <w:rFonts w:asciiTheme="minorEastAsia" w:hAnsiTheme="minorEastAsia"/>
          <w:b/>
          <w:sz w:val="24"/>
          <w:szCs w:val="24"/>
        </w:rPr>
      </w:pPr>
      <w:r>
        <w:rPr>
          <w:rFonts w:hint="eastAsia" w:asciiTheme="minorEastAsia" w:hAnsiTheme="minorEastAsia"/>
          <w:b/>
          <w:sz w:val="24"/>
          <w:szCs w:val="24"/>
        </w:rPr>
        <w:t>★投标人须无条件承诺：中标公示结束之日起7个工作日内向采购人提供所投SIP服务器、媒体转发服务器、考场摄像机，与现有铜陵市教育局国家教育考试网上巡查平台联调测试，完成系统互联互通，并提供铜陵市教育局出具的通过互联互通测试的证明材料。如果无法提供，属于虚假响应，采购人有权顺延或重新招标，并报政府采购监督管理部门处理，由此造成的一切后果均由中标供应商承担。</w:t>
      </w:r>
    </w:p>
    <w:p>
      <w:pPr>
        <w:spacing w:line="360" w:lineRule="auto"/>
        <w:ind w:firstLine="480" w:firstLineChars="200"/>
        <w:rPr>
          <w:rFonts w:asciiTheme="minorEastAsia" w:hAnsiTheme="minorEastAsia"/>
          <w:b/>
          <w:sz w:val="24"/>
          <w:szCs w:val="24"/>
        </w:rPr>
      </w:pPr>
      <w:r>
        <w:rPr>
          <w:rFonts w:hint="eastAsia" w:asciiTheme="minorEastAsia" w:hAnsiTheme="minorEastAsia"/>
          <w:sz w:val="24"/>
          <w:szCs w:val="24"/>
        </w:rPr>
        <w:t>系统应具有较高的兼容性， 需支持符合《公共安全视频监控联网系统信息传输、交换、控制技术要求》（GB/T28181－2016）标准的前端设备接入，提供二次开发接口，允许与其它系统进行数据交互，以便在今后的扩容及整合时能无缝连接。</w:t>
      </w:r>
      <w:r>
        <w:rPr>
          <w:rFonts w:hint="eastAsia" w:asciiTheme="minorEastAsia" w:hAnsiTheme="minorEastAsia"/>
          <w:b/>
          <w:sz w:val="24"/>
          <w:szCs w:val="24"/>
        </w:rPr>
        <w:t>服务期内，根据采购人的需求投标人免费对系统平台进行升级完善并完成与其它系统设备的对接（提供承诺函）。</w:t>
      </w:r>
    </w:p>
    <w:p>
      <w:pPr>
        <w:spacing w:line="360" w:lineRule="auto"/>
        <w:ind w:firstLine="480" w:firstLineChars="200"/>
        <w:rPr>
          <w:rFonts w:asciiTheme="minorEastAsia" w:hAnsiTheme="minorEastAsia"/>
          <w:b/>
          <w:sz w:val="24"/>
          <w:szCs w:val="24"/>
        </w:rPr>
      </w:pPr>
      <w:r>
        <w:rPr>
          <w:rFonts w:hint="eastAsia" w:asciiTheme="minorEastAsia" w:hAnsiTheme="minorEastAsia"/>
          <w:b/>
          <w:sz w:val="24"/>
          <w:szCs w:val="24"/>
        </w:rPr>
        <w:t>7.验收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验收时，必须实现此次项目建设的基本需求目标，实现校-区县-市-省-部的五级互联互通。即在现有的铜陵市教育局国家教育考试网上巡查平台上可以实时浏览本项目考场图像为准，否则将视其验收结果为不合格。</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项目验收包括试运行、初验、竣工验收。试运行期不低于15天。验收时，中标供应商需提供施工方案、图纸、设备到货验收表、设备开箱检查表、设备加电测试记录、设备移交清单等工作文档和设备使用操作手册、培训方案、培训资料、试运行记录、产品合格证等其他材料。</w:t>
      </w:r>
    </w:p>
    <w:p>
      <w:pPr>
        <w:spacing w:line="360" w:lineRule="auto"/>
        <w:ind w:firstLine="480" w:firstLineChars="200"/>
        <w:rPr>
          <w:rFonts w:asciiTheme="minorEastAsia" w:hAnsiTheme="minorEastAsia"/>
          <w:b/>
          <w:sz w:val="24"/>
          <w:szCs w:val="24"/>
        </w:rPr>
      </w:pPr>
      <w:r>
        <w:rPr>
          <w:rFonts w:hint="eastAsia" w:asciiTheme="minorEastAsia" w:hAnsiTheme="minorEastAsia"/>
          <w:b/>
          <w:sz w:val="24"/>
          <w:szCs w:val="24"/>
        </w:rPr>
        <w:t>8.售后服务</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中标供应商须提供不少于</w:t>
      </w:r>
      <w:r>
        <w:rPr>
          <w:rFonts w:hint="eastAsia" w:asciiTheme="minorEastAsia" w:hAnsiTheme="minorEastAsia"/>
          <w:b/>
          <w:sz w:val="24"/>
          <w:szCs w:val="24"/>
        </w:rPr>
        <w:t>五年</w:t>
      </w:r>
      <w:r>
        <w:rPr>
          <w:rFonts w:hint="eastAsia" w:asciiTheme="minorEastAsia" w:hAnsiTheme="minorEastAsia"/>
          <w:sz w:val="24"/>
          <w:szCs w:val="24"/>
        </w:rPr>
        <w:t>免费保修和技术保障服务，服务期从项目竣工验收合格之日算起。服务期内， 中标供应商需提供全年7×24小时的技术支持和现场服务。高中考考前联调和考试期间，中标供应商需在区指挥中心安排 1 名技术人员提供现场技术保障。考前联调及考试期间 2 小时内响应并解决问题；非以上时间，下一个工作日内响应并解决问题。设备不能及时修理的情况下，应提供备品备件临时使用，直至故障设备修复。设备无法修复的，中标供应商应予以免费更换。</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服务期内，中标供应商每年提供两次巡检服务，巡检内容包括检查设备运行情况、设备清洁除尘、调整摄像机角度、整理线缆等内容。</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注：中标人如在保修期内不能按合同履行义务的，中标人将按违约处理并报相关管理部门公示及记不良行为记录。</w:t>
      </w:r>
    </w:p>
    <w:p>
      <w:pPr>
        <w:spacing w:line="360" w:lineRule="auto"/>
        <w:ind w:firstLine="480" w:firstLineChars="200"/>
        <w:rPr>
          <w:rFonts w:asciiTheme="minorEastAsia" w:hAnsiTheme="minorEastAsia"/>
          <w:b/>
          <w:sz w:val="24"/>
          <w:szCs w:val="24"/>
        </w:rPr>
      </w:pPr>
      <w:r>
        <w:rPr>
          <w:rFonts w:hint="eastAsia" w:asciiTheme="minorEastAsia" w:hAnsiTheme="minorEastAsia"/>
          <w:b/>
          <w:sz w:val="24"/>
          <w:szCs w:val="24"/>
        </w:rPr>
        <w:t>9.报价要求</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本项目报投标总价，采用总价包干方式。 投标供应商的投标报价须包括完成本项目所涉及的全部费用。中标后采购人不因任何原因支付额外费用，且须保证系统正常运行。</w:t>
      </w:r>
    </w:p>
    <w:p>
      <w:pPr>
        <w:ind w:firstLine="600" w:firstLineChars="200"/>
        <w:rPr>
          <w:rFonts w:ascii="仿宋_GB2312" w:eastAsia="仿宋_GB2312"/>
          <w:sz w:val="30"/>
          <w:szCs w:val="30"/>
        </w:rPr>
      </w:pPr>
      <w:r>
        <w:rPr>
          <w:rFonts w:hint="eastAsia" w:ascii="仿宋_GB2312" w:eastAsia="仿宋_GB2312"/>
          <w:sz w:val="30"/>
          <w:szCs w:val="30"/>
        </w:rPr>
        <w:t>（二）设备清单</w:t>
      </w:r>
    </w:p>
    <w:tbl>
      <w:tblPr>
        <w:tblStyle w:val="11"/>
        <w:tblW w:w="8662" w:type="dxa"/>
        <w:jc w:val="center"/>
        <w:tblLayout w:type="autofit"/>
        <w:tblCellMar>
          <w:top w:w="0" w:type="dxa"/>
          <w:left w:w="0" w:type="dxa"/>
          <w:bottom w:w="0" w:type="dxa"/>
          <w:right w:w="0" w:type="dxa"/>
        </w:tblCellMar>
      </w:tblPr>
      <w:tblGrid>
        <w:gridCol w:w="865"/>
        <w:gridCol w:w="2549"/>
        <w:gridCol w:w="25"/>
        <w:gridCol w:w="1112"/>
        <w:gridCol w:w="22"/>
        <w:gridCol w:w="1396"/>
        <w:gridCol w:w="21"/>
        <w:gridCol w:w="1396"/>
        <w:gridCol w:w="22"/>
        <w:gridCol w:w="1254"/>
      </w:tblGrid>
      <w:tr>
        <w:tblPrEx>
          <w:tblCellMar>
            <w:top w:w="0" w:type="dxa"/>
            <w:left w:w="0" w:type="dxa"/>
            <w:bottom w:w="0" w:type="dxa"/>
            <w:right w:w="0" w:type="dxa"/>
          </w:tblCellMar>
        </w:tblPrEx>
        <w:trPr>
          <w:trHeight w:val="285"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b/>
                <w:color w:val="000000"/>
                <w:sz w:val="24"/>
                <w:szCs w:val="24"/>
              </w:rPr>
            </w:pPr>
            <w:r>
              <w:rPr>
                <w:rFonts w:hint="eastAsia" w:ascii="仿宋_GB2312" w:hAnsi="宋体" w:eastAsia="仿宋_GB2312" w:cs="仿宋"/>
                <w:b/>
                <w:color w:val="000000"/>
                <w:kern w:val="0"/>
                <w:sz w:val="24"/>
                <w:szCs w:val="24"/>
              </w:rPr>
              <w:t>序号</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b/>
                <w:color w:val="000000"/>
                <w:sz w:val="24"/>
                <w:szCs w:val="24"/>
              </w:rPr>
            </w:pPr>
            <w:r>
              <w:rPr>
                <w:rFonts w:hint="eastAsia" w:ascii="仿宋_GB2312" w:hAnsi="宋体" w:eastAsia="仿宋_GB2312" w:cs="仿宋"/>
                <w:b/>
                <w:color w:val="000000"/>
                <w:kern w:val="0"/>
                <w:sz w:val="24"/>
                <w:szCs w:val="24"/>
              </w:rPr>
              <w:t>产品名称</w:t>
            </w:r>
          </w:p>
        </w:tc>
        <w:tc>
          <w:tcPr>
            <w:tcW w:w="11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b/>
                <w:color w:val="000000"/>
                <w:sz w:val="24"/>
                <w:szCs w:val="24"/>
              </w:rPr>
            </w:pPr>
            <w:r>
              <w:rPr>
                <w:rFonts w:hint="eastAsia" w:ascii="仿宋_GB2312" w:hAnsi="宋体" w:eastAsia="仿宋_GB2312" w:cs="仿宋"/>
                <w:b/>
                <w:color w:val="000000"/>
                <w:kern w:val="0"/>
                <w:sz w:val="24"/>
                <w:szCs w:val="24"/>
              </w:rPr>
              <w:t>单位</w:t>
            </w:r>
          </w:p>
        </w:tc>
        <w:tc>
          <w:tcPr>
            <w:tcW w:w="411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b/>
                <w:color w:val="000000"/>
                <w:sz w:val="24"/>
                <w:szCs w:val="24"/>
              </w:rPr>
            </w:pPr>
            <w:r>
              <w:rPr>
                <w:rFonts w:hint="eastAsia" w:ascii="仿宋_GB2312" w:hAnsi="宋体" w:eastAsia="仿宋_GB2312" w:cs="仿宋"/>
                <w:b/>
                <w:color w:val="000000"/>
                <w:kern w:val="0"/>
                <w:sz w:val="24"/>
                <w:szCs w:val="24"/>
              </w:rPr>
              <w:t>数量</w:t>
            </w:r>
          </w:p>
        </w:tc>
      </w:tr>
      <w:tr>
        <w:tblPrEx>
          <w:tblCellMar>
            <w:top w:w="0" w:type="dxa"/>
            <w:left w:w="0" w:type="dxa"/>
            <w:bottom w:w="0" w:type="dxa"/>
            <w:right w:w="0" w:type="dxa"/>
          </w:tblCellMar>
        </w:tblPrEx>
        <w:trPr>
          <w:trHeight w:val="285"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
                <w:b/>
                <w:color w:val="000000"/>
                <w:sz w:val="24"/>
                <w:szCs w:val="24"/>
              </w:rPr>
            </w:pP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
                <w:b/>
                <w:color w:val="000000"/>
                <w:sz w:val="24"/>
                <w:szCs w:val="24"/>
              </w:rPr>
            </w:pPr>
          </w:p>
        </w:tc>
        <w:tc>
          <w:tcPr>
            <w:tcW w:w="11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
                <w:b/>
                <w:color w:val="000000"/>
                <w:sz w:val="24"/>
                <w:szCs w:val="24"/>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b/>
                <w:color w:val="000000"/>
                <w:sz w:val="24"/>
                <w:szCs w:val="24"/>
              </w:rPr>
            </w:pPr>
            <w:r>
              <w:rPr>
                <w:rFonts w:hint="eastAsia" w:ascii="仿宋_GB2312" w:hAnsi="宋体" w:eastAsia="仿宋_GB2312" w:cs="仿宋"/>
                <w:b/>
                <w:color w:val="000000"/>
                <w:kern w:val="0"/>
                <w:sz w:val="24"/>
                <w:szCs w:val="24"/>
              </w:rPr>
              <w:t>顺安中学</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b/>
                <w:color w:val="000000"/>
                <w:sz w:val="24"/>
                <w:szCs w:val="24"/>
              </w:rPr>
            </w:pPr>
            <w:r>
              <w:rPr>
                <w:rFonts w:hint="eastAsia" w:ascii="仿宋_GB2312" w:hAnsi="宋体" w:eastAsia="仿宋_GB2312" w:cs="仿宋"/>
                <w:b/>
                <w:color w:val="000000"/>
                <w:kern w:val="0"/>
                <w:sz w:val="24"/>
                <w:szCs w:val="24"/>
              </w:rPr>
              <w:t>教体局</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b/>
                <w:color w:val="000000"/>
                <w:sz w:val="24"/>
                <w:szCs w:val="24"/>
              </w:rPr>
            </w:pPr>
            <w:r>
              <w:rPr>
                <w:rFonts w:hint="eastAsia" w:ascii="仿宋_GB2312" w:hAnsi="宋体" w:eastAsia="仿宋_GB2312" w:cs="仿宋"/>
                <w:b/>
                <w:color w:val="000000"/>
                <w:kern w:val="0"/>
                <w:sz w:val="24"/>
                <w:szCs w:val="24"/>
              </w:rPr>
              <w:t>合计</w:t>
            </w:r>
          </w:p>
        </w:tc>
      </w:tr>
      <w:tr>
        <w:tblPrEx>
          <w:tblCellMar>
            <w:top w:w="0" w:type="dxa"/>
            <w:left w:w="0" w:type="dxa"/>
            <w:bottom w:w="0" w:type="dxa"/>
            <w:right w:w="0" w:type="dxa"/>
          </w:tblCellMar>
        </w:tblPrEx>
        <w:trPr>
          <w:trHeight w:val="285" w:hRule="atLeast"/>
          <w:jc w:val="center"/>
        </w:trPr>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
                <w:b/>
                <w:color w:val="000000"/>
                <w:sz w:val="24"/>
                <w:szCs w:val="24"/>
              </w:rPr>
            </w:pPr>
            <w:r>
              <w:rPr>
                <w:rFonts w:hint="eastAsia" w:ascii="仿宋_GB2312" w:hAnsi="宋体" w:eastAsia="仿宋_GB2312" w:cs="仿宋"/>
                <w:b/>
                <w:color w:val="000000"/>
                <w:kern w:val="0"/>
                <w:sz w:val="24"/>
                <w:szCs w:val="24"/>
              </w:rPr>
              <w:t>一、高清网上巡查系统及中考听力扩充</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网络存储</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台</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2</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2</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解码器</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台</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ascii="仿宋_GB2312" w:hAnsi="宋体" w:eastAsia="仿宋_GB2312" w:cs="仿宋"/>
                <w:color w:val="000000"/>
                <w:kern w:val="0"/>
                <w:sz w:val="24"/>
                <w:szCs w:val="24"/>
              </w:rPr>
              <w:t>0</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ascii="仿宋_GB2312" w:hAnsi="宋体" w:eastAsia="仿宋_GB2312" w:cs="仿宋"/>
                <w:color w:val="000000"/>
                <w:kern w:val="0"/>
                <w:sz w:val="24"/>
                <w:szCs w:val="24"/>
              </w:rPr>
              <w:t>1</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3</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巡查客户端软件</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套</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2</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4</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Style w:val="24"/>
                <w:rFonts w:hint="eastAsia" w:hAnsi="宋体" w:cs="仿宋"/>
                <w:sz w:val="24"/>
                <w:szCs w:val="24"/>
              </w:rPr>
              <w:t>SIP\转发\管理服</w:t>
            </w:r>
            <w:r>
              <w:rPr>
                <w:rStyle w:val="25"/>
                <w:rFonts w:hint="default" w:ascii="仿宋_GB2312" w:eastAsia="仿宋_GB2312" w:cs="仿宋"/>
                <w:sz w:val="24"/>
                <w:szCs w:val="24"/>
              </w:rPr>
              <w:t>务</w:t>
            </w:r>
            <w:r>
              <w:rPr>
                <w:rStyle w:val="24"/>
                <w:rFonts w:hint="eastAsia" w:hAnsi="宋体" w:cs="仿宋"/>
                <w:sz w:val="24"/>
                <w:szCs w:val="24"/>
              </w:rPr>
              <w:t>器</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台</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2</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网络半球摄像机</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台</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42</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4</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46</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6</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网络筒形摄像机</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台</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23</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23</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7</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网络球型摄像机</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台</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8</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摄像机支架</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个</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65</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65</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9</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硬盘</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块</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6</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2</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8</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视频备份硬盘</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块</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2</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3</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11</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sz w:val="24"/>
                <w:szCs w:val="24"/>
              </w:rPr>
              <w:t>显示终端</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台</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12</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sz w:val="24"/>
                <w:szCs w:val="24"/>
              </w:rPr>
            </w:pPr>
            <w:r>
              <w:rPr>
                <w:rFonts w:hint="eastAsia" w:ascii="仿宋_GB2312" w:hAnsi="宋体" w:eastAsia="仿宋_GB2312" w:cs="仿宋"/>
                <w:kern w:val="0"/>
                <w:sz w:val="24"/>
                <w:szCs w:val="24"/>
              </w:rPr>
              <w:t>核心交换设备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sz w:val="24"/>
                <w:szCs w:val="24"/>
              </w:rPr>
            </w:pPr>
            <w:r>
              <w:rPr>
                <w:rFonts w:hint="eastAsia" w:ascii="仿宋_GB2312" w:hAnsi="宋体" w:eastAsia="仿宋_GB2312" w:cs="仿宋"/>
                <w:kern w:val="0"/>
                <w:sz w:val="24"/>
                <w:szCs w:val="24"/>
              </w:rPr>
              <w:t>台</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sz w:val="24"/>
                <w:szCs w:val="24"/>
              </w:rPr>
            </w:pPr>
            <w:r>
              <w:rPr>
                <w:rFonts w:hint="eastAsia" w:ascii="仿宋_GB2312" w:hAnsi="宋体" w:eastAsia="仿宋_GB2312" w:cs="仿宋"/>
                <w:kern w:val="0"/>
                <w:sz w:val="24"/>
                <w:szCs w:val="24"/>
              </w:rPr>
              <w:t>1</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2</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13</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sz w:val="24"/>
                <w:szCs w:val="24"/>
              </w:rPr>
            </w:pPr>
            <w:r>
              <w:rPr>
                <w:rFonts w:hint="eastAsia" w:ascii="仿宋_GB2312" w:hAnsi="宋体" w:eastAsia="仿宋_GB2312" w:cs="仿宋"/>
                <w:kern w:val="0"/>
                <w:sz w:val="24"/>
                <w:szCs w:val="24"/>
              </w:rPr>
              <w:t>接入交换设备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sz w:val="24"/>
                <w:szCs w:val="24"/>
              </w:rPr>
            </w:pPr>
            <w:r>
              <w:rPr>
                <w:rFonts w:hint="eastAsia" w:ascii="仿宋_GB2312" w:hAnsi="宋体" w:eastAsia="仿宋_GB2312" w:cs="仿宋"/>
                <w:kern w:val="0"/>
                <w:sz w:val="24"/>
                <w:szCs w:val="24"/>
              </w:rPr>
              <w:t>台</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sz w:val="24"/>
                <w:szCs w:val="24"/>
              </w:rPr>
            </w:pPr>
            <w:r>
              <w:rPr>
                <w:rFonts w:ascii="仿宋_GB2312" w:hAnsi="宋体" w:eastAsia="仿宋_GB2312" w:cs="仿宋"/>
                <w:kern w:val="0"/>
                <w:sz w:val="24"/>
                <w:szCs w:val="24"/>
              </w:rPr>
              <w:t>6</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ascii="仿宋_GB2312" w:hAnsi="宋体" w:eastAsia="仿宋_GB2312" w:cs="仿宋"/>
                <w:color w:val="000000"/>
                <w:kern w:val="0"/>
                <w:sz w:val="24"/>
                <w:szCs w:val="24"/>
              </w:rPr>
              <w:t>6</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14</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光模块</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ascii="仿宋_GB2312" w:hAnsi="宋体" w:eastAsia="仿宋_GB2312" w:cs="仿宋"/>
                <w:color w:val="000000"/>
                <w:sz w:val="24"/>
                <w:szCs w:val="24"/>
              </w:rPr>
              <w:t>6</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ascii="仿宋_GB2312" w:hAnsi="宋体" w:eastAsia="仿宋_GB2312" w:cs="仿宋"/>
                <w:color w:val="000000"/>
                <w:kern w:val="0"/>
                <w:sz w:val="24"/>
                <w:szCs w:val="24"/>
              </w:rPr>
              <w:t>6</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15</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管理终端</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套</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2</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16</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操作台</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台</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2</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17</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机柜</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个</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2</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18</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壁挂音箱</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个</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9</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9</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19</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辅材</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2</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20</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拆除旧设备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批</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r>
      <w:tr>
        <w:tblPrEx>
          <w:tblCellMar>
            <w:top w:w="0" w:type="dxa"/>
            <w:left w:w="0" w:type="dxa"/>
            <w:bottom w:w="0" w:type="dxa"/>
            <w:right w:w="0" w:type="dxa"/>
          </w:tblCellMar>
        </w:tblPrEx>
        <w:trPr>
          <w:trHeight w:val="706" w:hRule="atLeast"/>
          <w:jc w:val="center"/>
        </w:trPr>
        <w:tc>
          <w:tcPr>
            <w:tcW w:w="8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21</w:t>
            </w:r>
          </w:p>
        </w:tc>
        <w:tc>
          <w:tcPr>
            <w:tcW w:w="25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系统集成</w:t>
            </w:r>
          </w:p>
        </w:tc>
        <w:tc>
          <w:tcPr>
            <w:tcW w:w="1137"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批</w:t>
            </w:r>
          </w:p>
        </w:tc>
        <w:tc>
          <w:tcPr>
            <w:tcW w:w="1418"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417"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276"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2</w:t>
            </w:r>
          </w:p>
        </w:tc>
      </w:tr>
      <w:tr>
        <w:tblPrEx>
          <w:tblCellMar>
            <w:top w:w="0" w:type="dxa"/>
            <w:left w:w="0" w:type="dxa"/>
            <w:bottom w:w="0" w:type="dxa"/>
            <w:right w:w="0" w:type="dxa"/>
          </w:tblCellMar>
        </w:tblPrEx>
        <w:trPr>
          <w:trHeight w:val="285" w:hRule="atLeast"/>
          <w:jc w:val="center"/>
        </w:trPr>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
                <w:b/>
                <w:color w:val="000000"/>
                <w:sz w:val="24"/>
                <w:szCs w:val="24"/>
              </w:rPr>
            </w:pPr>
            <w:r>
              <w:rPr>
                <w:rFonts w:hint="eastAsia" w:ascii="仿宋_GB2312" w:hAnsi="宋体" w:eastAsia="仿宋_GB2312" w:cs="仿宋"/>
                <w:b/>
                <w:color w:val="000000"/>
                <w:kern w:val="0"/>
                <w:sz w:val="24"/>
                <w:szCs w:val="24"/>
              </w:rPr>
              <w:t>二、网络时钟系统</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网络时钟</w:t>
            </w: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台</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42</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42</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2</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时钟监管软件</w:t>
            </w: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套</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3</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管理服务器</w:t>
            </w: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台</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4</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24口接入交换设备</w:t>
            </w: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台</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3</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3</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5</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光模块</w:t>
            </w: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对</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3</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3</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6</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红外报警系统</w:t>
            </w: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套</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7</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辅材</w:t>
            </w: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批</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r>
      <w:tr>
        <w:tblPrEx>
          <w:tblCellMar>
            <w:top w:w="0" w:type="dxa"/>
            <w:left w:w="0" w:type="dxa"/>
            <w:bottom w:w="0" w:type="dxa"/>
            <w:right w:w="0" w:type="dxa"/>
          </w:tblCellMar>
        </w:tblPrEx>
        <w:trPr>
          <w:trHeight w:val="270" w:hRule="atLeast"/>
          <w:jc w:val="center"/>
        </w:trPr>
        <w:tc>
          <w:tcPr>
            <w:tcW w:w="8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8</w:t>
            </w:r>
          </w:p>
        </w:tc>
        <w:tc>
          <w:tcPr>
            <w:tcW w:w="25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系统集成</w:t>
            </w:r>
          </w:p>
        </w:tc>
        <w:tc>
          <w:tcPr>
            <w:tcW w:w="1159" w:type="dxa"/>
            <w:gridSpan w:val="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批</w:t>
            </w:r>
          </w:p>
        </w:tc>
        <w:tc>
          <w:tcPr>
            <w:tcW w:w="1417"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418"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25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r>
      <w:tr>
        <w:tblPrEx>
          <w:tblCellMar>
            <w:top w:w="0" w:type="dxa"/>
            <w:left w:w="0" w:type="dxa"/>
            <w:bottom w:w="0" w:type="dxa"/>
            <w:right w:w="0" w:type="dxa"/>
          </w:tblCellMar>
        </w:tblPrEx>
        <w:trPr>
          <w:trHeight w:val="285" w:hRule="atLeast"/>
          <w:jc w:val="center"/>
        </w:trPr>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
                <w:b/>
                <w:color w:val="000000"/>
                <w:sz w:val="24"/>
                <w:szCs w:val="24"/>
              </w:rPr>
            </w:pPr>
            <w:r>
              <w:rPr>
                <w:rFonts w:hint="eastAsia" w:ascii="仿宋_GB2312" w:hAnsi="宋体" w:eastAsia="仿宋_GB2312" w:cs="仿宋"/>
                <w:b/>
                <w:color w:val="000000"/>
                <w:kern w:val="0"/>
                <w:sz w:val="24"/>
                <w:szCs w:val="24"/>
              </w:rPr>
              <w:t>三、巡考显示系统</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2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指挥中心巡考显示终端</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块</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6</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6</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2</w:t>
            </w:r>
          </w:p>
        </w:tc>
        <w:tc>
          <w:tcPr>
            <w:tcW w:w="2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显示终端控制器</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台</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3</w:t>
            </w:r>
          </w:p>
        </w:tc>
        <w:tc>
          <w:tcPr>
            <w:tcW w:w="2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控制软件</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套</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4</w:t>
            </w:r>
          </w:p>
        </w:tc>
        <w:tc>
          <w:tcPr>
            <w:tcW w:w="2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安装支架</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套</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6</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6</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5</w:t>
            </w:r>
          </w:p>
        </w:tc>
        <w:tc>
          <w:tcPr>
            <w:tcW w:w="2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显示终端线缆</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根</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7</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7</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6</w:t>
            </w:r>
          </w:p>
        </w:tc>
        <w:tc>
          <w:tcPr>
            <w:tcW w:w="2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LED终端</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块</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7</w:t>
            </w:r>
          </w:p>
        </w:tc>
        <w:tc>
          <w:tcPr>
            <w:tcW w:w="2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辅材</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批</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r>
      <w:tr>
        <w:tblPrEx>
          <w:tblCellMar>
            <w:top w:w="0" w:type="dxa"/>
            <w:left w:w="0" w:type="dxa"/>
            <w:bottom w:w="0" w:type="dxa"/>
            <w:right w:w="0" w:type="dxa"/>
          </w:tblCellMar>
        </w:tblPrEx>
        <w:trPr>
          <w:trHeight w:val="28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8</w:t>
            </w:r>
          </w:p>
        </w:tc>
        <w:tc>
          <w:tcPr>
            <w:tcW w:w="2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系统集成</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批</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0</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
                <w:color w:val="000000"/>
                <w:sz w:val="24"/>
                <w:szCs w:val="24"/>
              </w:rPr>
            </w:pPr>
            <w:r>
              <w:rPr>
                <w:rFonts w:hint="eastAsia" w:ascii="仿宋_GB2312" w:hAnsi="宋体" w:eastAsia="仿宋_GB2312" w:cs="仿宋"/>
                <w:color w:val="000000"/>
                <w:kern w:val="0"/>
                <w:sz w:val="24"/>
                <w:szCs w:val="24"/>
              </w:rPr>
              <w:t>1</w:t>
            </w:r>
          </w:p>
        </w:tc>
      </w:tr>
      <w:tr>
        <w:tblPrEx>
          <w:tblCellMar>
            <w:top w:w="0" w:type="dxa"/>
            <w:left w:w="0" w:type="dxa"/>
            <w:bottom w:w="0" w:type="dxa"/>
            <w:right w:w="0" w:type="dxa"/>
          </w:tblCellMar>
        </w:tblPrEx>
        <w:trPr>
          <w:trHeight w:val="285" w:hRule="atLeast"/>
          <w:jc w:val="center"/>
        </w:trPr>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
                <w:b/>
                <w:color w:val="000000"/>
                <w:kern w:val="0"/>
                <w:sz w:val="24"/>
                <w:szCs w:val="24"/>
              </w:rPr>
            </w:pPr>
            <w:r>
              <w:rPr>
                <w:rFonts w:hint="eastAsia" w:ascii="仿宋_GB2312" w:hAnsi="宋体" w:eastAsia="仿宋_GB2312" w:cs="仿宋"/>
                <w:b/>
                <w:color w:val="000000"/>
                <w:kern w:val="0"/>
                <w:sz w:val="24"/>
                <w:szCs w:val="24"/>
              </w:rPr>
              <w:t>四、5年驻点服务费</w:t>
            </w:r>
          </w:p>
        </w:tc>
      </w:tr>
      <w:tr>
        <w:tblPrEx>
          <w:tblCellMar>
            <w:top w:w="0" w:type="dxa"/>
            <w:left w:w="0" w:type="dxa"/>
            <w:bottom w:w="0" w:type="dxa"/>
            <w:right w:w="0" w:type="dxa"/>
          </w:tblCellMar>
        </w:tblPrEx>
        <w:trPr>
          <w:trHeight w:val="285" w:hRule="atLeast"/>
          <w:jc w:val="center"/>
        </w:trPr>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
                <w:color w:val="000000"/>
                <w:kern w:val="0"/>
                <w:sz w:val="24"/>
                <w:szCs w:val="24"/>
              </w:rPr>
            </w:pPr>
            <w:r>
              <w:rPr>
                <w:rFonts w:hint="eastAsia" w:ascii="仿宋_GB2312" w:hAnsi="宋体" w:eastAsia="仿宋_GB2312" w:cs="仿宋"/>
                <w:color w:val="000000"/>
                <w:kern w:val="0"/>
                <w:sz w:val="24"/>
                <w:szCs w:val="24"/>
              </w:rPr>
              <w:t>考试前、中、后安排人员驻点进行服务，确保设备正常运行</w:t>
            </w:r>
          </w:p>
        </w:tc>
      </w:tr>
    </w:tbl>
    <w:p>
      <w:pPr>
        <w:spacing w:line="360" w:lineRule="auto"/>
        <w:ind w:firstLine="480" w:firstLineChars="200"/>
        <w:rPr>
          <w:rFonts w:ascii="黑体" w:hAnsi="黑体" w:eastAsia="黑体"/>
          <w:sz w:val="24"/>
          <w:szCs w:val="24"/>
        </w:rPr>
      </w:pPr>
      <w:r>
        <w:rPr>
          <w:rFonts w:hint="eastAsia" w:ascii="黑体" w:hAnsi="黑体" w:eastAsia="黑体"/>
          <w:sz w:val="24"/>
          <w:szCs w:val="24"/>
        </w:rPr>
        <w:t>四、合同主要条款：</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1.合同签订后，乙方须在7个工作日内将中标价</w:t>
      </w:r>
      <w:r>
        <w:rPr>
          <w:rFonts w:hint="eastAsia" w:asciiTheme="minorEastAsia" w:hAnsiTheme="minorEastAsia"/>
          <w:color w:val="FF0000"/>
          <w:sz w:val="24"/>
          <w:szCs w:val="24"/>
        </w:rPr>
        <w:t>的5%作</w:t>
      </w:r>
      <w:r>
        <w:rPr>
          <w:rFonts w:hint="eastAsia" w:asciiTheme="minorEastAsia" w:hAnsiTheme="minorEastAsia"/>
          <w:sz w:val="24"/>
          <w:szCs w:val="24"/>
        </w:rPr>
        <w:t>为质保金打到甲方账户，一年后无质量等问题无息退回。</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 供货、安装完毕终验合格后，甲方在30个工作日内付款乙方合同价款的100%。</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3.款项均通过银行转账方式汇到乙方指定的银行账户。乙方在向甲方申请支付款项前，均应向甲方提供规范合法的税票。否则，甲方有权拒绝付款。</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五、现场踏勘、运输、安装、调试：</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1、由成交供应商负责承担。</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2、投标人可自行现场踏勘，确定设备安装点位。</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3、中标人必须依照招标文件的要求和投标文件的承诺，将设备安装并调试至正常运行。</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4、货物为原厂未启封全新包装，具出厂合格证，序列号、包装箱号与出厂批号一致，并可追索查阅。</w:t>
      </w:r>
    </w:p>
    <w:p>
      <w:pPr>
        <w:spacing w:line="360" w:lineRule="auto"/>
        <w:ind w:firstLine="480" w:firstLineChars="200"/>
        <w:rPr>
          <w:rFonts w:ascii="黑体" w:hAnsi="黑体" w:eastAsia="黑体"/>
          <w:sz w:val="24"/>
          <w:szCs w:val="24"/>
        </w:rPr>
      </w:pPr>
      <w:r>
        <w:rPr>
          <w:rFonts w:hint="eastAsia" w:ascii="黑体" w:hAnsi="黑体" w:eastAsia="黑体"/>
          <w:sz w:val="24"/>
          <w:szCs w:val="24"/>
        </w:rPr>
        <w:t>六、商检、计量费用：由成交供应商负责承担。</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七、交货安装地点：铜陵市义安区教体局和顺安中学；</w:t>
      </w:r>
    </w:p>
    <w:p>
      <w:pPr>
        <w:spacing w:line="360" w:lineRule="auto"/>
        <w:ind w:firstLine="480" w:firstLineChars="200"/>
        <w:rPr>
          <w:rFonts w:asciiTheme="minorEastAsia" w:hAnsiTheme="minorEastAsia"/>
          <w:sz w:val="24"/>
          <w:szCs w:val="24"/>
        </w:rPr>
      </w:pPr>
      <w:r>
        <w:rPr>
          <w:rFonts w:hint="eastAsia" w:ascii="黑体" w:hAnsi="黑体" w:eastAsia="黑体"/>
          <w:sz w:val="24"/>
          <w:szCs w:val="24"/>
        </w:rPr>
        <w:t>八、交货安装及提供服务时间要求：</w:t>
      </w:r>
      <w:r>
        <w:rPr>
          <w:rFonts w:hint="eastAsia" w:ascii="黑体" w:hAnsi="黑体" w:eastAsia="黑体"/>
          <w:color w:val="FF0000"/>
          <w:sz w:val="24"/>
          <w:szCs w:val="24"/>
          <w:lang w:val="en-US" w:eastAsia="zh-CN"/>
        </w:rPr>
        <w:t>合同签订</w:t>
      </w:r>
      <w:r>
        <w:rPr>
          <w:rFonts w:hint="eastAsia" w:ascii="黑体" w:hAnsi="黑体" w:eastAsia="黑体"/>
          <w:sz w:val="24"/>
          <w:szCs w:val="24"/>
        </w:rPr>
        <w:t>后30天内供货安装到</w:t>
      </w:r>
      <w:r>
        <w:rPr>
          <w:rFonts w:hint="eastAsia" w:asciiTheme="minorEastAsia" w:hAnsiTheme="minorEastAsia"/>
          <w:sz w:val="24"/>
          <w:szCs w:val="24"/>
        </w:rPr>
        <w:t>位。</w:t>
      </w:r>
    </w:p>
    <w:p>
      <w:pPr>
        <w:spacing w:line="360" w:lineRule="auto"/>
        <w:ind w:firstLine="480" w:firstLineChars="200"/>
        <w:rPr>
          <w:rFonts w:hint="default" w:ascii="黑体" w:hAnsi="黑体" w:eastAsia="黑体"/>
          <w:sz w:val="24"/>
          <w:szCs w:val="24"/>
          <w:lang w:val="en-US" w:eastAsia="zh-CN"/>
        </w:rPr>
      </w:pPr>
      <w:r>
        <w:rPr>
          <w:rFonts w:hint="eastAsia" w:ascii="黑体" w:hAnsi="黑体" w:eastAsia="黑体"/>
          <w:sz w:val="24"/>
          <w:szCs w:val="24"/>
        </w:rPr>
        <w:t>九、评标办法：</w:t>
      </w:r>
      <w:r>
        <w:rPr>
          <w:rFonts w:hint="eastAsia" w:ascii="黑体" w:hAnsi="黑体" w:eastAsia="黑体"/>
          <w:sz w:val="24"/>
          <w:szCs w:val="24"/>
          <w:lang w:val="en-US" w:eastAsia="zh-CN"/>
        </w:rPr>
        <w:t>综合评分法</w:t>
      </w:r>
    </w:p>
    <w:p>
      <w:pPr>
        <w:spacing w:line="360" w:lineRule="auto"/>
        <w:ind w:firstLine="480" w:firstLineChars="200"/>
        <w:rPr>
          <w:rFonts w:hint="eastAsia" w:ascii="黑体" w:hAnsi="黑体" w:eastAsia="黑体"/>
          <w:sz w:val="24"/>
          <w:szCs w:val="24"/>
        </w:rPr>
      </w:pPr>
      <w:r>
        <w:rPr>
          <w:rFonts w:hint="eastAsia" w:ascii="黑体" w:hAnsi="黑体" w:eastAsia="黑体"/>
          <w:sz w:val="24"/>
          <w:szCs w:val="24"/>
        </w:rPr>
        <w:t>十、评分标准：</w:t>
      </w:r>
    </w:p>
    <w:tbl>
      <w:tblPr>
        <w:tblStyle w:val="11"/>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450"/>
        <w:gridCol w:w="5577"/>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类别</w:t>
            </w:r>
          </w:p>
        </w:tc>
        <w:tc>
          <w:tcPr>
            <w:tcW w:w="145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60" w:lineRule="auto"/>
              <w:jc w:val="left"/>
              <w:rPr>
                <w:rFonts w:hint="eastAsia" w:ascii="宋体" w:hAnsi="宋体" w:cs="宋体"/>
                <w:color w:val="000000"/>
                <w:sz w:val="24"/>
                <w:lang w:val="en-US" w:eastAsia="zh-CN"/>
              </w:rPr>
            </w:pPr>
            <w:r>
              <w:rPr>
                <w:rFonts w:hint="eastAsia" w:ascii="宋体" w:hAnsi="宋体" w:cs="宋体"/>
                <w:color w:val="000000"/>
                <w:sz w:val="24"/>
                <w:lang w:val="en-US" w:eastAsia="zh-CN"/>
              </w:rPr>
              <w:t>评分内容</w:t>
            </w:r>
          </w:p>
        </w:tc>
        <w:tc>
          <w:tcPr>
            <w:tcW w:w="557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评分标准</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60" w:lineRule="auto"/>
              <w:jc w:val="left"/>
              <w:rPr>
                <w:rFonts w:hint="eastAsia" w:ascii="宋体" w:hAnsi="宋体" w:cs="宋体"/>
                <w:color w:val="000000"/>
                <w:sz w:val="24"/>
                <w:lang w:val="en-US" w:eastAsia="zh-CN"/>
              </w:rPr>
            </w:pPr>
            <w:r>
              <w:rPr>
                <w:rFonts w:hint="eastAsia" w:ascii="宋体" w:hAnsi="宋体" w:cs="宋体"/>
                <w:color w:val="000000"/>
                <w:sz w:val="24"/>
                <w:lang w:val="en-US" w:eastAsia="zh-CN"/>
              </w:rPr>
              <w:t>技术分</w:t>
            </w:r>
          </w:p>
          <w:p>
            <w:pPr>
              <w:adjustRightInd w:val="0"/>
              <w:snapToGrid w:val="0"/>
              <w:spacing w:line="360" w:lineRule="auto"/>
              <w:jc w:val="left"/>
              <w:rPr>
                <w:rFonts w:hint="eastAsia" w:ascii="宋体" w:hAnsi="宋体" w:cs="宋体"/>
                <w:color w:val="000000"/>
                <w:sz w:val="24"/>
                <w:lang w:val="en-US" w:eastAsia="zh-CN"/>
              </w:rPr>
            </w:pPr>
            <w:r>
              <w:rPr>
                <w:rFonts w:hint="eastAsia" w:ascii="宋体" w:hAnsi="宋体" w:cs="宋体"/>
                <w:color w:val="000000"/>
                <w:sz w:val="24"/>
                <w:lang w:val="en-US" w:eastAsia="zh-CN"/>
              </w:rPr>
              <w:t>（36分）</w:t>
            </w:r>
          </w:p>
        </w:tc>
        <w:tc>
          <w:tcPr>
            <w:tcW w:w="145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60" w:lineRule="auto"/>
              <w:jc w:val="left"/>
              <w:rPr>
                <w:rFonts w:hint="eastAsia" w:ascii="宋体" w:hAnsi="宋体" w:cs="宋体"/>
                <w:color w:val="000000"/>
                <w:sz w:val="24"/>
                <w:lang w:val="en-US" w:eastAsia="zh-CN"/>
              </w:rPr>
            </w:pPr>
            <w:r>
              <w:rPr>
                <w:rFonts w:hint="eastAsia" w:ascii="宋体" w:hAnsi="宋体" w:cs="宋体"/>
                <w:color w:val="000000"/>
                <w:sz w:val="24"/>
                <w:lang w:val="en-US" w:eastAsia="zh-CN"/>
              </w:rPr>
              <w:t>技术参数及要求响应性</w:t>
            </w:r>
          </w:p>
        </w:tc>
        <w:tc>
          <w:tcPr>
            <w:tcW w:w="5577"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根据投标供应商所投设备对招标文件采购需求技术参数及要求的响应情况进行综合评审：</w:t>
            </w:r>
          </w:p>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标★参数为关键性参数，一项不满足，作无效标处理。</w:t>
            </w:r>
          </w:p>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标▲参数为重要参数，一项不满足扣2分，剩余参数一项不满足，扣1分，扣完为止。</w:t>
            </w:r>
          </w:p>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3、所有条款满足或优于招标文件要求，得满分。</w:t>
            </w:r>
          </w:p>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注：以投标响应表及采购需求中要求提供的证明材料作为评审依据</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60" w:lineRule="auto"/>
              <w:jc w:val="left"/>
              <w:rPr>
                <w:rFonts w:hint="eastAsia" w:ascii="宋体" w:hAnsi="宋体" w:cs="宋体"/>
                <w:color w:val="000000"/>
                <w:sz w:val="24"/>
                <w:lang w:val="en-US" w:eastAsia="zh-CN"/>
              </w:rPr>
            </w:pPr>
            <w:r>
              <w:rPr>
                <w:rFonts w:hint="eastAsia" w:ascii="宋体" w:hAnsi="宋体" w:cs="宋体"/>
                <w:color w:val="000000"/>
                <w:sz w:val="24"/>
                <w:lang w:val="en-US" w:eastAsia="zh-CN"/>
              </w:rPr>
              <w:t>商务部分（34分）</w:t>
            </w:r>
          </w:p>
        </w:tc>
        <w:tc>
          <w:tcPr>
            <w:tcW w:w="145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60" w:lineRule="auto"/>
              <w:jc w:val="left"/>
              <w:rPr>
                <w:rFonts w:hint="eastAsia" w:ascii="宋体" w:hAnsi="宋体" w:cs="宋体"/>
                <w:color w:val="000000"/>
                <w:sz w:val="24"/>
                <w:lang w:val="en-US" w:eastAsia="zh-CN"/>
              </w:rPr>
            </w:pPr>
            <w:r>
              <w:rPr>
                <w:rFonts w:hint="eastAsia" w:ascii="宋体" w:hAnsi="宋体" w:cs="宋体"/>
                <w:color w:val="000000"/>
                <w:sz w:val="24"/>
                <w:lang w:val="en-US" w:eastAsia="zh-CN"/>
              </w:rPr>
              <w:t>建设方案</w:t>
            </w:r>
          </w:p>
        </w:tc>
        <w:tc>
          <w:tcPr>
            <w:tcW w:w="5577"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1、施工方案思路：充分理解项目内容，对需求有深入分析，建设方案思路清晰，具有针对性，符合项目建设和未来发展需要。</w:t>
            </w:r>
          </w:p>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2、质量管理和进度管理：提供项目实施的质量目标、质量管理职责分配、质量保证措施、进度管理方法等方案，提供安全文明施工和环境保护措施。</w:t>
            </w:r>
          </w:p>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3、对接方案：提出本次建设的网上巡查系统与市级已建考点高清网上巡查系统平台对接方案。</w:t>
            </w:r>
          </w:p>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评标委员会根据投标供应商提供的上述内容酌情评分：</w:t>
            </w:r>
          </w:p>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方案思路清晰、内容详实、符合项目实际的，得 8-6分；</w:t>
            </w:r>
          </w:p>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方案思路较清晰、内容较详实、较符合项目实际的，得 5-3分；</w:t>
            </w:r>
          </w:p>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方案思路一般、内容一般、与项目实际符合性一般的，得 2-0分；</w:t>
            </w:r>
          </w:p>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投标文件中未提供相关内容的不得分。</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line="360" w:lineRule="auto"/>
              <w:ind w:firstLine="480" w:firstLineChars="200"/>
              <w:jc w:val="left"/>
              <w:rPr>
                <w:rFonts w:hint="eastAsia" w:ascii="宋体" w:hAnsi="宋体" w:cs="宋体"/>
                <w:color w:val="000000"/>
                <w:sz w:val="24"/>
                <w:lang w:val="en-US" w:eastAsia="zh-CN"/>
              </w:rPr>
            </w:pPr>
          </w:p>
        </w:tc>
        <w:tc>
          <w:tcPr>
            <w:tcW w:w="145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60" w:lineRule="auto"/>
              <w:jc w:val="left"/>
              <w:rPr>
                <w:rFonts w:hint="eastAsia" w:ascii="宋体" w:hAnsi="宋体" w:cs="宋体"/>
                <w:color w:val="000000"/>
                <w:sz w:val="24"/>
                <w:lang w:val="en-US" w:eastAsia="zh-CN"/>
              </w:rPr>
            </w:pPr>
            <w:r>
              <w:rPr>
                <w:rFonts w:hint="eastAsia" w:ascii="宋体" w:hAnsi="宋体" w:cs="宋体"/>
                <w:color w:val="000000"/>
                <w:sz w:val="24"/>
                <w:lang w:val="en-US" w:eastAsia="zh-CN"/>
              </w:rPr>
              <w:t>售后服务方案</w:t>
            </w:r>
          </w:p>
        </w:tc>
        <w:tc>
          <w:tcPr>
            <w:tcW w:w="5577"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投标供应商在投标文件中提供售后服务方案，所提供方案符合招标文件要求，包含服务措施、故障响应时间、故障处理流程、服务承诺处罚措施、售后服务组织等，评标委员会综合评定优3分，良2分，差1分。投标文件中未提供相关内容的不得分。</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line="360" w:lineRule="auto"/>
              <w:ind w:firstLine="480" w:firstLineChars="200"/>
              <w:jc w:val="left"/>
              <w:rPr>
                <w:rFonts w:hint="eastAsia" w:ascii="宋体" w:hAnsi="宋体" w:cs="宋体"/>
                <w:color w:val="000000"/>
                <w:sz w:val="24"/>
                <w:lang w:val="en-US" w:eastAsia="zh-CN"/>
              </w:rPr>
            </w:pPr>
          </w:p>
        </w:tc>
        <w:tc>
          <w:tcPr>
            <w:tcW w:w="1450" w:type="dxa"/>
            <w:tcBorders>
              <w:top w:val="nil"/>
              <w:left w:val="single" w:color="auto" w:sz="4" w:space="0"/>
              <w:bottom w:val="single" w:color="auto" w:sz="4" w:space="0"/>
              <w:right w:val="single" w:color="auto" w:sz="4" w:space="0"/>
              <w:tl2br w:val="nil"/>
              <w:tr2bl w:val="nil"/>
            </w:tcBorders>
            <w:noWrap w:val="0"/>
            <w:vAlign w:val="center"/>
          </w:tcPr>
          <w:p>
            <w:pPr>
              <w:adjustRightInd w:val="0"/>
              <w:snapToGrid w:val="0"/>
              <w:spacing w:line="360" w:lineRule="auto"/>
              <w:jc w:val="left"/>
              <w:rPr>
                <w:rFonts w:hint="eastAsia" w:ascii="宋体" w:hAnsi="宋体" w:cs="宋体"/>
                <w:color w:val="000000"/>
                <w:sz w:val="24"/>
                <w:lang w:val="en-US" w:eastAsia="zh-CN"/>
              </w:rPr>
            </w:pPr>
            <w:r>
              <w:rPr>
                <w:rFonts w:hint="eastAsia" w:ascii="宋体" w:hAnsi="宋体" w:cs="宋体"/>
                <w:color w:val="000000"/>
                <w:sz w:val="24"/>
                <w:lang w:val="en-US" w:eastAsia="zh-CN"/>
              </w:rPr>
              <w:t>所投巡考产品技术水平</w:t>
            </w:r>
          </w:p>
        </w:tc>
        <w:tc>
          <w:tcPr>
            <w:tcW w:w="5577" w:type="dxa"/>
            <w:tcBorders>
              <w:top w:val="nil"/>
              <w:left w:val="single" w:color="auto" w:sz="4" w:space="0"/>
              <w:bottom w:val="single" w:color="auto" w:sz="4" w:space="0"/>
              <w:right w:val="single" w:color="auto" w:sz="4" w:space="0"/>
              <w:tl2br w:val="nil"/>
              <w:tr2bl w:val="nil"/>
            </w:tcBorders>
            <w:noWrap w:val="0"/>
            <w:vAlign w:val="top"/>
          </w:tcPr>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具有网上巡查管理类软件、SIP网关注册及媒体转发类软件、网络时钟终端软件、网络时钟管理软件的计算机软件著作权登记证书的，每具有1类得1分，本小项满分4分。</w:t>
            </w:r>
          </w:p>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为保证核心产品设计符合教育考试涉密需求，所投标准化考点产品制造商具有涉及国家秘密的计算机信息系统集成资质证书的得4分，提供证书复印件产加盖公章。</w:t>
            </w:r>
          </w:p>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为便于统一管理，高清网上巡查系统、网络时钟系统统一品牌的得4分。</w:t>
            </w:r>
          </w:p>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注：须提供证书扫描件或影印件。</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line="360" w:lineRule="auto"/>
              <w:ind w:firstLine="480" w:firstLineChars="200"/>
              <w:jc w:val="left"/>
              <w:rPr>
                <w:rFonts w:hint="eastAsia" w:ascii="宋体" w:hAnsi="宋体" w:cs="宋体"/>
                <w:color w:val="000000"/>
                <w:sz w:val="24"/>
                <w:lang w:val="en-US" w:eastAsia="zh-CN"/>
              </w:rPr>
            </w:pPr>
          </w:p>
        </w:tc>
        <w:tc>
          <w:tcPr>
            <w:tcW w:w="145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60" w:lineRule="auto"/>
              <w:jc w:val="left"/>
              <w:rPr>
                <w:rFonts w:hint="eastAsia" w:ascii="宋体" w:hAnsi="宋体" w:cs="宋体"/>
                <w:color w:val="000000"/>
                <w:sz w:val="24"/>
                <w:lang w:val="en-US" w:eastAsia="zh-CN"/>
              </w:rPr>
            </w:pPr>
            <w:r>
              <w:rPr>
                <w:rFonts w:hint="eastAsia" w:ascii="宋体" w:hAnsi="宋体" w:cs="宋体"/>
                <w:color w:val="000000"/>
                <w:sz w:val="24"/>
                <w:lang w:val="en-US" w:eastAsia="zh-CN"/>
              </w:rPr>
              <w:t>投标供应商实力</w:t>
            </w:r>
          </w:p>
        </w:tc>
        <w:tc>
          <w:tcPr>
            <w:tcW w:w="5577"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1、投标供应商具有环境管理体系认证、职业健康安全管理体系认证、质量管理体系认证的，得2分，缺一项不得分。</w:t>
            </w:r>
          </w:p>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2、投标供应商具有信息技术服务管理体系认证，得2分。</w:t>
            </w:r>
          </w:p>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3、投标供应商获得劳动保障诚信示范单位称号的，得2分。</w:t>
            </w:r>
          </w:p>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注：投标文件中须同时提供认证证书扫描件或影印件，第1、2项须提供中国国家认证认可监督管理委员会官网证书查询截图；</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line="360" w:lineRule="auto"/>
              <w:ind w:firstLine="480" w:firstLineChars="200"/>
              <w:jc w:val="left"/>
              <w:rPr>
                <w:rFonts w:hint="eastAsia" w:ascii="宋体" w:hAnsi="宋体" w:cs="宋体"/>
                <w:color w:val="000000"/>
                <w:sz w:val="24"/>
                <w:lang w:val="en-US" w:eastAsia="zh-CN"/>
              </w:rPr>
            </w:pPr>
          </w:p>
        </w:tc>
        <w:tc>
          <w:tcPr>
            <w:tcW w:w="145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60" w:lineRule="auto"/>
              <w:jc w:val="left"/>
              <w:rPr>
                <w:rFonts w:hint="eastAsia" w:ascii="宋体" w:hAnsi="宋体" w:cs="宋体"/>
                <w:color w:val="000000"/>
                <w:sz w:val="24"/>
                <w:lang w:val="en-US" w:eastAsia="zh-CN"/>
              </w:rPr>
            </w:pPr>
            <w:r>
              <w:rPr>
                <w:rFonts w:hint="eastAsia" w:ascii="宋体" w:hAnsi="宋体" w:cs="宋体"/>
                <w:color w:val="000000"/>
                <w:sz w:val="24"/>
                <w:lang w:val="en-US" w:eastAsia="zh-CN"/>
              </w:rPr>
              <w:t>投标供应商业绩</w:t>
            </w:r>
          </w:p>
        </w:tc>
        <w:tc>
          <w:tcPr>
            <w:tcW w:w="5577"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2018年1月1日以来（以合同签订时间为准），投标供应商具有下列业绩的：</w:t>
            </w:r>
          </w:p>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投标供应商具有安防监控设备供货安装项目业绩，每提供一个业绩得1分，满分4分。</w:t>
            </w:r>
          </w:p>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注：投标文件中提供业绩合同扫描件或影印件，如合同中无法体现项目类型、签订时间等评审要素的，须另附业主证明扫描件或影印件。</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line="360" w:lineRule="auto"/>
              <w:ind w:firstLine="480" w:firstLineChars="200"/>
              <w:jc w:val="left"/>
              <w:rPr>
                <w:rFonts w:hint="eastAsia" w:ascii="宋体" w:hAnsi="宋体" w:cs="宋体"/>
                <w:color w:val="000000"/>
                <w:sz w:val="24"/>
                <w:lang w:val="en-US" w:eastAsia="zh-CN"/>
              </w:rPr>
            </w:pPr>
          </w:p>
        </w:tc>
        <w:tc>
          <w:tcPr>
            <w:tcW w:w="145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60" w:lineRule="auto"/>
              <w:jc w:val="left"/>
              <w:rPr>
                <w:rFonts w:hint="default" w:ascii="宋体" w:hAnsi="宋体" w:cs="宋体"/>
                <w:color w:val="000000"/>
                <w:sz w:val="24"/>
                <w:lang w:val="en-US" w:eastAsia="zh-CN"/>
              </w:rPr>
            </w:pPr>
            <w:r>
              <w:rPr>
                <w:rFonts w:hint="eastAsia" w:ascii="宋体" w:hAnsi="宋体" w:cs="宋体"/>
                <w:color w:val="000000"/>
                <w:sz w:val="24"/>
                <w:lang w:val="en-US" w:eastAsia="zh-CN"/>
              </w:rPr>
              <w:t>本地化服务</w:t>
            </w:r>
          </w:p>
        </w:tc>
        <w:tc>
          <w:tcPr>
            <w:tcW w:w="5577"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响应单位在铜陵区域内注册或在铜陵区域内注册分公司的或投标人在本地具有固定的办公场所的或外地企业承诺在中标后合同签订之日前一个月内在铜陵区域内设立分支机构的得1分。</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60" w:lineRule="auto"/>
              <w:ind w:firstLine="480" w:firstLineChars="200"/>
              <w:jc w:val="left"/>
              <w:rPr>
                <w:rFonts w:hint="default" w:ascii="宋体" w:hAnsi="宋体" w:cs="宋体"/>
                <w:color w:val="000000"/>
                <w:sz w:val="24"/>
                <w:lang w:val="en-US" w:eastAsia="zh-CN"/>
              </w:rPr>
            </w:pPr>
            <w:r>
              <w:rPr>
                <w:rFonts w:hint="eastAsia" w:ascii="宋体" w:hAnsi="宋体" w:cs="宋体"/>
                <w:color w:val="000000"/>
                <w:sz w:val="24"/>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报价（30分）</w:t>
            </w:r>
          </w:p>
        </w:tc>
        <w:tc>
          <w:tcPr>
            <w:tcW w:w="8077"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价格分统一采用低价优先法，即满足招标文件要求且投标价格最低的投标报价为评标基准价，其价格分为满分30分。其他投标供应商的价格分统一按照下列公式计算：</w:t>
            </w:r>
          </w:p>
          <w:p>
            <w:pPr>
              <w:adjustRightInd w:val="0"/>
              <w:snapToGrid w:val="0"/>
              <w:spacing w:line="360" w:lineRule="auto"/>
              <w:ind w:firstLine="480" w:firstLineChars="200"/>
              <w:jc w:val="left"/>
              <w:rPr>
                <w:rFonts w:hint="eastAsia" w:ascii="宋体" w:hAnsi="宋体" w:cs="宋体"/>
                <w:color w:val="000000"/>
                <w:sz w:val="24"/>
                <w:lang w:val="en-US" w:eastAsia="zh-CN"/>
              </w:rPr>
            </w:pPr>
            <w:r>
              <w:rPr>
                <w:rFonts w:hint="eastAsia" w:ascii="宋体" w:hAnsi="宋体" w:cs="宋体"/>
                <w:color w:val="000000"/>
                <w:sz w:val="24"/>
                <w:lang w:val="en-US" w:eastAsia="zh-CN"/>
              </w:rPr>
              <w:t>投标报价得分＝（评标基准价/投标报价）×30%×100</w:t>
            </w:r>
          </w:p>
        </w:tc>
      </w:tr>
    </w:tbl>
    <w:p>
      <w:pPr>
        <w:spacing w:line="360" w:lineRule="auto"/>
        <w:ind w:firstLine="480" w:firstLineChars="200"/>
        <w:rPr>
          <w:rFonts w:hint="eastAsia" w:ascii="黑体" w:hAnsi="黑体" w:eastAsia="黑体"/>
          <w:sz w:val="24"/>
          <w:szCs w:val="24"/>
        </w:rPr>
      </w:pPr>
    </w:p>
    <w:p>
      <w:pPr>
        <w:spacing w:line="360" w:lineRule="auto"/>
        <w:ind w:firstLine="480" w:firstLineChars="200"/>
        <w:rPr>
          <w:rFonts w:hint="eastAsia" w:ascii="黑体" w:hAnsi="黑体" w:eastAsia="黑体"/>
          <w:sz w:val="24"/>
          <w:szCs w:val="24"/>
        </w:rPr>
      </w:pPr>
      <w:r>
        <w:rPr>
          <w:rFonts w:hint="eastAsia" w:ascii="黑体" w:hAnsi="黑体" w:eastAsia="黑体"/>
          <w:sz w:val="24"/>
          <w:szCs w:val="24"/>
        </w:rPr>
        <w:t>十一、参数及报价</w:t>
      </w:r>
    </w:p>
    <w:tbl>
      <w:tblPr>
        <w:tblStyle w:val="11"/>
        <w:tblW w:w="8801" w:type="dxa"/>
        <w:jc w:val="center"/>
        <w:tblLayout w:type="fixed"/>
        <w:tblCellMar>
          <w:top w:w="0" w:type="dxa"/>
          <w:left w:w="108" w:type="dxa"/>
          <w:bottom w:w="0" w:type="dxa"/>
          <w:right w:w="108" w:type="dxa"/>
        </w:tblCellMar>
      </w:tblPr>
      <w:tblGrid>
        <w:gridCol w:w="660"/>
        <w:gridCol w:w="710"/>
        <w:gridCol w:w="6014"/>
        <w:gridCol w:w="708"/>
        <w:gridCol w:w="709"/>
      </w:tblGrid>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b/>
                <w:color w:val="000000"/>
                <w:szCs w:val="21"/>
              </w:rPr>
            </w:pPr>
            <w:r>
              <w:rPr>
                <w:rFonts w:hint="eastAsia" w:ascii="仿宋_GB2312" w:hAnsi="宋体" w:eastAsia="仿宋_GB2312" w:cs="仿宋"/>
                <w:b/>
                <w:color w:val="000000"/>
                <w:szCs w:val="21"/>
              </w:rPr>
              <w:t>序号</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b/>
                <w:color w:val="000000"/>
                <w:szCs w:val="21"/>
              </w:rPr>
            </w:pPr>
            <w:r>
              <w:rPr>
                <w:rFonts w:hint="eastAsia" w:ascii="仿宋_GB2312" w:hAnsi="宋体" w:eastAsia="仿宋_GB2312" w:cs="仿宋"/>
                <w:b/>
                <w:color w:val="000000"/>
                <w:szCs w:val="21"/>
              </w:rPr>
              <w:t>设备名称</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center"/>
              <w:rPr>
                <w:rFonts w:ascii="仿宋_GB2312" w:hAnsi="宋体" w:eastAsia="仿宋_GB2312" w:cs="仿宋"/>
                <w:b/>
                <w:color w:val="000000"/>
                <w:szCs w:val="21"/>
              </w:rPr>
            </w:pPr>
            <w:r>
              <w:rPr>
                <w:rFonts w:hint="eastAsia" w:ascii="仿宋_GB2312" w:hAnsi="宋体" w:eastAsia="仿宋_GB2312" w:cs="仿宋"/>
                <w:b/>
                <w:color w:val="000000"/>
                <w:szCs w:val="21"/>
              </w:rPr>
              <w:t>技术参数</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b/>
                <w:color w:val="000000"/>
                <w:szCs w:val="21"/>
              </w:rPr>
            </w:pPr>
            <w:r>
              <w:rPr>
                <w:rFonts w:hint="eastAsia" w:ascii="仿宋_GB2312" w:hAnsi="宋体" w:eastAsia="仿宋_GB2312" w:cs="仿宋"/>
                <w:b/>
                <w:color w:val="000000"/>
                <w:szCs w:val="21"/>
              </w:rPr>
              <w:t>单位</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b/>
                <w:color w:val="000000"/>
                <w:szCs w:val="21"/>
              </w:rPr>
            </w:pPr>
            <w:r>
              <w:rPr>
                <w:rFonts w:hint="eastAsia" w:ascii="仿宋_GB2312" w:hAnsi="宋体" w:eastAsia="仿宋_GB2312" w:cs="仿宋"/>
                <w:b/>
                <w:color w:val="000000"/>
                <w:szCs w:val="21"/>
              </w:rPr>
              <w:t>数量</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网络存储</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★1、应符合《国家教育考试网上巡查系统视频标准技术规范（2017版）》；</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2、应采用嵌入式Linux实时操作系统，具有抗病毒和抗攻击能力；</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★3、应支持64路高清视频接入，输入：320Mbps，输出256 Mbps；</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4、最大应支持接入8块SATA硬盘，单块硬盘容量最大支持6T；</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5、应具备2个RJ45、2个HDMI、2个VGA、3个USB、8个SATA、1个eSATA接口；</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6、应支持2个HDMI和2个VGA同时输出，其中HDMI1支持4K高清分辨率输出；</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7、应支持本地最大64画面分割预览；</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▲8、应支持对视频质量进行诊断报警功能；（提供第三方检测报告复印件）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▲9、应能对用户登录巡查系统进行不同的授权管理，只有通过有效加密手段在平台注册登记后的用户才能登录巡查系统；（提供第三方检测报告复印件）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10、应支持RAID 0/1/5/6/10；</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11、应支持双千兆网卡，支持容错、负载均衡和双网分离，可将两个网口设置不同网段的ip地址，支持 SIP、 RTP、 RTCP 等网络协议；</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▲12、应支持多路同步回放和多路同步倒放，支持智能搜索，支持 IPC集中管理， 包括 IPC 参数配置、信息的导入、语音对讲和升级等；（提供第三方检测报告复印件）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▲13、应支持系统备份，检测到系统异常可以从另一个系统开机，恢复异常系统；（提供法定机构出具的检测报告复印件并加盖制造商公章）</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 xml:space="preserve">★14、符合 GB35114-2017《公共安全视频监控联网信息安全技术要求》； </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★15、网上巡查软件、SIP\转发\管理服务器、解码器、网络存储为同一品牌。</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台</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2</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2</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解码器</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★1、符合《国家教育考试网上巡查系统视频标准技术规范（2017版）》，具有较高的兼容性。</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2、支持H.264、H.265视频编码标准。</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3、具有10M/100M/1000M自适应以太网接口，支持TCP/IP、SIP、RTP、RTCP协议。</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4、支持不少于 8个HDMI输出接口。</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▲5、设备应具备2个RJ45 10M/100M/1000Mbps自适应管理网口、2个RJ45 1000Mbps自适应以太网接口、16个RJ45 10M/100M自适应以太网接口；（提供第三方检测报告复印件）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6、具有图像切换功能，能够完成独立轮巡和组合轮巡、定点轮巡和定长轮巡，支持1/4/9画面分割显示功能，支持不少于64路1080P@30fps及以下分辨率同时实时解码。</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台</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ascii="仿宋_GB2312" w:hAnsi="宋体" w:eastAsia="仿宋_GB2312" w:cs="仿宋"/>
                <w:color w:val="000000"/>
                <w:szCs w:val="21"/>
              </w:rPr>
              <w:t>1</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3</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巡查客户端软件</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★1、符合《国家教育考试网上巡查系统视频标准技术规范（2017版）》技术要求。</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2、可实现监控点视音频点播、视音频流的双向解码、历史视音频流的检索与回放、存储和备份、切换、轮巡、设备控制等功能，对网上巡查系统的用户、权限、设备等进行管理；管理 SIP 域，形成URI树，配置 SIP 注册服务器，并提供视音频存储、转发等服务。</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★3、提供二次开发的软件接口，允许与其它系统进行数据交互。（投标人提供承诺）</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★4、符合 GB35114-2017《公共安全视频监控联网信息安全技术要求》。</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套</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2</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4</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SIP\转发\管理服务器</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1、CPU3.0GHz嵌入式四核处理器,内存8G/DDR4，2个10M/100M/1000M自适应以太网接口；嵌入式架构设备，采用Linux系统，具有抗病毒和抗攻击能力。</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2、支持标准SIP2.0；具有SIP地址解析、SIP代理、信令转发、路由、NAT穿透功能；支持远程用户、设备、视频点SIPURI映射；支持SIPURI统一命名规则、分级命名、联合定位；实现SIP URI组、用户、树形列表和SIP终端设备的接入认证功能、SIP注册用户账号管理、SIP用户的注册接入认证功能、SIP用户请求认证功能、SIP重定向等功能。能对SIP 终端的呼叫及访问权限进行控制；支持建立SIP网关间的信任关系；支持媒体流的汇聚。</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3、符合《国家教育考试网上巡查系统视频标准技术规范（2017版）》，设备具有较高的兼容性，能与各级网上巡查平台互联互通，实现国家、省、市、县（区）、考点网上巡查系统3-5级联网，确保与铜陵市教体局高中考网上巡查系统实现互联互通。（中标人提供承诺函，具体要求见本节下面第2条 建设内容中第（5）的要求）。</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台</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2</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5</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网络半球摄像机</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1、200万1/2.7"CMOS日夜型半球网络摄像机。</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2、图像传感器：1/2.7英寸 Progressive Scan CMOS</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3、镜头：2.8mm，水平视场角：≥102.7°。</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▲4、最低照度：补光灯关闭时，彩色：≤0.00021x（AGC ON,RJ45输出，应能分辨反射式视频矩阵测试卡中彩色色块）；黑白：≤0.00011x（AGC ON,RJ45输出，能分辨反射式视频分辨率测试卡中圆形轮廓）。（提供第三方检测报告复印件）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5、红外夜视距离：可识别距样机100米处的人体轮廓（大气能见度：10km， 环境平均关照度0.21x时）。（提供第三方检测报告复印件）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6、视频压缩标准：H.264、H.265；音频压缩标准：G.711、AAC。</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7、图像尺寸≥1920×1080，支持三码流传输功能。</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8、存储功能：支持Micro SD卡断网本地存储，支持256GB存储卡。</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9、视频压缩标准：H.264、H.265；音频压缩标准。</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10、至少支持1路10/100M以太网输出接口，采用RJ45接口，可选用射频无线接口或光纤接口。</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11、电源供应：DC12V±25%/PoE。</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12、应具有拾音器功能。</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▲13、机械碰撞防护等级：应符合GB/T 20138-2006《电气设备外壳对外界机械碰撞的防护等级（IK代码）》中IK10的规定，试验后外观无明显损坏，能正常工作。（提供第三方检测报告复印件）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★14、符合《国家教育考试网上巡查系统视频标准技术规范（2017版）》；</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★15、符合GB35114-2017《公共安全视频监控联网信息安全技术要求》。</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台</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46</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6</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网络筒形摄像机</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1、200万像素1/2.7"CMOS筒型网络摄像机</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2、镜头:4mm, 水平视场角83.7°[6mm(51.8°),8mm(29.7°)可选]。</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3、应支持日夜转换，红外照射距离可达10-30米。</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4、图像尺寸≥1920×1080，支持三码流传输功能。</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5、支持H.264、H.265、MJPEG视频编码格式，且具有High Profile编码能力。</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6、视频图像传输至客户端的延时不大于100ms。</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7、信噪比不小于45dB，具有不小于100dB宽动态。</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8、支持16行字符显示，字体颜色可设置，具有图片叠加到视频画面功能。</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9、支持1路10/100M以太网输出接口，采用RJ45接口，可选用射频无线接口或光纤接口。</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10、在丢包率设置为20%的网络环境下，可正常显示监视画面。</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▲11、机械碰撞防护等级：应符合GB/T 20138-2006《电气设备外壳对外界机械碰撞的防护等级（IK代码）》中IK10的规定，试验后外观无明显损坏，能正常工作。（提供第三方检测报告复印件）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12、支持DC12V和POE供电。</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13、支持Micro SD断网本地存储及断网续传, 支持128GB或者256GB存储卡。</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★14、符合《国家教育考试网上巡查系统视频标准技术规范（2017版）》或《公共安全视频监控联网系统信息传输、交换、控制技术要求》（GB/T28181－2016）。</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台</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23</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7</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网络球型摄像机</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▲1、400万6寸红外网络高清高速智能球机。</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▲2、16倍光学变倍。</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3、水平范围: 360°，垂直范围: -20°-90°(自动翻转)</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4、2560×1440@30fps；最低照度: 彩色：0.0005Lux @ (F1.5，AGC ON),黑白：0.0001Lux @(F1.5，AGC ON),0 Lux with IR，250米红外照射距离。</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▲5、视频压缩标准：H.264、H.265；音频压缩标准：G.711、AAC。</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6、支持120dB超宽动态、透雾、强光抑制、电子防抖。</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7、水平键控速度：0.1°-210°/s,速度可设;水平预置点速度：280°/s，垂直键控速度：0.1°-150°/s,速度可设;垂直预置点速度：250°/s.</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8、电源供应：AC24V。</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9、防护等级：IP67。</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★10、符合《国家教育考试网上巡查系统视频标准技术规范（2017版）》；</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★11、符合GB35114-2017《公共安全视频监控联网信息安全技术要求》。</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12、配备电源。</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台</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8</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摄像机支架</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与摄像机配套</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个</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69</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9</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硬盘</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6TB容量，SATA接口，128MB缓存，7200转。</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块</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8</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10</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szCs w:val="21"/>
              </w:rPr>
            </w:pPr>
            <w:r>
              <w:rPr>
                <w:rFonts w:hint="eastAsia" w:ascii="仿宋_GB2312" w:hAnsi="宋体" w:eastAsia="仿宋_GB2312" w:cs="仿宋"/>
                <w:szCs w:val="21"/>
              </w:rPr>
              <w:t>视频备份硬盘</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szCs w:val="21"/>
              </w:rPr>
            </w:pPr>
            <w:r>
              <w:rPr>
                <w:rFonts w:hint="eastAsia" w:ascii="仿宋_GB2312" w:hAnsi="宋体" w:eastAsia="仿宋_GB2312" w:cs="仿宋"/>
                <w:szCs w:val="21"/>
              </w:rPr>
              <w:t>3.5英寸，USB3.0接口，容量≥4TB ，缓存≥64MB</w:t>
            </w:r>
            <w:r>
              <w:rPr>
                <w:rFonts w:hint="eastAsia" w:ascii="仿宋_GB2312" w:hAnsi="宋体" w:eastAsia="仿宋_GB2312" w:cs="宋体"/>
                <w:szCs w:val="21"/>
              </w:rPr>
              <w:t> </w:t>
            </w:r>
            <w:r>
              <w:rPr>
                <w:rFonts w:hint="eastAsia" w:ascii="仿宋_GB2312" w:hAnsi="宋体" w:eastAsia="仿宋_GB2312" w:cs="仿宋"/>
                <w:szCs w:val="21"/>
              </w:rPr>
              <w:t>写入速度≥145MB/秒</w:t>
            </w:r>
            <w:r>
              <w:rPr>
                <w:rFonts w:hint="eastAsia" w:ascii="仿宋_GB2312" w:hAnsi="宋体" w:eastAsia="仿宋_GB2312" w:cs="宋体"/>
                <w:szCs w:val="21"/>
              </w:rPr>
              <w:t> </w:t>
            </w:r>
            <w:r>
              <w:rPr>
                <w:rFonts w:hint="eastAsia" w:ascii="仿宋_GB2312" w:hAnsi="宋体" w:eastAsia="仿宋_GB2312" w:cs="仿宋"/>
                <w:szCs w:val="21"/>
              </w:rPr>
              <w:t>，转速≥5400rpm。</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块</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3</w:t>
            </w:r>
          </w:p>
        </w:tc>
      </w:tr>
      <w:tr>
        <w:tblPrEx>
          <w:tblCellMar>
            <w:top w:w="0" w:type="dxa"/>
            <w:left w:w="108" w:type="dxa"/>
            <w:bottom w:w="0" w:type="dxa"/>
            <w:right w:w="108" w:type="dxa"/>
          </w:tblCellMar>
        </w:tblPrEx>
        <w:trPr>
          <w:trHeight w:val="192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11</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显示终端</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屏幕尺寸82寸，嵌入式系统版本不低于Android8.0，四核A73处理器，整机内置 2.1 声道扬声器，前朝向 中高音扬声器 2 个，后朝向 低音扬声器 1 个，额定总功率不低于 60W，运行内存不小于3G，存储内存不小于32GB，支持高清）、2160p、4K,支持传屏功能，可以将外部手机、电脑的屏幕画面通过无线方式传输到整机上显示，整机具有护眼功能，配安装支架及与电脑主机相连的HDMI线1根。</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台</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12</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核心交换设备（主要标的物）</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★1、交换容量≥7.36Tbps，包转发率≥396Mpps，提供≥24个10/100/1000Base-T自适应以太网端口，其中8个是combo口，不少于4个万兆SFP+口，支持1个扩展插槽；                                                                                                                                  2、扩展槽支持40GE QSFP+接口板卡和12个万兆SFP+接口板卡扩展、8端口 1/2.5/5/10G BASE-T 以太网电接口模块，提供官网截图；                                                                                                                                      3、ARP容量≥64K,ARP表容量≥32K，IPV4路由表容量≥32K，IPV6路由表容量≥16K；</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4、支持把多台物理设备互相连接起来，使其虚拟为一台逻辑设备，用户可以将这多台设备看成一台单一设备进行管理和使用，支持通过标准以太网接口等方式进行堆叠，支持本地堆叠和远程堆叠；                                                                                                                                                                                                                                                                                                   5、设备支持纵向虚拟化技术，通过将接入设备作为远程接口板加入主设备系统，在纵向维度上将核心层设备和接入层设备虚拟为一台逻辑设备，以达到扩展 I/O 端口能力和进行集中控制管理的目的；</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6、支持终端准入控制功能，具备主动防御、全面防御和集中策略管理等功能。</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7、设备支持MACsec硬件加密，包括用户数据加密、数据帧完整性检查及数据源真实性校验；</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▲8、集成包括FW，IPS、负载均衡等高性能模块插卡，提供官网选配截图；</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9、端口防雷能力不小于10KV；                                                                                                            ▲10、支持VXLAN、EVPN技术实现二层或者三层互通功能,  （提供第三方检测报告复印件）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11、本次配置：完整主机+双电源+双风扇；</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台</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2</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13</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接入交换设备</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★1、固化千兆电接口≥24个，独立千兆SFP光接口≥4个；</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★2、交换容量≥3.3Tbps，包转发率≥120Mpps；</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3、具有IPv4、IPv6静态路由、RIP、RIPng、OSPFv2、OSPFv3等三层路由和组播功能；</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4、业务端口防雷能力不小于10 kV；</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5、具备流量控制和安全审计功能；</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▲6、MAC地址≥16K，内存容量≥512M，支持Ipv4路由表≥1K，ARP表项≥1K，（提供第三方检测报告复印件）；                                                                                                                        ▲7、支持DHCP Snooping、DHCPv6  Snooping、DHCP  Relay功能，（提供第三方检测报告复印件）                                                                                                                                                                                                                                                                                                                                                       ▲8、设备支持链路聚合和聚合零丢包。（提供第三方检测报告复印件）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9、考虑设备兼容性、项目实施、交付及售后服务，采用与核心交换机同一品牌。</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台</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ascii="仿宋_GB2312" w:hAnsi="宋体" w:eastAsia="仿宋_GB2312" w:cs="仿宋"/>
                <w:color w:val="000000"/>
                <w:szCs w:val="21"/>
              </w:rPr>
              <w:t>9</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14</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光模块</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SFP-GE-单模模块-(1310nm,10km,LC)</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对</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ascii="仿宋_GB2312" w:hAnsi="宋体" w:eastAsia="仿宋_GB2312" w:cs="仿宋"/>
                <w:color w:val="000000"/>
                <w:szCs w:val="21"/>
              </w:rPr>
              <w:t>9</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15</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管理终端</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★1、i7处理器。</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★2、16GB DDR4 2666MHz内存。</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3、128G固态+1TB硬盘。</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4、具有USB3.1端口。</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5、21.5英寸显示器（分辨率1920×1080）。</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6、标准键盘、光电鼠标；2.0音箱。</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▲7、3C认证，节能环保认证，标书里提供证书复印件。</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套</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2</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16</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操作台</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750mm×1200mm×900mm配2把椅。</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台</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2</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17</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机柜</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提供28U可用空间</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个</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2</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18</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壁挂音箱</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1、木质音箱，外饰PVC皮；</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2、扬声器采用一只优质4.5</w:t>
            </w:r>
            <w:r>
              <w:rPr>
                <w:rFonts w:hint="eastAsia" w:ascii="宋体" w:hAnsi="宋体" w:eastAsia="宋体" w:cs="宋体"/>
                <w:color w:val="000000"/>
                <w:szCs w:val="21"/>
              </w:rPr>
              <w:t>吋</w:t>
            </w:r>
            <w:r>
              <w:rPr>
                <w:rFonts w:hint="eastAsia" w:ascii="仿宋_GB2312" w:hAnsi="仿宋_GB2312" w:eastAsia="仿宋_GB2312" w:cs="仿宋_GB2312"/>
                <w:color w:val="000000"/>
                <w:szCs w:val="21"/>
              </w:rPr>
              <w:t>中低音和一只高音扬声器；</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3、输入电压：100V；</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4、 额定功率：10W；</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5、频率范围：100Hz-16KHz ±15%；</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6、灵敏度：90dB ±3dB。</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个</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9</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19</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网络时钟</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1、接口：RJ45，传输协议：标准NTP协议。显示尺寸不小于490*170mm；</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2、具有主动同步功能，在外部时码驱动下，子钟间同步时差应不超过40ns；</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3、自动消除累积误差，连续运行无累积误差，无校时信号应能自动切换到内部时钟状态；</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▲4、设备应支持开机自动进行全部数码管检测；（提供第三方检测报告复印件）。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5、应支持网管功能，故障主动上报，并将运行情况通过TCP/IP协议传输到网络集中监控平台实时监控，以确保稳定可靠运行，与服务器时间同步；</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▲6、为防止电磁干扰影响设备正常运行，网络时钟外壳主体应采用金属材质；（提供第三方检测报告复印件）。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7、为保证长期运行的稳定性，网络时钟终端的数码管驱动电流采用恒流源驱动。</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▲8、网络时钟可靠性指标：平均故障间隔时间(MTBF)≤30000h，（提供法定机构出具的通过GB/T 5080.7-1986 设备可靠性试验 恒定失效率假设下的失效率与平均无故障时间的验证试验方案的检测报告复印件）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9、网络时钟监控管理软件具有软件著作权（提供软著复印件并加盖公章）</w:t>
            </w:r>
          </w:p>
          <w:p>
            <w:pPr>
              <w:spacing w:line="280" w:lineRule="exact"/>
              <w:jc w:val="left"/>
              <w:rPr>
                <w:rFonts w:ascii="仿宋_GB2312" w:hAnsi="宋体" w:eastAsia="仿宋_GB2312" w:cs="仿宋"/>
                <w:color w:val="000000"/>
                <w:szCs w:val="21"/>
              </w:rPr>
            </w:pP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台</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42</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20</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时钟监管软件</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1、平台需能监测到多个GPS和北斗卫星的卫星信号，以及能观察到卫星信号的卫星编号、信噪比、是否可用的状态、方位角、仰角等定位数据；</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2、网络时钟监管平台应支持网络时钟IP、逻辑考场编号和物理考场编号一一对应；（提供第三方检测报告复印件）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3、为保证网络时钟监管平台的精细化管理，网络时钟监管平台能够记录设备监控日志。</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▲4、网络时钟可远程开启和关闭；（提供第三方检测报告复印件）。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▲5、网络时钟的秒位应可远程开启和关闭，以适用更多的应用场景；（提供第三方检测报告复印件）。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▲6、为了保证系统的兼容性和稳定性，考场时钟监管系统服务器软件和网上巡查软件为同一品牌</w:t>
            </w:r>
          </w:p>
          <w:p>
            <w:pPr>
              <w:spacing w:line="280" w:lineRule="exact"/>
              <w:jc w:val="left"/>
              <w:rPr>
                <w:rFonts w:ascii="仿宋_GB2312" w:hAnsi="宋体" w:eastAsia="仿宋_GB2312" w:cs="仿宋"/>
                <w:color w:val="000000"/>
                <w:szCs w:val="21"/>
              </w:rPr>
            </w:pP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套</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21</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管理服务器</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▲1、LINUX系统，应支持内置GPS和北斗双模，GPS和北斗卫星模块集成在服务器内部，供电方式为内部供电；</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2、时间同步：所有考场内的时钟应同步到标准的UTC时间，并且能进行时时同步，同步周期不超过5s；</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3、网络管理：应支持网络管理功能，包括设备巡查、时间检测、故障主动上报功能；</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4、设备巡查：应能够在线管理接入系统的设备，具体功能包括查看每级机构下设备的数量，并将会将各设备的运行情况通过TCP/IP协议传输到网络集中监控平台实时监控，以确保稳定可靠运行，实现与服务器的时间同步；</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5、时间监测：应能够在线实时查看同步时钟的显示时间，并能进一步查看和统计同步时钟是否离线、是否异常的情况；</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6、故障主动上报：当出现同步时钟离线、时间不同步的故障时，系统应会将故障主动上报给管理平台；</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7、分级管理：应支持通过部署核心设备来组成不同级别的规模；</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8、硬件配置：1U，支持第四代LGA1150双核四核CPU，双内存插槽，单条最大8GB内存，2网口，200W电源</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1×Intel G1840/2.8GHz/2C/2T/2M/5GT/53W</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1×8GB/DDR3/1600MHz/NOECC</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1×500GB/SATA/2.5寸/桌面级</w:t>
            </w:r>
          </w:p>
          <w:p>
            <w:pPr>
              <w:spacing w:line="280" w:lineRule="exact"/>
              <w:jc w:val="left"/>
              <w:rPr>
                <w:rFonts w:ascii="仿宋_GB2312" w:hAnsi="宋体" w:eastAsia="仿宋_GB2312" w:cs="仿宋"/>
                <w:color w:val="000000"/>
                <w:szCs w:val="21"/>
              </w:rPr>
            </w:pP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台</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22</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红外报警系统</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无线99防区，语音提示，报警记忆锁定，无线智能学习式自动对码，快捷简单。6组语音报警电话。10秒钟可重复录音功能。报警电话抢线优先，异地通过电话监听现场环境声音。无线频率315M，兼容1527芯片全系列配件。（含电源1只、摇控器2只、门磁1只、红外2只、压电警号1只）</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套</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23</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指挥中心巡考显示终端</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★1.LCD显示单元为：55寸超窄边液晶屏；物理分辨率达到1920×1080，物理拼缝≤3.5mm，响应时间≤8ms。输入接口：VGA×1，DVI×1，BNC×1，YPbPr×1，HDMI×1，USB×1。</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2.LCD显示单元亮度达到500cd/</w:t>
            </w:r>
            <w:r>
              <w:rPr>
                <w:rFonts w:hint="eastAsia" w:ascii="宋体" w:hAnsi="宋体" w:eastAsia="宋体" w:cs="宋体"/>
                <w:color w:val="000000"/>
                <w:szCs w:val="21"/>
              </w:rPr>
              <w:t>㎡</w:t>
            </w:r>
            <w:r>
              <w:rPr>
                <w:rFonts w:hint="eastAsia" w:ascii="仿宋_GB2312" w:hAnsi="仿宋_GB2312" w:eastAsia="仿宋_GB2312" w:cs="仿宋_GB2312"/>
                <w:color w:val="000000"/>
                <w:szCs w:val="21"/>
              </w:rPr>
              <w:t>，对比度达到</w:t>
            </w:r>
            <w:r>
              <w:rPr>
                <w:rFonts w:hint="eastAsia" w:ascii="仿宋_GB2312" w:hAnsi="宋体" w:eastAsia="仿宋_GB2312" w:cs="仿宋"/>
                <w:color w:val="000000"/>
                <w:szCs w:val="21"/>
              </w:rPr>
              <w:t>4000:1，图像显示清晰度为1000TVL，亮度鉴别等级为11级。</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▲3、为了保证图像色彩准确性，显示单元色校准系数满足JJG211-2005标准（提供第三方检测报告复印件）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▲4、显示单元可见光透射比≥89.89%，因磨耗引起的雾度≤1.3%，抗磨性能符合JC/T2130-2012标准中的技术要求（提供第三方检测报告复印件）</w:t>
            </w:r>
          </w:p>
          <w:p>
            <w:pPr>
              <w:numPr>
                <w:ilvl w:val="0"/>
                <w:numId w:val="1"/>
              </w:num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显示单元具备阔屏技术，在图像亮度调节过程中，通过Gamma变化不丢失灰阶保证图像细节（提供第三方检测报告复印件）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▲6、显示单元达到绿色设计产品技术规范符合T/CESA1018-2018标准（需提供权威的第三方检测机构出具的检测报告复印件加盖厂家公章）</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7、显示单元采用原装屏体，色彩还原度达到JJG211-2005标准</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▲8、液晶显示单元拼接安装后，拼接精度≤0.2mm（提供第三方检测报告复印件）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▲9、液晶拼接单元表面抗推力设计，对表面平均9点分别施加10N的力液晶屏正常使用无异常（提供第三方检测报告复印件）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10、拼接单元具有便捷的拼接及调整装置，利于装拆和售后维护</w:t>
            </w:r>
          </w:p>
          <w:p>
            <w:pPr>
              <w:spacing w:line="280" w:lineRule="exact"/>
              <w:jc w:val="left"/>
              <w:rPr>
                <w:rFonts w:ascii="仿宋_GB2312" w:hAnsi="宋体" w:eastAsia="仿宋_GB2312" w:cs="仿宋"/>
                <w:color w:val="000000"/>
                <w:szCs w:val="21"/>
              </w:rPr>
            </w:pP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块</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6</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24</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显示终端控制器</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★1、设备应为纯硬件 FPGA 架构，CrossPoint全总线交换技术，背板等效带宽，不能内置PC/X86/X64 架构硬件，以避免 X86/X64 架构天然存在的计算可靠性和准确性缺陷以及设备运行不稳定问题；</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2、单张板卡支持 4 通道输入或输出，紧凑型机箱，模拟视频单板卡支持 16 路同时输入，单卡支持 2 种信号源任意组合；</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3、设备应具有支持 SDI、HDMI、VGA、CVBS、YPbPr、DVI、HDBaseT、光纤信号等信号的混合输入，同时支持 Dual-Link DVI、DP、HDMI1.4等 4K 分辨率采集；</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4、支持所有主流信号格式接入，支持 SDI、HDMI、VGA、CVBS、YPbPr、DVI、HDBaseT、光纤信号等信号的混合输入；</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▲5、支持图像无缝实时切换功能（图像切换间隔无黑场出现），无缝切换时间＜20ms；（提供第三方检测报告复印件）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▲6、图像信号无损实时传输，输出画面帧率可调，最高可达 75 帧/秒；（提供第三方检测报告复印件）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7、整墙显示同步功能，不会出现撕裂、错位等现象，对于输入信号源金星单点采集，采用数字化方式传输及调度，使得各显示单元间的信号窗口显示一致；</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8、支持对输入信号读取属性指标，支持截取输入图像的局部进行显示；</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9、设备可实现任意一路画面的任意比例缩放、漫游、跨屏、叠加、开窗，信号显示帧率不受开窗大小及输入路数的限制，输出信号的帧率与开窗大小及输入处理路数无关；</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10、设备具备静态底图功能，设备支持超大分辨率底图显示；</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11、支持信号源预监功能，支持浏览所有输入信号源的实时预览画面；</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12、风扇、输入输出板卡可热插拔，在不断电情况下进行更换；</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▲13、输出通道宏定义（通道映射），可设置拼接处理器输出通道与物理显示设备的逻辑对应关系，输出通道与物理显示逻辑顺序可调；（提供第三方检测报告复印件）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14、设备满足在复杂电磁环境下正常和稳定工作，具备满足国际标准的电磁兼容性认证；</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15、支持设置拼接屏的拼缝补偿；</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16、支持故障检测功能，支持输入信号丢失检测；</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17、支持大屏图像回显，可在控制端显示整面拼接墙的显示图像；</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18、支持输出通道测试，可以输出不少于7 种测试颜色及网格图像，以对设备输出进行测试；（提供第三方检测报告复印件）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▲19、平均故障时间间隔（MTBF）不小于96000 小时，保证设备能够稳定运行（提供 MTBF 第三方报告扫描件）；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▲20、投标产品通过 CCC 认证、CNAS 机构认可的第三方权威检测报告（提供证明材料扫描件）。</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台</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w:t>
            </w:r>
          </w:p>
        </w:tc>
      </w:tr>
      <w:tr>
        <w:tblPrEx>
          <w:tblCellMar>
            <w:top w:w="0" w:type="dxa"/>
            <w:left w:w="108" w:type="dxa"/>
            <w:bottom w:w="0" w:type="dxa"/>
            <w:right w:w="108" w:type="dxa"/>
          </w:tblCellMar>
        </w:tblPrEx>
        <w:trPr>
          <w:trHeight w:val="90"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25</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控制软件</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1、平台包括用户管理、机构管理、设备管理、信号源管理、屏幕管理等多个应用管理模块；</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2、支持详细配置各类型音视频处理设备；</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3、信号源管理支持接入各类视频信号源、IP信号源，可配置信号源名称等信息；</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4、支持视频码流的转发与负载均衡；</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5、支持配置各类拼接屏、单屏显示单元，实现大屏显示窗口的管理、场景控制、信号切换等；</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6、日志管理支持所有操作日志、报警日志管理。</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7、具备权限管理功能，对用户进行授权，系统管理员可进行密码重置等操作；</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8、支持单屏上同时显示任意多路输入信号，上述信号可以同时任意漫游、叠加覆盖、无极缩放；</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9、支持大屏场景预编辑功能；</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10、支持信号源预览及回显功能；可通过软件查看信号源实时画面；</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11、支持多用户登录，多用户可同时对处理器进行控制管理。</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套</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26</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安装支架</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根据现场安装要求定制</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套</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6</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27</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大屏线缆</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根据安装现场要求定制</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根</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7</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28</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LED显示终端</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★LED室内单色屏，所投LED产品须通过CCC认证，并提供证书复印件,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物理参数要求：</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1、屏幕要求：因显示效果要求，净显示尺寸不得小于： 2.22平方米。</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★2、像素构成：1R，像素间距(mm)4.75mm，像素密度（点/m2）44321，</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▲3、驱动方式：恒流驱动16S，提供CNAS认可实验室出具的检测报告复印件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4、模块采用高强度塑胶套件，产品轻巧安装精度高</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光学参数要求：</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▲1、白平衡亮度(nit) ：≥500cd/</w:t>
            </w:r>
            <w:r>
              <w:rPr>
                <w:rFonts w:hint="eastAsia" w:ascii="宋体" w:hAnsi="宋体" w:eastAsia="宋体" w:cs="宋体"/>
                <w:color w:val="000000"/>
                <w:szCs w:val="21"/>
              </w:rPr>
              <w:t>㎡</w:t>
            </w:r>
            <w:r>
              <w:rPr>
                <w:rFonts w:hint="eastAsia" w:ascii="仿宋_GB2312" w:hAnsi="仿宋_GB2312" w:eastAsia="仿宋_GB2312" w:cs="仿宋_GB2312"/>
                <w:color w:val="000000"/>
                <w:szCs w:val="21"/>
              </w:rPr>
              <w:t>，需提供</w:t>
            </w:r>
            <w:r>
              <w:rPr>
                <w:rFonts w:hint="eastAsia" w:ascii="仿宋_GB2312" w:hAnsi="宋体" w:eastAsia="仿宋_GB2312" w:cs="仿宋"/>
                <w:color w:val="000000"/>
                <w:szCs w:val="21"/>
              </w:rPr>
              <w:t>CNAS认可实验室出具的检测报告复印件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2、采用抗消隐设计，无“毛毛虫”“鬼影”跟随现象</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▲3、最大对比度不低于5000：1，提供CNAS认可实验室出具的检测报告复印件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▲4、刷新率（Hz）：刷新率≥120HZ，提供CNAS认可实验室出具的检测报告复印件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5、亮度均匀性（校正后）≥97%</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6、换帧频率：50&amp;60HZ</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7、水平视角≥150°，垂直视角≥130°，提供CNAS认可实验室出具的检测报告复印件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8、发光点中心距偏差≤0.2%</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9、模组亮度均匀性≥98%</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电气环境参数要求：</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▲1、防护：防护等级不低于IP6X，抗盐雾性能不低于10级，提供CNAS认可实验室出具的检测报告复印件</w:t>
            </w:r>
          </w:p>
          <w:p>
            <w:pPr>
              <w:numPr>
                <w:ilvl w:val="0"/>
                <w:numId w:val="2"/>
              </w:num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峰值功耗≤320W/</w:t>
            </w:r>
            <w:r>
              <w:rPr>
                <w:rFonts w:hint="eastAsia" w:ascii="宋体" w:hAnsi="宋体" w:eastAsia="宋体" w:cs="宋体"/>
                <w:color w:val="000000"/>
                <w:szCs w:val="21"/>
              </w:rPr>
              <w:t>㎡</w:t>
            </w:r>
            <w:r>
              <w:rPr>
                <w:rFonts w:hint="eastAsia" w:ascii="仿宋_GB2312" w:hAnsi="仿宋_GB2312" w:eastAsia="仿宋_GB2312" w:cs="仿宋_GB2312"/>
                <w:color w:val="000000"/>
                <w:szCs w:val="21"/>
              </w:rPr>
              <w:t>，平均功耗≤</w:t>
            </w:r>
            <w:r>
              <w:rPr>
                <w:rFonts w:hint="eastAsia" w:ascii="仿宋_GB2312" w:hAnsi="宋体" w:eastAsia="仿宋_GB2312" w:cs="仿宋"/>
                <w:color w:val="000000"/>
                <w:szCs w:val="21"/>
              </w:rPr>
              <w:t>102W/</w:t>
            </w:r>
            <w:r>
              <w:rPr>
                <w:rFonts w:hint="eastAsia" w:ascii="宋体" w:hAnsi="宋体" w:eastAsia="宋体" w:cs="宋体"/>
                <w:color w:val="000000"/>
                <w:szCs w:val="21"/>
              </w:rPr>
              <w:t>㎡</w:t>
            </w:r>
            <w:r>
              <w:rPr>
                <w:rFonts w:hint="eastAsia" w:ascii="仿宋_GB2312" w:hAnsi="仿宋_GB2312" w:eastAsia="仿宋_GB2312" w:cs="仿宋_GB2312"/>
                <w:color w:val="000000"/>
                <w:szCs w:val="21"/>
              </w:rPr>
              <w:t>。</w:t>
            </w:r>
          </w:p>
          <w:p>
            <w:pPr>
              <w:spacing w:line="280" w:lineRule="exact"/>
              <w:ind w:left="120"/>
              <w:jc w:val="left"/>
              <w:rPr>
                <w:rFonts w:ascii="仿宋_GB2312" w:hAnsi="宋体" w:eastAsia="仿宋_GB2312" w:cs="仿宋"/>
                <w:color w:val="000000"/>
                <w:szCs w:val="21"/>
              </w:rPr>
            </w:pPr>
            <w:r>
              <w:rPr>
                <w:rFonts w:hint="eastAsia" w:ascii="仿宋_GB2312" w:hAnsi="宋体" w:eastAsia="仿宋_GB2312" w:cs="仿宋"/>
                <w:color w:val="000000"/>
                <w:szCs w:val="21"/>
              </w:rPr>
              <w:t>3、稳定性支持7*24小时连续工作</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▲4、防火（阻燃）：所投产品使用PCB、塑料面板通过燃烧试验，满足防火V-O要求，需提供具备CNAS认可实验检测机构对PCB的检测报告复印件，</w:t>
            </w:r>
          </w:p>
          <w:p>
            <w:pPr>
              <w:numPr>
                <w:ilvl w:val="0"/>
                <w:numId w:val="1"/>
              </w:num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抗紫外线UV辐射不低于5级，需提供具备CNAS认可实验检测机构检测报告复印件</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含电源、边框、控制卡、发送卡、接收卡。</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块</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29</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辅材</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12芯单模、六类非屏蔽双绞线、 RVV2*1.5、PVC管、监控立杆、网络机柜、配电柜、光纤跳线、水晶头、屏蔽音频线、插线板、开关电源、空气开关等完成本项目必需的辅材</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批</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30</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拆除旧设备</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拆除旧设备和线缆并运送到指定地点</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批</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31</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系统集成</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安装、调试、培训</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批</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1</w:t>
            </w:r>
          </w:p>
        </w:tc>
      </w:tr>
      <w:tr>
        <w:tblPrEx>
          <w:tblCellMar>
            <w:top w:w="0" w:type="dxa"/>
            <w:left w:w="108" w:type="dxa"/>
            <w:bottom w:w="0" w:type="dxa"/>
            <w:right w:w="108" w:type="dxa"/>
          </w:tblCellMar>
        </w:tblPrEx>
        <w:trPr>
          <w:trHeight w:val="285" w:hRule="atLeast"/>
          <w:jc w:val="center"/>
        </w:trPr>
        <w:tc>
          <w:tcPr>
            <w:tcW w:w="66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32</w:t>
            </w:r>
          </w:p>
        </w:tc>
        <w:tc>
          <w:tcPr>
            <w:tcW w:w="71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驻点服务</w:t>
            </w:r>
          </w:p>
        </w:tc>
        <w:tc>
          <w:tcPr>
            <w:tcW w:w="6014" w:type="dxa"/>
            <w:tcBorders>
              <w:top w:val="single" w:color="auto" w:sz="6" w:space="0"/>
              <w:left w:val="single" w:color="auto" w:sz="6" w:space="0"/>
              <w:bottom w:val="single" w:color="auto" w:sz="6" w:space="0"/>
              <w:right w:val="single" w:color="auto" w:sz="6" w:space="0"/>
              <w:tl2br w:val="nil"/>
              <w:tr2bl w:val="nil"/>
            </w:tcBorders>
            <w:vAlign w:val="center"/>
          </w:tcPr>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接教体局考试通知后，须：</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1、在中考考试前负责所有考场设备的检修测试；</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2、考试前根据上级统一安排与省市以及各考点联调提供技术支持。</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3、考试期间为考点提供专职技术服务人员。</w:t>
            </w:r>
          </w:p>
          <w:p>
            <w:pPr>
              <w:spacing w:line="280" w:lineRule="exact"/>
              <w:jc w:val="left"/>
              <w:rPr>
                <w:rFonts w:ascii="仿宋_GB2312" w:hAnsi="宋体" w:eastAsia="仿宋_GB2312" w:cs="仿宋"/>
                <w:color w:val="000000"/>
                <w:szCs w:val="21"/>
              </w:rPr>
            </w:pPr>
            <w:r>
              <w:rPr>
                <w:rFonts w:hint="eastAsia" w:ascii="仿宋_GB2312" w:hAnsi="宋体" w:eastAsia="仿宋_GB2312" w:cs="仿宋"/>
                <w:color w:val="000000"/>
                <w:szCs w:val="21"/>
              </w:rPr>
              <w:t>4、考试结束后负责考点及区局平台考试设备的整理和录像资料的存储备份</w:t>
            </w:r>
          </w:p>
        </w:tc>
        <w:tc>
          <w:tcPr>
            <w:tcW w:w="70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年</w:t>
            </w:r>
            <w:bookmarkStart w:id="15" w:name="_GoBack"/>
            <w:bookmarkEnd w:id="15"/>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宋体" w:eastAsia="仿宋_GB2312" w:cs="仿宋"/>
                <w:color w:val="000000"/>
                <w:szCs w:val="21"/>
              </w:rPr>
            </w:pPr>
            <w:r>
              <w:rPr>
                <w:rFonts w:hint="eastAsia" w:ascii="仿宋_GB2312" w:hAnsi="宋体" w:eastAsia="仿宋_GB2312" w:cs="仿宋"/>
                <w:color w:val="000000"/>
                <w:szCs w:val="21"/>
              </w:rPr>
              <w:t>5</w:t>
            </w:r>
          </w:p>
        </w:tc>
      </w:tr>
    </w:tbl>
    <w:p>
      <w:pPr>
        <w:spacing w:line="360" w:lineRule="auto"/>
        <w:rPr>
          <w:rFonts w:hint="eastAsia" w:ascii="黑体" w:hAnsi="黑体" w:eastAsia="黑体"/>
          <w:sz w:val="24"/>
          <w:szCs w:val="24"/>
        </w:rPr>
      </w:pPr>
    </w:p>
    <w:p>
      <w:pPr>
        <w:spacing w:line="360" w:lineRule="auto"/>
        <w:rPr>
          <w:rFonts w:ascii="黑体" w:hAnsi="黑体" w:eastAsia="黑体"/>
          <w:sz w:val="24"/>
          <w:szCs w:val="24"/>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143636"/>
    <w:multiLevelType w:val="singleLevel"/>
    <w:tmpl w:val="9D143636"/>
    <w:lvl w:ilvl="0" w:tentative="0">
      <w:start w:val="5"/>
      <w:numFmt w:val="decimal"/>
      <w:suff w:val="nothing"/>
      <w:lvlText w:val="%1、"/>
      <w:lvlJc w:val="left"/>
    </w:lvl>
  </w:abstractNum>
  <w:abstractNum w:abstractNumId="1">
    <w:nsid w:val="6140079F"/>
    <w:multiLevelType w:val="singleLevel"/>
    <w:tmpl w:val="6140079F"/>
    <w:lvl w:ilvl="0" w:tentative="0">
      <w:start w:val="1"/>
      <w:numFmt w:val="decimal"/>
      <w:suff w:val="nothing"/>
      <w:lvlText w:val="%1、"/>
      <w:lvlJc w:val="left"/>
      <w:pPr>
        <w:ind w:left="12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4946"/>
    <w:rsid w:val="00067CEB"/>
    <w:rsid w:val="0007186D"/>
    <w:rsid w:val="000F6692"/>
    <w:rsid w:val="00132AAC"/>
    <w:rsid w:val="00155E10"/>
    <w:rsid w:val="001575B3"/>
    <w:rsid w:val="001A6071"/>
    <w:rsid w:val="001B07ED"/>
    <w:rsid w:val="001B5018"/>
    <w:rsid w:val="002057C6"/>
    <w:rsid w:val="00211608"/>
    <w:rsid w:val="002D6CA4"/>
    <w:rsid w:val="002E1291"/>
    <w:rsid w:val="00366E3F"/>
    <w:rsid w:val="0039110C"/>
    <w:rsid w:val="003F4313"/>
    <w:rsid w:val="004A01DD"/>
    <w:rsid w:val="004A1518"/>
    <w:rsid w:val="004C5DBB"/>
    <w:rsid w:val="004F1C0D"/>
    <w:rsid w:val="004F4E83"/>
    <w:rsid w:val="0051178F"/>
    <w:rsid w:val="00523EC0"/>
    <w:rsid w:val="006157F8"/>
    <w:rsid w:val="00630C7F"/>
    <w:rsid w:val="006554EE"/>
    <w:rsid w:val="00692518"/>
    <w:rsid w:val="006F6570"/>
    <w:rsid w:val="007168B0"/>
    <w:rsid w:val="007C306B"/>
    <w:rsid w:val="007C45E7"/>
    <w:rsid w:val="008420D9"/>
    <w:rsid w:val="008A57D8"/>
    <w:rsid w:val="00916802"/>
    <w:rsid w:val="00972D4D"/>
    <w:rsid w:val="009F0B3A"/>
    <w:rsid w:val="00A13966"/>
    <w:rsid w:val="00AE4946"/>
    <w:rsid w:val="00B56C88"/>
    <w:rsid w:val="00B91B41"/>
    <w:rsid w:val="00CC2A35"/>
    <w:rsid w:val="00D13871"/>
    <w:rsid w:val="00D13D7F"/>
    <w:rsid w:val="00DA033A"/>
    <w:rsid w:val="00E00A1A"/>
    <w:rsid w:val="00E15873"/>
    <w:rsid w:val="00E838C4"/>
    <w:rsid w:val="00EA37FB"/>
    <w:rsid w:val="00EE77F3"/>
    <w:rsid w:val="00FA66A1"/>
    <w:rsid w:val="00FC51DE"/>
    <w:rsid w:val="4BB412A9"/>
    <w:rsid w:val="5AE80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21"/>
    <w:unhideWhenUsed/>
    <w:qFormat/>
    <w:uiPriority w:val="9"/>
    <w:pPr>
      <w:keepNext/>
      <w:keepLines/>
      <w:spacing w:before="100" w:beforeAutospacing="1" w:after="100" w:afterAutospacing="1" w:line="360" w:lineRule="auto"/>
      <w:outlineLvl w:val="1"/>
    </w:pPr>
    <w:rPr>
      <w:rFonts w:eastAsia="仿宋" w:asciiTheme="majorEastAsia" w:hAnsiTheme="majorHAnsi" w:cstheme="majorBidi"/>
      <w:b/>
      <w:bCs/>
      <w:sz w:val="28"/>
      <w:szCs w:val="32"/>
    </w:rPr>
  </w:style>
  <w:style w:type="paragraph" w:styleId="5">
    <w:name w:val="heading 3"/>
    <w:basedOn w:val="1"/>
    <w:next w:val="1"/>
    <w:link w:val="22"/>
    <w:unhideWhenUsed/>
    <w:qFormat/>
    <w:uiPriority w:val="9"/>
    <w:pPr>
      <w:keepNext/>
      <w:keepLines/>
      <w:spacing w:before="100" w:beforeAutospacing="1" w:after="100" w:afterAutospacing="1" w:line="360" w:lineRule="auto"/>
      <w:outlineLvl w:val="2"/>
    </w:pPr>
    <w:rPr>
      <w:rFonts w:eastAsia="仿宋"/>
      <w:b/>
      <w:bCs/>
      <w:sz w:val="28"/>
      <w:szCs w:val="32"/>
    </w:rPr>
  </w:style>
  <w:style w:type="paragraph" w:styleId="6">
    <w:name w:val="heading 4"/>
    <w:basedOn w:val="1"/>
    <w:next w:val="1"/>
    <w:link w:val="23"/>
    <w:unhideWhenUsed/>
    <w:qFormat/>
    <w:uiPriority w:val="9"/>
    <w:pPr>
      <w:keepNext/>
      <w:keepLines/>
      <w:spacing w:before="100" w:beforeAutospacing="1" w:after="100" w:afterAutospacing="1"/>
      <w:outlineLvl w:val="3"/>
    </w:pPr>
    <w:rPr>
      <w:rFonts w:eastAsia="仿宋" w:asciiTheme="majorHAnsi" w:hAnsiTheme="majorHAnsi" w:cstheme="majorBidi"/>
      <w:b/>
      <w:bCs/>
      <w:sz w:val="28"/>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left="420" w:firstLine="420" w:firstLineChars="200"/>
    </w:pPr>
  </w:style>
  <w:style w:type="paragraph" w:styleId="3">
    <w:name w:val="Body Text Indent"/>
    <w:basedOn w:val="1"/>
    <w:uiPriority w:val="0"/>
    <w:pPr>
      <w:ind w:firstLine="630"/>
    </w:pPr>
    <w:rPr>
      <w:sz w:val="32"/>
      <w:szCs w:val="20"/>
    </w:rPr>
  </w:style>
  <w:style w:type="paragraph" w:styleId="7">
    <w:name w:val="annotation text"/>
    <w:basedOn w:val="1"/>
    <w:link w:val="15"/>
    <w:uiPriority w:val="0"/>
    <w:pPr>
      <w:autoSpaceDE w:val="0"/>
      <w:autoSpaceDN w:val="0"/>
      <w:adjustRightInd w:val="0"/>
      <w:spacing w:line="360" w:lineRule="auto"/>
    </w:pPr>
  </w:style>
  <w:style w:type="paragraph" w:styleId="8">
    <w:name w:val="Balloon Text"/>
    <w:basedOn w:val="1"/>
    <w:link w:val="26"/>
    <w:semiHidden/>
    <w:unhideWhenUsed/>
    <w:uiPriority w:val="99"/>
    <w:rPr>
      <w:sz w:val="18"/>
      <w:szCs w:val="18"/>
    </w:rPr>
  </w:style>
  <w:style w:type="paragraph" w:styleId="9">
    <w:name w:val="footer"/>
    <w:basedOn w:val="1"/>
    <w:link w:val="17"/>
    <w:semiHidden/>
    <w:unhideWhenUsed/>
    <w:uiPriority w:val="99"/>
    <w:pPr>
      <w:tabs>
        <w:tab w:val="center" w:pos="4153"/>
        <w:tab w:val="right" w:pos="8306"/>
      </w:tabs>
      <w:snapToGrid w:val="0"/>
      <w:jc w:val="left"/>
    </w:pPr>
    <w:rPr>
      <w:sz w:val="18"/>
      <w:szCs w:val="18"/>
    </w:rPr>
  </w:style>
  <w:style w:type="paragraph" w:styleId="10">
    <w:name w:val="header"/>
    <w:basedOn w:val="1"/>
    <w:link w:val="16"/>
    <w:semiHidden/>
    <w:unhideWhenUsed/>
    <w:uiPriority w:val="99"/>
    <w:pPr>
      <w:pBdr>
        <w:bottom w:val="single" w:color="auto" w:sz="6" w:space="1"/>
      </w:pBdr>
      <w:tabs>
        <w:tab w:val="center" w:pos="4153"/>
        <w:tab w:val="right" w:pos="8306"/>
      </w:tabs>
      <w:snapToGrid w:val="0"/>
      <w:jc w:val="center"/>
    </w:pPr>
    <w:rPr>
      <w:sz w:val="18"/>
      <w:szCs w:val="18"/>
    </w:rPr>
  </w:style>
  <w:style w:type="character" w:styleId="13">
    <w:name w:val="Hyperlink"/>
    <w:basedOn w:val="12"/>
    <w:unhideWhenUsed/>
    <w:qFormat/>
    <w:uiPriority w:val="99"/>
    <w:rPr>
      <w:color w:val="0000FF" w:themeColor="hyperlink"/>
      <w:u w:val="single"/>
    </w:rPr>
  </w:style>
  <w:style w:type="character" w:customStyle="1" w:styleId="14">
    <w:name w:val="批注文字 Char"/>
    <w:basedOn w:val="12"/>
    <w:link w:val="7"/>
    <w:locked/>
    <w:uiPriority w:val="0"/>
  </w:style>
  <w:style w:type="character" w:customStyle="1" w:styleId="15">
    <w:name w:val="批注文字 Char1"/>
    <w:basedOn w:val="12"/>
    <w:link w:val="7"/>
    <w:semiHidden/>
    <w:uiPriority w:val="99"/>
  </w:style>
  <w:style w:type="character" w:customStyle="1" w:styleId="16">
    <w:name w:val="页眉 Char"/>
    <w:basedOn w:val="12"/>
    <w:link w:val="10"/>
    <w:semiHidden/>
    <w:qFormat/>
    <w:uiPriority w:val="99"/>
    <w:rPr>
      <w:sz w:val="18"/>
      <w:szCs w:val="18"/>
    </w:rPr>
  </w:style>
  <w:style w:type="character" w:customStyle="1" w:styleId="17">
    <w:name w:val="页脚 Char"/>
    <w:basedOn w:val="12"/>
    <w:link w:val="9"/>
    <w:semiHidden/>
    <w:qFormat/>
    <w:uiPriority w:val="99"/>
    <w:rPr>
      <w:sz w:val="18"/>
      <w:szCs w:val="18"/>
    </w:rPr>
  </w:style>
  <w:style w:type="paragraph" w:customStyle="1" w:styleId="18">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styleId="19">
    <w:name w:val="List Paragraph"/>
    <w:basedOn w:val="1"/>
    <w:link w:val="20"/>
    <w:qFormat/>
    <w:uiPriority w:val="34"/>
    <w:pPr>
      <w:adjustRightInd w:val="0"/>
      <w:snapToGrid w:val="0"/>
      <w:spacing w:line="360" w:lineRule="auto"/>
      <w:ind w:firstLine="420" w:firstLineChars="200"/>
    </w:pPr>
    <w:rPr>
      <w:rFonts w:ascii="Calibri" w:hAnsi="Calibri" w:eastAsia="宋体" w:cs="黑体"/>
      <w:sz w:val="24"/>
    </w:rPr>
  </w:style>
  <w:style w:type="character" w:customStyle="1" w:styleId="20">
    <w:name w:val="列出段落 Char"/>
    <w:link w:val="19"/>
    <w:qFormat/>
    <w:locked/>
    <w:uiPriority w:val="34"/>
    <w:rPr>
      <w:rFonts w:ascii="Calibri" w:hAnsi="Calibri" w:eastAsia="宋体" w:cs="黑体"/>
      <w:sz w:val="24"/>
    </w:rPr>
  </w:style>
  <w:style w:type="character" w:customStyle="1" w:styleId="21">
    <w:name w:val="标题 2 Char"/>
    <w:basedOn w:val="12"/>
    <w:link w:val="4"/>
    <w:qFormat/>
    <w:uiPriority w:val="9"/>
    <w:rPr>
      <w:rFonts w:eastAsia="仿宋" w:asciiTheme="majorEastAsia" w:hAnsiTheme="majorHAnsi" w:cstheme="majorBidi"/>
      <w:b/>
      <w:bCs/>
      <w:sz w:val="28"/>
      <w:szCs w:val="32"/>
    </w:rPr>
  </w:style>
  <w:style w:type="character" w:customStyle="1" w:styleId="22">
    <w:name w:val="标题 3 Char"/>
    <w:basedOn w:val="12"/>
    <w:link w:val="5"/>
    <w:qFormat/>
    <w:uiPriority w:val="9"/>
    <w:rPr>
      <w:rFonts w:eastAsia="仿宋"/>
      <w:b/>
      <w:bCs/>
      <w:sz w:val="28"/>
      <w:szCs w:val="32"/>
    </w:rPr>
  </w:style>
  <w:style w:type="character" w:customStyle="1" w:styleId="23">
    <w:name w:val="标题 4 Char"/>
    <w:basedOn w:val="12"/>
    <w:link w:val="6"/>
    <w:qFormat/>
    <w:uiPriority w:val="9"/>
    <w:rPr>
      <w:rFonts w:eastAsia="仿宋" w:asciiTheme="majorHAnsi" w:hAnsiTheme="majorHAnsi" w:cstheme="majorBidi"/>
      <w:b/>
      <w:bCs/>
      <w:sz w:val="28"/>
      <w:szCs w:val="28"/>
    </w:rPr>
  </w:style>
  <w:style w:type="character" w:customStyle="1" w:styleId="24">
    <w:name w:val="font11"/>
    <w:basedOn w:val="12"/>
    <w:qFormat/>
    <w:uiPriority w:val="0"/>
    <w:rPr>
      <w:rFonts w:hint="default" w:ascii="仿宋_GB2312" w:eastAsia="仿宋_GB2312" w:cs="仿宋_GB2312"/>
      <w:color w:val="000000"/>
      <w:sz w:val="18"/>
      <w:szCs w:val="18"/>
      <w:u w:val="none"/>
    </w:rPr>
  </w:style>
  <w:style w:type="character" w:customStyle="1" w:styleId="25">
    <w:name w:val="font01"/>
    <w:basedOn w:val="12"/>
    <w:qFormat/>
    <w:uiPriority w:val="0"/>
    <w:rPr>
      <w:rFonts w:hint="eastAsia" w:ascii="宋体" w:hAnsi="宋体" w:eastAsia="宋体" w:cs="宋体"/>
      <w:color w:val="000000"/>
      <w:sz w:val="18"/>
      <w:szCs w:val="18"/>
      <w:u w:val="none"/>
    </w:rPr>
  </w:style>
  <w:style w:type="character" w:customStyle="1" w:styleId="26">
    <w:name w:val="批注框文本 Char"/>
    <w:basedOn w:val="12"/>
    <w:link w:val="8"/>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2943</Words>
  <Characters>16779</Characters>
  <Lines>139</Lines>
  <Paragraphs>39</Paragraphs>
  <TotalTime>1</TotalTime>
  <ScaleCrop>false</ScaleCrop>
  <LinksUpToDate>false</LinksUpToDate>
  <CharactersWithSpaces>19683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2021-02-08T08:44:00Z</dcterms:created>
  <dc:creator>陈瀚</dc:creator>
  <cp:lastModifiedBy>陈伟</cp:lastModifiedBy>
  <dcterms:modified xsi:type="dcterms:W3CDTF">2021-02-19T09:08:35Z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