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ordWrap w:val="0"/>
        <w:spacing w:line="360" w:lineRule="auto"/>
        <w:jc w:val="center"/>
        <w:rPr>
          <w:rFonts w:hint="eastAsia" w:ascii="宋体" w:hAnsi="宋体" w:cs="宋体"/>
          <w:b/>
          <w:color w:val="auto"/>
          <w:kern w:val="0"/>
          <w:sz w:val="21"/>
          <w:szCs w:val="21"/>
        </w:rPr>
      </w:pPr>
      <w:r>
        <w:rPr>
          <w:rFonts w:hint="eastAsia" w:ascii="宋体" w:hAnsi="宋体" w:cs="宋体"/>
          <w:b/>
          <w:color w:val="auto"/>
          <w:kern w:val="0"/>
          <w:sz w:val="21"/>
          <w:szCs w:val="21"/>
        </w:rPr>
        <w:t>2019年铜陵学院经管实验中心设备</w:t>
      </w:r>
      <w:bookmarkStart w:id="0" w:name="_GoBack"/>
      <w:bookmarkEnd w:id="0"/>
    </w:p>
    <w:p>
      <w:pPr>
        <w:ind w:firstLine="630" w:firstLineChars="300"/>
        <w:rPr>
          <w:rFonts w:hint="eastAsia"/>
          <w:color w:val="auto"/>
          <w:sz w:val="21"/>
          <w:szCs w:val="21"/>
          <w:lang w:val="en-US" w:eastAsia="zh-CN"/>
        </w:rPr>
      </w:pPr>
    </w:p>
    <w:p>
      <w:pPr>
        <w:numPr>
          <w:ilvl w:val="0"/>
          <w:numId w:val="1"/>
        </w:numPr>
        <w:rPr>
          <w:rFonts w:hint="eastAsia"/>
          <w:color w:val="auto"/>
          <w:sz w:val="21"/>
          <w:szCs w:val="21"/>
          <w:lang w:val="en-US" w:eastAsia="zh-CN"/>
        </w:rPr>
      </w:pPr>
      <w:r>
        <w:rPr>
          <w:rFonts w:hint="eastAsia"/>
          <w:color w:val="auto"/>
          <w:sz w:val="21"/>
          <w:szCs w:val="21"/>
          <w:lang w:val="en-US" w:eastAsia="zh-CN"/>
        </w:rPr>
        <w:t>项目概况</w:t>
      </w:r>
    </w:p>
    <w:p>
      <w:pPr>
        <w:widowControl/>
        <w:shd w:val="clear" w:color="auto" w:fill="FFFFFF"/>
        <w:spacing w:line="360" w:lineRule="auto"/>
        <w:ind w:firstLine="640"/>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 xml:space="preserve"> </w:t>
      </w:r>
      <w:r>
        <w:rPr>
          <w:rFonts w:hint="eastAsia" w:ascii="宋体" w:hAnsi="宋体"/>
          <w:color w:val="auto"/>
          <w:sz w:val="21"/>
          <w:szCs w:val="21"/>
        </w:rPr>
        <w:t>铜陵学院经管实验教学中心有一批交换机、服务器、投影机是2009年采购投入使用的，性能极不稳定，2019年已申请报废并获得学校批准，目前，急需采购新的服务器等设备补充替换，迁移数据，完善实验室教学条件，以保障实验教学正常运行。具体数量见磋商文件。</w:t>
      </w:r>
    </w:p>
    <w:p>
      <w:pPr>
        <w:numPr>
          <w:ilvl w:val="0"/>
          <w:numId w:val="0"/>
        </w:numPr>
        <w:rPr>
          <w:rFonts w:hint="eastAsia"/>
          <w:color w:val="auto"/>
          <w:sz w:val="21"/>
          <w:szCs w:val="21"/>
          <w:lang w:val="en-US" w:eastAsia="zh-CN"/>
        </w:rPr>
      </w:pPr>
    </w:p>
    <w:p>
      <w:pPr>
        <w:numPr>
          <w:ilvl w:val="0"/>
          <w:numId w:val="1"/>
        </w:numPr>
        <w:rPr>
          <w:rFonts w:hint="eastAsia"/>
          <w:color w:val="auto"/>
          <w:sz w:val="21"/>
          <w:szCs w:val="21"/>
          <w:lang w:val="en-US" w:eastAsia="zh-CN"/>
        </w:rPr>
      </w:pPr>
      <w:r>
        <w:rPr>
          <w:rFonts w:hint="eastAsia"/>
          <w:color w:val="auto"/>
          <w:sz w:val="21"/>
          <w:szCs w:val="21"/>
          <w:lang w:val="en-US" w:eastAsia="zh-CN"/>
        </w:rPr>
        <w:t>资格条件：</w:t>
      </w:r>
    </w:p>
    <w:p>
      <w:pPr>
        <w:widowControl/>
        <w:shd w:val="clear" w:color="auto" w:fill="FFFFFF"/>
        <w:spacing w:line="560" w:lineRule="exact"/>
        <w:ind w:firstLine="640"/>
        <w:rPr>
          <w:rFonts w:ascii="宋体" w:hAnsi="宋体" w:cs="宋体"/>
          <w:color w:val="auto"/>
          <w:kern w:val="0"/>
          <w:sz w:val="21"/>
          <w:szCs w:val="21"/>
          <w:lang w:val="zh-CN"/>
        </w:rPr>
      </w:pPr>
      <w:r>
        <w:rPr>
          <w:rFonts w:hint="eastAsia" w:ascii="宋体" w:hAnsi="宋体" w:cs="宋体"/>
          <w:color w:val="auto"/>
          <w:kern w:val="0"/>
          <w:sz w:val="21"/>
          <w:szCs w:val="21"/>
          <w:lang w:val="zh-CN"/>
        </w:rPr>
        <w:t>1、符合《中华人民共和国政府采购法》第二十二条规定，</w:t>
      </w:r>
      <w:r>
        <w:rPr>
          <w:rFonts w:hint="eastAsia" w:cs="华文仿宋"/>
          <w:color w:val="auto"/>
          <w:sz w:val="21"/>
          <w:szCs w:val="21"/>
        </w:rPr>
        <w:t>且具有从事本项目的经营范围和能力；</w:t>
      </w:r>
    </w:p>
    <w:p>
      <w:pPr>
        <w:widowControl/>
        <w:shd w:val="clear" w:color="auto" w:fill="FFFFFF"/>
        <w:spacing w:line="560" w:lineRule="exact"/>
        <w:ind w:firstLine="640"/>
        <w:rPr>
          <w:rFonts w:ascii="宋体" w:hAnsi="宋体" w:cs="宋体"/>
          <w:color w:val="auto"/>
          <w:kern w:val="0"/>
          <w:sz w:val="21"/>
          <w:szCs w:val="21"/>
          <w:lang w:val="zh-CN"/>
        </w:rPr>
      </w:pPr>
      <w:r>
        <w:rPr>
          <w:rFonts w:hint="eastAsia" w:ascii="宋体" w:hAnsi="宋体" w:cs="宋体"/>
          <w:color w:val="auto"/>
          <w:kern w:val="0"/>
          <w:sz w:val="21"/>
          <w:szCs w:val="21"/>
          <w:lang w:val="zh-CN"/>
        </w:rPr>
        <w:t>2、本项目不接受联合体投标；</w:t>
      </w:r>
    </w:p>
    <w:p>
      <w:pPr>
        <w:widowControl/>
        <w:shd w:val="clear" w:color="auto" w:fill="FFFFFF"/>
        <w:spacing w:line="560" w:lineRule="exact"/>
        <w:ind w:firstLine="640"/>
        <w:rPr>
          <w:rFonts w:ascii="宋体" w:hAnsi="宋体" w:cs="宋体"/>
          <w:color w:val="auto"/>
          <w:kern w:val="0"/>
          <w:sz w:val="21"/>
          <w:szCs w:val="21"/>
          <w:lang w:val="zh-CN"/>
        </w:rPr>
      </w:pPr>
      <w:r>
        <w:rPr>
          <w:rFonts w:hint="eastAsia" w:ascii="宋体" w:hAnsi="宋体" w:cs="宋体"/>
          <w:color w:val="auto"/>
          <w:kern w:val="0"/>
          <w:sz w:val="21"/>
          <w:szCs w:val="21"/>
          <w:lang w:val="zh-CN"/>
        </w:rPr>
        <w:t>3、供应商存在以下不良信用记录情形之一的，不得推荐为中标候选供应商，不得确定为中标供应商：</w:t>
      </w:r>
    </w:p>
    <w:p>
      <w:pPr>
        <w:widowControl/>
        <w:shd w:val="clear" w:color="auto" w:fill="FFFFFF"/>
        <w:spacing w:line="560" w:lineRule="exact"/>
        <w:ind w:firstLine="640"/>
        <w:rPr>
          <w:rFonts w:ascii="宋体" w:hAnsi="宋体" w:cs="宋体"/>
          <w:color w:val="auto"/>
          <w:kern w:val="0"/>
          <w:sz w:val="21"/>
          <w:szCs w:val="21"/>
          <w:lang w:val="zh-CN"/>
        </w:rPr>
      </w:pPr>
      <w:r>
        <w:rPr>
          <w:rFonts w:hint="eastAsia" w:ascii="宋体" w:hAnsi="宋体" w:cs="宋体"/>
          <w:color w:val="auto"/>
          <w:kern w:val="0"/>
          <w:sz w:val="21"/>
          <w:szCs w:val="21"/>
          <w:lang w:val="zh-CN"/>
        </w:rPr>
        <w:t>(1）供应商被人民法院列入失信被执行人的；</w:t>
      </w:r>
    </w:p>
    <w:p>
      <w:pPr>
        <w:widowControl/>
        <w:shd w:val="clear" w:color="auto" w:fill="FFFFFF"/>
        <w:spacing w:line="560" w:lineRule="exact"/>
        <w:ind w:firstLine="640"/>
        <w:rPr>
          <w:rFonts w:ascii="宋体" w:hAnsi="宋体" w:cs="宋体"/>
          <w:color w:val="auto"/>
          <w:kern w:val="0"/>
          <w:sz w:val="21"/>
          <w:szCs w:val="21"/>
          <w:lang w:val="zh-CN"/>
        </w:rPr>
      </w:pPr>
      <w:r>
        <w:rPr>
          <w:rFonts w:hint="eastAsia" w:ascii="宋体" w:hAnsi="宋体" w:cs="宋体"/>
          <w:color w:val="auto"/>
          <w:kern w:val="0"/>
          <w:sz w:val="21"/>
          <w:szCs w:val="21"/>
          <w:lang w:val="zh-CN"/>
        </w:rPr>
        <w:t>(2）供应商或其法定代表人或拟派项目经理（项目负责人）被人民检察院列入行贿犯罪档案的；</w:t>
      </w:r>
    </w:p>
    <w:p>
      <w:pPr>
        <w:widowControl/>
        <w:shd w:val="clear" w:color="auto" w:fill="FFFFFF"/>
        <w:spacing w:line="560" w:lineRule="exact"/>
        <w:ind w:firstLine="640"/>
        <w:rPr>
          <w:rFonts w:ascii="宋体" w:hAnsi="宋体" w:cs="宋体"/>
          <w:color w:val="auto"/>
          <w:kern w:val="0"/>
          <w:sz w:val="21"/>
          <w:szCs w:val="21"/>
          <w:lang w:val="zh-CN"/>
        </w:rPr>
      </w:pPr>
      <w:r>
        <w:rPr>
          <w:rFonts w:hint="eastAsia" w:ascii="宋体" w:hAnsi="宋体" w:cs="宋体"/>
          <w:color w:val="auto"/>
          <w:kern w:val="0"/>
          <w:sz w:val="21"/>
          <w:szCs w:val="21"/>
          <w:lang w:val="zh-CN"/>
        </w:rPr>
        <w:t>(3）供应商被工商行政管理部门列入企业经营异常名录的；</w:t>
      </w:r>
    </w:p>
    <w:p>
      <w:pPr>
        <w:widowControl/>
        <w:shd w:val="clear" w:color="auto" w:fill="FFFFFF"/>
        <w:spacing w:line="560" w:lineRule="exact"/>
        <w:ind w:firstLine="640"/>
        <w:rPr>
          <w:rFonts w:ascii="宋体" w:hAnsi="宋体" w:cs="宋体"/>
          <w:color w:val="auto"/>
          <w:kern w:val="0"/>
          <w:sz w:val="21"/>
          <w:szCs w:val="21"/>
          <w:lang w:val="zh-CN"/>
        </w:rPr>
      </w:pPr>
      <w:r>
        <w:rPr>
          <w:rFonts w:hint="eastAsia" w:ascii="宋体" w:hAnsi="宋体" w:cs="宋体"/>
          <w:color w:val="auto"/>
          <w:kern w:val="0"/>
          <w:sz w:val="21"/>
          <w:szCs w:val="21"/>
          <w:lang w:val="zh-CN"/>
        </w:rPr>
        <w:t>(4）供应商被税务部门列入重大税收违法案件当事人名单的；</w:t>
      </w:r>
    </w:p>
    <w:p>
      <w:pPr>
        <w:widowControl/>
        <w:shd w:val="clear" w:color="auto" w:fill="FFFFFF"/>
        <w:spacing w:line="560" w:lineRule="exact"/>
        <w:ind w:firstLine="640"/>
        <w:rPr>
          <w:rFonts w:ascii="宋体" w:hAnsi="宋体" w:cs="宋体"/>
          <w:color w:val="auto"/>
          <w:kern w:val="0"/>
          <w:sz w:val="21"/>
          <w:szCs w:val="21"/>
          <w:lang w:val="zh-CN"/>
        </w:rPr>
      </w:pPr>
      <w:r>
        <w:rPr>
          <w:rFonts w:hint="eastAsia" w:ascii="宋体" w:hAnsi="宋体" w:cs="宋体"/>
          <w:color w:val="auto"/>
          <w:kern w:val="0"/>
          <w:sz w:val="21"/>
          <w:szCs w:val="21"/>
          <w:lang w:val="zh-CN"/>
        </w:rPr>
        <w:t>(5）供应商被政府采购监管部门列入政府采购严重违法失信行为记录名单的。</w:t>
      </w:r>
    </w:p>
    <w:p>
      <w:pPr>
        <w:numPr>
          <w:ilvl w:val="0"/>
          <w:numId w:val="1"/>
        </w:numPr>
        <w:rPr>
          <w:rFonts w:hint="eastAsia"/>
          <w:color w:val="auto"/>
          <w:sz w:val="21"/>
          <w:szCs w:val="21"/>
          <w:lang w:val="en-US" w:eastAsia="zh-CN"/>
        </w:rPr>
      </w:pPr>
      <w:r>
        <w:rPr>
          <w:rFonts w:hint="eastAsia"/>
          <w:color w:val="auto"/>
          <w:sz w:val="21"/>
          <w:szCs w:val="21"/>
          <w:lang w:val="en-US" w:eastAsia="zh-CN"/>
        </w:rPr>
        <w:t>技术参数：</w:t>
      </w:r>
    </w:p>
    <w:p>
      <w:pPr>
        <w:spacing w:line="480" w:lineRule="exact"/>
        <w:ind w:firstLine="422" w:firstLineChars="200"/>
        <w:rPr>
          <w:rFonts w:ascii="宋体" w:hAnsi="宋体"/>
          <w:b/>
          <w:color w:val="auto"/>
          <w:sz w:val="21"/>
          <w:szCs w:val="21"/>
        </w:rPr>
      </w:pPr>
      <w:r>
        <w:rPr>
          <w:rFonts w:hint="eastAsia" w:ascii="宋体" w:hAnsi="宋体"/>
          <w:b/>
          <w:color w:val="auto"/>
          <w:sz w:val="21"/>
          <w:szCs w:val="21"/>
        </w:rPr>
        <w:t xml:space="preserve">    1.采购需求表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365"/>
        <w:gridCol w:w="5608"/>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53" w:type="dxa"/>
            <w:noWrap w:val="0"/>
            <w:vAlign w:val="center"/>
          </w:tcPr>
          <w:p>
            <w:pPr>
              <w:jc w:val="center"/>
              <w:rPr>
                <w:color w:val="auto"/>
                <w:sz w:val="21"/>
                <w:szCs w:val="21"/>
              </w:rPr>
            </w:pPr>
            <w:r>
              <w:rPr>
                <w:rFonts w:hint="eastAsia"/>
                <w:color w:val="auto"/>
                <w:sz w:val="21"/>
                <w:szCs w:val="21"/>
              </w:rPr>
              <w:t>序号</w:t>
            </w:r>
          </w:p>
        </w:tc>
        <w:tc>
          <w:tcPr>
            <w:tcW w:w="1365" w:type="dxa"/>
            <w:noWrap w:val="0"/>
            <w:vAlign w:val="center"/>
          </w:tcPr>
          <w:p>
            <w:pPr>
              <w:jc w:val="center"/>
              <w:rPr>
                <w:color w:val="auto"/>
                <w:sz w:val="21"/>
                <w:szCs w:val="21"/>
              </w:rPr>
            </w:pPr>
            <w:r>
              <w:rPr>
                <w:rFonts w:hint="eastAsia"/>
                <w:color w:val="auto"/>
                <w:sz w:val="21"/>
                <w:szCs w:val="21"/>
              </w:rPr>
              <w:t>设备名称</w:t>
            </w:r>
          </w:p>
        </w:tc>
        <w:tc>
          <w:tcPr>
            <w:tcW w:w="5608" w:type="dxa"/>
            <w:noWrap w:val="0"/>
            <w:vAlign w:val="center"/>
          </w:tcPr>
          <w:p>
            <w:pPr>
              <w:jc w:val="center"/>
              <w:rPr>
                <w:color w:val="auto"/>
                <w:sz w:val="21"/>
                <w:szCs w:val="21"/>
              </w:rPr>
            </w:pPr>
            <w:r>
              <w:rPr>
                <w:rFonts w:hint="eastAsia"/>
                <w:color w:val="auto"/>
                <w:sz w:val="21"/>
                <w:szCs w:val="21"/>
              </w:rPr>
              <w:t>技术参数</w:t>
            </w:r>
          </w:p>
        </w:tc>
        <w:tc>
          <w:tcPr>
            <w:tcW w:w="850" w:type="dxa"/>
            <w:noWrap w:val="0"/>
            <w:vAlign w:val="center"/>
          </w:tcPr>
          <w:p>
            <w:pPr>
              <w:jc w:val="center"/>
              <w:rPr>
                <w:color w:val="auto"/>
                <w:sz w:val="21"/>
                <w:szCs w:val="21"/>
              </w:rPr>
            </w:pPr>
            <w:r>
              <w:rPr>
                <w:rFonts w:hint="eastAsia"/>
                <w:color w:val="auto"/>
                <w:sz w:val="21"/>
                <w:szCs w:val="21"/>
              </w:rPr>
              <w:t>数量</w:t>
            </w:r>
          </w:p>
        </w:tc>
        <w:tc>
          <w:tcPr>
            <w:tcW w:w="851" w:type="dxa"/>
            <w:noWrap w:val="0"/>
            <w:vAlign w:val="center"/>
          </w:tcPr>
          <w:p>
            <w:pPr>
              <w:jc w:val="center"/>
              <w:rPr>
                <w:color w:val="auto"/>
                <w:sz w:val="21"/>
                <w:szCs w:val="21"/>
              </w:rPr>
            </w:pPr>
            <w:r>
              <w:rPr>
                <w:rFonts w:hint="eastAsia"/>
                <w:color w:val="auto"/>
                <w:sz w:val="21"/>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3" w:type="dxa"/>
            <w:noWrap w:val="0"/>
            <w:vAlign w:val="center"/>
          </w:tcPr>
          <w:p>
            <w:pPr>
              <w:rPr>
                <w:color w:val="auto"/>
                <w:sz w:val="21"/>
                <w:szCs w:val="21"/>
              </w:rPr>
            </w:pPr>
            <w:r>
              <w:rPr>
                <w:rFonts w:hint="eastAsia"/>
                <w:color w:val="auto"/>
                <w:sz w:val="21"/>
                <w:szCs w:val="21"/>
              </w:rPr>
              <w:t>1</w:t>
            </w:r>
          </w:p>
        </w:tc>
        <w:tc>
          <w:tcPr>
            <w:tcW w:w="1365" w:type="dxa"/>
            <w:noWrap w:val="0"/>
            <w:vAlign w:val="center"/>
          </w:tcPr>
          <w:p>
            <w:pPr>
              <w:rPr>
                <w:color w:val="auto"/>
                <w:sz w:val="21"/>
                <w:szCs w:val="21"/>
              </w:rPr>
            </w:pPr>
            <w:r>
              <w:rPr>
                <w:rFonts w:ascii="宋体" w:hAnsi="宋体"/>
                <w:color w:val="auto"/>
                <w:sz w:val="21"/>
                <w:szCs w:val="21"/>
              </w:rPr>
              <w:t>服务器</w:t>
            </w:r>
          </w:p>
        </w:tc>
        <w:tc>
          <w:tcPr>
            <w:tcW w:w="5608" w:type="dxa"/>
            <w:noWrap w:val="0"/>
            <w:vAlign w:val="center"/>
          </w:tcPr>
          <w:p>
            <w:pPr>
              <w:rPr>
                <w:rFonts w:ascii="宋体" w:hAnsi="宋体"/>
                <w:color w:val="auto"/>
                <w:sz w:val="21"/>
                <w:szCs w:val="21"/>
              </w:rPr>
            </w:pPr>
            <w:r>
              <w:rPr>
                <w:rFonts w:hint="eastAsia" w:ascii="宋体" w:hAnsi="宋体"/>
                <w:color w:val="auto"/>
                <w:sz w:val="21"/>
                <w:szCs w:val="21"/>
              </w:rPr>
              <w:t>★1、品牌：国有品牌</w:t>
            </w:r>
          </w:p>
          <w:p>
            <w:pPr>
              <w:rPr>
                <w:rFonts w:ascii="宋体" w:hAnsi="宋体"/>
                <w:color w:val="auto"/>
                <w:sz w:val="21"/>
                <w:szCs w:val="21"/>
              </w:rPr>
            </w:pPr>
            <w:r>
              <w:rPr>
                <w:rFonts w:hint="eastAsia" w:ascii="宋体" w:hAnsi="宋体"/>
                <w:color w:val="auto"/>
                <w:sz w:val="21"/>
                <w:szCs w:val="21"/>
              </w:rPr>
              <w:t>2、机箱：4U机架式、含导轨；</w:t>
            </w:r>
          </w:p>
          <w:p>
            <w:pPr>
              <w:rPr>
                <w:rFonts w:ascii="宋体" w:hAnsi="宋体"/>
                <w:color w:val="auto"/>
                <w:sz w:val="21"/>
                <w:szCs w:val="21"/>
              </w:rPr>
            </w:pPr>
            <w:r>
              <w:rPr>
                <w:rFonts w:hint="eastAsia" w:ascii="宋体" w:hAnsi="宋体"/>
                <w:color w:val="auto"/>
                <w:sz w:val="21"/>
                <w:szCs w:val="21"/>
              </w:rPr>
              <w:t>★3、处理器：配置CPU Intel E7-4809V4*2及以上，最大可扩4颗CPU；</w:t>
            </w:r>
          </w:p>
          <w:p>
            <w:pPr>
              <w:rPr>
                <w:rFonts w:ascii="宋体" w:hAnsi="宋体"/>
                <w:color w:val="auto"/>
                <w:sz w:val="21"/>
                <w:szCs w:val="21"/>
              </w:rPr>
            </w:pPr>
            <w:r>
              <w:rPr>
                <w:rFonts w:hint="eastAsia" w:ascii="宋体" w:hAnsi="宋体"/>
                <w:color w:val="auto"/>
                <w:sz w:val="21"/>
                <w:szCs w:val="21"/>
              </w:rPr>
              <w:t>★4、内存：64GB DDR4 及以上内存，板载32个内存插槽；（提供官网截图证明）</w:t>
            </w:r>
          </w:p>
          <w:p>
            <w:pPr>
              <w:rPr>
                <w:rFonts w:ascii="宋体" w:hAnsi="宋体"/>
                <w:color w:val="auto"/>
                <w:sz w:val="21"/>
                <w:szCs w:val="21"/>
              </w:rPr>
            </w:pPr>
            <w:r>
              <w:rPr>
                <w:rFonts w:hint="eastAsia" w:ascii="宋体" w:hAnsi="宋体"/>
                <w:color w:val="auto"/>
                <w:sz w:val="21"/>
                <w:szCs w:val="21"/>
              </w:rPr>
              <w:t>★5、硬盘：2块 10000转速 600GB SAS热插拔硬盘，最大支持24个2.5寸热插拔硬盘；（提供官网截图证明）</w:t>
            </w:r>
          </w:p>
          <w:p>
            <w:pPr>
              <w:rPr>
                <w:rFonts w:ascii="宋体" w:hAnsi="宋体"/>
                <w:color w:val="auto"/>
                <w:sz w:val="21"/>
                <w:szCs w:val="21"/>
              </w:rPr>
            </w:pPr>
            <w:r>
              <w:rPr>
                <w:rFonts w:hint="eastAsia" w:ascii="宋体" w:hAnsi="宋体"/>
                <w:color w:val="auto"/>
                <w:sz w:val="21"/>
                <w:szCs w:val="21"/>
              </w:rPr>
              <w:t>6、RAID：独立八通道 SAS高性能 RAID卡，支持RAID0、1、5、6；</w:t>
            </w:r>
          </w:p>
          <w:p>
            <w:pPr>
              <w:rPr>
                <w:rFonts w:ascii="宋体" w:hAnsi="宋体"/>
                <w:color w:val="auto"/>
                <w:sz w:val="21"/>
                <w:szCs w:val="21"/>
              </w:rPr>
            </w:pPr>
            <w:r>
              <w:rPr>
                <w:rFonts w:hint="eastAsia" w:ascii="宋体" w:hAnsi="宋体"/>
                <w:color w:val="auto"/>
                <w:sz w:val="21"/>
                <w:szCs w:val="21"/>
              </w:rPr>
              <w:t>7、网络：5个千兆GJ45口；</w:t>
            </w:r>
          </w:p>
          <w:p>
            <w:pPr>
              <w:rPr>
                <w:rFonts w:ascii="宋体" w:hAnsi="宋体"/>
                <w:color w:val="auto"/>
                <w:sz w:val="21"/>
                <w:szCs w:val="21"/>
              </w:rPr>
            </w:pPr>
            <w:r>
              <w:rPr>
                <w:rFonts w:hint="eastAsia" w:ascii="宋体" w:hAnsi="宋体"/>
                <w:color w:val="auto"/>
                <w:sz w:val="21"/>
                <w:szCs w:val="21"/>
              </w:rPr>
              <w:t>8、电源：2+1冗余电源；</w:t>
            </w:r>
          </w:p>
          <w:p>
            <w:pPr>
              <w:rPr>
                <w:rFonts w:ascii="宋体" w:hAnsi="宋体"/>
                <w:color w:val="auto"/>
                <w:sz w:val="21"/>
                <w:szCs w:val="21"/>
              </w:rPr>
            </w:pPr>
            <w:r>
              <w:rPr>
                <w:rFonts w:hint="eastAsia" w:ascii="宋体" w:hAnsi="宋体"/>
                <w:color w:val="auto"/>
                <w:sz w:val="21"/>
                <w:szCs w:val="21"/>
              </w:rPr>
              <w:t>9、I/O扩展槽：最大支持12个PCIE插槽；</w:t>
            </w:r>
          </w:p>
          <w:p>
            <w:pPr>
              <w:rPr>
                <w:rFonts w:ascii="宋体" w:hAnsi="宋体"/>
                <w:color w:val="auto"/>
                <w:sz w:val="21"/>
                <w:szCs w:val="21"/>
              </w:rPr>
            </w:pPr>
            <w:r>
              <w:rPr>
                <w:rFonts w:hint="eastAsia" w:ascii="宋体" w:hAnsi="宋体"/>
                <w:color w:val="auto"/>
                <w:sz w:val="21"/>
                <w:szCs w:val="21"/>
              </w:rPr>
              <w:t>10.服务器管理软件：</w:t>
            </w:r>
          </w:p>
          <w:p>
            <w:pPr>
              <w:rPr>
                <w:rFonts w:ascii="宋体" w:hAnsi="宋体"/>
                <w:color w:val="auto"/>
                <w:sz w:val="21"/>
                <w:szCs w:val="21"/>
              </w:rPr>
            </w:pPr>
            <w:r>
              <w:rPr>
                <w:rFonts w:hint="eastAsia" w:ascii="宋体" w:hAnsi="宋体"/>
                <w:color w:val="auto"/>
                <w:sz w:val="21"/>
                <w:szCs w:val="21"/>
              </w:rPr>
              <w:t>★1)配备自主知识产权的备份还原软件(提供证书复印件)；</w:t>
            </w:r>
          </w:p>
          <w:p>
            <w:pPr>
              <w:rPr>
                <w:rFonts w:ascii="宋体" w:hAnsi="宋体"/>
                <w:color w:val="auto"/>
                <w:sz w:val="21"/>
                <w:szCs w:val="21"/>
              </w:rPr>
            </w:pPr>
            <w:r>
              <w:rPr>
                <w:rFonts w:hint="eastAsia" w:ascii="宋体" w:hAnsi="宋体"/>
                <w:color w:val="auto"/>
                <w:sz w:val="21"/>
                <w:szCs w:val="21"/>
              </w:rPr>
              <w:t>★2)具备远程管理功能：集成系统管理芯片，支持IPMI2.0、KVMover IP、虚拟媒体管理功能，配套原厂服务器管理套件，可实现与操作系统无关的远程对服务器的控制， 可实现监控服务器内部主要部件的状态；</w:t>
            </w:r>
          </w:p>
          <w:p>
            <w:pPr>
              <w:rPr>
                <w:rFonts w:ascii="宋体" w:hAnsi="宋体"/>
                <w:color w:val="auto"/>
                <w:sz w:val="21"/>
                <w:szCs w:val="21"/>
              </w:rPr>
            </w:pPr>
            <w:r>
              <w:rPr>
                <w:rFonts w:hint="eastAsia" w:ascii="宋体" w:hAnsi="宋体"/>
                <w:color w:val="auto"/>
                <w:sz w:val="21"/>
                <w:szCs w:val="21"/>
              </w:rPr>
              <w:t>3）支持系统加固软件；</w:t>
            </w:r>
          </w:p>
          <w:p>
            <w:pPr>
              <w:rPr>
                <w:rFonts w:ascii="宋体" w:hAnsi="宋体"/>
                <w:color w:val="auto"/>
                <w:sz w:val="21"/>
                <w:szCs w:val="21"/>
              </w:rPr>
            </w:pPr>
            <w:r>
              <w:rPr>
                <w:rFonts w:hint="eastAsia" w:ascii="宋体" w:hAnsi="宋体"/>
                <w:color w:val="auto"/>
                <w:sz w:val="21"/>
                <w:szCs w:val="21"/>
              </w:rPr>
              <w:t xml:space="preserve">★a）提供对文件/目录和系统用户指定安全级别，不同安全级别用户具备不同的文件/目录访问控制权限； </w:t>
            </w:r>
          </w:p>
          <w:p>
            <w:pPr>
              <w:rPr>
                <w:rFonts w:ascii="宋体" w:hAnsi="宋体"/>
                <w:color w:val="auto"/>
                <w:sz w:val="21"/>
                <w:szCs w:val="21"/>
              </w:rPr>
            </w:pPr>
            <w:r>
              <w:rPr>
                <w:rFonts w:hint="eastAsia" w:ascii="宋体" w:hAnsi="宋体"/>
                <w:color w:val="auto"/>
                <w:sz w:val="21"/>
                <w:szCs w:val="21"/>
              </w:rPr>
              <w:t>★b）文件完整性检测，通过记录和对比指定目录中所有文件的基本属性及内容校验和来进行完整性检测，识别被篡改文件（提供功能截图证明）；</w:t>
            </w:r>
          </w:p>
          <w:p>
            <w:pPr>
              <w:rPr>
                <w:rFonts w:ascii="宋体" w:hAnsi="宋体"/>
                <w:color w:val="auto"/>
                <w:sz w:val="21"/>
                <w:szCs w:val="21"/>
              </w:rPr>
            </w:pPr>
            <w:r>
              <w:rPr>
                <w:rFonts w:hint="eastAsia" w:ascii="宋体" w:hAnsi="宋体"/>
                <w:color w:val="auto"/>
                <w:sz w:val="21"/>
                <w:szCs w:val="21"/>
              </w:rPr>
              <w:t xml:space="preserve">★c）提供进程访问控制功能，防止非法用户终止进程，具备内核注册表访问控制，有效管理注册表配置进程读写安全策略（提供功能截图证明）； </w:t>
            </w:r>
          </w:p>
          <w:p>
            <w:pPr>
              <w:rPr>
                <w:rFonts w:ascii="宋体" w:hAnsi="宋体"/>
                <w:color w:val="auto"/>
                <w:sz w:val="21"/>
                <w:szCs w:val="21"/>
              </w:rPr>
            </w:pPr>
            <w:r>
              <w:rPr>
                <w:rFonts w:hint="eastAsia" w:ascii="宋体" w:hAnsi="宋体"/>
                <w:color w:val="auto"/>
                <w:sz w:val="21"/>
                <w:szCs w:val="21"/>
              </w:rPr>
              <w:t>★4）提供微软兼容性认证证书(提供证书复印件)</w:t>
            </w:r>
          </w:p>
          <w:p>
            <w:pPr>
              <w:rPr>
                <w:color w:val="auto"/>
                <w:sz w:val="21"/>
                <w:szCs w:val="21"/>
                <w:lang w:val="zh-CN"/>
              </w:rPr>
            </w:pPr>
            <w:r>
              <w:rPr>
                <w:rFonts w:hint="eastAsia" w:ascii="宋体" w:hAnsi="宋体"/>
                <w:color w:val="auto"/>
                <w:sz w:val="21"/>
                <w:szCs w:val="21"/>
              </w:rPr>
              <w:t>★11.服务：提供售后服务承诺函。</w:t>
            </w:r>
          </w:p>
        </w:tc>
        <w:tc>
          <w:tcPr>
            <w:tcW w:w="850" w:type="dxa"/>
            <w:noWrap w:val="0"/>
            <w:vAlign w:val="center"/>
          </w:tcPr>
          <w:p>
            <w:pPr>
              <w:rPr>
                <w:color w:val="auto"/>
                <w:sz w:val="21"/>
                <w:szCs w:val="21"/>
              </w:rPr>
            </w:pPr>
            <w:r>
              <w:rPr>
                <w:rFonts w:hint="eastAsia"/>
                <w:color w:val="auto"/>
                <w:sz w:val="21"/>
                <w:szCs w:val="21"/>
              </w:rPr>
              <w:t>2</w:t>
            </w:r>
          </w:p>
        </w:tc>
        <w:tc>
          <w:tcPr>
            <w:tcW w:w="851" w:type="dxa"/>
            <w:noWrap w:val="0"/>
            <w:vAlign w:val="center"/>
          </w:tcPr>
          <w:p>
            <w:pPr>
              <w:rPr>
                <w:color w:val="auto"/>
                <w:sz w:val="21"/>
                <w:szCs w:val="21"/>
              </w:rPr>
            </w:pPr>
            <w:r>
              <w:rPr>
                <w:rFonts w:hint="eastAsia"/>
                <w:color w:val="auto"/>
                <w:sz w:val="21"/>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3" w:type="dxa"/>
            <w:noWrap w:val="0"/>
            <w:vAlign w:val="center"/>
          </w:tcPr>
          <w:p>
            <w:pPr>
              <w:rPr>
                <w:color w:val="auto"/>
                <w:sz w:val="21"/>
                <w:szCs w:val="21"/>
              </w:rPr>
            </w:pPr>
            <w:r>
              <w:rPr>
                <w:rFonts w:hint="eastAsia"/>
                <w:color w:val="auto"/>
                <w:sz w:val="21"/>
                <w:szCs w:val="21"/>
              </w:rPr>
              <w:t>2</w:t>
            </w:r>
          </w:p>
        </w:tc>
        <w:tc>
          <w:tcPr>
            <w:tcW w:w="1365" w:type="dxa"/>
            <w:noWrap w:val="0"/>
            <w:vAlign w:val="center"/>
          </w:tcPr>
          <w:p>
            <w:pPr>
              <w:rPr>
                <w:color w:val="auto"/>
                <w:sz w:val="21"/>
                <w:szCs w:val="21"/>
              </w:rPr>
            </w:pPr>
            <w:r>
              <w:rPr>
                <w:rFonts w:hint="eastAsia" w:ascii="宋体" w:hAnsi="宋体"/>
                <w:color w:val="auto"/>
                <w:sz w:val="21"/>
                <w:szCs w:val="21"/>
              </w:rPr>
              <w:t>双机热备集群软件</w:t>
            </w:r>
          </w:p>
        </w:tc>
        <w:tc>
          <w:tcPr>
            <w:tcW w:w="5608" w:type="dxa"/>
            <w:noWrap w:val="0"/>
            <w:vAlign w:val="center"/>
          </w:tcPr>
          <w:p>
            <w:pPr>
              <w:rPr>
                <w:rFonts w:ascii="宋体" w:hAnsi="宋体"/>
                <w:color w:val="auto"/>
                <w:sz w:val="21"/>
                <w:szCs w:val="21"/>
              </w:rPr>
            </w:pPr>
            <w:r>
              <w:rPr>
                <w:rFonts w:hint="eastAsia" w:ascii="宋体" w:hAnsi="宋体"/>
                <w:color w:val="auto"/>
                <w:sz w:val="21"/>
                <w:szCs w:val="21"/>
              </w:rPr>
              <w:t>★1、高可靠高可用：要求当主服务器发生故障时，用户业务和数据也可迅速切换到健康的备服务器上，从而保证了整个系统对外服务的正常。</w:t>
            </w:r>
          </w:p>
          <w:p>
            <w:pPr>
              <w:rPr>
                <w:rFonts w:ascii="宋体" w:hAnsi="宋体"/>
                <w:color w:val="auto"/>
                <w:sz w:val="21"/>
                <w:szCs w:val="21"/>
              </w:rPr>
            </w:pPr>
            <w:r>
              <w:rPr>
                <w:rFonts w:hint="eastAsia" w:ascii="宋体" w:hAnsi="宋体"/>
                <w:color w:val="auto"/>
                <w:sz w:val="21"/>
                <w:szCs w:val="21"/>
              </w:rPr>
              <w:t>2、多种心跳监测方式：要求支持网卡(私网/公网)、COM 口、磁盘心跳等多种心跳方式，多重保障心跳检测途径，进一步提高了系统的可靠性。</w:t>
            </w:r>
          </w:p>
          <w:p>
            <w:pPr>
              <w:rPr>
                <w:rFonts w:ascii="宋体" w:hAnsi="宋体"/>
                <w:color w:val="auto"/>
                <w:sz w:val="21"/>
                <w:szCs w:val="21"/>
              </w:rPr>
            </w:pPr>
            <w:r>
              <w:rPr>
                <w:rFonts w:hint="eastAsia" w:ascii="宋体" w:hAnsi="宋体"/>
                <w:color w:val="auto"/>
                <w:sz w:val="21"/>
                <w:szCs w:val="21"/>
              </w:rPr>
              <w:t>3、集群构成方式：支持共享、镜像、混合等多种集群构成方式。</w:t>
            </w:r>
          </w:p>
          <w:p>
            <w:pPr>
              <w:rPr>
                <w:rFonts w:ascii="宋体" w:hAnsi="宋体"/>
                <w:color w:val="auto"/>
                <w:sz w:val="21"/>
                <w:szCs w:val="21"/>
              </w:rPr>
            </w:pPr>
            <w:r>
              <w:rPr>
                <w:rFonts w:hint="eastAsia" w:ascii="宋体" w:hAnsi="宋体"/>
                <w:color w:val="auto"/>
                <w:sz w:val="21"/>
                <w:szCs w:val="21"/>
              </w:rPr>
              <w:t>4、差分镜像：支持差分备份和差分恢复技术，可直接对2台服务器的镜像盘中的差分数据进行同步和恢复，而不必通过全盘Copy，大幅缩短了镜像同步及恢复所需的时间，提高了镜像集群的性能。</w:t>
            </w:r>
          </w:p>
          <w:p>
            <w:pPr>
              <w:rPr>
                <w:rFonts w:ascii="宋体" w:hAnsi="宋体"/>
                <w:color w:val="auto"/>
                <w:sz w:val="21"/>
                <w:szCs w:val="21"/>
              </w:rPr>
            </w:pPr>
            <w:r>
              <w:rPr>
                <w:rFonts w:hint="eastAsia" w:ascii="宋体" w:hAnsi="宋体"/>
                <w:color w:val="auto"/>
                <w:sz w:val="21"/>
                <w:szCs w:val="21"/>
              </w:rPr>
              <w:t>5、多节点镜像：可以用一台服务器同时对多个节点进行镜像复制，实现多节点之间互为备份。利用多节点镜像技术，可以在不牺牲系统可靠性和性能的前提下，实现灵活配置，节省硬件投资。</w:t>
            </w:r>
          </w:p>
          <w:p>
            <w:pPr>
              <w:rPr>
                <w:rFonts w:ascii="宋体" w:hAnsi="宋体"/>
                <w:color w:val="auto"/>
                <w:sz w:val="21"/>
                <w:szCs w:val="21"/>
              </w:rPr>
            </w:pPr>
            <w:r>
              <w:rPr>
                <w:rFonts w:hint="eastAsia" w:ascii="宋体" w:hAnsi="宋体"/>
                <w:color w:val="auto"/>
                <w:sz w:val="21"/>
                <w:szCs w:val="21"/>
              </w:rPr>
              <w:t>6、多种集群工作模式：要求支持传统的单活(Active/Passive)、双活(Active/Active)，还支持N和N+1 多节点集群备份。</w:t>
            </w:r>
          </w:p>
          <w:p>
            <w:pPr>
              <w:rPr>
                <w:rFonts w:ascii="宋体" w:hAnsi="宋体"/>
                <w:color w:val="auto"/>
                <w:sz w:val="21"/>
                <w:szCs w:val="21"/>
              </w:rPr>
            </w:pPr>
            <w:r>
              <w:rPr>
                <w:rFonts w:hint="eastAsia" w:ascii="宋体" w:hAnsi="宋体"/>
                <w:color w:val="auto"/>
                <w:sz w:val="21"/>
                <w:szCs w:val="21"/>
              </w:rPr>
              <w:t>7、镜像集群的远程容灾：支持远程容灾备份功能，支持异地备份业务数据，同时还可以对软硬件资源进行监视，在主节点发生故障时，还能够自动在备份节点恢复业务。</w:t>
            </w:r>
          </w:p>
          <w:p>
            <w:pPr>
              <w:rPr>
                <w:rFonts w:ascii="宋体" w:hAnsi="宋体"/>
                <w:color w:val="auto"/>
                <w:sz w:val="21"/>
                <w:szCs w:val="21"/>
              </w:rPr>
            </w:pPr>
            <w:r>
              <w:rPr>
                <w:rFonts w:hint="eastAsia" w:ascii="宋体" w:hAnsi="宋体"/>
                <w:color w:val="auto"/>
                <w:sz w:val="21"/>
                <w:szCs w:val="21"/>
              </w:rPr>
              <w:t>8、支持虚拟技术：支持虚拟集群，要求既可以做虚拟机层级的高可用集群，也可以针对虚拟机上的业务构建高可用集群。</w:t>
            </w:r>
          </w:p>
          <w:p>
            <w:pPr>
              <w:rPr>
                <w:rFonts w:ascii="宋体" w:hAnsi="宋体"/>
                <w:color w:val="auto"/>
                <w:sz w:val="21"/>
                <w:szCs w:val="21"/>
              </w:rPr>
            </w:pPr>
            <w:r>
              <w:rPr>
                <w:rFonts w:hint="eastAsia" w:ascii="宋体" w:hAnsi="宋体"/>
                <w:color w:val="auto"/>
                <w:sz w:val="21"/>
                <w:szCs w:val="21"/>
              </w:rPr>
              <w:t>9、系统扩展性：伴随业务的扩大可动态追加集群的服务器节点，最多能扩展到32 个节点。</w:t>
            </w:r>
          </w:p>
          <w:p>
            <w:pPr>
              <w:rPr>
                <w:rFonts w:ascii="宋体" w:hAnsi="宋体"/>
                <w:color w:val="auto"/>
                <w:sz w:val="21"/>
                <w:szCs w:val="21"/>
              </w:rPr>
            </w:pPr>
            <w:r>
              <w:rPr>
                <w:rFonts w:hint="eastAsia" w:ascii="宋体" w:hAnsi="宋体"/>
                <w:color w:val="auto"/>
                <w:sz w:val="21"/>
                <w:szCs w:val="21"/>
              </w:rPr>
              <w:t>10、多平台支持：要求支持目前国内几乎所有主流的Windows 和Linux 操作系统平台，如WindowsNT/2000/2003，Novell，RedHat，Turbolinux，Miracle Linux， SuseLinux，RedFlag 等。</w:t>
            </w:r>
          </w:p>
          <w:p>
            <w:pPr>
              <w:rPr>
                <w:rFonts w:ascii="宋体" w:hAnsi="宋体"/>
                <w:color w:val="auto"/>
                <w:sz w:val="21"/>
                <w:szCs w:val="21"/>
              </w:rPr>
            </w:pPr>
            <w:r>
              <w:rPr>
                <w:rFonts w:hint="eastAsia" w:ascii="宋体" w:hAnsi="宋体"/>
                <w:color w:val="auto"/>
                <w:sz w:val="21"/>
                <w:szCs w:val="21"/>
              </w:rPr>
              <w:t>11、支持多种应用保护：要求可以保护大量的应用程序和服务，几乎涵盖了目前Windows和Linux 平台上所有主流的应用和服务，如Oracle、SQLServer、DB2、Sybase、Postgre SQL、PowerGres、MySQL、Exchange Server、Appache、Samba 等。除了这些主流的应用和服务，还可以保护用户自己开发的应用程序和服务。</w:t>
            </w:r>
          </w:p>
          <w:p>
            <w:pPr>
              <w:rPr>
                <w:color w:val="auto"/>
                <w:sz w:val="21"/>
                <w:szCs w:val="21"/>
              </w:rPr>
            </w:pPr>
            <w:r>
              <w:rPr>
                <w:rFonts w:hint="eastAsia" w:ascii="宋体" w:hAnsi="宋体"/>
                <w:color w:val="auto"/>
                <w:sz w:val="21"/>
                <w:szCs w:val="21"/>
              </w:rPr>
              <w:t>★12、为了提高双机集群与服务器稳定兼容，双机集群软件要求与服务器同品牌。</w:t>
            </w:r>
          </w:p>
        </w:tc>
        <w:tc>
          <w:tcPr>
            <w:tcW w:w="850" w:type="dxa"/>
            <w:noWrap w:val="0"/>
            <w:vAlign w:val="center"/>
          </w:tcPr>
          <w:p>
            <w:pPr>
              <w:rPr>
                <w:color w:val="auto"/>
                <w:sz w:val="21"/>
                <w:szCs w:val="21"/>
              </w:rPr>
            </w:pPr>
            <w:r>
              <w:rPr>
                <w:rFonts w:hint="eastAsia"/>
                <w:color w:val="auto"/>
                <w:sz w:val="21"/>
                <w:szCs w:val="21"/>
              </w:rPr>
              <w:t>1</w:t>
            </w:r>
          </w:p>
        </w:tc>
        <w:tc>
          <w:tcPr>
            <w:tcW w:w="851" w:type="dxa"/>
            <w:noWrap w:val="0"/>
            <w:vAlign w:val="center"/>
          </w:tcPr>
          <w:p>
            <w:pPr>
              <w:rPr>
                <w:color w:val="auto"/>
                <w:sz w:val="21"/>
                <w:szCs w:val="21"/>
              </w:rPr>
            </w:pPr>
            <w:r>
              <w:rPr>
                <w:rFonts w:hint="eastAsia"/>
                <w:color w:val="auto"/>
                <w:sz w:val="21"/>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3" w:type="dxa"/>
            <w:noWrap w:val="0"/>
            <w:vAlign w:val="center"/>
          </w:tcPr>
          <w:p>
            <w:pPr>
              <w:rPr>
                <w:color w:val="auto"/>
                <w:sz w:val="21"/>
                <w:szCs w:val="21"/>
              </w:rPr>
            </w:pPr>
            <w:r>
              <w:rPr>
                <w:rFonts w:hint="eastAsia"/>
                <w:color w:val="auto"/>
                <w:sz w:val="21"/>
                <w:szCs w:val="21"/>
              </w:rPr>
              <w:t>3</w:t>
            </w:r>
          </w:p>
        </w:tc>
        <w:tc>
          <w:tcPr>
            <w:tcW w:w="1365" w:type="dxa"/>
            <w:noWrap w:val="0"/>
            <w:vAlign w:val="center"/>
          </w:tcPr>
          <w:p>
            <w:pPr>
              <w:rPr>
                <w:color w:val="auto"/>
                <w:sz w:val="21"/>
                <w:szCs w:val="21"/>
              </w:rPr>
            </w:pPr>
            <w:r>
              <w:rPr>
                <w:rFonts w:ascii="宋体" w:hAnsi="宋体"/>
                <w:color w:val="auto"/>
                <w:sz w:val="21"/>
                <w:szCs w:val="21"/>
              </w:rPr>
              <w:t>交换机</w:t>
            </w:r>
            <w:r>
              <w:rPr>
                <w:rFonts w:hint="eastAsia" w:ascii="宋体" w:hAnsi="宋体"/>
                <w:color w:val="auto"/>
                <w:sz w:val="21"/>
                <w:szCs w:val="21"/>
              </w:rPr>
              <w:t>1</w:t>
            </w:r>
          </w:p>
        </w:tc>
        <w:tc>
          <w:tcPr>
            <w:tcW w:w="5608" w:type="dxa"/>
            <w:noWrap w:val="0"/>
            <w:vAlign w:val="center"/>
          </w:tcPr>
          <w:p>
            <w:pPr>
              <w:rPr>
                <w:color w:val="auto"/>
                <w:sz w:val="21"/>
                <w:szCs w:val="21"/>
              </w:rPr>
            </w:pPr>
            <w:r>
              <w:rPr>
                <w:rFonts w:hint="eastAsia" w:ascii="宋体" w:hAnsi="宋体"/>
                <w:color w:val="auto"/>
                <w:sz w:val="21"/>
                <w:szCs w:val="21"/>
              </w:rPr>
              <w:t>★24个千兆电口，4个光口，交换容量 336Gbps，包转发率 126Mpps，支持4K个VLAN，支持源MAC地址过滤，★支持静态路由、GVRP、RIPv1/2、RIPng、OSPF等协议支持网管，支持VLAN隔离，支持防环功能等，★配置1个千兆单模模块。</w:t>
            </w:r>
          </w:p>
        </w:tc>
        <w:tc>
          <w:tcPr>
            <w:tcW w:w="850" w:type="dxa"/>
            <w:noWrap w:val="0"/>
            <w:vAlign w:val="center"/>
          </w:tcPr>
          <w:p>
            <w:pPr>
              <w:rPr>
                <w:color w:val="auto"/>
                <w:sz w:val="21"/>
                <w:szCs w:val="21"/>
              </w:rPr>
            </w:pPr>
            <w:r>
              <w:rPr>
                <w:rFonts w:hint="eastAsia"/>
                <w:color w:val="auto"/>
                <w:sz w:val="21"/>
                <w:szCs w:val="21"/>
              </w:rPr>
              <w:t>4</w:t>
            </w:r>
          </w:p>
        </w:tc>
        <w:tc>
          <w:tcPr>
            <w:tcW w:w="851" w:type="dxa"/>
            <w:noWrap w:val="0"/>
            <w:vAlign w:val="center"/>
          </w:tcPr>
          <w:p>
            <w:pPr>
              <w:rPr>
                <w:color w:val="auto"/>
                <w:sz w:val="21"/>
                <w:szCs w:val="21"/>
              </w:rPr>
            </w:pPr>
            <w:r>
              <w:rPr>
                <w:rFonts w:hint="eastAsia"/>
                <w:color w:val="auto"/>
                <w:sz w:val="21"/>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3" w:type="dxa"/>
            <w:noWrap w:val="0"/>
            <w:vAlign w:val="center"/>
          </w:tcPr>
          <w:p>
            <w:pPr>
              <w:rPr>
                <w:color w:val="auto"/>
                <w:sz w:val="21"/>
                <w:szCs w:val="21"/>
              </w:rPr>
            </w:pPr>
            <w:r>
              <w:rPr>
                <w:rFonts w:hint="eastAsia"/>
                <w:color w:val="auto"/>
                <w:sz w:val="21"/>
                <w:szCs w:val="21"/>
              </w:rPr>
              <w:t>4</w:t>
            </w:r>
          </w:p>
        </w:tc>
        <w:tc>
          <w:tcPr>
            <w:tcW w:w="1365" w:type="dxa"/>
            <w:noWrap w:val="0"/>
            <w:vAlign w:val="center"/>
          </w:tcPr>
          <w:p>
            <w:pPr>
              <w:rPr>
                <w:color w:val="auto"/>
                <w:sz w:val="21"/>
                <w:szCs w:val="21"/>
              </w:rPr>
            </w:pPr>
            <w:r>
              <w:rPr>
                <w:rFonts w:ascii="宋体" w:hAnsi="宋体"/>
                <w:color w:val="auto"/>
                <w:sz w:val="21"/>
                <w:szCs w:val="21"/>
              </w:rPr>
              <w:t>交换机</w:t>
            </w:r>
            <w:r>
              <w:rPr>
                <w:rFonts w:hint="eastAsia" w:ascii="宋体" w:hAnsi="宋体"/>
                <w:color w:val="auto"/>
                <w:sz w:val="21"/>
                <w:szCs w:val="21"/>
              </w:rPr>
              <w:t>2</w:t>
            </w:r>
          </w:p>
        </w:tc>
        <w:tc>
          <w:tcPr>
            <w:tcW w:w="5608" w:type="dxa"/>
            <w:noWrap w:val="0"/>
            <w:vAlign w:val="center"/>
          </w:tcPr>
          <w:p>
            <w:pPr>
              <w:rPr>
                <w:color w:val="auto"/>
                <w:sz w:val="21"/>
                <w:szCs w:val="21"/>
              </w:rPr>
            </w:pPr>
            <w:r>
              <w:rPr>
                <w:rFonts w:hint="eastAsia" w:ascii="宋体" w:hAnsi="宋体"/>
                <w:color w:val="auto"/>
                <w:sz w:val="21"/>
                <w:szCs w:val="21"/>
              </w:rPr>
              <w:t>★48个千兆电口，4个光口，交换容量 336Gbps，包转发率 126Mpps，支持4K个VLAN，支持源MAC地址过滤，★支持静态路由、GVRP、RIPv1/2、RIPng、OSPF等协议支持网管，支持VLAN隔离，支持防环功能等，★配置1个千兆单模模块。</w:t>
            </w:r>
          </w:p>
        </w:tc>
        <w:tc>
          <w:tcPr>
            <w:tcW w:w="850" w:type="dxa"/>
            <w:noWrap w:val="0"/>
            <w:vAlign w:val="center"/>
          </w:tcPr>
          <w:p>
            <w:pPr>
              <w:rPr>
                <w:color w:val="auto"/>
                <w:sz w:val="21"/>
                <w:szCs w:val="21"/>
              </w:rPr>
            </w:pPr>
            <w:r>
              <w:rPr>
                <w:rFonts w:hint="eastAsia"/>
                <w:color w:val="auto"/>
                <w:sz w:val="21"/>
                <w:szCs w:val="21"/>
              </w:rPr>
              <w:t>10</w:t>
            </w:r>
          </w:p>
        </w:tc>
        <w:tc>
          <w:tcPr>
            <w:tcW w:w="851" w:type="dxa"/>
            <w:noWrap w:val="0"/>
            <w:vAlign w:val="center"/>
          </w:tcPr>
          <w:p>
            <w:pPr>
              <w:rPr>
                <w:color w:val="auto"/>
                <w:sz w:val="21"/>
                <w:szCs w:val="21"/>
              </w:rPr>
            </w:pPr>
            <w:r>
              <w:rPr>
                <w:rFonts w:hint="eastAsia"/>
                <w:color w:val="auto"/>
                <w:sz w:val="21"/>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3" w:type="dxa"/>
            <w:noWrap w:val="0"/>
            <w:vAlign w:val="center"/>
          </w:tcPr>
          <w:p>
            <w:pPr>
              <w:rPr>
                <w:color w:val="auto"/>
                <w:sz w:val="21"/>
                <w:szCs w:val="21"/>
              </w:rPr>
            </w:pPr>
            <w:r>
              <w:rPr>
                <w:rFonts w:hint="eastAsia"/>
                <w:color w:val="auto"/>
                <w:sz w:val="21"/>
                <w:szCs w:val="21"/>
              </w:rPr>
              <w:t>5</w:t>
            </w:r>
          </w:p>
        </w:tc>
        <w:tc>
          <w:tcPr>
            <w:tcW w:w="1365" w:type="dxa"/>
            <w:noWrap w:val="0"/>
            <w:vAlign w:val="center"/>
          </w:tcPr>
          <w:p>
            <w:pPr>
              <w:rPr>
                <w:color w:val="auto"/>
                <w:sz w:val="21"/>
                <w:szCs w:val="21"/>
              </w:rPr>
            </w:pPr>
            <w:r>
              <w:rPr>
                <w:rFonts w:hint="eastAsia" w:ascii="宋体" w:hAnsi="宋体"/>
                <w:color w:val="auto"/>
                <w:sz w:val="21"/>
                <w:szCs w:val="21"/>
              </w:rPr>
              <w:t>投影系统（含投影机、幕布、支架）</w:t>
            </w:r>
          </w:p>
        </w:tc>
        <w:tc>
          <w:tcPr>
            <w:tcW w:w="5608" w:type="dxa"/>
            <w:noWrap w:val="0"/>
            <w:vAlign w:val="center"/>
          </w:tcPr>
          <w:p>
            <w:pPr>
              <w:rPr>
                <w:color w:val="auto"/>
                <w:sz w:val="21"/>
                <w:szCs w:val="21"/>
              </w:rPr>
            </w:pPr>
            <w:r>
              <w:rPr>
                <w:rFonts w:hint="eastAsia"/>
                <w:color w:val="auto"/>
                <w:sz w:val="21"/>
                <w:szCs w:val="21"/>
              </w:rPr>
              <w:t xml:space="preserve">1、★显示技术： 3LCD技术 </w:t>
            </w:r>
            <w:r>
              <w:rPr>
                <w:rFonts w:hint="eastAsia"/>
                <w:color w:val="auto"/>
                <w:sz w:val="21"/>
                <w:szCs w:val="21"/>
              </w:rPr>
              <w:cr/>
            </w:r>
            <w:r>
              <w:rPr>
                <w:rFonts w:hint="eastAsia"/>
                <w:color w:val="auto"/>
                <w:sz w:val="21"/>
                <w:szCs w:val="21"/>
              </w:rPr>
              <w:t>2、★液晶板： 0.79 英寸 BrightEra 无机液晶面板</w:t>
            </w:r>
            <w:r>
              <w:rPr>
                <w:rFonts w:hint="eastAsia"/>
                <w:color w:val="auto"/>
                <w:sz w:val="21"/>
                <w:szCs w:val="21"/>
              </w:rPr>
              <w:cr/>
            </w:r>
            <w:r>
              <w:rPr>
                <w:rFonts w:hint="eastAsia"/>
                <w:color w:val="auto"/>
                <w:sz w:val="21"/>
                <w:szCs w:val="21"/>
              </w:rPr>
              <w:t>3、★变焦: 1.6倍  聚焦:手动；横纵比4:3；</w:t>
            </w:r>
          </w:p>
          <w:p>
            <w:pPr>
              <w:rPr>
                <w:color w:val="auto"/>
                <w:sz w:val="21"/>
                <w:szCs w:val="21"/>
              </w:rPr>
            </w:pPr>
            <w:r>
              <w:rPr>
                <w:rFonts w:hint="eastAsia"/>
                <w:color w:val="auto"/>
                <w:sz w:val="21"/>
                <w:szCs w:val="21"/>
              </w:rPr>
              <w:t xml:space="preserve">4、亮度：≥5000流明； </w:t>
            </w:r>
          </w:p>
          <w:p>
            <w:pPr>
              <w:rPr>
                <w:color w:val="auto"/>
                <w:sz w:val="21"/>
                <w:szCs w:val="21"/>
              </w:rPr>
            </w:pPr>
            <w:r>
              <w:rPr>
                <w:rFonts w:hint="eastAsia"/>
                <w:color w:val="auto"/>
                <w:sz w:val="21"/>
                <w:szCs w:val="21"/>
              </w:rPr>
              <w:t>5、分辨率：XGA（1024*768）;</w:t>
            </w:r>
            <w:r>
              <w:rPr>
                <w:rFonts w:hint="eastAsia"/>
                <w:color w:val="auto"/>
                <w:sz w:val="21"/>
                <w:szCs w:val="21"/>
              </w:rPr>
              <w:cr/>
            </w:r>
            <w:r>
              <w:rPr>
                <w:rFonts w:hint="eastAsia"/>
                <w:color w:val="auto"/>
                <w:sz w:val="21"/>
                <w:szCs w:val="21"/>
              </w:rPr>
              <w:t>6、光源：≥275W高压汞灯泡；灯泡寿命：≥4000小时(标准模式)</w:t>
            </w:r>
          </w:p>
          <w:p>
            <w:pPr>
              <w:rPr>
                <w:color w:val="auto"/>
                <w:sz w:val="21"/>
                <w:szCs w:val="21"/>
              </w:rPr>
            </w:pPr>
            <w:r>
              <w:rPr>
                <w:rFonts w:hint="eastAsia"/>
                <w:color w:val="auto"/>
                <w:sz w:val="21"/>
                <w:szCs w:val="21"/>
              </w:rPr>
              <w:t>7、★镜头位移:手动,纵向:向上51%--向下0%/横向:向右33%-向左33%；</w:t>
            </w:r>
          </w:p>
          <w:p>
            <w:pPr>
              <w:rPr>
                <w:color w:val="auto"/>
                <w:sz w:val="21"/>
                <w:szCs w:val="21"/>
              </w:rPr>
            </w:pPr>
            <w:r>
              <w:rPr>
                <w:rFonts w:hint="eastAsia"/>
                <w:color w:val="auto"/>
                <w:sz w:val="21"/>
                <w:szCs w:val="21"/>
              </w:rPr>
              <w:t>8、★12比特3D数字伽玛校正，居中的镜头设计，镜头为大直径密间距的全阵列高清晰聚焦镜头。</w:t>
            </w:r>
          </w:p>
          <w:p>
            <w:pPr>
              <w:rPr>
                <w:color w:val="auto"/>
                <w:sz w:val="21"/>
                <w:szCs w:val="21"/>
              </w:rPr>
            </w:pPr>
            <w:r>
              <w:rPr>
                <w:rFonts w:hint="eastAsia"/>
                <w:color w:val="auto"/>
                <w:sz w:val="21"/>
                <w:szCs w:val="21"/>
              </w:rPr>
              <w:t>9、★四重过滤网系统，高效防尘；可以画面屏蔽和静音；数字变焦局部放大图片；画面冻结；智能APA像素调整。</w:t>
            </w:r>
          </w:p>
          <w:p>
            <w:pPr>
              <w:rPr>
                <w:color w:val="auto"/>
                <w:sz w:val="21"/>
                <w:szCs w:val="21"/>
              </w:rPr>
            </w:pPr>
            <w:r>
              <w:rPr>
                <w:rFonts w:hint="eastAsia"/>
                <w:color w:val="auto"/>
                <w:sz w:val="21"/>
                <w:szCs w:val="21"/>
              </w:rPr>
              <w:t>10、垂直梯形校正:最大﹢/-30°；重量≥7.9KG</w:t>
            </w:r>
          </w:p>
          <w:p>
            <w:pPr>
              <w:rPr>
                <w:color w:val="auto"/>
                <w:sz w:val="21"/>
                <w:szCs w:val="21"/>
              </w:rPr>
            </w:pPr>
            <w:r>
              <w:rPr>
                <w:rFonts w:hint="eastAsia"/>
                <w:color w:val="auto"/>
                <w:sz w:val="21"/>
                <w:szCs w:val="21"/>
              </w:rPr>
              <w:t>11、★产品定位：专业级工程机。</w:t>
            </w:r>
          </w:p>
          <w:p>
            <w:pPr>
              <w:rPr>
                <w:color w:val="auto"/>
                <w:sz w:val="21"/>
                <w:szCs w:val="21"/>
              </w:rPr>
            </w:pPr>
            <w:r>
              <w:rPr>
                <w:rFonts w:hint="eastAsia"/>
                <w:color w:val="auto"/>
                <w:sz w:val="21"/>
                <w:szCs w:val="21"/>
              </w:rPr>
              <w:t>12、★可更换镜头，多角度镜头位移，智能APA图像调整，画面清晰</w:t>
            </w:r>
          </w:p>
          <w:p>
            <w:pPr>
              <w:jc w:val="left"/>
              <w:rPr>
                <w:color w:val="auto"/>
                <w:sz w:val="21"/>
                <w:szCs w:val="21"/>
              </w:rPr>
            </w:pPr>
            <w:r>
              <w:rPr>
                <w:rFonts w:hint="eastAsia"/>
                <w:color w:val="auto"/>
                <w:sz w:val="21"/>
                <w:szCs w:val="21"/>
              </w:rPr>
              <w:t>13局域网络控制功能，可实现电脑对投影机的网络监控；</w:t>
            </w:r>
          </w:p>
          <w:p>
            <w:pPr>
              <w:rPr>
                <w:color w:val="auto"/>
                <w:sz w:val="21"/>
                <w:szCs w:val="21"/>
              </w:rPr>
            </w:pPr>
            <w:r>
              <w:rPr>
                <w:rFonts w:hint="eastAsia"/>
                <w:color w:val="auto"/>
                <w:sz w:val="21"/>
                <w:szCs w:val="21"/>
              </w:rPr>
              <w:t>14、备注：</w:t>
            </w:r>
          </w:p>
          <w:p>
            <w:pPr>
              <w:rPr>
                <w:color w:val="auto"/>
                <w:sz w:val="21"/>
                <w:szCs w:val="21"/>
              </w:rPr>
            </w:pPr>
            <w:r>
              <w:rPr>
                <w:rFonts w:hint="eastAsia"/>
                <w:color w:val="auto"/>
                <w:sz w:val="21"/>
                <w:szCs w:val="21"/>
              </w:rPr>
              <w:t>1）★</w:t>
            </w:r>
            <w:r>
              <w:rPr>
                <w:rFonts w:hint="eastAsia"/>
                <w:color w:val="auto"/>
                <w:sz w:val="21"/>
                <w:szCs w:val="21"/>
              </w:rPr>
              <w:t>提供所投产品的第三方机构出具的检测报告复印件</w:t>
            </w:r>
            <w:r>
              <w:rPr>
                <w:rFonts w:hint="eastAsia"/>
                <w:color w:val="auto"/>
                <w:sz w:val="21"/>
                <w:szCs w:val="21"/>
              </w:rPr>
              <w:t>以及</w:t>
            </w:r>
            <w:r>
              <w:rPr>
                <w:rFonts w:hint="eastAsia"/>
                <w:color w:val="auto"/>
                <w:sz w:val="21"/>
                <w:szCs w:val="21"/>
              </w:rPr>
              <w:t>有效期内的</w:t>
            </w:r>
            <w:r>
              <w:rPr>
                <w:rFonts w:hint="eastAsia"/>
                <w:color w:val="auto"/>
                <w:sz w:val="21"/>
                <w:szCs w:val="21"/>
              </w:rPr>
              <w:t>节能认证证书复印件</w:t>
            </w:r>
          </w:p>
          <w:p>
            <w:pPr>
              <w:pStyle w:val="2"/>
              <w:rPr>
                <w:color w:val="auto"/>
                <w:sz w:val="21"/>
                <w:szCs w:val="21"/>
              </w:rPr>
            </w:pPr>
            <w:r>
              <w:rPr>
                <w:rFonts w:hint="eastAsia"/>
                <w:color w:val="auto"/>
                <w:sz w:val="21"/>
                <w:szCs w:val="21"/>
              </w:rPr>
              <w:t>2）、</w:t>
            </w:r>
            <w:r>
              <w:rPr>
                <w:rFonts w:hint="eastAsia"/>
                <w:color w:val="auto"/>
                <w:sz w:val="21"/>
                <w:szCs w:val="21"/>
              </w:rPr>
              <w:t>★</w:t>
            </w:r>
            <w:r>
              <w:rPr>
                <w:rFonts w:hint="eastAsia"/>
                <w:color w:val="auto"/>
                <w:sz w:val="21"/>
                <w:szCs w:val="21"/>
              </w:rPr>
              <w:t>提供符合产品性能的证明文件（彩页及</w:t>
            </w:r>
            <w:r>
              <w:rPr>
                <w:rFonts w:hint="eastAsia" w:ascii="宋体" w:hAnsi="宋体"/>
                <w:color w:val="auto"/>
                <w:sz w:val="21"/>
                <w:szCs w:val="21"/>
              </w:rPr>
              <w:t>功能截图</w:t>
            </w:r>
            <w:r>
              <w:rPr>
                <w:rFonts w:hint="eastAsia"/>
                <w:color w:val="auto"/>
                <w:sz w:val="21"/>
                <w:szCs w:val="21"/>
              </w:rPr>
              <w:t>）</w:t>
            </w:r>
          </w:p>
          <w:p>
            <w:pPr>
              <w:rPr>
                <w:color w:val="auto"/>
                <w:sz w:val="21"/>
                <w:szCs w:val="21"/>
              </w:rPr>
            </w:pPr>
            <w:r>
              <w:rPr>
                <w:rFonts w:hint="eastAsia"/>
                <w:color w:val="auto"/>
                <w:sz w:val="21"/>
                <w:szCs w:val="21"/>
              </w:rPr>
              <w:t>3）、★产品质保承诺：整机三年灯泡一年，并提供售后服务承诺书原件。</w:t>
            </w:r>
          </w:p>
        </w:tc>
        <w:tc>
          <w:tcPr>
            <w:tcW w:w="850" w:type="dxa"/>
            <w:noWrap w:val="0"/>
            <w:vAlign w:val="center"/>
          </w:tcPr>
          <w:p>
            <w:pPr>
              <w:rPr>
                <w:color w:val="auto"/>
                <w:sz w:val="21"/>
                <w:szCs w:val="21"/>
              </w:rPr>
            </w:pPr>
            <w:r>
              <w:rPr>
                <w:rFonts w:hint="eastAsia"/>
                <w:color w:val="auto"/>
                <w:sz w:val="21"/>
                <w:szCs w:val="21"/>
              </w:rPr>
              <w:t>3</w:t>
            </w:r>
          </w:p>
        </w:tc>
        <w:tc>
          <w:tcPr>
            <w:tcW w:w="851" w:type="dxa"/>
            <w:noWrap w:val="0"/>
            <w:vAlign w:val="center"/>
          </w:tcPr>
          <w:p>
            <w:pPr>
              <w:rPr>
                <w:color w:val="auto"/>
                <w:sz w:val="21"/>
                <w:szCs w:val="21"/>
              </w:rPr>
            </w:pPr>
            <w:r>
              <w:rPr>
                <w:rFonts w:hint="eastAsia"/>
                <w:color w:val="auto"/>
                <w:sz w:val="21"/>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3" w:type="dxa"/>
            <w:noWrap w:val="0"/>
            <w:vAlign w:val="center"/>
          </w:tcPr>
          <w:p>
            <w:pPr>
              <w:rPr>
                <w:color w:val="auto"/>
                <w:sz w:val="21"/>
                <w:szCs w:val="21"/>
              </w:rPr>
            </w:pPr>
            <w:r>
              <w:rPr>
                <w:rFonts w:hint="eastAsia"/>
                <w:color w:val="auto"/>
                <w:sz w:val="21"/>
                <w:szCs w:val="21"/>
              </w:rPr>
              <w:t>6</w:t>
            </w:r>
          </w:p>
        </w:tc>
        <w:tc>
          <w:tcPr>
            <w:tcW w:w="1365" w:type="dxa"/>
            <w:noWrap w:val="0"/>
            <w:vAlign w:val="center"/>
          </w:tcPr>
          <w:p>
            <w:pPr>
              <w:rPr>
                <w:color w:val="auto"/>
                <w:sz w:val="21"/>
                <w:szCs w:val="21"/>
              </w:rPr>
            </w:pPr>
            <w:r>
              <w:rPr>
                <w:rFonts w:hint="eastAsia"/>
                <w:color w:val="auto"/>
                <w:sz w:val="21"/>
                <w:szCs w:val="21"/>
              </w:rPr>
              <w:t>安装调试</w:t>
            </w:r>
          </w:p>
        </w:tc>
        <w:tc>
          <w:tcPr>
            <w:tcW w:w="5608" w:type="dxa"/>
            <w:noWrap w:val="0"/>
            <w:vAlign w:val="center"/>
          </w:tcPr>
          <w:p>
            <w:pPr>
              <w:rPr>
                <w:color w:val="auto"/>
                <w:sz w:val="21"/>
                <w:szCs w:val="21"/>
              </w:rPr>
            </w:pPr>
            <w:r>
              <w:rPr>
                <w:rFonts w:hint="eastAsia" w:ascii="宋体" w:hAnsi="宋体"/>
                <w:color w:val="auto"/>
                <w:sz w:val="21"/>
                <w:szCs w:val="21"/>
              </w:rPr>
              <w:t>包括新旧设备间的数据迁移、安装调试及所需的所有辅材、系统集成与施工</w:t>
            </w:r>
          </w:p>
        </w:tc>
        <w:tc>
          <w:tcPr>
            <w:tcW w:w="850" w:type="dxa"/>
            <w:noWrap w:val="0"/>
            <w:vAlign w:val="center"/>
          </w:tcPr>
          <w:p>
            <w:pPr>
              <w:rPr>
                <w:color w:val="auto"/>
                <w:sz w:val="21"/>
                <w:szCs w:val="21"/>
              </w:rPr>
            </w:pPr>
            <w:r>
              <w:rPr>
                <w:rFonts w:hint="eastAsia"/>
                <w:color w:val="auto"/>
                <w:sz w:val="21"/>
                <w:szCs w:val="21"/>
              </w:rPr>
              <w:t>1</w:t>
            </w:r>
          </w:p>
        </w:tc>
        <w:tc>
          <w:tcPr>
            <w:tcW w:w="851" w:type="dxa"/>
            <w:noWrap w:val="0"/>
            <w:vAlign w:val="center"/>
          </w:tcPr>
          <w:p>
            <w:pPr>
              <w:rPr>
                <w:color w:val="auto"/>
                <w:sz w:val="21"/>
                <w:szCs w:val="21"/>
              </w:rPr>
            </w:pPr>
            <w:r>
              <w:rPr>
                <w:rFonts w:hint="eastAsia"/>
                <w:color w:val="auto"/>
                <w:sz w:val="21"/>
                <w:szCs w:val="21"/>
              </w:rPr>
              <w:t>批</w:t>
            </w:r>
          </w:p>
        </w:tc>
      </w:tr>
    </w:tbl>
    <w:p>
      <w:pPr>
        <w:ind w:firstLine="420" w:firstLineChars="200"/>
        <w:rPr>
          <w:rFonts w:ascii="宋体" w:hAnsi="宋体"/>
          <w:color w:val="auto"/>
          <w:sz w:val="21"/>
          <w:szCs w:val="21"/>
        </w:rPr>
      </w:pPr>
    </w:p>
    <w:p>
      <w:pPr>
        <w:ind w:firstLine="422" w:firstLineChars="200"/>
        <w:rPr>
          <w:rFonts w:ascii="宋体" w:hAnsi="宋体"/>
          <w:b/>
          <w:color w:val="auto"/>
          <w:sz w:val="21"/>
          <w:szCs w:val="21"/>
        </w:rPr>
      </w:pPr>
      <w:r>
        <w:rPr>
          <w:rFonts w:hint="eastAsia" w:ascii="宋体" w:hAnsi="宋体"/>
          <w:b/>
          <w:color w:val="auto"/>
          <w:sz w:val="21"/>
          <w:szCs w:val="21"/>
        </w:rPr>
        <w:t xml:space="preserve"> 2.售后服务要求：</w:t>
      </w:r>
    </w:p>
    <w:p>
      <w:pPr>
        <w:widowControl/>
        <w:spacing w:line="360" w:lineRule="auto"/>
        <w:ind w:firstLine="420" w:firstLineChars="200"/>
        <w:textAlignment w:val="center"/>
        <w:rPr>
          <w:rFonts w:ascii="宋体" w:hAnsi="宋体"/>
          <w:bCs/>
          <w:color w:val="auto"/>
          <w:sz w:val="21"/>
          <w:szCs w:val="21"/>
        </w:rPr>
      </w:pPr>
      <w:r>
        <w:rPr>
          <w:rFonts w:hint="eastAsia" w:ascii="宋体" w:hAnsi="宋体"/>
          <w:bCs/>
          <w:color w:val="auto"/>
          <w:sz w:val="21"/>
          <w:szCs w:val="21"/>
        </w:rPr>
        <w:t>提供不少于1年的免费维修及终身技术支持服务，技术支持包括现场支持、电话支持、远程操控指导，接到需求应在48小时内到位；②教师培训：在设备到货安装调试时对教师进行不少于2天的培训；③属于保修范围、内容的项目，承包人应当在接到保修通知之日起 1小时内作出响应，并在8小时内完成保修。承包人不在约定期限内派人保修的，发包人可以委托他人修理，产生在维修费用由承包人承担；④发生紧急事故需抢修的，承包人在接到事故通知后，应当立即到达事故现场抢修；</w:t>
      </w:r>
      <w:r>
        <w:rPr>
          <w:rFonts w:hint="eastAsia" w:ascii="宋体" w:hAnsi="宋体" w:cs="宋体"/>
          <w:bCs/>
          <w:color w:val="auto"/>
          <w:sz w:val="21"/>
          <w:szCs w:val="21"/>
        </w:rPr>
        <w:t>⑤</w:t>
      </w:r>
      <w:r>
        <w:rPr>
          <w:rFonts w:hint="eastAsia" w:ascii="宋体" w:hAnsi="宋体"/>
          <w:bCs/>
          <w:color w:val="auto"/>
          <w:sz w:val="21"/>
          <w:szCs w:val="21"/>
        </w:rPr>
        <w:t>质保期内，须提供至少每年2次的回访服务。</w:t>
      </w:r>
    </w:p>
    <w:p>
      <w:pPr>
        <w:pStyle w:val="9"/>
        <w:adjustRightInd/>
        <w:spacing w:line="360" w:lineRule="auto"/>
        <w:ind w:firstLine="560"/>
        <w:jc w:val="both"/>
        <w:rPr>
          <w:rFonts w:cs="华文仿宋"/>
          <w:bCs/>
          <w:color w:val="auto"/>
          <w:sz w:val="21"/>
          <w:szCs w:val="21"/>
        </w:rPr>
      </w:pPr>
    </w:p>
    <w:p>
      <w:pPr>
        <w:numPr>
          <w:ilvl w:val="0"/>
          <w:numId w:val="0"/>
        </w:numPr>
        <w:rPr>
          <w:rFonts w:hint="eastAsia"/>
          <w:color w:val="auto"/>
          <w:sz w:val="21"/>
          <w:szCs w:val="21"/>
          <w:lang w:val="en-US" w:eastAsia="zh-CN"/>
        </w:rPr>
      </w:pPr>
    </w:p>
    <w:p>
      <w:pPr>
        <w:numPr>
          <w:ilvl w:val="0"/>
          <w:numId w:val="0"/>
        </w:numPr>
        <w:rPr>
          <w:rFonts w:hint="eastAsia"/>
          <w:color w:val="auto"/>
          <w:sz w:val="21"/>
          <w:szCs w:val="21"/>
          <w:lang w:val="en-US" w:eastAsia="zh-CN"/>
        </w:rPr>
      </w:pPr>
    </w:p>
    <w:p>
      <w:pPr>
        <w:numPr>
          <w:ilvl w:val="0"/>
          <w:numId w:val="1"/>
        </w:numPr>
        <w:rPr>
          <w:rFonts w:hint="eastAsia"/>
          <w:color w:val="auto"/>
          <w:sz w:val="21"/>
          <w:szCs w:val="21"/>
          <w:lang w:val="en-US" w:eastAsia="zh-CN"/>
        </w:rPr>
      </w:pPr>
      <w:r>
        <w:rPr>
          <w:rFonts w:hint="eastAsia"/>
          <w:color w:val="auto"/>
          <w:sz w:val="21"/>
          <w:szCs w:val="21"/>
          <w:lang w:val="en-US" w:eastAsia="zh-CN"/>
        </w:rPr>
        <w:t>评标办法</w:t>
      </w:r>
    </w:p>
    <w:tbl>
      <w:tblPr>
        <w:tblStyle w:val="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47"/>
        <w:gridCol w:w="1341"/>
        <w:gridCol w:w="4374"/>
        <w:gridCol w:w="1934"/>
        <w:gridCol w:w="94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 w:hRule="atLeast"/>
          <w:jc w:val="center"/>
        </w:trPr>
        <w:tc>
          <w:tcPr>
            <w:tcW w:w="1847" w:type="dxa"/>
            <w:noWrap w:val="0"/>
            <w:vAlign w:val="center"/>
          </w:tcPr>
          <w:p>
            <w:pPr>
              <w:adjustRightInd w:val="0"/>
              <w:snapToGrid w:val="0"/>
              <w:spacing w:before="100" w:beforeAutospacing="1" w:after="100" w:afterAutospacing="1"/>
              <w:jc w:val="center"/>
              <w:rPr>
                <w:rFonts w:ascii="宋体" w:hAnsi="宋体"/>
                <w:b/>
                <w:color w:val="auto"/>
                <w:sz w:val="21"/>
                <w:szCs w:val="21"/>
              </w:rPr>
            </w:pPr>
            <w:r>
              <w:rPr>
                <w:rFonts w:hint="eastAsia" w:ascii="宋体" w:hAnsi="宋体"/>
                <w:b/>
                <w:color w:val="auto"/>
                <w:sz w:val="21"/>
                <w:szCs w:val="21"/>
              </w:rPr>
              <w:t>评分标准</w:t>
            </w:r>
          </w:p>
        </w:tc>
        <w:tc>
          <w:tcPr>
            <w:tcW w:w="5715" w:type="dxa"/>
            <w:gridSpan w:val="2"/>
            <w:noWrap w:val="0"/>
            <w:vAlign w:val="center"/>
          </w:tcPr>
          <w:p>
            <w:pPr>
              <w:adjustRightInd w:val="0"/>
              <w:snapToGrid w:val="0"/>
              <w:spacing w:before="100" w:beforeAutospacing="1" w:after="100" w:afterAutospacing="1"/>
              <w:jc w:val="center"/>
              <w:rPr>
                <w:rFonts w:ascii="宋体" w:hAnsi="宋体"/>
                <w:b/>
                <w:color w:val="auto"/>
                <w:sz w:val="21"/>
                <w:szCs w:val="21"/>
              </w:rPr>
            </w:pPr>
            <w:r>
              <w:rPr>
                <w:rFonts w:hint="eastAsia" w:ascii="宋体" w:hAnsi="宋体"/>
                <w:b/>
                <w:color w:val="auto"/>
                <w:sz w:val="21"/>
                <w:szCs w:val="21"/>
              </w:rPr>
              <w:t>评分因素</w:t>
            </w:r>
          </w:p>
        </w:tc>
        <w:tc>
          <w:tcPr>
            <w:tcW w:w="1934" w:type="dxa"/>
            <w:noWrap w:val="0"/>
            <w:vAlign w:val="center"/>
          </w:tcPr>
          <w:p>
            <w:pPr>
              <w:adjustRightInd w:val="0"/>
              <w:snapToGrid w:val="0"/>
              <w:spacing w:before="100" w:beforeAutospacing="1" w:after="100" w:afterAutospacing="1"/>
              <w:jc w:val="center"/>
              <w:rPr>
                <w:rFonts w:ascii="宋体" w:hAnsi="宋体"/>
                <w:b/>
                <w:color w:val="auto"/>
                <w:sz w:val="21"/>
                <w:szCs w:val="21"/>
              </w:rPr>
            </w:pPr>
            <w:r>
              <w:rPr>
                <w:rFonts w:hint="eastAsia" w:ascii="宋体" w:hAnsi="宋体"/>
                <w:b/>
                <w:color w:val="auto"/>
                <w:sz w:val="21"/>
                <w:szCs w:val="21"/>
              </w:rPr>
              <w:t>所需提供材料</w:t>
            </w:r>
          </w:p>
        </w:tc>
        <w:tc>
          <w:tcPr>
            <w:tcW w:w="946" w:type="dxa"/>
            <w:noWrap w:val="0"/>
            <w:vAlign w:val="center"/>
          </w:tcPr>
          <w:p>
            <w:pPr>
              <w:adjustRightInd w:val="0"/>
              <w:snapToGrid w:val="0"/>
              <w:spacing w:before="100" w:beforeAutospacing="1" w:after="100" w:afterAutospacing="1"/>
              <w:jc w:val="center"/>
              <w:rPr>
                <w:rFonts w:ascii="宋体" w:hAnsi="宋体"/>
                <w:b/>
                <w:color w:val="auto"/>
                <w:sz w:val="21"/>
                <w:szCs w:val="21"/>
              </w:rPr>
            </w:pPr>
            <w:r>
              <w:rPr>
                <w:rFonts w:hint="eastAsia" w:ascii="宋体" w:hAnsi="宋体"/>
                <w:b/>
                <w:color w:val="auto"/>
                <w:sz w:val="21"/>
                <w:szCs w:val="21"/>
              </w:rPr>
              <w:t>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 w:hRule="atLeast"/>
          <w:jc w:val="center"/>
        </w:trPr>
        <w:tc>
          <w:tcPr>
            <w:tcW w:w="1847" w:type="dxa"/>
            <w:vMerge w:val="restart"/>
            <w:noWrap w:val="0"/>
            <w:vAlign w:val="center"/>
          </w:tcPr>
          <w:p>
            <w:pPr>
              <w:spacing w:line="300" w:lineRule="exact"/>
              <w:jc w:val="center"/>
              <w:rPr>
                <w:rFonts w:ascii="宋体" w:hAnsi="宋体"/>
                <w:color w:val="auto"/>
                <w:spacing w:val="-12"/>
                <w:sz w:val="21"/>
                <w:szCs w:val="21"/>
              </w:rPr>
            </w:pPr>
            <w:r>
              <w:rPr>
                <w:rFonts w:hint="eastAsia" w:ascii="宋体" w:hAnsi="宋体"/>
                <w:color w:val="auto"/>
                <w:spacing w:val="-12"/>
                <w:sz w:val="21"/>
                <w:szCs w:val="21"/>
              </w:rPr>
              <w:t>技术部分标准</w:t>
            </w:r>
          </w:p>
        </w:tc>
        <w:tc>
          <w:tcPr>
            <w:tcW w:w="1341" w:type="dxa"/>
            <w:noWrap w:val="0"/>
            <w:vAlign w:val="center"/>
          </w:tcPr>
          <w:p>
            <w:pPr>
              <w:spacing w:line="300" w:lineRule="exact"/>
              <w:jc w:val="center"/>
              <w:rPr>
                <w:rFonts w:ascii="宋体" w:hAnsi="宋体"/>
                <w:b/>
                <w:color w:val="auto"/>
                <w:sz w:val="21"/>
                <w:szCs w:val="21"/>
              </w:rPr>
            </w:pPr>
            <w:r>
              <w:rPr>
                <w:rFonts w:hint="eastAsia" w:ascii="宋体" w:hAnsi="宋体" w:cs="宋体"/>
                <w:b/>
                <w:color w:val="auto"/>
                <w:sz w:val="21"/>
                <w:szCs w:val="21"/>
              </w:rPr>
              <w:t>品牌知名度</w:t>
            </w:r>
          </w:p>
        </w:tc>
        <w:tc>
          <w:tcPr>
            <w:tcW w:w="4374" w:type="dxa"/>
            <w:noWrap w:val="0"/>
            <w:vAlign w:val="center"/>
          </w:tcPr>
          <w:p>
            <w:pPr>
              <w:snapToGrid w:val="0"/>
              <w:spacing w:line="320" w:lineRule="exact"/>
              <w:rPr>
                <w:rFonts w:ascii="宋体" w:hAnsi="宋体"/>
                <w:color w:val="auto"/>
                <w:sz w:val="21"/>
                <w:szCs w:val="21"/>
              </w:rPr>
            </w:pPr>
            <w:r>
              <w:rPr>
                <w:rFonts w:hint="eastAsia"/>
                <w:color w:val="auto"/>
                <w:sz w:val="21"/>
                <w:szCs w:val="21"/>
              </w:rPr>
              <w:t>根据投标人所投服务器的品牌知名度，产品生产力等情况综合评分优的得5分，良的得3分，一般的得1分。</w:t>
            </w:r>
          </w:p>
        </w:tc>
        <w:tc>
          <w:tcPr>
            <w:tcW w:w="1934" w:type="dxa"/>
            <w:noWrap w:val="0"/>
            <w:vAlign w:val="center"/>
          </w:tcPr>
          <w:p>
            <w:pPr>
              <w:spacing w:line="300" w:lineRule="exact"/>
              <w:jc w:val="center"/>
              <w:rPr>
                <w:rFonts w:ascii="宋体" w:hAnsi="宋体"/>
                <w:color w:val="auto"/>
                <w:sz w:val="21"/>
                <w:szCs w:val="21"/>
              </w:rPr>
            </w:pPr>
          </w:p>
        </w:tc>
        <w:tc>
          <w:tcPr>
            <w:tcW w:w="946" w:type="dxa"/>
            <w:noWrap w:val="0"/>
            <w:vAlign w:val="center"/>
          </w:tcPr>
          <w:p>
            <w:pPr>
              <w:spacing w:line="300" w:lineRule="exact"/>
              <w:jc w:val="center"/>
              <w:rPr>
                <w:rFonts w:ascii="宋体" w:hAnsi="宋体"/>
                <w:color w:val="auto"/>
                <w:sz w:val="21"/>
                <w:szCs w:val="21"/>
              </w:rPr>
            </w:pPr>
            <w:r>
              <w:rPr>
                <w:rFonts w:hint="eastAsia" w:ascii="宋体" w:hAnsi="宋体"/>
                <w:color w:val="auto"/>
                <w:sz w:val="21"/>
                <w:szCs w:val="21"/>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 w:hRule="atLeast"/>
          <w:jc w:val="center"/>
        </w:trPr>
        <w:tc>
          <w:tcPr>
            <w:tcW w:w="1847" w:type="dxa"/>
            <w:vMerge w:val="continue"/>
            <w:noWrap w:val="0"/>
            <w:vAlign w:val="center"/>
          </w:tcPr>
          <w:p>
            <w:pPr>
              <w:spacing w:line="300" w:lineRule="exact"/>
              <w:jc w:val="center"/>
              <w:rPr>
                <w:rFonts w:ascii="宋体" w:hAnsi="宋体"/>
                <w:color w:val="auto"/>
                <w:spacing w:val="-12"/>
                <w:sz w:val="21"/>
                <w:szCs w:val="21"/>
              </w:rPr>
            </w:pPr>
          </w:p>
        </w:tc>
        <w:tc>
          <w:tcPr>
            <w:tcW w:w="1341" w:type="dxa"/>
            <w:noWrap w:val="0"/>
            <w:vAlign w:val="center"/>
          </w:tcPr>
          <w:p>
            <w:pPr>
              <w:pStyle w:val="10"/>
              <w:spacing w:before="2"/>
              <w:rPr>
                <w:rFonts w:ascii="宋体" w:hAnsi="宋体" w:cs="宋体"/>
                <w:color w:val="auto"/>
                <w:sz w:val="21"/>
                <w:szCs w:val="21"/>
              </w:rPr>
            </w:pPr>
          </w:p>
          <w:p>
            <w:pPr>
              <w:spacing w:line="300" w:lineRule="exact"/>
              <w:jc w:val="center"/>
              <w:rPr>
                <w:rFonts w:ascii="宋体" w:hAnsi="宋体" w:cs="宋体"/>
                <w:b/>
                <w:color w:val="auto"/>
                <w:sz w:val="21"/>
                <w:szCs w:val="21"/>
              </w:rPr>
            </w:pPr>
            <w:r>
              <w:rPr>
                <w:rFonts w:hint="eastAsia" w:ascii="宋体" w:hAnsi="宋体" w:cs="宋体"/>
                <w:b/>
                <w:color w:val="auto"/>
                <w:sz w:val="21"/>
                <w:szCs w:val="21"/>
              </w:rPr>
              <w:t>实施方案</w:t>
            </w:r>
          </w:p>
        </w:tc>
        <w:tc>
          <w:tcPr>
            <w:tcW w:w="4374" w:type="dxa"/>
            <w:noWrap w:val="0"/>
            <w:vAlign w:val="center"/>
          </w:tcPr>
          <w:p>
            <w:pPr>
              <w:snapToGrid w:val="0"/>
              <w:rPr>
                <w:rFonts w:hint="eastAsia" w:ascii="宋体" w:hAnsi="宋体" w:cs="宋体"/>
                <w:color w:val="auto"/>
                <w:sz w:val="21"/>
                <w:szCs w:val="21"/>
              </w:rPr>
            </w:pPr>
            <w:r>
              <w:rPr>
                <w:rFonts w:hint="eastAsia" w:ascii="宋体" w:hAnsi="宋体" w:cs="宋体"/>
                <w:color w:val="auto"/>
                <w:sz w:val="21"/>
                <w:szCs w:val="21"/>
              </w:rPr>
              <w:t>1、实施方案包括质量管理体系与措施，人力资源配备、主要设备材料需求计划，各施工阶段资源配备的合理性和满足现场需要的程度。</w:t>
            </w:r>
          </w:p>
          <w:p>
            <w:pPr>
              <w:snapToGrid w:val="0"/>
              <w:rPr>
                <w:rFonts w:ascii="宋体" w:hAnsi="宋体" w:cs="宋体"/>
                <w:color w:val="auto"/>
                <w:sz w:val="21"/>
                <w:szCs w:val="21"/>
              </w:rPr>
            </w:pPr>
            <w:r>
              <w:rPr>
                <w:rFonts w:hint="eastAsia" w:ascii="宋体" w:hAnsi="宋体" w:cs="宋体"/>
                <w:color w:val="auto"/>
                <w:sz w:val="21"/>
                <w:szCs w:val="21"/>
              </w:rPr>
              <w:t>质量管理体系完善、人力资源配备、设备材料需求计划合理的得3分，质量管理体系较完善、人力资源配备、设备材料需求计划较合理得2分, 质量管理体系一般、人力资源配备、设备材料需求计划一般得1分，不提供不得分；</w:t>
            </w:r>
          </w:p>
          <w:p>
            <w:pPr>
              <w:snapToGrid w:val="0"/>
              <w:rPr>
                <w:rFonts w:ascii="宋体" w:hAnsi="宋体" w:cs="宋体"/>
                <w:color w:val="auto"/>
                <w:sz w:val="21"/>
                <w:szCs w:val="21"/>
              </w:rPr>
            </w:pPr>
            <w:r>
              <w:rPr>
                <w:rFonts w:hint="eastAsia" w:ascii="宋体" w:hAnsi="宋体" w:cs="宋体"/>
                <w:color w:val="auto"/>
                <w:sz w:val="21"/>
                <w:szCs w:val="21"/>
              </w:rPr>
              <w:t>2、实施进度安排合理性</w:t>
            </w:r>
            <w:r>
              <w:rPr>
                <w:rFonts w:hint="eastAsia" w:ascii="宋体" w:hAnsi="宋体" w:cs="宋体"/>
                <w:color w:val="auto"/>
                <w:sz w:val="21"/>
                <w:szCs w:val="21"/>
                <w:lang w:eastAsia="zh-CN"/>
              </w:rPr>
              <w:t>，安排合理</w:t>
            </w:r>
            <w:r>
              <w:rPr>
                <w:rFonts w:hint="eastAsia" w:ascii="宋体" w:hAnsi="宋体" w:cs="宋体"/>
                <w:color w:val="auto"/>
                <w:sz w:val="21"/>
                <w:szCs w:val="21"/>
              </w:rPr>
              <w:t>的得3分，</w:t>
            </w:r>
            <w:r>
              <w:rPr>
                <w:rFonts w:hint="eastAsia" w:ascii="宋体" w:hAnsi="宋体" w:cs="宋体"/>
                <w:color w:val="auto"/>
                <w:sz w:val="21"/>
                <w:szCs w:val="21"/>
                <w:lang w:eastAsia="zh-CN"/>
              </w:rPr>
              <w:t>安排一般</w:t>
            </w:r>
            <w:r>
              <w:rPr>
                <w:rFonts w:hint="eastAsia" w:ascii="宋体" w:hAnsi="宋体" w:cs="宋体"/>
                <w:color w:val="auto"/>
                <w:sz w:val="21"/>
                <w:szCs w:val="21"/>
              </w:rPr>
              <w:t>的得2分,</w:t>
            </w:r>
            <w:r>
              <w:rPr>
                <w:rFonts w:hint="eastAsia" w:ascii="宋体" w:hAnsi="宋体" w:cs="宋体"/>
                <w:color w:val="auto"/>
                <w:sz w:val="21"/>
                <w:szCs w:val="21"/>
                <w:lang w:eastAsia="zh-CN"/>
              </w:rPr>
              <w:t>安排合理性差</w:t>
            </w:r>
            <w:r>
              <w:rPr>
                <w:rFonts w:hint="eastAsia" w:ascii="宋体" w:hAnsi="宋体" w:cs="宋体"/>
                <w:color w:val="auto"/>
                <w:sz w:val="21"/>
                <w:szCs w:val="21"/>
              </w:rPr>
              <w:t>得1分，不提供不得分；</w:t>
            </w:r>
          </w:p>
          <w:p>
            <w:pPr>
              <w:snapToGrid w:val="0"/>
              <w:spacing w:line="320" w:lineRule="exact"/>
              <w:rPr>
                <w:rFonts w:ascii="宋体" w:hAnsi="宋体" w:cs="宋体"/>
                <w:color w:val="auto"/>
                <w:spacing w:val="-6"/>
                <w:sz w:val="21"/>
                <w:szCs w:val="21"/>
              </w:rPr>
            </w:pPr>
            <w:r>
              <w:rPr>
                <w:rFonts w:hint="eastAsia" w:ascii="宋体" w:hAnsi="宋体" w:cs="宋体"/>
                <w:color w:val="auto"/>
                <w:sz w:val="21"/>
                <w:szCs w:val="21"/>
              </w:rPr>
              <w:t>3、施工工艺标准包括管线槽敷设、设备安装、设备及系统调试、系统试运行、工程检验方法，</w:t>
            </w:r>
            <w:r>
              <w:rPr>
                <w:rFonts w:hint="eastAsia" w:ascii="宋体" w:hAnsi="宋体" w:cs="宋体"/>
                <w:color w:val="auto"/>
                <w:sz w:val="21"/>
                <w:szCs w:val="21"/>
                <w:lang w:eastAsia="zh-CN"/>
              </w:rPr>
              <w:t>标准内容全面且有利于实施</w:t>
            </w:r>
            <w:r>
              <w:rPr>
                <w:rFonts w:hint="eastAsia" w:ascii="宋体" w:hAnsi="宋体" w:cs="宋体"/>
                <w:color w:val="auto"/>
                <w:sz w:val="21"/>
                <w:szCs w:val="21"/>
              </w:rPr>
              <w:t>的得3分，</w:t>
            </w:r>
            <w:r>
              <w:rPr>
                <w:rFonts w:hint="eastAsia" w:ascii="宋体" w:hAnsi="宋体" w:cs="宋体"/>
                <w:color w:val="auto"/>
                <w:sz w:val="21"/>
                <w:szCs w:val="21"/>
                <w:lang w:eastAsia="zh-CN"/>
              </w:rPr>
              <w:t>内容基本满足</w:t>
            </w:r>
            <w:r>
              <w:rPr>
                <w:rFonts w:hint="eastAsia" w:ascii="宋体" w:hAnsi="宋体" w:cs="宋体"/>
                <w:color w:val="auto"/>
                <w:sz w:val="21"/>
                <w:szCs w:val="21"/>
              </w:rPr>
              <w:t>的得2分,</w:t>
            </w:r>
            <w:r>
              <w:rPr>
                <w:rFonts w:hint="eastAsia" w:ascii="宋体" w:hAnsi="宋体" w:cs="宋体"/>
                <w:color w:val="auto"/>
                <w:sz w:val="21"/>
                <w:szCs w:val="21"/>
                <w:lang w:eastAsia="zh-CN"/>
              </w:rPr>
              <w:t>内容标准缺少</w:t>
            </w:r>
            <w:r>
              <w:rPr>
                <w:rFonts w:hint="eastAsia" w:ascii="宋体" w:hAnsi="宋体" w:cs="宋体"/>
                <w:color w:val="auto"/>
                <w:sz w:val="21"/>
                <w:szCs w:val="21"/>
              </w:rPr>
              <w:t>得1分，不提供不得分；</w:t>
            </w:r>
          </w:p>
        </w:tc>
        <w:tc>
          <w:tcPr>
            <w:tcW w:w="1934" w:type="dxa"/>
            <w:noWrap w:val="0"/>
            <w:vAlign w:val="center"/>
          </w:tcPr>
          <w:p>
            <w:pPr>
              <w:spacing w:line="300" w:lineRule="exact"/>
              <w:jc w:val="center"/>
              <w:rPr>
                <w:rFonts w:ascii="宋体" w:hAnsi="宋体"/>
                <w:color w:val="auto"/>
                <w:sz w:val="21"/>
                <w:szCs w:val="21"/>
              </w:rPr>
            </w:pPr>
            <w:r>
              <w:rPr>
                <w:rFonts w:hint="eastAsia" w:ascii="宋体" w:hAnsi="宋体" w:cs="宋体"/>
                <w:color w:val="auto"/>
                <w:sz w:val="21"/>
                <w:szCs w:val="21"/>
              </w:rPr>
              <w:t>提供方案装订入投标文件，未提供方案的不得分。</w:t>
            </w:r>
          </w:p>
        </w:tc>
        <w:tc>
          <w:tcPr>
            <w:tcW w:w="946" w:type="dxa"/>
            <w:noWrap w:val="0"/>
            <w:vAlign w:val="center"/>
          </w:tcPr>
          <w:p>
            <w:pPr>
              <w:spacing w:line="300" w:lineRule="exact"/>
              <w:jc w:val="center"/>
              <w:rPr>
                <w:rFonts w:ascii="宋体" w:hAnsi="宋体"/>
                <w:color w:val="auto"/>
                <w:sz w:val="21"/>
                <w:szCs w:val="21"/>
              </w:rPr>
            </w:pPr>
            <w:r>
              <w:rPr>
                <w:rFonts w:hint="eastAsia" w:ascii="宋体" w:hAnsi="宋体"/>
                <w:color w:val="auto"/>
                <w:sz w:val="21"/>
                <w:szCs w:val="21"/>
              </w:rPr>
              <w:t>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 w:hRule="atLeast"/>
          <w:jc w:val="center"/>
        </w:trPr>
        <w:tc>
          <w:tcPr>
            <w:tcW w:w="1847" w:type="dxa"/>
            <w:vMerge w:val="continue"/>
            <w:noWrap w:val="0"/>
            <w:vAlign w:val="center"/>
          </w:tcPr>
          <w:p>
            <w:pPr>
              <w:spacing w:line="300" w:lineRule="exact"/>
              <w:jc w:val="center"/>
              <w:rPr>
                <w:rFonts w:ascii="宋体" w:hAnsi="宋体"/>
                <w:color w:val="auto"/>
                <w:spacing w:val="-12"/>
                <w:sz w:val="21"/>
                <w:szCs w:val="21"/>
              </w:rPr>
            </w:pPr>
          </w:p>
        </w:tc>
        <w:tc>
          <w:tcPr>
            <w:tcW w:w="1341" w:type="dxa"/>
            <w:noWrap w:val="0"/>
            <w:vAlign w:val="center"/>
          </w:tcPr>
          <w:p>
            <w:pPr>
              <w:spacing w:line="300" w:lineRule="exact"/>
              <w:jc w:val="center"/>
              <w:rPr>
                <w:rFonts w:ascii="宋体" w:hAnsi="宋体"/>
                <w:b/>
                <w:color w:val="auto"/>
                <w:sz w:val="21"/>
                <w:szCs w:val="21"/>
              </w:rPr>
            </w:pPr>
            <w:r>
              <w:rPr>
                <w:rFonts w:hint="eastAsia" w:ascii="宋体" w:hAnsi="宋体"/>
                <w:b/>
                <w:color w:val="auto"/>
                <w:sz w:val="21"/>
                <w:szCs w:val="21"/>
              </w:rPr>
              <w:t>性能和技术参数</w:t>
            </w:r>
          </w:p>
        </w:tc>
        <w:tc>
          <w:tcPr>
            <w:tcW w:w="4374" w:type="dxa"/>
            <w:noWrap w:val="0"/>
            <w:vAlign w:val="center"/>
          </w:tcPr>
          <w:p>
            <w:pPr>
              <w:snapToGrid w:val="0"/>
              <w:spacing w:line="320" w:lineRule="exact"/>
              <w:ind w:firstLine="396" w:firstLineChars="200"/>
              <w:rPr>
                <w:rFonts w:ascii="宋体" w:hAnsi="宋体"/>
                <w:color w:val="auto"/>
                <w:sz w:val="21"/>
                <w:szCs w:val="21"/>
              </w:rPr>
            </w:pPr>
            <w:r>
              <w:rPr>
                <w:rFonts w:hint="eastAsia" w:ascii="宋体" w:hAnsi="宋体" w:cs="宋体"/>
                <w:color w:val="auto"/>
                <w:spacing w:val="-6"/>
                <w:sz w:val="21"/>
                <w:szCs w:val="21"/>
              </w:rPr>
              <w:t>标★参数为关键性参数，一项不满足视为不响应，其他参数中标▲的参数有一个负偏离，扣2分；未标注▲参数有一个负偏离扣1分，扣完为止。</w:t>
            </w:r>
          </w:p>
        </w:tc>
        <w:tc>
          <w:tcPr>
            <w:tcW w:w="1934" w:type="dxa"/>
            <w:noWrap w:val="0"/>
            <w:vAlign w:val="center"/>
          </w:tcPr>
          <w:p>
            <w:pPr>
              <w:spacing w:line="300" w:lineRule="exact"/>
              <w:jc w:val="center"/>
              <w:rPr>
                <w:rFonts w:ascii="宋体" w:hAnsi="宋体"/>
                <w:color w:val="auto"/>
                <w:sz w:val="21"/>
                <w:szCs w:val="21"/>
              </w:rPr>
            </w:pPr>
            <w:r>
              <w:rPr>
                <w:rFonts w:hint="eastAsia" w:ascii="宋体" w:hAnsi="宋体"/>
                <w:color w:val="auto"/>
                <w:sz w:val="21"/>
                <w:szCs w:val="21"/>
              </w:rPr>
              <w:t>提供产品技术参数的相关证明材料。</w:t>
            </w:r>
          </w:p>
        </w:tc>
        <w:tc>
          <w:tcPr>
            <w:tcW w:w="946" w:type="dxa"/>
            <w:noWrap w:val="0"/>
            <w:vAlign w:val="center"/>
          </w:tcPr>
          <w:p>
            <w:pPr>
              <w:spacing w:line="300" w:lineRule="exact"/>
              <w:jc w:val="center"/>
              <w:rPr>
                <w:rFonts w:ascii="宋体" w:hAnsi="宋体"/>
                <w:color w:val="auto"/>
                <w:sz w:val="21"/>
                <w:szCs w:val="21"/>
              </w:rPr>
            </w:pPr>
            <w:r>
              <w:rPr>
                <w:rFonts w:hint="eastAsia" w:ascii="宋体" w:hAnsi="宋体"/>
                <w:color w:val="auto"/>
                <w:sz w:val="21"/>
                <w:szCs w:val="21"/>
              </w:rPr>
              <w:t>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5" w:hRule="atLeast"/>
          <w:jc w:val="center"/>
        </w:trPr>
        <w:tc>
          <w:tcPr>
            <w:tcW w:w="1847" w:type="dxa"/>
            <w:vMerge w:val="continue"/>
            <w:noWrap w:val="0"/>
            <w:vAlign w:val="center"/>
          </w:tcPr>
          <w:p>
            <w:pPr>
              <w:spacing w:line="300" w:lineRule="exact"/>
              <w:jc w:val="center"/>
              <w:rPr>
                <w:rFonts w:ascii="宋体" w:hAnsi="宋体"/>
                <w:color w:val="auto"/>
                <w:spacing w:val="-12"/>
                <w:sz w:val="21"/>
                <w:szCs w:val="21"/>
              </w:rPr>
            </w:pPr>
          </w:p>
        </w:tc>
        <w:tc>
          <w:tcPr>
            <w:tcW w:w="1341" w:type="dxa"/>
            <w:vMerge w:val="restart"/>
            <w:noWrap w:val="0"/>
            <w:vAlign w:val="center"/>
          </w:tcPr>
          <w:p>
            <w:pPr>
              <w:spacing w:line="300" w:lineRule="exact"/>
              <w:jc w:val="center"/>
              <w:rPr>
                <w:rFonts w:ascii="宋体" w:hAnsi="宋体"/>
                <w:b/>
                <w:color w:val="auto"/>
                <w:sz w:val="21"/>
                <w:szCs w:val="21"/>
              </w:rPr>
            </w:pPr>
            <w:r>
              <w:rPr>
                <w:rFonts w:hint="eastAsia" w:ascii="宋体" w:hAnsi="宋体"/>
                <w:b/>
                <w:color w:val="auto"/>
                <w:sz w:val="21"/>
                <w:szCs w:val="21"/>
              </w:rPr>
              <w:t>售后服务优惠承诺</w:t>
            </w:r>
          </w:p>
        </w:tc>
        <w:tc>
          <w:tcPr>
            <w:tcW w:w="4374" w:type="dxa"/>
            <w:noWrap w:val="0"/>
            <w:vAlign w:val="center"/>
          </w:tcPr>
          <w:p>
            <w:pPr>
              <w:snapToGrid w:val="0"/>
              <w:spacing w:line="320" w:lineRule="exact"/>
              <w:rPr>
                <w:rFonts w:ascii="宋体" w:hAnsi="宋体" w:cs="宋体"/>
                <w:color w:val="auto"/>
                <w:sz w:val="21"/>
                <w:szCs w:val="21"/>
              </w:rPr>
            </w:pPr>
            <w:r>
              <w:rPr>
                <w:rFonts w:hint="eastAsia" w:ascii="宋体" w:hAnsi="宋体" w:cs="宋体"/>
                <w:color w:val="auto"/>
                <w:sz w:val="21"/>
                <w:szCs w:val="21"/>
              </w:rPr>
              <w:t>提供全部所投产品免费质保期在满足磋商文件基础上（1年）每增加一年加1分，本项满分3分；</w:t>
            </w:r>
          </w:p>
        </w:tc>
        <w:tc>
          <w:tcPr>
            <w:tcW w:w="1934" w:type="dxa"/>
            <w:noWrap w:val="0"/>
            <w:vAlign w:val="center"/>
          </w:tcPr>
          <w:p>
            <w:pPr>
              <w:spacing w:line="300" w:lineRule="exact"/>
              <w:jc w:val="both"/>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提供承诺函，未提供不得分</w:t>
            </w:r>
          </w:p>
        </w:tc>
        <w:tc>
          <w:tcPr>
            <w:tcW w:w="946" w:type="dxa"/>
            <w:vMerge w:val="restart"/>
            <w:noWrap w:val="0"/>
            <w:vAlign w:val="center"/>
          </w:tcPr>
          <w:p>
            <w:pPr>
              <w:spacing w:line="300" w:lineRule="exact"/>
              <w:jc w:val="center"/>
              <w:rPr>
                <w:rFonts w:ascii="宋体" w:hAnsi="宋体"/>
                <w:color w:val="auto"/>
                <w:sz w:val="21"/>
                <w:szCs w:val="21"/>
              </w:rPr>
            </w:pPr>
            <w:r>
              <w:rPr>
                <w:rFonts w:hint="eastAsia" w:ascii="宋体" w:hAnsi="宋体"/>
                <w:color w:val="auto"/>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9" w:hRule="atLeast"/>
          <w:jc w:val="center"/>
        </w:trPr>
        <w:tc>
          <w:tcPr>
            <w:tcW w:w="1847" w:type="dxa"/>
            <w:vMerge w:val="continue"/>
            <w:noWrap w:val="0"/>
            <w:vAlign w:val="center"/>
          </w:tcPr>
          <w:p>
            <w:pPr>
              <w:spacing w:line="300" w:lineRule="exact"/>
              <w:jc w:val="center"/>
              <w:rPr>
                <w:color w:val="auto"/>
                <w:sz w:val="21"/>
                <w:szCs w:val="21"/>
              </w:rPr>
            </w:pPr>
          </w:p>
        </w:tc>
        <w:tc>
          <w:tcPr>
            <w:tcW w:w="1341" w:type="dxa"/>
            <w:vMerge w:val="continue"/>
            <w:noWrap w:val="0"/>
            <w:vAlign w:val="center"/>
          </w:tcPr>
          <w:p>
            <w:pPr>
              <w:spacing w:line="300" w:lineRule="exact"/>
              <w:jc w:val="center"/>
              <w:rPr>
                <w:color w:val="auto"/>
                <w:sz w:val="21"/>
                <w:szCs w:val="21"/>
              </w:rPr>
            </w:pPr>
          </w:p>
        </w:tc>
        <w:tc>
          <w:tcPr>
            <w:tcW w:w="4374" w:type="dxa"/>
            <w:noWrap w:val="0"/>
            <w:vAlign w:val="center"/>
          </w:tcPr>
          <w:p>
            <w:pPr>
              <w:rPr>
                <w:rFonts w:ascii="宋体" w:hAnsi="宋体" w:cs="宋体"/>
                <w:color w:val="auto"/>
                <w:sz w:val="21"/>
                <w:szCs w:val="21"/>
              </w:rPr>
            </w:pPr>
            <w:r>
              <w:rPr>
                <w:rFonts w:hint="eastAsia" w:ascii="宋体" w:hAnsi="宋体" w:cs="宋体"/>
                <w:color w:val="auto"/>
                <w:sz w:val="21"/>
                <w:szCs w:val="21"/>
              </w:rPr>
              <w:t>有完善的售后服务体系及供货方案，有可行的售后服务计划及服务承诺，根据以上内容由评委酌情评分，</w:t>
            </w:r>
            <w:r>
              <w:rPr>
                <w:rFonts w:hint="eastAsia" w:ascii="宋体" w:hAnsi="宋体" w:cs="宋体"/>
                <w:color w:val="auto"/>
                <w:sz w:val="21"/>
                <w:szCs w:val="21"/>
                <w:lang w:eastAsia="zh-CN"/>
              </w:rPr>
              <w:t>方案全面，可操作</w:t>
            </w:r>
            <w:r>
              <w:rPr>
                <w:rFonts w:hint="eastAsia" w:ascii="宋体" w:hAnsi="宋体" w:cs="宋体"/>
                <w:color w:val="auto"/>
                <w:sz w:val="21"/>
                <w:szCs w:val="21"/>
              </w:rPr>
              <w:t>的得5分，</w:t>
            </w:r>
            <w:r>
              <w:rPr>
                <w:rFonts w:hint="eastAsia" w:ascii="宋体" w:hAnsi="宋体" w:cs="宋体"/>
                <w:color w:val="auto"/>
                <w:sz w:val="21"/>
                <w:szCs w:val="21"/>
                <w:lang w:eastAsia="zh-CN"/>
              </w:rPr>
              <w:t>方案全面，操作性一般</w:t>
            </w:r>
            <w:r>
              <w:rPr>
                <w:rFonts w:hint="eastAsia" w:ascii="宋体" w:hAnsi="宋体" w:cs="宋体"/>
                <w:color w:val="auto"/>
                <w:sz w:val="21"/>
                <w:szCs w:val="21"/>
              </w:rPr>
              <w:t>的得3分，</w:t>
            </w:r>
            <w:r>
              <w:rPr>
                <w:rFonts w:hint="eastAsia" w:ascii="宋体" w:hAnsi="宋体" w:cs="宋体"/>
                <w:color w:val="auto"/>
                <w:sz w:val="21"/>
                <w:szCs w:val="21"/>
                <w:lang w:eastAsia="zh-CN"/>
              </w:rPr>
              <w:t>方案全面性和可操作性差</w:t>
            </w:r>
            <w:r>
              <w:rPr>
                <w:rFonts w:hint="eastAsia" w:ascii="宋体" w:hAnsi="宋体" w:cs="宋体"/>
                <w:color w:val="auto"/>
                <w:sz w:val="21"/>
                <w:szCs w:val="21"/>
              </w:rPr>
              <w:t>得1分,不提供不得分；</w:t>
            </w:r>
          </w:p>
          <w:p>
            <w:pPr>
              <w:spacing w:line="300" w:lineRule="exact"/>
              <w:jc w:val="center"/>
              <w:rPr>
                <w:rFonts w:hint="eastAsia" w:ascii="宋体" w:hAnsi="宋体" w:cs="宋体"/>
                <w:color w:val="auto"/>
                <w:sz w:val="21"/>
                <w:szCs w:val="21"/>
              </w:rPr>
            </w:pPr>
          </w:p>
        </w:tc>
        <w:tc>
          <w:tcPr>
            <w:tcW w:w="1934" w:type="dxa"/>
            <w:noWrap w:val="0"/>
            <w:vAlign w:val="center"/>
          </w:tcPr>
          <w:p>
            <w:pPr>
              <w:spacing w:line="300" w:lineRule="exact"/>
              <w:jc w:val="center"/>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提供方案，未提供不得分</w:t>
            </w:r>
          </w:p>
        </w:tc>
        <w:tc>
          <w:tcPr>
            <w:tcW w:w="946" w:type="dxa"/>
            <w:vMerge w:val="continue"/>
            <w:noWrap w:val="0"/>
            <w:vAlign w:val="center"/>
          </w:tcPr>
          <w:p>
            <w:pPr>
              <w:spacing w:line="300" w:lineRule="exact"/>
              <w:jc w:val="center"/>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9" w:hRule="atLeast"/>
          <w:jc w:val="center"/>
        </w:trPr>
        <w:tc>
          <w:tcPr>
            <w:tcW w:w="1847" w:type="dxa"/>
            <w:vMerge w:val="continue"/>
            <w:noWrap w:val="0"/>
            <w:vAlign w:val="center"/>
          </w:tcPr>
          <w:p>
            <w:pPr>
              <w:spacing w:line="300" w:lineRule="exact"/>
              <w:jc w:val="center"/>
              <w:rPr>
                <w:rFonts w:hint="eastAsia" w:ascii="宋体" w:hAnsi="宋体" w:cs="宋体"/>
                <w:color w:val="auto"/>
                <w:sz w:val="21"/>
                <w:szCs w:val="21"/>
              </w:rPr>
            </w:pPr>
          </w:p>
        </w:tc>
        <w:tc>
          <w:tcPr>
            <w:tcW w:w="1341" w:type="dxa"/>
            <w:vMerge w:val="continue"/>
            <w:noWrap w:val="0"/>
            <w:vAlign w:val="center"/>
          </w:tcPr>
          <w:p>
            <w:pPr>
              <w:spacing w:line="300" w:lineRule="exact"/>
              <w:jc w:val="center"/>
              <w:rPr>
                <w:rFonts w:hint="eastAsia" w:ascii="宋体" w:hAnsi="宋体" w:cs="宋体"/>
                <w:color w:val="auto"/>
                <w:sz w:val="21"/>
                <w:szCs w:val="21"/>
              </w:rPr>
            </w:pPr>
          </w:p>
        </w:tc>
        <w:tc>
          <w:tcPr>
            <w:tcW w:w="4374" w:type="dxa"/>
            <w:noWrap w:val="0"/>
            <w:vAlign w:val="center"/>
          </w:tcPr>
          <w:p>
            <w:pPr>
              <w:spacing w:line="300" w:lineRule="exact"/>
              <w:jc w:val="center"/>
              <w:rPr>
                <w:rFonts w:hint="eastAsia" w:ascii="宋体" w:hAnsi="宋体" w:cs="宋体"/>
                <w:color w:val="auto"/>
                <w:sz w:val="21"/>
                <w:szCs w:val="21"/>
              </w:rPr>
            </w:pPr>
            <w:r>
              <w:rPr>
                <w:rFonts w:hint="eastAsia" w:ascii="宋体" w:hAnsi="宋体" w:cs="宋体"/>
                <w:color w:val="auto"/>
                <w:sz w:val="21"/>
                <w:szCs w:val="21"/>
              </w:rPr>
              <w:t>投标人承诺现场培训和组织集中培训的1分，提供每年不低于一次的巡检服务的1分，共2分；</w:t>
            </w:r>
          </w:p>
        </w:tc>
        <w:tc>
          <w:tcPr>
            <w:tcW w:w="1934" w:type="dxa"/>
            <w:noWrap w:val="0"/>
            <w:vAlign w:val="center"/>
          </w:tcPr>
          <w:p>
            <w:pPr>
              <w:spacing w:line="300" w:lineRule="exact"/>
              <w:jc w:val="center"/>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提供承诺函，未提供不得分</w:t>
            </w:r>
          </w:p>
        </w:tc>
        <w:tc>
          <w:tcPr>
            <w:tcW w:w="946" w:type="dxa"/>
            <w:vMerge w:val="continue"/>
            <w:noWrap w:val="0"/>
            <w:vAlign w:val="center"/>
          </w:tcPr>
          <w:p>
            <w:pPr>
              <w:spacing w:line="300" w:lineRule="exact"/>
              <w:jc w:val="center"/>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 w:hRule="atLeast"/>
          <w:jc w:val="center"/>
        </w:trPr>
        <w:tc>
          <w:tcPr>
            <w:tcW w:w="1847" w:type="dxa"/>
            <w:vMerge w:val="continue"/>
            <w:noWrap w:val="0"/>
            <w:vAlign w:val="center"/>
          </w:tcPr>
          <w:p>
            <w:pPr>
              <w:spacing w:line="300" w:lineRule="exact"/>
              <w:jc w:val="center"/>
              <w:rPr>
                <w:rFonts w:ascii="宋体" w:hAnsi="宋体"/>
                <w:color w:val="auto"/>
                <w:spacing w:val="-12"/>
                <w:sz w:val="21"/>
                <w:szCs w:val="21"/>
              </w:rPr>
            </w:pPr>
          </w:p>
        </w:tc>
        <w:tc>
          <w:tcPr>
            <w:tcW w:w="1341" w:type="dxa"/>
            <w:noWrap w:val="0"/>
            <w:vAlign w:val="center"/>
          </w:tcPr>
          <w:p>
            <w:pPr>
              <w:spacing w:line="300" w:lineRule="exact"/>
              <w:jc w:val="center"/>
              <w:rPr>
                <w:rFonts w:ascii="宋体" w:hAnsi="宋体"/>
                <w:b/>
                <w:color w:val="auto"/>
                <w:sz w:val="21"/>
                <w:szCs w:val="21"/>
              </w:rPr>
            </w:pPr>
            <w:r>
              <w:rPr>
                <w:rFonts w:hint="eastAsia" w:ascii="宋体" w:hAnsi="宋体"/>
                <w:b/>
                <w:color w:val="auto"/>
                <w:sz w:val="21"/>
                <w:szCs w:val="21"/>
              </w:rPr>
              <w:t>本地化服务</w:t>
            </w:r>
          </w:p>
        </w:tc>
        <w:tc>
          <w:tcPr>
            <w:tcW w:w="4374" w:type="dxa"/>
            <w:noWrap w:val="0"/>
            <w:vAlign w:val="center"/>
          </w:tcPr>
          <w:p>
            <w:pPr>
              <w:jc w:val="left"/>
              <w:rPr>
                <w:color w:val="auto"/>
                <w:sz w:val="21"/>
                <w:szCs w:val="21"/>
              </w:rPr>
            </w:pPr>
            <w:r>
              <w:rPr>
                <w:rFonts w:hint="eastAsia"/>
                <w:color w:val="auto"/>
                <w:sz w:val="21"/>
                <w:szCs w:val="21"/>
              </w:rPr>
              <w:t>注册登记地在铜陵或外地企业承诺在中标后一个月内在铜设立分支机构的得2分</w:t>
            </w:r>
            <w:r>
              <w:rPr>
                <w:rFonts w:hint="eastAsia"/>
                <w:color w:val="auto"/>
                <w:sz w:val="21"/>
                <w:szCs w:val="21"/>
              </w:rPr>
              <w:t>。</w:t>
            </w:r>
          </w:p>
        </w:tc>
        <w:tc>
          <w:tcPr>
            <w:tcW w:w="1934" w:type="dxa"/>
            <w:noWrap w:val="0"/>
            <w:vAlign w:val="center"/>
          </w:tcPr>
          <w:p>
            <w:pPr>
              <w:spacing w:line="300" w:lineRule="exact"/>
              <w:jc w:val="center"/>
              <w:rPr>
                <w:rFonts w:ascii="宋体" w:hAnsi="宋体"/>
                <w:color w:val="auto"/>
                <w:sz w:val="21"/>
                <w:szCs w:val="21"/>
              </w:rPr>
            </w:pPr>
            <w:r>
              <w:rPr>
                <w:rFonts w:hint="eastAsia"/>
                <w:color w:val="auto"/>
                <w:sz w:val="21"/>
                <w:szCs w:val="21"/>
              </w:rPr>
              <w:t>提供营业执照或承诺函。（复印件）</w:t>
            </w:r>
          </w:p>
        </w:tc>
        <w:tc>
          <w:tcPr>
            <w:tcW w:w="946" w:type="dxa"/>
            <w:noWrap w:val="0"/>
            <w:vAlign w:val="center"/>
          </w:tcPr>
          <w:p>
            <w:pPr>
              <w:spacing w:line="300" w:lineRule="exact"/>
              <w:jc w:val="center"/>
              <w:rPr>
                <w:rFonts w:ascii="宋体" w:hAnsi="宋体"/>
                <w:color w:val="auto"/>
                <w:sz w:val="21"/>
                <w:szCs w:val="21"/>
              </w:rPr>
            </w:pPr>
            <w:r>
              <w:rPr>
                <w:rFonts w:hint="eastAsia" w:ascii="宋体" w:hAnsi="宋体"/>
                <w:color w:val="auto"/>
                <w:sz w:val="21"/>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jc w:val="center"/>
        </w:trPr>
        <w:tc>
          <w:tcPr>
            <w:tcW w:w="1847" w:type="dxa"/>
            <w:vMerge w:val="continue"/>
            <w:noWrap w:val="0"/>
            <w:vAlign w:val="center"/>
          </w:tcPr>
          <w:p>
            <w:pPr>
              <w:autoSpaceDE w:val="0"/>
              <w:autoSpaceDN w:val="0"/>
              <w:adjustRightInd w:val="0"/>
              <w:spacing w:line="300" w:lineRule="exact"/>
              <w:rPr>
                <w:rFonts w:ascii="宋体" w:hAnsi="宋体"/>
                <w:color w:val="auto"/>
                <w:spacing w:val="-12"/>
                <w:sz w:val="21"/>
                <w:szCs w:val="21"/>
              </w:rPr>
            </w:pPr>
          </w:p>
        </w:tc>
        <w:tc>
          <w:tcPr>
            <w:tcW w:w="1341" w:type="dxa"/>
            <w:noWrap w:val="0"/>
            <w:vAlign w:val="center"/>
          </w:tcPr>
          <w:p>
            <w:pPr>
              <w:spacing w:line="300" w:lineRule="exact"/>
              <w:jc w:val="center"/>
              <w:rPr>
                <w:rFonts w:ascii="宋体" w:hAnsi="宋体" w:cs="Arial"/>
                <w:color w:val="auto"/>
                <w:sz w:val="21"/>
                <w:szCs w:val="21"/>
              </w:rPr>
            </w:pPr>
            <w:r>
              <w:rPr>
                <w:rFonts w:hint="eastAsia" w:ascii="宋体" w:hAnsi="宋体"/>
                <w:b/>
                <w:color w:val="auto"/>
                <w:sz w:val="21"/>
                <w:szCs w:val="21"/>
              </w:rPr>
              <w:t>成功案例及业绩</w:t>
            </w:r>
          </w:p>
        </w:tc>
        <w:tc>
          <w:tcPr>
            <w:tcW w:w="4374" w:type="dxa"/>
            <w:noWrap w:val="0"/>
            <w:vAlign w:val="center"/>
          </w:tcPr>
          <w:p>
            <w:pPr>
              <w:spacing w:line="300" w:lineRule="exact"/>
              <w:ind w:firstLine="396" w:firstLineChars="200"/>
              <w:rPr>
                <w:rFonts w:ascii="宋体" w:hAnsi="宋体" w:cs="Arial"/>
                <w:color w:val="auto"/>
                <w:sz w:val="21"/>
                <w:szCs w:val="21"/>
              </w:rPr>
            </w:pPr>
            <w:r>
              <w:rPr>
                <w:rFonts w:hint="eastAsia" w:ascii="宋体" w:hAnsi="宋体" w:cs="宋体"/>
                <w:color w:val="auto"/>
                <w:spacing w:val="-6"/>
                <w:sz w:val="21"/>
                <w:szCs w:val="21"/>
              </w:rPr>
              <w:t>投标人自开标截止之日起近三年以来</w:t>
            </w:r>
            <w:r>
              <w:rPr>
                <w:rFonts w:hint="eastAsia" w:ascii="宋体" w:hAnsi="宋体" w:cs="宋体"/>
                <w:color w:val="auto"/>
                <w:sz w:val="21"/>
                <w:szCs w:val="21"/>
              </w:rPr>
              <w:t>承担过同类项目业绩</w:t>
            </w:r>
            <w:r>
              <w:rPr>
                <w:rFonts w:hint="eastAsia" w:ascii="宋体" w:hAnsi="宋体" w:cs="宋体"/>
                <w:color w:val="auto"/>
                <w:spacing w:val="-6"/>
                <w:sz w:val="21"/>
                <w:szCs w:val="21"/>
              </w:rPr>
              <w:t>，每提供一份合同得 2分，满分4分。</w:t>
            </w:r>
            <w:r>
              <w:rPr>
                <w:rFonts w:hint="eastAsia" w:ascii="宋体" w:hAnsi="宋体" w:cs="宋体"/>
                <w:color w:val="auto"/>
                <w:sz w:val="21"/>
                <w:szCs w:val="21"/>
              </w:rPr>
              <w:t>注：同一业绩不可累计计分。</w:t>
            </w:r>
          </w:p>
        </w:tc>
        <w:tc>
          <w:tcPr>
            <w:tcW w:w="1934" w:type="dxa"/>
            <w:noWrap w:val="0"/>
            <w:vAlign w:val="center"/>
          </w:tcPr>
          <w:p>
            <w:pPr>
              <w:autoSpaceDE w:val="0"/>
              <w:autoSpaceDN w:val="0"/>
              <w:adjustRightInd w:val="0"/>
              <w:spacing w:line="300" w:lineRule="exact"/>
              <w:jc w:val="center"/>
              <w:rPr>
                <w:rFonts w:ascii="宋体" w:hAnsi="宋体"/>
                <w:color w:val="auto"/>
                <w:sz w:val="21"/>
                <w:szCs w:val="21"/>
              </w:rPr>
            </w:pPr>
            <w:r>
              <w:rPr>
                <w:rFonts w:hint="eastAsia" w:ascii="宋体" w:hAnsi="宋体" w:cs="宋体"/>
                <w:color w:val="auto"/>
                <w:sz w:val="21"/>
                <w:szCs w:val="21"/>
              </w:rPr>
              <w:t>提供合同的复印件装订入投标文件。</w:t>
            </w:r>
          </w:p>
        </w:tc>
        <w:tc>
          <w:tcPr>
            <w:tcW w:w="946" w:type="dxa"/>
            <w:noWrap w:val="0"/>
            <w:vAlign w:val="center"/>
          </w:tcPr>
          <w:p>
            <w:pPr>
              <w:autoSpaceDE w:val="0"/>
              <w:autoSpaceDN w:val="0"/>
              <w:adjustRightInd w:val="0"/>
              <w:spacing w:line="300" w:lineRule="exact"/>
              <w:jc w:val="center"/>
              <w:rPr>
                <w:rFonts w:ascii="宋体" w:hAnsi="宋体"/>
                <w:color w:val="auto"/>
                <w:sz w:val="21"/>
                <w:szCs w:val="21"/>
              </w:rPr>
            </w:pPr>
            <w:r>
              <w:rPr>
                <w:rFonts w:hint="eastAsia" w:ascii="宋体" w:hAnsi="宋体"/>
                <w:color w:val="auto"/>
                <w:sz w:val="21"/>
                <w:szCs w:val="21"/>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jc w:val="center"/>
        </w:trPr>
        <w:tc>
          <w:tcPr>
            <w:tcW w:w="1847" w:type="dxa"/>
            <w:noWrap w:val="0"/>
            <w:vAlign w:val="center"/>
          </w:tcPr>
          <w:p>
            <w:pPr>
              <w:autoSpaceDE w:val="0"/>
              <w:autoSpaceDN w:val="0"/>
              <w:adjustRightInd w:val="0"/>
              <w:spacing w:line="300" w:lineRule="exact"/>
              <w:jc w:val="center"/>
              <w:rPr>
                <w:rFonts w:ascii="宋体" w:hAnsi="宋体"/>
                <w:color w:val="auto"/>
                <w:spacing w:val="-12"/>
                <w:sz w:val="21"/>
                <w:szCs w:val="21"/>
              </w:rPr>
            </w:pPr>
            <w:r>
              <w:rPr>
                <w:rFonts w:hint="eastAsia" w:ascii="宋体" w:hAnsi="宋体"/>
                <w:color w:val="auto"/>
                <w:spacing w:val="-12"/>
                <w:sz w:val="21"/>
                <w:szCs w:val="21"/>
              </w:rPr>
              <w:t>报价部分评分</w:t>
            </w:r>
          </w:p>
        </w:tc>
        <w:tc>
          <w:tcPr>
            <w:tcW w:w="5715" w:type="dxa"/>
            <w:gridSpan w:val="2"/>
            <w:noWrap w:val="0"/>
            <w:vAlign w:val="center"/>
          </w:tcPr>
          <w:p>
            <w:pPr>
              <w:spacing w:line="300" w:lineRule="exact"/>
              <w:ind w:firstLine="420" w:firstLineChars="200"/>
              <w:rPr>
                <w:rFonts w:ascii="宋体" w:hAnsi="宋体" w:cs="Arial"/>
                <w:color w:val="auto"/>
                <w:sz w:val="21"/>
                <w:szCs w:val="21"/>
              </w:rPr>
            </w:pPr>
            <w:r>
              <w:rPr>
                <w:rFonts w:hint="eastAsia" w:ascii="宋体" w:hAnsi="宋体" w:cs="Arial"/>
                <w:color w:val="auto"/>
                <w:sz w:val="21"/>
                <w:szCs w:val="21"/>
              </w:rPr>
              <w:t>根据各投标人的最终有效投标报价，以满足招标文件要求且最终有效投标价格最低的投标报价为评标基准价，其价格分为满分40分。其它投标人的价格分统一按照下列公式计算：投标报价得分=(评标基准价／投标报价)×40（四舍五入，精确到小数点后二位）。</w:t>
            </w:r>
          </w:p>
        </w:tc>
        <w:tc>
          <w:tcPr>
            <w:tcW w:w="1934" w:type="dxa"/>
            <w:noWrap w:val="0"/>
            <w:vAlign w:val="center"/>
          </w:tcPr>
          <w:p>
            <w:pPr>
              <w:autoSpaceDE w:val="0"/>
              <w:autoSpaceDN w:val="0"/>
              <w:adjustRightInd w:val="0"/>
              <w:spacing w:line="300" w:lineRule="exact"/>
              <w:jc w:val="center"/>
              <w:rPr>
                <w:rFonts w:ascii="宋体" w:hAnsi="宋体"/>
                <w:color w:val="auto"/>
                <w:sz w:val="21"/>
                <w:szCs w:val="21"/>
              </w:rPr>
            </w:pPr>
            <w:r>
              <w:rPr>
                <w:rFonts w:hint="eastAsia" w:ascii="宋体" w:hAnsi="宋体"/>
                <w:color w:val="auto"/>
                <w:sz w:val="21"/>
                <w:szCs w:val="21"/>
              </w:rPr>
              <w:t>以报价表中的金额为准</w:t>
            </w:r>
          </w:p>
        </w:tc>
        <w:tc>
          <w:tcPr>
            <w:tcW w:w="946" w:type="dxa"/>
            <w:noWrap w:val="0"/>
            <w:vAlign w:val="center"/>
          </w:tcPr>
          <w:p>
            <w:pPr>
              <w:autoSpaceDE w:val="0"/>
              <w:autoSpaceDN w:val="0"/>
              <w:adjustRightInd w:val="0"/>
              <w:spacing w:line="300" w:lineRule="exact"/>
              <w:jc w:val="center"/>
              <w:rPr>
                <w:rFonts w:ascii="宋体" w:hAnsi="宋体"/>
                <w:color w:val="auto"/>
                <w:sz w:val="21"/>
                <w:szCs w:val="21"/>
              </w:rPr>
            </w:pPr>
            <w:r>
              <w:rPr>
                <w:rFonts w:hint="eastAsia" w:ascii="宋体" w:hAnsi="宋体"/>
                <w:color w:val="auto"/>
                <w:sz w:val="21"/>
                <w:szCs w:val="21"/>
              </w:rPr>
              <w:t>40</w:t>
            </w:r>
          </w:p>
        </w:tc>
      </w:tr>
    </w:tbl>
    <w:p>
      <w:pPr>
        <w:numPr>
          <w:ilvl w:val="0"/>
          <w:numId w:val="0"/>
        </w:numPr>
        <w:rPr>
          <w:rFonts w:hint="eastAsia"/>
          <w:color w:val="auto"/>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D5DA6"/>
    <w:multiLevelType w:val="singleLevel"/>
    <w:tmpl w:val="5FFD5DA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D375F0"/>
    <w:rsid w:val="0A631FDC"/>
    <w:rsid w:val="0A967E76"/>
    <w:rsid w:val="11C20AAC"/>
    <w:rsid w:val="163D3252"/>
    <w:rsid w:val="17A026B2"/>
    <w:rsid w:val="17A5371A"/>
    <w:rsid w:val="25981D94"/>
    <w:rsid w:val="29626DFF"/>
    <w:rsid w:val="2C555377"/>
    <w:rsid w:val="2EA53EA1"/>
    <w:rsid w:val="45AD65A8"/>
    <w:rsid w:val="47303B78"/>
    <w:rsid w:val="4E275DB8"/>
    <w:rsid w:val="5C850B25"/>
    <w:rsid w:val="615549F0"/>
    <w:rsid w:val="64192675"/>
    <w:rsid w:val="657547FA"/>
    <w:rsid w:val="68130AB2"/>
    <w:rsid w:val="68683E55"/>
    <w:rsid w:val="71417F90"/>
    <w:rsid w:val="71544930"/>
    <w:rsid w:val="7D1A0F8C"/>
    <w:rsid w:val="7FAC29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uiPriority w:val="0"/>
    <w:pPr>
      <w:jc w:val="left"/>
    </w:pPr>
    <w:rPr>
      <w:rFonts w:eastAsia="宋体"/>
      <w:kern w:val="2"/>
      <w:sz w:val="21"/>
      <w:szCs w:val="24"/>
      <w:lang w:val="en-US" w:eastAsia="zh-CN" w:bidi="ar-SA"/>
    </w:rPr>
  </w:style>
  <w:style w:type="paragraph" w:styleId="3">
    <w:name w:val="Plain Text"/>
    <w:basedOn w:val="1"/>
    <w:qFormat/>
    <w:uiPriority w:val="0"/>
    <w:rPr>
      <w:rFonts w:ascii="宋体" w:hAnsi="Courier New" w:eastAsia="华文宋体"/>
      <w:kern w:val="2"/>
      <w:sz w:val="28"/>
      <w:lang w:val="en-US" w:eastAsia="zh-CN" w:bidi="ar-SA"/>
    </w:rPr>
  </w:style>
  <w:style w:type="paragraph" w:customStyle="1" w:styleId="6">
    <w:name w:val="正文（绿盟科技）"/>
    <w:qFormat/>
    <w:uiPriority w:val="0"/>
    <w:pPr>
      <w:spacing w:line="300" w:lineRule="auto"/>
    </w:pPr>
    <w:rPr>
      <w:rFonts w:ascii="Arial" w:hAnsi="Arial" w:eastAsiaTheme="minorEastAsia" w:cstheme="minorBidi"/>
      <w:sz w:val="21"/>
      <w:szCs w:val="21"/>
      <w:lang w:val="en-US" w:eastAsia="zh-CN" w:bidi="ar-SA"/>
    </w:rPr>
  </w:style>
  <w:style w:type="paragraph" w:customStyle="1" w:styleId="7">
    <w:name w:val="彩色列表 - 着色 11"/>
    <w:basedOn w:val="1"/>
    <w:qFormat/>
    <w:uiPriority w:val="34"/>
    <w:pPr>
      <w:ind w:firstLine="420" w:firstLineChars="200"/>
      <w:jc w:val="both"/>
    </w:pPr>
    <w:rPr>
      <w:rFonts w:ascii="Calibri" w:hAnsi="Calibri" w:cs="Times New Roman"/>
      <w:color w:val="auto"/>
      <w:kern w:val="2"/>
      <w:sz w:val="21"/>
      <w:szCs w:val="22"/>
      <w:lang w:val="en-US" w:eastAsia="zh-CN"/>
    </w:rPr>
  </w:style>
  <w:style w:type="character" w:customStyle="1" w:styleId="8">
    <w:name w:val="font11"/>
    <w:basedOn w:val="5"/>
    <w:qFormat/>
    <w:uiPriority w:val="0"/>
    <w:rPr>
      <w:rFonts w:hint="eastAsia" w:ascii="宋体" w:hAnsi="宋体" w:eastAsia="宋体" w:cs="宋体"/>
      <w:color w:val="000000"/>
      <w:sz w:val="20"/>
      <w:szCs w:val="20"/>
      <w:u w:val="none"/>
    </w:rPr>
  </w:style>
  <w:style w:type="paragraph" w:customStyle="1" w:styleId="9">
    <w:name w:val="样式"/>
    <w:qFormat/>
    <w:uiPriority w:val="0"/>
    <w:pPr>
      <w:widowControl w:val="0"/>
      <w:autoSpaceDE w:val="0"/>
      <w:autoSpaceDN w:val="0"/>
      <w:adjustRightInd w:val="0"/>
    </w:pPr>
    <w:rPr>
      <w:rFonts w:ascii="宋体" w:hAnsi="宋体" w:cs="宋体" w:eastAsiaTheme="minorEastAsia"/>
      <w:sz w:val="24"/>
      <w:szCs w:val="24"/>
      <w:lang w:val="en-US" w:eastAsia="zh-CN" w:bidi="ar-SA"/>
    </w:rPr>
  </w:style>
  <w:style w:type="paragraph" w:customStyle="1" w:styleId="10">
    <w:name w:val="Table Paragraph"/>
    <w:basedOn w:val="1"/>
    <w:qFormat/>
    <w:uiPriority w:val="1"/>
    <w:rPr>
      <w:rFonts w:ascii="Calibri" w:hAnsi="Calibri" w:cs="Times New Roman"/>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NTKO</cp:lastModifiedBy>
  <dcterms:modified xsi:type="dcterms:W3CDTF">2019-11-01T01:29:35Z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