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wordWrap w:val="0"/>
        <w:jc w:val="center"/>
        <w:rPr>
          <w:rFonts w:hint="eastAsia" w:ascii="宋体" w:hAnsi="宋体" w:cs="宋体"/>
          <w:color w:val="auto"/>
          <w:sz w:val="21"/>
          <w:szCs w:val="21"/>
          <w:highlight w:val="none"/>
        </w:rPr>
      </w:pPr>
      <w:r>
        <w:rPr>
          <w:rFonts w:hint="eastAsia" w:ascii="宋体" w:hAnsi="宋体" w:cs="宋体"/>
          <w:color w:val="auto"/>
          <w:kern w:val="0"/>
          <w:sz w:val="21"/>
          <w:szCs w:val="21"/>
          <w:highlight w:val="none"/>
          <w:lang w:bidi="ar"/>
        </w:rPr>
        <w:t>2020年铜陵学院网络中心优化升级设备</w:t>
      </w:r>
    </w:p>
    <w:p>
      <w:pPr>
        <w:numPr>
          <w:ilvl w:val="0"/>
          <w:numId w:val="1"/>
        </w:numPr>
        <w:rPr>
          <w:rFonts w:hint="eastAsia"/>
          <w:color w:val="auto"/>
          <w:sz w:val="21"/>
          <w:szCs w:val="21"/>
          <w:lang w:val="en-US" w:eastAsia="zh-CN"/>
        </w:rPr>
      </w:pPr>
      <w:r>
        <w:rPr>
          <w:rFonts w:hint="eastAsia"/>
          <w:color w:val="auto"/>
          <w:sz w:val="21"/>
          <w:szCs w:val="21"/>
          <w:lang w:val="en-US" w:eastAsia="zh-CN"/>
        </w:rPr>
        <w:t>项目概况</w:t>
      </w:r>
    </w:p>
    <w:p>
      <w:pPr>
        <w:pStyle w:val="10"/>
        <w:ind w:firstLine="560"/>
        <w:rPr>
          <w:rFonts w:ascii="宋体" w:hAnsi="宋体" w:cs="宋体"/>
          <w:color w:val="auto"/>
          <w:kern w:val="0"/>
          <w:sz w:val="21"/>
          <w:szCs w:val="21"/>
          <w:highlight w:val="none"/>
        </w:rPr>
      </w:pPr>
      <w:r>
        <w:rPr>
          <w:rFonts w:ascii="宋体" w:hAnsi="宋体" w:cs="宋体"/>
          <w:color w:val="auto"/>
          <w:kern w:val="0"/>
          <w:sz w:val="21"/>
          <w:szCs w:val="21"/>
          <w:highlight w:val="none"/>
        </w:rPr>
        <w:t>本次项目对数据中心优化升级，按照等级保护2.0的要求加强学校web网站资产的信息安全管理，搭建物联终端接入专网，实现校园网络统一流量镜像的管理。</w:t>
      </w:r>
    </w:p>
    <w:p>
      <w:pPr>
        <w:numPr>
          <w:ilvl w:val="0"/>
          <w:numId w:val="0"/>
        </w:numPr>
        <w:rPr>
          <w:rFonts w:hint="eastAsia"/>
          <w:color w:val="auto"/>
          <w:sz w:val="21"/>
          <w:szCs w:val="21"/>
          <w:lang w:val="en-US" w:eastAsia="zh-CN"/>
        </w:rPr>
      </w:pPr>
    </w:p>
    <w:p>
      <w:pPr>
        <w:numPr>
          <w:ilvl w:val="0"/>
          <w:numId w:val="1"/>
        </w:numPr>
        <w:rPr>
          <w:rFonts w:hint="eastAsia"/>
          <w:color w:val="auto"/>
          <w:sz w:val="21"/>
          <w:szCs w:val="21"/>
          <w:lang w:val="en-US" w:eastAsia="zh-CN"/>
        </w:rPr>
      </w:pPr>
      <w:r>
        <w:rPr>
          <w:rFonts w:hint="eastAsia"/>
          <w:color w:val="auto"/>
          <w:sz w:val="21"/>
          <w:szCs w:val="21"/>
          <w:lang w:val="en-US" w:eastAsia="zh-CN"/>
        </w:rPr>
        <w:t>资格条件：</w:t>
      </w:r>
    </w:p>
    <w:p>
      <w:pPr>
        <w:widowControl/>
        <w:shd w:val="clear" w:color="auto" w:fill="FFFFFF"/>
        <w:spacing w:line="560" w:lineRule="exact"/>
        <w:ind w:firstLine="640"/>
        <w:rPr>
          <w:rFonts w:ascii="宋体" w:hAnsi="宋体" w:cs="宋体"/>
          <w:color w:val="auto"/>
          <w:kern w:val="0"/>
          <w:sz w:val="21"/>
          <w:szCs w:val="21"/>
          <w:lang w:val="zh-CN"/>
        </w:rPr>
      </w:pPr>
      <w:r>
        <w:rPr>
          <w:rFonts w:hint="eastAsia" w:ascii="宋体" w:hAnsi="宋体" w:cs="宋体"/>
          <w:color w:val="auto"/>
          <w:kern w:val="0"/>
          <w:sz w:val="21"/>
          <w:szCs w:val="21"/>
          <w:lang w:val="zh-CN"/>
        </w:rPr>
        <w:t>1、符合《中华人民共和国政府采购法》第二十二条规定，</w:t>
      </w:r>
      <w:r>
        <w:rPr>
          <w:rFonts w:hint="eastAsia" w:cs="华文仿宋"/>
          <w:color w:val="auto"/>
          <w:sz w:val="21"/>
          <w:szCs w:val="21"/>
        </w:rPr>
        <w:t>且具有从事本项目的经营范围和能力；</w:t>
      </w:r>
    </w:p>
    <w:p>
      <w:pPr>
        <w:widowControl/>
        <w:shd w:val="clear" w:color="auto" w:fill="FFFFFF"/>
        <w:spacing w:line="560" w:lineRule="exact"/>
        <w:ind w:firstLine="640"/>
        <w:rPr>
          <w:rFonts w:ascii="宋体" w:hAnsi="宋体" w:cs="宋体"/>
          <w:color w:val="auto"/>
          <w:kern w:val="0"/>
          <w:sz w:val="21"/>
          <w:szCs w:val="21"/>
          <w:lang w:val="zh-CN"/>
        </w:rPr>
      </w:pPr>
      <w:r>
        <w:rPr>
          <w:rFonts w:hint="eastAsia" w:ascii="宋体" w:hAnsi="宋体" w:cs="宋体"/>
          <w:color w:val="auto"/>
          <w:kern w:val="0"/>
          <w:sz w:val="21"/>
          <w:szCs w:val="21"/>
          <w:lang w:val="zh-CN"/>
        </w:rPr>
        <w:t>2、本项目不接受联合体投标；</w:t>
      </w:r>
      <w:bookmarkStart w:id="0" w:name="_GoBack"/>
      <w:bookmarkEnd w:id="0"/>
    </w:p>
    <w:p>
      <w:pPr>
        <w:widowControl/>
        <w:shd w:val="clear" w:color="auto" w:fill="FFFFFF"/>
        <w:spacing w:line="560" w:lineRule="exact"/>
        <w:ind w:firstLine="640"/>
        <w:rPr>
          <w:rFonts w:ascii="宋体" w:hAnsi="宋体" w:cs="宋体"/>
          <w:color w:val="auto"/>
          <w:kern w:val="0"/>
          <w:sz w:val="21"/>
          <w:szCs w:val="21"/>
          <w:lang w:val="zh-CN"/>
        </w:rPr>
      </w:pPr>
      <w:r>
        <w:rPr>
          <w:rFonts w:hint="eastAsia" w:ascii="宋体" w:hAnsi="宋体" w:cs="宋体"/>
          <w:color w:val="auto"/>
          <w:kern w:val="0"/>
          <w:sz w:val="21"/>
          <w:szCs w:val="21"/>
          <w:lang w:val="zh-CN"/>
        </w:rPr>
        <w:t>3、供应商存在以下不良信用记录情形之一的，不得推荐为中标候选供应商，不得确定为中标供应商：</w:t>
      </w:r>
    </w:p>
    <w:p>
      <w:pPr>
        <w:widowControl/>
        <w:shd w:val="clear" w:color="auto" w:fill="FFFFFF"/>
        <w:spacing w:line="560" w:lineRule="exact"/>
        <w:ind w:firstLine="640"/>
        <w:rPr>
          <w:rFonts w:ascii="宋体" w:hAnsi="宋体" w:cs="宋体"/>
          <w:color w:val="auto"/>
          <w:kern w:val="0"/>
          <w:sz w:val="21"/>
          <w:szCs w:val="21"/>
          <w:lang w:val="zh-CN"/>
        </w:rPr>
      </w:pPr>
      <w:r>
        <w:rPr>
          <w:rFonts w:hint="eastAsia" w:ascii="宋体" w:hAnsi="宋体" w:cs="宋体"/>
          <w:color w:val="auto"/>
          <w:kern w:val="0"/>
          <w:sz w:val="21"/>
          <w:szCs w:val="21"/>
          <w:lang w:val="zh-CN"/>
        </w:rPr>
        <w:t>(1）供应商被人民法院列入失信被执行人的；</w:t>
      </w:r>
    </w:p>
    <w:p>
      <w:pPr>
        <w:widowControl/>
        <w:shd w:val="clear" w:color="auto" w:fill="FFFFFF"/>
        <w:spacing w:line="560" w:lineRule="exact"/>
        <w:ind w:firstLine="640"/>
        <w:rPr>
          <w:rFonts w:ascii="宋体" w:hAnsi="宋体" w:cs="宋体"/>
          <w:color w:val="auto"/>
          <w:kern w:val="0"/>
          <w:sz w:val="21"/>
          <w:szCs w:val="21"/>
          <w:lang w:val="zh-CN"/>
        </w:rPr>
      </w:pPr>
      <w:r>
        <w:rPr>
          <w:rFonts w:hint="eastAsia" w:ascii="宋体" w:hAnsi="宋体" w:cs="宋体"/>
          <w:color w:val="auto"/>
          <w:kern w:val="0"/>
          <w:sz w:val="21"/>
          <w:szCs w:val="21"/>
          <w:lang w:val="zh-CN"/>
        </w:rPr>
        <w:t>(2）供应商或其法定代表人或拟派项目经理（项目负责人）被人民检察院列入行贿犯罪档案的；</w:t>
      </w:r>
    </w:p>
    <w:p>
      <w:pPr>
        <w:widowControl/>
        <w:shd w:val="clear" w:color="auto" w:fill="FFFFFF"/>
        <w:spacing w:line="560" w:lineRule="exact"/>
        <w:ind w:firstLine="640"/>
        <w:rPr>
          <w:rFonts w:ascii="宋体" w:hAnsi="宋体" w:cs="宋体"/>
          <w:color w:val="auto"/>
          <w:kern w:val="0"/>
          <w:sz w:val="21"/>
          <w:szCs w:val="21"/>
          <w:lang w:val="zh-CN"/>
        </w:rPr>
      </w:pPr>
      <w:r>
        <w:rPr>
          <w:rFonts w:hint="eastAsia" w:ascii="宋体" w:hAnsi="宋体" w:cs="宋体"/>
          <w:color w:val="auto"/>
          <w:kern w:val="0"/>
          <w:sz w:val="21"/>
          <w:szCs w:val="21"/>
          <w:lang w:val="zh-CN"/>
        </w:rPr>
        <w:t>(3）供应商被工商行政管理部门列入企业经营异常名录的；</w:t>
      </w:r>
    </w:p>
    <w:p>
      <w:pPr>
        <w:widowControl/>
        <w:shd w:val="clear" w:color="auto" w:fill="FFFFFF"/>
        <w:spacing w:line="560" w:lineRule="exact"/>
        <w:ind w:firstLine="640"/>
        <w:rPr>
          <w:rFonts w:ascii="宋体" w:hAnsi="宋体" w:cs="宋体"/>
          <w:color w:val="auto"/>
          <w:kern w:val="0"/>
          <w:sz w:val="21"/>
          <w:szCs w:val="21"/>
          <w:lang w:val="zh-CN"/>
        </w:rPr>
      </w:pPr>
      <w:r>
        <w:rPr>
          <w:rFonts w:hint="eastAsia" w:ascii="宋体" w:hAnsi="宋体" w:cs="宋体"/>
          <w:color w:val="auto"/>
          <w:kern w:val="0"/>
          <w:sz w:val="21"/>
          <w:szCs w:val="21"/>
          <w:lang w:val="zh-CN"/>
        </w:rPr>
        <w:t>(4）供应商被税务部门列入重大税收违法案件当事人名单的；</w:t>
      </w:r>
    </w:p>
    <w:p>
      <w:pPr>
        <w:widowControl/>
        <w:shd w:val="clear" w:color="auto" w:fill="FFFFFF"/>
        <w:spacing w:line="560" w:lineRule="exact"/>
        <w:ind w:firstLine="640"/>
        <w:rPr>
          <w:rFonts w:ascii="宋体" w:hAnsi="宋体" w:cs="宋体"/>
          <w:color w:val="auto"/>
          <w:kern w:val="0"/>
          <w:sz w:val="21"/>
          <w:szCs w:val="21"/>
          <w:lang w:val="zh-CN"/>
        </w:rPr>
      </w:pPr>
      <w:r>
        <w:rPr>
          <w:rFonts w:hint="eastAsia" w:ascii="宋体" w:hAnsi="宋体" w:cs="宋体"/>
          <w:color w:val="auto"/>
          <w:kern w:val="0"/>
          <w:sz w:val="21"/>
          <w:szCs w:val="21"/>
          <w:lang w:val="zh-CN"/>
        </w:rPr>
        <w:t>(5）供应商被政府采购监管部门列入政府采购严重违法失信行为记录名单的。</w:t>
      </w:r>
    </w:p>
    <w:p>
      <w:pPr>
        <w:numPr>
          <w:ilvl w:val="0"/>
          <w:numId w:val="1"/>
        </w:numPr>
        <w:rPr>
          <w:rFonts w:hint="eastAsia"/>
          <w:color w:val="auto"/>
          <w:sz w:val="21"/>
          <w:szCs w:val="21"/>
          <w:lang w:val="en-US" w:eastAsia="zh-CN"/>
        </w:rPr>
      </w:pPr>
      <w:r>
        <w:rPr>
          <w:rFonts w:hint="eastAsia"/>
          <w:color w:val="auto"/>
          <w:sz w:val="21"/>
          <w:szCs w:val="21"/>
          <w:lang w:val="en-US" w:eastAsia="zh-CN"/>
        </w:rPr>
        <w:t>技术参数：</w:t>
      </w:r>
    </w:p>
    <w:p>
      <w:pPr>
        <w:numPr>
          <w:ilvl w:val="0"/>
          <w:numId w:val="0"/>
        </w:numPr>
        <w:rPr>
          <w:rFonts w:hint="eastAsia"/>
          <w:color w:val="auto"/>
          <w:sz w:val="21"/>
          <w:szCs w:val="21"/>
          <w:lang w:val="en-US" w:eastAsia="zh-CN"/>
        </w:rPr>
      </w:pPr>
    </w:p>
    <w:p>
      <w:pPr>
        <w:ind w:firstLine="420" w:firstLineChars="200"/>
        <w:rPr>
          <w:rFonts w:ascii="宋体" w:hAnsi="宋体"/>
          <w:color w:val="auto"/>
          <w:sz w:val="21"/>
          <w:szCs w:val="21"/>
          <w:highlight w:val="none"/>
        </w:rPr>
      </w:pPr>
      <w:r>
        <w:rPr>
          <w:rFonts w:hint="eastAsia" w:ascii="宋体" w:hAnsi="宋体"/>
          <w:color w:val="auto"/>
          <w:sz w:val="21"/>
          <w:szCs w:val="21"/>
          <w:highlight w:val="none"/>
        </w:rPr>
        <w:t>一、 项目需求：</w:t>
      </w:r>
    </w:p>
    <w:p>
      <w:pPr>
        <w:rPr>
          <w:rFonts w:ascii="宋体" w:hAnsi="宋体"/>
          <w:b/>
          <w:color w:val="auto"/>
          <w:sz w:val="21"/>
          <w:szCs w:val="21"/>
          <w:highlight w:val="none"/>
        </w:rPr>
      </w:pPr>
      <w:r>
        <w:rPr>
          <w:rFonts w:hint="eastAsia" w:ascii="宋体" w:hAnsi="宋体"/>
          <w:b/>
          <w:color w:val="auto"/>
          <w:sz w:val="21"/>
          <w:szCs w:val="21"/>
          <w:highlight w:val="none"/>
        </w:rPr>
        <w:t>1、项目背景、基本情况、基本条件</w:t>
      </w:r>
    </w:p>
    <w:p>
      <w:pPr>
        <w:pStyle w:val="10"/>
        <w:rPr>
          <w:color w:val="auto"/>
          <w:sz w:val="21"/>
          <w:szCs w:val="21"/>
          <w:highlight w:val="none"/>
        </w:rPr>
      </w:pPr>
      <w:r>
        <w:rPr>
          <w:rFonts w:hint="eastAsia"/>
          <w:color w:val="auto"/>
          <w:sz w:val="21"/>
          <w:szCs w:val="21"/>
          <w:highlight w:val="none"/>
        </w:rPr>
        <w:t>学院</w:t>
      </w:r>
      <w:r>
        <w:rPr>
          <w:color w:val="auto"/>
          <w:sz w:val="21"/>
          <w:szCs w:val="21"/>
          <w:highlight w:val="none"/>
        </w:rPr>
        <w:t>校园</w:t>
      </w:r>
      <w:r>
        <w:rPr>
          <w:rFonts w:hint="eastAsia"/>
          <w:color w:val="auto"/>
          <w:sz w:val="21"/>
          <w:szCs w:val="21"/>
          <w:highlight w:val="none"/>
        </w:rPr>
        <w:t>智慧校园建设</w:t>
      </w:r>
      <w:r>
        <w:rPr>
          <w:color w:val="auto"/>
          <w:sz w:val="21"/>
          <w:szCs w:val="21"/>
          <w:highlight w:val="none"/>
        </w:rPr>
        <w:t>以主干网建设为基础，以信息资源开发为重点，改革创新，面向应用，突出多学科综合性大学特色，建设一个先进、实用、高效、规范、安全的校园网络，为科研、教学和管理服务，为培养创新人才、建设学科门类齐全、富有特色的优秀本科院校提供现代化网络信息环境，使我校网络成为重要的网络服务和信息资源中心。经过多年的网络建设，校园网络的基础设施越来越先进，网络的应用越来越广泛，校园网络在全校的各项工作中发挥了极为重要的作用。</w:t>
      </w:r>
    </w:p>
    <w:p>
      <w:pPr>
        <w:spacing w:line="360" w:lineRule="auto"/>
        <w:rPr>
          <w:rFonts w:ascii="宋体" w:hAnsi="宋体" w:cs="宋体"/>
          <w:b/>
          <w:color w:val="auto"/>
          <w:sz w:val="21"/>
          <w:szCs w:val="21"/>
          <w:highlight w:val="none"/>
        </w:rPr>
      </w:pPr>
      <w:r>
        <w:rPr>
          <w:rFonts w:hint="eastAsia" w:ascii="宋体" w:hAnsi="宋体" w:cs="宋体"/>
          <w:b/>
          <w:color w:val="auto"/>
          <w:sz w:val="21"/>
          <w:szCs w:val="21"/>
          <w:highlight w:val="none"/>
        </w:rPr>
        <w:t>2、</w:t>
      </w:r>
      <w:r>
        <w:rPr>
          <w:rFonts w:ascii="宋体" w:hAnsi="宋体" w:cs="宋体"/>
          <w:b/>
          <w:color w:val="auto"/>
          <w:sz w:val="21"/>
          <w:szCs w:val="21"/>
          <w:highlight w:val="none"/>
        </w:rPr>
        <w:t>采购内容</w:t>
      </w:r>
    </w:p>
    <w:p>
      <w:pPr>
        <w:pStyle w:val="10"/>
        <w:rPr>
          <w:color w:val="auto"/>
          <w:sz w:val="21"/>
          <w:szCs w:val="21"/>
          <w:highlight w:val="none"/>
        </w:rPr>
      </w:pPr>
      <w:r>
        <w:rPr>
          <w:rFonts w:hint="eastAsia"/>
          <w:color w:val="auto"/>
          <w:sz w:val="21"/>
          <w:szCs w:val="21"/>
          <w:highlight w:val="none"/>
        </w:rPr>
        <w:t>（1）数据中心优化升级：为保证现有的虚拟化平台的稳定运行，需增加</w:t>
      </w:r>
      <w:r>
        <w:rPr>
          <w:color w:val="auto"/>
          <w:sz w:val="21"/>
          <w:szCs w:val="21"/>
          <w:highlight w:val="none"/>
        </w:rPr>
        <w:t>3</w:t>
      </w:r>
      <w:r>
        <w:rPr>
          <w:rFonts w:hint="eastAsia"/>
          <w:color w:val="auto"/>
          <w:sz w:val="21"/>
          <w:szCs w:val="21"/>
          <w:highlight w:val="none"/>
        </w:rPr>
        <w:t>台虚拟化服务器，替换1</w:t>
      </w:r>
      <w:r>
        <w:rPr>
          <w:color w:val="auto"/>
          <w:sz w:val="21"/>
          <w:szCs w:val="21"/>
          <w:highlight w:val="none"/>
        </w:rPr>
        <w:t>2</w:t>
      </w:r>
      <w:r>
        <w:rPr>
          <w:rFonts w:hint="eastAsia"/>
          <w:color w:val="auto"/>
          <w:sz w:val="21"/>
          <w:szCs w:val="21"/>
          <w:highlight w:val="none"/>
        </w:rPr>
        <w:t>年所采购的虚拟化服务器，并完成虚拟机的迁移。同时对数据中心的网络进行升级，由原有的千兆网络升级为万兆网络。</w:t>
      </w:r>
    </w:p>
    <w:p>
      <w:pPr>
        <w:pStyle w:val="10"/>
        <w:rPr>
          <w:color w:val="auto"/>
          <w:sz w:val="21"/>
          <w:szCs w:val="21"/>
          <w:highlight w:val="none"/>
        </w:rPr>
      </w:pPr>
      <w:r>
        <w:rPr>
          <w:rFonts w:hint="eastAsia"/>
          <w:color w:val="auto"/>
          <w:sz w:val="21"/>
          <w:szCs w:val="21"/>
          <w:highlight w:val="none"/>
        </w:rPr>
        <w:t>（2）加强学校web网站的资产管理，及时发现web网站的潜在风险，避免安全事件的发生</w:t>
      </w:r>
    </w:p>
    <w:p>
      <w:pPr>
        <w:pStyle w:val="10"/>
        <w:rPr>
          <w:color w:val="auto"/>
          <w:sz w:val="21"/>
          <w:szCs w:val="21"/>
          <w:highlight w:val="none"/>
        </w:rPr>
      </w:pPr>
      <w:r>
        <w:rPr>
          <w:rFonts w:hint="eastAsia"/>
          <w:color w:val="auto"/>
          <w:sz w:val="21"/>
          <w:szCs w:val="21"/>
          <w:highlight w:val="none"/>
        </w:rPr>
        <w:t>（3）物联终端接入专网搭建: 建针对物联终端的接入专网，实现校内的物联哑终端的统一接入和管理，同时与现有校园网络实现逻辑隔离，保证校园网络的安全</w:t>
      </w:r>
    </w:p>
    <w:p>
      <w:pPr>
        <w:pStyle w:val="10"/>
        <w:rPr>
          <w:color w:val="auto"/>
          <w:sz w:val="21"/>
          <w:szCs w:val="21"/>
          <w:highlight w:val="none"/>
        </w:rPr>
      </w:pPr>
      <w:r>
        <w:rPr>
          <w:rFonts w:hint="eastAsia"/>
          <w:bCs/>
          <w:color w:val="auto"/>
          <w:sz w:val="21"/>
          <w:szCs w:val="21"/>
          <w:highlight w:val="none"/>
        </w:rPr>
        <w:t>（4）校园网络统一流量镜像管理：为</w:t>
      </w:r>
      <w:r>
        <w:rPr>
          <w:rFonts w:hint="eastAsia"/>
          <w:color w:val="auto"/>
          <w:sz w:val="21"/>
          <w:szCs w:val="21"/>
          <w:highlight w:val="none"/>
        </w:rPr>
        <w:t>了保护原有投资，本次在现有的S</w:t>
      </w:r>
      <w:r>
        <w:rPr>
          <w:color w:val="auto"/>
          <w:sz w:val="21"/>
          <w:szCs w:val="21"/>
          <w:highlight w:val="none"/>
        </w:rPr>
        <w:t>DN</w:t>
      </w:r>
      <w:r>
        <w:rPr>
          <w:rFonts w:hint="eastAsia"/>
          <w:color w:val="auto"/>
          <w:sz w:val="21"/>
          <w:szCs w:val="21"/>
          <w:highlight w:val="none"/>
        </w:rPr>
        <w:t>平台上增加S</w:t>
      </w:r>
      <w:r>
        <w:rPr>
          <w:color w:val="auto"/>
          <w:sz w:val="21"/>
          <w:szCs w:val="21"/>
          <w:highlight w:val="none"/>
        </w:rPr>
        <w:t>DN</w:t>
      </w:r>
      <w:r>
        <w:rPr>
          <w:rFonts w:hint="eastAsia"/>
          <w:color w:val="auto"/>
          <w:sz w:val="21"/>
          <w:szCs w:val="21"/>
          <w:highlight w:val="none"/>
        </w:rPr>
        <w:t>包代理（智能分流）的功能。基于SDN技术，部署于端口镜像与监控设备之间，作为网络流量的一体化采集和分发平台，提供物理网络和虚拟化环境中，网络流量的报文复制、汇聚、映射、负载均衡等功能，在统一平台中实现更为高效的精细化管理。</w:t>
      </w:r>
    </w:p>
    <w:p>
      <w:pPr>
        <w:spacing w:line="360" w:lineRule="auto"/>
        <w:rPr>
          <w:rFonts w:hint="eastAsia" w:ascii="宋体" w:hAnsi="宋体" w:cs="宋体"/>
          <w:b/>
          <w:color w:val="auto"/>
          <w:sz w:val="21"/>
          <w:szCs w:val="21"/>
          <w:highlight w:val="none"/>
        </w:rPr>
      </w:pPr>
    </w:p>
    <w:p>
      <w:pPr>
        <w:spacing w:line="360" w:lineRule="auto"/>
        <w:rPr>
          <w:rFonts w:hint="eastAsia" w:ascii="Arial" w:hAnsi="Arial" w:cs="宋体"/>
          <w:b/>
          <w:color w:val="auto"/>
          <w:sz w:val="21"/>
          <w:szCs w:val="21"/>
          <w:highlight w:val="none"/>
        </w:rPr>
      </w:pPr>
      <w:r>
        <w:rPr>
          <w:rFonts w:hint="eastAsia" w:ascii="Arial" w:hAnsi="Arial" w:cs="宋体"/>
          <w:b/>
          <w:color w:val="auto"/>
          <w:sz w:val="21"/>
          <w:szCs w:val="21"/>
          <w:highlight w:val="none"/>
        </w:rPr>
        <w:t>二、项目预算</w:t>
      </w:r>
    </w:p>
    <w:p>
      <w:pPr>
        <w:widowControl/>
        <w:rPr>
          <w:rFonts w:ascii="宋体" w:hAnsi="宋体" w:cs="宋体"/>
          <w:color w:val="auto"/>
          <w:sz w:val="21"/>
          <w:szCs w:val="21"/>
          <w:highlight w:val="none"/>
        </w:rPr>
      </w:pPr>
      <w:r>
        <w:rPr>
          <w:rFonts w:hint="eastAsia" w:ascii="宋体" w:hAnsi="宋体"/>
          <w:color w:val="auto"/>
          <w:sz w:val="21"/>
          <w:szCs w:val="21"/>
          <w:highlight w:val="none"/>
        </w:rPr>
        <w:t>经批复的本项目预算：143万</w:t>
      </w:r>
    </w:p>
    <w:p>
      <w:pPr>
        <w:ind w:firstLine="420" w:firstLineChars="200"/>
        <w:rPr>
          <w:rFonts w:hint="eastAsia" w:ascii="宋体" w:hAnsi="宋体"/>
          <w:color w:val="auto"/>
          <w:sz w:val="21"/>
          <w:szCs w:val="21"/>
          <w:highlight w:val="none"/>
        </w:rPr>
      </w:pPr>
    </w:p>
    <w:p>
      <w:pPr>
        <w:spacing w:line="360" w:lineRule="auto"/>
        <w:rPr>
          <w:rFonts w:hint="eastAsia" w:ascii="Arial" w:hAnsi="Arial" w:cs="宋体"/>
          <w:b/>
          <w:color w:val="auto"/>
          <w:sz w:val="21"/>
          <w:szCs w:val="21"/>
          <w:highlight w:val="none"/>
        </w:rPr>
      </w:pPr>
      <w:r>
        <w:rPr>
          <w:rFonts w:hint="eastAsia" w:ascii="Arial" w:hAnsi="Arial" w:cs="宋体"/>
          <w:b/>
          <w:color w:val="auto"/>
          <w:sz w:val="21"/>
          <w:szCs w:val="21"/>
          <w:highlight w:val="none"/>
        </w:rPr>
        <w:t>三、技术方案或服务内容、范围</w:t>
      </w:r>
    </w:p>
    <w:p>
      <w:pPr>
        <w:ind w:firstLine="420" w:firstLineChars="200"/>
        <w:rPr>
          <w:rFonts w:hint="eastAsia" w:ascii="宋体" w:hAnsi="宋体"/>
          <w:b/>
          <w:color w:val="auto"/>
          <w:sz w:val="21"/>
          <w:szCs w:val="21"/>
          <w:highlight w:val="none"/>
        </w:rPr>
      </w:pPr>
      <w:r>
        <w:rPr>
          <w:rFonts w:hint="eastAsia" w:ascii="宋体" w:hAnsi="宋体"/>
          <w:color w:val="auto"/>
          <w:sz w:val="21"/>
          <w:szCs w:val="21"/>
          <w:highlight w:val="none"/>
        </w:rPr>
        <w:t xml:space="preserve">   </w:t>
      </w:r>
      <w:r>
        <w:rPr>
          <w:rFonts w:hint="eastAsia" w:ascii="宋体" w:hAnsi="宋体"/>
          <w:b/>
          <w:color w:val="auto"/>
          <w:sz w:val="21"/>
          <w:szCs w:val="21"/>
          <w:highlight w:val="none"/>
        </w:rPr>
        <w:t xml:space="preserve"> （1）、采购需求表</w:t>
      </w:r>
    </w:p>
    <w:tbl>
      <w:tblPr>
        <w:tblStyle w:val="4"/>
        <w:tblW w:w="9896" w:type="dxa"/>
        <w:jc w:val="center"/>
        <w:tblLayout w:type="autofit"/>
        <w:tblCellMar>
          <w:top w:w="0" w:type="dxa"/>
          <w:left w:w="108" w:type="dxa"/>
          <w:bottom w:w="0" w:type="dxa"/>
          <w:right w:w="108" w:type="dxa"/>
        </w:tblCellMar>
      </w:tblPr>
      <w:tblGrid>
        <w:gridCol w:w="796"/>
        <w:gridCol w:w="1326"/>
        <w:gridCol w:w="6182"/>
        <w:gridCol w:w="796"/>
        <w:gridCol w:w="796"/>
      </w:tblGrid>
      <w:tr>
        <w:tblPrEx>
          <w:tblCellMar>
            <w:top w:w="0" w:type="dxa"/>
            <w:left w:w="108" w:type="dxa"/>
            <w:bottom w:w="0" w:type="dxa"/>
            <w:right w:w="108" w:type="dxa"/>
          </w:tblCellMar>
        </w:tblPrEx>
        <w:trPr>
          <w:trHeight w:val="276" w:hRule="atLeast"/>
          <w:tblHeader/>
          <w:jc w:val="center"/>
        </w:trPr>
        <w:tc>
          <w:tcPr>
            <w:tcW w:w="79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auto"/>
                <w:sz w:val="21"/>
                <w:szCs w:val="21"/>
                <w:highlight w:val="none"/>
              </w:rPr>
            </w:pPr>
            <w:r>
              <w:rPr>
                <w:rFonts w:hint="eastAsia" w:ascii="宋体" w:hAnsi="宋体" w:cs="宋体"/>
                <w:color w:val="auto"/>
                <w:sz w:val="21"/>
                <w:szCs w:val="21"/>
                <w:highlight w:val="none"/>
              </w:rPr>
              <w:t>序号</w:t>
            </w:r>
          </w:p>
        </w:tc>
        <w:tc>
          <w:tcPr>
            <w:tcW w:w="1326"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cs="宋体"/>
                <w:color w:val="auto"/>
                <w:sz w:val="21"/>
                <w:szCs w:val="21"/>
                <w:highlight w:val="none"/>
              </w:rPr>
            </w:pPr>
            <w:r>
              <w:rPr>
                <w:rFonts w:hint="eastAsia" w:ascii="宋体" w:hAnsi="宋体" w:cs="宋体"/>
                <w:color w:val="auto"/>
                <w:sz w:val="21"/>
                <w:szCs w:val="21"/>
                <w:highlight w:val="none"/>
              </w:rPr>
              <w:t>品目名称</w:t>
            </w:r>
          </w:p>
        </w:tc>
        <w:tc>
          <w:tcPr>
            <w:tcW w:w="6182"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cs="宋体"/>
                <w:color w:val="auto"/>
                <w:sz w:val="21"/>
                <w:szCs w:val="21"/>
                <w:highlight w:val="none"/>
              </w:rPr>
            </w:pPr>
            <w:r>
              <w:rPr>
                <w:rFonts w:hint="eastAsia" w:ascii="宋体" w:hAnsi="宋体" w:cs="宋体"/>
                <w:color w:val="auto"/>
                <w:sz w:val="21"/>
                <w:szCs w:val="21"/>
                <w:highlight w:val="none"/>
              </w:rPr>
              <w:t>技术参数要求</w:t>
            </w:r>
          </w:p>
        </w:tc>
        <w:tc>
          <w:tcPr>
            <w:tcW w:w="796"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cs="宋体"/>
                <w:color w:val="auto"/>
                <w:sz w:val="21"/>
                <w:szCs w:val="21"/>
                <w:highlight w:val="none"/>
              </w:rPr>
            </w:pPr>
            <w:r>
              <w:rPr>
                <w:rFonts w:hint="eastAsia" w:ascii="宋体" w:hAnsi="宋体" w:cs="宋体"/>
                <w:color w:val="auto"/>
                <w:sz w:val="21"/>
                <w:szCs w:val="21"/>
                <w:highlight w:val="none"/>
              </w:rPr>
              <w:t>数量</w:t>
            </w:r>
          </w:p>
        </w:tc>
        <w:tc>
          <w:tcPr>
            <w:tcW w:w="796"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cs="宋体"/>
                <w:color w:val="auto"/>
                <w:sz w:val="21"/>
                <w:szCs w:val="21"/>
                <w:highlight w:val="none"/>
              </w:rPr>
            </w:pPr>
            <w:r>
              <w:rPr>
                <w:rFonts w:hint="eastAsia" w:ascii="宋体" w:hAnsi="宋体" w:cs="宋体"/>
                <w:color w:val="auto"/>
                <w:sz w:val="21"/>
                <w:szCs w:val="21"/>
                <w:highlight w:val="none"/>
              </w:rPr>
              <w:t>单位</w:t>
            </w:r>
          </w:p>
        </w:tc>
      </w:tr>
      <w:tr>
        <w:tblPrEx>
          <w:tblCellMar>
            <w:top w:w="0" w:type="dxa"/>
            <w:left w:w="108" w:type="dxa"/>
            <w:bottom w:w="0" w:type="dxa"/>
            <w:right w:w="108" w:type="dxa"/>
          </w:tblCellMar>
        </w:tblPrEx>
        <w:trPr>
          <w:trHeight w:val="276" w:hRule="atLeast"/>
          <w:jc w:val="center"/>
        </w:trPr>
        <w:tc>
          <w:tcPr>
            <w:tcW w:w="796"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等线" w:cs="宋体"/>
                <w:color w:val="auto"/>
                <w:sz w:val="21"/>
                <w:szCs w:val="21"/>
                <w:highlight w:val="none"/>
              </w:rPr>
            </w:pPr>
            <w:r>
              <w:rPr>
                <w:rFonts w:hint="eastAsia" w:ascii="宋体" w:hAnsi="宋体" w:eastAsia="等线" w:cs="宋体"/>
                <w:color w:val="auto"/>
                <w:sz w:val="21"/>
                <w:szCs w:val="21"/>
                <w:highlight w:val="none"/>
              </w:rPr>
              <w:t>1</w:t>
            </w:r>
          </w:p>
        </w:tc>
        <w:tc>
          <w:tcPr>
            <w:tcW w:w="132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auto"/>
                <w:sz w:val="21"/>
                <w:szCs w:val="21"/>
                <w:highlight w:val="none"/>
              </w:rPr>
            </w:pPr>
            <w:r>
              <w:rPr>
                <w:rFonts w:hint="eastAsia" w:ascii="宋体" w:hAnsi="宋体" w:cs="宋体"/>
                <w:color w:val="auto"/>
                <w:sz w:val="21"/>
                <w:szCs w:val="21"/>
                <w:highlight w:val="none"/>
              </w:rPr>
              <w:t>SDN交换机</w:t>
            </w:r>
          </w:p>
        </w:tc>
        <w:tc>
          <w:tcPr>
            <w:tcW w:w="6182" w:type="dxa"/>
            <w:tcBorders>
              <w:top w:val="nil"/>
              <w:left w:val="nil"/>
              <w:bottom w:val="single" w:color="auto" w:sz="4" w:space="0"/>
              <w:right w:val="single" w:color="auto" w:sz="4" w:space="0"/>
            </w:tcBorders>
            <w:noWrap w:val="0"/>
            <w:vAlign w:val="center"/>
          </w:tcPr>
          <w:p>
            <w:pPr>
              <w:widowControl/>
              <w:rPr>
                <w:rFonts w:ascii="宋体" w:hAnsi="宋体" w:cs="宋体"/>
                <w:color w:val="auto"/>
                <w:sz w:val="21"/>
                <w:szCs w:val="21"/>
                <w:highlight w:val="none"/>
              </w:rPr>
            </w:pPr>
            <w:r>
              <w:rPr>
                <w:rFonts w:hint="eastAsia" w:ascii="宋体" w:hAnsi="宋体" w:cs="宋体"/>
                <w:color w:val="auto"/>
                <w:sz w:val="21"/>
                <w:szCs w:val="21"/>
                <w:highlight w:val="none"/>
              </w:rPr>
              <w:t>一、硬件参数：CPU：PowerPC P1010处理器；内存：2GB，Flash：2GB；热插拔电源≥2（1+1备份）；风扇个数≥4（N+1备份）</w:t>
            </w:r>
          </w:p>
          <w:p>
            <w:pPr>
              <w:widowControl/>
              <w:rPr>
                <w:rFonts w:ascii="宋体" w:hAnsi="宋体" w:cs="宋体"/>
                <w:color w:val="auto"/>
                <w:sz w:val="21"/>
                <w:szCs w:val="21"/>
                <w:highlight w:val="none"/>
              </w:rPr>
            </w:pPr>
            <w:r>
              <w:rPr>
                <w:rFonts w:hint="eastAsia" w:ascii="宋体" w:hAnsi="宋体" w:cs="宋体"/>
                <w:color w:val="auto"/>
                <w:sz w:val="21"/>
                <w:szCs w:val="21"/>
                <w:highlight w:val="none"/>
              </w:rPr>
              <w:t>★二、物理端口：</w:t>
            </w:r>
            <w:r>
              <w:rPr>
                <w:rFonts w:ascii="宋体" w:hAnsi="宋体" w:cs="宋体"/>
                <w:color w:val="auto"/>
                <w:sz w:val="21"/>
                <w:szCs w:val="21"/>
                <w:highlight w:val="none"/>
              </w:rPr>
              <w:t xml:space="preserve"> </w:t>
            </w:r>
            <w:r>
              <w:rPr>
                <w:rFonts w:hint="eastAsia" w:ascii="宋体" w:hAnsi="宋体" w:cs="宋体"/>
                <w:color w:val="auto"/>
                <w:sz w:val="21"/>
                <w:szCs w:val="21"/>
                <w:highlight w:val="none"/>
              </w:rPr>
              <w:t>1/10 GbE SFP+ 端口不少于32个， 40 GbE QSFP+ 端口不少于2个，最大10GbE端口40个，最大40GbE端口2个</w:t>
            </w:r>
          </w:p>
          <w:p>
            <w:pPr>
              <w:widowControl/>
              <w:rPr>
                <w:rFonts w:ascii="宋体" w:hAnsi="宋体" w:cs="宋体"/>
                <w:color w:val="auto"/>
                <w:sz w:val="21"/>
                <w:szCs w:val="21"/>
                <w:highlight w:val="none"/>
              </w:rPr>
            </w:pPr>
            <w:r>
              <w:rPr>
                <w:rFonts w:hint="eastAsia" w:ascii="宋体" w:hAnsi="宋体" w:cs="宋体"/>
                <w:color w:val="auto"/>
                <w:sz w:val="21"/>
                <w:szCs w:val="21"/>
                <w:highlight w:val="none"/>
              </w:rPr>
              <w:t>★三、性能：交换容量≥800Gbps，吞吐量≥595.24Mpps，标准时延≤612ns</w:t>
            </w:r>
          </w:p>
          <w:p>
            <w:pPr>
              <w:widowControl/>
              <w:rPr>
                <w:rFonts w:ascii="宋体" w:hAnsi="宋体" w:cs="宋体"/>
                <w:color w:val="auto"/>
                <w:sz w:val="21"/>
                <w:szCs w:val="21"/>
                <w:highlight w:val="none"/>
              </w:rPr>
            </w:pPr>
            <w:r>
              <w:rPr>
                <w:rFonts w:hint="eastAsia" w:ascii="宋体" w:hAnsi="宋体" w:cs="宋体"/>
                <w:color w:val="auto"/>
                <w:sz w:val="21"/>
                <w:szCs w:val="21"/>
                <w:highlight w:val="none"/>
              </w:rPr>
              <w:t>四、Openflow：</w:t>
            </w:r>
          </w:p>
          <w:p>
            <w:pPr>
              <w:widowControl/>
              <w:ind w:firstLine="210" w:firstLineChars="100"/>
              <w:rPr>
                <w:rFonts w:ascii="宋体" w:hAnsi="宋体" w:cs="宋体"/>
                <w:color w:val="auto"/>
                <w:sz w:val="21"/>
                <w:szCs w:val="21"/>
                <w:highlight w:val="none"/>
              </w:rPr>
            </w:pPr>
            <w:r>
              <w:rPr>
                <w:rFonts w:hint="eastAsia" w:ascii="宋体" w:hAnsi="宋体" w:cs="宋体"/>
                <w:color w:val="auto"/>
                <w:sz w:val="21"/>
                <w:szCs w:val="21"/>
                <w:highlight w:val="none"/>
              </w:rPr>
              <w:t>1、支持同时连接控制器数不少于3台</w:t>
            </w:r>
          </w:p>
          <w:p>
            <w:pPr>
              <w:widowControl/>
              <w:ind w:firstLine="210" w:firstLineChars="100"/>
              <w:rPr>
                <w:rFonts w:ascii="宋体" w:hAnsi="宋体" w:cs="宋体"/>
                <w:color w:val="auto"/>
                <w:sz w:val="21"/>
                <w:szCs w:val="21"/>
                <w:highlight w:val="none"/>
              </w:rPr>
            </w:pPr>
            <w:r>
              <w:rPr>
                <w:rFonts w:hint="eastAsia" w:ascii="宋体" w:hAnsi="宋体" w:cs="宋体"/>
                <w:color w:val="auto"/>
                <w:sz w:val="21"/>
                <w:szCs w:val="21"/>
                <w:highlight w:val="none"/>
              </w:rPr>
              <w:t>2、支持Openflow v1.3及以上协议</w:t>
            </w:r>
          </w:p>
          <w:p>
            <w:pPr>
              <w:widowControl/>
              <w:ind w:firstLine="210" w:firstLineChars="100"/>
              <w:rPr>
                <w:rFonts w:ascii="宋体" w:hAnsi="宋体" w:cs="宋体"/>
                <w:color w:val="auto"/>
                <w:sz w:val="21"/>
                <w:szCs w:val="21"/>
                <w:highlight w:val="none"/>
              </w:rPr>
            </w:pPr>
            <w:r>
              <w:rPr>
                <w:rFonts w:hint="eastAsia" w:ascii="宋体" w:hAnsi="宋体" w:cs="宋体"/>
                <w:color w:val="auto"/>
                <w:sz w:val="21"/>
                <w:szCs w:val="21"/>
                <w:highlight w:val="none"/>
              </w:rPr>
              <w:t>3、支持控制器类型：Ryu controller、Floodlight controller、OpenDaylight controller、ONOS controller、NOX controller</w:t>
            </w:r>
          </w:p>
          <w:p>
            <w:pPr>
              <w:widowControl/>
              <w:ind w:firstLine="210" w:firstLineChars="100"/>
              <w:rPr>
                <w:rFonts w:ascii="宋体" w:hAnsi="宋体" w:cs="宋体"/>
                <w:color w:val="auto"/>
                <w:sz w:val="21"/>
                <w:szCs w:val="21"/>
                <w:highlight w:val="none"/>
              </w:rPr>
            </w:pPr>
            <w:r>
              <w:rPr>
                <w:rFonts w:hint="eastAsia" w:ascii="宋体" w:hAnsi="宋体" w:cs="宋体"/>
                <w:color w:val="auto"/>
                <w:sz w:val="21"/>
                <w:szCs w:val="21"/>
                <w:highlight w:val="none"/>
              </w:rPr>
              <w:t>4、支持最大Bond数量16个</w:t>
            </w:r>
          </w:p>
          <w:p>
            <w:pPr>
              <w:widowControl/>
              <w:ind w:firstLine="210" w:firstLineChars="100"/>
              <w:rPr>
                <w:rFonts w:ascii="宋体" w:hAnsi="宋体" w:cs="宋体"/>
                <w:color w:val="auto"/>
                <w:sz w:val="21"/>
                <w:szCs w:val="21"/>
                <w:highlight w:val="none"/>
              </w:rPr>
            </w:pPr>
            <w:r>
              <w:rPr>
                <w:rFonts w:hint="eastAsia" w:ascii="宋体" w:hAnsi="宋体" w:cs="宋体"/>
                <w:color w:val="auto"/>
                <w:sz w:val="21"/>
                <w:szCs w:val="21"/>
                <w:highlight w:val="none"/>
              </w:rPr>
              <w:t>5、支持Group类型及数量：ALL（2000），ALL_Bucket（288），SELECT（63），SELECT_Bucket（16），FF（63），FF_Bucket（16），INDIRECT（63），INDIRECT-Bucket（1）</w:t>
            </w:r>
          </w:p>
          <w:p>
            <w:pPr>
              <w:ind w:firstLine="210" w:firstLineChars="100"/>
              <w:rPr>
                <w:rFonts w:ascii="宋体" w:hAnsi="宋体" w:cs="宋体"/>
                <w:color w:val="auto"/>
                <w:sz w:val="21"/>
                <w:szCs w:val="21"/>
                <w:highlight w:val="none"/>
              </w:rPr>
            </w:pPr>
            <w:r>
              <w:rPr>
                <w:rFonts w:hint="eastAsia" w:ascii="宋体" w:hAnsi="宋体" w:cs="宋体"/>
                <w:color w:val="auto"/>
                <w:sz w:val="21"/>
                <w:szCs w:val="21"/>
                <w:highlight w:val="none"/>
              </w:rPr>
              <w:t>6、最大支持流表数4500条</w:t>
            </w:r>
          </w:p>
          <w:p>
            <w:pPr>
              <w:widowControl/>
              <w:rPr>
                <w:rFonts w:ascii="宋体" w:hAnsi="宋体" w:cs="宋体"/>
                <w:color w:val="auto"/>
                <w:sz w:val="21"/>
                <w:szCs w:val="21"/>
                <w:highlight w:val="none"/>
              </w:rPr>
            </w:pPr>
            <w:r>
              <w:rPr>
                <w:rFonts w:hint="eastAsia" w:ascii="宋体" w:hAnsi="宋体" w:cs="宋体"/>
                <w:color w:val="auto"/>
                <w:sz w:val="21"/>
                <w:szCs w:val="21"/>
                <w:highlight w:val="none"/>
              </w:rPr>
              <w:t>★五、投标人须提供免费技术服务和三年免费质保服务，提供服务承诺函</w:t>
            </w:r>
          </w:p>
        </w:tc>
        <w:tc>
          <w:tcPr>
            <w:tcW w:w="79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auto"/>
                <w:sz w:val="21"/>
                <w:szCs w:val="21"/>
                <w:highlight w:val="none"/>
              </w:rPr>
            </w:pPr>
            <w:r>
              <w:rPr>
                <w:rFonts w:hint="eastAsia" w:ascii="宋体" w:hAnsi="宋体" w:cs="宋体"/>
                <w:color w:val="auto"/>
                <w:sz w:val="21"/>
                <w:szCs w:val="21"/>
                <w:highlight w:val="none"/>
              </w:rPr>
              <w:t>1</w:t>
            </w:r>
          </w:p>
        </w:tc>
        <w:tc>
          <w:tcPr>
            <w:tcW w:w="79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auto"/>
                <w:sz w:val="21"/>
                <w:szCs w:val="21"/>
                <w:highlight w:val="none"/>
              </w:rPr>
            </w:pPr>
            <w:r>
              <w:rPr>
                <w:rFonts w:hint="eastAsia" w:ascii="宋体" w:hAnsi="宋体" w:cs="宋体"/>
                <w:color w:val="auto"/>
                <w:sz w:val="21"/>
                <w:szCs w:val="21"/>
                <w:highlight w:val="none"/>
              </w:rPr>
              <w:t>台</w:t>
            </w:r>
          </w:p>
        </w:tc>
      </w:tr>
      <w:tr>
        <w:tblPrEx>
          <w:tblCellMar>
            <w:top w:w="0" w:type="dxa"/>
            <w:left w:w="108" w:type="dxa"/>
            <w:bottom w:w="0" w:type="dxa"/>
            <w:right w:w="108" w:type="dxa"/>
          </w:tblCellMar>
        </w:tblPrEx>
        <w:trPr>
          <w:trHeight w:val="264" w:hRule="atLeast"/>
          <w:jc w:val="center"/>
        </w:trPr>
        <w:tc>
          <w:tcPr>
            <w:tcW w:w="796"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宋体" w:hAnsi="宋体" w:eastAsia="等线" w:cs="宋体"/>
                <w:color w:val="auto"/>
                <w:sz w:val="21"/>
                <w:szCs w:val="21"/>
                <w:highlight w:val="none"/>
              </w:rPr>
            </w:pPr>
            <w:r>
              <w:rPr>
                <w:rFonts w:hint="eastAsia" w:ascii="宋体" w:hAnsi="宋体" w:eastAsia="等线" w:cs="宋体"/>
                <w:color w:val="auto"/>
                <w:sz w:val="21"/>
                <w:szCs w:val="21"/>
                <w:highlight w:val="none"/>
              </w:rPr>
              <w:t>2</w:t>
            </w:r>
          </w:p>
        </w:tc>
        <w:tc>
          <w:tcPr>
            <w:tcW w:w="1326"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color w:val="auto"/>
                <w:sz w:val="21"/>
                <w:szCs w:val="21"/>
                <w:highlight w:val="none"/>
              </w:rPr>
            </w:pPr>
            <w:r>
              <w:rPr>
                <w:rFonts w:hint="eastAsia" w:ascii="宋体" w:hAnsi="宋体" w:cs="宋体"/>
                <w:color w:val="auto"/>
                <w:sz w:val="21"/>
                <w:szCs w:val="21"/>
                <w:highlight w:val="none"/>
              </w:rPr>
              <w:t>SDN智能分流功能扩容</w:t>
            </w:r>
          </w:p>
        </w:tc>
        <w:tc>
          <w:tcPr>
            <w:tcW w:w="6182" w:type="dxa"/>
            <w:tcBorders>
              <w:top w:val="nil"/>
              <w:left w:val="nil"/>
              <w:bottom w:val="single" w:color="auto" w:sz="4" w:space="0"/>
              <w:right w:val="single" w:color="auto" w:sz="4" w:space="0"/>
            </w:tcBorders>
            <w:shd w:val="clear" w:color="000000" w:fill="FFFFFF"/>
            <w:noWrap w:val="0"/>
            <w:vAlign w:val="center"/>
          </w:tcPr>
          <w:p>
            <w:pPr>
              <w:widowControl/>
              <w:rPr>
                <w:rFonts w:ascii="宋体" w:hAnsi="宋体" w:cs="宋体"/>
                <w:color w:val="auto"/>
                <w:sz w:val="21"/>
                <w:szCs w:val="21"/>
                <w:highlight w:val="none"/>
              </w:rPr>
            </w:pPr>
            <w:r>
              <w:rPr>
                <w:rFonts w:hint="eastAsia" w:ascii="宋体" w:hAnsi="宋体" w:cs="宋体"/>
                <w:color w:val="auto"/>
                <w:sz w:val="21"/>
                <w:szCs w:val="21"/>
                <w:highlight w:val="none"/>
              </w:rPr>
              <w:t>在学校现有的S</w:t>
            </w:r>
            <w:r>
              <w:rPr>
                <w:rFonts w:ascii="宋体" w:hAnsi="宋体" w:cs="宋体"/>
                <w:color w:val="auto"/>
                <w:sz w:val="21"/>
                <w:szCs w:val="21"/>
                <w:highlight w:val="none"/>
              </w:rPr>
              <w:t>DN</w:t>
            </w:r>
            <w:r>
              <w:rPr>
                <w:rFonts w:hint="eastAsia" w:ascii="宋体" w:hAnsi="宋体" w:cs="宋体"/>
                <w:color w:val="auto"/>
                <w:sz w:val="21"/>
                <w:szCs w:val="21"/>
                <w:highlight w:val="none"/>
              </w:rPr>
              <w:t>平台进行功能扩容，增加智能分流功能：</w:t>
            </w:r>
          </w:p>
          <w:p>
            <w:pPr>
              <w:widowControl/>
              <w:rPr>
                <w:rFonts w:ascii="宋体" w:hAnsi="宋体" w:cs="宋体"/>
                <w:color w:val="auto"/>
                <w:sz w:val="21"/>
                <w:szCs w:val="21"/>
                <w:highlight w:val="none"/>
              </w:rPr>
            </w:pPr>
            <w:r>
              <w:rPr>
                <w:rFonts w:hint="eastAsia" w:ascii="宋体" w:hAnsi="宋体" w:cs="宋体"/>
                <w:color w:val="auto"/>
                <w:sz w:val="21"/>
                <w:szCs w:val="21"/>
                <w:highlight w:val="none"/>
              </w:rPr>
              <w:t>1、支持一对多端口的流量复制</w:t>
            </w:r>
          </w:p>
          <w:p>
            <w:pPr>
              <w:widowControl/>
              <w:rPr>
                <w:rFonts w:ascii="宋体" w:hAnsi="宋体" w:cs="宋体"/>
                <w:color w:val="auto"/>
                <w:sz w:val="21"/>
                <w:szCs w:val="21"/>
                <w:highlight w:val="none"/>
              </w:rPr>
            </w:pPr>
            <w:r>
              <w:rPr>
                <w:rFonts w:hint="eastAsia" w:ascii="宋体" w:hAnsi="宋体" w:cs="宋体"/>
                <w:color w:val="auto"/>
                <w:sz w:val="21"/>
                <w:szCs w:val="21"/>
                <w:highlight w:val="none"/>
              </w:rPr>
              <w:t>2、支持多对一端口的流量汇聚</w:t>
            </w:r>
          </w:p>
          <w:p>
            <w:pPr>
              <w:widowControl/>
              <w:rPr>
                <w:rFonts w:ascii="宋体" w:hAnsi="宋体" w:cs="宋体"/>
                <w:color w:val="auto"/>
                <w:sz w:val="21"/>
                <w:szCs w:val="21"/>
                <w:highlight w:val="none"/>
              </w:rPr>
            </w:pPr>
            <w:r>
              <w:rPr>
                <w:rFonts w:hint="eastAsia" w:ascii="宋体" w:hAnsi="宋体" w:cs="宋体"/>
                <w:color w:val="auto"/>
                <w:sz w:val="21"/>
                <w:szCs w:val="21"/>
                <w:highlight w:val="none"/>
              </w:rPr>
              <w:t>3、支持多对多端口的流量复制+汇聚</w:t>
            </w:r>
          </w:p>
          <w:p>
            <w:pPr>
              <w:widowControl/>
              <w:rPr>
                <w:rFonts w:ascii="宋体" w:hAnsi="宋体" w:cs="宋体"/>
                <w:color w:val="auto"/>
                <w:sz w:val="21"/>
                <w:szCs w:val="21"/>
                <w:highlight w:val="none"/>
              </w:rPr>
            </w:pPr>
            <w:r>
              <w:rPr>
                <w:rFonts w:hint="eastAsia" w:ascii="宋体" w:hAnsi="宋体" w:cs="宋体"/>
                <w:color w:val="auto"/>
                <w:sz w:val="21"/>
                <w:szCs w:val="21"/>
                <w:highlight w:val="none"/>
              </w:rPr>
              <w:t>★4、支持按自定义策略进行流量分配，策略包含五元组（源ip地址、目的ip地址、四层协议类型、源四层协议端口、目的四层协议端口）、VLAN 802.1Q标签、DSCP标签、TOS标签，（提供产品功能界面截图证明）</w:t>
            </w:r>
          </w:p>
          <w:p>
            <w:pPr>
              <w:widowControl/>
              <w:rPr>
                <w:rFonts w:ascii="宋体" w:hAnsi="宋体" w:cs="宋体"/>
                <w:color w:val="auto"/>
                <w:sz w:val="21"/>
                <w:szCs w:val="21"/>
                <w:highlight w:val="none"/>
              </w:rPr>
            </w:pPr>
            <w:r>
              <w:rPr>
                <w:rFonts w:hint="eastAsia" w:ascii="宋体" w:hAnsi="宋体" w:cs="宋体"/>
                <w:color w:val="auto"/>
                <w:sz w:val="21"/>
                <w:szCs w:val="21"/>
                <w:highlight w:val="none"/>
              </w:rPr>
              <w:t>★5、支持IPv6地址策略，（提供产品功能界面截图证明）</w:t>
            </w:r>
          </w:p>
          <w:p>
            <w:pPr>
              <w:widowControl/>
              <w:rPr>
                <w:rFonts w:ascii="宋体" w:hAnsi="宋体" w:cs="宋体"/>
                <w:color w:val="auto"/>
                <w:sz w:val="21"/>
                <w:szCs w:val="21"/>
                <w:highlight w:val="none"/>
              </w:rPr>
            </w:pPr>
            <w:r>
              <w:rPr>
                <w:rFonts w:ascii="宋体" w:hAnsi="宋体" w:cs="宋体"/>
                <w:color w:val="auto"/>
                <w:sz w:val="21"/>
                <w:szCs w:val="21"/>
                <w:highlight w:val="none"/>
              </w:rPr>
              <w:t>6</w:t>
            </w:r>
            <w:r>
              <w:rPr>
                <w:rFonts w:hint="eastAsia" w:ascii="宋体" w:hAnsi="宋体" w:cs="宋体"/>
                <w:color w:val="auto"/>
                <w:sz w:val="21"/>
                <w:szCs w:val="21"/>
                <w:highlight w:val="none"/>
              </w:rPr>
              <w:t>、支持流量负载分担，负载分担类型包括：源ip地址、目的ip地址、源mac地址、目的mac地址、ip协议类型、源四层协议端口、目的四层协议端口</w:t>
            </w:r>
          </w:p>
          <w:p>
            <w:pPr>
              <w:widowControl/>
              <w:rPr>
                <w:rFonts w:ascii="宋体" w:hAnsi="宋体" w:cs="宋体"/>
                <w:color w:val="auto"/>
                <w:sz w:val="21"/>
                <w:szCs w:val="21"/>
                <w:highlight w:val="none"/>
              </w:rPr>
            </w:pPr>
            <w:r>
              <w:rPr>
                <w:rFonts w:hint="eastAsia" w:ascii="宋体" w:hAnsi="宋体" w:cs="宋体"/>
                <w:color w:val="auto"/>
                <w:sz w:val="21"/>
                <w:szCs w:val="21"/>
                <w:highlight w:val="none"/>
              </w:rPr>
              <w:t>★7、支持包代理逻辑拓扑图展示（提供产品功能界面截图证明）</w:t>
            </w:r>
          </w:p>
          <w:p>
            <w:pPr>
              <w:widowControl/>
              <w:rPr>
                <w:rFonts w:ascii="宋体" w:hAnsi="宋体" w:eastAsia="PMingLiU" w:cs="宋体"/>
                <w:color w:val="auto"/>
                <w:sz w:val="21"/>
                <w:szCs w:val="21"/>
                <w:highlight w:val="none"/>
              </w:rPr>
            </w:pPr>
            <w:r>
              <w:rPr>
                <w:rFonts w:hint="eastAsia" w:ascii="宋体" w:hAnsi="宋体" w:cs="宋体"/>
                <w:color w:val="auto"/>
                <w:sz w:val="21"/>
                <w:szCs w:val="21"/>
                <w:highlight w:val="none"/>
              </w:rPr>
              <w:t>8、支持包代理报表功能，包括整体吞吐量、包速率，输入输出接口的吞吐量、包速率等</w:t>
            </w:r>
          </w:p>
          <w:p>
            <w:pPr>
              <w:widowControl/>
              <w:rPr>
                <w:rFonts w:hint="eastAsia" w:ascii="宋体" w:hAnsi="宋体" w:eastAsia="等线" w:cs="宋体"/>
                <w:color w:val="auto"/>
                <w:sz w:val="21"/>
                <w:szCs w:val="21"/>
                <w:highlight w:val="none"/>
              </w:rPr>
            </w:pPr>
            <w:r>
              <w:rPr>
                <w:rFonts w:hint="eastAsia" w:ascii="宋体" w:hAnsi="宋体" w:cs="宋体"/>
                <w:color w:val="auto"/>
                <w:sz w:val="21"/>
                <w:szCs w:val="21"/>
                <w:highlight w:val="none"/>
              </w:rPr>
              <w:t>★9、投标人须提供免费技术服务和三年免费质保服务，提供服务承诺函</w:t>
            </w:r>
          </w:p>
        </w:tc>
        <w:tc>
          <w:tcPr>
            <w:tcW w:w="79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auto"/>
                <w:sz w:val="21"/>
                <w:szCs w:val="21"/>
                <w:highlight w:val="none"/>
              </w:rPr>
            </w:pPr>
            <w:r>
              <w:rPr>
                <w:rFonts w:hint="eastAsia" w:ascii="宋体" w:hAnsi="宋体" w:cs="宋体"/>
                <w:color w:val="auto"/>
                <w:sz w:val="21"/>
                <w:szCs w:val="21"/>
                <w:highlight w:val="none"/>
              </w:rPr>
              <w:t>1</w:t>
            </w:r>
          </w:p>
        </w:tc>
        <w:tc>
          <w:tcPr>
            <w:tcW w:w="79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auto"/>
                <w:sz w:val="21"/>
                <w:szCs w:val="21"/>
                <w:highlight w:val="none"/>
              </w:rPr>
            </w:pPr>
            <w:r>
              <w:rPr>
                <w:rFonts w:hint="eastAsia" w:ascii="宋体" w:hAnsi="宋体" w:cs="宋体"/>
                <w:color w:val="auto"/>
                <w:sz w:val="21"/>
                <w:szCs w:val="21"/>
                <w:highlight w:val="none"/>
              </w:rPr>
              <w:t>项</w:t>
            </w:r>
          </w:p>
        </w:tc>
      </w:tr>
      <w:tr>
        <w:tblPrEx>
          <w:tblCellMar>
            <w:top w:w="0" w:type="dxa"/>
            <w:left w:w="108" w:type="dxa"/>
            <w:bottom w:w="0" w:type="dxa"/>
            <w:right w:w="108" w:type="dxa"/>
          </w:tblCellMar>
        </w:tblPrEx>
        <w:trPr>
          <w:trHeight w:val="264" w:hRule="atLeast"/>
          <w:jc w:val="center"/>
        </w:trPr>
        <w:tc>
          <w:tcPr>
            <w:tcW w:w="796"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等线" w:cs="宋体"/>
                <w:color w:val="auto"/>
                <w:sz w:val="21"/>
                <w:szCs w:val="21"/>
                <w:highlight w:val="none"/>
              </w:rPr>
            </w:pPr>
            <w:r>
              <w:rPr>
                <w:rFonts w:hint="eastAsia" w:ascii="宋体" w:hAnsi="宋体" w:eastAsia="等线" w:cs="宋体"/>
                <w:color w:val="auto"/>
                <w:sz w:val="21"/>
                <w:szCs w:val="21"/>
                <w:highlight w:val="none"/>
              </w:rPr>
              <w:t>3</w:t>
            </w:r>
          </w:p>
        </w:tc>
        <w:tc>
          <w:tcPr>
            <w:tcW w:w="132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auto"/>
                <w:sz w:val="21"/>
                <w:szCs w:val="21"/>
                <w:highlight w:val="none"/>
              </w:rPr>
            </w:pPr>
            <w:r>
              <w:rPr>
                <w:rFonts w:hint="eastAsia" w:ascii="宋体" w:hAnsi="宋体" w:cs="宋体"/>
                <w:color w:val="auto"/>
                <w:sz w:val="21"/>
                <w:szCs w:val="21"/>
                <w:highlight w:val="none"/>
              </w:rPr>
              <w:t>web安全治理系统</w:t>
            </w:r>
          </w:p>
        </w:tc>
        <w:tc>
          <w:tcPr>
            <w:tcW w:w="6182" w:type="dxa"/>
            <w:tcBorders>
              <w:top w:val="nil"/>
              <w:left w:val="nil"/>
              <w:bottom w:val="single" w:color="auto" w:sz="4" w:space="0"/>
              <w:right w:val="single" w:color="auto" w:sz="4" w:space="0"/>
            </w:tcBorders>
            <w:noWrap w:val="0"/>
            <w:vAlign w:val="center"/>
          </w:tcPr>
          <w:p>
            <w:pPr>
              <w:numPr>
                <w:ilvl w:val="0"/>
                <w:numId w:val="2"/>
              </w:numPr>
              <w:rPr>
                <w:rFonts w:ascii="宋体" w:hAnsi="宋体" w:cs="仿宋_GB2312"/>
                <w:color w:val="auto"/>
                <w:sz w:val="21"/>
                <w:szCs w:val="21"/>
                <w:highlight w:val="none"/>
                <w:lang w:val="zh-CN"/>
              </w:rPr>
            </w:pPr>
            <w:r>
              <w:rPr>
                <w:rFonts w:hint="eastAsia" w:ascii="宋体" w:hAnsi="宋体" w:cs="仿宋_GB2312"/>
                <w:color w:val="auto"/>
                <w:sz w:val="21"/>
                <w:szCs w:val="21"/>
                <w:highlight w:val="none"/>
              </w:rPr>
              <w:t>设备规格配置要求：</w:t>
            </w:r>
          </w:p>
          <w:p>
            <w:pPr>
              <w:pStyle w:val="11"/>
              <w:ind w:firstLine="226" w:firstLineChars="108"/>
              <w:jc w:val="left"/>
              <w:rPr>
                <w:rFonts w:ascii="宋体" w:hAnsi="宋体" w:cs="仿宋_GB2312"/>
                <w:color w:val="auto"/>
                <w:sz w:val="21"/>
                <w:szCs w:val="21"/>
                <w:highlight w:val="none"/>
                <w:lang w:val="zh-TW" w:eastAsia="zh-TW"/>
              </w:rPr>
            </w:pPr>
            <w:r>
              <w:rPr>
                <w:rFonts w:hint="eastAsia" w:ascii="宋体" w:hAnsi="宋体" w:cs="仿宋_GB2312"/>
                <w:color w:val="auto"/>
                <w:sz w:val="21"/>
                <w:szCs w:val="21"/>
                <w:highlight w:val="none"/>
                <w:lang w:val="zh-TW" w:eastAsia="zh-TW"/>
              </w:rPr>
              <w:t>1．</w:t>
            </w:r>
            <w:r>
              <w:rPr>
                <w:rFonts w:hint="eastAsia" w:ascii="宋体" w:hAnsi="宋体" w:cs="宋体"/>
                <w:color w:val="auto"/>
                <w:sz w:val="21"/>
                <w:szCs w:val="21"/>
                <w:highlight w:val="none"/>
                <w:lang w:val="zh-TW" w:eastAsia="zh-TW"/>
              </w:rPr>
              <w:t>★</w:t>
            </w:r>
            <w:r>
              <w:rPr>
                <w:rFonts w:hint="eastAsia" w:ascii="宋体" w:hAnsi="宋体" w:cs="仿宋_GB2312"/>
                <w:color w:val="auto"/>
                <w:sz w:val="21"/>
                <w:szCs w:val="21"/>
                <w:highlight w:val="none"/>
                <w:lang w:val="zh-TW" w:eastAsia="zh-TW"/>
              </w:rPr>
              <w:t>2U机架；1个CONSOLE口；不少于 2个100/1000M电口； 支持不少于4个扩展插槽，配置不少于2万兆光口；支持扩展不少于24个光口。 1TB 硬盘，冗余双电源；</w:t>
            </w:r>
          </w:p>
          <w:p>
            <w:pPr>
              <w:numPr>
                <w:ilvl w:val="0"/>
                <w:numId w:val="2"/>
              </w:numPr>
              <w:rPr>
                <w:rFonts w:ascii="宋体" w:hAnsi="宋体" w:cs="仿宋_GB2312"/>
                <w:color w:val="auto"/>
                <w:sz w:val="21"/>
                <w:szCs w:val="21"/>
                <w:highlight w:val="none"/>
              </w:rPr>
            </w:pPr>
            <w:r>
              <w:rPr>
                <w:rFonts w:hint="eastAsia" w:ascii="宋体" w:hAnsi="宋体" w:cs="仿宋_GB2312"/>
                <w:color w:val="auto"/>
                <w:sz w:val="21"/>
                <w:szCs w:val="21"/>
                <w:highlight w:val="none"/>
              </w:rPr>
              <w:t>产品功能要求</w:t>
            </w:r>
          </w:p>
          <w:p>
            <w:pPr>
              <w:pStyle w:val="11"/>
              <w:numPr>
                <w:ilvl w:val="0"/>
                <w:numId w:val="3"/>
              </w:numPr>
              <w:ind w:left="0" w:firstLine="232" w:firstLineChars="0"/>
              <w:jc w:val="left"/>
              <w:rPr>
                <w:rFonts w:ascii="宋体" w:hAnsi="宋体" w:cs="仿宋_GB2312"/>
                <w:color w:val="auto"/>
                <w:sz w:val="21"/>
                <w:szCs w:val="21"/>
                <w:highlight w:val="none"/>
                <w:lang w:val="zh-TW" w:eastAsia="zh-TW"/>
              </w:rPr>
            </w:pPr>
            <w:r>
              <w:rPr>
                <w:rFonts w:hint="eastAsia" w:ascii="宋体" w:hAnsi="宋体" w:cs="宋体"/>
                <w:color w:val="auto"/>
                <w:sz w:val="21"/>
                <w:szCs w:val="21"/>
                <w:highlight w:val="none"/>
                <w:lang w:val="zh-TW" w:eastAsia="zh-TW"/>
              </w:rPr>
              <w:t>★</w:t>
            </w:r>
            <w:r>
              <w:rPr>
                <w:rFonts w:ascii="宋体" w:hAnsi="宋体" w:cs="仿宋_GB2312"/>
                <w:color w:val="auto"/>
                <w:sz w:val="21"/>
                <w:szCs w:val="21"/>
                <w:highlight w:val="none"/>
                <w:lang w:val="zh-TW" w:eastAsia="zh-TW"/>
              </w:rPr>
              <w:t>15</w:t>
            </w:r>
            <w:r>
              <w:rPr>
                <w:rFonts w:hint="eastAsia" w:ascii="宋体" w:hAnsi="宋体" w:cs="仿宋_GB2312"/>
                <w:color w:val="auto"/>
                <w:sz w:val="21"/>
                <w:szCs w:val="21"/>
                <w:highlight w:val="none"/>
                <w:lang w:val="zh-TW" w:eastAsia="zh-TW"/>
              </w:rPr>
              <w:t>0个资产综合管理。</w:t>
            </w:r>
          </w:p>
          <w:p>
            <w:pPr>
              <w:pStyle w:val="11"/>
              <w:numPr>
                <w:ilvl w:val="0"/>
                <w:numId w:val="3"/>
              </w:numPr>
              <w:ind w:left="0" w:firstLine="232" w:firstLineChars="0"/>
              <w:jc w:val="left"/>
              <w:rPr>
                <w:rFonts w:ascii="宋体" w:hAnsi="宋体" w:cs="仿宋_GB2312"/>
                <w:color w:val="auto"/>
                <w:sz w:val="21"/>
                <w:szCs w:val="21"/>
                <w:highlight w:val="none"/>
                <w:lang w:val="zh-TW" w:eastAsia="zh-TW"/>
              </w:rPr>
            </w:pPr>
            <w:r>
              <w:rPr>
                <w:rFonts w:hint="eastAsia" w:ascii="宋体" w:hAnsi="宋体" w:cs="仿宋_GB2312"/>
                <w:color w:val="auto"/>
                <w:sz w:val="21"/>
                <w:szCs w:val="21"/>
                <w:highlight w:val="none"/>
                <w:lang w:val="zh-TW" w:eastAsia="zh-TW"/>
              </w:rPr>
              <w:t>网络部署：支持旁路模式部署，支持快速配置模式，支持一键快速检测设备部署状态，应能支持VLAN划分，支持多VLAN环境下的部署。</w:t>
            </w:r>
            <w:r>
              <w:rPr>
                <w:rFonts w:hint="eastAsia" w:ascii="宋体" w:hAnsi="宋体" w:cs="宋体"/>
                <w:color w:val="auto"/>
                <w:sz w:val="21"/>
                <w:szCs w:val="21"/>
                <w:highlight w:val="none"/>
              </w:rPr>
              <w:t>（提供产品功能界面截图证明）</w:t>
            </w:r>
          </w:p>
          <w:p>
            <w:pPr>
              <w:pStyle w:val="11"/>
              <w:numPr>
                <w:ilvl w:val="0"/>
                <w:numId w:val="3"/>
              </w:numPr>
              <w:ind w:left="0" w:firstLine="232" w:firstLineChars="0"/>
              <w:jc w:val="left"/>
              <w:rPr>
                <w:rFonts w:ascii="宋体" w:hAnsi="宋体" w:cs="仿宋_GB2312"/>
                <w:color w:val="auto"/>
                <w:sz w:val="21"/>
                <w:szCs w:val="21"/>
                <w:highlight w:val="none"/>
                <w:lang w:val="zh-TW" w:eastAsia="zh-TW"/>
              </w:rPr>
            </w:pPr>
            <w:r>
              <w:rPr>
                <w:rFonts w:hint="eastAsia" w:ascii="宋体" w:hAnsi="宋体" w:cs="宋体"/>
                <w:color w:val="auto"/>
                <w:sz w:val="21"/>
                <w:szCs w:val="21"/>
                <w:highlight w:val="none"/>
                <w:lang w:val="zh-TW" w:eastAsia="zh-TW"/>
              </w:rPr>
              <w:t>★</w:t>
            </w:r>
            <w:r>
              <w:rPr>
                <w:rFonts w:hint="eastAsia" w:ascii="宋体" w:hAnsi="宋体" w:cs="仿宋_GB2312"/>
                <w:color w:val="auto"/>
                <w:sz w:val="21"/>
                <w:szCs w:val="21"/>
                <w:highlight w:val="none"/>
                <w:lang w:val="zh-TW" w:eastAsia="zh-TW"/>
              </w:rPr>
              <w:t>网站自学习：能够对镜像流量进行分析，自动学习到网站的标题、IP地址、URL，包括端口号，支持对使用泛域名的资产进行自动识别去重。</w:t>
            </w:r>
          </w:p>
          <w:p>
            <w:pPr>
              <w:pStyle w:val="11"/>
              <w:numPr>
                <w:ilvl w:val="0"/>
                <w:numId w:val="3"/>
              </w:numPr>
              <w:ind w:left="0" w:firstLine="232" w:firstLineChars="0"/>
              <w:jc w:val="left"/>
              <w:rPr>
                <w:rFonts w:ascii="宋体" w:hAnsi="宋体" w:cs="仿宋_GB2312"/>
                <w:color w:val="auto"/>
                <w:sz w:val="21"/>
                <w:szCs w:val="21"/>
                <w:highlight w:val="none"/>
                <w:lang w:val="zh-TW" w:eastAsia="zh-TW"/>
              </w:rPr>
            </w:pPr>
            <w:r>
              <w:rPr>
                <w:rFonts w:hint="eastAsia" w:ascii="宋体" w:hAnsi="宋体" w:cs="仿宋_GB2312"/>
                <w:color w:val="auto"/>
                <w:sz w:val="21"/>
                <w:szCs w:val="21"/>
                <w:highlight w:val="none"/>
                <w:lang w:val="zh-TW" w:eastAsia="zh-TW"/>
              </w:rPr>
              <w:t>支持对自学习的资产进行自动或手动分组</w:t>
            </w:r>
            <w:r>
              <w:rPr>
                <w:rFonts w:hint="eastAsia" w:ascii="宋体" w:hAnsi="宋体" w:cs="宋体"/>
                <w:color w:val="auto"/>
                <w:sz w:val="21"/>
                <w:szCs w:val="21"/>
                <w:highlight w:val="none"/>
              </w:rPr>
              <w:t>（提供产品功能界面截图证明）</w:t>
            </w:r>
          </w:p>
          <w:p>
            <w:pPr>
              <w:pStyle w:val="11"/>
              <w:numPr>
                <w:ilvl w:val="0"/>
                <w:numId w:val="3"/>
              </w:numPr>
              <w:ind w:left="0" w:firstLine="232" w:firstLineChars="0"/>
              <w:jc w:val="left"/>
              <w:rPr>
                <w:rFonts w:ascii="宋体" w:hAnsi="宋体" w:cs="仿宋_GB2312"/>
                <w:color w:val="auto"/>
                <w:sz w:val="21"/>
                <w:szCs w:val="21"/>
                <w:highlight w:val="none"/>
                <w:lang w:val="zh-TW" w:eastAsia="zh-TW"/>
              </w:rPr>
            </w:pPr>
            <w:r>
              <w:rPr>
                <w:rFonts w:hint="eastAsia" w:ascii="宋体" w:hAnsi="宋体" w:cs="仿宋_GB2312"/>
                <w:color w:val="auto"/>
                <w:sz w:val="21"/>
                <w:szCs w:val="21"/>
                <w:highlight w:val="none"/>
                <w:lang w:val="zh-TW" w:eastAsia="zh-TW"/>
              </w:rPr>
              <w:t>支持内核模式以及应用层模式进行流量学习</w:t>
            </w:r>
            <w:r>
              <w:rPr>
                <w:rFonts w:hint="eastAsia" w:ascii="宋体" w:hAnsi="宋体" w:cs="宋体"/>
                <w:color w:val="auto"/>
                <w:sz w:val="21"/>
                <w:szCs w:val="21"/>
                <w:highlight w:val="none"/>
              </w:rPr>
              <w:t>（提供产品功能界面截图证明）</w:t>
            </w:r>
          </w:p>
          <w:p>
            <w:pPr>
              <w:pStyle w:val="11"/>
              <w:numPr>
                <w:ilvl w:val="0"/>
                <w:numId w:val="3"/>
              </w:numPr>
              <w:ind w:left="0" w:firstLine="232" w:firstLineChars="0"/>
              <w:jc w:val="left"/>
              <w:rPr>
                <w:rFonts w:ascii="宋体" w:hAnsi="宋体" w:cs="仿宋_GB2312"/>
                <w:color w:val="auto"/>
                <w:sz w:val="21"/>
                <w:szCs w:val="21"/>
                <w:highlight w:val="none"/>
                <w:lang w:val="zh-TW" w:eastAsia="zh-TW"/>
              </w:rPr>
            </w:pPr>
            <w:r>
              <w:rPr>
                <w:rFonts w:hint="eastAsia" w:ascii="宋体" w:hAnsi="宋体" w:cs="仿宋_GB2312"/>
                <w:color w:val="auto"/>
                <w:sz w:val="21"/>
                <w:szCs w:val="21"/>
                <w:highlight w:val="none"/>
                <w:lang w:val="zh-TW" w:eastAsia="zh-TW"/>
              </w:rPr>
              <w:t>网站流量分析：能够查看今天、昨天、近7天、近30天的网站访问情况；首界面支持显示网站访问量最高top10以及最低top10，能够基于访问量，网站更新及到期时间分析出僵尸网站</w:t>
            </w:r>
          </w:p>
          <w:p>
            <w:pPr>
              <w:pStyle w:val="11"/>
              <w:numPr>
                <w:ilvl w:val="0"/>
                <w:numId w:val="3"/>
              </w:numPr>
              <w:ind w:left="0" w:firstLine="232" w:firstLineChars="0"/>
              <w:jc w:val="left"/>
              <w:rPr>
                <w:rFonts w:ascii="宋体" w:hAnsi="宋体" w:cs="仿宋_GB2312"/>
                <w:color w:val="auto"/>
                <w:sz w:val="21"/>
                <w:szCs w:val="21"/>
                <w:highlight w:val="none"/>
                <w:lang w:val="zh-TW" w:eastAsia="zh-TW"/>
              </w:rPr>
            </w:pPr>
            <w:r>
              <w:rPr>
                <w:rFonts w:hint="eastAsia" w:ascii="宋体" w:hAnsi="宋体" w:cs="仿宋_GB2312"/>
                <w:color w:val="auto"/>
                <w:sz w:val="21"/>
                <w:szCs w:val="21"/>
                <w:highlight w:val="none"/>
                <w:lang w:val="zh-TW" w:eastAsia="zh-TW"/>
              </w:rPr>
              <w:t>指纹学习：能够检测出Web系统所对服务器中间件、操作系统、网站编码、物理地址信息，并支持批量导出。能够对全网Web站点的操作系统、中间件的信息进行统计展示</w:t>
            </w:r>
            <w:r>
              <w:rPr>
                <w:rFonts w:hint="eastAsia" w:ascii="宋体" w:hAnsi="宋体" w:cs="宋体"/>
                <w:color w:val="auto"/>
                <w:sz w:val="21"/>
                <w:szCs w:val="21"/>
                <w:highlight w:val="none"/>
              </w:rPr>
              <w:t>（提供产品功能界面截图证明）</w:t>
            </w:r>
          </w:p>
          <w:p>
            <w:pPr>
              <w:pStyle w:val="11"/>
              <w:numPr>
                <w:ilvl w:val="0"/>
                <w:numId w:val="3"/>
              </w:numPr>
              <w:ind w:left="0" w:firstLine="232" w:firstLineChars="0"/>
              <w:jc w:val="left"/>
              <w:rPr>
                <w:rFonts w:ascii="宋体" w:hAnsi="宋体" w:cs="仿宋_GB2312"/>
                <w:color w:val="auto"/>
                <w:sz w:val="21"/>
                <w:szCs w:val="21"/>
                <w:highlight w:val="none"/>
                <w:lang w:val="zh-TW" w:eastAsia="zh-TW"/>
              </w:rPr>
            </w:pPr>
            <w:r>
              <w:rPr>
                <w:rFonts w:hint="eastAsia" w:ascii="宋体" w:hAnsi="宋体" w:cs="仿宋_GB2312"/>
                <w:color w:val="auto"/>
                <w:sz w:val="21"/>
                <w:szCs w:val="21"/>
                <w:highlight w:val="none"/>
                <w:lang w:val="zh-TW" w:eastAsia="zh-TW"/>
              </w:rPr>
              <w:t>后门检测：支持通过流量分析检测网站后门，并能够自动判别是否后门攻击类型，能够查看后门连接的来源IP、请求数据、时间、后门类型，并标注安全等级。</w:t>
            </w:r>
          </w:p>
          <w:p>
            <w:pPr>
              <w:pStyle w:val="11"/>
              <w:numPr>
                <w:ilvl w:val="0"/>
                <w:numId w:val="3"/>
              </w:numPr>
              <w:ind w:left="0" w:firstLine="232" w:firstLineChars="0"/>
              <w:jc w:val="left"/>
              <w:rPr>
                <w:rFonts w:ascii="宋体" w:hAnsi="宋体" w:cs="仿宋_GB2312"/>
                <w:color w:val="auto"/>
                <w:sz w:val="21"/>
                <w:szCs w:val="21"/>
                <w:highlight w:val="none"/>
                <w:lang w:val="zh-TW" w:eastAsia="zh-TW"/>
              </w:rPr>
            </w:pPr>
            <w:r>
              <w:rPr>
                <w:rFonts w:hint="eastAsia" w:ascii="宋体" w:hAnsi="宋体" w:cs="宋体"/>
                <w:color w:val="auto"/>
                <w:sz w:val="21"/>
                <w:szCs w:val="21"/>
                <w:highlight w:val="none"/>
                <w:lang w:val="zh-TW" w:eastAsia="zh-TW"/>
              </w:rPr>
              <w:t>★</w:t>
            </w:r>
            <w:r>
              <w:rPr>
                <w:rFonts w:hint="eastAsia" w:ascii="宋体" w:hAnsi="宋体" w:cs="仿宋_GB2312"/>
                <w:color w:val="auto"/>
                <w:sz w:val="21"/>
                <w:szCs w:val="21"/>
                <w:highlight w:val="none"/>
                <w:lang w:val="zh-TW" w:eastAsia="zh-TW"/>
              </w:rPr>
              <w:t>备案管理：应能够以四种状态描述网站备案状态，未审核、已审核、未申请、已驳回，应能在审核备案的界面直接查看网站的安全状态，包括漏洞情况、篡改情况、敏感词、暗链、后门情况。</w:t>
            </w:r>
          </w:p>
          <w:p>
            <w:pPr>
              <w:pStyle w:val="11"/>
              <w:numPr>
                <w:ilvl w:val="0"/>
                <w:numId w:val="3"/>
              </w:numPr>
              <w:ind w:left="0" w:firstLine="232" w:firstLineChars="0"/>
              <w:jc w:val="left"/>
              <w:rPr>
                <w:rFonts w:ascii="宋体" w:hAnsi="宋体" w:cs="仿宋_GB2312"/>
                <w:color w:val="auto"/>
                <w:sz w:val="21"/>
                <w:szCs w:val="21"/>
                <w:highlight w:val="none"/>
                <w:lang w:val="zh-TW" w:eastAsia="zh-TW"/>
              </w:rPr>
            </w:pPr>
            <w:r>
              <w:rPr>
                <w:rFonts w:hint="eastAsia" w:ascii="宋体" w:hAnsi="宋体" w:cs="仿宋_GB2312"/>
                <w:color w:val="auto"/>
                <w:sz w:val="21"/>
                <w:szCs w:val="21"/>
                <w:highlight w:val="none"/>
                <w:lang w:val="zh-TW" w:eastAsia="zh-TW"/>
              </w:rPr>
              <w:t>能够查看备案流程，包括操作时间、操作原因</w:t>
            </w:r>
            <w:r>
              <w:rPr>
                <w:rFonts w:hint="eastAsia" w:ascii="宋体" w:hAnsi="宋体" w:cs="宋体"/>
                <w:color w:val="auto"/>
                <w:sz w:val="21"/>
                <w:szCs w:val="21"/>
                <w:highlight w:val="none"/>
              </w:rPr>
              <w:t>（提供产品功能界面截图证明）</w:t>
            </w:r>
          </w:p>
          <w:p>
            <w:pPr>
              <w:pStyle w:val="11"/>
              <w:numPr>
                <w:ilvl w:val="0"/>
                <w:numId w:val="3"/>
              </w:numPr>
              <w:ind w:left="0" w:firstLine="232" w:firstLineChars="0"/>
              <w:jc w:val="left"/>
              <w:rPr>
                <w:rFonts w:ascii="宋体" w:hAnsi="宋体" w:cs="仿宋_GB2312"/>
                <w:color w:val="auto"/>
                <w:sz w:val="21"/>
                <w:szCs w:val="21"/>
                <w:highlight w:val="none"/>
                <w:lang w:val="zh-TW" w:eastAsia="zh-TW"/>
              </w:rPr>
            </w:pPr>
            <w:r>
              <w:rPr>
                <w:rFonts w:hint="eastAsia" w:ascii="宋体" w:hAnsi="宋体" w:cs="仿宋_GB2312"/>
                <w:color w:val="auto"/>
                <w:sz w:val="21"/>
                <w:szCs w:val="21"/>
                <w:highlight w:val="none"/>
                <w:lang w:val="zh-TW" w:eastAsia="zh-TW"/>
              </w:rPr>
              <w:t>应能在申请备案时输入网站详细信息，包括联系人及联系方式、应急联系人及联系方式、网站运行方式、服务类型等</w:t>
            </w:r>
            <w:r>
              <w:rPr>
                <w:rFonts w:hint="eastAsia" w:ascii="宋体" w:hAnsi="宋体" w:cs="宋体"/>
                <w:color w:val="auto"/>
                <w:sz w:val="21"/>
                <w:szCs w:val="21"/>
                <w:highlight w:val="none"/>
              </w:rPr>
              <w:t>（提供产品功能界面截图证明）</w:t>
            </w:r>
          </w:p>
          <w:p>
            <w:pPr>
              <w:pStyle w:val="11"/>
              <w:numPr>
                <w:ilvl w:val="0"/>
                <w:numId w:val="3"/>
              </w:numPr>
              <w:ind w:left="0" w:firstLine="232" w:firstLineChars="0"/>
              <w:jc w:val="left"/>
              <w:rPr>
                <w:rFonts w:ascii="宋体" w:hAnsi="宋体" w:cs="仿宋_GB2312"/>
                <w:color w:val="auto"/>
                <w:sz w:val="21"/>
                <w:szCs w:val="21"/>
                <w:highlight w:val="none"/>
                <w:lang w:val="zh-TW" w:eastAsia="zh-TW"/>
              </w:rPr>
            </w:pPr>
            <w:r>
              <w:rPr>
                <w:rFonts w:hint="eastAsia" w:ascii="宋体" w:hAnsi="宋体" w:cs="仿宋_GB2312"/>
                <w:color w:val="auto"/>
                <w:sz w:val="21"/>
                <w:szCs w:val="21"/>
                <w:highlight w:val="none"/>
                <w:lang w:val="zh-TW" w:eastAsia="zh-TW"/>
              </w:rPr>
              <w:t>漏洞管理：能够在界面中显示含有相同漏洞的网站数量。</w:t>
            </w:r>
          </w:p>
          <w:p>
            <w:pPr>
              <w:pStyle w:val="11"/>
              <w:numPr>
                <w:ilvl w:val="0"/>
                <w:numId w:val="3"/>
              </w:numPr>
              <w:ind w:left="0" w:firstLine="232" w:firstLineChars="0"/>
              <w:jc w:val="left"/>
              <w:rPr>
                <w:rFonts w:ascii="宋体" w:hAnsi="宋体" w:cs="仿宋_GB2312"/>
                <w:color w:val="auto"/>
                <w:sz w:val="21"/>
                <w:szCs w:val="21"/>
                <w:highlight w:val="none"/>
                <w:lang w:val="zh-TW" w:eastAsia="zh-TW"/>
              </w:rPr>
            </w:pPr>
            <w:r>
              <w:rPr>
                <w:rFonts w:hint="eastAsia" w:ascii="宋体" w:hAnsi="宋体" w:cs="仿宋_GB2312"/>
                <w:color w:val="auto"/>
                <w:sz w:val="21"/>
                <w:szCs w:val="21"/>
                <w:highlight w:val="none"/>
                <w:lang w:val="zh-TW" w:eastAsia="zh-TW"/>
              </w:rPr>
              <w:t>支持图形化形式查看各网站的漏洞变化情况</w:t>
            </w:r>
            <w:r>
              <w:rPr>
                <w:rFonts w:hint="eastAsia" w:ascii="宋体" w:hAnsi="宋体" w:cs="宋体"/>
                <w:color w:val="auto"/>
                <w:sz w:val="21"/>
                <w:szCs w:val="21"/>
                <w:highlight w:val="none"/>
              </w:rPr>
              <w:t>（提供产品功能界面截图证明）</w:t>
            </w:r>
          </w:p>
          <w:p>
            <w:pPr>
              <w:pStyle w:val="11"/>
              <w:numPr>
                <w:ilvl w:val="0"/>
                <w:numId w:val="3"/>
              </w:numPr>
              <w:ind w:left="0" w:firstLine="232" w:firstLineChars="0"/>
              <w:jc w:val="left"/>
              <w:rPr>
                <w:rFonts w:ascii="宋体" w:hAnsi="宋体" w:cs="仿宋_GB2312"/>
                <w:color w:val="auto"/>
                <w:sz w:val="21"/>
                <w:szCs w:val="21"/>
                <w:highlight w:val="none"/>
                <w:lang w:val="zh-TW" w:eastAsia="zh-TW"/>
              </w:rPr>
            </w:pPr>
            <w:r>
              <w:rPr>
                <w:rFonts w:hint="eastAsia" w:ascii="宋体" w:hAnsi="宋体" w:cs="仿宋_GB2312"/>
                <w:color w:val="auto"/>
                <w:sz w:val="21"/>
                <w:szCs w:val="21"/>
                <w:highlight w:val="none"/>
                <w:lang w:val="zh-TW" w:eastAsia="zh-TW"/>
              </w:rPr>
              <w:t>旁路阻断：支持配置手动及自动阻断，可基于篡改、后门、暗链、敏感词、Webshell等事件进行阻断</w:t>
            </w:r>
            <w:r>
              <w:rPr>
                <w:rFonts w:hint="eastAsia" w:ascii="宋体" w:hAnsi="宋体" w:cs="宋体"/>
                <w:color w:val="auto"/>
                <w:sz w:val="21"/>
                <w:szCs w:val="21"/>
                <w:highlight w:val="none"/>
              </w:rPr>
              <w:t>（提供产品功能界面截图证明）</w:t>
            </w:r>
            <w:r>
              <w:rPr>
                <w:rFonts w:hint="eastAsia" w:ascii="宋体" w:hAnsi="宋体" w:cs="仿宋_GB2312"/>
                <w:color w:val="auto"/>
                <w:sz w:val="21"/>
                <w:szCs w:val="21"/>
                <w:highlight w:val="none"/>
                <w:lang w:val="zh-TW" w:eastAsia="zh-TW"/>
              </w:rPr>
              <w:t>，配置阻断策略时，支持选择漏洞进行阻断</w:t>
            </w:r>
            <w:r>
              <w:rPr>
                <w:rFonts w:hint="eastAsia" w:ascii="宋体" w:hAnsi="宋体" w:cs="宋体"/>
                <w:color w:val="auto"/>
                <w:sz w:val="21"/>
                <w:szCs w:val="21"/>
                <w:highlight w:val="none"/>
              </w:rPr>
              <w:t>（提供产品功能界面截图证明）</w:t>
            </w:r>
            <w:r>
              <w:rPr>
                <w:rFonts w:hint="eastAsia" w:ascii="宋体" w:hAnsi="宋体" w:cs="仿宋_GB2312"/>
                <w:color w:val="auto"/>
                <w:sz w:val="21"/>
                <w:szCs w:val="21"/>
                <w:highlight w:val="none"/>
                <w:lang w:val="zh-TW" w:eastAsia="zh-TW"/>
              </w:rPr>
              <w:t>，能够在旁路部署的模式下，实现对于不合规网站进行阻断。</w:t>
            </w:r>
          </w:p>
          <w:p>
            <w:pPr>
              <w:pStyle w:val="11"/>
              <w:numPr>
                <w:ilvl w:val="0"/>
                <w:numId w:val="3"/>
              </w:numPr>
              <w:ind w:left="0" w:firstLine="232" w:firstLineChars="0"/>
              <w:jc w:val="left"/>
              <w:rPr>
                <w:rFonts w:ascii="宋体" w:hAnsi="宋体" w:cs="宋体"/>
                <w:color w:val="auto"/>
                <w:sz w:val="21"/>
                <w:szCs w:val="21"/>
                <w:highlight w:val="none"/>
                <w:lang w:val="zh-TW" w:eastAsia="zh-TW"/>
              </w:rPr>
            </w:pPr>
            <w:r>
              <w:rPr>
                <w:rFonts w:hint="eastAsia" w:ascii="宋体" w:hAnsi="宋体" w:cs="宋体"/>
                <w:color w:val="auto"/>
                <w:sz w:val="21"/>
                <w:szCs w:val="21"/>
                <w:highlight w:val="none"/>
                <w:lang w:val="zh-TW" w:eastAsia="zh-TW"/>
              </w:rPr>
              <w:t>★Web检测：应支持对Oracle、MySQL、SQLserver等数据库的SQL注入攻击漏洞进行扫描评估检查。应支持对XSS跨站脚本攻击漏洞进行扫描评估检查。应支持对Apache、Tomcat、IIS等系统漏洞进行扫描评估检查，应支持对网络爬虫、扫描器的信息泄露、目录遍历等攻击方式进行扫描评估检查。应支持对CSRF、Shell上传文件等漏洞进行扫描评估。应支持对独立域名、范围域名进行自定义漏洞扫描评估。应支持五种以上Web扫描深度策略，高危漏洞、中危漏洞、低危漏洞、SQL注入漏洞、跨站脚本攻击漏洞等。应支持三种以上扫描类型，深度扫描、普通扫描、快速扫描等。应支持在扫描过程对扫描时间、扫描URL地址、扫描进度进行实时监控。能自定义白名单，排除已知的链接。应支持对web漏洞扫描进行日志记录，需有URL地址、URL域名、严重级别、漏洞类型、规则ID号等详细记录。</w:t>
            </w:r>
          </w:p>
          <w:p>
            <w:pPr>
              <w:pStyle w:val="11"/>
              <w:numPr>
                <w:ilvl w:val="0"/>
                <w:numId w:val="3"/>
              </w:numPr>
              <w:ind w:left="0" w:firstLine="232" w:firstLineChars="0"/>
              <w:jc w:val="left"/>
              <w:rPr>
                <w:rFonts w:ascii="宋体" w:hAnsi="宋体" w:cs="仿宋_GB2312"/>
                <w:color w:val="auto"/>
                <w:sz w:val="21"/>
                <w:szCs w:val="21"/>
                <w:highlight w:val="none"/>
                <w:lang w:val="zh-TW" w:eastAsia="zh-TW"/>
              </w:rPr>
            </w:pPr>
            <w:r>
              <w:rPr>
                <w:rFonts w:hint="eastAsia" w:ascii="宋体" w:hAnsi="宋体" w:cs="仿宋_GB2312"/>
                <w:color w:val="auto"/>
                <w:sz w:val="21"/>
                <w:szCs w:val="21"/>
                <w:highlight w:val="none"/>
                <w:lang w:val="zh-TW" w:eastAsia="zh-TW"/>
              </w:rPr>
              <w:t>应支持选择阻断整个web资产或细粒度的问题页面</w:t>
            </w:r>
            <w:r>
              <w:rPr>
                <w:rFonts w:hint="eastAsia" w:ascii="宋体" w:hAnsi="宋体" w:cs="宋体"/>
                <w:color w:val="auto"/>
                <w:sz w:val="21"/>
                <w:szCs w:val="21"/>
                <w:highlight w:val="none"/>
              </w:rPr>
              <w:t>（提供产品功能界面截图证明）</w:t>
            </w:r>
          </w:p>
          <w:p>
            <w:pPr>
              <w:pStyle w:val="11"/>
              <w:numPr>
                <w:ilvl w:val="0"/>
                <w:numId w:val="3"/>
              </w:numPr>
              <w:ind w:left="0" w:firstLine="232" w:firstLineChars="0"/>
              <w:jc w:val="left"/>
              <w:rPr>
                <w:rFonts w:ascii="宋体" w:hAnsi="宋体" w:cs="仿宋_GB2312"/>
                <w:color w:val="auto"/>
                <w:sz w:val="21"/>
                <w:szCs w:val="21"/>
                <w:highlight w:val="none"/>
                <w:lang w:val="zh-TW" w:eastAsia="zh-TW"/>
              </w:rPr>
            </w:pPr>
            <w:r>
              <w:rPr>
                <w:rFonts w:hint="eastAsia" w:ascii="宋体" w:hAnsi="宋体" w:cs="仿宋_GB2312"/>
                <w:color w:val="auto"/>
                <w:sz w:val="21"/>
                <w:szCs w:val="21"/>
                <w:highlight w:val="none"/>
                <w:lang w:val="zh-TW" w:eastAsia="zh-TW"/>
              </w:rPr>
              <w:t>应支持多样的阻断方式，至少包含人工验证、自动阻断、探针阻断和旁路阻断等</w:t>
            </w:r>
            <w:r>
              <w:rPr>
                <w:rFonts w:hint="eastAsia" w:ascii="宋体" w:hAnsi="宋体" w:cs="宋体"/>
                <w:color w:val="auto"/>
                <w:sz w:val="21"/>
                <w:szCs w:val="21"/>
                <w:highlight w:val="none"/>
              </w:rPr>
              <w:t>（提供产品功能界面截图证明）</w:t>
            </w:r>
          </w:p>
          <w:p>
            <w:pPr>
              <w:pStyle w:val="11"/>
              <w:numPr>
                <w:ilvl w:val="0"/>
                <w:numId w:val="3"/>
              </w:numPr>
              <w:ind w:left="0" w:firstLine="232" w:firstLineChars="0"/>
              <w:jc w:val="left"/>
              <w:rPr>
                <w:rFonts w:ascii="宋体" w:hAnsi="宋体" w:cs="仿宋_GB2312"/>
                <w:color w:val="auto"/>
                <w:sz w:val="21"/>
                <w:szCs w:val="21"/>
                <w:highlight w:val="none"/>
                <w:lang w:val="zh-TW" w:eastAsia="zh-TW"/>
              </w:rPr>
            </w:pPr>
            <w:r>
              <w:rPr>
                <w:rFonts w:hint="eastAsia" w:ascii="宋体" w:hAnsi="宋体" w:cs="仿宋_GB2312"/>
                <w:color w:val="auto"/>
                <w:sz w:val="21"/>
                <w:szCs w:val="21"/>
                <w:highlight w:val="none"/>
                <w:lang w:val="zh-TW" w:eastAsia="zh-TW"/>
              </w:rPr>
              <w:t>审计及告警：所有日志记录应支持第三方日志服务器记录，并预留有第三方日志服务器接口。应支持对系统漏洞、Web漏洞，篡改，暗链，敏感词进行告警功能，同时支持Syslog协议，并以邮件进行实时告警。能提供弹窗的报警模式，便于管理员管理。支持微信告警</w:t>
            </w:r>
            <w:r>
              <w:rPr>
                <w:rFonts w:hint="eastAsia" w:ascii="宋体" w:hAnsi="宋体" w:cs="宋体"/>
                <w:color w:val="auto"/>
                <w:sz w:val="21"/>
                <w:szCs w:val="21"/>
                <w:highlight w:val="none"/>
              </w:rPr>
              <w:t>（提供产品功能界面截图证明）</w:t>
            </w:r>
          </w:p>
          <w:p>
            <w:pPr>
              <w:pStyle w:val="11"/>
              <w:numPr>
                <w:ilvl w:val="0"/>
                <w:numId w:val="3"/>
              </w:numPr>
              <w:ind w:left="0" w:firstLine="232" w:firstLineChars="0"/>
              <w:jc w:val="left"/>
              <w:rPr>
                <w:rFonts w:ascii="宋体" w:hAnsi="宋体" w:cs="仿宋_GB2312"/>
                <w:color w:val="auto"/>
                <w:sz w:val="21"/>
                <w:szCs w:val="21"/>
                <w:highlight w:val="none"/>
                <w:lang w:val="zh-TW" w:eastAsia="zh-TW"/>
              </w:rPr>
            </w:pPr>
            <w:r>
              <w:rPr>
                <w:rFonts w:hint="eastAsia" w:ascii="宋体" w:hAnsi="宋体" w:cs="仿宋_GB2312"/>
                <w:color w:val="auto"/>
                <w:sz w:val="21"/>
                <w:szCs w:val="21"/>
                <w:highlight w:val="none"/>
                <w:lang w:val="zh-TW" w:eastAsia="zh-TW"/>
              </w:rPr>
              <w:t>弱口令扫描：支持目前知名的检测协议，TELNET、FTP、SSH、POP3、SMB、RDP、Oracle、MySQL、PostgreSQL、MsSQL、DB2、MongoDB；支持用户名字典检测、密码字典检测、组合字典检测多种方式；支持用户自定义用户名密码列表导入检测。</w:t>
            </w:r>
          </w:p>
          <w:p>
            <w:pPr>
              <w:pStyle w:val="11"/>
              <w:numPr>
                <w:ilvl w:val="0"/>
                <w:numId w:val="3"/>
              </w:numPr>
              <w:ind w:left="0" w:firstLine="232" w:firstLineChars="0"/>
              <w:jc w:val="left"/>
              <w:rPr>
                <w:rFonts w:ascii="宋体" w:hAnsi="宋体" w:cs="仿宋_GB2312"/>
                <w:color w:val="auto"/>
                <w:sz w:val="21"/>
                <w:szCs w:val="21"/>
                <w:highlight w:val="none"/>
                <w:lang w:val="zh-TW" w:eastAsia="zh-TW"/>
              </w:rPr>
            </w:pPr>
            <w:r>
              <w:rPr>
                <w:rFonts w:hint="eastAsia" w:ascii="宋体" w:hAnsi="宋体" w:cs="仿宋_GB2312"/>
                <w:color w:val="auto"/>
                <w:sz w:val="21"/>
                <w:szCs w:val="21"/>
                <w:highlight w:val="none"/>
                <w:lang w:val="zh-TW" w:eastAsia="zh-TW"/>
              </w:rPr>
              <w:t>系统漏洞扫描：支持对网络主机（如网络打印机、服务器、客户机等）、网络设备（Cisco、3Com、Checkpoint等主流厂商网络设备）、操作系统（Microsoft Windows 9X/NT/2000/XP/2003、Sun Solaris、HP Unix、IBM AIX、IRIX、Linux、BSD和国产麒麟操作系统等）以及应用系统等进行漏洞扫描检测。应支持对系统漏洞扫描进行日志记录，需有IP地址、漏洞描述、漏洞名称、CVE ID、严重级别、版本号、服务及端口号等详细记录</w:t>
            </w:r>
          </w:p>
          <w:p>
            <w:pPr>
              <w:pStyle w:val="11"/>
              <w:numPr>
                <w:ilvl w:val="0"/>
                <w:numId w:val="3"/>
              </w:numPr>
              <w:ind w:left="0" w:firstLine="232" w:firstLineChars="0"/>
              <w:jc w:val="left"/>
              <w:rPr>
                <w:rFonts w:ascii="宋体" w:hAnsi="宋体" w:cs="仿宋_GB2312"/>
                <w:color w:val="auto"/>
                <w:sz w:val="21"/>
                <w:szCs w:val="21"/>
                <w:highlight w:val="none"/>
                <w:lang w:val="zh-TW" w:eastAsia="zh-TW"/>
              </w:rPr>
            </w:pPr>
            <w:r>
              <w:rPr>
                <w:rFonts w:hint="eastAsia" w:ascii="宋体" w:hAnsi="宋体" w:cs="仿宋_GB2312"/>
                <w:color w:val="auto"/>
                <w:sz w:val="21"/>
                <w:szCs w:val="21"/>
                <w:highlight w:val="none"/>
                <w:lang w:val="zh-TW" w:eastAsia="zh-TW"/>
              </w:rPr>
              <w:t>篡改监控：能进行配置自动分发防篡改功能，能对网站发生的改动行为进行监控。能清晰展现篡改发生的现场信息。</w:t>
            </w:r>
          </w:p>
          <w:p>
            <w:pPr>
              <w:pStyle w:val="11"/>
              <w:numPr>
                <w:ilvl w:val="0"/>
                <w:numId w:val="3"/>
              </w:numPr>
              <w:ind w:left="0" w:firstLine="232" w:firstLineChars="0"/>
              <w:jc w:val="left"/>
              <w:rPr>
                <w:rFonts w:ascii="宋体" w:hAnsi="宋体" w:cs="仿宋_GB2312"/>
                <w:color w:val="auto"/>
                <w:sz w:val="21"/>
                <w:szCs w:val="21"/>
                <w:highlight w:val="none"/>
                <w:lang w:val="zh-TW" w:eastAsia="zh-TW"/>
              </w:rPr>
            </w:pPr>
            <w:r>
              <w:rPr>
                <w:rFonts w:hint="eastAsia" w:ascii="宋体" w:hAnsi="宋体" w:cs="仿宋_GB2312"/>
                <w:color w:val="auto"/>
                <w:sz w:val="21"/>
                <w:szCs w:val="21"/>
                <w:highlight w:val="none"/>
                <w:lang w:val="zh-TW" w:eastAsia="zh-TW"/>
              </w:rPr>
              <w:t>实时监控：能支持动态的展示每个WEB应用的状态</w:t>
            </w:r>
            <w:r>
              <w:rPr>
                <w:rFonts w:hint="eastAsia" w:ascii="宋体" w:hAnsi="宋体" w:cs="宋体"/>
                <w:color w:val="auto"/>
                <w:sz w:val="21"/>
                <w:szCs w:val="21"/>
                <w:highlight w:val="none"/>
              </w:rPr>
              <w:t>（提供产品功能界面截图证明）</w:t>
            </w:r>
            <w:r>
              <w:rPr>
                <w:rFonts w:hint="eastAsia" w:ascii="宋体" w:hAnsi="宋体" w:cs="仿宋_GB2312"/>
                <w:color w:val="auto"/>
                <w:sz w:val="21"/>
                <w:szCs w:val="21"/>
                <w:highlight w:val="none"/>
                <w:lang w:val="zh-TW" w:eastAsia="zh-TW"/>
              </w:rPr>
              <w:t>对于WEB应用安全情况能够利用滚屏实时进行呈现</w:t>
            </w:r>
            <w:r>
              <w:rPr>
                <w:rFonts w:hint="eastAsia" w:ascii="宋体" w:hAnsi="宋体" w:cs="宋体"/>
                <w:color w:val="auto"/>
                <w:sz w:val="21"/>
                <w:szCs w:val="21"/>
                <w:highlight w:val="none"/>
              </w:rPr>
              <w:t>（提供产品功能界面截图证明）</w:t>
            </w:r>
          </w:p>
          <w:p>
            <w:pPr>
              <w:pStyle w:val="11"/>
              <w:numPr>
                <w:ilvl w:val="0"/>
                <w:numId w:val="3"/>
              </w:numPr>
              <w:ind w:left="0" w:firstLine="232" w:firstLineChars="0"/>
              <w:jc w:val="left"/>
              <w:rPr>
                <w:rFonts w:ascii="宋体" w:hAnsi="宋体" w:cs="仿宋_GB2312"/>
                <w:color w:val="auto"/>
                <w:sz w:val="21"/>
                <w:szCs w:val="21"/>
                <w:highlight w:val="none"/>
                <w:lang w:val="zh-TW" w:eastAsia="zh-TW"/>
              </w:rPr>
            </w:pPr>
            <w:r>
              <w:rPr>
                <w:rFonts w:hint="eastAsia" w:ascii="宋体" w:hAnsi="宋体" w:cs="仿宋_GB2312"/>
                <w:color w:val="auto"/>
                <w:sz w:val="21"/>
                <w:szCs w:val="21"/>
                <w:highlight w:val="none"/>
                <w:lang w:val="zh-TW" w:eastAsia="zh-TW"/>
              </w:rPr>
              <w:t>管理功能：能进行集中管理和统一监控，并且支持多级级联部署。能够以漏洞情况、安全事件情况两种维度对网站进行划分</w:t>
            </w:r>
            <w:r>
              <w:rPr>
                <w:rFonts w:hint="eastAsia" w:ascii="宋体" w:hAnsi="宋体" w:cs="宋体"/>
                <w:color w:val="auto"/>
                <w:sz w:val="21"/>
                <w:szCs w:val="21"/>
                <w:highlight w:val="none"/>
              </w:rPr>
              <w:t>（提供产品功能界面截图证明）</w:t>
            </w:r>
          </w:p>
          <w:p>
            <w:pPr>
              <w:rPr>
                <w:rFonts w:ascii="宋体" w:hAnsi="宋体" w:cs="宋体"/>
                <w:color w:val="auto"/>
                <w:sz w:val="21"/>
                <w:szCs w:val="21"/>
                <w:highlight w:val="none"/>
              </w:rPr>
            </w:pPr>
            <w:r>
              <w:rPr>
                <w:rFonts w:hint="eastAsia" w:ascii="宋体" w:hAnsi="宋体" w:cs="宋体"/>
                <w:color w:val="auto"/>
                <w:sz w:val="21"/>
                <w:szCs w:val="21"/>
                <w:highlight w:val="none"/>
              </w:rPr>
              <w:t>三、★投标人须提供免费技术服务和三年免费硬件质保，软件升级、特征库升级服务，提供服务承诺函</w:t>
            </w:r>
          </w:p>
        </w:tc>
        <w:tc>
          <w:tcPr>
            <w:tcW w:w="79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auto"/>
                <w:sz w:val="21"/>
                <w:szCs w:val="21"/>
                <w:highlight w:val="none"/>
              </w:rPr>
            </w:pPr>
            <w:r>
              <w:rPr>
                <w:rFonts w:hint="eastAsia" w:ascii="宋体" w:hAnsi="宋体" w:cs="宋体"/>
                <w:color w:val="auto"/>
                <w:sz w:val="21"/>
                <w:szCs w:val="21"/>
                <w:highlight w:val="none"/>
              </w:rPr>
              <w:t>1</w:t>
            </w:r>
          </w:p>
        </w:tc>
        <w:tc>
          <w:tcPr>
            <w:tcW w:w="79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auto"/>
                <w:sz w:val="21"/>
                <w:szCs w:val="21"/>
                <w:highlight w:val="none"/>
              </w:rPr>
            </w:pPr>
            <w:r>
              <w:rPr>
                <w:rFonts w:hint="eastAsia" w:ascii="宋体" w:hAnsi="宋体" w:cs="宋体"/>
                <w:color w:val="auto"/>
                <w:sz w:val="21"/>
                <w:szCs w:val="21"/>
                <w:highlight w:val="none"/>
              </w:rPr>
              <w:t>台</w:t>
            </w:r>
          </w:p>
        </w:tc>
      </w:tr>
      <w:tr>
        <w:tblPrEx>
          <w:tblCellMar>
            <w:top w:w="0" w:type="dxa"/>
            <w:left w:w="108" w:type="dxa"/>
            <w:bottom w:w="0" w:type="dxa"/>
            <w:right w:w="108" w:type="dxa"/>
          </w:tblCellMar>
        </w:tblPrEx>
        <w:trPr>
          <w:trHeight w:val="360" w:hRule="atLeast"/>
          <w:jc w:val="center"/>
        </w:trPr>
        <w:tc>
          <w:tcPr>
            <w:tcW w:w="796"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等线" w:cs="宋体"/>
                <w:color w:val="auto"/>
                <w:sz w:val="21"/>
                <w:szCs w:val="21"/>
                <w:highlight w:val="none"/>
              </w:rPr>
            </w:pPr>
            <w:r>
              <w:rPr>
                <w:rFonts w:hint="eastAsia" w:ascii="宋体" w:hAnsi="宋体" w:eastAsia="等线" w:cs="宋体"/>
                <w:color w:val="auto"/>
                <w:sz w:val="21"/>
                <w:szCs w:val="21"/>
                <w:highlight w:val="none"/>
              </w:rPr>
              <w:t>4</w:t>
            </w:r>
          </w:p>
        </w:tc>
        <w:tc>
          <w:tcPr>
            <w:tcW w:w="132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auto"/>
                <w:sz w:val="21"/>
                <w:szCs w:val="21"/>
                <w:highlight w:val="none"/>
              </w:rPr>
            </w:pPr>
            <w:r>
              <w:rPr>
                <w:rFonts w:hint="eastAsia" w:ascii="宋体" w:hAnsi="宋体" w:cs="宋体"/>
                <w:color w:val="auto"/>
                <w:sz w:val="21"/>
                <w:szCs w:val="21"/>
                <w:highlight w:val="none"/>
              </w:rPr>
              <w:t>服务器</w:t>
            </w:r>
          </w:p>
        </w:tc>
        <w:tc>
          <w:tcPr>
            <w:tcW w:w="6182" w:type="dxa"/>
            <w:tcBorders>
              <w:top w:val="nil"/>
              <w:left w:val="nil"/>
              <w:bottom w:val="single" w:color="auto" w:sz="4" w:space="0"/>
              <w:right w:val="single" w:color="auto" w:sz="4" w:space="0"/>
            </w:tcBorders>
            <w:noWrap w:val="0"/>
            <w:vAlign w:val="center"/>
          </w:tcPr>
          <w:p>
            <w:pPr>
              <w:numPr>
                <w:ilvl w:val="0"/>
                <w:numId w:val="4"/>
              </w:numPr>
              <w:rPr>
                <w:rFonts w:ascii="宋体" w:hAnsi="宋体" w:cs="宋体"/>
                <w:color w:val="auto"/>
                <w:sz w:val="21"/>
                <w:szCs w:val="21"/>
                <w:highlight w:val="none"/>
              </w:rPr>
            </w:pPr>
            <w:r>
              <w:rPr>
                <w:rFonts w:hint="eastAsia" w:ascii="宋体" w:hAnsi="宋体" w:cs="宋体"/>
                <w:color w:val="auto"/>
                <w:sz w:val="21"/>
                <w:szCs w:val="21"/>
                <w:highlight w:val="none"/>
              </w:rPr>
              <w:t>2U 4路机架式服务器；</w:t>
            </w:r>
          </w:p>
          <w:p>
            <w:pPr>
              <w:numPr>
                <w:ilvl w:val="0"/>
                <w:numId w:val="4"/>
              </w:numPr>
              <w:rPr>
                <w:rFonts w:ascii="宋体" w:hAnsi="宋体" w:cs="宋体"/>
                <w:color w:val="auto"/>
                <w:sz w:val="21"/>
                <w:szCs w:val="21"/>
                <w:highlight w:val="none"/>
              </w:rPr>
            </w:pPr>
            <w:r>
              <w:rPr>
                <w:rFonts w:hint="eastAsia" w:ascii="宋体" w:hAnsi="宋体" w:cs="宋体"/>
                <w:color w:val="auto"/>
                <w:sz w:val="21"/>
                <w:szCs w:val="21"/>
                <w:highlight w:val="none"/>
                <w:lang w:val="zh-TW" w:eastAsia="zh-TW"/>
              </w:rPr>
              <w:t>★</w:t>
            </w:r>
            <w:r>
              <w:rPr>
                <w:rFonts w:hint="eastAsia" w:ascii="宋体" w:hAnsi="宋体" w:cs="宋体"/>
                <w:color w:val="auto"/>
                <w:sz w:val="21"/>
                <w:szCs w:val="21"/>
                <w:highlight w:val="none"/>
              </w:rPr>
              <w:t>配置≥4颗不低于Intel至强可扩展系列5220处理器，主频≥2.2GHz，核数≥18核；</w:t>
            </w:r>
          </w:p>
          <w:p>
            <w:pPr>
              <w:numPr>
                <w:ilvl w:val="0"/>
                <w:numId w:val="4"/>
              </w:numPr>
              <w:rPr>
                <w:rFonts w:ascii="宋体" w:hAnsi="宋体" w:cs="宋体"/>
                <w:color w:val="auto"/>
                <w:sz w:val="21"/>
                <w:szCs w:val="21"/>
                <w:highlight w:val="none"/>
              </w:rPr>
            </w:pPr>
            <w:r>
              <w:rPr>
                <w:rFonts w:hint="eastAsia" w:ascii="宋体" w:hAnsi="宋体" w:cs="宋体"/>
                <w:color w:val="auto"/>
                <w:sz w:val="21"/>
                <w:szCs w:val="21"/>
                <w:highlight w:val="none"/>
                <w:lang w:val="zh-TW" w:eastAsia="zh-TW"/>
              </w:rPr>
              <w:t>★</w:t>
            </w:r>
            <w:r>
              <w:rPr>
                <w:rFonts w:hint="eastAsia" w:ascii="宋体" w:hAnsi="宋体" w:cs="宋体"/>
                <w:color w:val="auto"/>
                <w:sz w:val="21"/>
                <w:szCs w:val="21"/>
                <w:highlight w:val="none"/>
              </w:rPr>
              <w:t>内存插槽≥48个，最大容量≥6.0TB；本次配置≥512GB DDR4 2933MHz内存；</w:t>
            </w:r>
          </w:p>
          <w:p>
            <w:pPr>
              <w:numPr>
                <w:ilvl w:val="0"/>
                <w:numId w:val="4"/>
              </w:numPr>
              <w:rPr>
                <w:rFonts w:ascii="宋体" w:hAnsi="宋体" w:cs="宋体"/>
                <w:color w:val="auto"/>
                <w:sz w:val="21"/>
                <w:szCs w:val="21"/>
                <w:highlight w:val="none"/>
              </w:rPr>
            </w:pPr>
            <w:r>
              <w:rPr>
                <w:rFonts w:hint="eastAsia" w:ascii="宋体" w:hAnsi="宋体" w:cs="宋体"/>
                <w:color w:val="auto"/>
                <w:sz w:val="21"/>
                <w:szCs w:val="21"/>
                <w:highlight w:val="none"/>
              </w:rPr>
              <w:t>配置≥2块600GB 12Gb SAS 10K硬盘，最多支持≥2</w:t>
            </w:r>
            <w:r>
              <w:rPr>
                <w:rFonts w:ascii="宋体" w:hAnsi="宋体" w:cs="宋体"/>
                <w:color w:val="auto"/>
                <w:sz w:val="21"/>
                <w:szCs w:val="21"/>
                <w:highlight w:val="none"/>
              </w:rPr>
              <w:t>4</w:t>
            </w:r>
            <w:r>
              <w:rPr>
                <w:rFonts w:hint="eastAsia" w:ascii="宋体" w:hAnsi="宋体" w:cs="宋体"/>
                <w:color w:val="auto"/>
                <w:sz w:val="21"/>
                <w:szCs w:val="21"/>
                <w:highlight w:val="none"/>
              </w:rPr>
              <w:t>个2.5寸热插拔硬盘槽位，且全部硬盘可在不打开主机箱盖的情况下热插拔维护；</w:t>
            </w:r>
          </w:p>
          <w:p>
            <w:pPr>
              <w:numPr>
                <w:ilvl w:val="0"/>
                <w:numId w:val="4"/>
              </w:numPr>
              <w:rPr>
                <w:rFonts w:ascii="宋体" w:hAnsi="宋体" w:cs="宋体"/>
                <w:color w:val="auto"/>
                <w:sz w:val="21"/>
                <w:szCs w:val="21"/>
                <w:highlight w:val="none"/>
              </w:rPr>
            </w:pPr>
            <w:r>
              <w:rPr>
                <w:rFonts w:hint="eastAsia" w:ascii="宋体" w:hAnsi="宋体" w:cs="宋体"/>
                <w:color w:val="auto"/>
                <w:sz w:val="21"/>
                <w:szCs w:val="21"/>
                <w:highlight w:val="none"/>
              </w:rPr>
              <w:t>配置≥1个RAID阵列卡，支持RAID0/1/10/5/6/50/60，≥4GB缓存，配置缓存数据保护，且后备保护不受时间限制；</w:t>
            </w:r>
          </w:p>
          <w:p>
            <w:pPr>
              <w:numPr>
                <w:ilvl w:val="0"/>
                <w:numId w:val="4"/>
              </w:numPr>
              <w:rPr>
                <w:rFonts w:ascii="宋体" w:hAnsi="宋体" w:cs="宋体"/>
                <w:color w:val="auto"/>
                <w:sz w:val="21"/>
                <w:szCs w:val="21"/>
                <w:highlight w:val="none"/>
              </w:rPr>
            </w:pPr>
            <w:r>
              <w:rPr>
                <w:rFonts w:hint="eastAsia" w:ascii="宋体" w:hAnsi="宋体" w:cs="宋体"/>
                <w:color w:val="auto"/>
                <w:sz w:val="21"/>
                <w:szCs w:val="21"/>
                <w:highlight w:val="none"/>
              </w:rPr>
              <w:t>支持≥11个PCIE3.0插槽；提供官网截图证明；</w:t>
            </w:r>
          </w:p>
          <w:p>
            <w:pPr>
              <w:numPr>
                <w:ilvl w:val="0"/>
                <w:numId w:val="4"/>
              </w:numPr>
              <w:rPr>
                <w:rFonts w:ascii="宋体" w:hAnsi="宋体" w:cs="宋体"/>
                <w:color w:val="auto"/>
                <w:sz w:val="21"/>
                <w:szCs w:val="21"/>
                <w:highlight w:val="none"/>
              </w:rPr>
            </w:pPr>
            <w:r>
              <w:rPr>
                <w:rFonts w:hint="eastAsia" w:ascii="宋体" w:hAnsi="宋体" w:cs="宋体"/>
                <w:color w:val="auto"/>
                <w:sz w:val="21"/>
                <w:szCs w:val="21"/>
                <w:highlight w:val="none"/>
              </w:rPr>
              <w:t>提供≥1个网卡专用插槽（不占用PCIE扩展槽），配置≥2块2端口万兆光接口网卡（含光模块），≥1块4端口千兆电口网卡；</w:t>
            </w:r>
          </w:p>
          <w:p>
            <w:pPr>
              <w:numPr>
                <w:ilvl w:val="0"/>
                <w:numId w:val="4"/>
              </w:numPr>
              <w:rPr>
                <w:rFonts w:ascii="宋体" w:hAnsi="宋体" w:cs="宋体"/>
                <w:color w:val="auto"/>
                <w:sz w:val="21"/>
                <w:szCs w:val="21"/>
                <w:highlight w:val="none"/>
              </w:rPr>
            </w:pPr>
            <w:r>
              <w:rPr>
                <w:rFonts w:hint="eastAsia" w:ascii="宋体" w:hAnsi="宋体" w:cs="宋体"/>
                <w:color w:val="auto"/>
                <w:sz w:val="21"/>
                <w:szCs w:val="21"/>
                <w:highlight w:val="none"/>
              </w:rPr>
              <w:t>配置≥2块单端口16Gb HBA卡（含FC光模块）；</w:t>
            </w:r>
          </w:p>
          <w:p>
            <w:pPr>
              <w:numPr>
                <w:ilvl w:val="0"/>
                <w:numId w:val="4"/>
              </w:numPr>
              <w:rPr>
                <w:rFonts w:ascii="宋体" w:hAnsi="宋体" w:cs="宋体"/>
                <w:color w:val="auto"/>
                <w:sz w:val="21"/>
                <w:szCs w:val="21"/>
                <w:highlight w:val="none"/>
              </w:rPr>
            </w:pPr>
            <w:r>
              <w:rPr>
                <w:rFonts w:hint="eastAsia" w:ascii="宋体" w:hAnsi="宋体" w:cs="宋体"/>
                <w:color w:val="auto"/>
                <w:sz w:val="21"/>
                <w:szCs w:val="21"/>
                <w:highlight w:val="none"/>
              </w:rPr>
              <w:t>配置≥2个1200W热插拔冗余电源，支持96%能效比的钛金级电源选件；</w:t>
            </w:r>
          </w:p>
          <w:p>
            <w:pPr>
              <w:numPr>
                <w:ilvl w:val="0"/>
                <w:numId w:val="4"/>
              </w:numPr>
              <w:rPr>
                <w:rFonts w:ascii="宋体" w:hAnsi="宋体" w:cs="宋体"/>
                <w:color w:val="auto"/>
                <w:sz w:val="21"/>
                <w:szCs w:val="21"/>
                <w:highlight w:val="none"/>
              </w:rPr>
            </w:pPr>
            <w:r>
              <w:rPr>
                <w:rFonts w:hint="eastAsia" w:ascii="宋体" w:hAnsi="宋体" w:cs="宋体"/>
                <w:color w:val="auto"/>
                <w:sz w:val="21"/>
                <w:szCs w:val="21"/>
                <w:highlight w:val="none"/>
              </w:rPr>
              <w:t>支持配置机箱入侵侦测功能，支持安全网卡；</w:t>
            </w:r>
          </w:p>
          <w:p>
            <w:pPr>
              <w:numPr>
                <w:ilvl w:val="0"/>
                <w:numId w:val="4"/>
              </w:numPr>
              <w:rPr>
                <w:rFonts w:ascii="宋体" w:hAnsi="宋体" w:cs="宋体"/>
                <w:color w:val="auto"/>
                <w:sz w:val="21"/>
                <w:szCs w:val="21"/>
                <w:highlight w:val="none"/>
              </w:rPr>
            </w:pPr>
            <w:r>
              <w:rPr>
                <w:rFonts w:hint="eastAsia" w:ascii="宋体" w:hAnsi="宋体" w:cs="宋体"/>
                <w:color w:val="auto"/>
                <w:sz w:val="21"/>
                <w:szCs w:val="21"/>
                <w:highlight w:val="none"/>
              </w:rPr>
              <w:t>配置机架式导轨和安全面板；</w:t>
            </w:r>
          </w:p>
          <w:p>
            <w:pPr>
              <w:numPr>
                <w:ilvl w:val="0"/>
                <w:numId w:val="4"/>
              </w:numPr>
              <w:rPr>
                <w:rFonts w:ascii="宋体" w:hAnsi="宋体" w:cs="宋体"/>
                <w:color w:val="auto"/>
                <w:sz w:val="21"/>
                <w:szCs w:val="21"/>
                <w:highlight w:val="none"/>
              </w:rPr>
            </w:pPr>
            <w:r>
              <w:rPr>
                <w:rFonts w:hint="eastAsia" w:ascii="宋体" w:hAnsi="宋体" w:cs="宋体"/>
                <w:color w:val="auto"/>
                <w:sz w:val="21"/>
                <w:szCs w:val="21"/>
                <w:highlight w:val="none"/>
              </w:rPr>
              <w:t>配置≥1Gb独立的远程管理控制端口，配置虚拟KVM功能, 可实现与操作系统无关的远程对服务器的完全控制，提供服务器健康日记、服务器控制台录屏/回放功能，能够提供电源监控；</w:t>
            </w:r>
          </w:p>
          <w:p>
            <w:pPr>
              <w:pStyle w:val="11"/>
              <w:widowControl/>
              <w:numPr>
                <w:ilvl w:val="0"/>
                <w:numId w:val="4"/>
              </w:numPr>
              <w:ind w:firstLineChars="0"/>
              <w:jc w:val="left"/>
              <w:rPr>
                <w:rFonts w:ascii="宋体" w:hAnsi="宋体" w:cs="宋体"/>
                <w:color w:val="auto"/>
                <w:sz w:val="21"/>
                <w:szCs w:val="21"/>
                <w:highlight w:val="none"/>
                <w:lang w:val="zh-TW" w:eastAsia="zh-TW"/>
              </w:rPr>
            </w:pPr>
            <w:r>
              <w:rPr>
                <w:rFonts w:hint="eastAsia" w:ascii="宋体" w:hAnsi="宋体" w:cs="宋体"/>
                <w:color w:val="auto"/>
                <w:sz w:val="21"/>
                <w:szCs w:val="21"/>
                <w:highlight w:val="none"/>
                <w:lang w:val="zh-TW" w:eastAsia="zh-TW"/>
              </w:rPr>
              <w:t>★</w:t>
            </w:r>
            <w:r>
              <w:rPr>
                <w:rFonts w:hint="eastAsia" w:ascii="宋体" w:hAnsi="宋体" w:cs="宋体"/>
                <w:color w:val="auto"/>
                <w:sz w:val="21"/>
                <w:szCs w:val="21"/>
                <w:highlight w:val="none"/>
              </w:rPr>
              <w:t>投标人须提供免费技术服务和三年免费质保服务，提供服务承诺函</w:t>
            </w:r>
            <w:r>
              <w:rPr>
                <w:rFonts w:hint="eastAsia" w:ascii="宋体" w:hAnsi="宋体" w:cs="宋体"/>
                <w:color w:val="auto"/>
                <w:sz w:val="21"/>
                <w:szCs w:val="21"/>
                <w:highlight w:val="none"/>
                <w:lang w:val="zh-TW" w:eastAsia="zh-TW"/>
              </w:rPr>
              <w:t>。</w:t>
            </w:r>
          </w:p>
        </w:tc>
        <w:tc>
          <w:tcPr>
            <w:tcW w:w="79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auto"/>
                <w:sz w:val="21"/>
                <w:szCs w:val="21"/>
                <w:highlight w:val="none"/>
              </w:rPr>
            </w:pPr>
            <w:r>
              <w:rPr>
                <w:rFonts w:hint="eastAsia" w:ascii="宋体" w:hAnsi="宋体" w:cs="宋体"/>
                <w:color w:val="auto"/>
                <w:sz w:val="21"/>
                <w:szCs w:val="21"/>
                <w:highlight w:val="none"/>
              </w:rPr>
              <w:t>3</w:t>
            </w:r>
          </w:p>
        </w:tc>
        <w:tc>
          <w:tcPr>
            <w:tcW w:w="79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auto"/>
                <w:sz w:val="21"/>
                <w:szCs w:val="21"/>
                <w:highlight w:val="none"/>
              </w:rPr>
            </w:pPr>
            <w:r>
              <w:rPr>
                <w:rFonts w:hint="eastAsia" w:ascii="宋体" w:hAnsi="宋体" w:cs="宋体"/>
                <w:color w:val="auto"/>
                <w:sz w:val="21"/>
                <w:szCs w:val="21"/>
                <w:highlight w:val="none"/>
              </w:rPr>
              <w:t>台</w:t>
            </w:r>
          </w:p>
        </w:tc>
      </w:tr>
      <w:tr>
        <w:tblPrEx>
          <w:tblCellMar>
            <w:top w:w="0" w:type="dxa"/>
            <w:left w:w="108" w:type="dxa"/>
            <w:bottom w:w="0" w:type="dxa"/>
            <w:right w:w="108" w:type="dxa"/>
          </w:tblCellMar>
        </w:tblPrEx>
        <w:trPr>
          <w:trHeight w:val="276" w:hRule="atLeast"/>
          <w:jc w:val="center"/>
        </w:trPr>
        <w:tc>
          <w:tcPr>
            <w:tcW w:w="796"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等线" w:cs="宋体"/>
                <w:color w:val="auto"/>
                <w:sz w:val="21"/>
                <w:szCs w:val="21"/>
                <w:highlight w:val="none"/>
              </w:rPr>
            </w:pPr>
            <w:r>
              <w:rPr>
                <w:rFonts w:hint="eastAsia" w:ascii="宋体" w:hAnsi="宋体" w:eastAsia="等线" w:cs="宋体"/>
                <w:color w:val="auto"/>
                <w:sz w:val="21"/>
                <w:szCs w:val="21"/>
                <w:highlight w:val="none"/>
              </w:rPr>
              <w:t>5</w:t>
            </w:r>
          </w:p>
        </w:tc>
        <w:tc>
          <w:tcPr>
            <w:tcW w:w="1326"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PMingLiU" w:cs="宋体"/>
                <w:color w:val="auto"/>
                <w:sz w:val="21"/>
                <w:szCs w:val="21"/>
                <w:highlight w:val="none"/>
              </w:rPr>
            </w:pPr>
            <w:r>
              <w:rPr>
                <w:rFonts w:hint="eastAsia" w:ascii="宋体" w:hAnsi="宋体" w:cs="宋体"/>
                <w:color w:val="auto"/>
                <w:sz w:val="21"/>
                <w:szCs w:val="21"/>
                <w:highlight w:val="none"/>
              </w:rPr>
              <w:t>1</w:t>
            </w:r>
            <w:r>
              <w:rPr>
                <w:rFonts w:ascii="宋体" w:hAnsi="宋体" w:eastAsia="PMingLiU" w:cs="宋体"/>
                <w:color w:val="auto"/>
                <w:sz w:val="21"/>
                <w:szCs w:val="21"/>
                <w:highlight w:val="none"/>
              </w:rPr>
              <w:t>6GB HBA</w:t>
            </w:r>
            <w:r>
              <w:rPr>
                <w:rFonts w:hint="eastAsia" w:ascii="等线" w:hAnsi="等线" w:eastAsia="等线" w:cs="宋体"/>
                <w:color w:val="auto"/>
                <w:sz w:val="21"/>
                <w:szCs w:val="21"/>
                <w:highlight w:val="none"/>
              </w:rPr>
              <w:t>卡</w:t>
            </w:r>
          </w:p>
        </w:tc>
        <w:tc>
          <w:tcPr>
            <w:tcW w:w="6182" w:type="dxa"/>
            <w:tcBorders>
              <w:top w:val="nil"/>
              <w:left w:val="nil"/>
              <w:bottom w:val="single" w:color="auto" w:sz="4" w:space="0"/>
              <w:right w:val="single" w:color="auto" w:sz="4" w:space="0"/>
            </w:tcBorders>
            <w:noWrap w:val="0"/>
            <w:vAlign w:val="center"/>
          </w:tcPr>
          <w:p>
            <w:pPr>
              <w:widowControl/>
              <w:rPr>
                <w:rFonts w:hint="eastAsia" w:ascii="宋体" w:hAnsi="宋体" w:cs="宋体"/>
                <w:color w:val="auto"/>
                <w:sz w:val="21"/>
                <w:szCs w:val="21"/>
                <w:highlight w:val="none"/>
              </w:rPr>
            </w:pPr>
            <w:r>
              <w:rPr>
                <w:rFonts w:hint="eastAsia" w:ascii="宋体" w:hAnsi="宋体" w:cs="宋体"/>
                <w:color w:val="auto"/>
                <w:sz w:val="21"/>
                <w:szCs w:val="21"/>
                <w:highlight w:val="none"/>
                <w:lang w:val="zh-TW" w:eastAsia="zh-TW"/>
              </w:rPr>
              <w:t>★</w:t>
            </w:r>
            <w:r>
              <w:rPr>
                <w:rFonts w:hint="eastAsia" w:ascii="宋体" w:hAnsi="宋体" w:cs="宋体"/>
                <w:color w:val="auto"/>
                <w:sz w:val="21"/>
                <w:szCs w:val="21"/>
                <w:highlight w:val="none"/>
              </w:rPr>
              <w:t>单端口PCI-E光纤通道卡 含16GB多模模块，投标人须提供免费技术服务和三年免费质保服务，提供服务承诺函</w:t>
            </w:r>
          </w:p>
        </w:tc>
        <w:tc>
          <w:tcPr>
            <w:tcW w:w="796"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4</w:t>
            </w:r>
          </w:p>
        </w:tc>
        <w:tc>
          <w:tcPr>
            <w:tcW w:w="796"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PMingLiU" w:cs="宋体"/>
                <w:color w:val="auto"/>
                <w:sz w:val="21"/>
                <w:szCs w:val="21"/>
                <w:highlight w:val="none"/>
              </w:rPr>
            </w:pPr>
            <w:r>
              <w:rPr>
                <w:rFonts w:hint="eastAsia" w:ascii="等线" w:hAnsi="等线" w:eastAsia="等线" w:cs="宋体"/>
                <w:color w:val="auto"/>
                <w:sz w:val="21"/>
                <w:szCs w:val="21"/>
                <w:highlight w:val="none"/>
              </w:rPr>
              <w:t>块</w:t>
            </w:r>
          </w:p>
        </w:tc>
      </w:tr>
      <w:tr>
        <w:tblPrEx>
          <w:tblCellMar>
            <w:top w:w="0" w:type="dxa"/>
            <w:left w:w="108" w:type="dxa"/>
            <w:bottom w:w="0" w:type="dxa"/>
            <w:right w:w="108" w:type="dxa"/>
          </w:tblCellMar>
        </w:tblPrEx>
        <w:trPr>
          <w:trHeight w:val="276" w:hRule="atLeast"/>
          <w:jc w:val="center"/>
        </w:trPr>
        <w:tc>
          <w:tcPr>
            <w:tcW w:w="796"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等线" w:cs="宋体"/>
                <w:color w:val="auto"/>
                <w:sz w:val="21"/>
                <w:szCs w:val="21"/>
                <w:highlight w:val="none"/>
              </w:rPr>
            </w:pPr>
            <w:r>
              <w:rPr>
                <w:rFonts w:hint="eastAsia" w:ascii="宋体" w:hAnsi="宋体" w:eastAsia="等线" w:cs="宋体"/>
                <w:color w:val="auto"/>
                <w:sz w:val="21"/>
                <w:szCs w:val="21"/>
                <w:highlight w:val="none"/>
              </w:rPr>
              <w:t>6</w:t>
            </w:r>
          </w:p>
        </w:tc>
        <w:tc>
          <w:tcPr>
            <w:tcW w:w="132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auto"/>
                <w:sz w:val="21"/>
                <w:szCs w:val="21"/>
                <w:highlight w:val="none"/>
              </w:rPr>
            </w:pPr>
            <w:r>
              <w:rPr>
                <w:rFonts w:hint="eastAsia" w:ascii="宋体" w:hAnsi="宋体" w:cs="宋体"/>
                <w:color w:val="auto"/>
                <w:sz w:val="21"/>
                <w:szCs w:val="21"/>
                <w:highlight w:val="none"/>
              </w:rPr>
              <w:t>数据中心万兆交换机</w:t>
            </w:r>
          </w:p>
        </w:tc>
        <w:tc>
          <w:tcPr>
            <w:tcW w:w="6182" w:type="dxa"/>
            <w:tcBorders>
              <w:top w:val="nil"/>
              <w:left w:val="nil"/>
              <w:bottom w:val="single" w:color="auto" w:sz="4" w:space="0"/>
              <w:right w:val="single" w:color="auto" w:sz="4" w:space="0"/>
            </w:tcBorders>
            <w:noWrap w:val="0"/>
            <w:vAlign w:val="center"/>
          </w:tcPr>
          <w:p>
            <w:pPr>
              <w:widowControl/>
              <w:rPr>
                <w:rFonts w:ascii="宋体" w:hAnsi="宋体" w:cs="宋体"/>
                <w:color w:val="auto"/>
                <w:sz w:val="21"/>
                <w:szCs w:val="21"/>
                <w:highlight w:val="none"/>
              </w:rPr>
            </w:pPr>
            <w:r>
              <w:rPr>
                <w:rFonts w:hint="eastAsia" w:ascii="宋体" w:hAnsi="宋体" w:cs="宋体"/>
                <w:color w:val="auto"/>
                <w:sz w:val="21"/>
                <w:szCs w:val="21"/>
                <w:highlight w:val="none"/>
              </w:rPr>
              <w:t>★1</w:t>
            </w:r>
            <w:r>
              <w:rPr>
                <w:rFonts w:ascii="宋体" w:hAnsi="宋体" w:eastAsia="PMingLiU" w:cs="宋体"/>
                <w:color w:val="auto"/>
                <w:sz w:val="21"/>
                <w:szCs w:val="21"/>
                <w:highlight w:val="none"/>
              </w:rPr>
              <w:t>.</w:t>
            </w:r>
            <w:r>
              <w:rPr>
                <w:rFonts w:hint="eastAsia" w:ascii="宋体" w:hAnsi="宋体" w:cs="宋体"/>
                <w:color w:val="auto"/>
                <w:sz w:val="21"/>
                <w:szCs w:val="21"/>
                <w:highlight w:val="none"/>
              </w:rPr>
              <w:t>设备固化SFP+万兆光接口≥48个、QSFP+光接口≥2个，提供业务扩展插槽≥2个，电源插槽≥2个，风扇插槽≥2个；</w:t>
            </w:r>
          </w:p>
          <w:p>
            <w:pPr>
              <w:widowControl/>
              <w:rPr>
                <w:rFonts w:ascii="宋体" w:hAnsi="宋体" w:cs="宋体"/>
                <w:color w:val="auto"/>
                <w:sz w:val="21"/>
                <w:szCs w:val="21"/>
                <w:highlight w:val="none"/>
              </w:rPr>
            </w:pPr>
            <w:r>
              <w:rPr>
                <w:rFonts w:hint="eastAsia" w:ascii="宋体" w:hAnsi="宋体" w:cs="宋体"/>
                <w:color w:val="auto"/>
                <w:sz w:val="21"/>
                <w:szCs w:val="21"/>
                <w:highlight w:val="none"/>
              </w:rPr>
              <w:t>★2</w:t>
            </w:r>
            <w:r>
              <w:rPr>
                <w:rFonts w:ascii="宋体" w:hAnsi="宋体" w:eastAsia="PMingLiU" w:cs="宋体"/>
                <w:color w:val="auto"/>
                <w:sz w:val="21"/>
                <w:szCs w:val="21"/>
                <w:highlight w:val="none"/>
              </w:rPr>
              <w:t>.</w:t>
            </w:r>
            <w:r>
              <w:rPr>
                <w:rFonts w:hint="eastAsia" w:ascii="宋体" w:hAnsi="宋体" w:cs="宋体"/>
                <w:color w:val="auto"/>
                <w:sz w:val="21"/>
                <w:szCs w:val="21"/>
                <w:highlight w:val="none"/>
              </w:rPr>
              <w:t>交换容量≥23Tbps；转发性能≥1000Mpps；</w:t>
            </w:r>
            <w:r>
              <w:rPr>
                <w:rFonts w:ascii="宋体" w:hAnsi="宋体" w:cs="宋体"/>
                <w:color w:val="auto"/>
                <w:sz w:val="21"/>
                <w:szCs w:val="21"/>
                <w:highlight w:val="none"/>
              </w:rPr>
              <w:t xml:space="preserve"> </w:t>
            </w:r>
          </w:p>
          <w:p>
            <w:pPr>
              <w:widowControl/>
              <w:rPr>
                <w:rFonts w:ascii="宋体" w:hAnsi="宋体" w:cs="宋体"/>
                <w:color w:val="auto"/>
                <w:sz w:val="21"/>
                <w:szCs w:val="21"/>
                <w:highlight w:val="none"/>
              </w:rPr>
            </w:pPr>
            <w:r>
              <w:rPr>
                <w:rFonts w:hint="eastAsia" w:ascii="宋体" w:hAnsi="宋体" w:cs="宋体"/>
                <w:color w:val="auto"/>
                <w:sz w:val="21"/>
                <w:szCs w:val="21"/>
                <w:highlight w:val="none"/>
              </w:rPr>
              <w:t>3</w:t>
            </w:r>
            <w:r>
              <w:rPr>
                <w:rFonts w:ascii="宋体" w:hAnsi="宋体" w:eastAsia="PMingLiU" w:cs="宋体"/>
                <w:color w:val="auto"/>
                <w:sz w:val="21"/>
                <w:szCs w:val="21"/>
                <w:highlight w:val="none"/>
              </w:rPr>
              <w:t>.</w:t>
            </w:r>
            <w:r>
              <w:rPr>
                <w:rFonts w:hint="eastAsia" w:ascii="宋体" w:hAnsi="宋体" w:cs="宋体"/>
                <w:color w:val="auto"/>
                <w:sz w:val="21"/>
                <w:szCs w:val="21"/>
                <w:highlight w:val="none"/>
              </w:rPr>
              <w:t>支持虚拟化技术，可将最多9台交换机虚拟化为一台逻辑设备；</w:t>
            </w:r>
          </w:p>
          <w:p>
            <w:pPr>
              <w:widowControl/>
              <w:rPr>
                <w:rFonts w:ascii="宋体" w:hAnsi="宋体" w:cs="宋体"/>
                <w:color w:val="auto"/>
                <w:sz w:val="21"/>
                <w:szCs w:val="21"/>
                <w:highlight w:val="none"/>
              </w:rPr>
            </w:pPr>
            <w:r>
              <w:rPr>
                <w:rFonts w:hint="eastAsia" w:ascii="宋体" w:hAnsi="宋体" w:cs="宋体"/>
                <w:color w:val="auto"/>
                <w:sz w:val="21"/>
                <w:szCs w:val="21"/>
                <w:highlight w:val="none"/>
              </w:rPr>
              <w:t>4</w:t>
            </w:r>
            <w:r>
              <w:rPr>
                <w:rFonts w:ascii="宋体" w:hAnsi="宋体" w:eastAsia="PMingLiU" w:cs="宋体"/>
                <w:color w:val="auto"/>
                <w:sz w:val="21"/>
                <w:szCs w:val="21"/>
                <w:highlight w:val="none"/>
              </w:rPr>
              <w:t>.</w:t>
            </w:r>
            <w:r>
              <w:rPr>
                <w:rFonts w:hint="eastAsia" w:ascii="宋体" w:hAnsi="宋体" w:cs="宋体"/>
                <w:color w:val="auto"/>
                <w:sz w:val="21"/>
                <w:szCs w:val="21"/>
                <w:highlight w:val="none"/>
              </w:rPr>
              <w:t>采用开放业务架构，可集成FW，IPS、应用交付等高性能模块插卡；</w:t>
            </w:r>
          </w:p>
          <w:p>
            <w:pPr>
              <w:widowControl/>
              <w:rPr>
                <w:rFonts w:ascii="宋体" w:hAnsi="宋体" w:cs="宋体"/>
                <w:color w:val="auto"/>
                <w:sz w:val="21"/>
                <w:szCs w:val="21"/>
                <w:highlight w:val="none"/>
              </w:rPr>
            </w:pPr>
            <w:r>
              <w:rPr>
                <w:rFonts w:hint="eastAsia" w:ascii="宋体" w:hAnsi="宋体" w:cs="宋体"/>
                <w:color w:val="auto"/>
                <w:sz w:val="21"/>
                <w:szCs w:val="21"/>
                <w:highlight w:val="none"/>
              </w:rPr>
              <w:t>5</w:t>
            </w:r>
            <w:r>
              <w:rPr>
                <w:rFonts w:ascii="宋体" w:hAnsi="宋体" w:eastAsia="PMingLiU" w:cs="宋体"/>
                <w:color w:val="auto"/>
                <w:sz w:val="21"/>
                <w:szCs w:val="21"/>
                <w:highlight w:val="none"/>
              </w:rPr>
              <w:t>.</w:t>
            </w:r>
            <w:r>
              <w:rPr>
                <w:rFonts w:hint="eastAsia" w:ascii="宋体" w:hAnsi="宋体" w:cs="宋体"/>
                <w:color w:val="auto"/>
                <w:sz w:val="21"/>
                <w:szCs w:val="21"/>
                <w:highlight w:val="none"/>
              </w:rPr>
              <w:t>可扩展1/2.5/5/10G BASE-T以太网电接口板、万兆SFP+接口板、25G、40G、100G接口板；</w:t>
            </w:r>
          </w:p>
          <w:p>
            <w:pPr>
              <w:widowControl/>
              <w:rPr>
                <w:rFonts w:ascii="宋体" w:hAnsi="宋体" w:cs="宋体"/>
                <w:color w:val="auto"/>
                <w:sz w:val="21"/>
                <w:szCs w:val="21"/>
                <w:highlight w:val="none"/>
              </w:rPr>
            </w:pPr>
            <w:r>
              <w:rPr>
                <w:rFonts w:hint="eastAsia" w:ascii="宋体" w:hAnsi="宋体" w:cs="宋体"/>
                <w:color w:val="auto"/>
                <w:sz w:val="21"/>
                <w:szCs w:val="21"/>
                <w:highlight w:val="none"/>
              </w:rPr>
              <w:t>6</w:t>
            </w:r>
            <w:r>
              <w:rPr>
                <w:rFonts w:ascii="宋体" w:hAnsi="宋体" w:eastAsia="PMingLiU" w:cs="宋体"/>
                <w:color w:val="auto"/>
                <w:sz w:val="21"/>
                <w:szCs w:val="21"/>
                <w:highlight w:val="none"/>
              </w:rPr>
              <w:t>.</w:t>
            </w:r>
            <w:r>
              <w:rPr>
                <w:rFonts w:hint="eastAsia" w:ascii="宋体" w:hAnsi="宋体" w:cs="宋体"/>
                <w:color w:val="auto"/>
                <w:sz w:val="21"/>
                <w:szCs w:val="21"/>
                <w:highlight w:val="none"/>
              </w:rPr>
              <w:t>支持SDN（软件定义网络），实现网络控制与转发分离，支持Openflow1.3.1；</w:t>
            </w:r>
          </w:p>
          <w:p>
            <w:pPr>
              <w:widowControl/>
              <w:rPr>
                <w:rFonts w:ascii="宋体" w:hAnsi="宋体" w:cs="宋体"/>
                <w:color w:val="auto"/>
                <w:sz w:val="21"/>
                <w:szCs w:val="21"/>
                <w:highlight w:val="none"/>
              </w:rPr>
            </w:pPr>
            <w:r>
              <w:rPr>
                <w:rFonts w:hint="eastAsia" w:ascii="宋体" w:hAnsi="宋体" w:cs="宋体"/>
                <w:color w:val="auto"/>
                <w:sz w:val="21"/>
                <w:szCs w:val="21"/>
                <w:highlight w:val="none"/>
              </w:rPr>
              <w:t>7</w:t>
            </w:r>
            <w:r>
              <w:rPr>
                <w:rFonts w:ascii="宋体" w:hAnsi="宋体" w:eastAsia="PMingLiU" w:cs="宋体"/>
                <w:color w:val="auto"/>
                <w:sz w:val="21"/>
                <w:szCs w:val="21"/>
                <w:highlight w:val="none"/>
              </w:rPr>
              <w:t>.</w:t>
            </w:r>
            <w:r>
              <w:rPr>
                <w:rFonts w:hint="eastAsia" w:ascii="宋体" w:hAnsi="宋体" w:cs="宋体"/>
                <w:color w:val="auto"/>
                <w:sz w:val="21"/>
                <w:szCs w:val="21"/>
                <w:highlight w:val="none"/>
              </w:rPr>
              <w:t>支持支持VXLAN 二层交换、VXLAN路由交换、VXLAN 网关；</w:t>
            </w:r>
          </w:p>
          <w:p>
            <w:pPr>
              <w:widowControl/>
              <w:rPr>
                <w:rFonts w:ascii="宋体" w:hAnsi="宋体" w:cs="宋体"/>
                <w:color w:val="auto"/>
                <w:sz w:val="21"/>
                <w:szCs w:val="21"/>
                <w:highlight w:val="none"/>
              </w:rPr>
            </w:pPr>
            <w:r>
              <w:rPr>
                <w:rFonts w:hint="eastAsia" w:ascii="宋体" w:hAnsi="宋体" w:cs="宋体"/>
                <w:color w:val="auto"/>
                <w:sz w:val="21"/>
                <w:szCs w:val="21"/>
                <w:highlight w:val="none"/>
              </w:rPr>
              <w:t>8</w:t>
            </w:r>
            <w:r>
              <w:rPr>
                <w:rFonts w:ascii="宋体" w:hAnsi="宋体" w:eastAsia="PMingLiU" w:cs="宋体"/>
                <w:color w:val="auto"/>
                <w:sz w:val="21"/>
                <w:szCs w:val="21"/>
                <w:highlight w:val="none"/>
              </w:rPr>
              <w:t>.</w:t>
            </w:r>
            <w:r>
              <w:rPr>
                <w:rFonts w:hint="eastAsia" w:ascii="宋体" w:hAnsi="宋体" w:cs="宋体"/>
                <w:color w:val="auto"/>
                <w:sz w:val="21"/>
                <w:szCs w:val="21"/>
                <w:highlight w:val="none"/>
              </w:rPr>
              <w:t>支持RIP、VRRP、OSPFv1/v2、OSPF v3、BGP、ISIS等增强三层路由协议，9</w:t>
            </w:r>
            <w:r>
              <w:rPr>
                <w:rFonts w:ascii="宋体" w:hAnsi="宋体" w:eastAsia="PMingLiU" w:cs="宋体"/>
                <w:color w:val="auto"/>
                <w:sz w:val="21"/>
                <w:szCs w:val="21"/>
                <w:highlight w:val="none"/>
              </w:rPr>
              <w:t>.</w:t>
            </w:r>
            <w:r>
              <w:rPr>
                <w:rFonts w:hint="eastAsia" w:ascii="宋体" w:hAnsi="宋体" w:cs="宋体"/>
                <w:color w:val="auto"/>
                <w:sz w:val="21"/>
                <w:szCs w:val="21"/>
                <w:highlight w:val="none"/>
              </w:rPr>
              <w:t>支持策略路由；</w:t>
            </w:r>
          </w:p>
          <w:p>
            <w:pPr>
              <w:widowControl/>
              <w:rPr>
                <w:rFonts w:ascii="宋体" w:hAnsi="宋体" w:cs="宋体"/>
                <w:color w:val="auto"/>
                <w:sz w:val="21"/>
                <w:szCs w:val="21"/>
                <w:highlight w:val="none"/>
              </w:rPr>
            </w:pPr>
            <w:r>
              <w:rPr>
                <w:rFonts w:ascii="宋体" w:hAnsi="宋体" w:eastAsia="PMingLiU" w:cs="宋体"/>
                <w:color w:val="auto"/>
                <w:sz w:val="21"/>
                <w:szCs w:val="21"/>
                <w:highlight w:val="none"/>
              </w:rPr>
              <w:t>10</w:t>
            </w:r>
            <w:r>
              <w:rPr>
                <w:rFonts w:hint="eastAsia" w:ascii="等线" w:hAnsi="等线" w:eastAsia="等线" w:cs="宋体"/>
                <w:color w:val="auto"/>
                <w:sz w:val="21"/>
                <w:szCs w:val="21"/>
                <w:highlight w:val="none"/>
              </w:rPr>
              <w:t>．</w:t>
            </w:r>
            <w:r>
              <w:rPr>
                <w:rFonts w:hint="eastAsia" w:ascii="宋体" w:hAnsi="宋体" w:cs="宋体"/>
                <w:color w:val="auto"/>
                <w:sz w:val="21"/>
                <w:szCs w:val="21"/>
                <w:highlight w:val="none"/>
              </w:rPr>
              <w:t>支持MACsec硬件加密技术，可实现报文加密、防重放攻击、防篡改功能；</w:t>
            </w:r>
          </w:p>
          <w:p>
            <w:pPr>
              <w:widowControl/>
              <w:rPr>
                <w:rFonts w:ascii="宋体" w:hAnsi="宋体" w:cs="宋体"/>
                <w:color w:val="auto"/>
                <w:sz w:val="21"/>
                <w:szCs w:val="21"/>
                <w:highlight w:val="none"/>
              </w:rPr>
            </w:pPr>
            <w:r>
              <w:rPr>
                <w:rFonts w:hint="eastAsia" w:ascii="宋体" w:hAnsi="宋体" w:cs="宋体"/>
                <w:color w:val="auto"/>
                <w:sz w:val="21"/>
                <w:szCs w:val="21"/>
                <w:highlight w:val="none"/>
              </w:rPr>
              <w:t>1</w:t>
            </w:r>
            <w:r>
              <w:rPr>
                <w:rFonts w:ascii="宋体" w:hAnsi="宋体" w:eastAsia="PMingLiU" w:cs="宋体"/>
                <w:color w:val="auto"/>
                <w:sz w:val="21"/>
                <w:szCs w:val="21"/>
                <w:highlight w:val="none"/>
              </w:rPr>
              <w:t>1.</w:t>
            </w:r>
            <w:r>
              <w:rPr>
                <w:rFonts w:hint="eastAsia" w:ascii="宋体" w:hAnsi="宋体" w:cs="宋体"/>
                <w:color w:val="auto"/>
                <w:sz w:val="21"/>
                <w:szCs w:val="21"/>
                <w:highlight w:val="none"/>
              </w:rPr>
              <w:t>设备支持DHCP auto-config及CWMP-TR069等零配置方式；</w:t>
            </w:r>
          </w:p>
          <w:p>
            <w:pPr>
              <w:widowControl/>
              <w:rPr>
                <w:rFonts w:ascii="宋体" w:hAnsi="宋体" w:cs="宋体"/>
                <w:color w:val="auto"/>
                <w:sz w:val="21"/>
                <w:szCs w:val="21"/>
                <w:highlight w:val="none"/>
              </w:rPr>
            </w:pPr>
            <w:r>
              <w:rPr>
                <w:rFonts w:hint="eastAsia" w:ascii="宋体" w:hAnsi="宋体" w:cs="宋体"/>
                <w:color w:val="auto"/>
                <w:sz w:val="21"/>
                <w:szCs w:val="21"/>
                <w:highlight w:val="none"/>
              </w:rPr>
              <w:t>1</w:t>
            </w:r>
            <w:r>
              <w:rPr>
                <w:rFonts w:ascii="宋体" w:hAnsi="宋体" w:eastAsia="PMingLiU" w:cs="宋体"/>
                <w:color w:val="auto"/>
                <w:sz w:val="21"/>
                <w:szCs w:val="21"/>
                <w:highlight w:val="none"/>
              </w:rPr>
              <w:t>2.</w:t>
            </w:r>
            <w:r>
              <w:rPr>
                <w:rFonts w:hint="eastAsia" w:ascii="宋体" w:hAnsi="宋体" w:cs="宋体"/>
                <w:color w:val="auto"/>
                <w:sz w:val="21"/>
                <w:szCs w:val="21"/>
                <w:highlight w:val="none"/>
              </w:rPr>
              <w:t>配置模块化双交流电源，模块化双风扇，实现前后通风且风道可调；</w:t>
            </w:r>
          </w:p>
          <w:p>
            <w:pPr>
              <w:widowControl/>
              <w:rPr>
                <w:rFonts w:ascii="宋体" w:hAnsi="宋体" w:cs="宋体"/>
                <w:color w:val="auto"/>
                <w:sz w:val="21"/>
                <w:szCs w:val="21"/>
                <w:highlight w:val="none"/>
              </w:rPr>
            </w:pPr>
            <w:r>
              <w:rPr>
                <w:rFonts w:hint="eastAsia" w:ascii="宋体" w:hAnsi="宋体" w:cs="宋体"/>
                <w:color w:val="auto"/>
                <w:sz w:val="21"/>
                <w:szCs w:val="21"/>
                <w:highlight w:val="none"/>
              </w:rPr>
              <w:t>★1</w:t>
            </w:r>
            <w:r>
              <w:rPr>
                <w:rFonts w:ascii="宋体" w:hAnsi="宋体" w:eastAsia="PMingLiU" w:cs="宋体"/>
                <w:color w:val="auto"/>
                <w:sz w:val="21"/>
                <w:szCs w:val="21"/>
                <w:highlight w:val="none"/>
              </w:rPr>
              <w:t>3.</w:t>
            </w:r>
            <w:r>
              <w:rPr>
                <w:rFonts w:hint="eastAsia" w:ascii="宋体" w:hAnsi="宋体" w:cs="宋体"/>
                <w:color w:val="auto"/>
                <w:sz w:val="21"/>
                <w:szCs w:val="21"/>
                <w:highlight w:val="none"/>
              </w:rPr>
              <w:t xml:space="preserve"> 投标人须提供免费技术服务和三年免费质保服务，提供服务承诺函。</w:t>
            </w:r>
          </w:p>
        </w:tc>
        <w:tc>
          <w:tcPr>
            <w:tcW w:w="79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auto"/>
                <w:sz w:val="21"/>
                <w:szCs w:val="21"/>
                <w:highlight w:val="none"/>
              </w:rPr>
            </w:pPr>
            <w:r>
              <w:rPr>
                <w:rFonts w:hint="eastAsia" w:ascii="宋体" w:hAnsi="宋体" w:cs="宋体"/>
                <w:color w:val="auto"/>
                <w:sz w:val="21"/>
                <w:szCs w:val="21"/>
                <w:highlight w:val="none"/>
              </w:rPr>
              <w:t>2</w:t>
            </w:r>
          </w:p>
        </w:tc>
        <w:tc>
          <w:tcPr>
            <w:tcW w:w="79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auto"/>
                <w:sz w:val="21"/>
                <w:szCs w:val="21"/>
                <w:highlight w:val="none"/>
              </w:rPr>
            </w:pPr>
            <w:r>
              <w:rPr>
                <w:rFonts w:hint="eastAsia" w:ascii="宋体" w:hAnsi="宋体" w:cs="宋体"/>
                <w:color w:val="auto"/>
                <w:sz w:val="21"/>
                <w:szCs w:val="21"/>
                <w:highlight w:val="none"/>
              </w:rPr>
              <w:t>台</w:t>
            </w:r>
          </w:p>
        </w:tc>
      </w:tr>
      <w:tr>
        <w:tblPrEx>
          <w:tblCellMar>
            <w:top w:w="0" w:type="dxa"/>
            <w:left w:w="108" w:type="dxa"/>
            <w:bottom w:w="0" w:type="dxa"/>
            <w:right w:w="108" w:type="dxa"/>
          </w:tblCellMar>
        </w:tblPrEx>
        <w:trPr>
          <w:trHeight w:val="276" w:hRule="atLeast"/>
          <w:jc w:val="center"/>
        </w:trPr>
        <w:tc>
          <w:tcPr>
            <w:tcW w:w="796"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等线" w:cs="宋体"/>
                <w:color w:val="auto"/>
                <w:sz w:val="21"/>
                <w:szCs w:val="21"/>
                <w:highlight w:val="none"/>
              </w:rPr>
            </w:pPr>
            <w:r>
              <w:rPr>
                <w:rFonts w:hint="eastAsia" w:ascii="宋体" w:hAnsi="宋体" w:eastAsia="等线" w:cs="宋体"/>
                <w:color w:val="auto"/>
                <w:sz w:val="21"/>
                <w:szCs w:val="21"/>
                <w:highlight w:val="none"/>
              </w:rPr>
              <w:t>7</w:t>
            </w:r>
          </w:p>
        </w:tc>
        <w:tc>
          <w:tcPr>
            <w:tcW w:w="132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auto"/>
                <w:sz w:val="21"/>
                <w:szCs w:val="21"/>
                <w:highlight w:val="none"/>
              </w:rPr>
            </w:pPr>
            <w:r>
              <w:rPr>
                <w:rFonts w:hint="eastAsia" w:ascii="宋体" w:hAnsi="宋体" w:cs="宋体"/>
                <w:color w:val="auto"/>
                <w:sz w:val="21"/>
                <w:szCs w:val="21"/>
                <w:highlight w:val="none"/>
              </w:rPr>
              <w:t>接入交换机</w:t>
            </w:r>
          </w:p>
        </w:tc>
        <w:tc>
          <w:tcPr>
            <w:tcW w:w="6182" w:type="dxa"/>
            <w:tcBorders>
              <w:top w:val="nil"/>
              <w:left w:val="nil"/>
              <w:bottom w:val="single" w:color="auto" w:sz="4" w:space="0"/>
              <w:right w:val="single" w:color="auto" w:sz="4" w:space="0"/>
            </w:tcBorders>
            <w:noWrap w:val="0"/>
            <w:vAlign w:val="center"/>
          </w:tcPr>
          <w:p>
            <w:pPr>
              <w:widowControl/>
              <w:rPr>
                <w:rFonts w:ascii="宋体" w:hAnsi="宋体" w:cs="宋体"/>
                <w:color w:val="auto"/>
                <w:sz w:val="21"/>
                <w:szCs w:val="21"/>
                <w:highlight w:val="none"/>
              </w:rPr>
            </w:pPr>
            <w:r>
              <w:rPr>
                <w:rFonts w:hint="eastAsia" w:ascii="宋体" w:hAnsi="宋体" w:cs="宋体"/>
                <w:color w:val="auto"/>
                <w:sz w:val="21"/>
                <w:szCs w:val="21"/>
                <w:highlight w:val="none"/>
              </w:rPr>
              <w:t>★1.固化千兆电接口≥24个，独立千兆SFP光接口≥4个；</w:t>
            </w:r>
            <w:r>
              <w:rPr>
                <w:rFonts w:hint="eastAsia" w:ascii="宋体" w:hAnsi="宋体" w:cs="宋体"/>
                <w:color w:val="auto"/>
                <w:sz w:val="21"/>
                <w:szCs w:val="21"/>
                <w:highlight w:val="none"/>
              </w:rPr>
              <w:br w:type="textWrapping"/>
            </w:r>
            <w:r>
              <w:rPr>
                <w:rFonts w:hint="eastAsia" w:ascii="宋体" w:hAnsi="宋体" w:cs="宋体"/>
                <w:color w:val="auto"/>
                <w:sz w:val="21"/>
                <w:szCs w:val="21"/>
                <w:highlight w:val="none"/>
              </w:rPr>
              <w:t>★2.交换容量≥3.3Tbps，包转发率≥125Mpps；（提供官网截图证明）</w:t>
            </w:r>
            <w:r>
              <w:rPr>
                <w:rFonts w:hint="eastAsia" w:ascii="宋体" w:hAnsi="宋体" w:cs="宋体"/>
                <w:color w:val="auto"/>
                <w:sz w:val="21"/>
                <w:szCs w:val="21"/>
                <w:highlight w:val="none"/>
              </w:rPr>
              <w:br w:type="textWrapping"/>
            </w:r>
            <w:r>
              <w:rPr>
                <w:rFonts w:hint="eastAsia" w:ascii="宋体" w:hAnsi="宋体" w:cs="宋体"/>
                <w:color w:val="auto"/>
                <w:sz w:val="21"/>
                <w:szCs w:val="21"/>
                <w:highlight w:val="none"/>
              </w:rPr>
              <w:t>3.支持IPv4、IPv6静态路由、RIP、RIPng、OSPFv2、OSPFv3等三层路由和组播功能；</w:t>
            </w:r>
            <w:r>
              <w:rPr>
                <w:rFonts w:hint="eastAsia" w:ascii="宋体" w:hAnsi="宋体" w:cs="宋体"/>
                <w:color w:val="auto"/>
                <w:sz w:val="21"/>
                <w:szCs w:val="21"/>
                <w:highlight w:val="none"/>
              </w:rPr>
              <w:br w:type="textWrapping"/>
            </w:r>
            <w:r>
              <w:rPr>
                <w:rFonts w:hint="eastAsia" w:ascii="宋体" w:hAnsi="宋体" w:cs="宋体"/>
                <w:color w:val="auto"/>
                <w:sz w:val="21"/>
                <w:szCs w:val="21"/>
                <w:highlight w:val="none"/>
              </w:rPr>
              <w:t>4.为保证设备稳定运行、设备防浪涌≥10kv；</w:t>
            </w:r>
            <w:r>
              <w:rPr>
                <w:rFonts w:hint="eastAsia" w:ascii="宋体" w:hAnsi="宋体" w:cs="宋体"/>
                <w:color w:val="auto"/>
                <w:sz w:val="21"/>
                <w:szCs w:val="21"/>
                <w:highlight w:val="none"/>
              </w:rPr>
              <w:br w:type="textWrapping"/>
            </w:r>
            <w:r>
              <w:rPr>
                <w:rFonts w:hint="eastAsia" w:ascii="宋体" w:hAnsi="宋体" w:cs="宋体"/>
                <w:color w:val="auto"/>
                <w:sz w:val="21"/>
                <w:szCs w:val="21"/>
                <w:highlight w:val="none"/>
              </w:rPr>
              <w:t>5.设备采用无风扇静音节能设计，支持IEEE 802.3az 标准的 EEE节能技术，最低功耗≤27W；</w:t>
            </w:r>
            <w:r>
              <w:rPr>
                <w:rFonts w:hint="eastAsia" w:ascii="宋体" w:hAnsi="宋体" w:cs="宋体"/>
                <w:color w:val="auto"/>
                <w:sz w:val="21"/>
                <w:szCs w:val="21"/>
                <w:highlight w:val="none"/>
              </w:rPr>
              <w:br w:type="textWrapping"/>
            </w:r>
            <w:r>
              <w:rPr>
                <w:rFonts w:hint="eastAsia" w:ascii="宋体" w:hAnsi="宋体" w:cs="宋体"/>
                <w:color w:val="auto"/>
                <w:sz w:val="21"/>
                <w:szCs w:val="21"/>
                <w:highlight w:val="none"/>
              </w:rPr>
              <w:t>6.支持openflow 1.3协议，支持零配置，支持CWMP(TR069)协议；</w:t>
            </w:r>
            <w:r>
              <w:rPr>
                <w:rFonts w:hint="eastAsia" w:ascii="宋体" w:hAnsi="宋体" w:cs="宋体"/>
                <w:color w:val="auto"/>
                <w:sz w:val="21"/>
                <w:szCs w:val="21"/>
                <w:highlight w:val="none"/>
              </w:rPr>
              <w:br w:type="textWrapping"/>
            </w:r>
            <w:r>
              <w:rPr>
                <w:rFonts w:hint="eastAsia" w:ascii="宋体" w:hAnsi="宋体" w:cs="宋体"/>
                <w:color w:val="auto"/>
                <w:sz w:val="21"/>
                <w:szCs w:val="21"/>
                <w:highlight w:val="none"/>
              </w:rPr>
              <w:t>7.支持设备虚拟化功能，能够将9台物理设备虚拟成1台逻辑设备，同时虚拟化故障恢复时间小于40ms；</w:t>
            </w:r>
          </w:p>
          <w:p>
            <w:pPr>
              <w:widowControl/>
              <w:rPr>
                <w:rFonts w:hint="eastAsia" w:ascii="宋体" w:hAnsi="宋体" w:eastAsia="PMingLiU" w:cs="宋体"/>
                <w:color w:val="auto"/>
                <w:sz w:val="21"/>
                <w:szCs w:val="21"/>
                <w:highlight w:val="none"/>
              </w:rPr>
            </w:pPr>
            <w:r>
              <w:rPr>
                <w:rFonts w:hint="eastAsia" w:ascii="宋体" w:hAnsi="宋体" w:cs="宋体"/>
                <w:color w:val="auto"/>
                <w:sz w:val="21"/>
                <w:szCs w:val="21"/>
                <w:highlight w:val="none"/>
              </w:rPr>
              <w:t>★8</w:t>
            </w:r>
            <w:r>
              <w:rPr>
                <w:rFonts w:ascii="宋体" w:hAnsi="宋体" w:cs="宋体"/>
                <w:color w:val="auto"/>
                <w:sz w:val="21"/>
                <w:szCs w:val="21"/>
                <w:highlight w:val="none"/>
              </w:rPr>
              <w:t>.</w:t>
            </w:r>
            <w:r>
              <w:rPr>
                <w:rFonts w:hint="eastAsia" w:ascii="宋体" w:hAnsi="宋体" w:cs="宋体"/>
                <w:color w:val="auto"/>
                <w:sz w:val="21"/>
                <w:szCs w:val="21"/>
                <w:highlight w:val="none"/>
              </w:rPr>
              <w:t xml:space="preserve"> 投标人须提供免费技术服务和三年免费质保服务，提供服务承诺函。</w:t>
            </w:r>
          </w:p>
        </w:tc>
        <w:tc>
          <w:tcPr>
            <w:tcW w:w="79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auto"/>
                <w:sz w:val="21"/>
                <w:szCs w:val="21"/>
                <w:highlight w:val="none"/>
              </w:rPr>
            </w:pPr>
            <w:r>
              <w:rPr>
                <w:rFonts w:hint="eastAsia" w:ascii="宋体" w:hAnsi="宋体" w:cs="宋体"/>
                <w:color w:val="auto"/>
                <w:sz w:val="21"/>
                <w:szCs w:val="21"/>
                <w:highlight w:val="none"/>
              </w:rPr>
              <w:t>23</w:t>
            </w:r>
          </w:p>
        </w:tc>
        <w:tc>
          <w:tcPr>
            <w:tcW w:w="79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auto"/>
                <w:sz w:val="21"/>
                <w:szCs w:val="21"/>
                <w:highlight w:val="none"/>
              </w:rPr>
            </w:pPr>
            <w:r>
              <w:rPr>
                <w:rFonts w:hint="eastAsia" w:ascii="宋体" w:hAnsi="宋体" w:cs="宋体"/>
                <w:color w:val="auto"/>
                <w:sz w:val="21"/>
                <w:szCs w:val="21"/>
                <w:highlight w:val="none"/>
              </w:rPr>
              <w:t>台</w:t>
            </w:r>
          </w:p>
        </w:tc>
      </w:tr>
      <w:tr>
        <w:tblPrEx>
          <w:tblCellMar>
            <w:top w:w="0" w:type="dxa"/>
            <w:left w:w="108" w:type="dxa"/>
            <w:bottom w:w="0" w:type="dxa"/>
            <w:right w:w="108" w:type="dxa"/>
          </w:tblCellMar>
        </w:tblPrEx>
        <w:trPr>
          <w:trHeight w:val="276" w:hRule="atLeast"/>
          <w:jc w:val="center"/>
        </w:trPr>
        <w:tc>
          <w:tcPr>
            <w:tcW w:w="796"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等线" w:cs="宋体"/>
                <w:color w:val="auto"/>
                <w:sz w:val="21"/>
                <w:szCs w:val="21"/>
                <w:highlight w:val="none"/>
              </w:rPr>
            </w:pPr>
            <w:r>
              <w:rPr>
                <w:rFonts w:hint="eastAsia" w:ascii="宋体" w:hAnsi="宋体" w:eastAsia="等线" w:cs="宋体"/>
                <w:color w:val="auto"/>
                <w:sz w:val="21"/>
                <w:szCs w:val="21"/>
                <w:highlight w:val="none"/>
              </w:rPr>
              <w:t>8</w:t>
            </w:r>
          </w:p>
        </w:tc>
        <w:tc>
          <w:tcPr>
            <w:tcW w:w="132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auto"/>
                <w:sz w:val="21"/>
                <w:szCs w:val="21"/>
                <w:highlight w:val="none"/>
              </w:rPr>
            </w:pPr>
            <w:r>
              <w:rPr>
                <w:rFonts w:hint="eastAsia" w:ascii="宋体" w:hAnsi="宋体" w:cs="宋体"/>
                <w:color w:val="auto"/>
                <w:sz w:val="21"/>
                <w:szCs w:val="21"/>
                <w:highlight w:val="none"/>
              </w:rPr>
              <w:t>汇聚交换机</w:t>
            </w:r>
          </w:p>
        </w:tc>
        <w:tc>
          <w:tcPr>
            <w:tcW w:w="6182" w:type="dxa"/>
            <w:tcBorders>
              <w:top w:val="nil"/>
              <w:left w:val="nil"/>
              <w:bottom w:val="single" w:color="auto" w:sz="4" w:space="0"/>
              <w:right w:val="single" w:color="auto" w:sz="4" w:space="0"/>
            </w:tcBorders>
            <w:noWrap w:val="0"/>
            <w:vAlign w:val="center"/>
          </w:tcPr>
          <w:p>
            <w:pPr>
              <w:widowControl/>
              <w:rPr>
                <w:rFonts w:ascii="宋体" w:hAnsi="宋体" w:eastAsia="PMingLiU" w:cs="宋体"/>
                <w:color w:val="auto"/>
                <w:sz w:val="21"/>
                <w:szCs w:val="21"/>
                <w:highlight w:val="none"/>
              </w:rPr>
            </w:pPr>
            <w:r>
              <w:rPr>
                <w:rFonts w:hint="eastAsia" w:ascii="宋体" w:hAnsi="宋体" w:cs="宋体"/>
                <w:color w:val="auto"/>
                <w:sz w:val="21"/>
                <w:szCs w:val="21"/>
                <w:highlight w:val="none"/>
              </w:rPr>
              <w:t>★1.固化千兆光接口≥48个，固化4个1G/10G SFP+光口，在满足上述接口的同时另外提供业务扩展槽数≥2个；</w:t>
            </w:r>
            <w:r>
              <w:rPr>
                <w:rFonts w:hint="eastAsia" w:ascii="宋体" w:hAnsi="宋体" w:cs="宋体"/>
                <w:color w:val="auto"/>
                <w:sz w:val="21"/>
                <w:szCs w:val="21"/>
                <w:highlight w:val="none"/>
              </w:rPr>
              <w:br w:type="textWrapping"/>
            </w:r>
            <w:r>
              <w:rPr>
                <w:rFonts w:hint="eastAsia" w:ascii="宋体" w:hAnsi="宋体" w:cs="宋体"/>
                <w:color w:val="auto"/>
                <w:sz w:val="21"/>
                <w:szCs w:val="21"/>
                <w:highlight w:val="none"/>
              </w:rPr>
              <w:t>2.设备管理配置1个MGMT端口、1个Mini USB Console口、1个USB端口；</w:t>
            </w:r>
            <w:r>
              <w:rPr>
                <w:rFonts w:hint="eastAsia" w:ascii="宋体" w:hAnsi="宋体" w:cs="宋体"/>
                <w:color w:val="auto"/>
                <w:sz w:val="21"/>
                <w:szCs w:val="21"/>
                <w:highlight w:val="none"/>
              </w:rPr>
              <w:br w:type="textWrapping"/>
            </w:r>
            <w:r>
              <w:rPr>
                <w:rFonts w:hint="eastAsia" w:ascii="宋体" w:hAnsi="宋体" w:cs="宋体"/>
                <w:color w:val="auto"/>
                <w:sz w:val="21"/>
                <w:szCs w:val="21"/>
                <w:highlight w:val="none"/>
              </w:rPr>
              <w:t>★3.交换容量≥5.98Tbps，包转发率≥370Mpps（提供官网截图证明）</w:t>
            </w:r>
            <w:r>
              <w:rPr>
                <w:rFonts w:hint="eastAsia" w:ascii="宋体" w:hAnsi="宋体" w:cs="宋体"/>
                <w:color w:val="auto"/>
                <w:sz w:val="21"/>
                <w:szCs w:val="21"/>
                <w:highlight w:val="none"/>
              </w:rPr>
              <w:br w:type="textWrapping"/>
            </w:r>
            <w:r>
              <w:rPr>
                <w:rFonts w:hint="eastAsia" w:ascii="宋体" w:hAnsi="宋体" w:cs="宋体"/>
                <w:color w:val="auto"/>
                <w:sz w:val="21"/>
                <w:szCs w:val="21"/>
                <w:highlight w:val="none"/>
              </w:rPr>
              <w:t>4.整机采用节能设计，满负荷时功耗≤100W；</w:t>
            </w:r>
            <w:r>
              <w:rPr>
                <w:rFonts w:hint="eastAsia" w:ascii="宋体" w:hAnsi="宋体" w:cs="宋体"/>
                <w:color w:val="auto"/>
                <w:sz w:val="21"/>
                <w:szCs w:val="21"/>
                <w:highlight w:val="none"/>
              </w:rPr>
              <w:br w:type="textWrapping"/>
            </w:r>
            <w:r>
              <w:rPr>
                <w:rFonts w:hint="eastAsia" w:ascii="宋体" w:hAnsi="宋体" w:cs="宋体"/>
                <w:color w:val="auto"/>
                <w:sz w:val="21"/>
                <w:szCs w:val="21"/>
                <w:highlight w:val="none"/>
              </w:rPr>
              <w:t>5.支持多虚一技术，可将多台物理设备虚拟化为一台逻辑设备统一管理，支持跨设备链路聚合及最快30ms 级故障链路收敛；</w:t>
            </w:r>
            <w:r>
              <w:rPr>
                <w:rFonts w:hint="eastAsia" w:ascii="宋体" w:hAnsi="宋体" w:cs="宋体"/>
                <w:color w:val="auto"/>
                <w:sz w:val="21"/>
                <w:szCs w:val="21"/>
                <w:highlight w:val="none"/>
              </w:rPr>
              <w:br w:type="textWrapping"/>
            </w:r>
            <w:r>
              <w:rPr>
                <w:rFonts w:hint="eastAsia" w:ascii="宋体" w:hAnsi="宋体" w:cs="宋体"/>
                <w:color w:val="auto"/>
                <w:sz w:val="21"/>
                <w:szCs w:val="21"/>
                <w:highlight w:val="none"/>
              </w:rPr>
              <w:t>6.设备支持策略随行功能，用户移动到不同位置，保证IP地址不变；</w:t>
            </w:r>
            <w:r>
              <w:rPr>
                <w:rFonts w:hint="eastAsia" w:ascii="宋体" w:hAnsi="宋体" w:cs="宋体"/>
                <w:color w:val="auto"/>
                <w:sz w:val="21"/>
                <w:szCs w:val="21"/>
                <w:highlight w:val="none"/>
              </w:rPr>
              <w:br w:type="textWrapping"/>
            </w:r>
            <w:r>
              <w:rPr>
                <w:rFonts w:hint="eastAsia" w:ascii="宋体" w:hAnsi="宋体" w:cs="宋体"/>
                <w:color w:val="auto"/>
                <w:sz w:val="21"/>
                <w:szCs w:val="21"/>
                <w:highlight w:val="none"/>
              </w:rPr>
              <w:t>7.支持支持静态路由、RIP/RIPng，OSPF/OSPF v3，IS-IS/IS-IS v6，BGP/BGP4+，等价路由（ECMP）基于包的负载均衡和基于流的负载均衡和MCE；</w:t>
            </w:r>
            <w:r>
              <w:rPr>
                <w:rFonts w:hint="eastAsia" w:ascii="宋体" w:hAnsi="宋体" w:cs="宋体"/>
                <w:color w:val="auto"/>
                <w:sz w:val="21"/>
                <w:szCs w:val="21"/>
                <w:highlight w:val="none"/>
              </w:rPr>
              <w:br w:type="textWrapping"/>
            </w:r>
            <w:r>
              <w:rPr>
                <w:rFonts w:hint="eastAsia" w:ascii="宋体" w:hAnsi="宋体" w:cs="宋体"/>
                <w:color w:val="auto"/>
                <w:sz w:val="21"/>
                <w:szCs w:val="21"/>
                <w:highlight w:val="none"/>
              </w:rPr>
              <w:t>8.支持OpenFlow 1.3协议的SDN软件定义网络；</w:t>
            </w:r>
            <w:r>
              <w:rPr>
                <w:rFonts w:hint="eastAsia" w:ascii="宋体" w:hAnsi="宋体" w:cs="宋体"/>
                <w:color w:val="auto"/>
                <w:sz w:val="21"/>
                <w:szCs w:val="21"/>
                <w:highlight w:val="none"/>
              </w:rPr>
              <w:br w:type="textWrapping"/>
            </w:r>
            <w:r>
              <w:rPr>
                <w:rFonts w:hint="eastAsia" w:ascii="宋体" w:hAnsi="宋体" w:cs="宋体"/>
                <w:color w:val="auto"/>
                <w:sz w:val="21"/>
                <w:szCs w:val="21"/>
                <w:highlight w:val="none"/>
              </w:rPr>
              <w:t>9.配置完整主机、冗余电源；</w:t>
            </w:r>
          </w:p>
          <w:p>
            <w:pPr>
              <w:widowControl/>
              <w:rPr>
                <w:rFonts w:hint="eastAsia" w:ascii="宋体" w:hAnsi="宋体" w:eastAsia="PMingLiU" w:cs="宋体"/>
                <w:color w:val="auto"/>
                <w:sz w:val="21"/>
                <w:szCs w:val="21"/>
                <w:highlight w:val="none"/>
              </w:rPr>
            </w:pPr>
            <w:r>
              <w:rPr>
                <w:rFonts w:hint="eastAsia" w:ascii="宋体" w:hAnsi="宋体" w:cs="宋体"/>
                <w:color w:val="auto"/>
                <w:sz w:val="21"/>
                <w:szCs w:val="21"/>
                <w:highlight w:val="none"/>
              </w:rPr>
              <w:t>★</w:t>
            </w:r>
            <w:r>
              <w:rPr>
                <w:rFonts w:ascii="宋体" w:hAnsi="宋体" w:eastAsia="PMingLiU" w:cs="宋体"/>
                <w:color w:val="auto"/>
                <w:sz w:val="21"/>
                <w:szCs w:val="21"/>
                <w:highlight w:val="none"/>
              </w:rPr>
              <w:t>10</w:t>
            </w:r>
            <w:r>
              <w:rPr>
                <w:rFonts w:ascii="宋体" w:hAnsi="宋体" w:cs="宋体"/>
                <w:color w:val="auto"/>
                <w:sz w:val="21"/>
                <w:szCs w:val="21"/>
                <w:highlight w:val="none"/>
              </w:rPr>
              <w:t>.</w:t>
            </w:r>
            <w:r>
              <w:rPr>
                <w:rFonts w:hint="eastAsia" w:ascii="宋体" w:hAnsi="宋体" w:cs="宋体"/>
                <w:color w:val="auto"/>
                <w:sz w:val="21"/>
                <w:szCs w:val="21"/>
                <w:highlight w:val="none"/>
              </w:rPr>
              <w:t xml:space="preserve"> 投标人须提供免费技术服务和三年免费质保服务，提供服务承诺函。</w:t>
            </w:r>
          </w:p>
        </w:tc>
        <w:tc>
          <w:tcPr>
            <w:tcW w:w="79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auto"/>
                <w:sz w:val="21"/>
                <w:szCs w:val="21"/>
                <w:highlight w:val="none"/>
              </w:rPr>
            </w:pPr>
            <w:r>
              <w:rPr>
                <w:rFonts w:hint="eastAsia" w:ascii="宋体" w:hAnsi="宋体" w:cs="宋体"/>
                <w:color w:val="auto"/>
                <w:sz w:val="21"/>
                <w:szCs w:val="21"/>
                <w:highlight w:val="none"/>
              </w:rPr>
              <w:t>11</w:t>
            </w:r>
          </w:p>
        </w:tc>
        <w:tc>
          <w:tcPr>
            <w:tcW w:w="79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auto"/>
                <w:sz w:val="21"/>
                <w:szCs w:val="21"/>
                <w:highlight w:val="none"/>
              </w:rPr>
            </w:pPr>
            <w:r>
              <w:rPr>
                <w:rFonts w:hint="eastAsia" w:ascii="宋体" w:hAnsi="宋体" w:cs="宋体"/>
                <w:color w:val="auto"/>
                <w:sz w:val="21"/>
                <w:szCs w:val="21"/>
                <w:highlight w:val="none"/>
              </w:rPr>
              <w:t>台</w:t>
            </w:r>
          </w:p>
        </w:tc>
      </w:tr>
      <w:tr>
        <w:tblPrEx>
          <w:tblCellMar>
            <w:top w:w="0" w:type="dxa"/>
            <w:left w:w="108" w:type="dxa"/>
            <w:bottom w:w="0" w:type="dxa"/>
            <w:right w:w="108" w:type="dxa"/>
          </w:tblCellMar>
        </w:tblPrEx>
        <w:trPr>
          <w:trHeight w:val="276" w:hRule="atLeast"/>
          <w:jc w:val="center"/>
        </w:trPr>
        <w:tc>
          <w:tcPr>
            <w:tcW w:w="796"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等线" w:cs="宋体"/>
                <w:color w:val="auto"/>
                <w:sz w:val="21"/>
                <w:szCs w:val="21"/>
                <w:highlight w:val="none"/>
              </w:rPr>
            </w:pPr>
            <w:r>
              <w:rPr>
                <w:rFonts w:hint="eastAsia" w:ascii="宋体" w:hAnsi="宋体" w:eastAsia="等线" w:cs="宋体"/>
                <w:color w:val="auto"/>
                <w:sz w:val="21"/>
                <w:szCs w:val="21"/>
                <w:highlight w:val="none"/>
              </w:rPr>
              <w:t>9</w:t>
            </w:r>
          </w:p>
        </w:tc>
        <w:tc>
          <w:tcPr>
            <w:tcW w:w="132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auto"/>
                <w:sz w:val="21"/>
                <w:szCs w:val="21"/>
                <w:highlight w:val="none"/>
              </w:rPr>
            </w:pPr>
            <w:r>
              <w:rPr>
                <w:rFonts w:hint="eastAsia" w:ascii="宋体" w:hAnsi="宋体" w:cs="宋体"/>
                <w:color w:val="auto"/>
                <w:sz w:val="21"/>
                <w:szCs w:val="21"/>
                <w:highlight w:val="none"/>
              </w:rPr>
              <w:t>千兆单芯光模块</w:t>
            </w:r>
          </w:p>
        </w:tc>
        <w:tc>
          <w:tcPr>
            <w:tcW w:w="6182" w:type="dxa"/>
            <w:tcBorders>
              <w:top w:val="nil"/>
              <w:left w:val="nil"/>
              <w:bottom w:val="single" w:color="auto" w:sz="4" w:space="0"/>
              <w:right w:val="single" w:color="auto" w:sz="4" w:space="0"/>
            </w:tcBorders>
            <w:noWrap w:val="0"/>
            <w:vAlign w:val="center"/>
          </w:tcPr>
          <w:p>
            <w:pPr>
              <w:widowControl/>
              <w:rPr>
                <w:rFonts w:ascii="宋体" w:hAnsi="宋体" w:cs="宋体"/>
                <w:color w:val="auto"/>
                <w:sz w:val="21"/>
                <w:szCs w:val="21"/>
                <w:highlight w:val="none"/>
              </w:rPr>
            </w:pPr>
            <w:r>
              <w:rPr>
                <w:rFonts w:hint="eastAsia" w:ascii="宋体" w:hAnsi="宋体" w:cs="宋体"/>
                <w:color w:val="auto"/>
                <w:sz w:val="21"/>
                <w:szCs w:val="21"/>
                <w:highlight w:val="none"/>
                <w:lang w:val="zh-TW" w:eastAsia="zh-TW"/>
              </w:rPr>
              <w:t>★</w:t>
            </w:r>
            <w:r>
              <w:rPr>
                <w:rFonts w:hint="eastAsia" w:ascii="宋体" w:hAnsi="宋体" w:cs="宋体"/>
                <w:color w:val="auto"/>
                <w:sz w:val="21"/>
                <w:szCs w:val="21"/>
                <w:highlight w:val="none"/>
              </w:rPr>
              <w:t>千兆单模单芯光模块，需兼容锐捷、H</w:t>
            </w:r>
            <w:r>
              <w:rPr>
                <w:rFonts w:ascii="宋体" w:hAnsi="宋体" w:cs="宋体"/>
                <w:color w:val="auto"/>
                <w:sz w:val="21"/>
                <w:szCs w:val="21"/>
                <w:highlight w:val="none"/>
              </w:rPr>
              <w:t>3C</w:t>
            </w:r>
            <w:r>
              <w:rPr>
                <w:rFonts w:hint="eastAsia" w:ascii="宋体" w:hAnsi="宋体" w:cs="宋体"/>
                <w:color w:val="auto"/>
                <w:sz w:val="21"/>
                <w:szCs w:val="21"/>
                <w:highlight w:val="none"/>
              </w:rPr>
              <w:t>、华为设备，投标人须提供免费技术服务和三年免费质保服务，提供服务承诺函。</w:t>
            </w:r>
          </w:p>
        </w:tc>
        <w:tc>
          <w:tcPr>
            <w:tcW w:w="79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auto"/>
                <w:sz w:val="21"/>
                <w:szCs w:val="21"/>
                <w:highlight w:val="none"/>
              </w:rPr>
            </w:pPr>
            <w:r>
              <w:rPr>
                <w:rFonts w:hint="eastAsia" w:ascii="宋体" w:hAnsi="宋体" w:cs="宋体"/>
                <w:color w:val="auto"/>
                <w:sz w:val="21"/>
                <w:szCs w:val="21"/>
                <w:highlight w:val="none"/>
              </w:rPr>
              <w:t>34</w:t>
            </w:r>
          </w:p>
        </w:tc>
        <w:tc>
          <w:tcPr>
            <w:tcW w:w="79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auto"/>
                <w:sz w:val="21"/>
                <w:szCs w:val="21"/>
                <w:highlight w:val="none"/>
              </w:rPr>
            </w:pPr>
            <w:r>
              <w:rPr>
                <w:rFonts w:hint="eastAsia" w:ascii="宋体" w:hAnsi="宋体" w:cs="宋体"/>
                <w:color w:val="auto"/>
                <w:sz w:val="21"/>
                <w:szCs w:val="21"/>
                <w:highlight w:val="none"/>
              </w:rPr>
              <w:t>对</w:t>
            </w:r>
          </w:p>
        </w:tc>
      </w:tr>
    </w:tbl>
    <w:p>
      <w:pPr>
        <w:numPr>
          <w:ilvl w:val="0"/>
          <w:numId w:val="0"/>
        </w:numPr>
        <w:rPr>
          <w:rFonts w:hint="eastAsia"/>
          <w:color w:val="auto"/>
          <w:sz w:val="21"/>
          <w:szCs w:val="21"/>
          <w:lang w:val="en-US" w:eastAsia="zh-CN"/>
        </w:rPr>
      </w:pPr>
    </w:p>
    <w:p>
      <w:pPr>
        <w:numPr>
          <w:ilvl w:val="0"/>
          <w:numId w:val="1"/>
        </w:numPr>
        <w:rPr>
          <w:rFonts w:hint="eastAsia"/>
          <w:color w:val="auto"/>
          <w:sz w:val="21"/>
          <w:szCs w:val="21"/>
          <w:lang w:val="en-US" w:eastAsia="zh-CN"/>
        </w:rPr>
      </w:pPr>
      <w:r>
        <w:rPr>
          <w:rFonts w:hint="eastAsia"/>
          <w:color w:val="auto"/>
          <w:sz w:val="21"/>
          <w:szCs w:val="21"/>
          <w:lang w:val="en-US" w:eastAsia="zh-CN"/>
        </w:rPr>
        <w:t>评标办法</w:t>
      </w:r>
    </w:p>
    <w:tbl>
      <w:tblPr>
        <w:tblStyle w:val="4"/>
        <w:tblW w:w="1044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847"/>
        <w:gridCol w:w="1341"/>
        <w:gridCol w:w="4374"/>
        <w:gridCol w:w="1934"/>
        <w:gridCol w:w="946"/>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 w:hRule="atLeast"/>
          <w:jc w:val="center"/>
        </w:trPr>
        <w:tc>
          <w:tcPr>
            <w:tcW w:w="1847" w:type="dxa"/>
            <w:noWrap w:val="0"/>
            <w:vAlign w:val="center"/>
          </w:tcPr>
          <w:p>
            <w:pPr>
              <w:adjustRightInd w:val="0"/>
              <w:snapToGrid w:val="0"/>
              <w:spacing w:before="100" w:beforeAutospacing="1" w:after="100" w:afterAutospacing="1"/>
              <w:jc w:val="center"/>
              <w:rPr>
                <w:rFonts w:ascii="宋体" w:hAnsi="宋体"/>
                <w:b/>
                <w:color w:val="auto"/>
                <w:sz w:val="21"/>
                <w:szCs w:val="21"/>
                <w:highlight w:val="none"/>
              </w:rPr>
            </w:pPr>
            <w:r>
              <w:rPr>
                <w:rFonts w:hint="eastAsia" w:ascii="宋体" w:hAnsi="宋体"/>
                <w:b/>
                <w:color w:val="auto"/>
                <w:sz w:val="21"/>
                <w:szCs w:val="21"/>
                <w:highlight w:val="none"/>
              </w:rPr>
              <w:t>评分标准</w:t>
            </w:r>
          </w:p>
        </w:tc>
        <w:tc>
          <w:tcPr>
            <w:tcW w:w="5715" w:type="dxa"/>
            <w:gridSpan w:val="2"/>
            <w:noWrap w:val="0"/>
            <w:vAlign w:val="center"/>
          </w:tcPr>
          <w:p>
            <w:pPr>
              <w:adjustRightInd w:val="0"/>
              <w:snapToGrid w:val="0"/>
              <w:spacing w:before="100" w:beforeAutospacing="1" w:after="100" w:afterAutospacing="1"/>
              <w:jc w:val="center"/>
              <w:rPr>
                <w:rFonts w:ascii="宋体" w:hAnsi="宋体"/>
                <w:b/>
                <w:color w:val="auto"/>
                <w:sz w:val="21"/>
                <w:szCs w:val="21"/>
                <w:highlight w:val="none"/>
              </w:rPr>
            </w:pPr>
            <w:r>
              <w:rPr>
                <w:rFonts w:hint="eastAsia" w:ascii="宋体" w:hAnsi="宋体"/>
                <w:b/>
                <w:color w:val="auto"/>
                <w:sz w:val="21"/>
                <w:szCs w:val="21"/>
                <w:highlight w:val="none"/>
              </w:rPr>
              <w:t>评分因素</w:t>
            </w:r>
          </w:p>
        </w:tc>
        <w:tc>
          <w:tcPr>
            <w:tcW w:w="1934" w:type="dxa"/>
            <w:noWrap w:val="0"/>
            <w:vAlign w:val="center"/>
          </w:tcPr>
          <w:p>
            <w:pPr>
              <w:adjustRightInd w:val="0"/>
              <w:snapToGrid w:val="0"/>
              <w:spacing w:before="100" w:beforeAutospacing="1" w:after="100" w:afterAutospacing="1"/>
              <w:jc w:val="center"/>
              <w:rPr>
                <w:rFonts w:hint="eastAsia" w:ascii="宋体" w:hAnsi="宋体"/>
                <w:b/>
                <w:color w:val="auto"/>
                <w:sz w:val="21"/>
                <w:szCs w:val="21"/>
                <w:highlight w:val="none"/>
              </w:rPr>
            </w:pPr>
            <w:r>
              <w:rPr>
                <w:rFonts w:hint="eastAsia" w:ascii="宋体" w:hAnsi="宋体"/>
                <w:b/>
                <w:color w:val="auto"/>
                <w:sz w:val="21"/>
                <w:szCs w:val="21"/>
                <w:highlight w:val="none"/>
              </w:rPr>
              <w:t>所需提供材料</w:t>
            </w:r>
          </w:p>
        </w:tc>
        <w:tc>
          <w:tcPr>
            <w:tcW w:w="946" w:type="dxa"/>
            <w:noWrap w:val="0"/>
            <w:vAlign w:val="center"/>
          </w:tcPr>
          <w:p>
            <w:pPr>
              <w:adjustRightInd w:val="0"/>
              <w:snapToGrid w:val="0"/>
              <w:spacing w:before="100" w:beforeAutospacing="1" w:after="100" w:afterAutospacing="1"/>
              <w:jc w:val="center"/>
              <w:rPr>
                <w:rFonts w:hint="eastAsia" w:ascii="宋体" w:hAnsi="宋体"/>
                <w:b/>
                <w:color w:val="auto"/>
                <w:sz w:val="21"/>
                <w:szCs w:val="21"/>
                <w:highlight w:val="none"/>
              </w:rPr>
            </w:pPr>
            <w:r>
              <w:rPr>
                <w:rFonts w:hint="eastAsia" w:ascii="宋体" w:hAnsi="宋体"/>
                <w:b/>
                <w:color w:val="auto"/>
                <w:sz w:val="21"/>
                <w:szCs w:val="21"/>
                <w:highlight w:val="none"/>
              </w:rPr>
              <w:t>分值</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 w:hRule="atLeast"/>
          <w:jc w:val="center"/>
        </w:trPr>
        <w:tc>
          <w:tcPr>
            <w:tcW w:w="1847" w:type="dxa"/>
            <w:vMerge w:val="restart"/>
            <w:noWrap w:val="0"/>
            <w:vAlign w:val="center"/>
          </w:tcPr>
          <w:p>
            <w:pPr>
              <w:spacing w:line="300" w:lineRule="exact"/>
              <w:jc w:val="center"/>
              <w:rPr>
                <w:rFonts w:hint="eastAsia" w:ascii="宋体" w:hAnsi="宋体"/>
                <w:color w:val="auto"/>
                <w:spacing w:val="-12"/>
                <w:sz w:val="21"/>
                <w:szCs w:val="21"/>
                <w:highlight w:val="none"/>
              </w:rPr>
            </w:pPr>
            <w:r>
              <w:rPr>
                <w:rFonts w:hint="eastAsia" w:ascii="宋体" w:hAnsi="宋体"/>
                <w:color w:val="auto"/>
                <w:spacing w:val="-12"/>
                <w:sz w:val="21"/>
                <w:szCs w:val="21"/>
                <w:highlight w:val="none"/>
              </w:rPr>
              <w:t>技术部分标准</w:t>
            </w:r>
          </w:p>
        </w:tc>
        <w:tc>
          <w:tcPr>
            <w:tcW w:w="1341" w:type="dxa"/>
            <w:noWrap w:val="0"/>
            <w:vAlign w:val="center"/>
          </w:tcPr>
          <w:p>
            <w:pPr>
              <w:spacing w:line="300" w:lineRule="exact"/>
              <w:jc w:val="center"/>
              <w:rPr>
                <w:rFonts w:hint="eastAsia" w:ascii="宋体" w:hAnsi="宋体"/>
                <w:b/>
                <w:color w:val="auto"/>
                <w:sz w:val="21"/>
                <w:szCs w:val="21"/>
                <w:highlight w:val="none"/>
              </w:rPr>
            </w:pPr>
            <w:r>
              <w:rPr>
                <w:rFonts w:hint="eastAsia" w:ascii="宋体" w:hAnsi="宋体"/>
                <w:b/>
                <w:color w:val="auto"/>
                <w:sz w:val="21"/>
                <w:szCs w:val="21"/>
                <w:highlight w:val="none"/>
              </w:rPr>
              <w:t>技术方案（主观分）</w:t>
            </w:r>
          </w:p>
        </w:tc>
        <w:tc>
          <w:tcPr>
            <w:tcW w:w="4374" w:type="dxa"/>
            <w:noWrap w:val="0"/>
            <w:vAlign w:val="center"/>
          </w:tcPr>
          <w:p>
            <w:pPr>
              <w:widowControl/>
              <w:rPr>
                <w:rFonts w:ascii="宋体" w:hAnsi="宋体" w:cs="宋体"/>
                <w:color w:val="auto"/>
                <w:sz w:val="21"/>
                <w:szCs w:val="21"/>
                <w:highlight w:val="none"/>
              </w:rPr>
            </w:pPr>
            <w:r>
              <w:rPr>
                <w:rFonts w:hint="eastAsia" w:ascii="宋体" w:hAnsi="宋体" w:cs="宋体"/>
                <w:color w:val="auto"/>
                <w:sz w:val="21"/>
                <w:szCs w:val="21"/>
                <w:highlight w:val="none"/>
              </w:rPr>
              <w:t>技术方案主要内容要求：保证项目实施的技术力量和人力资源安排，保证供货质量的措施，保证供货期的方案和措施，安装、调试、验收的方案和措施，对本项目有效的改进措施和合理化建议。</w:t>
            </w:r>
          </w:p>
          <w:p>
            <w:pPr>
              <w:snapToGrid w:val="0"/>
              <w:spacing w:line="320" w:lineRule="exact"/>
              <w:rPr>
                <w:rFonts w:hint="eastAsia" w:ascii="宋体" w:hAnsi="宋体"/>
                <w:color w:val="auto"/>
                <w:sz w:val="21"/>
                <w:szCs w:val="21"/>
                <w:highlight w:val="none"/>
              </w:rPr>
            </w:pPr>
            <w:r>
              <w:rPr>
                <w:rFonts w:hint="eastAsia" w:ascii="宋体" w:hAnsi="宋体" w:cs="宋体"/>
                <w:color w:val="auto"/>
                <w:sz w:val="21"/>
                <w:szCs w:val="21"/>
                <w:highlight w:val="none"/>
              </w:rPr>
              <w:t>综合比较所有投标人技术方案的先进性、合理性、全面性，设计先进、方案合理、技术力量强的得5-</w:t>
            </w:r>
            <w:r>
              <w:rPr>
                <w:rFonts w:ascii="宋体" w:hAnsi="宋体" w:cs="宋体"/>
                <w:color w:val="auto"/>
                <w:sz w:val="21"/>
                <w:szCs w:val="21"/>
                <w:highlight w:val="none"/>
              </w:rPr>
              <w:t>4</w:t>
            </w:r>
            <w:r>
              <w:rPr>
                <w:rFonts w:hint="eastAsia" w:ascii="宋体" w:hAnsi="宋体" w:cs="宋体"/>
                <w:color w:val="auto"/>
                <w:sz w:val="21"/>
                <w:szCs w:val="21"/>
                <w:highlight w:val="none"/>
              </w:rPr>
              <w:t>分；设计、方案、技术均一般的，得3-</w:t>
            </w:r>
            <w:r>
              <w:rPr>
                <w:rFonts w:ascii="宋体" w:hAnsi="宋体" w:cs="宋体"/>
                <w:color w:val="auto"/>
                <w:sz w:val="21"/>
                <w:szCs w:val="21"/>
                <w:highlight w:val="none"/>
              </w:rPr>
              <w:t>2</w:t>
            </w:r>
            <w:r>
              <w:rPr>
                <w:rFonts w:hint="eastAsia" w:ascii="宋体" w:hAnsi="宋体" w:cs="宋体"/>
                <w:color w:val="auto"/>
                <w:sz w:val="21"/>
                <w:szCs w:val="21"/>
                <w:highlight w:val="none"/>
              </w:rPr>
              <w:t>分；设计、方案、技术存在欠缺的，得1-</w:t>
            </w:r>
            <w:r>
              <w:rPr>
                <w:rFonts w:ascii="宋体" w:hAnsi="宋体" w:cs="宋体"/>
                <w:color w:val="auto"/>
                <w:sz w:val="21"/>
                <w:szCs w:val="21"/>
                <w:highlight w:val="none"/>
              </w:rPr>
              <w:t>0</w:t>
            </w:r>
            <w:r>
              <w:rPr>
                <w:rFonts w:hint="eastAsia" w:ascii="宋体" w:hAnsi="宋体" w:cs="宋体"/>
                <w:color w:val="auto"/>
                <w:sz w:val="21"/>
                <w:szCs w:val="21"/>
                <w:highlight w:val="none"/>
              </w:rPr>
              <w:t>分。</w:t>
            </w:r>
          </w:p>
        </w:tc>
        <w:tc>
          <w:tcPr>
            <w:tcW w:w="1934" w:type="dxa"/>
            <w:noWrap w:val="0"/>
            <w:vAlign w:val="center"/>
          </w:tcPr>
          <w:p>
            <w:pPr>
              <w:spacing w:line="300" w:lineRule="exact"/>
              <w:jc w:val="center"/>
              <w:rPr>
                <w:rFonts w:hint="eastAsia" w:ascii="宋体" w:hAnsi="宋体"/>
                <w:color w:val="auto"/>
                <w:sz w:val="21"/>
                <w:szCs w:val="21"/>
                <w:highlight w:val="none"/>
              </w:rPr>
            </w:pPr>
            <w:r>
              <w:rPr>
                <w:rFonts w:hint="eastAsia" w:ascii="宋体" w:hAnsi="宋体"/>
                <w:color w:val="auto"/>
                <w:sz w:val="21"/>
                <w:szCs w:val="21"/>
                <w:highlight w:val="none"/>
              </w:rPr>
              <w:t>提供技术方案装订入投标文件，未提供技术方案的不得分。</w:t>
            </w:r>
          </w:p>
        </w:tc>
        <w:tc>
          <w:tcPr>
            <w:tcW w:w="946" w:type="dxa"/>
            <w:noWrap w:val="0"/>
            <w:vAlign w:val="center"/>
          </w:tcPr>
          <w:p>
            <w:pPr>
              <w:spacing w:line="300" w:lineRule="exact"/>
              <w:jc w:val="center"/>
              <w:rPr>
                <w:rFonts w:hint="eastAsia" w:ascii="宋体" w:hAnsi="宋体"/>
                <w:color w:val="auto"/>
                <w:sz w:val="21"/>
                <w:szCs w:val="21"/>
                <w:highlight w:val="none"/>
              </w:rPr>
            </w:pPr>
            <w:r>
              <w:rPr>
                <w:rFonts w:hint="eastAsia" w:ascii="宋体" w:hAnsi="宋体"/>
                <w:color w:val="auto"/>
                <w:sz w:val="21"/>
                <w:szCs w:val="21"/>
                <w:highlight w:val="none"/>
              </w:rPr>
              <w:t>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 w:hRule="atLeast"/>
          <w:jc w:val="center"/>
        </w:trPr>
        <w:tc>
          <w:tcPr>
            <w:tcW w:w="1847" w:type="dxa"/>
            <w:vMerge w:val="continue"/>
            <w:noWrap w:val="0"/>
            <w:vAlign w:val="center"/>
          </w:tcPr>
          <w:p>
            <w:pPr>
              <w:spacing w:line="300" w:lineRule="exact"/>
              <w:jc w:val="center"/>
              <w:rPr>
                <w:rFonts w:hint="eastAsia" w:ascii="宋体" w:hAnsi="宋体"/>
                <w:color w:val="auto"/>
                <w:spacing w:val="-12"/>
                <w:sz w:val="21"/>
                <w:szCs w:val="21"/>
                <w:highlight w:val="none"/>
              </w:rPr>
            </w:pPr>
          </w:p>
        </w:tc>
        <w:tc>
          <w:tcPr>
            <w:tcW w:w="1341" w:type="dxa"/>
            <w:noWrap w:val="0"/>
            <w:vAlign w:val="center"/>
          </w:tcPr>
          <w:p>
            <w:pPr>
              <w:spacing w:line="300" w:lineRule="exact"/>
              <w:jc w:val="center"/>
              <w:rPr>
                <w:rFonts w:hint="eastAsia" w:ascii="宋体" w:hAnsi="宋体"/>
                <w:b/>
                <w:color w:val="auto"/>
                <w:sz w:val="21"/>
                <w:szCs w:val="21"/>
                <w:highlight w:val="none"/>
              </w:rPr>
            </w:pPr>
            <w:r>
              <w:rPr>
                <w:rFonts w:hint="eastAsia" w:ascii="宋体" w:hAnsi="宋体"/>
                <w:b/>
                <w:color w:val="auto"/>
                <w:sz w:val="21"/>
                <w:szCs w:val="21"/>
                <w:highlight w:val="none"/>
              </w:rPr>
              <w:t>性能和技术参数（客观分）</w:t>
            </w:r>
          </w:p>
        </w:tc>
        <w:tc>
          <w:tcPr>
            <w:tcW w:w="4374" w:type="dxa"/>
            <w:noWrap w:val="0"/>
            <w:vAlign w:val="center"/>
          </w:tcPr>
          <w:p>
            <w:pPr>
              <w:snapToGrid w:val="0"/>
              <w:spacing w:line="320" w:lineRule="exact"/>
              <w:ind w:firstLine="420" w:firstLineChars="200"/>
              <w:rPr>
                <w:rFonts w:ascii="宋体" w:hAnsi="宋体"/>
                <w:color w:val="auto"/>
                <w:sz w:val="21"/>
                <w:szCs w:val="21"/>
                <w:highlight w:val="none"/>
              </w:rPr>
            </w:pPr>
            <w:r>
              <w:rPr>
                <w:rFonts w:hint="eastAsia" w:ascii="宋体" w:hAnsi="宋体"/>
                <w:color w:val="auto"/>
                <w:sz w:val="21"/>
                <w:szCs w:val="21"/>
                <w:highlight w:val="none"/>
              </w:rPr>
              <w:t>所有技术参数满足招标文件要求的，得满分，其中标</w:t>
            </w:r>
            <w:r>
              <w:rPr>
                <w:rFonts w:hint="eastAsia" w:ascii="宋体" w:hAnsi="宋体" w:cs="宋体"/>
                <w:color w:val="auto"/>
                <w:sz w:val="21"/>
                <w:szCs w:val="21"/>
                <w:highlight w:val="none"/>
              </w:rPr>
              <w:t>★</w:t>
            </w:r>
            <w:r>
              <w:rPr>
                <w:rFonts w:hint="eastAsia" w:ascii="宋体" w:hAnsi="宋体"/>
                <w:color w:val="auto"/>
                <w:sz w:val="21"/>
                <w:szCs w:val="21"/>
                <w:highlight w:val="none"/>
              </w:rPr>
              <w:t>参数为关键性参数，一项不满足视为不响应。剩余参数一项不满足扣2分，扣完为止。</w:t>
            </w:r>
          </w:p>
        </w:tc>
        <w:tc>
          <w:tcPr>
            <w:tcW w:w="1934" w:type="dxa"/>
            <w:noWrap w:val="0"/>
            <w:vAlign w:val="center"/>
          </w:tcPr>
          <w:p>
            <w:pPr>
              <w:spacing w:line="300" w:lineRule="exact"/>
              <w:jc w:val="center"/>
              <w:rPr>
                <w:rFonts w:ascii="宋体" w:hAnsi="宋体"/>
                <w:color w:val="auto"/>
                <w:sz w:val="21"/>
                <w:szCs w:val="21"/>
                <w:highlight w:val="none"/>
              </w:rPr>
            </w:pPr>
            <w:r>
              <w:rPr>
                <w:rFonts w:hint="eastAsia" w:ascii="宋体" w:hAnsi="宋体"/>
                <w:color w:val="auto"/>
                <w:sz w:val="21"/>
                <w:szCs w:val="21"/>
                <w:highlight w:val="none"/>
              </w:rPr>
              <w:t>提供产品技术参数中要求的材料</w:t>
            </w:r>
          </w:p>
        </w:tc>
        <w:tc>
          <w:tcPr>
            <w:tcW w:w="946" w:type="dxa"/>
            <w:noWrap w:val="0"/>
            <w:vAlign w:val="center"/>
          </w:tcPr>
          <w:p>
            <w:pPr>
              <w:spacing w:line="300" w:lineRule="exact"/>
              <w:jc w:val="center"/>
              <w:rPr>
                <w:rFonts w:ascii="宋体" w:hAnsi="宋体"/>
                <w:color w:val="auto"/>
                <w:sz w:val="21"/>
                <w:szCs w:val="21"/>
                <w:highlight w:val="none"/>
              </w:rPr>
            </w:pPr>
            <w:r>
              <w:rPr>
                <w:rFonts w:hint="eastAsia" w:ascii="宋体" w:hAnsi="宋体"/>
                <w:color w:val="auto"/>
                <w:sz w:val="21"/>
                <w:szCs w:val="21"/>
                <w:highlight w:val="none"/>
              </w:rPr>
              <w:t>36</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 w:hRule="atLeast"/>
          <w:jc w:val="center"/>
        </w:trPr>
        <w:tc>
          <w:tcPr>
            <w:tcW w:w="1847" w:type="dxa"/>
            <w:vMerge w:val="restart"/>
            <w:noWrap w:val="0"/>
            <w:vAlign w:val="center"/>
          </w:tcPr>
          <w:p>
            <w:pPr>
              <w:spacing w:line="300" w:lineRule="exact"/>
              <w:jc w:val="center"/>
              <w:rPr>
                <w:rFonts w:hint="eastAsia" w:ascii="宋体" w:hAnsi="宋体"/>
                <w:color w:val="auto"/>
                <w:spacing w:val="-12"/>
                <w:sz w:val="21"/>
                <w:szCs w:val="21"/>
                <w:highlight w:val="none"/>
              </w:rPr>
            </w:pPr>
            <w:r>
              <w:rPr>
                <w:rFonts w:hint="eastAsia" w:ascii="宋体" w:hAnsi="宋体"/>
                <w:color w:val="auto"/>
                <w:spacing w:val="-12"/>
                <w:sz w:val="21"/>
                <w:szCs w:val="21"/>
                <w:highlight w:val="none"/>
              </w:rPr>
              <w:t>商务部分标准</w:t>
            </w:r>
          </w:p>
        </w:tc>
        <w:tc>
          <w:tcPr>
            <w:tcW w:w="1341" w:type="dxa"/>
            <w:noWrap w:val="0"/>
            <w:vAlign w:val="center"/>
          </w:tcPr>
          <w:p>
            <w:pPr>
              <w:spacing w:line="300" w:lineRule="exact"/>
              <w:jc w:val="center"/>
              <w:rPr>
                <w:rFonts w:hint="eastAsia" w:ascii="宋体" w:hAnsi="宋体" w:eastAsia="宋体"/>
                <w:b/>
                <w:color w:val="auto"/>
                <w:sz w:val="21"/>
                <w:szCs w:val="21"/>
                <w:highlight w:val="none"/>
                <w:lang w:eastAsia="zh-CN"/>
              </w:rPr>
            </w:pPr>
            <w:r>
              <w:rPr>
                <w:rFonts w:hint="eastAsia" w:ascii="宋体" w:hAnsi="宋体"/>
                <w:b/>
                <w:color w:val="auto"/>
                <w:sz w:val="21"/>
                <w:szCs w:val="21"/>
                <w:highlight w:val="none"/>
              </w:rPr>
              <w:t>拟投入项目技术人员和服务能力</w:t>
            </w:r>
            <w:r>
              <w:rPr>
                <w:rFonts w:hint="eastAsia" w:ascii="宋体" w:hAnsi="宋体"/>
                <w:b/>
                <w:color w:val="auto"/>
                <w:sz w:val="21"/>
                <w:szCs w:val="21"/>
                <w:highlight w:val="none"/>
                <w:lang w:eastAsia="zh-CN"/>
              </w:rPr>
              <w:t>（</w:t>
            </w:r>
            <w:r>
              <w:rPr>
                <w:rFonts w:hint="eastAsia" w:ascii="宋体" w:hAnsi="宋体"/>
                <w:b/>
                <w:color w:val="auto"/>
                <w:sz w:val="21"/>
                <w:szCs w:val="21"/>
                <w:highlight w:val="none"/>
                <w:lang w:val="en-US" w:eastAsia="zh-CN"/>
              </w:rPr>
              <w:t>客观分</w:t>
            </w:r>
            <w:r>
              <w:rPr>
                <w:rFonts w:hint="eastAsia" w:ascii="宋体" w:hAnsi="宋体"/>
                <w:b/>
                <w:color w:val="auto"/>
                <w:sz w:val="21"/>
                <w:szCs w:val="21"/>
                <w:highlight w:val="none"/>
                <w:lang w:eastAsia="zh-CN"/>
              </w:rPr>
              <w:t>）</w:t>
            </w:r>
          </w:p>
        </w:tc>
        <w:tc>
          <w:tcPr>
            <w:tcW w:w="4374" w:type="dxa"/>
            <w:noWrap w:val="0"/>
            <w:vAlign w:val="center"/>
          </w:tcPr>
          <w:p>
            <w:pPr>
              <w:widowControl/>
              <w:rPr>
                <w:rFonts w:hint="eastAsia" w:ascii="宋体" w:hAnsi="宋体" w:cs="宋体"/>
                <w:color w:val="auto"/>
                <w:sz w:val="21"/>
                <w:szCs w:val="21"/>
                <w:highlight w:val="none"/>
              </w:rPr>
            </w:pPr>
            <w:r>
              <w:rPr>
                <w:rFonts w:hint="eastAsia" w:ascii="宋体" w:hAnsi="宋体" w:cs="宋体"/>
                <w:color w:val="auto"/>
                <w:sz w:val="21"/>
                <w:szCs w:val="21"/>
                <w:highlight w:val="none"/>
              </w:rPr>
              <w:t>为保证本次项目建设实施质量和落地效果，拟投入本项目实施技术人员和服务能力要求如下：</w:t>
            </w:r>
          </w:p>
          <w:p>
            <w:pPr>
              <w:widowControl/>
              <w:rPr>
                <w:rFonts w:ascii="宋体" w:hAnsi="宋体" w:cs="宋体"/>
                <w:color w:val="auto"/>
                <w:sz w:val="21"/>
                <w:szCs w:val="21"/>
                <w:highlight w:val="none"/>
              </w:rPr>
            </w:pPr>
            <w:r>
              <w:rPr>
                <w:rFonts w:ascii="宋体" w:hAnsi="宋体" w:cs="宋体"/>
                <w:color w:val="auto"/>
                <w:sz w:val="21"/>
                <w:szCs w:val="21"/>
                <w:highlight w:val="none"/>
              </w:rPr>
              <w:t>1</w:t>
            </w:r>
            <w:r>
              <w:rPr>
                <w:rFonts w:hint="eastAsia" w:ascii="宋体" w:hAnsi="宋体" w:cs="宋体"/>
                <w:color w:val="auto"/>
                <w:sz w:val="21"/>
                <w:szCs w:val="21"/>
                <w:highlight w:val="none"/>
              </w:rPr>
              <w:t>、拟投入项目的实施服务技术人员具有中国信息安全测评中心颁发的注册信息安全从业人员（C</w:t>
            </w:r>
            <w:r>
              <w:rPr>
                <w:rFonts w:ascii="宋体" w:hAnsi="宋体" w:cs="宋体"/>
                <w:color w:val="auto"/>
                <w:sz w:val="21"/>
                <w:szCs w:val="21"/>
                <w:highlight w:val="none"/>
              </w:rPr>
              <w:t>ISP</w:t>
            </w:r>
            <w:r>
              <w:rPr>
                <w:rFonts w:hint="eastAsia" w:ascii="宋体" w:hAnsi="宋体" w:cs="宋体"/>
                <w:color w:val="auto"/>
                <w:sz w:val="21"/>
                <w:szCs w:val="21"/>
                <w:highlight w:val="none"/>
              </w:rPr>
              <w:t xml:space="preserve">）证书，每提供1个证书得1分，最多得3分； </w:t>
            </w:r>
          </w:p>
          <w:p>
            <w:pPr>
              <w:widowControl/>
              <w:rPr>
                <w:rFonts w:ascii="宋体" w:hAnsi="宋体" w:cs="宋体"/>
                <w:color w:val="auto"/>
                <w:sz w:val="21"/>
                <w:szCs w:val="21"/>
                <w:highlight w:val="none"/>
              </w:rPr>
            </w:pPr>
            <w:r>
              <w:rPr>
                <w:rFonts w:hint="eastAsia" w:ascii="宋体" w:hAnsi="宋体" w:cs="宋体"/>
                <w:color w:val="auto"/>
                <w:sz w:val="21"/>
                <w:szCs w:val="21"/>
                <w:highlight w:val="none"/>
              </w:rPr>
              <w:t xml:space="preserve">2、拟投入项目的实施服务技术人员具有中国网络安全审查技术与认证中心（原中国信息安全认证中心） 颁发的信息安全保障人员认证证书的，每提供 1 个证书得 </w:t>
            </w:r>
            <w:r>
              <w:rPr>
                <w:rFonts w:ascii="宋体" w:hAnsi="宋体" w:cs="宋体"/>
                <w:color w:val="auto"/>
                <w:sz w:val="21"/>
                <w:szCs w:val="21"/>
                <w:highlight w:val="none"/>
              </w:rPr>
              <w:t>1</w:t>
            </w:r>
            <w:r>
              <w:rPr>
                <w:rFonts w:hint="eastAsia" w:ascii="宋体" w:hAnsi="宋体" w:cs="宋体"/>
                <w:color w:val="auto"/>
                <w:sz w:val="21"/>
                <w:szCs w:val="21"/>
                <w:highlight w:val="none"/>
              </w:rPr>
              <w:t xml:space="preserve"> 分，最多得 </w:t>
            </w:r>
            <w:r>
              <w:rPr>
                <w:rFonts w:ascii="宋体" w:hAnsi="宋体" w:cs="宋体"/>
                <w:color w:val="auto"/>
                <w:sz w:val="21"/>
                <w:szCs w:val="21"/>
                <w:highlight w:val="none"/>
              </w:rPr>
              <w:t>3</w:t>
            </w:r>
            <w:r>
              <w:rPr>
                <w:rFonts w:hint="eastAsia" w:ascii="宋体" w:hAnsi="宋体" w:cs="宋体"/>
                <w:color w:val="auto"/>
                <w:sz w:val="21"/>
                <w:szCs w:val="21"/>
                <w:highlight w:val="none"/>
              </w:rPr>
              <w:t>分</w:t>
            </w:r>
          </w:p>
          <w:p>
            <w:pPr>
              <w:widowControl/>
              <w:rPr>
                <w:rFonts w:ascii="宋体" w:hAnsi="宋体" w:cs="宋体"/>
                <w:color w:val="auto"/>
                <w:sz w:val="21"/>
                <w:szCs w:val="21"/>
                <w:highlight w:val="none"/>
              </w:rPr>
            </w:pPr>
            <w:r>
              <w:rPr>
                <w:rFonts w:hint="eastAsia" w:ascii="宋体" w:hAnsi="宋体" w:cs="宋体"/>
                <w:color w:val="auto"/>
                <w:sz w:val="21"/>
                <w:szCs w:val="21"/>
                <w:highlight w:val="none"/>
              </w:rPr>
              <w:t>3、拟投入项目的实施服务技术人员具有I</w:t>
            </w:r>
            <w:r>
              <w:rPr>
                <w:rFonts w:ascii="宋体" w:hAnsi="宋体" w:cs="宋体"/>
                <w:color w:val="auto"/>
                <w:sz w:val="21"/>
                <w:szCs w:val="21"/>
                <w:highlight w:val="none"/>
              </w:rPr>
              <w:t>TSS</w:t>
            </w:r>
            <w:r>
              <w:rPr>
                <w:rFonts w:hint="eastAsia" w:ascii="宋体" w:hAnsi="宋体" w:cs="宋体"/>
                <w:color w:val="auto"/>
                <w:sz w:val="21"/>
                <w:szCs w:val="21"/>
                <w:highlight w:val="none"/>
              </w:rPr>
              <w:t>信</w:t>
            </w:r>
            <w:r>
              <w:rPr>
                <w:rFonts w:ascii="宋体" w:hAnsi="宋体" w:cs="宋体"/>
                <w:color w:val="auto"/>
                <w:sz w:val="21"/>
                <w:szCs w:val="21"/>
                <w:highlight w:val="none"/>
              </w:rPr>
              <w:t>息技术服务运行标准</w:t>
            </w:r>
            <w:r>
              <w:rPr>
                <w:rFonts w:hint="eastAsia" w:ascii="宋体" w:hAnsi="宋体" w:cs="宋体"/>
                <w:color w:val="auto"/>
                <w:sz w:val="21"/>
                <w:szCs w:val="21"/>
                <w:highlight w:val="none"/>
              </w:rPr>
              <w:t>认证的I</w:t>
            </w:r>
            <w:r>
              <w:rPr>
                <w:rFonts w:ascii="宋体" w:hAnsi="宋体" w:cs="宋体"/>
                <w:color w:val="auto"/>
                <w:sz w:val="21"/>
                <w:szCs w:val="21"/>
                <w:highlight w:val="none"/>
              </w:rPr>
              <w:t>T</w:t>
            </w:r>
            <w:r>
              <w:rPr>
                <w:rFonts w:hint="eastAsia" w:ascii="宋体" w:hAnsi="宋体" w:cs="宋体"/>
                <w:color w:val="auto"/>
                <w:sz w:val="21"/>
                <w:szCs w:val="21"/>
                <w:highlight w:val="none"/>
              </w:rPr>
              <w:t>服务项目经理证书，每提供1个证书得2分，最多得2分。</w:t>
            </w:r>
          </w:p>
          <w:p>
            <w:pPr>
              <w:snapToGrid w:val="0"/>
              <w:spacing w:line="320" w:lineRule="exact"/>
              <w:ind w:firstLine="420" w:firstLineChars="200"/>
              <w:rPr>
                <w:rFonts w:hint="eastAsia" w:ascii="宋体" w:hAnsi="宋体"/>
                <w:color w:val="auto"/>
                <w:sz w:val="21"/>
                <w:szCs w:val="21"/>
                <w:highlight w:val="none"/>
              </w:rPr>
            </w:pPr>
          </w:p>
        </w:tc>
        <w:tc>
          <w:tcPr>
            <w:tcW w:w="1934" w:type="dxa"/>
            <w:noWrap w:val="0"/>
            <w:vAlign w:val="center"/>
          </w:tcPr>
          <w:p>
            <w:pPr>
              <w:spacing w:line="300" w:lineRule="exact"/>
              <w:jc w:val="center"/>
              <w:rPr>
                <w:rFonts w:ascii="宋体" w:hAnsi="宋体"/>
                <w:color w:val="auto"/>
                <w:sz w:val="21"/>
                <w:szCs w:val="21"/>
                <w:highlight w:val="none"/>
              </w:rPr>
            </w:pPr>
            <w:r>
              <w:rPr>
                <w:rFonts w:hint="eastAsia" w:ascii="宋体" w:hAnsi="宋体"/>
                <w:color w:val="auto"/>
                <w:sz w:val="21"/>
                <w:szCs w:val="21"/>
                <w:highlight w:val="none"/>
              </w:rPr>
              <w:t>提供人员名单、证书及近半年内在该单位连续3个月的社保缴费证明</w:t>
            </w:r>
          </w:p>
        </w:tc>
        <w:tc>
          <w:tcPr>
            <w:tcW w:w="946" w:type="dxa"/>
            <w:noWrap w:val="0"/>
            <w:vAlign w:val="center"/>
          </w:tcPr>
          <w:p>
            <w:pPr>
              <w:spacing w:line="300" w:lineRule="exact"/>
              <w:jc w:val="center"/>
              <w:rPr>
                <w:rFonts w:hint="eastAsia" w:ascii="宋体" w:hAnsi="宋体"/>
                <w:color w:val="auto"/>
                <w:sz w:val="21"/>
                <w:szCs w:val="21"/>
                <w:highlight w:val="none"/>
              </w:rPr>
            </w:pPr>
            <w:r>
              <w:rPr>
                <w:rFonts w:hint="eastAsia" w:ascii="宋体" w:hAnsi="宋体"/>
                <w:color w:val="auto"/>
                <w:sz w:val="21"/>
                <w:szCs w:val="21"/>
                <w:highlight w:val="none"/>
              </w:rPr>
              <w:t>8</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 w:hRule="atLeast"/>
          <w:jc w:val="center"/>
        </w:trPr>
        <w:tc>
          <w:tcPr>
            <w:tcW w:w="1847" w:type="dxa"/>
            <w:vMerge w:val="continue"/>
            <w:noWrap w:val="0"/>
            <w:vAlign w:val="center"/>
          </w:tcPr>
          <w:p>
            <w:pPr>
              <w:spacing w:line="300" w:lineRule="exact"/>
              <w:jc w:val="center"/>
              <w:rPr>
                <w:rFonts w:hint="eastAsia" w:ascii="宋体" w:hAnsi="宋体"/>
                <w:color w:val="auto"/>
                <w:spacing w:val="-12"/>
                <w:sz w:val="21"/>
                <w:szCs w:val="21"/>
                <w:highlight w:val="none"/>
              </w:rPr>
            </w:pPr>
          </w:p>
        </w:tc>
        <w:tc>
          <w:tcPr>
            <w:tcW w:w="1341" w:type="dxa"/>
            <w:noWrap w:val="0"/>
            <w:vAlign w:val="center"/>
          </w:tcPr>
          <w:p>
            <w:pPr>
              <w:spacing w:line="300" w:lineRule="exact"/>
              <w:jc w:val="center"/>
              <w:rPr>
                <w:rFonts w:hint="eastAsia" w:ascii="宋体" w:hAnsi="宋体"/>
                <w:b/>
                <w:color w:val="auto"/>
                <w:sz w:val="21"/>
                <w:szCs w:val="21"/>
                <w:highlight w:val="none"/>
              </w:rPr>
            </w:pPr>
            <w:r>
              <w:rPr>
                <w:rFonts w:hint="eastAsia" w:ascii="宋体" w:hAnsi="宋体"/>
                <w:b/>
                <w:color w:val="auto"/>
                <w:sz w:val="21"/>
                <w:szCs w:val="21"/>
                <w:highlight w:val="none"/>
              </w:rPr>
              <w:t>售后服务优惠承诺（主观分）</w:t>
            </w:r>
          </w:p>
        </w:tc>
        <w:tc>
          <w:tcPr>
            <w:tcW w:w="4374" w:type="dxa"/>
            <w:noWrap w:val="0"/>
            <w:vAlign w:val="center"/>
          </w:tcPr>
          <w:p>
            <w:pPr>
              <w:widowControl/>
              <w:spacing w:after="5"/>
              <w:ind w:right="157"/>
              <w:rPr>
                <w:rFonts w:ascii="宋体" w:hAnsi="宋体" w:cs="宋体"/>
                <w:color w:val="auto"/>
                <w:sz w:val="21"/>
                <w:szCs w:val="21"/>
                <w:highlight w:val="none"/>
              </w:rPr>
            </w:pPr>
            <w:r>
              <w:rPr>
                <w:rFonts w:ascii="宋体" w:hAnsi="宋体" w:cs="宋体"/>
                <w:color w:val="auto"/>
                <w:sz w:val="21"/>
                <w:szCs w:val="21"/>
                <w:highlight w:val="none"/>
              </w:rPr>
              <w:t>1</w:t>
            </w:r>
            <w:r>
              <w:rPr>
                <w:rFonts w:hint="eastAsia" w:ascii="宋体" w:hAnsi="宋体" w:cs="宋体"/>
                <w:color w:val="auto"/>
                <w:sz w:val="21"/>
                <w:szCs w:val="21"/>
                <w:highlight w:val="none"/>
              </w:rPr>
              <w:t>.</w:t>
            </w:r>
            <w:r>
              <w:rPr>
                <w:rFonts w:ascii="宋体" w:hAnsi="宋体" w:cs="宋体"/>
                <w:color w:val="auto"/>
                <w:sz w:val="21"/>
                <w:szCs w:val="21"/>
                <w:highlight w:val="none"/>
              </w:rPr>
              <w:t>投标供应商承诺提供免费的技术培训，培训方案须明确内容</w:t>
            </w:r>
            <w:r>
              <w:rPr>
                <w:rFonts w:hint="eastAsia" w:ascii="宋体" w:hAnsi="宋体" w:cs="宋体"/>
                <w:color w:val="auto"/>
                <w:sz w:val="21"/>
                <w:szCs w:val="21"/>
                <w:highlight w:val="none"/>
              </w:rPr>
              <w:t>、</w:t>
            </w:r>
            <w:r>
              <w:rPr>
                <w:rFonts w:ascii="宋体" w:hAnsi="宋体" w:cs="宋体"/>
                <w:color w:val="auto"/>
                <w:sz w:val="21"/>
                <w:szCs w:val="21"/>
                <w:highlight w:val="none"/>
              </w:rPr>
              <w:t>时间、地点、师资、课时，评委将根据培训方案的科学性、全面性、合理程度、培训讲师资格进行打分</w:t>
            </w:r>
            <w:r>
              <w:rPr>
                <w:rFonts w:hint="eastAsia" w:ascii="宋体" w:hAnsi="宋体" w:cs="宋体"/>
                <w:color w:val="auto"/>
                <w:sz w:val="21"/>
                <w:szCs w:val="21"/>
                <w:highlight w:val="none"/>
              </w:rPr>
              <w:t>，培训方案合理的得</w:t>
            </w:r>
            <w:r>
              <w:rPr>
                <w:rFonts w:ascii="宋体" w:hAnsi="宋体" w:cs="宋体"/>
                <w:color w:val="auto"/>
                <w:sz w:val="21"/>
                <w:szCs w:val="21"/>
                <w:highlight w:val="none"/>
              </w:rPr>
              <w:t>2</w:t>
            </w:r>
            <w:r>
              <w:rPr>
                <w:rFonts w:hint="eastAsia" w:ascii="宋体" w:hAnsi="宋体" w:cs="宋体"/>
                <w:color w:val="auto"/>
                <w:sz w:val="21"/>
                <w:szCs w:val="21"/>
                <w:highlight w:val="none"/>
              </w:rPr>
              <w:t>分、一般的得</w:t>
            </w:r>
            <w:r>
              <w:rPr>
                <w:rFonts w:ascii="宋体" w:hAnsi="宋体" w:cs="宋体"/>
                <w:color w:val="auto"/>
                <w:sz w:val="21"/>
                <w:szCs w:val="21"/>
                <w:highlight w:val="none"/>
              </w:rPr>
              <w:t>1</w:t>
            </w:r>
            <w:r>
              <w:rPr>
                <w:rFonts w:hint="eastAsia" w:ascii="宋体" w:hAnsi="宋体" w:cs="宋体"/>
                <w:color w:val="auto"/>
                <w:sz w:val="21"/>
                <w:szCs w:val="21"/>
                <w:highlight w:val="none"/>
              </w:rPr>
              <w:t>分、差或未提供得</w:t>
            </w:r>
            <w:r>
              <w:rPr>
                <w:rFonts w:ascii="宋体" w:hAnsi="宋体" w:cs="宋体"/>
                <w:color w:val="auto"/>
                <w:sz w:val="21"/>
                <w:szCs w:val="21"/>
                <w:highlight w:val="none"/>
              </w:rPr>
              <w:t>0</w:t>
            </w:r>
            <w:r>
              <w:rPr>
                <w:rFonts w:hint="eastAsia" w:ascii="宋体" w:hAnsi="宋体" w:cs="宋体"/>
                <w:color w:val="auto"/>
                <w:sz w:val="21"/>
                <w:szCs w:val="21"/>
                <w:highlight w:val="none"/>
              </w:rPr>
              <w:t>分；</w:t>
            </w:r>
            <w:r>
              <w:rPr>
                <w:rFonts w:ascii="宋体" w:hAnsi="宋体" w:cs="宋体"/>
                <w:color w:val="auto"/>
                <w:sz w:val="21"/>
                <w:szCs w:val="21"/>
                <w:highlight w:val="none"/>
              </w:rPr>
              <w:t xml:space="preserve"> </w:t>
            </w:r>
          </w:p>
          <w:p>
            <w:pPr>
              <w:snapToGrid w:val="0"/>
              <w:spacing w:line="320" w:lineRule="exact"/>
              <w:rPr>
                <w:rFonts w:hint="eastAsia" w:ascii="宋体" w:hAnsi="宋体"/>
                <w:color w:val="auto"/>
                <w:sz w:val="21"/>
                <w:szCs w:val="21"/>
                <w:highlight w:val="none"/>
              </w:rPr>
            </w:pPr>
            <w:r>
              <w:rPr>
                <w:rFonts w:hint="eastAsia" w:ascii="宋体" w:hAnsi="宋体" w:cs="宋体"/>
                <w:color w:val="auto"/>
                <w:sz w:val="21"/>
                <w:szCs w:val="21"/>
                <w:highlight w:val="none"/>
              </w:rPr>
              <w:t>2.</w:t>
            </w:r>
            <w:r>
              <w:rPr>
                <w:rFonts w:ascii="宋体" w:hAnsi="宋体" w:cs="宋体"/>
                <w:color w:val="auto"/>
                <w:sz w:val="21"/>
                <w:szCs w:val="21"/>
                <w:highlight w:val="none"/>
              </w:rPr>
              <w:t>投标供应商售后服务及维保体系（体系完备、制度健全、售后技术服务承诺、保修期、保修内容及优惠条件）</w:t>
            </w:r>
            <w:r>
              <w:rPr>
                <w:rFonts w:hint="eastAsia" w:ascii="宋体" w:hAnsi="宋体" w:cs="宋体"/>
                <w:color w:val="auto"/>
                <w:sz w:val="21"/>
                <w:szCs w:val="21"/>
                <w:highlight w:val="none"/>
              </w:rPr>
              <w:t>，</w:t>
            </w:r>
            <w:r>
              <w:rPr>
                <w:rFonts w:ascii="宋体" w:hAnsi="宋体" w:cs="宋体"/>
                <w:color w:val="auto"/>
                <w:sz w:val="21"/>
                <w:szCs w:val="21"/>
                <w:highlight w:val="none"/>
              </w:rPr>
              <w:t>售后服务及维保体系</w:t>
            </w:r>
            <w:r>
              <w:rPr>
                <w:rFonts w:hint="eastAsia" w:ascii="宋体" w:hAnsi="宋体" w:cs="宋体"/>
                <w:color w:val="auto"/>
                <w:sz w:val="21"/>
                <w:szCs w:val="21"/>
                <w:highlight w:val="none"/>
              </w:rPr>
              <w:t>完善的得</w:t>
            </w:r>
            <w:r>
              <w:rPr>
                <w:rFonts w:ascii="宋体" w:hAnsi="宋体" w:cs="宋体"/>
                <w:color w:val="auto"/>
                <w:sz w:val="21"/>
                <w:szCs w:val="21"/>
                <w:highlight w:val="none"/>
              </w:rPr>
              <w:t>2</w:t>
            </w:r>
            <w:r>
              <w:rPr>
                <w:rFonts w:hint="eastAsia" w:ascii="宋体" w:hAnsi="宋体" w:cs="宋体"/>
                <w:color w:val="auto"/>
                <w:sz w:val="21"/>
                <w:szCs w:val="21"/>
                <w:highlight w:val="none"/>
              </w:rPr>
              <w:t>分、一般的得</w:t>
            </w:r>
            <w:r>
              <w:rPr>
                <w:rFonts w:ascii="宋体" w:hAnsi="宋体" w:cs="宋体"/>
                <w:color w:val="auto"/>
                <w:sz w:val="21"/>
                <w:szCs w:val="21"/>
                <w:highlight w:val="none"/>
              </w:rPr>
              <w:t>1</w:t>
            </w:r>
            <w:r>
              <w:rPr>
                <w:rFonts w:hint="eastAsia" w:ascii="宋体" w:hAnsi="宋体" w:cs="宋体"/>
                <w:color w:val="auto"/>
                <w:sz w:val="21"/>
                <w:szCs w:val="21"/>
                <w:highlight w:val="none"/>
              </w:rPr>
              <w:t>分、差或未提供得</w:t>
            </w:r>
            <w:r>
              <w:rPr>
                <w:rFonts w:ascii="宋体" w:hAnsi="宋体" w:cs="宋体"/>
                <w:color w:val="auto"/>
                <w:sz w:val="21"/>
                <w:szCs w:val="21"/>
                <w:highlight w:val="none"/>
              </w:rPr>
              <w:t>0</w:t>
            </w:r>
            <w:r>
              <w:rPr>
                <w:rFonts w:hint="eastAsia" w:ascii="宋体" w:hAnsi="宋体" w:cs="宋体"/>
                <w:color w:val="auto"/>
                <w:sz w:val="21"/>
                <w:szCs w:val="21"/>
                <w:highlight w:val="none"/>
              </w:rPr>
              <w:t>分；</w:t>
            </w:r>
          </w:p>
        </w:tc>
        <w:tc>
          <w:tcPr>
            <w:tcW w:w="1934" w:type="dxa"/>
            <w:noWrap w:val="0"/>
            <w:vAlign w:val="center"/>
          </w:tcPr>
          <w:p>
            <w:pPr>
              <w:spacing w:line="300" w:lineRule="exact"/>
              <w:jc w:val="center"/>
              <w:rPr>
                <w:rFonts w:hint="eastAsia" w:ascii="宋体" w:hAnsi="宋体"/>
                <w:color w:val="auto"/>
                <w:sz w:val="21"/>
                <w:szCs w:val="21"/>
                <w:highlight w:val="none"/>
              </w:rPr>
            </w:pPr>
            <w:r>
              <w:rPr>
                <w:rFonts w:hint="eastAsia" w:ascii="宋体" w:hAnsi="宋体"/>
                <w:color w:val="auto"/>
                <w:sz w:val="21"/>
                <w:szCs w:val="21"/>
                <w:highlight w:val="none"/>
              </w:rPr>
              <w:t>提供售后服务方案装订入投标文件，未提供售后服务方案的不得分。</w:t>
            </w:r>
          </w:p>
        </w:tc>
        <w:tc>
          <w:tcPr>
            <w:tcW w:w="946" w:type="dxa"/>
            <w:noWrap w:val="0"/>
            <w:vAlign w:val="center"/>
          </w:tcPr>
          <w:p>
            <w:pPr>
              <w:spacing w:line="300" w:lineRule="exact"/>
              <w:jc w:val="center"/>
              <w:rPr>
                <w:rFonts w:hint="eastAsia" w:ascii="宋体" w:hAnsi="宋体"/>
                <w:color w:val="auto"/>
                <w:sz w:val="21"/>
                <w:szCs w:val="21"/>
                <w:highlight w:val="none"/>
              </w:rPr>
            </w:pPr>
            <w:r>
              <w:rPr>
                <w:rFonts w:ascii="宋体" w:hAnsi="宋体"/>
                <w:color w:val="auto"/>
                <w:sz w:val="21"/>
                <w:szCs w:val="21"/>
                <w:highlight w:val="none"/>
              </w:rPr>
              <w:t>4</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 w:hRule="atLeast"/>
          <w:jc w:val="center"/>
        </w:trPr>
        <w:tc>
          <w:tcPr>
            <w:tcW w:w="1847" w:type="dxa"/>
            <w:vMerge w:val="continue"/>
            <w:noWrap w:val="0"/>
            <w:vAlign w:val="center"/>
          </w:tcPr>
          <w:p>
            <w:pPr>
              <w:spacing w:line="300" w:lineRule="exact"/>
              <w:rPr>
                <w:rFonts w:hint="eastAsia" w:ascii="宋体" w:hAnsi="宋体"/>
                <w:color w:val="auto"/>
                <w:spacing w:val="-12"/>
                <w:sz w:val="21"/>
                <w:szCs w:val="21"/>
                <w:highlight w:val="none"/>
              </w:rPr>
            </w:pPr>
          </w:p>
        </w:tc>
        <w:tc>
          <w:tcPr>
            <w:tcW w:w="1341" w:type="dxa"/>
            <w:noWrap w:val="0"/>
            <w:vAlign w:val="center"/>
          </w:tcPr>
          <w:p>
            <w:pPr>
              <w:spacing w:line="300" w:lineRule="exact"/>
              <w:jc w:val="center"/>
              <w:rPr>
                <w:rFonts w:hint="eastAsia" w:ascii="宋体" w:hAnsi="宋体"/>
                <w:b/>
                <w:color w:val="auto"/>
                <w:sz w:val="21"/>
                <w:szCs w:val="21"/>
                <w:highlight w:val="none"/>
              </w:rPr>
            </w:pPr>
            <w:r>
              <w:rPr>
                <w:rFonts w:hint="eastAsia" w:ascii="宋体" w:hAnsi="宋体"/>
                <w:b/>
                <w:color w:val="auto"/>
                <w:sz w:val="21"/>
                <w:szCs w:val="21"/>
                <w:highlight w:val="none"/>
              </w:rPr>
              <w:t>企业荣誉（客观分）</w:t>
            </w:r>
          </w:p>
        </w:tc>
        <w:tc>
          <w:tcPr>
            <w:tcW w:w="4374" w:type="dxa"/>
            <w:noWrap w:val="0"/>
            <w:vAlign w:val="center"/>
          </w:tcPr>
          <w:p>
            <w:pPr>
              <w:widowControl/>
              <w:rPr>
                <w:rFonts w:hint="eastAsia" w:ascii="宋体" w:hAnsi="宋体" w:cs="宋体"/>
                <w:color w:val="auto"/>
                <w:sz w:val="21"/>
                <w:szCs w:val="21"/>
                <w:highlight w:val="none"/>
              </w:rPr>
            </w:pPr>
            <w:r>
              <w:rPr>
                <w:rFonts w:ascii="宋体" w:hAnsi="宋体" w:cs="宋体"/>
                <w:color w:val="auto"/>
                <w:sz w:val="21"/>
                <w:szCs w:val="21"/>
                <w:highlight w:val="none"/>
              </w:rPr>
              <w:t>投标供应商提供</w:t>
            </w:r>
            <w:r>
              <w:rPr>
                <w:rFonts w:hint="eastAsia" w:ascii="宋体" w:hAnsi="宋体" w:cs="宋体"/>
                <w:color w:val="auto"/>
                <w:sz w:val="21"/>
                <w:szCs w:val="21"/>
                <w:highlight w:val="none"/>
              </w:rPr>
              <w:t>省级政府机关颁发的信息安全服务机构登记</w:t>
            </w:r>
            <w:r>
              <w:rPr>
                <w:rFonts w:ascii="宋体" w:hAnsi="宋体" w:cs="宋体"/>
                <w:color w:val="auto"/>
                <w:sz w:val="21"/>
                <w:szCs w:val="21"/>
                <w:highlight w:val="none"/>
              </w:rPr>
              <w:t>备案证明，得</w:t>
            </w:r>
            <w:r>
              <w:rPr>
                <w:rFonts w:hint="eastAsia" w:ascii="宋体" w:hAnsi="宋体" w:cs="宋体"/>
                <w:color w:val="auto"/>
                <w:sz w:val="21"/>
                <w:szCs w:val="21"/>
                <w:highlight w:val="none"/>
              </w:rPr>
              <w:t>2</w:t>
            </w:r>
            <w:r>
              <w:rPr>
                <w:rFonts w:ascii="宋体" w:hAnsi="宋体" w:cs="宋体"/>
                <w:color w:val="auto"/>
                <w:sz w:val="21"/>
                <w:szCs w:val="21"/>
                <w:highlight w:val="none"/>
              </w:rPr>
              <w:t>分。</w:t>
            </w:r>
          </w:p>
        </w:tc>
        <w:tc>
          <w:tcPr>
            <w:tcW w:w="1934" w:type="dxa"/>
            <w:noWrap w:val="0"/>
            <w:vAlign w:val="center"/>
          </w:tcPr>
          <w:p>
            <w:pPr>
              <w:spacing w:line="300" w:lineRule="exact"/>
              <w:jc w:val="center"/>
              <w:rPr>
                <w:rFonts w:hint="default" w:ascii="宋体" w:hAnsi="宋体" w:eastAsia="宋体"/>
                <w:color w:val="auto"/>
                <w:sz w:val="21"/>
                <w:szCs w:val="21"/>
                <w:highlight w:val="none"/>
                <w:lang w:val="en-US" w:eastAsia="zh-CN"/>
              </w:rPr>
            </w:pPr>
            <w:r>
              <w:rPr>
                <w:rFonts w:hint="eastAsia" w:ascii="宋体" w:hAnsi="宋体"/>
                <w:color w:val="auto"/>
                <w:sz w:val="21"/>
                <w:szCs w:val="21"/>
                <w:highlight w:val="none"/>
                <w:lang w:val="en-US" w:eastAsia="zh-CN"/>
              </w:rPr>
              <w:t>提供</w:t>
            </w:r>
            <w:r>
              <w:rPr>
                <w:rFonts w:ascii="宋体" w:hAnsi="宋体" w:eastAsia="宋体" w:cs="宋体"/>
                <w:color w:val="auto"/>
                <w:sz w:val="21"/>
                <w:szCs w:val="21"/>
                <w:highlight w:val="none"/>
              </w:rPr>
              <w:t>颁发机关网站截图</w:t>
            </w:r>
            <w:r>
              <w:rPr>
                <w:rFonts w:hint="eastAsia" w:ascii="宋体" w:hAnsi="宋体" w:eastAsia="宋体" w:cs="宋体"/>
                <w:color w:val="auto"/>
                <w:sz w:val="21"/>
                <w:szCs w:val="21"/>
                <w:highlight w:val="none"/>
                <w:lang w:val="en-US" w:eastAsia="zh-CN"/>
              </w:rPr>
              <w:t>或备案材料复印件</w:t>
            </w:r>
          </w:p>
        </w:tc>
        <w:tc>
          <w:tcPr>
            <w:tcW w:w="946" w:type="dxa"/>
            <w:noWrap w:val="0"/>
            <w:vAlign w:val="center"/>
          </w:tcPr>
          <w:p>
            <w:pPr>
              <w:spacing w:line="300" w:lineRule="exact"/>
              <w:jc w:val="center"/>
              <w:rPr>
                <w:rFonts w:hint="eastAsia" w:ascii="宋体" w:hAnsi="宋体"/>
                <w:color w:val="auto"/>
                <w:sz w:val="21"/>
                <w:szCs w:val="21"/>
                <w:highlight w:val="none"/>
              </w:rPr>
            </w:pPr>
            <w:r>
              <w:rPr>
                <w:rFonts w:hint="eastAsia" w:ascii="宋体" w:hAnsi="宋体"/>
                <w:color w:val="auto"/>
                <w:sz w:val="21"/>
                <w:szCs w:val="21"/>
                <w:highlight w:val="none"/>
              </w:rPr>
              <w:t>2</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 w:hRule="atLeast"/>
          <w:jc w:val="center"/>
        </w:trPr>
        <w:tc>
          <w:tcPr>
            <w:tcW w:w="1847" w:type="dxa"/>
            <w:vMerge w:val="continue"/>
            <w:noWrap w:val="0"/>
            <w:vAlign w:val="center"/>
          </w:tcPr>
          <w:p>
            <w:pPr>
              <w:spacing w:line="300" w:lineRule="exact"/>
              <w:rPr>
                <w:rFonts w:hint="eastAsia" w:ascii="宋体" w:hAnsi="宋体"/>
                <w:color w:val="auto"/>
                <w:spacing w:val="-12"/>
                <w:sz w:val="21"/>
                <w:szCs w:val="21"/>
                <w:highlight w:val="none"/>
              </w:rPr>
            </w:pPr>
          </w:p>
        </w:tc>
        <w:tc>
          <w:tcPr>
            <w:tcW w:w="1341" w:type="dxa"/>
            <w:noWrap w:val="0"/>
            <w:vAlign w:val="center"/>
          </w:tcPr>
          <w:p>
            <w:pPr>
              <w:spacing w:line="300" w:lineRule="exact"/>
              <w:jc w:val="center"/>
              <w:rPr>
                <w:rFonts w:hint="eastAsia" w:ascii="宋体" w:hAnsi="宋体"/>
                <w:b/>
                <w:color w:val="auto"/>
                <w:sz w:val="21"/>
                <w:szCs w:val="21"/>
                <w:highlight w:val="none"/>
              </w:rPr>
            </w:pPr>
            <w:r>
              <w:rPr>
                <w:rFonts w:hint="eastAsia" w:ascii="宋体" w:hAnsi="宋体"/>
                <w:b/>
                <w:color w:val="auto"/>
                <w:sz w:val="21"/>
                <w:szCs w:val="21"/>
                <w:highlight w:val="none"/>
              </w:rPr>
              <w:t>权威认证（客观分）</w:t>
            </w:r>
          </w:p>
        </w:tc>
        <w:tc>
          <w:tcPr>
            <w:tcW w:w="4374" w:type="dxa"/>
            <w:noWrap w:val="0"/>
            <w:vAlign w:val="center"/>
          </w:tcPr>
          <w:p>
            <w:pPr>
              <w:widowControl/>
              <w:rPr>
                <w:rFonts w:ascii="宋体" w:hAnsi="宋体" w:cs="宋体"/>
                <w:color w:val="auto"/>
                <w:sz w:val="21"/>
                <w:szCs w:val="21"/>
                <w:highlight w:val="none"/>
              </w:rPr>
            </w:pPr>
            <w:r>
              <w:rPr>
                <w:rFonts w:hint="eastAsia" w:ascii="宋体" w:hAnsi="宋体" w:cs="宋体"/>
                <w:color w:val="auto"/>
                <w:sz w:val="21"/>
                <w:szCs w:val="21"/>
                <w:highlight w:val="none"/>
              </w:rPr>
              <w:t>1</w:t>
            </w:r>
            <w:r>
              <w:rPr>
                <w:rFonts w:ascii="宋体" w:hAnsi="宋体" w:cs="宋体"/>
                <w:color w:val="auto"/>
                <w:sz w:val="21"/>
                <w:szCs w:val="21"/>
                <w:highlight w:val="none"/>
              </w:rPr>
              <w:t>、投标供应商通过ISO27001信息安全管理系统认证，得2分。</w:t>
            </w:r>
          </w:p>
          <w:p>
            <w:pPr>
              <w:widowControl/>
              <w:rPr>
                <w:rFonts w:ascii="宋体" w:hAnsi="宋体" w:cs="宋体"/>
                <w:color w:val="auto"/>
                <w:sz w:val="21"/>
                <w:szCs w:val="21"/>
                <w:highlight w:val="none"/>
              </w:rPr>
            </w:pPr>
            <w:r>
              <w:rPr>
                <w:rFonts w:hint="eastAsia" w:ascii="宋体" w:hAnsi="宋体" w:cs="宋体"/>
                <w:color w:val="auto"/>
                <w:sz w:val="21"/>
                <w:szCs w:val="21"/>
                <w:highlight w:val="none"/>
              </w:rPr>
              <w:t>2</w:t>
            </w:r>
            <w:r>
              <w:rPr>
                <w:rFonts w:ascii="宋体" w:hAnsi="宋体" w:cs="宋体"/>
                <w:color w:val="auto"/>
                <w:sz w:val="21"/>
                <w:szCs w:val="21"/>
                <w:highlight w:val="none"/>
              </w:rPr>
              <w:t>、投标供应商通过ISO20000IT服务管理体系认证，得2分。</w:t>
            </w:r>
          </w:p>
          <w:p>
            <w:pPr>
              <w:snapToGrid w:val="0"/>
              <w:spacing w:line="320" w:lineRule="exact"/>
              <w:rPr>
                <w:rFonts w:hint="eastAsia" w:ascii="宋体" w:hAnsi="宋体"/>
                <w:color w:val="auto"/>
                <w:sz w:val="21"/>
                <w:szCs w:val="21"/>
                <w:highlight w:val="none"/>
              </w:rPr>
            </w:pPr>
            <w:r>
              <w:rPr>
                <w:rFonts w:ascii="宋体" w:hAnsi="宋体" w:cs="宋体"/>
                <w:color w:val="auto"/>
                <w:sz w:val="21"/>
                <w:szCs w:val="21"/>
                <w:highlight w:val="none"/>
              </w:rPr>
              <w:t>3、投标供应商具有ITSS信息技术服务运行标准认证</w:t>
            </w:r>
            <w:r>
              <w:rPr>
                <w:rFonts w:hint="eastAsia" w:ascii="宋体" w:hAnsi="宋体" w:cs="宋体"/>
                <w:color w:val="auto"/>
                <w:sz w:val="21"/>
                <w:szCs w:val="21"/>
                <w:highlight w:val="none"/>
              </w:rPr>
              <w:t>，</w:t>
            </w:r>
            <w:r>
              <w:rPr>
                <w:rFonts w:ascii="宋体" w:hAnsi="宋体" w:cs="宋体"/>
                <w:color w:val="auto"/>
                <w:sz w:val="21"/>
                <w:szCs w:val="21"/>
                <w:highlight w:val="none"/>
              </w:rPr>
              <w:t>得</w:t>
            </w:r>
            <w:r>
              <w:rPr>
                <w:rFonts w:hint="eastAsia" w:ascii="宋体" w:hAnsi="宋体" w:cs="宋体"/>
                <w:color w:val="auto"/>
                <w:sz w:val="21"/>
                <w:szCs w:val="21"/>
                <w:highlight w:val="none"/>
              </w:rPr>
              <w:t>2</w:t>
            </w:r>
            <w:r>
              <w:rPr>
                <w:rFonts w:ascii="宋体" w:hAnsi="宋体" w:cs="宋体"/>
                <w:color w:val="auto"/>
                <w:sz w:val="21"/>
                <w:szCs w:val="21"/>
                <w:highlight w:val="none"/>
              </w:rPr>
              <w:t>分。</w:t>
            </w:r>
          </w:p>
        </w:tc>
        <w:tc>
          <w:tcPr>
            <w:tcW w:w="1934" w:type="dxa"/>
            <w:noWrap w:val="0"/>
            <w:vAlign w:val="center"/>
          </w:tcPr>
          <w:p>
            <w:pPr>
              <w:spacing w:line="300" w:lineRule="exact"/>
              <w:jc w:val="center"/>
              <w:rPr>
                <w:rFonts w:hint="eastAsia" w:ascii="宋体" w:hAnsi="宋体"/>
                <w:color w:val="auto"/>
                <w:sz w:val="21"/>
                <w:szCs w:val="21"/>
                <w:highlight w:val="none"/>
              </w:rPr>
            </w:pPr>
            <w:r>
              <w:rPr>
                <w:rFonts w:hint="eastAsia" w:ascii="宋体" w:hAnsi="宋体"/>
                <w:color w:val="auto"/>
                <w:sz w:val="21"/>
                <w:szCs w:val="21"/>
                <w:highlight w:val="none"/>
              </w:rPr>
              <w:t>提供证书</w:t>
            </w:r>
            <w:r>
              <w:rPr>
                <w:rFonts w:hint="eastAsia"/>
                <w:color w:val="auto"/>
                <w:sz w:val="21"/>
                <w:szCs w:val="21"/>
                <w:highlight w:val="none"/>
              </w:rPr>
              <w:t>（复印件）</w:t>
            </w:r>
          </w:p>
        </w:tc>
        <w:tc>
          <w:tcPr>
            <w:tcW w:w="946" w:type="dxa"/>
            <w:noWrap w:val="0"/>
            <w:vAlign w:val="center"/>
          </w:tcPr>
          <w:p>
            <w:pPr>
              <w:spacing w:line="300" w:lineRule="exact"/>
              <w:jc w:val="center"/>
              <w:rPr>
                <w:rFonts w:hint="eastAsia" w:ascii="宋体" w:hAnsi="宋体"/>
                <w:color w:val="auto"/>
                <w:sz w:val="21"/>
                <w:szCs w:val="21"/>
                <w:highlight w:val="none"/>
              </w:rPr>
            </w:pPr>
            <w:r>
              <w:rPr>
                <w:rFonts w:ascii="宋体" w:hAnsi="宋体"/>
                <w:color w:val="auto"/>
                <w:sz w:val="21"/>
                <w:szCs w:val="21"/>
                <w:highlight w:val="none"/>
              </w:rPr>
              <w:t>6</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5" w:hRule="atLeast"/>
          <w:jc w:val="center"/>
        </w:trPr>
        <w:tc>
          <w:tcPr>
            <w:tcW w:w="1847" w:type="dxa"/>
            <w:vMerge w:val="continue"/>
            <w:noWrap w:val="0"/>
            <w:vAlign w:val="center"/>
          </w:tcPr>
          <w:p>
            <w:pPr>
              <w:autoSpaceDE w:val="0"/>
              <w:autoSpaceDN w:val="0"/>
              <w:adjustRightInd w:val="0"/>
              <w:spacing w:line="300" w:lineRule="exact"/>
              <w:rPr>
                <w:rFonts w:hint="eastAsia" w:ascii="宋体" w:hAnsi="宋体"/>
                <w:color w:val="auto"/>
                <w:spacing w:val="-12"/>
                <w:sz w:val="21"/>
                <w:szCs w:val="21"/>
                <w:highlight w:val="none"/>
              </w:rPr>
            </w:pPr>
          </w:p>
        </w:tc>
        <w:tc>
          <w:tcPr>
            <w:tcW w:w="1341" w:type="dxa"/>
            <w:noWrap w:val="0"/>
            <w:vAlign w:val="center"/>
          </w:tcPr>
          <w:p>
            <w:pPr>
              <w:spacing w:line="300" w:lineRule="exact"/>
              <w:jc w:val="center"/>
              <w:rPr>
                <w:rFonts w:hint="eastAsia" w:ascii="宋体" w:hAnsi="宋体" w:cs="Arial"/>
                <w:color w:val="auto"/>
                <w:sz w:val="21"/>
                <w:szCs w:val="21"/>
                <w:highlight w:val="none"/>
              </w:rPr>
            </w:pPr>
            <w:r>
              <w:rPr>
                <w:rFonts w:hint="eastAsia" w:ascii="宋体" w:hAnsi="宋体"/>
                <w:b/>
                <w:color w:val="auto"/>
                <w:sz w:val="21"/>
                <w:szCs w:val="21"/>
                <w:highlight w:val="none"/>
              </w:rPr>
              <w:t>成功案例及业绩（客观分）</w:t>
            </w:r>
          </w:p>
        </w:tc>
        <w:tc>
          <w:tcPr>
            <w:tcW w:w="4374" w:type="dxa"/>
            <w:noWrap w:val="0"/>
            <w:vAlign w:val="center"/>
          </w:tcPr>
          <w:p>
            <w:pPr>
              <w:widowControl/>
              <w:rPr>
                <w:rFonts w:ascii="宋体" w:hAnsi="宋体" w:eastAsia="PMingLiU" w:cs="宋体"/>
                <w:color w:val="auto"/>
                <w:sz w:val="21"/>
                <w:szCs w:val="21"/>
                <w:highlight w:val="none"/>
              </w:rPr>
            </w:pPr>
            <w:r>
              <w:rPr>
                <w:rFonts w:hint="eastAsia" w:ascii="宋体" w:hAnsi="宋体" w:cs="宋体"/>
                <w:color w:val="auto"/>
                <w:sz w:val="21"/>
                <w:szCs w:val="21"/>
                <w:highlight w:val="none"/>
              </w:rPr>
              <w:t>投标供应商自 201</w:t>
            </w:r>
            <w:r>
              <w:rPr>
                <w:rFonts w:ascii="宋体" w:hAnsi="宋体" w:cs="宋体"/>
                <w:color w:val="auto"/>
                <w:sz w:val="21"/>
                <w:szCs w:val="21"/>
                <w:highlight w:val="none"/>
              </w:rPr>
              <w:t>7</w:t>
            </w:r>
            <w:r>
              <w:rPr>
                <w:rFonts w:hint="eastAsia" w:ascii="宋体" w:hAnsi="宋体" w:cs="宋体"/>
                <w:color w:val="auto"/>
                <w:sz w:val="21"/>
                <w:szCs w:val="21"/>
                <w:highlight w:val="none"/>
              </w:rPr>
              <w:t xml:space="preserve">年 1 月 1 日以来具有信息化系统集成项目业绩,每提供一个得3分,最多得 </w:t>
            </w:r>
            <w:r>
              <w:rPr>
                <w:rFonts w:ascii="宋体" w:hAnsi="宋体" w:eastAsia="PMingLiU" w:cs="宋体"/>
                <w:color w:val="auto"/>
                <w:sz w:val="21"/>
                <w:szCs w:val="21"/>
                <w:highlight w:val="none"/>
              </w:rPr>
              <w:t>9</w:t>
            </w:r>
            <w:r>
              <w:rPr>
                <w:rFonts w:hint="eastAsia" w:ascii="宋体" w:hAnsi="宋体" w:cs="宋体"/>
                <w:color w:val="auto"/>
                <w:sz w:val="21"/>
                <w:szCs w:val="21"/>
                <w:highlight w:val="none"/>
              </w:rPr>
              <w:t>分。</w:t>
            </w:r>
          </w:p>
          <w:p>
            <w:pPr>
              <w:spacing w:line="300" w:lineRule="exact"/>
              <w:ind w:firstLine="420" w:firstLineChars="200"/>
              <w:rPr>
                <w:rFonts w:hint="eastAsia" w:ascii="宋体" w:hAnsi="宋体" w:cs="Arial"/>
                <w:color w:val="auto"/>
                <w:sz w:val="21"/>
                <w:szCs w:val="21"/>
                <w:highlight w:val="none"/>
              </w:rPr>
            </w:pPr>
          </w:p>
        </w:tc>
        <w:tc>
          <w:tcPr>
            <w:tcW w:w="1934" w:type="dxa"/>
            <w:noWrap w:val="0"/>
            <w:vAlign w:val="center"/>
          </w:tcPr>
          <w:p>
            <w:pPr>
              <w:autoSpaceDE w:val="0"/>
              <w:autoSpaceDN w:val="0"/>
              <w:adjustRightInd w:val="0"/>
              <w:spacing w:line="300" w:lineRule="exact"/>
              <w:jc w:val="center"/>
              <w:rPr>
                <w:rFonts w:hint="eastAsia" w:ascii="宋体" w:hAnsi="宋体"/>
                <w:color w:val="auto"/>
                <w:sz w:val="21"/>
                <w:szCs w:val="21"/>
                <w:highlight w:val="none"/>
              </w:rPr>
            </w:pPr>
            <w:r>
              <w:rPr>
                <w:rFonts w:hint="eastAsia" w:ascii="宋体" w:hAnsi="宋体" w:cs="宋体"/>
                <w:color w:val="auto"/>
                <w:sz w:val="21"/>
                <w:szCs w:val="21"/>
                <w:highlight w:val="none"/>
              </w:rPr>
              <w:t>注：提供合同扫描件或影印件，不提供不得分。若合同无法体现项目类型，金额等的须另附业主证明等相关证明材料。</w:t>
            </w:r>
          </w:p>
        </w:tc>
        <w:tc>
          <w:tcPr>
            <w:tcW w:w="946" w:type="dxa"/>
            <w:noWrap w:val="0"/>
            <w:vAlign w:val="center"/>
          </w:tcPr>
          <w:p>
            <w:pPr>
              <w:autoSpaceDE w:val="0"/>
              <w:autoSpaceDN w:val="0"/>
              <w:adjustRightInd w:val="0"/>
              <w:spacing w:line="300" w:lineRule="exact"/>
              <w:jc w:val="center"/>
              <w:rPr>
                <w:rFonts w:ascii="宋体" w:hAnsi="宋体"/>
                <w:color w:val="auto"/>
                <w:sz w:val="21"/>
                <w:szCs w:val="21"/>
                <w:highlight w:val="none"/>
              </w:rPr>
            </w:pPr>
            <w:r>
              <w:rPr>
                <w:rFonts w:hint="eastAsia" w:ascii="宋体" w:hAnsi="宋体"/>
                <w:color w:val="auto"/>
                <w:sz w:val="21"/>
                <w:szCs w:val="21"/>
                <w:highlight w:val="none"/>
              </w:rPr>
              <w:t>9</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5" w:hRule="atLeast"/>
          <w:jc w:val="center"/>
        </w:trPr>
        <w:tc>
          <w:tcPr>
            <w:tcW w:w="1847" w:type="dxa"/>
            <w:noWrap w:val="0"/>
            <w:vAlign w:val="center"/>
          </w:tcPr>
          <w:p>
            <w:pPr>
              <w:autoSpaceDE w:val="0"/>
              <w:autoSpaceDN w:val="0"/>
              <w:adjustRightInd w:val="0"/>
              <w:spacing w:line="300" w:lineRule="exact"/>
              <w:jc w:val="center"/>
              <w:rPr>
                <w:rFonts w:ascii="宋体" w:hAnsi="宋体"/>
                <w:color w:val="auto"/>
                <w:spacing w:val="-12"/>
                <w:sz w:val="21"/>
                <w:szCs w:val="21"/>
                <w:highlight w:val="none"/>
              </w:rPr>
            </w:pPr>
            <w:r>
              <w:rPr>
                <w:rFonts w:hint="eastAsia" w:ascii="宋体" w:hAnsi="宋体"/>
                <w:color w:val="auto"/>
                <w:spacing w:val="-12"/>
                <w:sz w:val="21"/>
                <w:szCs w:val="21"/>
                <w:highlight w:val="none"/>
              </w:rPr>
              <w:t>报价部分评分</w:t>
            </w:r>
          </w:p>
        </w:tc>
        <w:tc>
          <w:tcPr>
            <w:tcW w:w="5715" w:type="dxa"/>
            <w:gridSpan w:val="2"/>
            <w:noWrap w:val="0"/>
            <w:vAlign w:val="center"/>
          </w:tcPr>
          <w:p>
            <w:pPr>
              <w:spacing w:line="300" w:lineRule="exact"/>
              <w:ind w:firstLine="420" w:firstLineChars="200"/>
              <w:rPr>
                <w:rFonts w:ascii="宋体" w:hAnsi="宋体" w:cs="Arial"/>
                <w:color w:val="auto"/>
                <w:sz w:val="21"/>
                <w:szCs w:val="21"/>
                <w:highlight w:val="none"/>
              </w:rPr>
            </w:pPr>
            <w:r>
              <w:rPr>
                <w:rFonts w:hint="eastAsia" w:ascii="宋体" w:hAnsi="宋体" w:cs="Arial"/>
                <w:color w:val="auto"/>
                <w:sz w:val="21"/>
                <w:szCs w:val="21"/>
                <w:highlight w:val="none"/>
              </w:rPr>
              <w:t>根据各投标人的最终有效投标报价，以满足招标文件要求且最终有效投标价格最低的投标报价为评标基准价，其价格分为满分30分。其它投标人的价格分统一按照下列公式计算：投标报价得分=(评标基准价／投标报价)×30（四舍五入，精确到小数点后二位）。</w:t>
            </w:r>
          </w:p>
        </w:tc>
        <w:tc>
          <w:tcPr>
            <w:tcW w:w="1934" w:type="dxa"/>
            <w:noWrap w:val="0"/>
            <w:vAlign w:val="center"/>
          </w:tcPr>
          <w:p>
            <w:pPr>
              <w:autoSpaceDE w:val="0"/>
              <w:autoSpaceDN w:val="0"/>
              <w:adjustRightInd w:val="0"/>
              <w:spacing w:line="300" w:lineRule="exact"/>
              <w:jc w:val="center"/>
              <w:rPr>
                <w:rFonts w:hint="eastAsia" w:ascii="宋体" w:hAnsi="宋体"/>
                <w:color w:val="auto"/>
                <w:sz w:val="21"/>
                <w:szCs w:val="21"/>
                <w:highlight w:val="none"/>
              </w:rPr>
            </w:pPr>
            <w:r>
              <w:rPr>
                <w:rFonts w:hint="eastAsia" w:ascii="宋体" w:hAnsi="宋体"/>
                <w:color w:val="auto"/>
                <w:sz w:val="21"/>
                <w:szCs w:val="21"/>
                <w:highlight w:val="none"/>
              </w:rPr>
              <w:t>以报价表中的金额为准</w:t>
            </w:r>
          </w:p>
        </w:tc>
        <w:tc>
          <w:tcPr>
            <w:tcW w:w="946" w:type="dxa"/>
            <w:noWrap w:val="0"/>
            <w:vAlign w:val="center"/>
          </w:tcPr>
          <w:p>
            <w:pPr>
              <w:autoSpaceDE w:val="0"/>
              <w:autoSpaceDN w:val="0"/>
              <w:adjustRightInd w:val="0"/>
              <w:spacing w:line="300" w:lineRule="exact"/>
              <w:jc w:val="center"/>
              <w:rPr>
                <w:rFonts w:ascii="宋体" w:hAnsi="宋体"/>
                <w:color w:val="auto"/>
                <w:sz w:val="21"/>
                <w:szCs w:val="21"/>
                <w:highlight w:val="none"/>
              </w:rPr>
            </w:pPr>
            <w:r>
              <w:rPr>
                <w:rFonts w:hint="eastAsia" w:ascii="宋体" w:hAnsi="宋体"/>
                <w:color w:val="auto"/>
                <w:sz w:val="21"/>
                <w:szCs w:val="21"/>
                <w:highlight w:val="none"/>
              </w:rPr>
              <w:t>30</w:t>
            </w:r>
          </w:p>
        </w:tc>
      </w:tr>
    </w:tbl>
    <w:p>
      <w:pPr>
        <w:numPr>
          <w:ilvl w:val="0"/>
          <w:numId w:val="0"/>
        </w:numPr>
        <w:rPr>
          <w:rFonts w:hint="eastAsia"/>
          <w:color w:val="auto"/>
          <w:sz w:val="21"/>
          <w:szCs w:val="21"/>
          <w:lang w:val="en-US" w:eastAsia="zh-CN"/>
        </w:rPr>
      </w:pPr>
    </w:p>
    <w:p>
      <w:pPr>
        <w:numPr>
          <w:numId w:val="0"/>
        </w:numPr>
        <w:rPr>
          <w:rFonts w:hint="eastAsia"/>
          <w:color w:val="auto"/>
          <w:sz w:val="21"/>
          <w:szCs w:val="21"/>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宋体">
    <w:altName w:val="宋体"/>
    <w:panose1 w:val="02010600040101010101"/>
    <w:charset w:val="86"/>
    <w:family w:val="auto"/>
    <w:pitch w:val="default"/>
    <w:sig w:usb0="00000000" w:usb1="00000000" w:usb2="00000000" w:usb3="00000000" w:csb0="0004009F" w:csb1="DFD70000"/>
  </w:font>
  <w:font w:name="华文仿宋">
    <w:altName w:val="仿宋"/>
    <w:panose1 w:val="02010600040101010101"/>
    <w:charset w:val="86"/>
    <w:family w:val="auto"/>
    <w:pitch w:val="default"/>
    <w:sig w:usb0="00000000" w:usb1="00000000" w:usb2="00000000" w:usb3="00000000" w:csb0="0004009F" w:csb1="DFD70000"/>
  </w:font>
  <w:font w:name="PMingLiU">
    <w:altName w:val="Microsoft JhengHei"/>
    <w:panose1 w:val="02010601000101010101"/>
    <w:charset w:val="88"/>
    <w:family w:val="roman"/>
    <w:pitch w:val="default"/>
    <w:sig w:usb0="00000000" w:usb1="00000000" w:usb2="00000016" w:usb3="00000000" w:csb0="00100001" w:csb1="00000000"/>
  </w:font>
  <w:font w:name="等线">
    <w:panose1 w:val="02010600030101010101"/>
    <w:charset w:val="86"/>
    <w:family w:val="auto"/>
    <w:pitch w:val="default"/>
    <w:sig w:usb0="A00002BF" w:usb1="38CF7CFA" w:usb2="00000016" w:usb3="00000000" w:csb0="0004000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Microsoft JhengHei">
    <w:panose1 w:val="020B0604030504040204"/>
    <w:charset w:val="88"/>
    <w:family w:val="auto"/>
    <w:pitch w:val="default"/>
    <w:sig w:usb0="000002A7" w:usb1="28CF4400" w:usb2="00000016" w:usb3="00000000" w:csb0="00100009"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F516B74"/>
    <w:multiLevelType w:val="singleLevel"/>
    <w:tmpl w:val="DF516B74"/>
    <w:lvl w:ilvl="0" w:tentative="0">
      <w:start w:val="1"/>
      <w:numFmt w:val="chineseCounting"/>
      <w:suff w:val="nothing"/>
      <w:lvlText w:val="%1、"/>
      <w:lvlJc w:val="left"/>
      <w:rPr>
        <w:rFonts w:hint="eastAsia"/>
      </w:rPr>
    </w:lvl>
  </w:abstractNum>
  <w:abstractNum w:abstractNumId="1">
    <w:nsid w:val="1C6F7E82"/>
    <w:multiLevelType w:val="multilevel"/>
    <w:tmpl w:val="1C6F7E82"/>
    <w:lvl w:ilvl="0" w:tentative="0">
      <w:start w:val="1"/>
      <w:numFmt w:val="decimal"/>
      <w:lvlText w:val="%1."/>
      <w:lvlJc w:val="left"/>
      <w:pPr>
        <w:tabs>
          <w:tab w:val="left" w:pos="510"/>
        </w:tabs>
        <w:ind w:left="510" w:hanging="51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5FFD5DA6"/>
    <w:multiLevelType w:val="singleLevel"/>
    <w:tmpl w:val="5FFD5DA6"/>
    <w:lvl w:ilvl="0" w:tentative="0">
      <w:start w:val="1"/>
      <w:numFmt w:val="chineseCounting"/>
      <w:suff w:val="nothing"/>
      <w:lvlText w:val="%1、"/>
      <w:lvlJc w:val="left"/>
      <w:rPr>
        <w:rFonts w:hint="eastAsia"/>
      </w:rPr>
    </w:lvl>
  </w:abstractNum>
  <w:abstractNum w:abstractNumId="3">
    <w:nsid w:val="6B875C9C"/>
    <w:multiLevelType w:val="multilevel"/>
    <w:tmpl w:val="6B875C9C"/>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D375F0"/>
    <w:rsid w:val="0A631FDC"/>
    <w:rsid w:val="0A967E76"/>
    <w:rsid w:val="11C20AAC"/>
    <w:rsid w:val="163D3252"/>
    <w:rsid w:val="17A026B2"/>
    <w:rsid w:val="25981D94"/>
    <w:rsid w:val="2C555377"/>
    <w:rsid w:val="2EA53EA1"/>
    <w:rsid w:val="45AD65A8"/>
    <w:rsid w:val="47303B78"/>
    <w:rsid w:val="47564116"/>
    <w:rsid w:val="4E275DB8"/>
    <w:rsid w:val="5C850B25"/>
    <w:rsid w:val="615549F0"/>
    <w:rsid w:val="64192675"/>
    <w:rsid w:val="657547FA"/>
    <w:rsid w:val="68130AB2"/>
    <w:rsid w:val="68683E55"/>
    <w:rsid w:val="70CB5BCC"/>
    <w:rsid w:val="71417F90"/>
    <w:rsid w:val="71544930"/>
    <w:rsid w:val="7D1A0F8C"/>
    <w:rsid w:val="7FAC29E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annotation text"/>
    <w:basedOn w:val="1"/>
    <w:uiPriority w:val="0"/>
    <w:pPr>
      <w:jc w:val="left"/>
    </w:pPr>
    <w:rPr>
      <w:rFonts w:eastAsia="宋体"/>
      <w:kern w:val="2"/>
      <w:sz w:val="21"/>
      <w:szCs w:val="24"/>
      <w:lang w:val="en-US" w:eastAsia="zh-CN" w:bidi="ar-SA"/>
    </w:rPr>
  </w:style>
  <w:style w:type="paragraph" w:styleId="3">
    <w:name w:val="Plain Text"/>
    <w:basedOn w:val="1"/>
    <w:qFormat/>
    <w:uiPriority w:val="0"/>
    <w:rPr>
      <w:rFonts w:ascii="宋体" w:hAnsi="Courier New" w:eastAsia="华文宋体"/>
      <w:kern w:val="2"/>
      <w:sz w:val="28"/>
      <w:lang w:val="en-US" w:eastAsia="zh-CN" w:bidi="ar-SA"/>
    </w:rPr>
  </w:style>
  <w:style w:type="paragraph" w:customStyle="1" w:styleId="6">
    <w:name w:val="正文（绿盟科技）"/>
    <w:qFormat/>
    <w:uiPriority w:val="0"/>
    <w:pPr>
      <w:spacing w:line="300" w:lineRule="auto"/>
    </w:pPr>
    <w:rPr>
      <w:rFonts w:ascii="Arial" w:hAnsi="Arial" w:eastAsiaTheme="minorEastAsia" w:cstheme="minorBidi"/>
      <w:sz w:val="21"/>
      <w:szCs w:val="21"/>
      <w:lang w:val="en-US" w:eastAsia="zh-CN" w:bidi="ar-SA"/>
    </w:rPr>
  </w:style>
  <w:style w:type="paragraph" w:customStyle="1" w:styleId="7">
    <w:name w:val="彩色列表 - 着色 11"/>
    <w:basedOn w:val="1"/>
    <w:qFormat/>
    <w:uiPriority w:val="34"/>
    <w:pPr>
      <w:ind w:firstLine="420" w:firstLineChars="200"/>
      <w:jc w:val="both"/>
    </w:pPr>
    <w:rPr>
      <w:rFonts w:ascii="Calibri" w:hAnsi="Calibri" w:cs="Times New Roman"/>
      <w:color w:val="auto"/>
      <w:kern w:val="2"/>
      <w:sz w:val="21"/>
      <w:szCs w:val="22"/>
      <w:lang w:val="en-US" w:eastAsia="zh-CN"/>
    </w:rPr>
  </w:style>
  <w:style w:type="character" w:customStyle="1" w:styleId="8">
    <w:name w:val="font11"/>
    <w:basedOn w:val="5"/>
    <w:qFormat/>
    <w:uiPriority w:val="0"/>
    <w:rPr>
      <w:rFonts w:hint="eastAsia" w:ascii="宋体" w:hAnsi="宋体" w:eastAsia="宋体" w:cs="宋体"/>
      <w:color w:val="000000"/>
      <w:sz w:val="20"/>
      <w:szCs w:val="20"/>
      <w:u w:val="none"/>
    </w:rPr>
  </w:style>
  <w:style w:type="paragraph" w:customStyle="1" w:styleId="9">
    <w:name w:val="样式"/>
    <w:qFormat/>
    <w:uiPriority w:val="0"/>
    <w:pPr>
      <w:widowControl w:val="0"/>
      <w:autoSpaceDE w:val="0"/>
      <w:autoSpaceDN w:val="0"/>
      <w:adjustRightInd w:val="0"/>
    </w:pPr>
    <w:rPr>
      <w:rFonts w:ascii="宋体" w:hAnsi="宋体" w:cs="宋体" w:eastAsiaTheme="minorEastAsia"/>
      <w:sz w:val="24"/>
      <w:szCs w:val="24"/>
      <w:lang w:val="en-US" w:eastAsia="zh-CN" w:bidi="ar-SA"/>
    </w:rPr>
  </w:style>
  <w:style w:type="paragraph" w:customStyle="1" w:styleId="10">
    <w:name w:val="段落文字"/>
    <w:basedOn w:val="1"/>
    <w:qFormat/>
    <w:uiPriority w:val="0"/>
    <w:pPr>
      <w:spacing w:line="360" w:lineRule="auto"/>
      <w:ind w:firstLine="420" w:firstLineChars="200"/>
      <w:jc w:val="both"/>
    </w:pPr>
    <w:rPr>
      <w:rFonts w:ascii="Times New Roman" w:hAnsi="Times New Roman" w:cs="Times New Roman"/>
      <w:color w:val="auto"/>
      <w:kern w:val="2"/>
      <w:sz w:val="21"/>
      <w:szCs w:val="20"/>
    </w:rPr>
  </w:style>
  <w:style w:type="paragraph" w:styleId="11">
    <w:name w:val="List Paragraph"/>
    <w:basedOn w:val="1"/>
    <w:qFormat/>
    <w:uiPriority w:val="0"/>
    <w:pPr>
      <w:ind w:firstLine="420" w:firstLineChars="200"/>
    </w:pPr>
    <w:rPr>
      <w:rFonts w:ascii="Calibri" w:hAnsi="Calibri"/>
      <w:kern w:val="0"/>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NTKO</cp:lastModifiedBy>
  <dcterms:modified xsi:type="dcterms:W3CDTF">2020-04-23T07:02:35Z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