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cs="宋体" w:eastAsiaTheme="minorEastAsia"/>
          <w:b/>
          <w:spacing w:val="20"/>
          <w:sz w:val="48"/>
          <w:szCs w:val="48"/>
          <w:lang w:eastAsia="zh-CN"/>
        </w:rPr>
      </w:pPr>
      <w:r>
        <w:rPr>
          <w:rFonts w:hint="eastAsia" w:ascii="宋体" w:hAnsi="宋体" w:cs="宋体" w:eastAsiaTheme="minorEastAsia"/>
          <w:b/>
          <w:spacing w:val="20"/>
          <w:sz w:val="48"/>
          <w:szCs w:val="48"/>
        </w:rPr>
        <w:t>枞阳县</w:t>
      </w:r>
      <w:r>
        <w:rPr>
          <w:rFonts w:hint="eastAsia" w:ascii="宋体" w:hAnsi="宋体" w:cs="宋体" w:eastAsiaTheme="minorEastAsia"/>
          <w:b/>
          <w:spacing w:val="20"/>
          <w:sz w:val="48"/>
          <w:szCs w:val="48"/>
          <w:lang w:eastAsia="zh-CN"/>
        </w:rPr>
        <w:t>汤沟中学运动场改扩建工程</w:t>
      </w:r>
    </w:p>
    <w:p>
      <w:pPr>
        <w:spacing w:line="480" w:lineRule="auto"/>
        <w:jc w:val="center"/>
        <w:rPr>
          <w:rFonts w:hint="eastAsia" w:ascii="宋体" w:hAnsi="宋体" w:cs="宋体" w:eastAsiaTheme="minorEastAsia"/>
          <w:b/>
          <w:spacing w:val="20"/>
          <w:sz w:val="52"/>
          <w:szCs w:val="52"/>
          <w:lang w:eastAsia="zh-CN"/>
        </w:rPr>
      </w:pPr>
      <w:r>
        <w:rPr>
          <w:rFonts w:hint="eastAsia" w:ascii="宋体" w:hAnsi="宋体" w:cs="宋体" w:eastAsiaTheme="minorEastAsia"/>
          <w:b/>
          <w:spacing w:val="20"/>
          <w:sz w:val="52"/>
          <w:szCs w:val="52"/>
          <w:lang w:eastAsia="zh-CN"/>
        </w:rPr>
        <w:t>评分标准</w:t>
      </w:r>
    </w:p>
    <w:tbl>
      <w:tblPr>
        <w:tblStyle w:val="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7287"/>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292" w:type="dxa"/>
            <w:noWrap w:val="0"/>
            <w:vAlign w:val="center"/>
          </w:tcPr>
          <w:p>
            <w:pPr>
              <w:spacing w:line="480" w:lineRule="auto"/>
              <w:jc w:val="center"/>
              <w:rPr>
                <w:rFonts w:hint="eastAsia" w:ascii="宋体" w:hAnsi="宋体" w:cs="宋体"/>
                <w:b/>
                <w:sz w:val="28"/>
                <w:szCs w:val="28"/>
              </w:rPr>
            </w:pPr>
            <w:r>
              <w:rPr>
                <w:rFonts w:hint="eastAsia" w:ascii="宋体" w:hAnsi="宋体" w:cs="宋体"/>
                <w:b/>
                <w:sz w:val="28"/>
                <w:szCs w:val="28"/>
              </w:rPr>
              <w:t>评分</w:t>
            </w:r>
          </w:p>
          <w:p>
            <w:pPr>
              <w:spacing w:line="480" w:lineRule="auto"/>
              <w:jc w:val="center"/>
              <w:rPr>
                <w:rFonts w:ascii="宋体" w:hAnsi="宋体" w:cs="宋体"/>
                <w:b/>
                <w:sz w:val="28"/>
                <w:szCs w:val="28"/>
              </w:rPr>
            </w:pPr>
            <w:r>
              <w:rPr>
                <w:rFonts w:hint="eastAsia" w:ascii="宋体" w:hAnsi="宋体" w:cs="宋体"/>
                <w:b/>
                <w:sz w:val="28"/>
                <w:szCs w:val="28"/>
              </w:rPr>
              <w:t>因素</w:t>
            </w:r>
          </w:p>
        </w:tc>
        <w:tc>
          <w:tcPr>
            <w:tcW w:w="7287" w:type="dxa"/>
            <w:noWrap w:val="0"/>
            <w:vAlign w:val="center"/>
          </w:tcPr>
          <w:p>
            <w:pPr>
              <w:spacing w:line="480" w:lineRule="auto"/>
              <w:jc w:val="center"/>
              <w:rPr>
                <w:rFonts w:ascii="宋体" w:hAnsi="宋体" w:cs="宋体"/>
                <w:b/>
                <w:sz w:val="28"/>
                <w:szCs w:val="28"/>
              </w:rPr>
            </w:pPr>
            <w:r>
              <w:rPr>
                <w:rFonts w:hint="eastAsia" w:ascii="宋体" w:hAnsi="宋体" w:cs="宋体"/>
                <w:b/>
                <w:sz w:val="28"/>
                <w:szCs w:val="28"/>
              </w:rPr>
              <w:t>评  分  标  准</w:t>
            </w:r>
            <w:bookmarkStart w:id="0" w:name="_GoBack"/>
            <w:bookmarkEnd w:id="0"/>
          </w:p>
        </w:tc>
        <w:tc>
          <w:tcPr>
            <w:tcW w:w="772" w:type="dxa"/>
            <w:noWrap w:val="0"/>
            <w:vAlign w:val="center"/>
          </w:tcPr>
          <w:p>
            <w:pPr>
              <w:spacing w:line="480" w:lineRule="auto"/>
              <w:jc w:val="center"/>
              <w:rPr>
                <w:rFonts w:ascii="宋体" w:hAnsi="宋体" w:cs="宋体"/>
                <w:b/>
                <w:sz w:val="28"/>
                <w:szCs w:val="28"/>
              </w:rPr>
            </w:pPr>
            <w:r>
              <w:rPr>
                <w:rFonts w:ascii="宋体" w:hAnsi="宋体" w:cs="宋体"/>
                <w:b/>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1292" w:type="dxa"/>
            <w:noWrap w:val="0"/>
            <w:vAlign w:val="center"/>
          </w:tcPr>
          <w:p>
            <w:pPr>
              <w:spacing w:line="480" w:lineRule="exact"/>
              <w:jc w:val="center"/>
              <w:rPr>
                <w:rFonts w:ascii="宋体" w:hAnsi="Calibri" w:cs="宋体"/>
                <w:color w:val="000000"/>
                <w:kern w:val="0"/>
                <w:sz w:val="28"/>
                <w:szCs w:val="28"/>
              </w:rPr>
            </w:pPr>
            <w:r>
              <w:rPr>
                <w:rFonts w:hint="eastAsia" w:ascii="宋体" w:hAnsi="Calibri" w:cs="宋体"/>
                <w:color w:val="000000"/>
                <w:kern w:val="0"/>
                <w:sz w:val="28"/>
                <w:szCs w:val="28"/>
              </w:rPr>
              <w:t>投标报价（30分）</w:t>
            </w:r>
          </w:p>
        </w:tc>
        <w:tc>
          <w:tcPr>
            <w:tcW w:w="7287" w:type="dxa"/>
            <w:noWrap w:val="0"/>
            <w:vAlign w:val="center"/>
          </w:tcPr>
          <w:p>
            <w:pPr>
              <w:pStyle w:val="5"/>
              <w:snapToGrid w:val="0"/>
              <w:spacing w:line="480" w:lineRule="exact"/>
              <w:rPr>
                <w:sz w:val="28"/>
                <w:szCs w:val="28"/>
              </w:rPr>
            </w:pPr>
            <w:r>
              <w:rPr>
                <w:rFonts w:hint="eastAsia"/>
                <w:sz w:val="28"/>
                <w:szCs w:val="28"/>
              </w:rPr>
              <w:t>采用低价优先法计算，即满足招标文件要求且投标报价最低的供应商的投标价格为评标基准价（以二轮报价计算,因落实政府采购政策进行价格调整的，以调整后的价格计算评标基准价和投标报价），其价格分为满分。其他供应商的价格分统一按照下列公式计算：投标报价得分=（评标基准价/投标报价）×30%×100，如此类推，算出所有供应商的价格得分。（得分保留二位小数，第三位四舍五入）（磋商小组认为供应商的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报价处理。）</w:t>
            </w:r>
          </w:p>
        </w:tc>
        <w:tc>
          <w:tcPr>
            <w:tcW w:w="772" w:type="dxa"/>
            <w:noWrap w:val="0"/>
            <w:vAlign w:val="center"/>
          </w:tcPr>
          <w:p>
            <w:pPr>
              <w:spacing w:line="300" w:lineRule="exact"/>
              <w:jc w:val="center"/>
              <w:rPr>
                <w:rFonts w:ascii="宋体" w:hAnsi="宋体" w:cs="宋体"/>
                <w:sz w:val="24"/>
                <w:lang w:val="zh-CN"/>
              </w:rPr>
            </w:pPr>
            <w:r>
              <w:rPr>
                <w:rFonts w:hint="eastAsia" w:ascii="宋体" w:hAnsi="Calibri" w:cs="宋体"/>
                <w:color w:val="000000"/>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292" w:type="dxa"/>
            <w:vMerge w:val="restart"/>
            <w:noWrap w:val="0"/>
            <w:vAlign w:val="center"/>
          </w:tcPr>
          <w:p>
            <w:pPr>
              <w:spacing w:line="480" w:lineRule="exact"/>
              <w:jc w:val="center"/>
              <w:rPr>
                <w:rFonts w:ascii="宋体" w:hAnsi="Calibri" w:cs="宋体"/>
                <w:color w:val="000000"/>
                <w:kern w:val="0"/>
                <w:sz w:val="28"/>
                <w:szCs w:val="28"/>
              </w:rPr>
            </w:pPr>
            <w:r>
              <w:rPr>
                <w:rFonts w:hint="eastAsia" w:ascii="宋体" w:hAnsi="Calibri" w:cs="宋体"/>
                <w:color w:val="000000"/>
                <w:kern w:val="0"/>
                <w:sz w:val="28"/>
                <w:szCs w:val="28"/>
              </w:rPr>
              <w:t>项目实施组织方案</w:t>
            </w:r>
          </w:p>
          <w:p>
            <w:pPr>
              <w:spacing w:line="480" w:lineRule="exact"/>
              <w:jc w:val="center"/>
              <w:rPr>
                <w:rFonts w:ascii="宋体" w:hAnsi="Calibri" w:cs="宋体"/>
                <w:color w:val="000000"/>
                <w:kern w:val="0"/>
                <w:sz w:val="28"/>
                <w:szCs w:val="28"/>
              </w:rPr>
            </w:pPr>
            <w:r>
              <w:rPr>
                <w:rFonts w:hint="eastAsia" w:ascii="宋体" w:hAnsi="Calibri" w:cs="宋体"/>
                <w:color w:val="000000"/>
                <w:kern w:val="0"/>
                <w:sz w:val="28"/>
                <w:szCs w:val="28"/>
              </w:rPr>
              <w:t>（15分）</w:t>
            </w: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1、工程施工组织总体规划及方案针对性（0-3分）</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92" w:type="dxa"/>
            <w:vMerge w:val="continue"/>
            <w:noWrap w:val="0"/>
            <w:vAlign w:val="center"/>
          </w:tcPr>
          <w:p>
            <w:pPr>
              <w:spacing w:line="480" w:lineRule="exact"/>
              <w:jc w:val="center"/>
              <w:rPr>
                <w:rFonts w:ascii="宋体" w:hAnsi="Calibri"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2、项目工程施工方案及技术措施（0-3分）</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292" w:type="dxa"/>
            <w:vMerge w:val="continue"/>
            <w:noWrap w:val="0"/>
            <w:vAlign w:val="center"/>
          </w:tcPr>
          <w:p>
            <w:pPr>
              <w:spacing w:line="480" w:lineRule="exact"/>
              <w:jc w:val="center"/>
              <w:rPr>
                <w:rFonts w:ascii="宋体" w:hAnsi="Calibri"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3、项目施工进度计划和各阶段进度的保证措施 （0-3分）</w:t>
            </w:r>
          </w:p>
        </w:tc>
        <w:tc>
          <w:tcPr>
            <w:tcW w:w="772" w:type="dxa"/>
            <w:noWrap w:val="0"/>
            <w:vAlign w:val="center"/>
          </w:tcPr>
          <w:p>
            <w:pPr>
              <w:spacing w:line="300" w:lineRule="exact"/>
              <w:ind w:left="367" w:hanging="366" w:hangingChars="131"/>
              <w:jc w:val="center"/>
              <w:rPr>
                <w:rFonts w:ascii="宋体" w:hAnsi="Calibri" w:cs="宋体"/>
                <w:color w:val="000000"/>
                <w:kern w:val="0"/>
                <w:sz w:val="28"/>
                <w:szCs w:val="28"/>
              </w:rPr>
            </w:pPr>
            <w:r>
              <w:rPr>
                <w:rFonts w:hint="eastAsia" w:ascii="宋体" w:hAnsi="Calibri" w:cs="宋体"/>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92" w:type="dxa"/>
            <w:vMerge w:val="continue"/>
            <w:noWrap w:val="0"/>
            <w:vAlign w:val="center"/>
          </w:tcPr>
          <w:p>
            <w:pPr>
              <w:spacing w:line="480" w:lineRule="exact"/>
              <w:jc w:val="center"/>
              <w:rPr>
                <w:rFonts w:ascii="宋体" w:hAnsi="Calibri"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4、劳动力、机械设备和材料投入计划及其保证措施。（0-3分）</w:t>
            </w:r>
          </w:p>
        </w:tc>
        <w:tc>
          <w:tcPr>
            <w:tcW w:w="772" w:type="dxa"/>
            <w:noWrap w:val="0"/>
            <w:vAlign w:val="center"/>
          </w:tcPr>
          <w:p>
            <w:pPr>
              <w:spacing w:line="300" w:lineRule="exact"/>
              <w:ind w:left="367" w:hanging="366" w:hangingChars="131"/>
              <w:jc w:val="center"/>
              <w:rPr>
                <w:rFonts w:ascii="宋体" w:hAnsi="Calibri" w:cs="宋体"/>
                <w:color w:val="000000"/>
                <w:kern w:val="0"/>
                <w:sz w:val="28"/>
                <w:szCs w:val="28"/>
              </w:rPr>
            </w:pPr>
            <w:r>
              <w:rPr>
                <w:rFonts w:hint="eastAsia" w:ascii="宋体" w:hAnsi="Calibri" w:cs="宋体"/>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92" w:type="dxa"/>
            <w:vMerge w:val="continue"/>
            <w:noWrap w:val="0"/>
            <w:vAlign w:val="center"/>
          </w:tcPr>
          <w:p>
            <w:pPr>
              <w:spacing w:line="480" w:lineRule="exact"/>
              <w:jc w:val="center"/>
              <w:rPr>
                <w:rFonts w:ascii="宋体" w:hAnsi="Calibri"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5、安全文明铺设及环境保护措施 （0-3分）</w:t>
            </w:r>
          </w:p>
        </w:tc>
        <w:tc>
          <w:tcPr>
            <w:tcW w:w="772" w:type="dxa"/>
            <w:noWrap w:val="0"/>
            <w:vAlign w:val="center"/>
          </w:tcPr>
          <w:p>
            <w:pPr>
              <w:spacing w:line="300" w:lineRule="exact"/>
              <w:ind w:left="367" w:hanging="366" w:hangingChars="131"/>
              <w:jc w:val="center"/>
              <w:rPr>
                <w:rFonts w:ascii="宋体" w:hAnsi="Calibri" w:cs="宋体"/>
                <w:color w:val="000000"/>
                <w:kern w:val="0"/>
                <w:sz w:val="28"/>
                <w:szCs w:val="28"/>
              </w:rPr>
            </w:pPr>
            <w:r>
              <w:rPr>
                <w:rFonts w:hint="eastAsia" w:ascii="宋体" w:hAnsi="Calibri" w:cs="宋体"/>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292" w:type="dxa"/>
            <w:vMerge w:val="restart"/>
            <w:noWrap w:val="0"/>
            <w:vAlign w:val="center"/>
          </w:tcPr>
          <w:p>
            <w:pPr>
              <w:spacing w:line="480" w:lineRule="exact"/>
              <w:jc w:val="center"/>
              <w:rPr>
                <w:rFonts w:ascii="宋体" w:hAnsi="Calibri" w:cs="宋体"/>
                <w:color w:val="000000"/>
                <w:kern w:val="0"/>
                <w:sz w:val="28"/>
                <w:szCs w:val="28"/>
              </w:rPr>
            </w:pPr>
            <w:r>
              <w:rPr>
                <w:rFonts w:hint="eastAsia" w:ascii="宋体" w:hAnsi="Calibri" w:cs="宋体"/>
                <w:color w:val="000000"/>
                <w:kern w:val="0"/>
                <w:sz w:val="28"/>
                <w:szCs w:val="28"/>
              </w:rPr>
              <w:t>塑胶跑道质量保证  （21分）</w:t>
            </w:r>
          </w:p>
        </w:tc>
        <w:tc>
          <w:tcPr>
            <w:tcW w:w="7287" w:type="dxa"/>
            <w:noWrap w:val="0"/>
            <w:vAlign w:val="center"/>
          </w:tcPr>
          <w:p>
            <w:pPr>
              <w:pStyle w:val="2"/>
              <w:spacing w:line="480" w:lineRule="exact"/>
              <w:jc w:val="left"/>
              <w:rPr>
                <w:rFonts w:ascii="宋体" w:cs="宋体"/>
                <w:color w:val="000000"/>
                <w:kern w:val="0"/>
                <w:sz w:val="28"/>
                <w:szCs w:val="28"/>
              </w:rPr>
            </w:pPr>
            <w:r>
              <w:rPr>
                <w:rFonts w:ascii="宋体" w:cs="宋体"/>
                <w:color w:val="000000"/>
                <w:kern w:val="0"/>
                <w:sz w:val="28"/>
                <w:szCs w:val="28"/>
              </w:rPr>
              <w:t>1、投标人提供的跑道材料（聚氨酯）取得CEC 047-2021《CEC生态产品评价技术规范 合成材料运动场地面层》满足技术规范有害物质限量五星级评价要求的证书，得3分。标书内须提供证书扫描件。</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1292" w:type="dxa"/>
            <w:vMerge w:val="continue"/>
            <w:noWrap w:val="0"/>
            <w:vAlign w:val="center"/>
          </w:tcPr>
          <w:p>
            <w:pPr>
              <w:spacing w:line="480" w:lineRule="exact"/>
              <w:jc w:val="center"/>
              <w:rPr>
                <w:rFonts w:ascii="宋体" w:hAnsi="Calibri"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2、投标人提供的塑胶跑道产品取得CEC中国环境友好产品认证证书及CTC中国建材颁发的环保建材商标证书</w:t>
            </w:r>
            <w:r>
              <w:rPr>
                <w:rFonts w:ascii="宋体" w:cs="宋体"/>
                <w:color w:val="000000"/>
                <w:kern w:val="0"/>
                <w:sz w:val="28"/>
                <w:szCs w:val="28"/>
              </w:rPr>
              <w:t>，得3分。标书内须提供证书扫描件。</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292" w:type="dxa"/>
            <w:vMerge w:val="continue"/>
            <w:noWrap w:val="0"/>
            <w:vAlign w:val="center"/>
          </w:tcPr>
          <w:p>
            <w:pPr>
              <w:spacing w:line="480" w:lineRule="exact"/>
              <w:jc w:val="center"/>
              <w:rPr>
                <w:rFonts w:ascii="宋体" w:hAnsi="Calibri"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3、投标人提供的非渗水型塑胶跑道耐人工气候老化性能，加速老化后，拉伸强度≥0.5MPa，拉断伸长率≥40%，符合GB 36246-2018耐老化性能检测要求，500h≤加速老化时间＜5000h得1分；加速老化时间≥5000h得3分，提供带有“CMA”的检测报告。</w:t>
            </w:r>
            <w:r>
              <w:rPr>
                <w:rFonts w:ascii="宋体" w:cs="宋体"/>
                <w:color w:val="000000"/>
                <w:kern w:val="0"/>
                <w:sz w:val="28"/>
                <w:szCs w:val="28"/>
              </w:rPr>
              <w:t>标书内须提供</w:t>
            </w:r>
            <w:r>
              <w:rPr>
                <w:rFonts w:hint="eastAsia" w:ascii="宋体" w:cs="宋体"/>
                <w:color w:val="000000"/>
                <w:kern w:val="0"/>
                <w:sz w:val="28"/>
                <w:szCs w:val="28"/>
              </w:rPr>
              <w:t>检测报告</w:t>
            </w:r>
            <w:r>
              <w:rPr>
                <w:rFonts w:ascii="宋体" w:cs="宋体"/>
                <w:color w:val="000000"/>
                <w:kern w:val="0"/>
                <w:sz w:val="28"/>
                <w:szCs w:val="28"/>
              </w:rPr>
              <w:t>扫描件。</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292" w:type="dxa"/>
            <w:vMerge w:val="continue"/>
            <w:noWrap w:val="0"/>
            <w:vAlign w:val="center"/>
          </w:tcPr>
          <w:p>
            <w:pPr>
              <w:spacing w:line="480" w:lineRule="exact"/>
              <w:jc w:val="center"/>
              <w:rPr>
                <w:rFonts w:ascii="宋体" w:hAnsi="Calibri"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4、提高跑道面层的耐色变性能，投标人提供的跑道面层材料具有体现“CMA”标志，符合GB/T23983-2009连续光照500小时后耐黄变色的检测报告，差值1.5＜△E≤2.0得1分，差值△E≤1.5得3分。</w:t>
            </w:r>
            <w:r>
              <w:rPr>
                <w:rFonts w:ascii="宋体" w:cs="宋体"/>
                <w:color w:val="000000"/>
                <w:kern w:val="0"/>
                <w:sz w:val="28"/>
                <w:szCs w:val="28"/>
              </w:rPr>
              <w:t>标书内须提供</w:t>
            </w:r>
            <w:r>
              <w:rPr>
                <w:rFonts w:hint="eastAsia" w:ascii="宋体" w:cs="宋体"/>
                <w:color w:val="000000"/>
                <w:kern w:val="0"/>
                <w:sz w:val="28"/>
                <w:szCs w:val="28"/>
              </w:rPr>
              <w:t>检测报告</w:t>
            </w:r>
            <w:r>
              <w:rPr>
                <w:rFonts w:ascii="宋体" w:cs="宋体"/>
                <w:color w:val="000000"/>
                <w:kern w:val="0"/>
                <w:sz w:val="28"/>
                <w:szCs w:val="28"/>
              </w:rPr>
              <w:t>扫描件。</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1292" w:type="dxa"/>
            <w:vMerge w:val="continue"/>
            <w:noWrap w:val="0"/>
            <w:vAlign w:val="center"/>
          </w:tcPr>
          <w:p>
            <w:pPr>
              <w:spacing w:line="480" w:lineRule="exact"/>
              <w:jc w:val="center"/>
              <w:rPr>
                <w:rFonts w:ascii="宋体" w:hAnsi="Calibri"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5、投标人提供的塑胶跑道材料符合GB/T11206-2009、GB/T7762-2014耐臭氧龟裂性能（300小时）无龟裂，提供带“CMA”的检测报告</w:t>
            </w:r>
            <w:r>
              <w:rPr>
                <w:rFonts w:ascii="宋体" w:cs="宋体"/>
                <w:color w:val="000000"/>
                <w:kern w:val="0"/>
                <w:sz w:val="28"/>
                <w:szCs w:val="28"/>
              </w:rPr>
              <w:t>，得3分。标书内须提供</w:t>
            </w:r>
            <w:r>
              <w:rPr>
                <w:rFonts w:hint="eastAsia" w:ascii="宋体" w:cs="宋体"/>
                <w:color w:val="000000"/>
                <w:kern w:val="0"/>
                <w:sz w:val="28"/>
                <w:szCs w:val="28"/>
              </w:rPr>
              <w:t>检测报告</w:t>
            </w:r>
            <w:r>
              <w:rPr>
                <w:rFonts w:ascii="宋体" w:cs="宋体"/>
                <w:color w:val="000000"/>
                <w:kern w:val="0"/>
                <w:sz w:val="28"/>
                <w:szCs w:val="28"/>
              </w:rPr>
              <w:t>扫描件。</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292" w:type="dxa"/>
            <w:vMerge w:val="continue"/>
            <w:noWrap w:val="0"/>
            <w:vAlign w:val="center"/>
          </w:tcPr>
          <w:p>
            <w:pPr>
              <w:spacing w:line="480" w:lineRule="exact"/>
              <w:jc w:val="center"/>
              <w:rPr>
                <w:rFonts w:ascii="宋体" w:hAnsi="Calibri"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6、塑胶跑道EPDM颗粒符合拉伸强度≥2.0，断裂伸长率≥250，压缩永久变形率≤35，含胶量（聚合物含量）≥40%，材质分析：主体材质为三元乙丙橡胶，提供带“CMA”的检测报告</w:t>
            </w:r>
            <w:r>
              <w:rPr>
                <w:rFonts w:ascii="宋体" w:cs="宋体"/>
                <w:color w:val="000000"/>
                <w:kern w:val="0"/>
                <w:sz w:val="28"/>
                <w:szCs w:val="28"/>
              </w:rPr>
              <w:t>，得3分。标书内须提供</w:t>
            </w:r>
            <w:r>
              <w:rPr>
                <w:rFonts w:hint="eastAsia" w:ascii="宋体" w:cs="宋体"/>
                <w:color w:val="000000"/>
                <w:kern w:val="0"/>
                <w:sz w:val="28"/>
                <w:szCs w:val="28"/>
              </w:rPr>
              <w:t>检测报告</w:t>
            </w:r>
            <w:r>
              <w:rPr>
                <w:rFonts w:ascii="宋体" w:cs="宋体"/>
                <w:color w:val="000000"/>
                <w:kern w:val="0"/>
                <w:sz w:val="28"/>
                <w:szCs w:val="28"/>
              </w:rPr>
              <w:t>扫描件。</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1292" w:type="dxa"/>
            <w:vMerge w:val="continue"/>
            <w:noWrap w:val="0"/>
            <w:vAlign w:val="center"/>
          </w:tcPr>
          <w:p>
            <w:pPr>
              <w:spacing w:line="480" w:lineRule="exact"/>
              <w:jc w:val="center"/>
              <w:rPr>
                <w:rFonts w:ascii="宋体" w:hAnsi="Calibri"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7、投标人提供的塑胶跑道面层材料符合GB/T1771-2007耐中性盐雾性能3500小时无气泡无开裂，提供带“CMA”的检测报告</w:t>
            </w:r>
            <w:r>
              <w:rPr>
                <w:rFonts w:ascii="宋体" w:cs="宋体"/>
                <w:color w:val="000000"/>
                <w:kern w:val="0"/>
                <w:sz w:val="28"/>
                <w:szCs w:val="28"/>
              </w:rPr>
              <w:t>，得3分。标书内须提供</w:t>
            </w:r>
            <w:r>
              <w:rPr>
                <w:rFonts w:hint="eastAsia" w:ascii="宋体" w:cs="宋体"/>
                <w:color w:val="000000"/>
                <w:kern w:val="0"/>
                <w:sz w:val="28"/>
                <w:szCs w:val="28"/>
              </w:rPr>
              <w:t>检测报告</w:t>
            </w:r>
            <w:r>
              <w:rPr>
                <w:rFonts w:ascii="宋体" w:cs="宋体"/>
                <w:color w:val="000000"/>
                <w:kern w:val="0"/>
                <w:sz w:val="28"/>
                <w:szCs w:val="28"/>
              </w:rPr>
              <w:t>扫描件。</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jc w:val="center"/>
        </w:trPr>
        <w:tc>
          <w:tcPr>
            <w:tcW w:w="1292" w:type="dxa"/>
            <w:vMerge w:val="restart"/>
            <w:noWrap w:val="0"/>
            <w:vAlign w:val="center"/>
          </w:tcPr>
          <w:p>
            <w:pPr>
              <w:spacing w:line="480" w:lineRule="exact"/>
              <w:jc w:val="center"/>
              <w:rPr>
                <w:rFonts w:ascii="宋体" w:hAnsi="Calibri" w:cs="宋体"/>
                <w:color w:val="000000"/>
                <w:kern w:val="0"/>
                <w:sz w:val="28"/>
                <w:szCs w:val="28"/>
              </w:rPr>
            </w:pPr>
            <w:r>
              <w:rPr>
                <w:rFonts w:ascii="宋体" w:hAnsi="Calibri" w:cs="宋体"/>
                <w:color w:val="000000"/>
                <w:kern w:val="0"/>
                <w:sz w:val="28"/>
                <w:szCs w:val="28"/>
              </w:rPr>
              <w:t>人造草坪质量保证</w:t>
            </w:r>
          </w:p>
          <w:p>
            <w:pPr>
              <w:spacing w:line="480" w:lineRule="exact"/>
              <w:jc w:val="center"/>
              <w:rPr>
                <w:rFonts w:ascii="宋体" w:hAnsi="Calibri" w:cs="宋体"/>
                <w:color w:val="000000"/>
                <w:kern w:val="0"/>
                <w:sz w:val="28"/>
                <w:szCs w:val="28"/>
              </w:rPr>
            </w:pPr>
            <w:r>
              <w:rPr>
                <w:rFonts w:hint="eastAsia" w:ascii="宋体" w:hAnsi="Calibri" w:cs="宋体"/>
                <w:color w:val="000000"/>
                <w:kern w:val="0"/>
                <w:sz w:val="28"/>
                <w:szCs w:val="28"/>
              </w:rPr>
              <w:t>（20分）</w:t>
            </w: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1、为了保证人造草坪具有优异的抗老化和色牢度性能，提供所投人造草坪产品由第三方检测机构依据GB36246-2018，GB/T250-2008 标准出具的人造草坪加速老化后灰卡变色评级不低于 4 级的检测报告，加速老化时间≥1000h，得1分，加速老化时间≥2000h 得 2 分，加速老化时间≥3000h 得4分。</w:t>
            </w:r>
            <w:r>
              <w:rPr>
                <w:rFonts w:ascii="宋体" w:cs="宋体"/>
                <w:color w:val="000000"/>
                <w:kern w:val="0"/>
                <w:sz w:val="28"/>
                <w:szCs w:val="28"/>
              </w:rPr>
              <w:t>标书内须提供</w:t>
            </w:r>
            <w:r>
              <w:rPr>
                <w:rFonts w:hint="eastAsia" w:ascii="宋体" w:cs="宋体"/>
                <w:color w:val="000000"/>
                <w:kern w:val="0"/>
                <w:sz w:val="28"/>
                <w:szCs w:val="28"/>
              </w:rPr>
              <w:t>检测报告</w:t>
            </w:r>
            <w:r>
              <w:rPr>
                <w:rFonts w:ascii="宋体" w:cs="宋体"/>
                <w:color w:val="000000"/>
                <w:kern w:val="0"/>
                <w:sz w:val="28"/>
                <w:szCs w:val="28"/>
              </w:rPr>
              <w:t>扫描件。</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292" w:type="dxa"/>
            <w:vMerge w:val="continue"/>
            <w:noWrap w:val="0"/>
            <w:vAlign w:val="center"/>
          </w:tcPr>
          <w:p>
            <w:pPr>
              <w:spacing w:line="480" w:lineRule="exact"/>
              <w:jc w:val="center"/>
              <w:rPr>
                <w:rFonts w:ascii="宋体" w:hAnsi="Calibri"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2、投标人所投人造草坪需通过第三方检测机构出具的针对人造草坪产品的冲击吸收和垂直变形的专项检测合格报告</w:t>
            </w:r>
            <w:r>
              <w:rPr>
                <w:rFonts w:ascii="宋体" w:cs="宋体"/>
                <w:color w:val="000000"/>
                <w:kern w:val="0"/>
                <w:sz w:val="28"/>
                <w:szCs w:val="28"/>
              </w:rPr>
              <w:t>，得</w:t>
            </w:r>
            <w:r>
              <w:rPr>
                <w:rFonts w:hint="eastAsia" w:ascii="宋体" w:cs="宋体"/>
                <w:color w:val="000000"/>
                <w:kern w:val="0"/>
                <w:sz w:val="28"/>
                <w:szCs w:val="28"/>
              </w:rPr>
              <w:t>4</w:t>
            </w:r>
            <w:r>
              <w:rPr>
                <w:rFonts w:ascii="宋体" w:cs="宋体"/>
                <w:color w:val="000000"/>
                <w:kern w:val="0"/>
                <w:sz w:val="28"/>
                <w:szCs w:val="28"/>
              </w:rPr>
              <w:t>分。标书内须提供</w:t>
            </w:r>
            <w:r>
              <w:rPr>
                <w:rFonts w:hint="eastAsia" w:ascii="宋体" w:cs="宋体"/>
                <w:color w:val="000000"/>
                <w:kern w:val="0"/>
                <w:sz w:val="28"/>
                <w:szCs w:val="28"/>
              </w:rPr>
              <w:t>检测报告</w:t>
            </w:r>
            <w:r>
              <w:rPr>
                <w:rFonts w:ascii="宋体" w:cs="宋体"/>
                <w:color w:val="000000"/>
                <w:kern w:val="0"/>
                <w:sz w:val="28"/>
                <w:szCs w:val="28"/>
              </w:rPr>
              <w:t>扫描件。</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1292" w:type="dxa"/>
            <w:vMerge w:val="continue"/>
            <w:noWrap w:val="0"/>
            <w:vAlign w:val="center"/>
          </w:tcPr>
          <w:p>
            <w:pPr>
              <w:pStyle w:val="2"/>
              <w:spacing w:line="480" w:lineRule="exact"/>
              <w:rPr>
                <w:rFonts w:ascii="宋体"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3、投标人所投人造草坪需通过第三方检测机构出具的针对人造草坪产品的急性经皮毒性试验（小鼠）和急性经口毒性试验（小鼠）的专项检测合格报告</w:t>
            </w:r>
            <w:r>
              <w:rPr>
                <w:rFonts w:ascii="宋体" w:cs="宋体"/>
                <w:color w:val="000000"/>
                <w:kern w:val="0"/>
                <w:sz w:val="28"/>
                <w:szCs w:val="28"/>
              </w:rPr>
              <w:t>，得</w:t>
            </w:r>
            <w:r>
              <w:rPr>
                <w:rFonts w:hint="eastAsia" w:ascii="宋体" w:cs="宋体"/>
                <w:color w:val="000000"/>
                <w:kern w:val="0"/>
                <w:sz w:val="28"/>
                <w:szCs w:val="28"/>
              </w:rPr>
              <w:t>4</w:t>
            </w:r>
            <w:r>
              <w:rPr>
                <w:rFonts w:ascii="宋体" w:cs="宋体"/>
                <w:color w:val="000000"/>
                <w:kern w:val="0"/>
                <w:sz w:val="28"/>
                <w:szCs w:val="28"/>
              </w:rPr>
              <w:t>分。标书内须提供</w:t>
            </w:r>
            <w:r>
              <w:rPr>
                <w:rFonts w:hint="eastAsia" w:ascii="宋体" w:cs="宋体"/>
                <w:color w:val="000000"/>
                <w:kern w:val="0"/>
                <w:sz w:val="28"/>
                <w:szCs w:val="28"/>
              </w:rPr>
              <w:t>检测报告</w:t>
            </w:r>
            <w:r>
              <w:rPr>
                <w:rFonts w:ascii="宋体" w:cs="宋体"/>
                <w:color w:val="000000"/>
                <w:kern w:val="0"/>
                <w:sz w:val="28"/>
                <w:szCs w:val="28"/>
              </w:rPr>
              <w:t>扫描件。</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292" w:type="dxa"/>
            <w:vMerge w:val="continue"/>
            <w:noWrap w:val="0"/>
            <w:vAlign w:val="center"/>
          </w:tcPr>
          <w:p>
            <w:pPr>
              <w:spacing w:line="480" w:lineRule="exact"/>
              <w:jc w:val="center"/>
              <w:rPr>
                <w:rFonts w:ascii="宋体" w:hAnsi="Calibri"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4、投标人所投人造草坪需通过第三方检测机构出具的针对人造草坪产品的材料产烟毒性危险分级检测合格报告</w:t>
            </w:r>
            <w:r>
              <w:rPr>
                <w:rFonts w:ascii="宋体" w:cs="宋体"/>
                <w:color w:val="000000"/>
                <w:kern w:val="0"/>
                <w:sz w:val="28"/>
                <w:szCs w:val="28"/>
              </w:rPr>
              <w:t>，得</w:t>
            </w:r>
            <w:r>
              <w:rPr>
                <w:rFonts w:hint="eastAsia" w:ascii="宋体" w:cs="宋体"/>
                <w:color w:val="000000"/>
                <w:kern w:val="0"/>
                <w:sz w:val="28"/>
                <w:szCs w:val="28"/>
              </w:rPr>
              <w:t>4</w:t>
            </w:r>
            <w:r>
              <w:rPr>
                <w:rFonts w:ascii="宋体" w:cs="宋体"/>
                <w:color w:val="000000"/>
                <w:kern w:val="0"/>
                <w:sz w:val="28"/>
                <w:szCs w:val="28"/>
              </w:rPr>
              <w:t>分。标书内须提供</w:t>
            </w:r>
            <w:r>
              <w:rPr>
                <w:rFonts w:hint="eastAsia" w:ascii="宋体" w:cs="宋体"/>
                <w:color w:val="000000"/>
                <w:kern w:val="0"/>
                <w:sz w:val="28"/>
                <w:szCs w:val="28"/>
              </w:rPr>
              <w:t>检测报告</w:t>
            </w:r>
            <w:r>
              <w:rPr>
                <w:rFonts w:ascii="宋体" w:cs="宋体"/>
                <w:color w:val="000000"/>
                <w:kern w:val="0"/>
                <w:sz w:val="28"/>
                <w:szCs w:val="28"/>
              </w:rPr>
              <w:t>扫描件。</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292" w:type="dxa"/>
            <w:vMerge w:val="continue"/>
            <w:noWrap w:val="0"/>
            <w:vAlign w:val="center"/>
          </w:tcPr>
          <w:p>
            <w:pPr>
              <w:pStyle w:val="2"/>
              <w:spacing w:line="480" w:lineRule="exact"/>
              <w:rPr>
                <w:rFonts w:ascii="宋体" w:cs="宋体"/>
                <w:color w:val="000000"/>
                <w:kern w:val="0"/>
                <w:sz w:val="28"/>
                <w:szCs w:val="28"/>
              </w:rPr>
            </w:pP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5、投标人所投人造草坪需通过第三方检测机构出具的针对人造草坪产品的冷凝水老化试验（温度 40 ℃，湿度 100%RH，时间 600h）检测合格报告</w:t>
            </w:r>
            <w:r>
              <w:rPr>
                <w:rFonts w:ascii="宋体" w:cs="宋体"/>
                <w:color w:val="000000"/>
                <w:kern w:val="0"/>
                <w:sz w:val="28"/>
                <w:szCs w:val="28"/>
              </w:rPr>
              <w:t>，得</w:t>
            </w:r>
            <w:r>
              <w:rPr>
                <w:rFonts w:hint="eastAsia" w:ascii="宋体" w:cs="宋体"/>
                <w:color w:val="000000"/>
                <w:kern w:val="0"/>
                <w:sz w:val="28"/>
                <w:szCs w:val="28"/>
              </w:rPr>
              <w:t>4</w:t>
            </w:r>
            <w:r>
              <w:rPr>
                <w:rFonts w:ascii="宋体" w:cs="宋体"/>
                <w:color w:val="000000"/>
                <w:kern w:val="0"/>
                <w:sz w:val="28"/>
                <w:szCs w:val="28"/>
              </w:rPr>
              <w:t>分。标书内须提供</w:t>
            </w:r>
            <w:r>
              <w:rPr>
                <w:rFonts w:hint="eastAsia" w:ascii="宋体" w:cs="宋体"/>
                <w:color w:val="000000"/>
                <w:kern w:val="0"/>
                <w:sz w:val="28"/>
                <w:szCs w:val="28"/>
              </w:rPr>
              <w:t>检测报告</w:t>
            </w:r>
            <w:r>
              <w:rPr>
                <w:rFonts w:ascii="宋体" w:cs="宋体"/>
                <w:color w:val="000000"/>
                <w:kern w:val="0"/>
                <w:sz w:val="28"/>
                <w:szCs w:val="28"/>
              </w:rPr>
              <w:t>扫描件。</w:t>
            </w:r>
          </w:p>
        </w:tc>
        <w:tc>
          <w:tcPr>
            <w:tcW w:w="772" w:type="dxa"/>
            <w:noWrap w:val="0"/>
            <w:vAlign w:val="center"/>
          </w:tcPr>
          <w:p>
            <w:pPr>
              <w:spacing w:line="300" w:lineRule="exact"/>
              <w:jc w:val="center"/>
              <w:rPr>
                <w:rFonts w:ascii="宋体" w:hAnsi="Calibri" w:cs="宋体"/>
                <w:color w:val="000000"/>
                <w:kern w:val="0"/>
                <w:sz w:val="28"/>
                <w:szCs w:val="28"/>
              </w:rPr>
            </w:pPr>
            <w:r>
              <w:rPr>
                <w:rFonts w:hint="eastAsia" w:ascii="宋体" w:hAnsi="Calibri" w:cs="宋体"/>
                <w:color w:val="000000"/>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1292" w:type="dxa"/>
            <w:noWrap w:val="0"/>
            <w:vAlign w:val="center"/>
          </w:tcPr>
          <w:p>
            <w:pPr>
              <w:pStyle w:val="2"/>
              <w:spacing w:line="480" w:lineRule="exact"/>
              <w:rPr>
                <w:rFonts w:ascii="宋体" w:cs="宋体"/>
                <w:color w:val="000000"/>
                <w:kern w:val="0"/>
                <w:sz w:val="28"/>
                <w:szCs w:val="28"/>
              </w:rPr>
            </w:pPr>
            <w:r>
              <w:rPr>
                <w:rFonts w:ascii="宋体" w:cs="宋体"/>
                <w:color w:val="000000"/>
                <w:kern w:val="0"/>
                <w:sz w:val="28"/>
                <w:szCs w:val="28"/>
              </w:rPr>
              <w:t>企业业绩（8分）</w:t>
            </w: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投标人每提供一份近三年（指自投标截止时间向前推 3 年）以来完成过的类似项目业绩得 2分，本项最高得8 分。</w:t>
            </w:r>
            <w:r>
              <w:rPr>
                <w:rFonts w:ascii="宋体" w:cs="宋体"/>
                <w:color w:val="000000"/>
                <w:kern w:val="0"/>
                <w:sz w:val="28"/>
                <w:szCs w:val="28"/>
              </w:rPr>
              <w:t>标书内须提供</w:t>
            </w:r>
            <w:r>
              <w:rPr>
                <w:rFonts w:hint="eastAsia" w:ascii="宋体" w:hAnsi="Calibri" w:cs="宋体"/>
                <w:color w:val="000000"/>
                <w:kern w:val="0"/>
                <w:sz w:val="28"/>
                <w:szCs w:val="28"/>
              </w:rPr>
              <w:t>施工合同</w:t>
            </w:r>
            <w:r>
              <w:rPr>
                <w:rFonts w:ascii="宋体" w:cs="宋体"/>
                <w:color w:val="000000"/>
                <w:kern w:val="0"/>
                <w:sz w:val="28"/>
                <w:szCs w:val="28"/>
              </w:rPr>
              <w:t>扫描件。</w:t>
            </w:r>
          </w:p>
        </w:tc>
        <w:tc>
          <w:tcPr>
            <w:tcW w:w="772"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1292" w:type="dxa"/>
            <w:noWrap w:val="0"/>
            <w:vAlign w:val="center"/>
          </w:tcPr>
          <w:p>
            <w:pPr>
              <w:pStyle w:val="2"/>
              <w:spacing w:line="480" w:lineRule="exact"/>
              <w:rPr>
                <w:rFonts w:ascii="宋体" w:cs="宋体"/>
                <w:color w:val="000000"/>
                <w:kern w:val="0"/>
                <w:sz w:val="28"/>
                <w:szCs w:val="28"/>
              </w:rPr>
            </w:pPr>
            <w:r>
              <w:rPr>
                <w:rFonts w:ascii="宋体" w:cs="宋体"/>
                <w:color w:val="000000"/>
                <w:kern w:val="0"/>
                <w:sz w:val="28"/>
                <w:szCs w:val="28"/>
              </w:rPr>
              <w:t>企业信誉（6分）</w:t>
            </w:r>
          </w:p>
        </w:tc>
        <w:tc>
          <w:tcPr>
            <w:tcW w:w="7287"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投标人具有质量管理体系认证证书（ISO9001）、环境管理体系认证证书（ISO14001）、职业健康安全管理体系认证证书（GB/T28001），三证齐全得 6 分，否则每缺少 1 项证书扣 2 分。</w:t>
            </w:r>
            <w:r>
              <w:rPr>
                <w:rFonts w:ascii="宋体" w:cs="宋体"/>
                <w:color w:val="000000"/>
                <w:kern w:val="0"/>
                <w:sz w:val="28"/>
                <w:szCs w:val="28"/>
              </w:rPr>
              <w:t>标书内须提供</w:t>
            </w:r>
            <w:r>
              <w:rPr>
                <w:rFonts w:hint="eastAsia" w:ascii="宋体" w:cs="宋体"/>
                <w:color w:val="000000"/>
                <w:kern w:val="0"/>
                <w:sz w:val="28"/>
                <w:szCs w:val="28"/>
              </w:rPr>
              <w:t>证书</w:t>
            </w:r>
            <w:r>
              <w:rPr>
                <w:rFonts w:ascii="宋体" w:cs="宋体"/>
                <w:color w:val="000000"/>
                <w:kern w:val="0"/>
                <w:sz w:val="28"/>
                <w:szCs w:val="28"/>
              </w:rPr>
              <w:t>扫描件。</w:t>
            </w:r>
          </w:p>
        </w:tc>
        <w:tc>
          <w:tcPr>
            <w:tcW w:w="772" w:type="dxa"/>
            <w:noWrap w:val="0"/>
            <w:vAlign w:val="center"/>
          </w:tcPr>
          <w:p>
            <w:pPr>
              <w:spacing w:line="480" w:lineRule="exact"/>
              <w:rPr>
                <w:rFonts w:ascii="宋体" w:hAnsi="Calibri" w:cs="宋体"/>
                <w:color w:val="000000"/>
                <w:kern w:val="0"/>
                <w:sz w:val="28"/>
                <w:szCs w:val="28"/>
              </w:rPr>
            </w:pPr>
            <w:r>
              <w:rPr>
                <w:rFonts w:hint="eastAsia" w:ascii="宋体" w:hAnsi="Calibri" w:cs="宋体"/>
                <w:color w:val="000000"/>
                <w:kern w:val="0"/>
                <w:sz w:val="28"/>
                <w:szCs w:val="28"/>
              </w:rPr>
              <w:t>6</w:t>
            </w:r>
          </w:p>
        </w:tc>
      </w:tr>
    </w:tbl>
    <w:p>
      <w:pPr>
        <w:jc w:val="both"/>
        <w:rPr>
          <w:rFonts w:hint="eastAsia" w:ascii="宋体" w:hAnsi="宋体" w:cs="宋体"/>
          <w:b/>
          <w:sz w:val="28"/>
          <w:szCs w:val="28"/>
          <w:lang w:eastAsia="zh-CN"/>
        </w:rPr>
      </w:pPr>
    </w:p>
    <w:sectPr>
      <w:pgSz w:w="11906" w:h="16838"/>
      <w:pgMar w:top="1327" w:right="1293" w:bottom="132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22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pPr>
    <w:rPr>
      <w:rFonts w:hint="eastAsia" w:ascii="Calibri" w:hAnsi="Calibri" w:eastAsia="宋体"/>
      <w:kern w:val="2"/>
      <w:sz w:val="22"/>
      <w:lang w:val="en-US" w:eastAsia="zh-CN"/>
    </w:r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2022-03-18T08:01:52Z</dcterms:created>
  <dc:creator>Administrator</dc:creator>
  <cp:lastModifiedBy>NTKO</cp:lastModifiedBy>
  <dcterms:modified xsi:type="dcterms:W3CDTF">2022-03-18T08:08:33Z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0A42A091768D40649BD61BEA22A4E819</vt:lpwstr>
  </property>
</Properties>
</file>