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b/>
          <w:bCs/>
          <w:color w:val="FF0000"/>
          <w:kern w:val="44"/>
          <w:sz w:val="36"/>
          <w:szCs w:val="30"/>
        </w:rPr>
      </w:pPr>
    </w:p>
    <w:p>
      <w:pPr>
        <w:widowControl/>
        <w:spacing w:line="375" w:lineRule="atLeast"/>
        <w:ind w:firstLine="1446" w:firstLineChars="400"/>
        <w:rPr>
          <w:rFonts w:hint="eastAsia" w:eastAsia="宋体"/>
          <w:b/>
          <w:bCs/>
          <w:color w:val="FF0000"/>
          <w:kern w:val="44"/>
          <w:sz w:val="36"/>
          <w:szCs w:val="30"/>
          <w:lang w:eastAsia="zh-CN"/>
        </w:rPr>
      </w:pPr>
      <w:r>
        <w:rPr>
          <w:rFonts w:hint="eastAsia"/>
          <w:b/>
          <w:bCs/>
          <w:color w:val="FF0000"/>
          <w:kern w:val="44"/>
          <w:sz w:val="36"/>
          <w:szCs w:val="30"/>
        </w:rPr>
        <w:t>枞阳镇旗山居委会办公大楼西侧山体土石方</w:t>
      </w:r>
      <w:r>
        <w:rPr>
          <w:rFonts w:hint="eastAsia"/>
          <w:b/>
          <w:bCs/>
          <w:color w:val="FF0000"/>
          <w:kern w:val="44"/>
          <w:sz w:val="36"/>
          <w:szCs w:val="30"/>
          <w:lang w:eastAsia="zh-CN"/>
        </w:rPr>
        <w:t>（</w:t>
      </w:r>
      <w:r>
        <w:rPr>
          <w:rFonts w:hint="eastAsia"/>
          <w:b/>
          <w:bCs/>
          <w:color w:val="FF0000"/>
          <w:kern w:val="44"/>
          <w:sz w:val="36"/>
          <w:szCs w:val="30"/>
          <w:lang w:val="en-US" w:eastAsia="zh-CN"/>
        </w:rPr>
        <w:t>二次</w:t>
      </w:r>
      <w:r>
        <w:rPr>
          <w:rFonts w:hint="eastAsia"/>
          <w:b/>
          <w:bCs/>
          <w:color w:val="FF0000"/>
          <w:kern w:val="44"/>
          <w:sz w:val="36"/>
          <w:szCs w:val="30"/>
          <w:lang w:eastAsia="zh-CN"/>
        </w:rPr>
        <w:t>）</w:t>
      </w:r>
    </w:p>
    <w:p>
      <w:pPr>
        <w:pStyle w:val="2"/>
        <w:spacing w:line="276" w:lineRule="auto"/>
        <w:ind w:firstLine="3070" w:firstLineChars="695"/>
        <w:rPr>
          <w:color w:val="FF0000"/>
        </w:rPr>
      </w:pPr>
      <w:r>
        <w:rPr>
          <w:rFonts w:hint="eastAsia"/>
          <w:color w:val="FF0000"/>
        </w:rPr>
        <w:t>拍卖须知、规则</w:t>
      </w:r>
    </w:p>
    <w:p>
      <w:pPr>
        <w:ind w:firstLine="281" w:firstLineChars="100"/>
        <w:rPr>
          <w:rFonts w:ascii="宋体" w:hAnsi="宋体"/>
          <w:b/>
          <w:sz w:val="28"/>
          <w:szCs w:val="28"/>
        </w:rPr>
      </w:pPr>
      <w:r>
        <w:rPr>
          <w:rFonts w:hint="eastAsia" w:ascii="宋体" w:hAnsi="宋体"/>
          <w:b/>
          <w:sz w:val="28"/>
          <w:szCs w:val="28"/>
        </w:rPr>
        <w:t>1、标的物的有关事项：本次拍卖标的物以现状为准，竞买人应事先仔细查看标的物，充分了解标的物状况，对有关事项详细咨询，竞买人一经应价，即视为已认可标的物现状，如因情况不清造成后果责任自负。委托方和拍卖方对标的物不承担瑕疵品质担保责任。竞买人请仔细阅读本场拍卖会《拍卖</w:t>
      </w:r>
      <w:bookmarkStart w:id="0" w:name="_GoBack"/>
      <w:r>
        <w:rPr>
          <w:rFonts w:hint="eastAsia" w:ascii="宋体" w:hAnsi="宋体"/>
          <w:b/>
          <w:sz w:val="28"/>
          <w:szCs w:val="28"/>
        </w:rPr>
        <w:t>须知、规则》，了解其中的各项条款和要求，为自己的竞买行为负责。</w:t>
      </w:r>
    </w:p>
    <w:bookmarkEnd w:id="0"/>
    <w:p>
      <w:pPr>
        <w:spacing w:line="276" w:lineRule="auto"/>
        <w:ind w:firstLine="562" w:firstLineChars="200"/>
        <w:rPr>
          <w:rFonts w:ascii="宋体" w:hAnsi="宋体"/>
          <w:b/>
          <w:sz w:val="28"/>
          <w:szCs w:val="28"/>
        </w:rPr>
      </w:pPr>
      <w:r>
        <w:rPr>
          <w:rFonts w:hint="eastAsia" w:ascii="宋体" w:hAnsi="宋体"/>
          <w:b/>
          <w:sz w:val="28"/>
          <w:szCs w:val="28"/>
        </w:rPr>
        <w:t>2、</w:t>
      </w:r>
      <w:r>
        <w:rPr>
          <w:rFonts w:hint="eastAsia" w:ascii="宋体" w:hAnsi="宋体"/>
          <w:sz w:val="28"/>
          <w:szCs w:val="28"/>
        </w:rPr>
        <w:t xml:space="preserve"> 标的物（以现状拍卖）：</w:t>
      </w:r>
      <w:r>
        <w:rPr>
          <w:rFonts w:hint="eastAsia" w:ascii="宋体" w:hAnsi="宋体" w:cs="宋体"/>
          <w:color w:val="000000"/>
          <w:sz w:val="28"/>
          <w:szCs w:val="28"/>
        </w:rPr>
        <w:t>枞阳镇旗山居委会办公大楼西侧山体土石方公开拍卖。土石方共184976.1m³，其中土方量为 6013.2m³，岩方量为 178962.9m³。岩石主要为强（中）风化花岗岩，土方石主要由黏性土、砂、碎石等组成，含少量植物根茎。具体以现状地貌为准。该标的物设有保留底价，不达底价不成交。</w:t>
      </w:r>
    </w:p>
    <w:p>
      <w:pPr>
        <w:spacing w:line="276" w:lineRule="auto"/>
        <w:ind w:firstLine="560" w:firstLineChars="200"/>
        <w:rPr>
          <w:rFonts w:ascii="宋体" w:hAnsi="宋体"/>
          <w:sz w:val="28"/>
          <w:szCs w:val="28"/>
        </w:rPr>
      </w:pPr>
      <w:r>
        <w:rPr>
          <w:rFonts w:hint="eastAsia" w:ascii="宋体" w:hAnsi="宋体"/>
          <w:sz w:val="28"/>
          <w:szCs w:val="28"/>
        </w:rPr>
        <w:t>3、拍卖时间：2022年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日下午15时。</w:t>
      </w:r>
    </w:p>
    <w:p>
      <w:pPr>
        <w:spacing w:line="276" w:lineRule="auto"/>
        <w:ind w:firstLine="560" w:firstLineChars="200"/>
        <w:jc w:val="left"/>
        <w:rPr>
          <w:rFonts w:ascii="宋体" w:hAnsi="宋体"/>
          <w:sz w:val="28"/>
          <w:szCs w:val="28"/>
        </w:rPr>
      </w:pPr>
      <w:r>
        <w:rPr>
          <w:rFonts w:hint="eastAsia" w:ascii="宋体" w:hAnsi="宋体"/>
          <w:sz w:val="28"/>
          <w:szCs w:val="28"/>
        </w:rPr>
        <w:t>4、拍卖网址：铜陵市公共资源交易中心网站电子竞价系统平台（http://ggzyjyzx.tl.gov.cn/）。</w:t>
      </w:r>
    </w:p>
    <w:p>
      <w:pPr>
        <w:spacing w:line="276" w:lineRule="auto"/>
        <w:ind w:firstLine="560" w:firstLineChars="200"/>
        <w:jc w:val="left"/>
        <w:rPr>
          <w:rFonts w:ascii="宋体" w:hAnsi="宋体"/>
          <w:sz w:val="28"/>
          <w:szCs w:val="28"/>
        </w:rPr>
      </w:pPr>
      <w:r>
        <w:rPr>
          <w:rFonts w:hint="eastAsia" w:ascii="宋体" w:hAnsi="宋体"/>
          <w:sz w:val="28"/>
          <w:szCs w:val="28"/>
        </w:rPr>
        <w:t>5、拍卖方式： 2022年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下午15时在铜陵市公共资源交易中心网站平台以电子竞价方式进行拍卖，最高竞价者成交，买受人与拍卖人当日签订《拍卖成交确认书》等相关资料。请各位竞买人办理竞买报名手续时向我公司咨询竞价操作流程。</w:t>
      </w:r>
    </w:p>
    <w:p>
      <w:pPr>
        <w:spacing w:line="276" w:lineRule="auto"/>
        <w:ind w:firstLine="560" w:firstLineChars="200"/>
        <w:jc w:val="left"/>
        <w:rPr>
          <w:sz w:val="28"/>
          <w:szCs w:val="28"/>
        </w:rPr>
      </w:pPr>
      <w:r>
        <w:rPr>
          <w:rFonts w:hint="eastAsia" w:ascii="宋体" w:hAnsi="宋体"/>
          <w:sz w:val="28"/>
          <w:szCs w:val="28"/>
        </w:rPr>
        <w:t>6、竞买人</w:t>
      </w:r>
      <w:r>
        <w:rPr>
          <w:rFonts w:hint="eastAsia"/>
          <w:sz w:val="28"/>
          <w:szCs w:val="28"/>
        </w:rPr>
        <w:t>在获取登录账号及密码后，自行保管，如出现遗失或他人代为登录竞价等情况，所造成后果由竞买人自行承担。</w:t>
      </w:r>
    </w:p>
    <w:p>
      <w:pPr>
        <w:spacing w:line="276" w:lineRule="auto"/>
        <w:ind w:firstLine="560" w:firstLineChars="200"/>
        <w:jc w:val="left"/>
        <w:rPr>
          <w:sz w:val="28"/>
          <w:szCs w:val="28"/>
        </w:rPr>
      </w:pPr>
      <w:r>
        <w:rPr>
          <w:rFonts w:hint="eastAsia"/>
          <w:sz w:val="28"/>
          <w:szCs w:val="28"/>
        </w:rPr>
        <w:t>7、本次拍卖不含山上树木，委托方将树木清除及迁坟工作结束后确定时间按现状交付标的。</w:t>
      </w:r>
    </w:p>
    <w:p>
      <w:pPr>
        <w:spacing w:line="276" w:lineRule="auto"/>
        <w:ind w:firstLine="560" w:firstLineChars="200"/>
        <w:jc w:val="left"/>
        <w:rPr>
          <w:sz w:val="28"/>
          <w:szCs w:val="28"/>
        </w:rPr>
      </w:pPr>
      <w:r>
        <w:rPr>
          <w:rFonts w:hint="eastAsia"/>
          <w:sz w:val="28"/>
          <w:szCs w:val="28"/>
        </w:rPr>
        <w:t>8、标的以现场现状为准，评估报告中相关数据及岩层种类仅供参考，拍卖成交后，土石方量不再另行丈量。</w:t>
      </w:r>
    </w:p>
    <w:p>
      <w:pPr>
        <w:spacing w:line="276" w:lineRule="auto"/>
        <w:ind w:firstLine="560" w:firstLineChars="200"/>
        <w:jc w:val="left"/>
        <w:rPr>
          <w:rFonts w:ascii="宋体" w:hAnsi="宋体"/>
          <w:sz w:val="28"/>
          <w:szCs w:val="28"/>
        </w:rPr>
      </w:pPr>
      <w:r>
        <w:rPr>
          <w:rFonts w:hint="eastAsia" w:ascii="宋体" w:hAnsi="宋体"/>
          <w:sz w:val="28"/>
          <w:szCs w:val="28"/>
        </w:rPr>
        <w:t>9、拍卖成交后，买受人必须在规定的时间内向指定的账户缴纳合同履约保证金50万元。成交总价款的资源税由买受人须按委托方规定的时间和指定的税务部门缴纳。</w:t>
      </w:r>
    </w:p>
    <w:p>
      <w:pPr>
        <w:spacing w:line="276" w:lineRule="auto"/>
        <w:ind w:firstLine="560" w:firstLineChars="200"/>
        <w:jc w:val="left"/>
        <w:rPr>
          <w:rFonts w:ascii="宋体" w:hAnsi="宋体"/>
          <w:sz w:val="28"/>
          <w:szCs w:val="28"/>
        </w:rPr>
      </w:pPr>
      <w:r>
        <w:rPr>
          <w:rFonts w:hint="eastAsia" w:ascii="宋体" w:hAnsi="宋体"/>
          <w:sz w:val="28"/>
          <w:szCs w:val="28"/>
        </w:rPr>
        <w:t>10、标的交付后，买受人必须按委托方指定的方位和勘察报告规定的范围内有序开挖、取运，禁止超挖和滥挖。</w:t>
      </w:r>
    </w:p>
    <w:p>
      <w:pPr>
        <w:spacing w:line="276" w:lineRule="auto"/>
        <w:ind w:firstLine="560" w:firstLineChars="200"/>
        <w:jc w:val="left"/>
        <w:rPr>
          <w:rFonts w:ascii="宋体" w:hAnsi="宋体"/>
          <w:sz w:val="28"/>
          <w:szCs w:val="28"/>
        </w:rPr>
      </w:pPr>
      <w:r>
        <w:rPr>
          <w:rFonts w:hint="eastAsia" w:ascii="宋体" w:hAnsi="宋体"/>
          <w:sz w:val="28"/>
          <w:szCs w:val="28"/>
        </w:rPr>
        <w:t>11、高边坡开挖，要防止地质灾害发生，同时防止水土流失。在开挖过程中如遇古墓、</w:t>
      </w:r>
      <w:r>
        <w:rPr>
          <w:rFonts w:hint="eastAsia" w:ascii="宋体" w:hAnsi="宋体" w:cs="宋体"/>
          <w:color w:val="000000"/>
          <w:sz w:val="28"/>
          <w:szCs w:val="28"/>
        </w:rPr>
        <w:t>矿藏</w:t>
      </w:r>
      <w:r>
        <w:rPr>
          <w:rFonts w:hint="eastAsia" w:ascii="宋体" w:hAnsi="宋体"/>
          <w:sz w:val="28"/>
          <w:szCs w:val="28"/>
        </w:rPr>
        <w:t>等特殊情况时，应立即停止开挖，保护好现场，并及时向当地政府部门报告。</w:t>
      </w:r>
    </w:p>
    <w:p>
      <w:pPr>
        <w:spacing w:line="276" w:lineRule="auto"/>
        <w:ind w:firstLine="560" w:firstLineChars="200"/>
        <w:jc w:val="left"/>
        <w:rPr>
          <w:rFonts w:ascii="宋体" w:hAnsi="宋体"/>
          <w:sz w:val="28"/>
          <w:szCs w:val="28"/>
        </w:rPr>
      </w:pPr>
      <w:r>
        <w:rPr>
          <w:rFonts w:hint="eastAsia" w:ascii="宋体" w:hAnsi="宋体"/>
          <w:sz w:val="28"/>
          <w:szCs w:val="28"/>
        </w:rPr>
        <w:t>12、买受人取运土石方过程中不得损坏所经过的道路，若有损坏由买受人按原道路设计标准进行修复，费用和安全自行承担；若买受人在一个月内未按原道路设计标准进行修复的，委托方自行组织修复，修复的工程费用由委托方从买受人交纳的合同履约保证金中予以扣除。</w:t>
      </w:r>
    </w:p>
    <w:p>
      <w:pPr>
        <w:spacing w:line="276" w:lineRule="auto"/>
        <w:ind w:firstLine="560" w:firstLineChars="200"/>
        <w:jc w:val="left"/>
        <w:rPr>
          <w:rFonts w:ascii="宋体" w:hAnsi="宋体"/>
          <w:sz w:val="28"/>
          <w:szCs w:val="28"/>
        </w:rPr>
      </w:pPr>
      <w:r>
        <w:rPr>
          <w:rFonts w:hint="eastAsia" w:ascii="宋体" w:hAnsi="宋体"/>
          <w:sz w:val="28"/>
          <w:szCs w:val="28"/>
        </w:rPr>
        <w:t>13、凡因开采及运输等引起的与周边群众的矛盾纠纷均由买受人自行协调解决，期间买受人不得以群众阻挠、开采现场的地质结构与拍卖文件内容不一致等理由延误工期，提出合同变更或解除要求，推卸违约责任等。</w:t>
      </w:r>
    </w:p>
    <w:p>
      <w:pPr>
        <w:spacing w:line="276" w:lineRule="auto"/>
        <w:ind w:firstLine="560" w:firstLineChars="200"/>
        <w:jc w:val="left"/>
        <w:rPr>
          <w:rFonts w:ascii="宋体" w:hAnsi="宋体"/>
          <w:sz w:val="28"/>
          <w:szCs w:val="28"/>
        </w:rPr>
      </w:pPr>
      <w:r>
        <w:rPr>
          <w:rFonts w:hint="eastAsia" w:ascii="宋体" w:hAnsi="宋体"/>
          <w:sz w:val="28"/>
          <w:szCs w:val="28"/>
        </w:rPr>
        <w:t>14、在开挖、取运等工作中所产生的一切费用和一切安全责任由买受人自行承担，委托方不承担任何责任。</w:t>
      </w:r>
    </w:p>
    <w:p>
      <w:pPr>
        <w:spacing w:line="276" w:lineRule="auto"/>
        <w:ind w:firstLine="560" w:firstLineChars="200"/>
        <w:jc w:val="left"/>
        <w:rPr>
          <w:rFonts w:ascii="宋体" w:hAnsi="宋体"/>
          <w:sz w:val="28"/>
          <w:szCs w:val="28"/>
        </w:rPr>
      </w:pPr>
      <w:r>
        <w:rPr>
          <w:rFonts w:hint="eastAsia" w:ascii="宋体" w:hAnsi="宋体"/>
          <w:color w:val="000000" w:themeColor="text1"/>
          <w:sz w:val="28"/>
          <w:szCs w:val="28"/>
        </w:rPr>
        <w:t>15、</w:t>
      </w:r>
      <w:r>
        <w:rPr>
          <w:rFonts w:hint="eastAsia" w:ascii="宋体" w:hAnsi="宋体"/>
          <w:sz w:val="28"/>
          <w:szCs w:val="28"/>
        </w:rPr>
        <w:t>买受人在标的物移交后60天内完</w:t>
      </w:r>
      <w:r>
        <w:rPr>
          <w:rFonts w:hint="eastAsia" w:ascii="宋体" w:hAnsi="宋体"/>
          <w:color w:val="000000" w:themeColor="text1"/>
          <w:sz w:val="28"/>
          <w:szCs w:val="28"/>
        </w:rPr>
        <w:t>成土石方的开挖、取运、平整工作。如</w:t>
      </w:r>
      <w:r>
        <w:rPr>
          <w:rFonts w:hint="eastAsia" w:ascii="宋体" w:hAnsi="宋体"/>
          <w:sz w:val="28"/>
          <w:szCs w:val="28"/>
        </w:rPr>
        <w:t>逾期未能完工的，按5000元／天的标准从合同履约保证金中予以扣除。若遇连续降大雨天气或疫情等人力不可抗拒的因素，买受人须以书面形式报告委托方，经委托方同意后方可顺延。</w:t>
      </w:r>
    </w:p>
    <w:p>
      <w:pPr>
        <w:spacing w:line="276" w:lineRule="auto"/>
        <w:ind w:firstLine="560" w:firstLineChars="200"/>
        <w:jc w:val="left"/>
        <w:rPr>
          <w:rFonts w:ascii="宋体" w:hAnsi="宋体"/>
          <w:color w:val="000000" w:themeColor="text1"/>
          <w:sz w:val="28"/>
          <w:szCs w:val="28"/>
        </w:rPr>
      </w:pPr>
      <w:r>
        <w:rPr>
          <w:rFonts w:hint="eastAsia" w:ascii="宋体" w:hAnsi="宋体"/>
          <w:sz w:val="28"/>
          <w:szCs w:val="28"/>
        </w:rPr>
        <w:t>16、在取运土石方期间，如买受人不按委托方指定的方位和勘察报告规定的范围内开挖作业的、恶意拖延工期的、损坏周边建设设施，合同履约保证金50万元不予退还并由相关部门追究责任。在开挖、取运结束后，由委托方及相关部门验收合格后，买受人所缴纳合同履约保证金予以退还（不计息）</w:t>
      </w:r>
      <w:r>
        <w:rPr>
          <w:rFonts w:hint="eastAsia" w:ascii="宋体" w:hAnsi="宋体"/>
          <w:color w:val="000000" w:themeColor="text1"/>
          <w:sz w:val="28"/>
          <w:szCs w:val="28"/>
        </w:rPr>
        <w:t>。</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17、拍卖成交后，买受人须在规定时间内向指定的账户付清成交价款、合</w:t>
      </w:r>
      <w:r>
        <w:rPr>
          <w:rFonts w:hint="eastAsia" w:ascii="宋体" w:hAnsi="宋体"/>
          <w:sz w:val="28"/>
          <w:szCs w:val="28"/>
        </w:rPr>
        <w:t>同履约保证金50万元、</w:t>
      </w:r>
      <w:r>
        <w:rPr>
          <w:rFonts w:hint="eastAsia" w:ascii="宋体" w:hAnsi="宋体"/>
          <w:color w:val="000000" w:themeColor="text1"/>
          <w:sz w:val="28"/>
          <w:szCs w:val="28"/>
        </w:rPr>
        <w:t>佣金和资源税（详见支付款协议）。</w:t>
      </w:r>
    </w:p>
    <w:p>
      <w:pPr>
        <w:spacing w:line="360" w:lineRule="auto"/>
        <w:ind w:firstLine="560" w:firstLineChars="200"/>
        <w:rPr>
          <w:rFonts w:ascii="宋体" w:hAnsi="宋体" w:cs="仿宋"/>
          <w:bCs/>
          <w:color w:val="000000"/>
          <w:sz w:val="28"/>
          <w:szCs w:val="28"/>
        </w:rPr>
      </w:pPr>
      <w:r>
        <w:rPr>
          <w:rFonts w:hint="eastAsia" w:ascii="宋体" w:hAnsi="宋体"/>
          <w:sz w:val="28"/>
          <w:szCs w:val="28"/>
        </w:rPr>
        <w:t>18、买受人在</w:t>
      </w:r>
      <w:r>
        <w:rPr>
          <w:rFonts w:hint="eastAsia" w:ascii="宋体" w:hAnsi="宋体"/>
          <w:color w:val="000000" w:themeColor="text1"/>
          <w:sz w:val="28"/>
          <w:szCs w:val="28"/>
        </w:rPr>
        <w:t>付清拍卖成交总价款</w:t>
      </w:r>
      <w:r>
        <w:rPr>
          <w:rFonts w:hint="eastAsia" w:ascii="宋体" w:hAnsi="宋体"/>
          <w:sz w:val="28"/>
          <w:szCs w:val="28"/>
        </w:rPr>
        <w:t>后，凭《拍卖成交确认书》、</w:t>
      </w:r>
      <w:r>
        <w:rPr>
          <w:rFonts w:hint="eastAsia" w:ascii="宋体" w:hAnsi="宋体"/>
          <w:color w:val="000000" w:themeColor="text1"/>
          <w:sz w:val="28"/>
          <w:szCs w:val="28"/>
        </w:rPr>
        <w:t>合同履约保证金</w:t>
      </w:r>
      <w:r>
        <w:rPr>
          <w:rFonts w:hint="eastAsia" w:ascii="宋体" w:hAnsi="宋体"/>
          <w:sz w:val="28"/>
          <w:szCs w:val="28"/>
        </w:rPr>
        <w:t>缴款凭证</w:t>
      </w:r>
      <w:r>
        <w:rPr>
          <w:rFonts w:hint="eastAsia" w:ascii="宋体" w:hAnsi="宋体"/>
          <w:color w:val="000000" w:themeColor="text1"/>
          <w:sz w:val="28"/>
          <w:szCs w:val="28"/>
        </w:rPr>
        <w:t>、资源税</w:t>
      </w:r>
      <w:r>
        <w:rPr>
          <w:rFonts w:hint="eastAsia" w:ascii="宋体" w:hAnsi="宋体"/>
          <w:sz w:val="28"/>
          <w:szCs w:val="28"/>
        </w:rPr>
        <w:t>缴款凭证与委托方签订《土石方开挖、取运合同》，合同签订后委托方按标的现状移交。</w:t>
      </w:r>
    </w:p>
    <w:p>
      <w:pPr>
        <w:spacing w:line="276"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19、买受人按规定付清各款项后，凭盖章生效的《土石方开挖、取运合同》办理竞买保证金退还手续（不计息）。</w:t>
      </w:r>
    </w:p>
    <w:p>
      <w:pPr>
        <w:spacing w:line="276"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20、违约责任：如买受人在拍卖成交当日拒绝签署《拍卖成交确认书》，或在签署《拍卖成交确认书》后不在规定的时间内支付成交价款、合同履约保证金、资源税及佣金，不与委托方签订《土石方开挖、取运合同》均视为违约。竞买保证金200万元转为违约金，不予返还，同时，依照《拍卖法》第三十九条之规定追究其违约责任。</w:t>
      </w:r>
    </w:p>
    <w:p>
      <w:pPr>
        <w:spacing w:line="276" w:lineRule="auto"/>
        <w:ind w:firstLine="560" w:firstLineChars="200"/>
        <w:rPr>
          <w:rFonts w:ascii="宋体" w:hAnsi="宋体"/>
          <w:sz w:val="28"/>
          <w:szCs w:val="28"/>
        </w:rPr>
      </w:pPr>
      <w:r>
        <w:rPr>
          <w:rFonts w:hint="eastAsia" w:ascii="宋体" w:hAnsi="宋体"/>
          <w:color w:val="000000" w:themeColor="text1"/>
          <w:sz w:val="28"/>
          <w:szCs w:val="28"/>
        </w:rPr>
        <w:t>《中华人民共和国拍卖法》第三十九条买受人应当按照约定支付拍卖标的的价款，未按照约定支付价款的，应当承担违约责任，或者由拍卖人征得委</w:t>
      </w:r>
      <w:r>
        <w:rPr>
          <w:rFonts w:hint="eastAsia" w:ascii="宋体" w:hAnsi="宋体"/>
          <w:sz w:val="28"/>
          <w:szCs w:val="28"/>
        </w:rPr>
        <w:t>托人的同意，将拍卖标的再行拍卖。</w:t>
      </w:r>
    </w:p>
    <w:p>
      <w:pPr>
        <w:spacing w:line="276" w:lineRule="auto"/>
        <w:ind w:firstLine="560" w:firstLineChars="200"/>
        <w:rPr>
          <w:rFonts w:ascii="宋体" w:hAnsi="宋体"/>
          <w:sz w:val="28"/>
          <w:szCs w:val="28"/>
        </w:rPr>
      </w:pPr>
      <w:r>
        <w:rPr>
          <w:rFonts w:hint="eastAsia" w:ascii="宋体" w:hAnsi="宋体"/>
          <w:sz w:val="28"/>
          <w:szCs w:val="28"/>
        </w:rPr>
        <w:t>拍卖标的再行拍卖的，原买受人应当支付第一次拍卖中本人及委托人应当支付的佣金。再行拍卖的价款低于原拍卖价款的，原买受人应当补足差额。</w:t>
      </w:r>
    </w:p>
    <w:p>
      <w:pPr>
        <w:spacing w:line="276" w:lineRule="auto"/>
        <w:ind w:firstLine="560" w:firstLineChars="200"/>
        <w:rPr>
          <w:rFonts w:ascii="宋体" w:hAnsi="宋体"/>
          <w:sz w:val="28"/>
          <w:szCs w:val="28"/>
        </w:rPr>
      </w:pPr>
      <w:r>
        <w:rPr>
          <w:rFonts w:hint="eastAsia" w:ascii="宋体" w:hAnsi="宋体"/>
          <w:sz w:val="28"/>
          <w:szCs w:val="28"/>
        </w:rPr>
        <w:t>21、因拍卖纠纷引起的诉讼由枞阳县人民法院管辖；</w:t>
      </w:r>
    </w:p>
    <w:p>
      <w:pPr>
        <w:spacing w:line="276" w:lineRule="auto"/>
        <w:ind w:firstLine="562" w:firstLineChars="200"/>
        <w:rPr>
          <w:rFonts w:ascii="宋体" w:hAnsi="宋体"/>
          <w:b/>
          <w:sz w:val="28"/>
          <w:szCs w:val="28"/>
        </w:rPr>
      </w:pPr>
    </w:p>
    <w:p>
      <w:pPr>
        <w:spacing w:line="276" w:lineRule="auto"/>
        <w:ind w:firstLine="562" w:firstLineChars="200"/>
        <w:rPr>
          <w:rFonts w:ascii="宋体" w:hAnsi="宋体"/>
          <w:sz w:val="28"/>
          <w:szCs w:val="28"/>
        </w:rPr>
      </w:pPr>
      <w:r>
        <w:rPr>
          <w:rFonts w:hint="eastAsia" w:ascii="宋体" w:hAnsi="宋体"/>
          <w:b/>
          <w:sz w:val="28"/>
          <w:szCs w:val="28"/>
        </w:rPr>
        <w:t>本竞买人已认真、仔细阅读了本场拍卖会的《拍卖须知、规则 》，对其意思表示已清楚明白。同意接受标的物的现状和一切已知及未知的瑕疵，遵守《拍卖须知、规则》中的各项条款并签字认可，愿意对自己的竞买行为承担法律责任。</w:t>
      </w:r>
    </w:p>
    <w:p>
      <w:pPr>
        <w:jc w:val="right"/>
        <w:rPr>
          <w:rFonts w:ascii="宋体" w:hAnsi="宋体"/>
          <w:sz w:val="28"/>
          <w:szCs w:val="28"/>
        </w:rPr>
      </w:pPr>
    </w:p>
    <w:p>
      <w:pPr>
        <w:ind w:right="1120" w:firstLine="5320" w:firstLineChars="1900"/>
        <w:rPr>
          <w:rFonts w:ascii="宋体" w:hAnsi="宋体"/>
          <w:sz w:val="28"/>
          <w:szCs w:val="28"/>
        </w:rPr>
      </w:pPr>
    </w:p>
    <w:p>
      <w:pPr>
        <w:ind w:right="1120" w:firstLine="5320" w:firstLineChars="1900"/>
        <w:rPr>
          <w:rFonts w:ascii="宋体" w:hAnsi="宋体"/>
          <w:sz w:val="28"/>
          <w:szCs w:val="28"/>
        </w:rPr>
      </w:pPr>
      <w:r>
        <w:rPr>
          <w:rFonts w:hint="eastAsia" w:ascii="宋体" w:hAnsi="宋体"/>
          <w:sz w:val="28"/>
          <w:szCs w:val="28"/>
        </w:rPr>
        <w:t xml:space="preserve">安徽枞信拍卖有限公司 </w:t>
      </w:r>
    </w:p>
    <w:p>
      <w:pPr>
        <w:spacing w:line="276" w:lineRule="auto"/>
        <w:ind w:right="1120"/>
        <w:jc w:val="center"/>
        <w:rPr>
          <w:rFonts w:ascii="宋体" w:hAnsi="宋体"/>
          <w:sz w:val="28"/>
          <w:szCs w:val="28"/>
        </w:rPr>
      </w:pPr>
      <w:r>
        <w:rPr>
          <w:rFonts w:hint="eastAsia" w:ascii="宋体" w:hAnsi="宋体"/>
          <w:sz w:val="28"/>
          <w:szCs w:val="28"/>
        </w:rPr>
        <w:t xml:space="preserve">                                     年   月   日</w:t>
      </w:r>
    </w:p>
    <w:p/>
    <w:sectPr>
      <w:footerReference r:id="rId3" w:type="default"/>
      <w:pgSz w:w="11906" w:h="16838"/>
      <w:pgMar w:top="1191" w:right="1247" w:bottom="1247" w:left="1247"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45744"/>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sz w:val="24"/>
            <w:szCs w:val="24"/>
          </w:rPr>
          <w:t>竞买人签字：</w:t>
        </w:r>
      </w:p>
    </w:sdtContent>
  </w:sdt>
  <w:p>
    <w:pPr>
      <w:pStyle w:val="4"/>
      <w:ind w:firstLine="3420" w:firstLineChars="19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4M2Q5ZDhmNjYxNjM3MDAyYjNhNDY4ZTJmODg3MDQifQ=="/>
  </w:docVars>
  <w:rsids>
    <w:rsidRoot w:val="001F0A21"/>
    <w:rsid w:val="00043631"/>
    <w:rsid w:val="00054026"/>
    <w:rsid w:val="000A5904"/>
    <w:rsid w:val="00151F4D"/>
    <w:rsid w:val="00154662"/>
    <w:rsid w:val="001E6C08"/>
    <w:rsid w:val="001F0A21"/>
    <w:rsid w:val="001F0DB1"/>
    <w:rsid w:val="00211AFB"/>
    <w:rsid w:val="0021434E"/>
    <w:rsid w:val="00331A5F"/>
    <w:rsid w:val="00337446"/>
    <w:rsid w:val="003C1C9A"/>
    <w:rsid w:val="003E7E3D"/>
    <w:rsid w:val="00417474"/>
    <w:rsid w:val="004C00C3"/>
    <w:rsid w:val="00517631"/>
    <w:rsid w:val="0052203D"/>
    <w:rsid w:val="00531F5A"/>
    <w:rsid w:val="00552550"/>
    <w:rsid w:val="00590B80"/>
    <w:rsid w:val="005C2F25"/>
    <w:rsid w:val="00617231"/>
    <w:rsid w:val="00671EE8"/>
    <w:rsid w:val="006E180D"/>
    <w:rsid w:val="0070179E"/>
    <w:rsid w:val="007213DD"/>
    <w:rsid w:val="00721B80"/>
    <w:rsid w:val="00732864"/>
    <w:rsid w:val="007453DD"/>
    <w:rsid w:val="00747996"/>
    <w:rsid w:val="00754746"/>
    <w:rsid w:val="0076477F"/>
    <w:rsid w:val="007D6DCC"/>
    <w:rsid w:val="007E17DB"/>
    <w:rsid w:val="008774F0"/>
    <w:rsid w:val="008B0C88"/>
    <w:rsid w:val="008D0E55"/>
    <w:rsid w:val="008E041D"/>
    <w:rsid w:val="008F7A38"/>
    <w:rsid w:val="009723AB"/>
    <w:rsid w:val="00A0750D"/>
    <w:rsid w:val="00A3357D"/>
    <w:rsid w:val="00AE7FE3"/>
    <w:rsid w:val="00AF3C4F"/>
    <w:rsid w:val="00B24CA4"/>
    <w:rsid w:val="00B372EE"/>
    <w:rsid w:val="00BB558A"/>
    <w:rsid w:val="00BD539E"/>
    <w:rsid w:val="00C05CFE"/>
    <w:rsid w:val="00C219F0"/>
    <w:rsid w:val="00C77337"/>
    <w:rsid w:val="00D00EA9"/>
    <w:rsid w:val="00D327FF"/>
    <w:rsid w:val="00D421AD"/>
    <w:rsid w:val="00D60D1D"/>
    <w:rsid w:val="00E308A4"/>
    <w:rsid w:val="00E57716"/>
    <w:rsid w:val="00E9189F"/>
    <w:rsid w:val="00ED24BB"/>
    <w:rsid w:val="00ED2E8C"/>
    <w:rsid w:val="00EF101D"/>
    <w:rsid w:val="00F6421E"/>
    <w:rsid w:val="00F91F2D"/>
    <w:rsid w:val="00FB6ED9"/>
    <w:rsid w:val="1A795EAE"/>
    <w:rsid w:val="32F860CE"/>
    <w:rsid w:val="6EF774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Calibri" w:hAnsi="Calibri" w:eastAsia="宋体" w:cs="Times New Roman"/>
      <w:b/>
      <w:bCs/>
      <w:kern w:val="44"/>
      <w:sz w:val="44"/>
      <w:szCs w:val="44"/>
    </w:rPr>
  </w:style>
  <w:style w:type="character" w:customStyle="1" w:styleId="9">
    <w:name w:val="页眉 Char"/>
    <w:basedOn w:val="7"/>
    <w:link w:val="5"/>
    <w:qFormat/>
    <w:uiPriority w:val="99"/>
    <w:rPr>
      <w:rFonts w:ascii="Calibri" w:hAnsi="Calibri" w:eastAsia="宋体" w:cs="Times New Roman"/>
      <w:sz w:val="18"/>
      <w:szCs w:val="18"/>
    </w:rPr>
  </w:style>
  <w:style w:type="character" w:customStyle="1" w:styleId="10">
    <w:name w:val="页脚 Char"/>
    <w:basedOn w:val="7"/>
    <w:link w:val="4"/>
    <w:qFormat/>
    <w:uiPriority w:val="99"/>
    <w:rPr>
      <w:rFonts w:ascii="Calibri" w:hAnsi="Calibri"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1940</Words>
  <Characters>2021</Characters>
  <Lines>14</Lines>
  <Paragraphs>4</Paragraphs>
  <TotalTime>488</TotalTime>
  <ScaleCrop>false</ScaleCrop>
  <LinksUpToDate>false</LinksUpToDate>
  <CharactersWithSpaces>2070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2022-06-18T06:30:00Z</dcterms:created>
  <dc:creator>Administrator</dc:creator>
  <cp:lastModifiedBy>小鱼儿</cp:lastModifiedBy>
  <cp:lastPrinted>2022-06-27T12:17:00Z</cp:lastPrinted>
  <dcterms:modified xsi:type="dcterms:W3CDTF">2022-11-25T08:38:36Z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5EE9A019C19840C79FB44242A7638A19</vt:lpwstr>
  </property>
</Properties>
</file>