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项目需求</w:t>
      </w:r>
    </w:p>
    <w:p>
      <w:pPr>
        <w:pStyle w:val="9"/>
        <w:widowControl/>
        <w:jc w:val="both"/>
        <w:rPr>
          <w:rFonts w:cs="华文仿宋"/>
          <w:sz w:val="28"/>
          <w:szCs w:val="28"/>
        </w:rPr>
      </w:pPr>
      <w:r>
        <w:rPr>
          <w:rFonts w:cs="宋体"/>
          <w:sz w:val="28"/>
          <w:szCs w:val="28"/>
        </w:rPr>
        <w:t>注：</w:t>
      </w:r>
    </w:p>
    <w:p>
      <w:pPr>
        <w:pStyle w:val="9"/>
        <w:widowControl/>
        <w:ind w:left="420"/>
        <w:jc w:val="both"/>
        <w:rPr>
          <w:rFonts w:cs="华文仿宋"/>
          <w:sz w:val="28"/>
          <w:szCs w:val="28"/>
        </w:rPr>
      </w:pPr>
      <w:r>
        <w:rPr>
          <w:rFonts w:cs="华文仿宋"/>
          <w:sz w:val="28"/>
          <w:szCs w:val="28"/>
        </w:rPr>
        <w:t>1、</w:t>
      </w:r>
      <w:r>
        <w:rPr>
          <w:rFonts w:cs="宋体"/>
          <w:sz w:val="28"/>
          <w:szCs w:val="28"/>
        </w:rPr>
        <w:t>如本章内容与其他章节有冲突，以本章内容为准。</w:t>
      </w:r>
    </w:p>
    <w:p>
      <w:pPr>
        <w:pStyle w:val="9"/>
        <w:widowControl/>
        <w:ind w:left="420"/>
        <w:jc w:val="both"/>
        <w:rPr>
          <w:rFonts w:cs="华文仿宋"/>
          <w:sz w:val="28"/>
          <w:szCs w:val="28"/>
        </w:rPr>
      </w:pPr>
      <w:r>
        <w:rPr>
          <w:rFonts w:cs="华文仿宋"/>
          <w:sz w:val="28"/>
          <w:szCs w:val="28"/>
        </w:rPr>
        <w:t>2、</w:t>
      </w:r>
      <w:r>
        <w:rPr>
          <w:rFonts w:cs="宋体"/>
          <w:sz w:val="28"/>
          <w:szCs w:val="28"/>
        </w:rPr>
        <w:t>如本章内容与国家法律法规相冲突的，以相关法律法规为准。</w:t>
      </w:r>
    </w:p>
    <w:p>
      <w:pPr>
        <w:pStyle w:val="9"/>
        <w:widowControl/>
        <w:ind w:left="420"/>
        <w:jc w:val="both"/>
        <w:rPr>
          <w:rFonts w:cs="宋体"/>
          <w:sz w:val="28"/>
          <w:szCs w:val="28"/>
        </w:rPr>
      </w:pPr>
      <w:r>
        <w:rPr>
          <w:rFonts w:cs="华文仿宋"/>
          <w:sz w:val="28"/>
          <w:szCs w:val="28"/>
        </w:rPr>
        <w:t>3、</w:t>
      </w:r>
      <w:r>
        <w:rPr>
          <w:rFonts w:cs="宋体"/>
          <w:sz w:val="28"/>
          <w:szCs w:val="28"/>
        </w:rPr>
        <w:t>如本章内容与国家、地方强制标准相冲突的，以强制标准为准。</w:t>
      </w:r>
    </w:p>
    <w:p>
      <w:pPr>
        <w:adjustRightInd w:val="0"/>
        <w:snapToGrid w:val="0"/>
        <w:spacing w:line="600" w:lineRule="exact"/>
        <w:ind w:firstLine="640" w:firstLineChars="200"/>
        <w:contextualSpacing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一、项目概况</w:t>
      </w:r>
    </w:p>
    <w:p>
      <w:pPr>
        <w:adjustRightInd w:val="0"/>
        <w:snapToGrid w:val="0"/>
        <w:spacing w:line="600" w:lineRule="exact"/>
        <w:ind w:firstLine="640" w:firstLineChars="20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有效控制我市共享单车投放总量，提升市政公共资源使用效率，促进行业健康有序发展，参照外地市成功经验，对我市市区互联网租赁自行车委托运营项目进行公开招标。中标人需为市民提供优质、便捷、安全的共享出行服务，并要切实履行企业主体责任，做好车辆停车秩序维护，引导用户文明骑行。</w:t>
      </w:r>
    </w:p>
    <w:p>
      <w:pPr>
        <w:adjustRightInd w:val="0"/>
        <w:snapToGrid w:val="0"/>
        <w:spacing w:line="600" w:lineRule="exact"/>
        <w:ind w:firstLine="640" w:firstLineChars="200"/>
        <w:contextualSpacing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二、项目内容</w:t>
      </w:r>
    </w:p>
    <w:p>
      <w:pPr>
        <w:adjustRightInd w:val="0"/>
        <w:snapToGrid w:val="0"/>
        <w:spacing w:line="600" w:lineRule="exact"/>
        <w:ind w:firstLine="640" w:firstLineChars="20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本次公开招标内容为铜陵市市区（铜官区、义安区、郊区）互联网租赁自行车委托运营，涉及</w:t>
      </w:r>
      <w:r>
        <w:rPr>
          <w:rFonts w:hint="eastAsia" w:ascii="仿宋" w:hAnsi="仿宋" w:eastAsia="仿宋"/>
          <w:sz w:val="32"/>
          <w:szCs w:val="32"/>
          <w:highlight w:val="none"/>
        </w:rPr>
        <w:t>铜陵市区19500辆车辆的经营权，其中共享自行车10000辆，共享</w:t>
      </w:r>
      <w:r>
        <w:rPr>
          <w:rFonts w:hint="eastAsia" w:ascii="仿宋" w:hAnsi="仿宋" w:eastAsia="仿宋"/>
          <w:sz w:val="32"/>
          <w:szCs w:val="32"/>
        </w:rPr>
        <w:t>电动自行车9500辆。</w:t>
      </w:r>
    </w:p>
    <w:p>
      <w:pPr>
        <w:adjustRightInd w:val="0"/>
        <w:snapToGrid w:val="0"/>
        <w:spacing w:line="600" w:lineRule="exact"/>
        <w:ind w:firstLine="640" w:firstLineChars="20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本次拟确定2家中标单位。最终得分前两名的企业承担本项服务工作，初次配额按照共享自行车每家5000辆，共享电动自行车第一名5000辆，第二名4500辆进行分配。</w:t>
      </w:r>
    </w:p>
    <w:p>
      <w:pPr>
        <w:adjustRightInd w:val="0"/>
        <w:snapToGrid w:val="0"/>
        <w:spacing w:line="60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采取市场化、企业化的模式，中标人负责项目投资、建设和经营管理，自主经营、自负盈亏，运营期限为1年，服务期结束后，如履约良好，且乙方当年度承检机构考核良好的，在双方同意和下年预算安排的情况下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可续签下一年合同，</w:t>
      </w:r>
      <w:r>
        <w:rPr>
          <w:rFonts w:hint="eastAsia" w:ascii="仿宋" w:hAnsi="仿宋" w:eastAsia="仿宋" w:cs="宋体"/>
          <w:sz w:val="32"/>
          <w:szCs w:val="32"/>
          <w:highlight w:val="none"/>
          <w:lang w:bidi="ar"/>
        </w:rPr>
        <w:t>续签时间不超过两年，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合同一年一签。中标</w:t>
      </w:r>
      <w:r>
        <w:rPr>
          <w:rFonts w:hint="eastAsia" w:ascii="仿宋" w:hAnsi="仿宋" w:eastAsia="仿宋" w:cs="仿宋"/>
          <w:bCs/>
          <w:sz w:val="32"/>
          <w:szCs w:val="32"/>
        </w:rPr>
        <w:t>人需与铜陵市交通运输局、铜陵市公安局、铜陵市城管执法局共同签订合同。</w:t>
      </w:r>
    </w:p>
    <w:p>
      <w:pPr>
        <w:adjustRightInd w:val="0"/>
        <w:snapToGrid w:val="0"/>
        <w:spacing w:line="600" w:lineRule="exact"/>
        <w:ind w:firstLine="640" w:firstLineChars="200"/>
        <w:contextualSpacing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三、服务要求</w:t>
      </w:r>
    </w:p>
    <w:p>
      <w:pPr>
        <w:adjustRightInd w:val="0"/>
        <w:snapToGrid w:val="0"/>
        <w:spacing w:line="600" w:lineRule="exact"/>
        <w:ind w:firstLine="640" w:firstLineChars="200"/>
        <w:contextualSpacing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1、中标人须组建专业管理团队，负责承担运营范围内具体的现场运营管理工作，并落实固定办公，车辆中转、维修、维护场地。</w:t>
      </w:r>
    </w:p>
    <w:p>
      <w:pPr>
        <w:adjustRightInd w:val="0"/>
        <w:snapToGrid w:val="0"/>
        <w:spacing w:line="600" w:lineRule="exact"/>
        <w:ind w:firstLine="640" w:firstLineChars="200"/>
        <w:contextualSpacing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2、在经营期限内，由中标人统一负责本市区项目的建设、运营、维护、保养、调度管理。经营期内实行考核，通过对运营企业的服务质量进行监督考核，根据考核结果决定是否调整配额。</w:t>
      </w:r>
    </w:p>
    <w:p>
      <w:pPr>
        <w:adjustRightInd w:val="0"/>
        <w:snapToGrid w:val="0"/>
        <w:spacing w:line="600" w:lineRule="exact"/>
        <w:ind w:firstLine="640" w:firstLineChars="200"/>
        <w:contextualSpacing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3、运营企业所投放的车辆要符合相关规范要求：</w:t>
      </w:r>
      <w:r>
        <w:rPr>
          <w:rFonts w:hint="eastAsia" w:ascii="仿宋" w:hAnsi="仿宋" w:eastAsia="仿宋" w:cs="宋体"/>
          <w:sz w:val="32"/>
          <w:szCs w:val="32"/>
        </w:rPr>
        <w:t>共享自行车应当符合《自行车安全要求》（GB3565-2005），共享电动自行车应当符合《电动自行车安全技术规范》</w:t>
      </w: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宋体"/>
          <w:sz w:val="32"/>
          <w:szCs w:val="32"/>
        </w:rPr>
        <w:t>GB17761-2018</w:t>
      </w:r>
      <w:r>
        <w:rPr>
          <w:rFonts w:hint="eastAsia" w:ascii="仿宋" w:hAnsi="仿宋" w:eastAsia="仿宋" w:cs="仿宋"/>
          <w:bCs/>
          <w:sz w:val="32"/>
          <w:szCs w:val="32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>；共享电动自行车必须每车配备安全头盔，并在投标文件中提供相关检测报告；车辆</w:t>
      </w:r>
      <w:r>
        <w:rPr>
          <w:rFonts w:hint="eastAsia" w:ascii="仿宋" w:hAnsi="仿宋" w:eastAsia="仿宋" w:cs="仿宋"/>
          <w:bCs/>
          <w:sz w:val="32"/>
          <w:szCs w:val="32"/>
        </w:rPr>
        <w:t>技术性能要安全可靠，具备唯一的车辆识别电子编码，须有车辆卫星定位和智能通讯控制模块的智能锁，安装有精准定位的芯片设备，具备实时定位和精确查找功能；共享电动自行车车体应当使用阻燃材料，经公安机关上牌登记后方可投放</w:t>
      </w:r>
      <w:r>
        <w:rPr>
          <w:rFonts w:hint="eastAsia" w:ascii="仿宋" w:hAnsi="仿宋" w:eastAsia="仿宋" w:cs="宋体"/>
          <w:sz w:val="32"/>
          <w:szCs w:val="32"/>
        </w:rPr>
        <w:t>；符合现有法律法规规章等对车辆本身和骑乘的安全性要求。投标人必须在投标文件中提供品牌车辆的详细技术参数。</w:t>
      </w:r>
    </w:p>
    <w:p>
      <w:pPr>
        <w:pStyle w:val="2"/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4、中标人须自行组织建设符合铜陵市区市政条件的停车点位设施，不得改变、破坏原有市政公用设施基本样貌（除施划停车线）。</w:t>
      </w:r>
    </w:p>
    <w:p>
      <w:pPr>
        <w:pStyle w:val="6"/>
        <w:adjustRightInd w:val="0"/>
        <w:snapToGrid w:val="0"/>
        <w:spacing w:line="600" w:lineRule="exact"/>
        <w:ind w:firstLine="640" w:firstLineChars="200"/>
        <w:contextualSpacing/>
        <w:jc w:val="both"/>
        <w:rPr>
          <w:rFonts w:ascii="仿宋" w:hAnsi="仿宋" w:eastAsia="仿宋" w:cs="宋体"/>
          <w:kern w:val="2"/>
          <w:sz w:val="32"/>
          <w:szCs w:val="32"/>
        </w:rPr>
      </w:pPr>
      <w:r>
        <w:rPr>
          <w:rFonts w:hint="eastAsia" w:ascii="黑体" w:hAnsi="黑体" w:eastAsia="黑体" w:cs="宋体"/>
          <w:bCs/>
          <w:kern w:val="2"/>
          <w:sz w:val="32"/>
          <w:szCs w:val="32"/>
        </w:rPr>
        <w:t>四、运营要求</w:t>
      </w:r>
    </w:p>
    <w:p>
      <w:pPr>
        <w:pStyle w:val="6"/>
        <w:adjustRightInd w:val="0"/>
        <w:snapToGrid w:val="0"/>
        <w:spacing w:line="600" w:lineRule="exact"/>
        <w:ind w:firstLine="640" w:firstLineChars="200"/>
        <w:contextualSpacing/>
        <w:jc w:val="both"/>
        <w:rPr>
          <w:rFonts w:ascii="仿宋" w:hAnsi="仿宋" w:eastAsia="仿宋" w:cs="宋体"/>
          <w:kern w:val="2"/>
          <w:sz w:val="32"/>
          <w:szCs w:val="32"/>
        </w:rPr>
      </w:pPr>
      <w:r>
        <w:rPr>
          <w:rFonts w:hint="eastAsia" w:ascii="仿宋" w:hAnsi="仿宋" w:eastAsia="仿宋" w:cs="宋体"/>
          <w:kern w:val="2"/>
          <w:sz w:val="32"/>
          <w:szCs w:val="32"/>
        </w:rPr>
        <w:t>1、</w:t>
      </w:r>
      <w:r>
        <w:rPr>
          <w:rFonts w:hint="eastAsia" w:ascii="仿宋" w:hAnsi="仿宋" w:eastAsia="仿宋" w:cs="仿宋"/>
          <w:bCs/>
          <w:sz w:val="32"/>
          <w:szCs w:val="32"/>
        </w:rPr>
        <w:t>中标人</w:t>
      </w:r>
      <w:r>
        <w:rPr>
          <w:rFonts w:hint="eastAsia" w:ascii="仿宋" w:hAnsi="仿宋" w:eastAsia="仿宋" w:cs="宋体"/>
          <w:kern w:val="2"/>
          <w:sz w:val="32"/>
          <w:szCs w:val="32"/>
        </w:rPr>
        <w:t>应当对用户利用网络进行实名制注册登记并签订服务协议，明确双方权利义务（应包含但不限于骑行人应遵守的城市管理、道路交通安全等方面法律法规规定），指导、督促用户履行安全文明骑行、规范车辆停放等义务，建立健全注册用户使用车辆信用积分制度，将多次违规违约的用户列入黑名单，并限制其使用。</w:t>
      </w:r>
    </w:p>
    <w:p>
      <w:pPr>
        <w:pStyle w:val="6"/>
        <w:adjustRightInd w:val="0"/>
        <w:snapToGrid w:val="0"/>
        <w:spacing w:line="600" w:lineRule="exact"/>
        <w:ind w:firstLine="640" w:firstLineChars="200"/>
        <w:contextualSpacing/>
        <w:jc w:val="both"/>
        <w:rPr>
          <w:rFonts w:ascii="仿宋" w:hAnsi="仿宋" w:eastAsia="仿宋" w:cs="宋体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宋体"/>
          <w:kern w:val="2"/>
          <w:sz w:val="32"/>
          <w:szCs w:val="32"/>
        </w:rPr>
        <w:t>2、共享电动自行车禁止向未满16周岁的儿童提供注册、租赁服务；共享自行车禁止向未满12周岁的儿童提供注册、租赁服务。</w:t>
      </w:r>
    </w:p>
    <w:p>
      <w:pPr>
        <w:pStyle w:val="6"/>
        <w:adjustRightInd w:val="0"/>
        <w:snapToGrid w:val="0"/>
        <w:spacing w:line="600" w:lineRule="exact"/>
        <w:ind w:firstLine="640" w:firstLineChars="200"/>
        <w:contextualSpacing/>
        <w:jc w:val="both"/>
        <w:rPr>
          <w:rFonts w:ascii="仿宋" w:hAnsi="仿宋" w:eastAsia="仿宋" w:cs="宋体"/>
          <w:kern w:val="2"/>
          <w:sz w:val="32"/>
          <w:szCs w:val="32"/>
        </w:rPr>
      </w:pPr>
      <w:r>
        <w:rPr>
          <w:rFonts w:hint="eastAsia" w:ascii="仿宋" w:hAnsi="仿宋" w:eastAsia="仿宋" w:cs="宋体"/>
          <w:kern w:val="2"/>
          <w:sz w:val="32"/>
          <w:szCs w:val="32"/>
        </w:rPr>
        <w:t>3、</w:t>
      </w:r>
      <w:r>
        <w:rPr>
          <w:rFonts w:hint="eastAsia" w:ascii="仿宋" w:hAnsi="仿宋" w:eastAsia="仿宋" w:cs="仿宋"/>
          <w:bCs/>
          <w:sz w:val="32"/>
          <w:szCs w:val="32"/>
        </w:rPr>
        <w:t>中标人</w:t>
      </w:r>
      <w:r>
        <w:rPr>
          <w:rFonts w:hint="eastAsia" w:ascii="仿宋" w:hAnsi="仿宋" w:eastAsia="仿宋" w:cs="宋体"/>
          <w:kern w:val="2"/>
          <w:sz w:val="32"/>
          <w:szCs w:val="32"/>
        </w:rPr>
        <w:t>应当公布符合国家有关规定的计费方式和收费标准，在经营活动中不得实施不正当竞争行为，不得侵害用户合法权益和社会公共利益，做到守法经营、公平竞争。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运营期内计费方式和收费标准不得变动。</w:t>
      </w:r>
    </w:p>
    <w:p>
      <w:pPr>
        <w:pStyle w:val="6"/>
        <w:adjustRightInd w:val="0"/>
        <w:snapToGrid w:val="0"/>
        <w:spacing w:line="600" w:lineRule="exact"/>
        <w:ind w:firstLine="640" w:firstLineChars="200"/>
        <w:contextualSpacing/>
        <w:jc w:val="both"/>
        <w:rPr>
          <w:rFonts w:ascii="仿宋" w:hAnsi="仿宋" w:eastAsia="仿宋" w:cs="宋体"/>
          <w:kern w:val="2"/>
          <w:sz w:val="32"/>
          <w:szCs w:val="32"/>
        </w:rPr>
      </w:pPr>
      <w:r>
        <w:rPr>
          <w:rFonts w:hint="eastAsia" w:ascii="仿宋" w:hAnsi="仿宋" w:eastAsia="仿宋" w:cs="宋体"/>
          <w:kern w:val="2"/>
          <w:sz w:val="32"/>
          <w:szCs w:val="32"/>
        </w:rPr>
        <w:t>4、</w:t>
      </w:r>
      <w:r>
        <w:rPr>
          <w:rFonts w:hint="eastAsia" w:ascii="仿宋" w:hAnsi="仿宋" w:eastAsia="仿宋" w:cs="仿宋"/>
          <w:bCs/>
          <w:sz w:val="32"/>
          <w:szCs w:val="32"/>
        </w:rPr>
        <w:t>中标人</w:t>
      </w:r>
      <w:r>
        <w:rPr>
          <w:rFonts w:hint="eastAsia" w:ascii="仿宋" w:hAnsi="仿宋" w:eastAsia="仿宋" w:cs="宋体"/>
          <w:kern w:val="2"/>
          <w:sz w:val="32"/>
          <w:szCs w:val="32"/>
        </w:rPr>
        <w:t>应当购买人身意外险、第三者责任险等相关保险，将事故赔偿机制、流程、标准等向社会公示。</w:t>
      </w:r>
    </w:p>
    <w:p>
      <w:pPr>
        <w:pStyle w:val="6"/>
        <w:adjustRightInd w:val="0"/>
        <w:snapToGrid w:val="0"/>
        <w:spacing w:line="600" w:lineRule="exact"/>
        <w:ind w:firstLine="640" w:firstLineChars="200"/>
        <w:contextualSpacing/>
        <w:jc w:val="both"/>
        <w:rPr>
          <w:rFonts w:hint="eastAsia" w:ascii="仿宋" w:hAnsi="仿宋" w:eastAsia="仿宋" w:cs="宋体"/>
          <w:kern w:val="2"/>
          <w:sz w:val="32"/>
          <w:szCs w:val="32"/>
        </w:rPr>
      </w:pPr>
      <w:r>
        <w:rPr>
          <w:rFonts w:hint="eastAsia" w:ascii="仿宋" w:hAnsi="仿宋" w:eastAsia="仿宋" w:cs="宋体"/>
          <w:kern w:val="2"/>
          <w:sz w:val="32"/>
          <w:szCs w:val="32"/>
        </w:rPr>
        <w:t>5、中标人应当公布服务质量承诺，公开服务监督电话，建立用户及群众投诉处理制度，及时处理投诉。</w:t>
      </w:r>
    </w:p>
    <w:p>
      <w:pPr>
        <w:pStyle w:val="6"/>
        <w:adjustRightInd w:val="0"/>
        <w:snapToGrid w:val="0"/>
        <w:spacing w:line="600" w:lineRule="exact"/>
        <w:ind w:firstLine="640" w:firstLineChars="200"/>
        <w:contextualSpacing/>
        <w:jc w:val="both"/>
        <w:rPr>
          <w:rFonts w:hint="eastAsia" w:ascii="仿宋" w:hAnsi="仿宋" w:eastAsia="仿宋" w:cs="宋体"/>
          <w:kern w:val="2"/>
          <w:sz w:val="32"/>
          <w:szCs w:val="32"/>
        </w:rPr>
      </w:pPr>
      <w:r>
        <w:rPr>
          <w:rFonts w:hint="eastAsia" w:ascii="仿宋" w:hAnsi="仿宋" w:eastAsia="仿宋" w:cs="宋体"/>
          <w:kern w:val="2"/>
          <w:sz w:val="32"/>
          <w:szCs w:val="32"/>
        </w:rPr>
        <w:t>6、中标人应当做好车辆调度和停放秩序管理工作，对乱停放情况实施实时监控并及时清理完毕且符合城市管理要求，保证并管理好足够的运维工作人员，确保停放秩序；落实应急保障措施；定期对车辆进行保洁、维修，提升市民骑行满意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83F3E"/>
    <w:rsid w:val="2A98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uppressLineNumbers w:val="0"/>
      <w:spacing w:before="260" w:beforeLines="0" w:beforeAutospacing="0" w:after="260" w:afterLines="0" w:afterAutospacing="0" w:line="415" w:lineRule="auto"/>
      <w:jc w:val="both"/>
      <w:outlineLvl w:val="1"/>
    </w:pPr>
    <w:rPr>
      <w:rFonts w:hint="default" w:ascii="Arial" w:hAnsi="Arial" w:eastAsia="黑体" w:cs="Arial"/>
      <w:b/>
      <w:kern w:val="2"/>
      <w:sz w:val="32"/>
      <w:szCs w:val="32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/>
      <w:ind w:leftChars="0" w:firstLine="420" w:firstLineChars="200"/>
    </w:pPr>
    <w:rPr>
      <w:rFonts w:ascii="Calibri" w:hAnsi="Calibri" w:eastAsia="宋体" w:cs="Times New Roman"/>
      <w:kern w:val="0"/>
      <w:sz w:val="32"/>
      <w:szCs w:val="20"/>
    </w:rPr>
  </w:style>
  <w:style w:type="paragraph" w:styleId="3">
    <w:name w:val="Body Text Indent"/>
    <w:basedOn w:val="1"/>
    <w:next w:val="4"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paragraph" w:customStyle="1" w:styleId="9">
    <w:name w:val="样式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2021-10-11T10:20:00Z</dcterms:created>
  <dc:creator>XiLi</dc:creator>
  <cp:lastModifiedBy>XiLi</cp:lastModifiedBy>
  <dcterms:modified xsi:type="dcterms:W3CDTF">2021-10-11T10:20:35Z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AFDEA84FABB24DA183E8D6F0DA8E31EA</vt:lpwstr>
  </property>
</Properties>
</file>