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综合评审表</w:t>
      </w:r>
    </w:p>
    <w:p>
      <w:pPr>
        <w:widowControl/>
        <w:spacing w:line="360" w:lineRule="auto"/>
        <w:ind w:firstLine="480"/>
        <w:jc w:val="left"/>
        <w:rPr>
          <w:rFonts w:hAnsi="宋体" w:cs="宋体"/>
        </w:rPr>
      </w:pPr>
    </w:p>
    <w:tbl>
      <w:tblPr>
        <w:tblStyle w:val="15"/>
        <w:tblW w:w="937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60"/>
        <w:gridCol w:w="6962"/>
        <w:gridCol w:w="85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Ansi="宋体" w:cs="宋体"/>
                <w:b/>
                <w:bCs/>
              </w:rPr>
            </w:pPr>
            <w:r>
              <w:rPr>
                <w:rFonts w:hint="eastAsia" w:hAnsi="宋体" w:cs="宋体"/>
                <w:b/>
                <w:bCs/>
              </w:rPr>
              <w:t>评审</w:t>
            </w:r>
          </w:p>
        </w:tc>
        <w:tc>
          <w:tcPr>
            <w:tcW w:w="696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Ansi="宋体" w:cs="宋体"/>
                <w:b/>
                <w:bCs/>
              </w:rPr>
            </w:pPr>
            <w:r>
              <w:rPr>
                <w:rFonts w:hint="eastAsia" w:hAnsi="宋体" w:cs="宋体"/>
                <w:b/>
                <w:bCs/>
              </w:rPr>
              <w:t>依据</w:t>
            </w:r>
          </w:p>
        </w:tc>
        <w:tc>
          <w:tcPr>
            <w:tcW w:w="85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Ansi="宋体" w:cs="宋体"/>
                <w:b/>
                <w:bCs/>
              </w:rPr>
            </w:pPr>
            <w:r>
              <w:rPr>
                <w:rFonts w:hint="eastAsia" w:hAnsi="宋体" w:cs="宋体"/>
                <w:b/>
                <w:bCs/>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32" w:hRule="atLeast"/>
          <w:jc w:val="center"/>
        </w:trPr>
        <w:tc>
          <w:tcPr>
            <w:tcW w:w="15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Ansi="宋体" w:cs="宋体"/>
                <w:b/>
                <w:bCs/>
              </w:rPr>
            </w:pPr>
            <w:r>
              <w:rPr>
                <w:rFonts w:hint="eastAsia" w:hAnsi="宋体" w:cs="宋体"/>
                <w:b/>
                <w:bCs/>
              </w:rPr>
              <w:t>价格部分</w:t>
            </w:r>
          </w:p>
          <w:p>
            <w:pPr>
              <w:pStyle w:val="2"/>
              <w:jc w:val="center"/>
              <w:rPr>
                <w:b/>
                <w:bCs/>
              </w:rPr>
            </w:pPr>
            <w:r>
              <w:rPr>
                <w:rFonts w:hint="eastAsia"/>
                <w:b/>
                <w:bCs/>
              </w:rPr>
              <w:t>（2</w:t>
            </w:r>
            <w:r>
              <w:rPr>
                <w:b/>
                <w:bCs/>
              </w:rPr>
              <w:t>0</w:t>
            </w:r>
            <w:r>
              <w:rPr>
                <w:rFonts w:hint="eastAsia"/>
                <w:b/>
                <w:bCs/>
              </w:rPr>
              <w:t>分）</w:t>
            </w: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宋体"/>
              </w:rPr>
            </w:pPr>
            <w:r>
              <w:rPr>
                <w:rFonts w:hint="eastAsia" w:hAnsi="宋体" w:cs="微软雅黑"/>
                <w:kern w:val="0"/>
                <w:sz w:val="21"/>
                <w:szCs w:val="21"/>
                <w:lang w:bidi="ar"/>
              </w:rPr>
              <w:t>根据各投标人的最终有效投标报价，以满足招标文件要求且最终有效投标价格最低的投标报价为评标基准价，其价格分为满分</w:t>
            </w:r>
            <w:r>
              <w:rPr>
                <w:rFonts w:hint="eastAsia" w:hAnsi="宋体" w:cs="微软雅黑"/>
                <w:kern w:val="0"/>
                <w:sz w:val="21"/>
                <w:szCs w:val="21"/>
                <w:lang w:val="en-US" w:eastAsia="zh-CN" w:bidi="ar"/>
              </w:rPr>
              <w:t>2</w:t>
            </w:r>
            <w:r>
              <w:rPr>
                <w:rFonts w:hint="eastAsia" w:hAnsi="宋体" w:cs="微软雅黑"/>
                <w:kern w:val="0"/>
                <w:sz w:val="21"/>
                <w:szCs w:val="21"/>
                <w:lang w:bidi="ar"/>
              </w:rPr>
              <w:t>0分。其它投标人的价格分统一按照下列公式计算：投标报价得分=(评标基准价／投标报价)×</w:t>
            </w:r>
            <w:r>
              <w:rPr>
                <w:rFonts w:hint="eastAsia" w:hAnsi="宋体" w:cs="微软雅黑"/>
                <w:kern w:val="0"/>
                <w:sz w:val="21"/>
                <w:szCs w:val="21"/>
                <w:lang w:val="en-US" w:eastAsia="zh-CN" w:bidi="ar"/>
              </w:rPr>
              <w:t>2</w:t>
            </w:r>
            <w:r>
              <w:rPr>
                <w:rFonts w:hint="eastAsia" w:hAnsi="宋体" w:cs="微软雅黑"/>
                <w:kern w:val="0"/>
                <w:sz w:val="21"/>
                <w:szCs w:val="21"/>
                <w:lang w:bidi="ar"/>
              </w:rPr>
              <w:t>0（四舍五入，精确到小数点后二位）。</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微软雅黑"/>
                <w:b/>
                <w:bCs/>
                <w:kern w:val="0"/>
                <w:sz w:val="21"/>
                <w:szCs w:val="21"/>
                <w:lang w:bidi="ar"/>
              </w:rPr>
            </w:pPr>
            <w:r>
              <w:rPr>
                <w:rFonts w:hAnsi="宋体" w:cs="宋体"/>
                <w:b/>
                <w:bCs/>
              </w:rPr>
              <w:t>0</w:t>
            </w:r>
            <w:r>
              <w:rPr>
                <w:rFonts w:hint="eastAsia" w:hAnsi="宋体" w:cs="宋体"/>
                <w:b/>
                <w:bCs/>
              </w:rPr>
              <w:t>-2</w:t>
            </w:r>
            <w:r>
              <w:rPr>
                <w:rFonts w:hAnsi="宋体" w:cs="宋体"/>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0" w:type="dxa"/>
            <w:vMerge w:val="restart"/>
            <w:vAlign w:val="center"/>
          </w:tcPr>
          <w:p>
            <w:pPr>
              <w:widowControl/>
              <w:spacing w:line="360" w:lineRule="auto"/>
              <w:jc w:val="center"/>
              <w:rPr>
                <w:rFonts w:hAnsi="宋体" w:cs="宋体"/>
                <w:b/>
                <w:bCs/>
                <w:sz w:val="21"/>
                <w:szCs w:val="21"/>
              </w:rPr>
            </w:pPr>
            <w:r>
              <w:rPr>
                <w:rFonts w:hint="eastAsia" w:hAnsi="宋体" w:cs="宋体"/>
                <w:b/>
                <w:bCs/>
                <w:sz w:val="21"/>
                <w:szCs w:val="21"/>
              </w:rPr>
              <w:t>技术部分</w:t>
            </w:r>
          </w:p>
          <w:p>
            <w:pPr>
              <w:pStyle w:val="2"/>
              <w:jc w:val="center"/>
              <w:rPr>
                <w:b/>
                <w:bCs/>
              </w:rPr>
            </w:pPr>
            <w:r>
              <w:rPr>
                <w:rFonts w:hint="eastAsia"/>
                <w:b/>
                <w:bCs/>
              </w:rPr>
              <w:t>（4</w:t>
            </w:r>
            <w:r>
              <w:rPr>
                <w:b/>
                <w:bCs/>
              </w:rPr>
              <w:t>5</w:t>
            </w:r>
            <w:r>
              <w:rPr>
                <w:rFonts w:hint="eastAsia"/>
                <w:b/>
                <w:bCs/>
              </w:rPr>
              <w:t>分）</w:t>
            </w:r>
          </w:p>
        </w:tc>
        <w:tc>
          <w:tcPr>
            <w:tcW w:w="6962" w:type="dxa"/>
            <w:vAlign w:val="center"/>
          </w:tcPr>
          <w:p>
            <w:pPr>
              <w:widowControl/>
              <w:spacing w:line="276" w:lineRule="auto"/>
              <w:jc w:val="left"/>
              <w:rPr>
                <w:rFonts w:hAnsi="宋体" w:cs="宋体"/>
                <w:b/>
                <w:bCs/>
                <w:sz w:val="21"/>
                <w:szCs w:val="21"/>
              </w:rPr>
            </w:pPr>
            <w:r>
              <w:rPr>
                <w:rFonts w:hint="eastAsia" w:hAnsi="宋体" w:cs="宋体"/>
                <w:b/>
                <w:bCs/>
                <w:sz w:val="21"/>
                <w:szCs w:val="21"/>
              </w:rPr>
              <w:t>1、技术方案（1</w:t>
            </w:r>
            <w:r>
              <w:rPr>
                <w:rFonts w:hAnsi="宋体" w:cs="宋体"/>
                <w:b/>
                <w:bCs/>
                <w:sz w:val="21"/>
                <w:szCs w:val="21"/>
              </w:rPr>
              <w:t>5</w:t>
            </w:r>
            <w:r>
              <w:rPr>
                <w:rFonts w:hint="eastAsia" w:hAnsi="宋体" w:cs="宋体"/>
                <w:b/>
                <w:bCs/>
                <w:sz w:val="21"/>
                <w:szCs w:val="21"/>
              </w:rPr>
              <w:t>分）</w:t>
            </w:r>
          </w:p>
          <w:p>
            <w:pPr>
              <w:pStyle w:val="2"/>
            </w:pPr>
            <w:r>
              <w:rPr>
                <w:b w:val="0"/>
                <w:bCs w:val="0"/>
              </w:rPr>
              <w:t>1)</w:t>
            </w:r>
            <w:r>
              <w:rPr>
                <w:rFonts w:hint="eastAsia" w:hAnsi="宋体" w:cs="宋体"/>
                <w:b w:val="0"/>
                <w:bCs w:val="0"/>
                <w:sz w:val="21"/>
                <w:szCs w:val="21"/>
              </w:rPr>
              <w:t xml:space="preserve"> </w:t>
            </w:r>
            <w:r>
              <w:rPr>
                <w:rFonts w:hint="eastAsia" w:hAnsi="宋体" w:cs="宋体"/>
                <w:sz w:val="21"/>
                <w:szCs w:val="21"/>
              </w:rPr>
              <w:t>总体</w:t>
            </w:r>
            <w:r>
              <w:rPr>
                <w:rFonts w:hint="eastAsia" w:hAnsi="宋体" w:cs="宋体"/>
                <w:sz w:val="21"/>
                <w:szCs w:val="21"/>
                <w:lang w:val="en-US" w:eastAsia="zh-CN"/>
              </w:rPr>
              <w:t>设计</w:t>
            </w:r>
            <w:r>
              <w:rPr>
                <w:rFonts w:hint="eastAsia" w:hAnsi="宋体" w:cs="宋体"/>
                <w:sz w:val="21"/>
                <w:szCs w:val="21"/>
              </w:rPr>
              <w:t>方案(</w:t>
            </w:r>
            <w:r>
              <w:rPr>
                <w:rFonts w:hAnsi="宋体" w:cs="宋体"/>
                <w:sz w:val="21"/>
                <w:szCs w:val="21"/>
              </w:rPr>
              <w:t>6</w:t>
            </w:r>
            <w:r>
              <w:rPr>
                <w:rFonts w:hint="eastAsia" w:hAnsi="宋体" w:cs="宋体"/>
                <w:sz w:val="21"/>
                <w:szCs w:val="21"/>
              </w:rPr>
              <w:t>分</w:t>
            </w:r>
            <w:r>
              <w:rPr>
                <w:rFonts w:hAnsi="宋体" w:cs="宋体"/>
                <w:sz w:val="21"/>
                <w:szCs w:val="21"/>
              </w:rPr>
              <w:t>)</w:t>
            </w:r>
          </w:p>
          <w:p>
            <w:pPr>
              <w:widowControl/>
              <w:spacing w:line="276" w:lineRule="auto"/>
              <w:jc w:val="left"/>
              <w:rPr>
                <w:rFonts w:hAnsi="宋体" w:cs="宋体"/>
                <w:sz w:val="21"/>
                <w:szCs w:val="21"/>
              </w:rPr>
            </w:pPr>
            <w:r>
              <w:rPr>
                <w:rFonts w:hint="eastAsia" w:hAnsi="宋体" w:cs="宋体"/>
                <w:sz w:val="21"/>
                <w:szCs w:val="21"/>
              </w:rPr>
              <w:t>对投标人提供的总体解决方案进行评比。针对光荣院现状，提出完整建设方案。投标方案中须包含需求分析、总体架构设计、技术路线、数据对接、安全保障等内容。</w:t>
            </w:r>
          </w:p>
          <w:p>
            <w:pPr>
              <w:widowControl/>
              <w:spacing w:line="276" w:lineRule="auto"/>
              <w:jc w:val="left"/>
              <w:rPr>
                <w:rFonts w:hAnsi="宋体" w:cs="宋体"/>
                <w:sz w:val="21"/>
                <w:szCs w:val="21"/>
              </w:rPr>
            </w:pPr>
            <w:r>
              <w:rPr>
                <w:rFonts w:hint="eastAsia" w:hAnsi="宋体" w:cs="宋体"/>
                <w:sz w:val="21"/>
                <w:szCs w:val="21"/>
              </w:rPr>
              <w:t>1.方案简单，内容没有针对性，得</w:t>
            </w:r>
            <w:r>
              <w:rPr>
                <w:rFonts w:hAnsi="宋体" w:cs="宋体"/>
                <w:sz w:val="21"/>
                <w:szCs w:val="21"/>
              </w:rPr>
              <w:t>2</w:t>
            </w:r>
            <w:r>
              <w:rPr>
                <w:rFonts w:hint="eastAsia" w:hAnsi="宋体" w:cs="宋体"/>
                <w:sz w:val="21"/>
                <w:szCs w:val="21"/>
              </w:rPr>
              <w:t>分。</w:t>
            </w:r>
          </w:p>
          <w:p>
            <w:pPr>
              <w:widowControl/>
              <w:spacing w:line="276" w:lineRule="auto"/>
              <w:jc w:val="left"/>
              <w:rPr>
                <w:rFonts w:hAnsi="宋体" w:cs="宋体"/>
                <w:sz w:val="21"/>
                <w:szCs w:val="21"/>
              </w:rPr>
            </w:pPr>
            <w:r>
              <w:rPr>
                <w:rFonts w:hint="eastAsia" w:hAnsi="宋体" w:cs="宋体"/>
                <w:sz w:val="21"/>
                <w:szCs w:val="21"/>
              </w:rPr>
              <w:t>2.方案较合理，较完整,基本满足采购服务要求，得</w:t>
            </w:r>
            <w:r>
              <w:rPr>
                <w:rFonts w:hAnsi="宋体" w:cs="宋体"/>
                <w:sz w:val="21"/>
                <w:szCs w:val="21"/>
              </w:rPr>
              <w:t>4</w:t>
            </w:r>
            <w:r>
              <w:rPr>
                <w:rFonts w:hint="eastAsia" w:hAnsi="宋体" w:cs="宋体"/>
                <w:sz w:val="21"/>
                <w:szCs w:val="21"/>
              </w:rPr>
              <w:t>分。</w:t>
            </w:r>
          </w:p>
          <w:p>
            <w:pPr>
              <w:widowControl/>
              <w:spacing w:line="276" w:lineRule="auto"/>
              <w:jc w:val="left"/>
              <w:rPr>
                <w:rFonts w:hAnsi="宋体" w:cs="宋体"/>
                <w:sz w:val="21"/>
                <w:szCs w:val="21"/>
              </w:rPr>
            </w:pPr>
            <w:r>
              <w:rPr>
                <w:rFonts w:hint="eastAsia" w:hAnsi="宋体" w:cs="宋体"/>
                <w:sz w:val="21"/>
                <w:szCs w:val="21"/>
              </w:rPr>
              <w:t>3. 实施方案完整详尽，清晰合理，能完全满足采购服务要求，得</w:t>
            </w:r>
            <w:r>
              <w:rPr>
                <w:rFonts w:hAnsi="宋体" w:cs="宋体"/>
                <w:sz w:val="21"/>
                <w:szCs w:val="21"/>
              </w:rPr>
              <w:t>6</w:t>
            </w:r>
            <w:r>
              <w:rPr>
                <w:rFonts w:hint="eastAsia" w:hAnsi="宋体" w:cs="宋体"/>
                <w:sz w:val="21"/>
                <w:szCs w:val="21"/>
              </w:rPr>
              <w:t>分。</w:t>
            </w:r>
          </w:p>
          <w:p>
            <w:pPr>
              <w:pStyle w:val="2"/>
              <w:rPr>
                <w:rFonts w:hAnsi="宋体" w:cs="宋体"/>
                <w:sz w:val="21"/>
                <w:szCs w:val="21"/>
              </w:rPr>
            </w:pPr>
            <w:r>
              <w:rPr>
                <w:rFonts w:hint="eastAsia"/>
              </w:rPr>
              <w:t>2</w:t>
            </w:r>
            <w:r>
              <w:t>)</w:t>
            </w:r>
            <w:r>
              <w:rPr>
                <w:rFonts w:hint="eastAsia" w:hAnsi="宋体" w:cs="宋体"/>
                <w:sz w:val="21"/>
                <w:szCs w:val="21"/>
              </w:rPr>
              <w:t xml:space="preserve"> </w:t>
            </w:r>
            <w:r>
              <w:rPr>
                <w:rFonts w:hint="eastAsia" w:hAnsi="宋体" w:cs="宋体"/>
                <w:sz w:val="21"/>
                <w:szCs w:val="21"/>
                <w:lang w:val="en-US" w:eastAsia="zh-CN"/>
              </w:rPr>
              <w:t>项目</w:t>
            </w:r>
            <w:r>
              <w:rPr>
                <w:rFonts w:hint="eastAsia" w:hAnsi="宋体" w:cs="宋体"/>
                <w:sz w:val="21"/>
                <w:szCs w:val="21"/>
              </w:rPr>
              <w:t>实施方案(</w:t>
            </w:r>
            <w:r>
              <w:rPr>
                <w:rFonts w:hAnsi="宋体" w:cs="宋体"/>
                <w:sz w:val="21"/>
                <w:szCs w:val="21"/>
              </w:rPr>
              <w:t>3</w:t>
            </w:r>
            <w:r>
              <w:rPr>
                <w:rFonts w:hint="eastAsia" w:hAnsi="宋体" w:cs="宋体"/>
                <w:sz w:val="21"/>
                <w:szCs w:val="21"/>
              </w:rPr>
              <w:t>分</w:t>
            </w:r>
            <w:r>
              <w:rPr>
                <w:rFonts w:hAnsi="宋体" w:cs="宋体"/>
                <w:sz w:val="21"/>
                <w:szCs w:val="21"/>
              </w:rPr>
              <w:t>)</w:t>
            </w:r>
          </w:p>
          <w:p>
            <w:pPr>
              <w:widowControl/>
              <w:spacing w:line="276" w:lineRule="auto"/>
              <w:jc w:val="left"/>
              <w:rPr>
                <w:rFonts w:hAnsi="宋体" w:cs="宋体"/>
                <w:sz w:val="21"/>
                <w:szCs w:val="21"/>
              </w:rPr>
            </w:pPr>
            <w:r>
              <w:rPr>
                <w:rFonts w:hint="eastAsia" w:hAnsi="宋体" w:cs="宋体"/>
                <w:sz w:val="21"/>
                <w:szCs w:val="21"/>
              </w:rPr>
              <w:t>对投标人提供的项目实施方案完整性、合理性、先进性、可行性、实用性综合评分：</w:t>
            </w:r>
          </w:p>
          <w:p>
            <w:pPr>
              <w:widowControl/>
              <w:spacing w:line="276" w:lineRule="auto"/>
              <w:jc w:val="left"/>
              <w:rPr>
                <w:rFonts w:hAnsi="宋体" w:cs="宋体"/>
                <w:sz w:val="21"/>
                <w:szCs w:val="21"/>
              </w:rPr>
            </w:pPr>
            <w:r>
              <w:rPr>
                <w:rFonts w:hint="eastAsia" w:hAnsi="宋体" w:cs="宋体"/>
                <w:sz w:val="21"/>
                <w:szCs w:val="21"/>
              </w:rPr>
              <w:t>1.方案简单，内容没有针对性，得1分。</w:t>
            </w:r>
          </w:p>
          <w:p>
            <w:pPr>
              <w:widowControl/>
              <w:spacing w:line="276" w:lineRule="auto"/>
              <w:jc w:val="left"/>
              <w:rPr>
                <w:rFonts w:hAnsi="宋体" w:cs="宋体"/>
                <w:sz w:val="21"/>
                <w:szCs w:val="21"/>
              </w:rPr>
            </w:pPr>
            <w:r>
              <w:rPr>
                <w:rFonts w:hint="eastAsia" w:hAnsi="宋体" w:cs="宋体"/>
                <w:sz w:val="21"/>
                <w:szCs w:val="21"/>
              </w:rPr>
              <w:t>2.方案较合理、较完整，基本满足采购服务要求，得2分。</w:t>
            </w:r>
          </w:p>
          <w:p>
            <w:pPr>
              <w:pStyle w:val="2"/>
              <w:rPr>
                <w:rFonts w:hAnsi="宋体" w:cs="宋体"/>
                <w:sz w:val="21"/>
                <w:szCs w:val="21"/>
              </w:rPr>
            </w:pPr>
            <w:r>
              <w:rPr>
                <w:rFonts w:hint="eastAsia" w:hAnsi="宋体" w:cs="宋体"/>
                <w:sz w:val="21"/>
                <w:szCs w:val="21"/>
              </w:rPr>
              <w:t>3.实施方案完整详尽，清晰合理，能完全满足采购服务要求，得3分。</w:t>
            </w:r>
          </w:p>
          <w:p>
            <w:pPr>
              <w:pStyle w:val="2"/>
              <w:rPr>
                <w:rFonts w:hAnsi="宋体" w:cs="宋体"/>
                <w:sz w:val="21"/>
                <w:szCs w:val="21"/>
              </w:rPr>
            </w:pPr>
            <w:r>
              <w:rPr>
                <w:rFonts w:hint="eastAsia" w:hAnsi="宋体" w:cs="宋体"/>
                <w:sz w:val="21"/>
                <w:szCs w:val="21"/>
              </w:rPr>
              <w:t>3</w:t>
            </w:r>
            <w:r>
              <w:rPr>
                <w:rFonts w:hAnsi="宋体" w:cs="宋体"/>
                <w:sz w:val="21"/>
                <w:szCs w:val="21"/>
              </w:rPr>
              <w:t>)</w:t>
            </w:r>
            <w:r>
              <w:rPr>
                <w:rFonts w:hint="eastAsia" w:hAnsi="宋体" w:cs="宋体"/>
                <w:sz w:val="21"/>
                <w:szCs w:val="21"/>
              </w:rPr>
              <w:t>培训方案（3分）</w:t>
            </w:r>
          </w:p>
          <w:p>
            <w:pPr>
              <w:pStyle w:val="2"/>
              <w:rPr>
                <w:rFonts w:hAnsi="宋体" w:cs="宋体"/>
                <w:sz w:val="21"/>
                <w:szCs w:val="21"/>
              </w:rPr>
            </w:pPr>
            <w:r>
              <w:rPr>
                <w:rFonts w:hint="eastAsia" w:hAnsi="宋体" w:cs="宋体"/>
                <w:sz w:val="21"/>
                <w:szCs w:val="21"/>
              </w:rPr>
              <w:t xml:space="preserve">有完整、可行的培训方案，必须明确具体培训计划、内容、方式、时间、对象以及培训目标。全部满足得 </w:t>
            </w:r>
            <w:r>
              <w:rPr>
                <w:rFonts w:hAnsi="宋体" w:cs="宋体"/>
                <w:sz w:val="21"/>
                <w:szCs w:val="21"/>
              </w:rPr>
              <w:t>3</w:t>
            </w:r>
            <w:r>
              <w:rPr>
                <w:rFonts w:hint="eastAsia" w:hAnsi="宋体" w:cs="宋体"/>
                <w:sz w:val="21"/>
                <w:szCs w:val="21"/>
              </w:rPr>
              <w:t xml:space="preserve"> 分，缺一项不得分。</w:t>
            </w:r>
          </w:p>
          <w:p>
            <w:pPr>
              <w:pStyle w:val="2"/>
              <w:rPr>
                <w:rFonts w:hAnsi="宋体" w:cs="宋体"/>
                <w:kern w:val="0"/>
                <w:sz w:val="21"/>
                <w:szCs w:val="21"/>
              </w:rPr>
            </w:pPr>
            <w:r>
              <w:rPr>
                <w:rFonts w:hint="eastAsia" w:hAnsi="宋体" w:cs="宋体"/>
                <w:sz w:val="21"/>
                <w:szCs w:val="21"/>
              </w:rPr>
              <w:t>4</w:t>
            </w:r>
            <w:r>
              <w:rPr>
                <w:rFonts w:hAnsi="宋体" w:cs="宋体"/>
                <w:sz w:val="21"/>
                <w:szCs w:val="21"/>
              </w:rPr>
              <w:t>)</w:t>
            </w:r>
            <w:r>
              <w:rPr>
                <w:rFonts w:hint="eastAsia" w:hAnsi="宋体" w:cs="宋体"/>
                <w:kern w:val="0"/>
                <w:sz w:val="21"/>
                <w:szCs w:val="21"/>
              </w:rPr>
              <w:t xml:space="preserve"> 售后方案（3分）</w:t>
            </w:r>
          </w:p>
          <w:p>
            <w:pPr>
              <w:widowControl/>
              <w:spacing w:line="276" w:lineRule="auto"/>
              <w:jc w:val="left"/>
              <w:rPr>
                <w:rFonts w:hAnsi="宋体" w:cs="宋体"/>
                <w:sz w:val="21"/>
                <w:szCs w:val="21"/>
              </w:rPr>
            </w:pPr>
            <w:r>
              <w:rPr>
                <w:rFonts w:hint="eastAsia" w:hAnsi="宋体" w:cs="宋体"/>
                <w:sz w:val="21"/>
                <w:szCs w:val="21"/>
              </w:rPr>
              <w:t xml:space="preserve">有完整、可行的售后服务方案，必须明确具体的售后服务方式、售 </w:t>
            </w:r>
          </w:p>
          <w:p>
            <w:pPr>
              <w:widowControl/>
              <w:spacing w:line="276" w:lineRule="auto"/>
              <w:jc w:val="left"/>
              <w:rPr>
                <w:rFonts w:hAnsi="宋体" w:cs="宋体"/>
                <w:sz w:val="21"/>
                <w:szCs w:val="21"/>
              </w:rPr>
            </w:pPr>
            <w:r>
              <w:rPr>
                <w:rFonts w:hint="eastAsia" w:hAnsi="宋体" w:cs="宋体"/>
                <w:sz w:val="21"/>
                <w:szCs w:val="21"/>
              </w:rPr>
              <w:t xml:space="preserve">后服务体系、应急方案、有质保期后的服务承诺、软件升级的方案 </w:t>
            </w:r>
          </w:p>
          <w:p>
            <w:pPr>
              <w:pStyle w:val="2"/>
            </w:pPr>
            <w:r>
              <w:rPr>
                <w:rFonts w:hint="eastAsia" w:hAnsi="宋体" w:cs="宋体"/>
                <w:sz w:val="21"/>
                <w:szCs w:val="21"/>
              </w:rPr>
              <w:t xml:space="preserve">等内容，全部满足得 </w:t>
            </w:r>
            <w:r>
              <w:rPr>
                <w:rFonts w:hAnsi="宋体" w:cs="宋体"/>
                <w:sz w:val="21"/>
                <w:szCs w:val="21"/>
              </w:rPr>
              <w:t>3</w:t>
            </w:r>
            <w:r>
              <w:rPr>
                <w:rFonts w:hint="eastAsia" w:hAnsi="宋体" w:cs="宋体"/>
                <w:sz w:val="21"/>
                <w:szCs w:val="21"/>
              </w:rPr>
              <w:t>分，缺一项不得分</w:t>
            </w:r>
          </w:p>
        </w:tc>
        <w:tc>
          <w:tcPr>
            <w:tcW w:w="850" w:type="dxa"/>
            <w:vAlign w:val="center"/>
          </w:tcPr>
          <w:p>
            <w:pPr>
              <w:widowControl/>
              <w:spacing w:line="276" w:lineRule="auto"/>
              <w:jc w:val="center"/>
              <w:rPr>
                <w:rFonts w:hAnsi="宋体" w:cs="宋体"/>
                <w:b/>
                <w:bCs/>
                <w:sz w:val="21"/>
                <w:szCs w:val="21"/>
              </w:rPr>
            </w:pPr>
            <w:r>
              <w:rPr>
                <w:rFonts w:hAnsi="宋体" w:cs="宋体"/>
                <w:b/>
                <w:bCs/>
                <w:sz w:val="21"/>
                <w:szCs w:val="21"/>
              </w:rPr>
              <w:t>0</w:t>
            </w:r>
            <w:r>
              <w:rPr>
                <w:rFonts w:hint="eastAsia" w:hAnsi="宋体" w:cs="宋体"/>
                <w:b/>
                <w:bCs/>
                <w:sz w:val="21"/>
                <w:szCs w:val="21"/>
              </w:rPr>
              <w:t>-</w:t>
            </w:r>
            <w:r>
              <w:rPr>
                <w:rFonts w:hAnsi="宋体" w:cs="宋体"/>
                <w:b/>
                <w:bCs/>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0" w:type="dxa"/>
            <w:vMerge w:val="continue"/>
            <w:vAlign w:val="center"/>
          </w:tcPr>
          <w:p>
            <w:pPr>
              <w:widowControl/>
              <w:spacing w:line="360" w:lineRule="auto"/>
              <w:jc w:val="center"/>
              <w:rPr>
                <w:rFonts w:hAnsi="宋体" w:cs="宋体"/>
                <w:b/>
                <w:bCs/>
                <w:kern w:val="0"/>
                <w:sz w:val="21"/>
                <w:szCs w:val="21"/>
              </w:rPr>
            </w:pPr>
          </w:p>
        </w:tc>
        <w:tc>
          <w:tcPr>
            <w:tcW w:w="6962" w:type="dxa"/>
            <w:vAlign w:val="center"/>
          </w:tcPr>
          <w:p>
            <w:pPr>
              <w:widowControl/>
              <w:spacing w:line="276" w:lineRule="auto"/>
              <w:jc w:val="left"/>
              <w:rPr>
                <w:rFonts w:hAnsi="宋体" w:cs="宋体"/>
                <w:b/>
                <w:bCs/>
                <w:sz w:val="21"/>
                <w:szCs w:val="21"/>
              </w:rPr>
            </w:pPr>
            <w:r>
              <w:rPr>
                <w:rFonts w:hint="eastAsia" w:hAnsi="宋体" w:cs="宋体"/>
                <w:b/>
                <w:bCs/>
                <w:sz w:val="21"/>
                <w:szCs w:val="21"/>
              </w:rPr>
              <w:t>2、</w:t>
            </w:r>
            <w:r>
              <w:rPr>
                <w:rFonts w:hint="eastAsia" w:hAnsi="宋体" w:cs="宋体"/>
                <w:b/>
                <w:bCs/>
                <w:sz w:val="21"/>
                <w:szCs w:val="21"/>
                <w:lang w:val="en-US" w:eastAsia="zh-CN"/>
              </w:rPr>
              <w:t>产品</w:t>
            </w:r>
            <w:r>
              <w:rPr>
                <w:rFonts w:hint="eastAsia" w:hAnsi="宋体" w:cs="宋体"/>
                <w:b/>
                <w:bCs/>
                <w:kern w:val="0"/>
                <w:sz w:val="21"/>
                <w:szCs w:val="21"/>
              </w:rPr>
              <w:t>技术</w:t>
            </w:r>
            <w:r>
              <w:rPr>
                <w:rFonts w:hint="eastAsia" w:hAnsi="宋体" w:cs="宋体"/>
                <w:b/>
                <w:bCs/>
                <w:kern w:val="0"/>
                <w:sz w:val="21"/>
                <w:szCs w:val="21"/>
                <w:lang w:val="en-US" w:eastAsia="zh-CN"/>
              </w:rPr>
              <w:t>指标符合性</w:t>
            </w:r>
            <w:r>
              <w:rPr>
                <w:rFonts w:hint="eastAsia" w:hAnsi="宋体" w:cs="宋体"/>
                <w:b/>
                <w:bCs/>
                <w:kern w:val="0"/>
                <w:sz w:val="21"/>
                <w:szCs w:val="21"/>
              </w:rPr>
              <w:t>（1</w:t>
            </w:r>
            <w:r>
              <w:rPr>
                <w:rFonts w:hAnsi="宋体" w:cs="宋体"/>
                <w:b/>
                <w:bCs/>
                <w:kern w:val="0"/>
                <w:sz w:val="21"/>
                <w:szCs w:val="21"/>
              </w:rPr>
              <w:t>0</w:t>
            </w:r>
            <w:r>
              <w:rPr>
                <w:rFonts w:hint="eastAsia" w:hAnsi="宋体" w:cs="宋体"/>
                <w:b/>
                <w:bCs/>
                <w:kern w:val="0"/>
                <w:sz w:val="21"/>
                <w:szCs w:val="21"/>
              </w:rPr>
              <w:t>分）</w:t>
            </w:r>
          </w:p>
          <w:p>
            <w:pPr>
              <w:widowControl/>
              <w:spacing w:line="276" w:lineRule="auto"/>
              <w:jc w:val="left"/>
              <w:rPr>
                <w:rFonts w:hAnsi="宋体" w:cs="宋体"/>
                <w:sz w:val="21"/>
                <w:szCs w:val="21"/>
              </w:rPr>
            </w:pPr>
            <w:r>
              <w:rPr>
                <w:rFonts w:hint="eastAsia" w:hAnsi="宋体" w:cs="宋体"/>
                <w:sz w:val="21"/>
                <w:szCs w:val="21"/>
                <w:lang w:val="en-US" w:eastAsia="zh-CN"/>
              </w:rPr>
              <w:t>所投产品所有技术指标全部满足或优于招标要求的，得10分；每一项不满足扣1分，10分扣完为止</w:t>
            </w:r>
            <w:r>
              <w:rPr>
                <w:rFonts w:hint="eastAsia" w:hAnsi="宋体" w:cs="宋体"/>
                <w:sz w:val="21"/>
                <w:szCs w:val="21"/>
              </w:rPr>
              <w:t>。</w:t>
            </w:r>
          </w:p>
        </w:tc>
        <w:tc>
          <w:tcPr>
            <w:tcW w:w="850" w:type="dxa"/>
            <w:vAlign w:val="center"/>
          </w:tcPr>
          <w:p>
            <w:pPr>
              <w:widowControl/>
              <w:spacing w:line="276" w:lineRule="auto"/>
              <w:jc w:val="center"/>
              <w:rPr>
                <w:rFonts w:hAnsi="宋体" w:cs="宋体"/>
                <w:b/>
                <w:bCs/>
                <w:sz w:val="21"/>
                <w:szCs w:val="21"/>
              </w:rPr>
            </w:pPr>
            <w:r>
              <w:rPr>
                <w:rFonts w:hAnsi="宋体" w:cs="宋体"/>
                <w:b/>
                <w:bCs/>
                <w:sz w:val="21"/>
                <w:szCs w:val="21"/>
              </w:rPr>
              <w:t>0</w:t>
            </w:r>
            <w:r>
              <w:rPr>
                <w:rFonts w:hint="eastAsia" w:hAnsi="宋体" w:cs="宋体"/>
                <w:b/>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0" w:type="dxa"/>
            <w:vMerge w:val="continue"/>
            <w:vAlign w:val="center"/>
          </w:tcPr>
          <w:p>
            <w:pPr>
              <w:widowControl/>
              <w:spacing w:line="360" w:lineRule="auto"/>
              <w:jc w:val="center"/>
              <w:rPr>
                <w:rFonts w:hAnsi="宋体" w:cs="宋体"/>
                <w:b/>
                <w:bCs/>
                <w:kern w:val="0"/>
                <w:sz w:val="21"/>
                <w:szCs w:val="21"/>
              </w:rPr>
            </w:pPr>
          </w:p>
        </w:tc>
        <w:tc>
          <w:tcPr>
            <w:tcW w:w="6962" w:type="dxa"/>
            <w:vAlign w:val="center"/>
          </w:tcPr>
          <w:p>
            <w:pPr>
              <w:spacing w:line="276" w:lineRule="auto"/>
              <w:rPr>
                <w:rFonts w:hAnsi="宋体" w:cs="宋体"/>
                <w:b/>
                <w:bCs/>
                <w:sz w:val="21"/>
                <w:szCs w:val="21"/>
              </w:rPr>
            </w:pPr>
            <w:r>
              <w:rPr>
                <w:rFonts w:hint="eastAsia" w:hAnsi="宋体" w:cs="宋体"/>
                <w:b/>
                <w:bCs/>
                <w:sz w:val="21"/>
                <w:szCs w:val="21"/>
              </w:rPr>
              <w:t>3、数据对接（</w:t>
            </w:r>
            <w:r>
              <w:rPr>
                <w:rFonts w:hAnsi="宋体" w:cs="宋体"/>
                <w:b/>
                <w:bCs/>
                <w:sz w:val="21"/>
                <w:szCs w:val="21"/>
              </w:rPr>
              <w:t>10</w:t>
            </w:r>
            <w:r>
              <w:rPr>
                <w:rFonts w:hint="eastAsia" w:hAnsi="宋体" w:cs="宋体"/>
                <w:b/>
                <w:bCs/>
                <w:sz w:val="21"/>
                <w:szCs w:val="21"/>
              </w:rPr>
              <w:t>分）</w:t>
            </w:r>
          </w:p>
          <w:p>
            <w:pPr>
              <w:spacing w:line="276" w:lineRule="auto"/>
              <w:rPr>
                <w:rFonts w:hAnsi="宋体" w:cs="宋体"/>
                <w:sz w:val="21"/>
                <w:szCs w:val="21"/>
              </w:rPr>
            </w:pPr>
            <w:r>
              <w:rPr>
                <w:rFonts w:hint="eastAsia" w:hAnsi="宋体" w:cs="宋体"/>
                <w:sz w:val="21"/>
                <w:szCs w:val="21"/>
              </w:rPr>
              <w:t>1.</w:t>
            </w:r>
            <w:r>
              <w:rPr>
                <w:rFonts w:hAnsi="宋体" w:cs="宋体"/>
                <w:sz w:val="21"/>
                <w:szCs w:val="21"/>
              </w:rPr>
              <w:t>实现与</w:t>
            </w:r>
            <w:r>
              <w:rPr>
                <w:rFonts w:hint="eastAsia" w:hAnsi="宋体" w:cs="宋体"/>
                <w:sz w:val="21"/>
                <w:szCs w:val="21"/>
              </w:rPr>
              <w:t>院内现有信息管理系统、优抚医疗补助结算系统</w:t>
            </w:r>
            <w:r>
              <w:rPr>
                <w:rFonts w:hAnsi="宋体" w:cs="宋体"/>
                <w:sz w:val="21"/>
                <w:szCs w:val="21"/>
              </w:rPr>
              <w:t>数据对接并提供相关证明材料，每提供1个业务系统数据对接证明</w:t>
            </w:r>
            <w:r>
              <w:rPr>
                <w:rFonts w:hint="eastAsia" w:hAnsi="宋体" w:cs="宋体"/>
                <w:sz w:val="21"/>
                <w:szCs w:val="21"/>
              </w:rPr>
              <w:t>材料，</w:t>
            </w:r>
            <w:r>
              <w:rPr>
                <w:rFonts w:hAnsi="宋体" w:cs="宋体"/>
                <w:sz w:val="21"/>
                <w:szCs w:val="21"/>
              </w:rPr>
              <w:t>得</w:t>
            </w:r>
            <w:r>
              <w:rPr>
                <w:rFonts w:hint="eastAsia" w:hAnsi="宋体" w:cs="宋体"/>
                <w:sz w:val="21"/>
                <w:szCs w:val="21"/>
              </w:rPr>
              <w:t>3</w:t>
            </w:r>
            <w:r>
              <w:rPr>
                <w:rFonts w:hAnsi="宋体" w:cs="宋体"/>
                <w:sz w:val="21"/>
                <w:szCs w:val="21"/>
              </w:rPr>
              <w:t>分，满分</w:t>
            </w:r>
            <w:r>
              <w:rPr>
                <w:rFonts w:hint="eastAsia" w:hAnsi="宋体" w:cs="宋体"/>
                <w:sz w:val="21"/>
                <w:szCs w:val="21"/>
              </w:rPr>
              <w:t>6</w:t>
            </w:r>
            <w:r>
              <w:rPr>
                <w:rFonts w:hAnsi="宋体" w:cs="宋体"/>
                <w:sz w:val="21"/>
                <w:szCs w:val="21"/>
              </w:rPr>
              <w:t>分。</w:t>
            </w:r>
          </w:p>
          <w:p>
            <w:pPr>
              <w:pStyle w:val="2"/>
              <w:spacing w:line="276" w:lineRule="auto"/>
              <w:rPr>
                <w:rFonts w:hAnsi="宋体" w:cs="宋体"/>
                <w:sz w:val="21"/>
                <w:szCs w:val="21"/>
              </w:rPr>
            </w:pPr>
            <w:r>
              <w:rPr>
                <w:rFonts w:hint="eastAsia" w:hAnsi="宋体" w:cs="宋体"/>
                <w:sz w:val="21"/>
                <w:szCs w:val="21"/>
              </w:rPr>
              <w:t>2.实现与院内健康小屋的智能体检设备对接、便携式一体机对接。提供接口对接承诺书并加盖投标人公章，得</w:t>
            </w:r>
            <w:r>
              <w:rPr>
                <w:rFonts w:hAnsi="宋体" w:cs="宋体"/>
                <w:sz w:val="21"/>
                <w:szCs w:val="21"/>
              </w:rPr>
              <w:t>4</w:t>
            </w:r>
            <w:r>
              <w:rPr>
                <w:rFonts w:hint="eastAsia" w:hAnsi="宋体" w:cs="宋体"/>
                <w:sz w:val="21"/>
                <w:szCs w:val="21"/>
              </w:rPr>
              <w:t>分。</w:t>
            </w:r>
          </w:p>
          <w:p>
            <w:pPr>
              <w:widowControl/>
              <w:spacing w:line="276" w:lineRule="auto"/>
              <w:jc w:val="left"/>
              <w:rPr>
                <w:rFonts w:hAnsi="宋体" w:cs="宋体"/>
                <w:sz w:val="21"/>
                <w:szCs w:val="21"/>
              </w:rPr>
            </w:pPr>
            <w:r>
              <w:rPr>
                <w:rFonts w:hAnsi="宋体" w:cs="宋体"/>
                <w:b/>
                <w:bCs/>
                <w:sz w:val="21"/>
                <w:szCs w:val="21"/>
              </w:rPr>
              <w:t>备注：</w:t>
            </w:r>
            <w:r>
              <w:rPr>
                <w:rFonts w:hint="eastAsia" w:hAnsi="宋体" w:cs="宋体"/>
                <w:b/>
                <w:bCs/>
                <w:sz w:val="21"/>
                <w:szCs w:val="21"/>
              </w:rPr>
              <w:t>投标单位需提供承诺函，承诺上述内容所产生的费用由中标单位承担（含第三方接口费用）</w:t>
            </w:r>
          </w:p>
        </w:tc>
        <w:tc>
          <w:tcPr>
            <w:tcW w:w="850" w:type="dxa"/>
            <w:vAlign w:val="center"/>
          </w:tcPr>
          <w:p>
            <w:pPr>
              <w:widowControl/>
              <w:spacing w:line="276" w:lineRule="auto"/>
              <w:jc w:val="center"/>
              <w:rPr>
                <w:rFonts w:hAnsi="宋体" w:cs="宋体"/>
                <w:b/>
                <w:bCs/>
                <w:sz w:val="21"/>
                <w:szCs w:val="21"/>
              </w:rPr>
            </w:pPr>
            <w:r>
              <w:rPr>
                <w:rFonts w:hint="eastAsia" w:hAnsi="宋体" w:cs="宋体"/>
                <w:b/>
                <w:bCs/>
                <w:sz w:val="21"/>
                <w:szCs w:val="21"/>
              </w:rPr>
              <w:t>0-</w:t>
            </w:r>
            <w:r>
              <w:rPr>
                <w:rFonts w:hAnsi="宋体" w:cs="宋体"/>
                <w:b/>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0" w:type="dxa"/>
            <w:vMerge w:val="continue"/>
            <w:vAlign w:val="center"/>
          </w:tcPr>
          <w:p>
            <w:pPr>
              <w:widowControl/>
              <w:spacing w:line="360" w:lineRule="auto"/>
              <w:jc w:val="center"/>
              <w:rPr>
                <w:rFonts w:hAnsi="宋体" w:cs="宋体"/>
                <w:b/>
                <w:bCs/>
                <w:kern w:val="0"/>
                <w:sz w:val="21"/>
                <w:szCs w:val="21"/>
              </w:rPr>
            </w:pPr>
          </w:p>
        </w:tc>
        <w:tc>
          <w:tcPr>
            <w:tcW w:w="6962" w:type="dxa"/>
            <w:vAlign w:val="center"/>
          </w:tcPr>
          <w:p>
            <w:pPr>
              <w:widowControl/>
              <w:spacing w:line="276" w:lineRule="auto"/>
              <w:jc w:val="left"/>
              <w:rPr>
                <w:rFonts w:hAnsi="宋体" w:cs="微软雅黑"/>
                <w:b/>
                <w:bCs/>
                <w:kern w:val="0"/>
                <w:sz w:val="21"/>
                <w:szCs w:val="21"/>
                <w:lang w:bidi="ar"/>
              </w:rPr>
            </w:pPr>
            <w:r>
              <w:rPr>
                <w:rFonts w:hint="eastAsia" w:hAnsi="宋体" w:cs="微软雅黑"/>
                <w:b/>
                <w:bCs/>
                <w:kern w:val="0"/>
                <w:sz w:val="21"/>
                <w:szCs w:val="21"/>
                <w:lang w:bidi="ar"/>
              </w:rPr>
              <w:t>4、</w:t>
            </w:r>
            <w:r>
              <w:rPr>
                <w:rFonts w:hint="eastAsia" w:hAnsi="宋体" w:cs="宋体"/>
                <w:b/>
                <w:bCs/>
                <w:sz w:val="21"/>
                <w:szCs w:val="21"/>
              </w:rPr>
              <w:t>系统演示（1</w:t>
            </w:r>
            <w:r>
              <w:rPr>
                <w:rFonts w:hAnsi="宋体" w:cs="宋体"/>
                <w:b/>
                <w:bCs/>
                <w:sz w:val="21"/>
                <w:szCs w:val="21"/>
              </w:rPr>
              <w:t>0</w:t>
            </w:r>
            <w:r>
              <w:rPr>
                <w:rFonts w:hint="eastAsia" w:hAnsi="宋体" w:cs="宋体"/>
                <w:b/>
                <w:bCs/>
                <w:sz w:val="21"/>
                <w:szCs w:val="21"/>
              </w:rPr>
              <w:t>分）</w:t>
            </w:r>
          </w:p>
          <w:p>
            <w:pPr>
              <w:widowControl/>
              <w:spacing w:line="276" w:lineRule="auto"/>
              <w:jc w:val="left"/>
              <w:rPr>
                <w:rFonts w:hAnsi="宋体" w:cs="微软雅黑"/>
                <w:kern w:val="0"/>
                <w:sz w:val="21"/>
                <w:szCs w:val="21"/>
                <w:lang w:bidi="ar"/>
              </w:rPr>
            </w:pPr>
            <w:r>
              <w:rPr>
                <w:rFonts w:hAnsi="宋体" w:cs="微软雅黑"/>
                <w:kern w:val="0"/>
                <w:sz w:val="21"/>
                <w:szCs w:val="21"/>
                <w:lang w:bidi="ar"/>
              </w:rPr>
              <w:t>演示</w:t>
            </w:r>
            <w:r>
              <w:rPr>
                <w:rFonts w:hint="eastAsia" w:hAnsi="宋体" w:cs="微软雅黑"/>
                <w:kern w:val="0"/>
                <w:sz w:val="21"/>
                <w:szCs w:val="21"/>
                <w:lang w:bidi="ar"/>
              </w:rPr>
              <w:t>须</w:t>
            </w:r>
            <w:r>
              <w:rPr>
                <w:rFonts w:hAnsi="宋体" w:cs="微软雅黑"/>
                <w:kern w:val="0"/>
                <w:sz w:val="21"/>
                <w:szCs w:val="21"/>
                <w:lang w:bidi="ar"/>
              </w:rPr>
              <w:t>是投标供应商自主知识产权</w:t>
            </w:r>
            <w:r>
              <w:rPr>
                <w:rFonts w:hint="eastAsia" w:hAnsi="宋体" w:cs="微软雅黑"/>
                <w:kern w:val="0"/>
                <w:sz w:val="21"/>
                <w:szCs w:val="21"/>
                <w:lang w:bidi="ar"/>
              </w:rPr>
              <w:t>的</w:t>
            </w:r>
            <w:r>
              <w:rPr>
                <w:rFonts w:hAnsi="宋体" w:cs="微软雅黑"/>
                <w:kern w:val="0"/>
                <w:sz w:val="21"/>
                <w:szCs w:val="21"/>
                <w:lang w:bidi="ar"/>
              </w:rPr>
              <w:t>软件产品演示，评委会根据演</w:t>
            </w:r>
            <w:r>
              <w:rPr>
                <w:rFonts w:hint="eastAsia" w:hAnsi="宋体" w:cs="微软雅黑"/>
                <w:kern w:val="0"/>
                <w:sz w:val="21"/>
                <w:szCs w:val="21"/>
                <w:lang w:bidi="ar"/>
              </w:rPr>
              <w:t>示情况进行综合评审</w:t>
            </w:r>
            <w:r>
              <w:rPr>
                <w:rFonts w:hint="eastAsia" w:hAnsi="宋体" w:cs="微软雅黑"/>
                <w:kern w:val="0"/>
                <w:sz w:val="21"/>
                <w:szCs w:val="21"/>
                <w:lang w:eastAsia="zh-CN" w:bidi="ar"/>
              </w:rPr>
              <w:t>，</w:t>
            </w:r>
            <w:r>
              <w:rPr>
                <w:rFonts w:hint="eastAsia" w:hAnsi="宋体" w:cs="微软雅黑"/>
                <w:kern w:val="0"/>
                <w:sz w:val="21"/>
                <w:szCs w:val="21"/>
                <w:highlight w:val="yellow"/>
                <w:lang w:val="en-US" w:eastAsia="zh-CN" w:bidi="ar"/>
              </w:rPr>
              <w:t>可以采用</w:t>
            </w:r>
            <w:r>
              <w:rPr>
                <w:rFonts w:hint="eastAsia" w:hAnsi="宋体" w:cs="微软雅黑"/>
                <w:kern w:val="0"/>
                <w:sz w:val="21"/>
                <w:szCs w:val="21"/>
                <w:highlight w:val="yellow"/>
                <w:lang w:bidi="ar"/>
              </w:rPr>
              <w:t>PPT、DEMO或其他形式</w:t>
            </w:r>
            <w:r>
              <w:rPr>
                <w:rFonts w:hint="eastAsia" w:hAnsi="宋体" w:cs="微软雅黑"/>
                <w:kern w:val="0"/>
                <w:sz w:val="21"/>
                <w:szCs w:val="21"/>
                <w:highlight w:val="yellow"/>
                <w:lang w:val="en-US" w:eastAsia="zh-CN" w:bidi="ar"/>
              </w:rPr>
              <w:t>进行</w:t>
            </w:r>
            <w:r>
              <w:rPr>
                <w:rFonts w:hint="eastAsia" w:hAnsi="宋体" w:cs="微软雅黑"/>
                <w:kern w:val="0"/>
                <w:sz w:val="21"/>
                <w:szCs w:val="21"/>
                <w:highlight w:val="yellow"/>
                <w:lang w:bidi="ar"/>
              </w:rPr>
              <w:t>演示。</w:t>
            </w:r>
            <w:r>
              <w:rPr>
                <w:rFonts w:hint="eastAsia" w:hAnsi="宋体" w:cs="微软雅黑"/>
                <w:kern w:val="0"/>
                <w:sz w:val="21"/>
                <w:szCs w:val="21"/>
                <w:lang w:bidi="ar"/>
              </w:rPr>
              <w:t xml:space="preserve"> </w:t>
            </w:r>
          </w:p>
          <w:p>
            <w:pPr>
              <w:widowControl/>
              <w:spacing w:line="276" w:lineRule="auto"/>
              <w:jc w:val="left"/>
              <w:rPr>
                <w:rFonts w:hAnsi="宋体"/>
                <w:sz w:val="21"/>
                <w:szCs w:val="21"/>
              </w:rPr>
            </w:pPr>
            <w:r>
              <w:rPr>
                <w:rFonts w:hint="eastAsia" w:hAnsi="宋体" w:cs="微软雅黑"/>
                <w:kern w:val="0"/>
                <w:sz w:val="21"/>
                <w:szCs w:val="21"/>
                <w:lang w:bidi="ar"/>
              </w:rPr>
              <w:t>1.演示优抚对象从入院申请、入院审核、入院登记、离院申请、离院审核的全流程，并可查看审核日志以及审核流程；演示短期休养申请、短休审核、短休登记、短休小结、导出短休登记表；全部满足得</w:t>
            </w:r>
            <w:r>
              <w:rPr>
                <w:rFonts w:hAnsi="宋体" w:cs="微软雅黑"/>
                <w:kern w:val="0"/>
                <w:sz w:val="21"/>
                <w:szCs w:val="21"/>
                <w:lang w:bidi="ar"/>
              </w:rPr>
              <w:t>3</w:t>
            </w:r>
            <w:r>
              <w:rPr>
                <w:rFonts w:hint="eastAsia" w:hAnsi="宋体" w:cs="微软雅黑"/>
                <w:kern w:val="0"/>
                <w:sz w:val="21"/>
                <w:szCs w:val="21"/>
                <w:lang w:bidi="ar"/>
              </w:rPr>
              <w:t xml:space="preserve">分，缺少一项不得分。 </w:t>
            </w:r>
          </w:p>
          <w:p>
            <w:pPr>
              <w:widowControl/>
              <w:spacing w:line="276" w:lineRule="auto"/>
              <w:jc w:val="left"/>
              <w:rPr>
                <w:rFonts w:hAnsi="宋体"/>
                <w:sz w:val="21"/>
                <w:szCs w:val="21"/>
              </w:rPr>
            </w:pPr>
            <w:r>
              <w:rPr>
                <w:rFonts w:hAnsi="宋体" w:cs="微软雅黑"/>
                <w:kern w:val="0"/>
                <w:sz w:val="21"/>
                <w:szCs w:val="21"/>
                <w:lang w:bidi="ar"/>
              </w:rPr>
              <w:t>2</w:t>
            </w:r>
            <w:r>
              <w:rPr>
                <w:rFonts w:hint="eastAsia" w:hAnsi="宋体" w:cs="微软雅黑"/>
                <w:kern w:val="0"/>
                <w:sz w:val="21"/>
                <w:szCs w:val="21"/>
                <w:lang w:bidi="ar"/>
              </w:rPr>
              <w:t>.</w:t>
            </w:r>
            <w:r>
              <w:rPr>
                <w:rFonts w:hint="eastAsia" w:hAnsi="宋体"/>
                <w:sz w:val="21"/>
                <w:szCs w:val="21"/>
              </w:rPr>
              <w:t xml:space="preserve"> </w:t>
            </w:r>
            <w:r>
              <w:rPr>
                <w:rFonts w:hint="eastAsia" w:hAnsi="宋体" w:cs="微软雅黑"/>
                <w:kern w:val="0"/>
                <w:sz w:val="21"/>
                <w:szCs w:val="21"/>
                <w:lang w:bidi="ar"/>
              </w:rPr>
              <w:t xml:space="preserve">演示光荣院平台多维度主题分析，包含光荣院概况、优抚对象主题、医养结合主题、志愿者主题、服务主题的分析展示，并支持自定义分析查询；演示光荣院平台综合数据分析展示，通过可视化形式对光荣院简介、优抚对象、工作人员进行综合展示，并展示护理任务完成情况、老兵故事、政治生日情况。全部满足得 </w:t>
            </w:r>
            <w:r>
              <w:rPr>
                <w:rFonts w:hint="eastAsia" w:hAnsi="宋体" w:cs="微软雅黑"/>
                <w:kern w:val="0"/>
                <w:sz w:val="21"/>
                <w:szCs w:val="21"/>
                <w:lang w:val="en-US" w:eastAsia="zh-CN" w:bidi="ar"/>
              </w:rPr>
              <w:t>4</w:t>
            </w:r>
            <w:r>
              <w:rPr>
                <w:rFonts w:hint="eastAsia" w:hAnsi="宋体" w:cs="微软雅黑"/>
                <w:kern w:val="0"/>
                <w:sz w:val="21"/>
                <w:szCs w:val="21"/>
                <w:lang w:bidi="ar"/>
              </w:rPr>
              <w:t xml:space="preserve">分，缺少一项不得分。 </w:t>
            </w:r>
          </w:p>
          <w:p>
            <w:pPr>
              <w:pStyle w:val="2"/>
              <w:spacing w:line="276" w:lineRule="auto"/>
              <w:rPr>
                <w:rFonts w:hAnsi="宋体"/>
                <w:sz w:val="21"/>
                <w:szCs w:val="21"/>
                <w:lang w:bidi="ar"/>
              </w:rPr>
            </w:pPr>
            <w:r>
              <w:rPr>
                <w:rFonts w:hAnsi="宋体" w:cs="微软雅黑"/>
                <w:kern w:val="0"/>
                <w:sz w:val="21"/>
                <w:szCs w:val="21"/>
                <w:highlight w:val="yellow"/>
                <w:lang w:bidi="ar"/>
              </w:rPr>
              <w:t>3</w:t>
            </w:r>
            <w:r>
              <w:rPr>
                <w:rFonts w:hint="eastAsia" w:hAnsi="宋体" w:cs="微软雅黑"/>
                <w:kern w:val="0"/>
                <w:sz w:val="21"/>
                <w:szCs w:val="21"/>
                <w:highlight w:val="yellow"/>
                <w:lang w:bidi="ar"/>
              </w:rPr>
              <w:t>．演示移动</w:t>
            </w:r>
            <w:r>
              <w:rPr>
                <w:rFonts w:hAnsi="宋体" w:cs="微软雅黑"/>
                <w:kern w:val="0"/>
                <w:sz w:val="21"/>
                <w:szCs w:val="21"/>
                <w:highlight w:val="yellow"/>
                <w:lang w:bidi="ar"/>
              </w:rPr>
              <w:t>APP，智能安防支持查看床带、</w:t>
            </w:r>
            <w:r>
              <w:rPr>
                <w:rFonts w:hint="eastAsia" w:hAnsi="宋体" w:cs="微软雅黑"/>
                <w:kern w:val="0"/>
                <w:sz w:val="21"/>
                <w:szCs w:val="21"/>
                <w:highlight w:val="yellow"/>
                <w:lang w:bidi="ar"/>
              </w:rPr>
              <w:t>智能手表</w:t>
            </w:r>
            <w:r>
              <w:rPr>
                <w:rFonts w:hAnsi="宋体" w:cs="微软雅黑"/>
                <w:kern w:val="0"/>
                <w:sz w:val="21"/>
                <w:szCs w:val="21"/>
                <w:highlight w:val="yellow"/>
                <w:lang w:bidi="ar"/>
              </w:rPr>
              <w:t>定位数据，支持查看床带监测报告，位置定位导航等功能。</w:t>
            </w:r>
            <w:r>
              <w:rPr>
                <w:rFonts w:hint="eastAsia" w:hAnsi="宋体" w:cs="微软雅黑"/>
                <w:kern w:val="0"/>
                <w:sz w:val="21"/>
                <w:szCs w:val="21"/>
                <w:highlight w:val="yellow"/>
                <w:lang w:bidi="ar"/>
              </w:rPr>
              <w:t xml:space="preserve">全部满足得 </w:t>
            </w:r>
            <w:r>
              <w:rPr>
                <w:rFonts w:hAnsi="宋体" w:cs="微软雅黑"/>
                <w:kern w:val="0"/>
                <w:sz w:val="21"/>
                <w:szCs w:val="21"/>
                <w:highlight w:val="yellow"/>
                <w:lang w:bidi="ar"/>
              </w:rPr>
              <w:t>3</w:t>
            </w:r>
            <w:r>
              <w:rPr>
                <w:rFonts w:hint="eastAsia" w:hAnsi="宋体" w:cs="微软雅黑"/>
                <w:kern w:val="0"/>
                <w:sz w:val="21"/>
                <w:szCs w:val="21"/>
                <w:highlight w:val="yellow"/>
                <w:lang w:bidi="ar"/>
              </w:rPr>
              <w:t xml:space="preserve"> 分，缺少一项不得分。</w:t>
            </w:r>
          </w:p>
          <w:p>
            <w:pPr>
              <w:widowControl/>
              <w:spacing w:line="276" w:lineRule="auto"/>
              <w:jc w:val="left"/>
              <w:rPr>
                <w:rFonts w:hAnsi="宋体" w:cs="宋体"/>
                <w:sz w:val="21"/>
                <w:szCs w:val="21"/>
              </w:rPr>
            </w:pPr>
            <w:r>
              <w:rPr>
                <w:rFonts w:hint="eastAsia" w:hAnsi="宋体" w:cs="微软雅黑"/>
                <w:kern w:val="0"/>
                <w:sz w:val="21"/>
                <w:szCs w:val="21"/>
                <w:lang w:bidi="ar"/>
              </w:rPr>
              <w:t>注：投标供应商自备设备和网络环境，演示时间不超过 15 分钟，专家答疑时间不超过 5 分钟。演示顺序按照签到顺序抽签决定。演示人数 1 人，携带身份证进入评标室。</w:t>
            </w:r>
          </w:p>
        </w:tc>
        <w:tc>
          <w:tcPr>
            <w:tcW w:w="850" w:type="dxa"/>
            <w:vAlign w:val="center"/>
          </w:tcPr>
          <w:p>
            <w:pPr>
              <w:widowControl/>
              <w:spacing w:line="276" w:lineRule="auto"/>
              <w:jc w:val="center"/>
              <w:rPr>
                <w:rFonts w:hAnsi="宋体" w:cs="微软雅黑"/>
                <w:b/>
                <w:bCs/>
                <w:kern w:val="0"/>
                <w:sz w:val="21"/>
                <w:szCs w:val="21"/>
                <w:lang w:bidi="ar"/>
              </w:rPr>
            </w:pPr>
            <w:r>
              <w:rPr>
                <w:rFonts w:hAnsi="宋体" w:cs="宋体"/>
                <w:b/>
                <w:bCs/>
                <w:sz w:val="21"/>
                <w:szCs w:val="21"/>
              </w:rPr>
              <w:t>0</w:t>
            </w:r>
            <w:r>
              <w:rPr>
                <w:rFonts w:hint="eastAsia" w:hAnsi="宋体" w:cs="宋体"/>
                <w:b/>
                <w:bCs/>
                <w:sz w:val="21"/>
                <w:szCs w:val="21"/>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86" w:hRule="atLeast"/>
          <w:jc w:val="center"/>
        </w:trPr>
        <w:tc>
          <w:tcPr>
            <w:tcW w:w="1560" w:type="dxa"/>
            <w:vMerge w:val="restart"/>
            <w:tcBorders>
              <w:top w:val="outset" w:color="auto" w:sz="6" w:space="0"/>
              <w:left w:val="outset" w:color="auto" w:sz="6" w:space="0"/>
              <w:right w:val="outset" w:color="auto" w:sz="6" w:space="0"/>
            </w:tcBorders>
            <w:vAlign w:val="center"/>
          </w:tcPr>
          <w:p>
            <w:pPr>
              <w:widowControl/>
              <w:jc w:val="center"/>
              <w:rPr>
                <w:rFonts w:hAnsi="宋体" w:cs="宋体"/>
                <w:b/>
                <w:bCs/>
                <w:kern w:val="0"/>
                <w:sz w:val="21"/>
                <w:szCs w:val="21"/>
              </w:rPr>
            </w:pPr>
            <w:r>
              <w:rPr>
                <w:rFonts w:hint="eastAsia" w:hAnsi="宋体" w:cs="宋体"/>
                <w:b/>
                <w:bCs/>
                <w:kern w:val="0"/>
                <w:sz w:val="21"/>
                <w:szCs w:val="21"/>
              </w:rPr>
              <w:t>商务部分</w:t>
            </w:r>
          </w:p>
          <w:p>
            <w:pPr>
              <w:widowControl/>
              <w:jc w:val="center"/>
              <w:rPr>
                <w:rFonts w:hAnsi="宋体" w:cs="宋体"/>
                <w:b/>
                <w:bCs/>
                <w:kern w:val="0"/>
                <w:sz w:val="21"/>
                <w:szCs w:val="21"/>
              </w:rPr>
            </w:pPr>
            <w:r>
              <w:rPr>
                <w:rFonts w:hint="eastAsia" w:hAnsi="宋体" w:cs="宋体"/>
                <w:b/>
                <w:bCs/>
                <w:kern w:val="0"/>
                <w:sz w:val="21"/>
                <w:szCs w:val="21"/>
              </w:rPr>
              <w:t>（3</w:t>
            </w:r>
            <w:r>
              <w:rPr>
                <w:rFonts w:hAnsi="宋体" w:cs="宋体"/>
                <w:b/>
                <w:bCs/>
                <w:kern w:val="0"/>
                <w:sz w:val="21"/>
                <w:szCs w:val="21"/>
              </w:rPr>
              <w:t>5</w:t>
            </w:r>
            <w:r>
              <w:rPr>
                <w:rFonts w:hint="eastAsia" w:hAnsi="宋体" w:cs="宋体"/>
                <w:b/>
                <w:bCs/>
                <w:kern w:val="0"/>
                <w:sz w:val="21"/>
                <w:szCs w:val="21"/>
              </w:rPr>
              <w:t>分）</w:t>
            </w: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微软雅黑"/>
                <w:b/>
                <w:bCs/>
                <w:kern w:val="0"/>
                <w:sz w:val="21"/>
                <w:szCs w:val="21"/>
                <w:lang w:bidi="ar"/>
              </w:rPr>
            </w:pPr>
            <w:r>
              <w:rPr>
                <w:rFonts w:hint="eastAsia" w:hAnsi="宋体" w:cs="微软雅黑"/>
                <w:b/>
                <w:bCs/>
                <w:kern w:val="0"/>
                <w:sz w:val="21"/>
                <w:szCs w:val="21"/>
                <w:lang w:bidi="ar"/>
              </w:rPr>
              <w:t>1、产品资质（5分）</w:t>
            </w:r>
          </w:p>
          <w:p>
            <w:pPr>
              <w:widowControl/>
              <w:jc w:val="left"/>
              <w:rPr>
                <w:rFonts w:hAnsi="宋体"/>
                <w:sz w:val="21"/>
                <w:szCs w:val="21"/>
              </w:rPr>
            </w:pPr>
            <w:r>
              <w:rPr>
                <w:rFonts w:hint="eastAsia" w:hAnsi="宋体" w:cs="微软雅黑"/>
                <w:kern w:val="0"/>
                <w:sz w:val="21"/>
                <w:szCs w:val="21"/>
                <w:lang w:bidi="ar"/>
              </w:rPr>
              <w:t xml:space="preserve">投标人提供与光荣院相关的管理软件、系统、平台等自主知识产权的计算机软件著作权登记证书，每提供 1 个得 1分，最高得5分； </w:t>
            </w:r>
          </w:p>
          <w:p>
            <w:pPr>
              <w:widowControl/>
              <w:jc w:val="left"/>
              <w:rPr>
                <w:rFonts w:hAnsi="宋体" w:cs="宋体"/>
                <w:kern w:val="0"/>
                <w:sz w:val="21"/>
                <w:szCs w:val="21"/>
              </w:rPr>
            </w:pPr>
            <w:r>
              <w:rPr>
                <w:rFonts w:hint="eastAsia" w:hAnsi="宋体" w:cs="微软雅黑"/>
                <w:kern w:val="0"/>
                <w:sz w:val="21"/>
                <w:szCs w:val="21"/>
                <w:lang w:bidi="ar"/>
              </w:rPr>
              <w:t>备注：上述相关证书须在投标文件中提供清晰的复印件或影印件（需加盖公章）。所提供著作权登记证书的取得日期必须在招标公告发布日期之前。否则不得分。（</w:t>
            </w:r>
            <w:r>
              <w:rPr>
                <w:rFonts w:hint="eastAsia" w:hAnsi="宋体" w:cs="宋体"/>
                <w:b/>
                <w:bCs/>
                <w:kern w:val="0"/>
                <w:sz w:val="21"/>
                <w:szCs w:val="21"/>
              </w:rPr>
              <w:t xml:space="preserve">需提供原件备查。） </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微软雅黑"/>
                <w:b/>
                <w:bCs/>
                <w:kern w:val="0"/>
                <w:sz w:val="21"/>
                <w:szCs w:val="21"/>
                <w:lang w:bidi="ar"/>
              </w:rPr>
            </w:pPr>
            <w:r>
              <w:rPr>
                <w:rFonts w:hAnsi="宋体" w:cs="宋体"/>
                <w:b/>
                <w:bCs/>
                <w:sz w:val="21"/>
                <w:szCs w:val="21"/>
              </w:rPr>
              <w:t>0</w:t>
            </w:r>
            <w:r>
              <w:rPr>
                <w:rFonts w:hint="eastAsia" w:hAnsi="宋体" w:cs="宋体"/>
                <w:b/>
                <w:bCs/>
                <w:sz w:val="21"/>
                <w:szCs w:val="21"/>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86" w:hRule="atLeast"/>
          <w:jc w:val="center"/>
        </w:trPr>
        <w:tc>
          <w:tcPr>
            <w:tcW w:w="1560" w:type="dxa"/>
            <w:vMerge w:val="continue"/>
            <w:tcBorders>
              <w:left w:val="outset" w:color="auto" w:sz="6" w:space="0"/>
              <w:right w:val="outset" w:color="auto" w:sz="6" w:space="0"/>
            </w:tcBorders>
            <w:vAlign w:val="center"/>
          </w:tcPr>
          <w:p>
            <w:pPr>
              <w:widowControl/>
              <w:jc w:val="center"/>
              <w:rPr>
                <w:rFonts w:hAnsi="宋体" w:cs="宋体"/>
                <w:b/>
                <w:bCs/>
                <w:kern w:val="0"/>
                <w:sz w:val="21"/>
                <w:szCs w:val="21"/>
              </w:rPr>
            </w:pP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微软雅黑"/>
                <w:b/>
                <w:bCs/>
                <w:kern w:val="0"/>
                <w:sz w:val="21"/>
                <w:szCs w:val="21"/>
                <w:lang w:bidi="ar"/>
              </w:rPr>
            </w:pPr>
            <w:r>
              <w:rPr>
                <w:rFonts w:hAnsi="宋体" w:cs="微软雅黑"/>
                <w:b/>
                <w:bCs/>
                <w:kern w:val="0"/>
                <w:sz w:val="21"/>
                <w:szCs w:val="21"/>
                <w:lang w:bidi="ar"/>
              </w:rPr>
              <w:t>2</w:t>
            </w:r>
            <w:r>
              <w:rPr>
                <w:rFonts w:hint="eastAsia" w:hAnsi="宋体" w:cs="微软雅黑"/>
                <w:b/>
                <w:bCs/>
                <w:kern w:val="0"/>
                <w:sz w:val="21"/>
                <w:szCs w:val="21"/>
                <w:lang w:bidi="ar"/>
              </w:rPr>
              <w:t>、企业资质（1</w:t>
            </w:r>
            <w:r>
              <w:rPr>
                <w:rFonts w:hAnsi="宋体" w:cs="微软雅黑"/>
                <w:b/>
                <w:bCs/>
                <w:kern w:val="0"/>
                <w:sz w:val="21"/>
                <w:szCs w:val="21"/>
                <w:lang w:bidi="ar"/>
              </w:rPr>
              <w:t>0</w:t>
            </w:r>
            <w:r>
              <w:rPr>
                <w:rFonts w:hint="eastAsia" w:hAnsi="宋体" w:cs="微软雅黑"/>
                <w:b/>
                <w:bCs/>
                <w:kern w:val="0"/>
                <w:sz w:val="21"/>
                <w:szCs w:val="21"/>
                <w:lang w:bidi="ar"/>
              </w:rPr>
              <w:t>分）</w:t>
            </w:r>
          </w:p>
          <w:p>
            <w:pPr>
              <w:widowControl/>
              <w:jc w:val="left"/>
              <w:rPr>
                <w:rFonts w:hAnsi="宋体"/>
                <w:sz w:val="21"/>
                <w:szCs w:val="21"/>
              </w:rPr>
            </w:pPr>
            <w:r>
              <w:rPr>
                <w:rFonts w:hint="eastAsia" w:hAnsi="宋体" w:cs="微软雅黑"/>
                <w:kern w:val="0"/>
                <w:sz w:val="21"/>
                <w:szCs w:val="21"/>
                <w:lang w:bidi="ar"/>
              </w:rPr>
              <w:t xml:space="preserve">1）投标人具有 CMMI3 级资质的得 1 分，投标人具有 CMMI4 级资质的得1.5 分、具有 CMMI5 级资质的得 2 分； </w:t>
            </w:r>
          </w:p>
          <w:p>
            <w:pPr>
              <w:widowControl/>
              <w:jc w:val="left"/>
              <w:rPr>
                <w:rFonts w:hAnsi="宋体"/>
                <w:sz w:val="21"/>
                <w:szCs w:val="21"/>
              </w:rPr>
            </w:pPr>
            <w:r>
              <w:rPr>
                <w:rFonts w:hint="eastAsia" w:hAnsi="宋体" w:cs="微软雅黑"/>
                <w:kern w:val="0"/>
                <w:sz w:val="21"/>
                <w:szCs w:val="21"/>
                <w:lang w:bidi="ar"/>
              </w:rPr>
              <w:t xml:space="preserve">2）投标人具有中国信息安全认证中心或中国网络安全审查技术与认证中心颁发的信息安全集成服务认证证书（信息系统安全集成服务）二级及以上的得 2 分，否则不得分。 </w:t>
            </w:r>
          </w:p>
          <w:p>
            <w:pPr>
              <w:widowControl/>
              <w:jc w:val="left"/>
              <w:rPr>
                <w:rFonts w:hAnsi="宋体" w:cs="微软雅黑"/>
                <w:kern w:val="0"/>
                <w:sz w:val="21"/>
                <w:szCs w:val="21"/>
                <w:lang w:bidi="ar"/>
              </w:rPr>
            </w:pPr>
            <w:r>
              <w:rPr>
                <w:rFonts w:hint="eastAsia" w:hAnsi="宋体" w:cs="微软雅黑"/>
                <w:kern w:val="0"/>
                <w:sz w:val="21"/>
                <w:szCs w:val="21"/>
                <w:lang w:bidi="ar"/>
              </w:rPr>
              <w:t xml:space="preserve">3）投标人同时具有中国软件行业协会颁发的AAA 级企业信誉等级证书得2分。 </w:t>
            </w:r>
          </w:p>
          <w:p>
            <w:pPr>
              <w:widowControl/>
              <w:jc w:val="left"/>
              <w:rPr>
                <w:rFonts w:hAnsi="宋体"/>
                <w:sz w:val="21"/>
                <w:szCs w:val="21"/>
              </w:rPr>
            </w:pPr>
            <w:r>
              <w:rPr>
                <w:rFonts w:hint="eastAsia" w:hAnsi="宋体" w:cs="微软雅黑"/>
                <w:kern w:val="0"/>
                <w:sz w:val="21"/>
                <w:szCs w:val="21"/>
                <w:lang w:bidi="ar"/>
              </w:rPr>
              <w:t xml:space="preserve">4）投标人具有涉密信息系统集成资质证书（系统集成、软件开发）得2分，否则不得分。 </w:t>
            </w:r>
          </w:p>
          <w:p>
            <w:pPr>
              <w:widowControl/>
              <w:jc w:val="left"/>
              <w:rPr>
                <w:rFonts w:hAnsi="宋体"/>
                <w:sz w:val="21"/>
                <w:szCs w:val="21"/>
              </w:rPr>
            </w:pPr>
            <w:r>
              <w:rPr>
                <w:rFonts w:hint="eastAsia" w:hAnsi="宋体" w:cs="微软雅黑"/>
                <w:kern w:val="0"/>
                <w:sz w:val="21"/>
                <w:szCs w:val="21"/>
                <w:lang w:bidi="ar"/>
              </w:rPr>
              <w:t>5）投标人具有系统通过信息等级保护三级评测的经验及案例的得 2分。（需提供建设合同与公安部颁发的信息系统安全等级保护备案证明）</w:t>
            </w:r>
          </w:p>
          <w:p>
            <w:pPr>
              <w:widowControl/>
              <w:jc w:val="left"/>
              <w:rPr>
                <w:rFonts w:hAnsi="宋体" w:cs="微软雅黑"/>
                <w:kern w:val="0"/>
                <w:sz w:val="21"/>
                <w:szCs w:val="21"/>
                <w:lang w:bidi="ar"/>
              </w:rPr>
            </w:pPr>
            <w:r>
              <w:rPr>
                <w:rFonts w:hint="eastAsia" w:hAnsi="宋体" w:cs="宋体"/>
                <w:b/>
                <w:bCs/>
                <w:kern w:val="0"/>
                <w:sz w:val="21"/>
                <w:szCs w:val="21"/>
              </w:rPr>
              <w:t xml:space="preserve">（提供上述证书复印件或扫描件并加盖投标人公章，否则不得分。） </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宋体"/>
                <w:b/>
                <w:bCs/>
                <w:sz w:val="21"/>
                <w:szCs w:val="21"/>
              </w:rPr>
            </w:pPr>
            <w:r>
              <w:rPr>
                <w:rFonts w:hAnsi="宋体" w:cs="宋体"/>
                <w:b/>
                <w:bCs/>
                <w:sz w:val="21"/>
                <w:szCs w:val="21"/>
              </w:rPr>
              <w:t>0</w:t>
            </w:r>
            <w:r>
              <w:rPr>
                <w:rFonts w:hint="eastAsia" w:hAnsi="宋体" w:cs="宋体"/>
                <w:b/>
                <w:bCs/>
                <w:sz w:val="21"/>
                <w:szCs w:val="21"/>
              </w:rPr>
              <w:t>-</w:t>
            </w:r>
            <w:r>
              <w:rPr>
                <w:rFonts w:hAnsi="宋体" w:cs="宋体"/>
                <w:b/>
                <w:bCs/>
                <w:sz w:val="21"/>
                <w:szCs w:val="21"/>
              </w:rPr>
              <w:t>1</w:t>
            </w:r>
            <w:r>
              <w:rPr>
                <w:rFonts w:hint="eastAsia" w:hAnsi="宋体" w:cs="宋体"/>
                <w:b/>
                <w:bCs/>
                <w:sz w:val="21"/>
                <w:szCs w:val="21"/>
              </w:rPr>
              <w:t>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0" w:type="dxa"/>
            <w:vMerge w:val="continue"/>
            <w:tcBorders>
              <w:left w:val="outset" w:color="auto" w:sz="6" w:space="0"/>
              <w:right w:val="outset" w:color="auto" w:sz="6" w:space="0"/>
            </w:tcBorders>
            <w:vAlign w:val="center"/>
          </w:tcPr>
          <w:p>
            <w:pPr>
              <w:widowControl/>
              <w:spacing w:line="360" w:lineRule="auto"/>
              <w:jc w:val="center"/>
              <w:rPr>
                <w:rFonts w:hAnsi="宋体" w:cs="宋体"/>
                <w:b/>
                <w:bCs/>
                <w:sz w:val="21"/>
                <w:szCs w:val="21"/>
              </w:rPr>
            </w:pP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微软雅黑"/>
                <w:b/>
                <w:bCs/>
                <w:kern w:val="0"/>
                <w:sz w:val="21"/>
                <w:szCs w:val="21"/>
                <w:lang w:bidi="ar"/>
              </w:rPr>
            </w:pPr>
            <w:r>
              <w:rPr>
                <w:rFonts w:hint="eastAsia" w:hAnsi="宋体" w:cs="微软雅黑"/>
                <w:b/>
                <w:bCs/>
                <w:kern w:val="0"/>
                <w:sz w:val="21"/>
                <w:szCs w:val="21"/>
                <w:lang w:bidi="ar"/>
              </w:rPr>
              <w:t>3、体系认证（5分）</w:t>
            </w:r>
          </w:p>
          <w:p>
            <w:pPr>
              <w:widowControl/>
              <w:jc w:val="left"/>
              <w:rPr>
                <w:rFonts w:hAnsi="宋体" w:cs="微软雅黑"/>
                <w:kern w:val="0"/>
                <w:sz w:val="21"/>
                <w:szCs w:val="21"/>
                <w:lang w:bidi="ar"/>
              </w:rPr>
            </w:pPr>
            <w:r>
              <w:rPr>
                <w:rFonts w:hint="eastAsia" w:hAnsi="宋体" w:cs="微软雅黑"/>
                <w:kern w:val="0"/>
                <w:sz w:val="21"/>
                <w:szCs w:val="21"/>
                <w:lang w:bidi="ar"/>
              </w:rPr>
              <w:t>投标人具有 IS027001 信息安全管理体系认证、IS020000 信息技术服务管理体系认证、ISO9001 质量管理体系认证、ISO14001环境质量管理体系认证、OHSAS18001/IS045001 职业健康安全管理体系认证，每一项 1 分，共计 5 分，没有不得分。</w:t>
            </w:r>
          </w:p>
          <w:p>
            <w:pPr>
              <w:widowControl/>
              <w:jc w:val="left"/>
              <w:rPr>
                <w:rFonts w:hAnsi="宋体" w:cs="宋体"/>
                <w:b/>
                <w:bCs/>
                <w:kern w:val="0"/>
                <w:sz w:val="21"/>
                <w:szCs w:val="21"/>
              </w:rPr>
            </w:pPr>
            <w:r>
              <w:rPr>
                <w:rFonts w:hint="eastAsia" w:hAnsi="宋体" w:cs="宋体"/>
                <w:b/>
                <w:bCs/>
                <w:kern w:val="0"/>
                <w:sz w:val="21"/>
                <w:szCs w:val="21"/>
              </w:rPr>
              <w:t>（上述相关证书须在投标文件中提供清晰的复印件或影印件（需加盖公章））</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微软雅黑"/>
                <w:b/>
                <w:bCs/>
                <w:kern w:val="0"/>
                <w:sz w:val="21"/>
                <w:szCs w:val="21"/>
                <w:lang w:bidi="ar"/>
              </w:rPr>
            </w:pPr>
            <w:r>
              <w:rPr>
                <w:rFonts w:hAnsi="宋体" w:cs="宋体"/>
                <w:b/>
                <w:bCs/>
                <w:sz w:val="21"/>
                <w:szCs w:val="21"/>
              </w:rPr>
              <w:t>0</w:t>
            </w:r>
            <w:r>
              <w:rPr>
                <w:rFonts w:hint="eastAsia" w:hAnsi="宋体" w:cs="宋体"/>
                <w:b/>
                <w:bCs/>
                <w:sz w:val="21"/>
                <w:szCs w:val="21"/>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1560" w:type="dxa"/>
            <w:vMerge w:val="continue"/>
            <w:tcBorders>
              <w:left w:val="outset" w:color="auto" w:sz="6" w:space="0"/>
              <w:right w:val="outset" w:color="auto" w:sz="6" w:space="0"/>
            </w:tcBorders>
            <w:vAlign w:val="center"/>
          </w:tcPr>
          <w:p>
            <w:pPr>
              <w:widowControl/>
              <w:spacing w:line="360" w:lineRule="auto"/>
              <w:jc w:val="center"/>
              <w:rPr>
                <w:rFonts w:hAnsi="宋体" w:cs="宋体"/>
                <w:b/>
                <w:bCs/>
                <w:sz w:val="21"/>
                <w:szCs w:val="21"/>
              </w:rPr>
            </w:pP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宋体"/>
                <w:b/>
                <w:bCs/>
                <w:kern w:val="0"/>
                <w:sz w:val="21"/>
                <w:szCs w:val="21"/>
                <w:lang w:bidi="ar"/>
              </w:rPr>
            </w:pPr>
            <w:r>
              <w:rPr>
                <w:rFonts w:hint="eastAsia" w:hAnsi="宋体" w:cs="宋体"/>
                <w:b/>
                <w:bCs/>
                <w:kern w:val="0"/>
                <w:sz w:val="21"/>
                <w:szCs w:val="21"/>
                <w:lang w:bidi="ar"/>
              </w:rPr>
              <w:t>4、</w:t>
            </w:r>
            <w:r>
              <w:rPr>
                <w:rFonts w:hint="eastAsia" w:hAnsi="宋体" w:cs="宋体"/>
                <w:b/>
                <w:bCs/>
                <w:kern w:val="0"/>
                <w:sz w:val="21"/>
                <w:szCs w:val="21"/>
                <w:lang w:val="en-US" w:eastAsia="zh-CN" w:bidi="ar"/>
              </w:rPr>
              <w:t>成功案例及</w:t>
            </w:r>
            <w:r>
              <w:rPr>
                <w:rFonts w:hint="eastAsia" w:hAnsi="宋体" w:cs="宋体"/>
                <w:b/>
                <w:bCs/>
                <w:kern w:val="0"/>
                <w:sz w:val="21"/>
                <w:szCs w:val="21"/>
                <w:lang w:bidi="ar"/>
              </w:rPr>
              <w:t>业绩（1</w:t>
            </w:r>
            <w:r>
              <w:rPr>
                <w:rFonts w:hAnsi="宋体" w:cs="宋体"/>
                <w:b/>
                <w:bCs/>
                <w:kern w:val="0"/>
                <w:sz w:val="21"/>
                <w:szCs w:val="21"/>
                <w:lang w:bidi="ar"/>
              </w:rPr>
              <w:t>0</w:t>
            </w:r>
            <w:r>
              <w:rPr>
                <w:rFonts w:hint="eastAsia" w:hAnsi="宋体" w:cs="宋体"/>
                <w:b/>
                <w:bCs/>
                <w:kern w:val="0"/>
                <w:sz w:val="21"/>
                <w:szCs w:val="21"/>
                <w:lang w:bidi="ar"/>
              </w:rPr>
              <w:t>分）</w:t>
            </w:r>
          </w:p>
          <w:p>
            <w:pPr>
              <w:widowControl/>
              <w:jc w:val="left"/>
            </w:pPr>
            <w:r>
              <w:rPr>
                <w:rFonts w:hint="eastAsia" w:hAnsi="宋体" w:cs="宋体"/>
                <w:kern w:val="0"/>
                <w:sz w:val="21"/>
                <w:szCs w:val="21"/>
                <w:lang w:bidi="ar"/>
              </w:rPr>
              <w:t>1.</w:t>
            </w:r>
            <w:r>
              <w:rPr>
                <w:rFonts w:hint="eastAsia" w:hAnsi="宋体" w:cs="宋体"/>
                <w:kern w:val="0"/>
                <w:sz w:val="21"/>
                <w:szCs w:val="21"/>
                <w:highlight w:val="yellow"/>
                <w:lang w:bidi="ar"/>
              </w:rPr>
              <w:t>投标人提供 2019 年 1 月 1 日以来（以合同签订时间为准）具有县级及以上信息化建设</w:t>
            </w:r>
            <w:r>
              <w:rPr>
                <w:rFonts w:hint="eastAsia" w:hAnsi="宋体" w:cs="宋体"/>
                <w:kern w:val="0"/>
                <w:sz w:val="21"/>
                <w:szCs w:val="21"/>
                <w:highlight w:val="yellow"/>
                <w:lang w:val="en-US" w:eastAsia="zh-CN" w:bidi="ar"/>
              </w:rPr>
              <w:t>项目</w:t>
            </w:r>
            <w:r>
              <w:rPr>
                <w:rFonts w:hint="eastAsia" w:hAnsi="宋体" w:cs="宋体"/>
                <w:kern w:val="0"/>
                <w:sz w:val="21"/>
                <w:szCs w:val="21"/>
                <w:highlight w:val="yellow"/>
                <w:lang w:bidi="ar"/>
              </w:rPr>
              <w:t>案例，每提供1个项目案例得</w:t>
            </w:r>
            <w:r>
              <w:rPr>
                <w:rFonts w:hAnsi="宋体" w:cs="宋体"/>
                <w:kern w:val="0"/>
                <w:sz w:val="21"/>
                <w:szCs w:val="21"/>
                <w:highlight w:val="yellow"/>
                <w:lang w:bidi="ar"/>
              </w:rPr>
              <w:t>2</w:t>
            </w:r>
            <w:r>
              <w:rPr>
                <w:rFonts w:hint="eastAsia" w:hAnsi="宋体" w:cs="宋体"/>
                <w:kern w:val="0"/>
                <w:sz w:val="21"/>
                <w:szCs w:val="21"/>
                <w:highlight w:val="yellow"/>
                <w:lang w:bidi="ar"/>
              </w:rPr>
              <w:t>分，满分</w:t>
            </w:r>
            <w:r>
              <w:rPr>
                <w:rFonts w:hAnsi="宋体" w:cs="宋体"/>
                <w:kern w:val="0"/>
                <w:sz w:val="21"/>
                <w:szCs w:val="21"/>
                <w:highlight w:val="yellow"/>
                <w:lang w:bidi="ar"/>
              </w:rPr>
              <w:t>6</w:t>
            </w:r>
            <w:r>
              <w:rPr>
                <w:rFonts w:hint="eastAsia" w:hAnsi="宋体" w:cs="宋体"/>
                <w:kern w:val="0"/>
                <w:sz w:val="21"/>
                <w:szCs w:val="21"/>
                <w:highlight w:val="yellow"/>
                <w:lang w:bidi="ar"/>
              </w:rPr>
              <w:t>分。</w:t>
            </w:r>
          </w:p>
          <w:p>
            <w:pPr>
              <w:widowControl/>
              <w:jc w:val="left"/>
              <w:rPr>
                <w:rFonts w:hAnsi="宋体"/>
                <w:sz w:val="21"/>
                <w:szCs w:val="21"/>
              </w:rPr>
            </w:pPr>
            <w:r>
              <w:rPr>
                <w:rFonts w:hint="eastAsia" w:hAnsi="宋体" w:cs="宋体"/>
                <w:kern w:val="0"/>
                <w:sz w:val="21"/>
                <w:szCs w:val="21"/>
                <w:lang w:bidi="ar"/>
              </w:rPr>
              <w:t>2.</w:t>
            </w:r>
            <w:r>
              <w:rPr>
                <w:rFonts w:hint="eastAsia" w:hAnsi="宋体" w:cs="宋体"/>
                <w:kern w:val="0"/>
                <w:sz w:val="21"/>
                <w:szCs w:val="21"/>
                <w:highlight w:val="yellow"/>
                <w:lang w:bidi="ar"/>
              </w:rPr>
              <w:t>投标人提供 2019 年 1 月 1 日以来（以合同签订时间为准）具有县级及以上信息化建设项目100万</w:t>
            </w:r>
            <w:r>
              <w:rPr>
                <w:rFonts w:hint="eastAsia" w:hAnsi="宋体" w:cs="宋体"/>
                <w:kern w:val="0"/>
                <w:sz w:val="21"/>
                <w:szCs w:val="21"/>
                <w:highlight w:val="yellow"/>
                <w:lang w:val="en-US" w:eastAsia="zh-CN" w:bidi="ar"/>
              </w:rPr>
              <w:t>元</w:t>
            </w:r>
            <w:r>
              <w:rPr>
                <w:rFonts w:hint="eastAsia" w:hAnsi="宋体" w:cs="宋体"/>
                <w:kern w:val="0"/>
                <w:sz w:val="21"/>
                <w:szCs w:val="21"/>
                <w:highlight w:val="yellow"/>
                <w:lang w:bidi="ar"/>
              </w:rPr>
              <w:t>以上案例，每提供1个项目案例得</w:t>
            </w:r>
            <w:r>
              <w:rPr>
                <w:rFonts w:hAnsi="宋体" w:cs="宋体"/>
                <w:kern w:val="0"/>
                <w:sz w:val="21"/>
                <w:szCs w:val="21"/>
                <w:highlight w:val="yellow"/>
                <w:lang w:bidi="ar"/>
              </w:rPr>
              <w:t>2</w:t>
            </w:r>
            <w:r>
              <w:rPr>
                <w:rFonts w:hint="eastAsia" w:hAnsi="宋体" w:cs="宋体"/>
                <w:kern w:val="0"/>
                <w:sz w:val="21"/>
                <w:szCs w:val="21"/>
                <w:highlight w:val="yellow"/>
                <w:lang w:bidi="ar"/>
              </w:rPr>
              <w:t>分，满分</w:t>
            </w:r>
            <w:r>
              <w:rPr>
                <w:rFonts w:hint="eastAsia" w:hAnsi="宋体" w:cs="宋体"/>
                <w:kern w:val="0"/>
                <w:sz w:val="21"/>
                <w:szCs w:val="21"/>
                <w:highlight w:val="yellow"/>
                <w:lang w:val="en-US" w:eastAsia="zh-CN" w:bidi="ar"/>
              </w:rPr>
              <w:t>4</w:t>
            </w:r>
            <w:r>
              <w:rPr>
                <w:rFonts w:hint="eastAsia" w:hAnsi="宋体" w:cs="宋体"/>
                <w:kern w:val="0"/>
                <w:sz w:val="21"/>
                <w:szCs w:val="21"/>
                <w:highlight w:val="yellow"/>
                <w:lang w:bidi="ar"/>
              </w:rPr>
              <w:t>分。</w:t>
            </w:r>
            <w:r>
              <w:rPr>
                <w:rFonts w:hint="eastAsia" w:hAnsi="宋体" w:cs="宋体"/>
                <w:b/>
                <w:bCs/>
                <w:sz w:val="21"/>
                <w:szCs w:val="21"/>
              </w:rPr>
              <w:t>（上述业绩须在投标文件中提供清晰的合同复印件或影印件（需加盖公章））</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宋体"/>
                <w:b/>
                <w:bCs/>
                <w:kern w:val="0"/>
                <w:sz w:val="21"/>
                <w:szCs w:val="21"/>
                <w:lang w:bidi="ar"/>
              </w:rPr>
            </w:pPr>
            <w:r>
              <w:rPr>
                <w:rFonts w:hAnsi="宋体" w:cs="宋体"/>
                <w:b/>
                <w:bCs/>
                <w:sz w:val="21"/>
                <w:szCs w:val="21"/>
              </w:rPr>
              <w:t>0</w:t>
            </w:r>
            <w:r>
              <w:rPr>
                <w:rFonts w:hint="eastAsia" w:hAnsi="宋体" w:cs="宋体"/>
                <w:b/>
                <w:bCs/>
                <w:sz w:val="21"/>
                <w:szCs w:val="21"/>
              </w:rPr>
              <w:t>-1</w:t>
            </w:r>
            <w:r>
              <w:rPr>
                <w:rFonts w:hAnsi="宋体" w:cs="宋体"/>
                <w:b/>
                <w:bCs/>
                <w:sz w:val="21"/>
                <w:szCs w:val="21"/>
              </w:rPr>
              <w:t>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17" w:hRule="atLeast"/>
          <w:jc w:val="center"/>
        </w:trPr>
        <w:tc>
          <w:tcPr>
            <w:tcW w:w="1560" w:type="dxa"/>
            <w:vMerge w:val="continue"/>
            <w:tcBorders>
              <w:left w:val="outset" w:color="auto" w:sz="6" w:space="0"/>
              <w:bottom w:val="outset" w:color="auto" w:sz="6" w:space="0"/>
              <w:right w:val="outset" w:color="auto" w:sz="6" w:space="0"/>
            </w:tcBorders>
            <w:vAlign w:val="center"/>
          </w:tcPr>
          <w:p>
            <w:pPr>
              <w:widowControl/>
              <w:spacing w:line="360" w:lineRule="auto"/>
              <w:jc w:val="center"/>
              <w:rPr>
                <w:rFonts w:hAnsi="宋体" w:cs="宋体"/>
                <w:b/>
                <w:bCs/>
                <w:sz w:val="21"/>
                <w:szCs w:val="21"/>
              </w:rPr>
            </w:pPr>
          </w:p>
        </w:tc>
        <w:tc>
          <w:tcPr>
            <w:tcW w:w="6962" w:type="dxa"/>
            <w:tcBorders>
              <w:top w:val="outset" w:color="auto" w:sz="6" w:space="0"/>
              <w:left w:val="outset" w:color="auto" w:sz="6" w:space="0"/>
              <w:bottom w:val="outset" w:color="auto" w:sz="6" w:space="0"/>
              <w:right w:val="outset" w:color="auto" w:sz="6" w:space="0"/>
            </w:tcBorders>
            <w:vAlign w:val="center"/>
          </w:tcPr>
          <w:p>
            <w:pPr>
              <w:widowControl/>
              <w:jc w:val="left"/>
              <w:rPr>
                <w:rFonts w:hAnsi="宋体" w:cs="微软雅黑"/>
                <w:b/>
                <w:bCs/>
                <w:kern w:val="0"/>
                <w:sz w:val="21"/>
                <w:szCs w:val="21"/>
                <w:lang w:bidi="ar"/>
              </w:rPr>
            </w:pPr>
            <w:r>
              <w:rPr>
                <w:rFonts w:hint="eastAsia" w:hAnsi="宋体" w:cs="微软雅黑"/>
                <w:b/>
                <w:bCs/>
                <w:kern w:val="0"/>
                <w:sz w:val="21"/>
                <w:szCs w:val="21"/>
                <w:lang w:bidi="ar"/>
              </w:rPr>
              <w:t>5、项目人员（5分）</w:t>
            </w:r>
          </w:p>
          <w:p>
            <w:pPr>
              <w:widowControl/>
              <w:jc w:val="left"/>
              <w:rPr>
                <w:rFonts w:hAnsi="宋体"/>
                <w:sz w:val="21"/>
                <w:szCs w:val="21"/>
              </w:rPr>
            </w:pPr>
            <w:r>
              <w:rPr>
                <w:rFonts w:hAnsi="宋体" w:cs="微软雅黑"/>
                <w:kern w:val="0"/>
                <w:sz w:val="21"/>
                <w:szCs w:val="21"/>
                <w:lang w:bidi="ar"/>
              </w:rPr>
              <w:t>根据投标供应商提供服务</w:t>
            </w:r>
            <w:r>
              <w:rPr>
                <w:rFonts w:hint="eastAsia" w:hAnsi="宋体" w:cs="微软雅黑"/>
                <w:kern w:val="0"/>
                <w:sz w:val="21"/>
                <w:szCs w:val="21"/>
                <w:lang w:bidi="ar"/>
              </w:rPr>
              <w:t>项</w:t>
            </w:r>
            <w:r>
              <w:rPr>
                <w:rFonts w:hAnsi="宋体" w:cs="微软雅黑"/>
                <w:kern w:val="0"/>
                <w:sz w:val="21"/>
                <w:szCs w:val="21"/>
                <w:lang w:bidi="ar"/>
              </w:rPr>
              <w:t>目人员资质</w:t>
            </w:r>
            <w:r>
              <w:rPr>
                <w:rFonts w:hint="eastAsia" w:hAnsi="宋体" w:cs="微软雅黑"/>
                <w:kern w:val="0"/>
                <w:sz w:val="21"/>
                <w:szCs w:val="21"/>
                <w:lang w:bidi="ar"/>
              </w:rPr>
              <w:t>进</w:t>
            </w:r>
            <w:r>
              <w:rPr>
                <w:rFonts w:hAnsi="宋体" w:cs="微软雅黑"/>
                <w:kern w:val="0"/>
                <w:sz w:val="21"/>
                <w:szCs w:val="21"/>
                <w:lang w:bidi="ar"/>
              </w:rPr>
              <w:t xml:space="preserve">行评分： </w:t>
            </w:r>
          </w:p>
          <w:p>
            <w:pPr>
              <w:widowControl/>
              <w:jc w:val="left"/>
              <w:rPr>
                <w:rFonts w:hAnsi="宋体"/>
                <w:sz w:val="21"/>
                <w:szCs w:val="21"/>
              </w:rPr>
            </w:pPr>
            <w:r>
              <w:rPr>
                <w:rFonts w:hint="eastAsia" w:hAnsi="宋体" w:cs="微软雅黑"/>
                <w:kern w:val="0"/>
                <w:sz w:val="21"/>
                <w:szCs w:val="21"/>
                <w:lang w:bidi="ar"/>
              </w:rPr>
              <w:t xml:space="preserve">拟派服务团队人员中具有信息系统项目管理师证书、系统集成项目管理工程师、软件设计师、软件工程师、信息安全保障人员证书，PMP证书每有一项得 1 分，满分5分。 </w:t>
            </w:r>
          </w:p>
          <w:p>
            <w:pPr>
              <w:widowControl/>
              <w:jc w:val="left"/>
              <w:rPr>
                <w:rFonts w:hAnsi="宋体" w:cs="宋体"/>
                <w:b/>
                <w:bCs/>
                <w:kern w:val="0"/>
                <w:sz w:val="21"/>
                <w:szCs w:val="21"/>
              </w:rPr>
            </w:pPr>
            <w:r>
              <w:rPr>
                <w:rFonts w:hint="eastAsia" w:hAnsi="宋体" w:cs="宋体"/>
                <w:b/>
                <w:bCs/>
                <w:kern w:val="0"/>
                <w:sz w:val="21"/>
                <w:szCs w:val="21"/>
              </w:rPr>
              <w:t>（提供上述人员在投标单位近 6 个月的社保证明，否则不得分，提供复印件或影印件并加盖公章。）</w:t>
            </w:r>
          </w:p>
        </w:tc>
        <w:tc>
          <w:tcPr>
            <w:tcW w:w="850" w:type="dxa"/>
            <w:tcBorders>
              <w:top w:val="outset" w:color="auto" w:sz="6" w:space="0"/>
              <w:left w:val="outset" w:color="auto" w:sz="6" w:space="0"/>
              <w:bottom w:val="outset" w:color="auto" w:sz="6" w:space="0"/>
              <w:right w:val="outset" w:color="auto" w:sz="6" w:space="0"/>
            </w:tcBorders>
            <w:vAlign w:val="center"/>
          </w:tcPr>
          <w:p>
            <w:pPr>
              <w:widowControl/>
              <w:jc w:val="center"/>
              <w:rPr>
                <w:rFonts w:hAnsi="宋体" w:cs="微软雅黑"/>
                <w:b/>
                <w:bCs/>
                <w:kern w:val="0"/>
                <w:sz w:val="21"/>
                <w:szCs w:val="21"/>
                <w:lang w:bidi="ar"/>
              </w:rPr>
            </w:pPr>
            <w:r>
              <w:rPr>
                <w:rFonts w:hAnsi="宋体" w:cs="宋体"/>
                <w:b/>
                <w:bCs/>
                <w:sz w:val="21"/>
                <w:szCs w:val="21"/>
              </w:rPr>
              <w:t>0</w:t>
            </w:r>
            <w:r>
              <w:rPr>
                <w:rFonts w:hint="eastAsia" w:hAnsi="宋体" w:cs="宋体"/>
                <w:b/>
                <w:bCs/>
                <w:sz w:val="21"/>
                <w:szCs w:val="21"/>
              </w:rPr>
              <w:t>-5</w:t>
            </w:r>
          </w:p>
        </w:tc>
      </w:tr>
    </w:tbl>
    <w:p>
      <w:pPr>
        <w:pStyle w:val="2"/>
        <w:rPr>
          <w:rFonts w:hAnsi="宋体"/>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default" w:ascii="宋体" w:hAnsi="仿宋" w:eastAsia="宋体" w:cs="仿宋"/>
          <w:b/>
          <w:bCs/>
          <w:color w:val="000000"/>
          <w:kern w:val="2"/>
          <w:sz w:val="36"/>
          <w:szCs w:val="36"/>
          <w:lang w:val="en-US" w:eastAsia="zh-CN" w:bidi="ar-SA"/>
        </w:rPr>
      </w:pPr>
      <w:r>
        <w:rPr>
          <w:rFonts w:hint="eastAsia" w:ascii="宋体" w:hAnsi="仿宋" w:eastAsia="宋体" w:cs="仿宋"/>
          <w:b/>
          <w:bCs/>
          <w:color w:val="000000"/>
          <w:kern w:val="2"/>
          <w:sz w:val="36"/>
          <w:szCs w:val="36"/>
          <w:lang w:val="en-US" w:eastAsia="zh-CN" w:bidi="ar-SA"/>
        </w:rPr>
        <w:t>采</w:t>
      </w:r>
      <w:r>
        <w:rPr>
          <w:rFonts w:hint="eastAsia" w:cs="仿宋"/>
          <w:b/>
          <w:bCs/>
          <w:color w:val="000000"/>
          <w:kern w:val="2"/>
          <w:sz w:val="36"/>
          <w:szCs w:val="36"/>
          <w:lang w:val="en-US" w:eastAsia="zh-CN" w:bidi="ar-SA"/>
        </w:rPr>
        <w:t xml:space="preserve">  </w:t>
      </w:r>
      <w:r>
        <w:rPr>
          <w:rFonts w:hint="eastAsia" w:ascii="宋体" w:hAnsi="仿宋" w:eastAsia="宋体" w:cs="仿宋"/>
          <w:b/>
          <w:bCs/>
          <w:color w:val="000000"/>
          <w:kern w:val="2"/>
          <w:sz w:val="36"/>
          <w:szCs w:val="36"/>
          <w:lang w:val="en-US" w:eastAsia="zh-CN" w:bidi="ar-SA"/>
        </w:rPr>
        <w:t>购</w:t>
      </w:r>
      <w:r>
        <w:rPr>
          <w:rFonts w:hint="eastAsia" w:cs="仿宋"/>
          <w:b/>
          <w:bCs/>
          <w:color w:val="000000"/>
          <w:kern w:val="2"/>
          <w:sz w:val="36"/>
          <w:szCs w:val="36"/>
          <w:lang w:val="en-US" w:eastAsia="zh-CN" w:bidi="ar-SA"/>
        </w:rPr>
        <w:t xml:space="preserve">  </w:t>
      </w:r>
      <w:r>
        <w:rPr>
          <w:rFonts w:hint="eastAsia" w:ascii="宋体" w:hAnsi="仿宋" w:eastAsia="宋体" w:cs="仿宋"/>
          <w:b/>
          <w:bCs/>
          <w:color w:val="000000"/>
          <w:kern w:val="2"/>
          <w:sz w:val="36"/>
          <w:szCs w:val="36"/>
          <w:lang w:val="en-US" w:eastAsia="zh-CN" w:bidi="ar-SA"/>
        </w:rPr>
        <w:t>需</w:t>
      </w:r>
      <w:r>
        <w:rPr>
          <w:rFonts w:hint="eastAsia" w:cs="仿宋"/>
          <w:b/>
          <w:bCs/>
          <w:color w:val="000000"/>
          <w:kern w:val="2"/>
          <w:sz w:val="36"/>
          <w:szCs w:val="36"/>
          <w:lang w:val="en-US" w:eastAsia="zh-CN" w:bidi="ar-SA"/>
        </w:rPr>
        <w:t xml:space="preserve">  </w:t>
      </w:r>
      <w:r>
        <w:rPr>
          <w:rFonts w:hint="eastAsia" w:ascii="宋体" w:hAnsi="仿宋" w:eastAsia="宋体" w:cs="仿宋"/>
          <w:b/>
          <w:bCs/>
          <w:color w:val="000000"/>
          <w:kern w:val="2"/>
          <w:sz w:val="36"/>
          <w:szCs w:val="36"/>
          <w:lang w:val="en-US" w:eastAsia="zh-CN" w:bidi="ar-SA"/>
        </w:rPr>
        <w:t>求</w:t>
      </w:r>
    </w:p>
    <w:p>
      <w:pPr>
        <w:pStyle w:val="5"/>
        <w:numPr>
          <w:ilvl w:val="0"/>
          <w:numId w:val="1"/>
        </w:numPr>
        <w:ind w:right="314" w:rightChars="131"/>
        <w:jc w:val="center"/>
        <w:rPr>
          <w:sz w:val="36"/>
          <w:szCs w:val="36"/>
        </w:rPr>
      </w:pPr>
      <w:r>
        <w:rPr>
          <w:rFonts w:hint="eastAsia"/>
          <w:sz w:val="36"/>
          <w:szCs w:val="36"/>
        </w:rPr>
        <w:t>技术需求</w:t>
      </w:r>
    </w:p>
    <w:p>
      <w:pPr>
        <w:pStyle w:val="6"/>
        <w:numPr>
          <w:ilvl w:val="0"/>
          <w:numId w:val="2"/>
        </w:numPr>
        <w:rPr>
          <w:rFonts w:ascii="宋体" w:hAnsi="宋体"/>
          <w:lang w:val="zh-CN" w:bidi="zh-CN"/>
        </w:rPr>
      </w:pPr>
      <w:r>
        <w:rPr>
          <w:rFonts w:hint="eastAsia" w:ascii="宋体" w:hAnsi="宋体"/>
          <w:lang w:val="zh-CN" w:bidi="zh-CN"/>
        </w:rPr>
        <w:t>软件部分</w:t>
      </w:r>
    </w:p>
    <w:tbl>
      <w:tblPr>
        <w:tblStyle w:val="15"/>
        <w:tblW w:w="5317" w:type="pct"/>
        <w:jc w:val="center"/>
        <w:tblLayout w:type="autofit"/>
        <w:tblCellMar>
          <w:top w:w="0" w:type="dxa"/>
          <w:left w:w="0" w:type="dxa"/>
          <w:bottom w:w="0" w:type="dxa"/>
          <w:right w:w="0" w:type="dxa"/>
        </w:tblCellMar>
      </w:tblPr>
      <w:tblGrid>
        <w:gridCol w:w="692"/>
        <w:gridCol w:w="2438"/>
        <w:gridCol w:w="4220"/>
        <w:gridCol w:w="784"/>
        <w:gridCol w:w="711"/>
        <w:gridCol w:w="20"/>
      </w:tblGrid>
      <w:tr>
        <w:tblPrEx>
          <w:tblCellMar>
            <w:top w:w="0" w:type="dxa"/>
            <w:left w:w="0" w:type="dxa"/>
            <w:bottom w:w="0" w:type="dxa"/>
            <w:right w:w="0" w:type="dxa"/>
          </w:tblCellMar>
        </w:tblPrEx>
        <w:trPr>
          <w:gridAfter w:val="1"/>
          <w:wAfter w:w="20" w:type="dxa"/>
          <w:trHeight w:val="370" w:hRule="atLeast"/>
          <w:jc w:val="center"/>
        </w:trPr>
        <w:tc>
          <w:tcPr>
            <w:tcW w:w="391"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rPr>
            </w:pPr>
            <w:r>
              <w:rPr>
                <w:rFonts w:hint="eastAsia" w:hAnsi="宋体" w:cs="宋体"/>
                <w:b/>
                <w:kern w:val="0"/>
              </w:rPr>
              <w:t>序号</w:t>
            </w:r>
          </w:p>
        </w:tc>
        <w:tc>
          <w:tcPr>
            <w:tcW w:w="1375"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rPr>
            </w:pPr>
            <w:r>
              <w:rPr>
                <w:rFonts w:hint="eastAsia" w:hAnsi="宋体" w:cs="宋体"/>
                <w:b/>
                <w:kern w:val="0"/>
              </w:rPr>
              <w:t>品名</w:t>
            </w:r>
          </w:p>
        </w:tc>
        <w:tc>
          <w:tcPr>
            <w:tcW w:w="2380"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rPr>
            </w:pPr>
            <w:r>
              <w:rPr>
                <w:rFonts w:hint="eastAsia" w:hAnsi="宋体" w:cs="宋体"/>
                <w:b/>
                <w:kern w:val="0"/>
              </w:rPr>
              <w:t>技术要求</w:t>
            </w:r>
          </w:p>
        </w:tc>
        <w:tc>
          <w:tcPr>
            <w:tcW w:w="442"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rPr>
            </w:pPr>
            <w:r>
              <w:rPr>
                <w:rFonts w:hint="eastAsia" w:hAnsi="宋体" w:cs="宋体"/>
                <w:b/>
                <w:kern w:val="0"/>
              </w:rPr>
              <w:t>单位</w:t>
            </w:r>
          </w:p>
        </w:tc>
        <w:tc>
          <w:tcPr>
            <w:tcW w:w="401"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rPr>
            </w:pPr>
            <w:r>
              <w:rPr>
                <w:rFonts w:hint="eastAsia" w:hAnsi="宋体" w:cs="宋体"/>
                <w:b/>
                <w:kern w:val="0"/>
              </w:rPr>
              <w:t>数量</w:t>
            </w:r>
          </w:p>
        </w:tc>
      </w:tr>
      <w:tr>
        <w:tblPrEx>
          <w:tblCellMar>
            <w:top w:w="0" w:type="dxa"/>
            <w:left w:w="0" w:type="dxa"/>
            <w:bottom w:w="0" w:type="dxa"/>
            <w:right w:w="0" w:type="dxa"/>
          </w:tblCellMar>
        </w:tblPrEx>
        <w:trPr>
          <w:gridAfter w:val="1"/>
          <w:wAfter w:w="20" w:type="dxa"/>
          <w:trHeight w:val="370" w:hRule="atLeast"/>
          <w:jc w:val="center"/>
        </w:trPr>
        <w:tc>
          <w:tcPr>
            <w:tcW w:w="391"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1</w:t>
            </w:r>
          </w:p>
        </w:tc>
        <w:tc>
          <w:tcPr>
            <w:tcW w:w="1375"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rPr>
            </w:pPr>
            <w:r>
              <w:rPr>
                <w:rFonts w:hint="eastAsia" w:hAnsi="宋体" w:cs="宋体"/>
                <w:kern w:val="0"/>
              </w:rPr>
              <w:t>综合信息管理平台</w:t>
            </w:r>
          </w:p>
        </w:tc>
        <w:tc>
          <w:tcPr>
            <w:tcW w:w="2380"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pStyle w:val="2"/>
              <w:rPr>
                <w:rFonts w:hAnsi="宋体"/>
              </w:rPr>
            </w:pPr>
            <w:r>
              <w:rPr>
                <w:rFonts w:hint="eastAsia" w:hAnsi="宋体"/>
              </w:rPr>
              <w:t>详见建设内容</w:t>
            </w:r>
          </w:p>
        </w:tc>
        <w:tc>
          <w:tcPr>
            <w:tcW w:w="442"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rPr>
            </w:pPr>
            <w:r>
              <w:rPr>
                <w:rFonts w:hint="eastAsia" w:hAnsi="宋体" w:cs="宋体"/>
                <w:kern w:val="0"/>
              </w:rPr>
              <w:t>套</w:t>
            </w:r>
          </w:p>
        </w:tc>
        <w:tc>
          <w:tcPr>
            <w:tcW w:w="401" w:type="pc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rPr>
            </w:pPr>
            <w:r>
              <w:rPr>
                <w:rFonts w:hint="eastAsia" w:hAnsi="宋体" w:cs="宋体"/>
                <w:kern w:val="0"/>
              </w:rPr>
              <w:t>1</w:t>
            </w:r>
          </w:p>
        </w:tc>
      </w:tr>
      <w:tr>
        <w:tblPrEx>
          <w:tblCellMar>
            <w:top w:w="0" w:type="dxa"/>
            <w:left w:w="0" w:type="dxa"/>
            <w:bottom w:w="0" w:type="dxa"/>
            <w:right w:w="0" w:type="dxa"/>
          </w:tblCellMar>
        </w:tblPrEx>
        <w:trPr>
          <w:trHeight w:val="500"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2</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rPr>
              <w:t>入院管理系统</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left"/>
              <w:rPr>
                <w:highlight w:val="yellow"/>
                <w:lang w:val="zh-CN"/>
              </w:rPr>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500"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3</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活动管理</w:t>
            </w:r>
            <w:r>
              <w:rPr>
                <w:rFonts w:hint="eastAsia" w:hAnsi="宋体" w:cs="宋体"/>
              </w:rPr>
              <w:t>系统</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pStyle w:val="2"/>
              <w:rPr>
                <w:lang w:val="zh-CN"/>
              </w:rPr>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500" w:hRule="atLeast"/>
          <w:jc w:val="center"/>
        </w:trPr>
        <w:tc>
          <w:tcPr>
            <w:tcW w:w="391" w:type="pct"/>
            <w:tcBorders>
              <w:top w:val="nil"/>
              <w:left w:val="single" w:color="000000" w:sz="8" w:space="0"/>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4</w:t>
            </w:r>
          </w:p>
        </w:tc>
        <w:tc>
          <w:tcPr>
            <w:tcW w:w="1375"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安全管理</w:t>
            </w:r>
            <w:r>
              <w:rPr>
                <w:rFonts w:hint="eastAsia" w:hAnsi="宋体" w:cs="宋体"/>
              </w:rPr>
              <w:t>系统</w:t>
            </w:r>
          </w:p>
        </w:tc>
        <w:tc>
          <w:tcPr>
            <w:tcW w:w="2380" w:type="pct"/>
            <w:tcBorders>
              <w:top w:val="nil"/>
              <w:left w:val="nil"/>
              <w:bottom w:val="single" w:color="auto" w:sz="4" w:space="0"/>
              <w:right w:val="single" w:color="000000" w:sz="8" w:space="0"/>
            </w:tcBorders>
            <w:tcMar>
              <w:top w:w="15" w:type="dxa"/>
              <w:left w:w="15" w:type="dxa"/>
              <w:bottom w:w="0" w:type="dxa"/>
              <w:right w:w="15" w:type="dxa"/>
            </w:tcMar>
            <w:vAlign w:val="center"/>
          </w:tcPr>
          <w:p>
            <w:pPr>
              <w:pStyle w:val="2"/>
              <w:rPr>
                <w:lang w:val="zh-CN"/>
              </w:rPr>
            </w:pPr>
            <w:r>
              <w:rPr>
                <w:rFonts w:hint="eastAsia" w:hAnsi="宋体"/>
              </w:rPr>
              <w:t>详见建设内容</w:t>
            </w:r>
          </w:p>
        </w:tc>
        <w:tc>
          <w:tcPr>
            <w:tcW w:w="442"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619" w:hRule="atLeast"/>
          <w:jc w:val="center"/>
        </w:trPr>
        <w:tc>
          <w:tcPr>
            <w:tcW w:w="391" w:type="pct"/>
            <w:tcBorders>
              <w:top w:val="single" w:color="auto" w:sz="4"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5</w:t>
            </w:r>
          </w:p>
        </w:tc>
        <w:tc>
          <w:tcPr>
            <w:tcW w:w="1375" w:type="pct"/>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护养管理</w:t>
            </w:r>
            <w:r>
              <w:rPr>
                <w:rFonts w:hint="eastAsia" w:hAnsi="宋体" w:cs="宋体"/>
              </w:rPr>
              <w:t>系统</w:t>
            </w:r>
          </w:p>
        </w:tc>
        <w:tc>
          <w:tcPr>
            <w:tcW w:w="2380" w:type="pct"/>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jc w:val="left"/>
            </w:pPr>
            <w:r>
              <w:rPr>
                <w:rFonts w:hint="eastAsia" w:hAnsi="宋体"/>
              </w:rPr>
              <w:t>详见建设内容</w:t>
            </w:r>
          </w:p>
        </w:tc>
        <w:tc>
          <w:tcPr>
            <w:tcW w:w="442" w:type="pct"/>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683"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6</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后勤管理</w:t>
            </w:r>
            <w:r>
              <w:rPr>
                <w:rFonts w:hint="eastAsia" w:hAnsi="宋体" w:cs="宋体"/>
              </w:rPr>
              <w:t>系统</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pStyle w:val="2"/>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683"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7</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数据分析</w:t>
            </w:r>
            <w:r>
              <w:rPr>
                <w:rFonts w:hint="eastAsia" w:hAnsi="宋体" w:cs="宋体"/>
              </w:rPr>
              <w:t>系统</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pStyle w:val="2"/>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683"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8</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基础配置</w:t>
            </w:r>
            <w:r>
              <w:rPr>
                <w:rFonts w:hint="eastAsia" w:hAnsi="宋体" w:cs="宋体"/>
              </w:rPr>
              <w:t>系统</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pStyle w:val="2"/>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697" w:hRule="atLeast"/>
          <w:jc w:val="center"/>
        </w:trPr>
        <w:tc>
          <w:tcPr>
            <w:tcW w:w="391" w:type="pc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9</w:t>
            </w:r>
          </w:p>
        </w:tc>
        <w:tc>
          <w:tcPr>
            <w:tcW w:w="1375"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光荣院大数据展示平台</w:t>
            </w:r>
          </w:p>
        </w:tc>
        <w:tc>
          <w:tcPr>
            <w:tcW w:w="2380"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left"/>
              <w:rPr>
                <w:rFonts w:hAnsi="宋体" w:cs="宋体"/>
                <w:lang w:val="zh-CN"/>
              </w:rPr>
            </w:pPr>
            <w:r>
              <w:rPr>
                <w:rFonts w:hint="eastAsia" w:hAnsi="宋体"/>
              </w:rPr>
              <w:t>详见建设内容</w:t>
            </w:r>
          </w:p>
        </w:tc>
        <w:tc>
          <w:tcPr>
            <w:tcW w:w="442"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r>
        <w:tblPrEx>
          <w:tblCellMar>
            <w:top w:w="0" w:type="dxa"/>
            <w:left w:w="0" w:type="dxa"/>
            <w:bottom w:w="0" w:type="dxa"/>
            <w:right w:w="0" w:type="dxa"/>
          </w:tblCellMar>
        </w:tblPrEx>
        <w:trPr>
          <w:trHeight w:val="406" w:hRule="atLeast"/>
          <w:jc w:val="center"/>
        </w:trPr>
        <w:tc>
          <w:tcPr>
            <w:tcW w:w="391" w:type="pct"/>
            <w:tcBorders>
              <w:top w:val="nil"/>
              <w:left w:val="single" w:color="000000" w:sz="8" w:space="0"/>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b/>
                <w:kern w:val="0"/>
              </w:rPr>
            </w:pPr>
            <w:r>
              <w:rPr>
                <w:rFonts w:hint="eastAsia" w:hAnsi="宋体" w:cs="宋体"/>
                <w:b/>
                <w:kern w:val="0"/>
              </w:rPr>
              <w:t>10</w:t>
            </w:r>
          </w:p>
        </w:tc>
        <w:tc>
          <w:tcPr>
            <w:tcW w:w="1375"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智能移动端应用</w:t>
            </w:r>
          </w:p>
        </w:tc>
        <w:tc>
          <w:tcPr>
            <w:tcW w:w="2380"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left"/>
              <w:rPr>
                <w:rFonts w:hAnsi="宋体" w:cs="宋体"/>
              </w:rPr>
            </w:pPr>
            <w:r>
              <w:rPr>
                <w:rFonts w:hint="eastAsia" w:hAnsi="宋体"/>
              </w:rPr>
              <w:t>详见建设内容</w:t>
            </w:r>
          </w:p>
        </w:tc>
        <w:tc>
          <w:tcPr>
            <w:tcW w:w="442"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套</w:t>
            </w:r>
          </w:p>
        </w:tc>
        <w:tc>
          <w:tcPr>
            <w:tcW w:w="401" w:type="pct"/>
            <w:tcBorders>
              <w:top w:val="nil"/>
              <w:left w:val="nil"/>
              <w:bottom w:val="single" w:color="auto" w:sz="4" w:space="0"/>
              <w:right w:val="single" w:color="000000" w:sz="8" w:space="0"/>
            </w:tcBorders>
            <w:tcMar>
              <w:top w:w="15" w:type="dxa"/>
              <w:left w:w="15" w:type="dxa"/>
              <w:bottom w:w="0" w:type="dxa"/>
              <w:right w:w="15" w:type="dxa"/>
            </w:tcMar>
            <w:vAlign w:val="center"/>
          </w:tcPr>
          <w:p>
            <w:pPr>
              <w:jc w:val="center"/>
              <w:textAlignment w:val="center"/>
              <w:rPr>
                <w:rFonts w:hAnsi="宋体" w:cs="宋体"/>
                <w:kern w:val="0"/>
              </w:rPr>
            </w:pPr>
            <w:r>
              <w:rPr>
                <w:rFonts w:hint="eastAsia" w:hAnsi="宋体" w:cs="宋体"/>
                <w:kern w:val="0"/>
              </w:rPr>
              <w:t>1</w:t>
            </w:r>
          </w:p>
        </w:tc>
        <w:tc>
          <w:tcPr>
            <w:tcW w:w="0" w:type="auto"/>
            <w:vAlign w:val="center"/>
          </w:tcPr>
          <w:p>
            <w:pPr>
              <w:widowControl/>
              <w:jc w:val="left"/>
              <w:rPr>
                <w:rFonts w:ascii="Times New Roman" w:hAnsi="Times New Roman" w:cs="Times New Roman"/>
                <w:color w:val="auto"/>
                <w:kern w:val="0"/>
                <w:sz w:val="20"/>
                <w:szCs w:val="20"/>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numPr>
          <w:ilvl w:val="0"/>
          <w:numId w:val="2"/>
        </w:numPr>
        <w:rPr>
          <w:rFonts w:ascii="宋体" w:hAnsi="宋体"/>
          <w:lang w:val="zh-CN" w:bidi="zh-CN"/>
        </w:rPr>
      </w:pPr>
      <w:r>
        <w:rPr>
          <w:rFonts w:hint="eastAsia" w:ascii="宋体" w:hAnsi="宋体"/>
          <w:lang w:val="zh-CN" w:bidi="zh-CN"/>
        </w:rPr>
        <w:t>硬件部分</w:t>
      </w:r>
    </w:p>
    <w:tbl>
      <w:tblPr>
        <w:tblStyle w:val="15"/>
        <w:tblW w:w="521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0"/>
        <w:gridCol w:w="1187"/>
        <w:gridCol w:w="5228"/>
        <w:gridCol w:w="727"/>
        <w:gridCol w:w="7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568" w:type="pct"/>
            <w:shd w:val="clear" w:color="auto" w:fill="auto"/>
            <w:vAlign w:val="center"/>
          </w:tcPr>
          <w:p>
            <w:pPr>
              <w:widowControl/>
              <w:jc w:val="center"/>
              <w:rPr>
                <w:rFonts w:hAnsi="宋体" w:cs="宋体"/>
                <w:b/>
                <w:bCs/>
                <w:kern w:val="0"/>
                <w:sz w:val="22"/>
                <w:szCs w:val="22"/>
              </w:rPr>
            </w:pPr>
            <w:r>
              <w:rPr>
                <w:rFonts w:hint="eastAsia" w:hAnsi="宋体" w:cs="宋体"/>
                <w:b/>
                <w:bCs/>
                <w:kern w:val="0"/>
                <w:sz w:val="22"/>
                <w:szCs w:val="22"/>
              </w:rPr>
              <w:t>系统</w:t>
            </w:r>
          </w:p>
        </w:tc>
        <w:tc>
          <w:tcPr>
            <w:tcW w:w="668" w:type="pct"/>
            <w:shd w:val="clear" w:color="auto" w:fill="auto"/>
            <w:vAlign w:val="center"/>
          </w:tcPr>
          <w:p>
            <w:pPr>
              <w:widowControl/>
              <w:jc w:val="center"/>
              <w:rPr>
                <w:rFonts w:hAnsi="宋体" w:cs="宋体"/>
                <w:b/>
                <w:bCs/>
                <w:kern w:val="0"/>
                <w:sz w:val="22"/>
                <w:szCs w:val="22"/>
              </w:rPr>
            </w:pPr>
            <w:r>
              <w:rPr>
                <w:rFonts w:hint="eastAsia" w:hAnsi="宋体" w:cs="宋体"/>
                <w:b/>
                <w:bCs/>
                <w:kern w:val="0"/>
                <w:sz w:val="22"/>
                <w:szCs w:val="22"/>
              </w:rPr>
              <w:t>产品名称</w:t>
            </w:r>
          </w:p>
        </w:tc>
        <w:tc>
          <w:tcPr>
            <w:tcW w:w="2943" w:type="pct"/>
            <w:shd w:val="clear" w:color="auto" w:fill="auto"/>
            <w:vAlign w:val="center"/>
          </w:tcPr>
          <w:p>
            <w:pPr>
              <w:widowControl/>
              <w:jc w:val="center"/>
              <w:rPr>
                <w:rFonts w:hAnsi="宋体" w:cs="宋体"/>
                <w:b/>
                <w:bCs/>
                <w:kern w:val="0"/>
                <w:sz w:val="22"/>
                <w:szCs w:val="22"/>
              </w:rPr>
            </w:pPr>
            <w:r>
              <w:rPr>
                <w:rFonts w:hint="eastAsia" w:hAnsi="宋体" w:cs="宋体"/>
                <w:b/>
                <w:bCs/>
                <w:kern w:val="0"/>
                <w:sz w:val="22"/>
                <w:szCs w:val="22"/>
              </w:rPr>
              <w:t>技术要求</w:t>
            </w:r>
          </w:p>
        </w:tc>
        <w:tc>
          <w:tcPr>
            <w:tcW w:w="409" w:type="pct"/>
            <w:shd w:val="clear" w:color="auto" w:fill="auto"/>
            <w:vAlign w:val="center"/>
          </w:tcPr>
          <w:p>
            <w:pPr>
              <w:widowControl/>
              <w:jc w:val="center"/>
              <w:rPr>
                <w:rFonts w:hAnsi="宋体" w:cs="宋体"/>
                <w:b/>
                <w:bCs/>
                <w:kern w:val="0"/>
                <w:sz w:val="22"/>
                <w:szCs w:val="22"/>
              </w:rPr>
            </w:pPr>
            <w:r>
              <w:rPr>
                <w:rFonts w:hint="eastAsia" w:hAnsi="宋体" w:cs="宋体"/>
                <w:b/>
                <w:bCs/>
                <w:kern w:val="0"/>
                <w:sz w:val="22"/>
                <w:szCs w:val="22"/>
              </w:rPr>
              <w:t>单位</w:t>
            </w:r>
          </w:p>
        </w:tc>
        <w:tc>
          <w:tcPr>
            <w:tcW w:w="410" w:type="pct"/>
            <w:shd w:val="clear" w:color="auto" w:fill="auto"/>
            <w:vAlign w:val="center"/>
          </w:tcPr>
          <w:p>
            <w:pPr>
              <w:widowControl/>
              <w:jc w:val="center"/>
              <w:rPr>
                <w:rFonts w:hAnsi="宋体" w:cs="宋体"/>
                <w:b/>
                <w:bCs/>
                <w:kern w:val="0"/>
                <w:sz w:val="22"/>
                <w:szCs w:val="22"/>
              </w:rPr>
            </w:pPr>
            <w:r>
              <w:rPr>
                <w:rFonts w:hint="eastAsia" w:hAnsi="宋体" w:cs="宋体"/>
                <w:b/>
                <w:bCs/>
                <w:kern w:val="0"/>
                <w:sz w:val="22"/>
                <w:szCs w:val="22"/>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568" w:type="pct"/>
            <w:vMerge w:val="restart"/>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智能门禁测温系统</w:t>
            </w:r>
          </w:p>
        </w:tc>
        <w:tc>
          <w:tcPr>
            <w:tcW w:w="668"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人脸识别门禁</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人脸识别机用于对进出人员进行人脸抓拍身份核验，设备支持门禁功能，验证通过门禁打开自由进出，提高通行效率、保证进出场所人员合法性，提高场所内公共安全。</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1.屏幕尺寸：≥8.0英寸；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2.屏幕分辨率：≥1280*800；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3.人脸照片库：≥2万级；</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4.摄像头像素：≥200万像素；</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5.内存：≥8GB；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6.网络支持：支持RJ45,Wifi；</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7. 防水等级：IP56；</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8. ★支持体温检测功能。</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门禁专用电源</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直流输出：12VDC,5A,实际2.5~3.0A ，设NC/NO输出；</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可直接控制电锁，设开门按钮输入。</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个</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双门磁力锁</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1、DC12V输入，工作电流：500mA/250mA，抗拉力：280kg；</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2、门禁软件1套；</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3、包含配套支架。</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把</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出门按钮</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86*86型</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个</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智能门锁</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材质：铝合金；</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锁头：全铜锁头；</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工作电源：4节5号碱性电池；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低于4.8V可开门，低压报警；</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开门方式：刷卡、钥匙。</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把</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发卡器</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1.工作电压：DC5V；</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2.通讯接口：USB/RS232；</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3.卡片类型：接触式 IC 卡。</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IC卡</w:t>
            </w:r>
          </w:p>
        </w:tc>
        <w:tc>
          <w:tcPr>
            <w:tcW w:w="2943" w:type="pct"/>
            <w:shd w:val="clear" w:color="000000" w:fill="FFFFFF"/>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国产</w:t>
            </w:r>
          </w:p>
        </w:tc>
        <w:tc>
          <w:tcPr>
            <w:tcW w:w="409"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张</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200</w:t>
            </w:r>
            <w:r>
              <w:rPr>
                <w:rFonts w:ascii="微软雅黑" w:hAnsi="微软雅黑" w:eastAsia="微软雅黑"/>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9" w:hRule="atLeast"/>
          <w:jc w:val="center"/>
        </w:trPr>
        <w:tc>
          <w:tcPr>
            <w:tcW w:w="568" w:type="pct"/>
            <w:vMerge w:val="restart"/>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宣传大屏体验系统</w:t>
            </w:r>
            <w:r>
              <w:rPr>
                <w:rFonts w:ascii="微软雅黑" w:hAnsi="微软雅黑" w:eastAsia="微软雅黑"/>
                <w:kern w:val="0"/>
                <w:sz w:val="18"/>
                <w:szCs w:val="18"/>
              </w:rPr>
              <w:t> </w:t>
            </w: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55寸电子大屏</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1、屏幕单元尺寸：55寸，类型：DID FHD_LED，响应时间：8ms；拼接缝隙左右共≤1.8mm，屏幕比例：16:9，可视角度：178°；亮度：≥500cd/m²，分辨率：1920*1080；对比度：≥4000：1；</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2、屏幕单元间长期保持显示一致性。</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3、★具有SD智检引擎功能、SS智控引擎功能（提供具有CMA或CNAS认证的第三方检测机构出具的报告复印件并加盖厂商公章）。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4、★外壳防护等级≥IP65（提供具有CMA或CNAS认证的第三方检测机构出具的报告复印件并加盖厂商公章）。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5、★外壳盐浓度为（5±1）%，PH值在 6.5～7.2内（温度为 35±2℃下），表面无起泡、裂纹、毛刺、锈蚀现象，防护外壳和安装在防护外壳内的材料和元器件持续燃烧60s后无异常（提供具有CMA或CNAS认证的第三方检测机构出具的报告复印件并加盖厂商公章）。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6、单元有效显示范围不小于：1209.6mm（H）*680.4mm（V），标准颜色：1.07Billion；</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7、USB播放，内置USB解码模块，支持图片、电影、音乐、电子书的解码播放。</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8、远程多屏管理，设备具有专属的多屏管理系统，能够实现多屏管理、远程设置功能。</w:t>
            </w:r>
          </w:p>
          <w:p>
            <w:pPr>
              <w:widowControl/>
              <w:jc w:val="left"/>
            </w:pPr>
            <w:r>
              <w:rPr>
                <w:rFonts w:hint="eastAsia" w:ascii="微软雅黑" w:hAnsi="微软雅黑" w:eastAsia="微软雅黑" w:cs="宋体"/>
                <w:kern w:val="0"/>
                <w:sz w:val="18"/>
                <w:szCs w:val="18"/>
              </w:rPr>
              <w:t>9、护眼模式，有效降低因长时间观看的眼睛疲劳。</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控制软件</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免费提供电子大屏控制软件</w:t>
            </w:r>
            <w:r>
              <w:rPr>
                <w:rFonts w:ascii="微软雅黑" w:hAnsi="微软雅黑" w:eastAsia="微软雅黑"/>
                <w:kern w:val="0"/>
                <w:sz w:val="18"/>
                <w:szCs w:val="18"/>
              </w:rPr>
              <w:t> </w:t>
            </w:r>
            <w:r>
              <w:rPr>
                <w:rFonts w:hint="eastAsia" w:ascii="微软雅黑" w:hAnsi="微软雅黑" w:eastAsia="微软雅黑" w:cs="宋体"/>
                <w:kern w:val="0"/>
                <w:sz w:val="18"/>
                <w:szCs w:val="18"/>
              </w:rPr>
              <w:t>，具有人性化操作界面，平台基于 Windows 中文操作系统，绿色软件，无需数据库支持，不需安装数据库引擎，方便维护、备份等系统管理。</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多屏图像拼接控制处理器</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1.系统具有良好的同步性，进行多屏拼接的画面切换时各屏间同步延迟不大于 20ms，满足高速动态画面跨屏显示的需求；</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2.系统具有业务自动恢复功能，可以在系统运行的情况下直接更换信号采集卡、图形输出卡等，并能自动恢复换卡前的信号窗口正常显示；</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3.通过控制软件在样机输出拼接屏上显示多个视频窗口。</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拼接屏安装支架</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支持上下/左右/前后共六方位微调装置，符GB18584-2001 标准；支持9块电子大屏的安装使用</w:t>
            </w:r>
            <w:r>
              <w:rPr>
                <w:rFonts w:ascii="微软雅黑" w:hAnsi="微软雅黑" w:eastAsia="微软雅黑"/>
                <w:kern w:val="0"/>
                <w:sz w:val="18"/>
                <w:szCs w:val="18"/>
              </w:rPr>
              <w:t> </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液晶拼接屏配套线缆</w:t>
            </w:r>
            <w:r>
              <w:rPr>
                <w:rFonts w:ascii="微软雅黑" w:hAnsi="微软雅黑" w:eastAsia="微软雅黑"/>
                <w:kern w:val="0"/>
                <w:sz w:val="18"/>
                <w:szCs w:val="18"/>
              </w:rPr>
              <w:t> </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HDMI 线、网线、排插、转接头等一批线缆。</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卧式触摸控制一体机</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1、触摸一体机配置的屏幕尺寸≥55寸；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2、分辨率≥1920x1080；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3、亮度≥350cd/㎡；</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4、网络支持：支持wifi；</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5、内存≥8GB；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6、固态硬盘≥120GB；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7、独立显卡；</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8、配置Windows操作系统。</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2" w:hRule="atLeast"/>
          <w:jc w:val="center"/>
        </w:trPr>
        <w:tc>
          <w:tcPr>
            <w:tcW w:w="568" w:type="pct"/>
            <w:vMerge w:val="restart"/>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智能房间</w:t>
            </w:r>
          </w:p>
        </w:tc>
        <w:tc>
          <w:tcPr>
            <w:tcW w:w="668"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智能护理床垫</w:t>
            </w:r>
          </w:p>
        </w:tc>
        <w:tc>
          <w:tcPr>
            <w:tcW w:w="2943" w:type="pct"/>
            <w:shd w:val="clear" w:color="000000" w:fill="FFFFFF"/>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1、尺寸：≥600*800*15mm；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2、采用高感度压敏传感器及重力传感器检测,有2条或2条以上压敏传感带；有2条或2条以上重力检测传感带；</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3、检测项目:心率、呼吸频率、体动/离床状态、超限及异常状态报警；</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r>
              <w:rPr>
                <w:rFonts w:ascii="微软雅黑" w:hAnsi="微软雅黑" w:eastAsia="微软雅黑" w:cs="宋体"/>
                <w:kern w:val="0"/>
                <w:sz w:val="18"/>
                <w:szCs w:val="18"/>
              </w:rPr>
              <w:t>、监测床垫，依据床垫内置微处理器测算获得心率、呼吸率的数据，超出设定值上下限，有提示功能，非依据外界计算机运算得到数据结果。</w:t>
            </w:r>
          </w:p>
          <w:p>
            <w:pPr>
              <w:widowControl/>
              <w:jc w:val="left"/>
            </w:pPr>
            <w:r>
              <w:rPr>
                <w:rFonts w:hint="eastAsia" w:ascii="微软雅黑" w:hAnsi="微软雅黑" w:eastAsia="微软雅黑" w:cs="宋体"/>
                <w:kern w:val="0"/>
                <w:sz w:val="18"/>
                <w:szCs w:val="18"/>
              </w:rPr>
              <w:t>5</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w:t>
            </w:r>
            <w:r>
              <w:rPr>
                <w:rFonts w:ascii="微软雅黑" w:hAnsi="微软雅黑" w:eastAsia="微软雅黑" w:cs="宋体"/>
                <w:kern w:val="0"/>
                <w:sz w:val="18"/>
                <w:szCs w:val="18"/>
              </w:rPr>
              <w:t>智能床垫内置尿湿感应接口，可以外接标准尿湿检测垫</w:t>
            </w:r>
            <w:r>
              <w:rPr>
                <w:rFonts w:hint="eastAsia" w:ascii="微软雅黑" w:hAnsi="微软雅黑" w:eastAsia="微软雅黑" w:cs="宋体"/>
                <w:kern w:val="0"/>
                <w:sz w:val="18"/>
                <w:szCs w:val="18"/>
              </w:rPr>
              <w:t>。</w:t>
            </w:r>
            <w:r>
              <w:rPr>
                <w:rFonts w:ascii="微软雅黑" w:hAnsi="微软雅黑" w:eastAsia="微软雅黑" w:cs="宋体"/>
                <w:kern w:val="0"/>
                <w:sz w:val="18"/>
                <w:szCs w:val="18"/>
              </w:rPr>
              <w:t>（提供</w:t>
            </w:r>
            <w:r>
              <w:rPr>
                <w:rFonts w:hint="eastAsia" w:ascii="微软雅黑" w:hAnsi="微软雅黑" w:eastAsia="微软雅黑" w:cs="宋体"/>
                <w:kern w:val="0"/>
                <w:sz w:val="18"/>
                <w:szCs w:val="18"/>
              </w:rPr>
              <w:t>第三方权威检测机构出具的报告复印件</w:t>
            </w:r>
            <w:r>
              <w:rPr>
                <w:rFonts w:ascii="微软雅黑" w:hAnsi="微软雅黑" w:eastAsia="微软雅黑" w:cs="宋体"/>
                <w:kern w:val="0"/>
                <w:sz w:val="18"/>
                <w:szCs w:val="18"/>
              </w:rPr>
              <w:t>）</w:t>
            </w:r>
          </w:p>
        </w:tc>
        <w:tc>
          <w:tcPr>
            <w:tcW w:w="409"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张</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智能手表</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1、屏幕尺寸：≥1.4寸；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2、内存：≥4GB；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3、蓝牙版本： 支持蓝牙4.0；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4、电池：聚合物锂电池≥600mAh；</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5、充电方式：磁吸式充电；</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6、主要功能：</w:t>
            </w:r>
            <w:r>
              <w:rPr>
                <w:rFonts w:ascii="微软雅黑" w:hAnsi="微软雅黑" w:eastAsia="微软雅黑" w:cs="宋体"/>
                <w:kern w:val="0"/>
                <w:sz w:val="18"/>
                <w:szCs w:val="18"/>
              </w:rPr>
              <w:t>GPS定位、心率血压测试、记步、日常提醒、智能提醒、电子围栏、行动轨迹、一键呼救等。</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个</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人体行为感知器（防跌倒）</w:t>
            </w:r>
          </w:p>
        </w:tc>
        <w:tc>
          <w:tcPr>
            <w:tcW w:w="2943" w:type="pct"/>
            <w:shd w:val="clear" w:color="000000" w:fill="FFFFFF"/>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防跌倒报警器</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1、部署在卫生间；</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2、有效监测距离≤5m；</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3、产品采用</w:t>
            </w:r>
            <w:r>
              <w:rPr>
                <w:rFonts w:ascii="微软雅黑" w:hAnsi="微软雅黑" w:eastAsia="微软雅黑" w:cs="宋体"/>
                <w:kern w:val="0"/>
                <w:sz w:val="18"/>
                <w:szCs w:val="18"/>
              </w:rPr>
              <w:t>wifi</w:t>
            </w:r>
            <w:r>
              <w:rPr>
                <w:rFonts w:hint="eastAsia" w:ascii="微软雅黑" w:hAnsi="微软雅黑" w:eastAsia="微软雅黑" w:cs="宋体"/>
                <w:kern w:val="0"/>
                <w:sz w:val="18"/>
                <w:szCs w:val="18"/>
              </w:rPr>
              <w:t>通讯；</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4、人员摔倒后主动报警，报警数据可以发送至软件管理平台，可以通过声音报警提醒护工。</w:t>
            </w:r>
          </w:p>
        </w:tc>
        <w:tc>
          <w:tcPr>
            <w:tcW w:w="409"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个</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智能挂屏</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1、屏幕尺寸≥15.6英寸；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2、分辨率≥1920x1080；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  网络连接方式：</w:t>
            </w:r>
            <w:r>
              <w:rPr>
                <w:rFonts w:ascii="微软雅黑" w:hAnsi="微软雅黑" w:eastAsia="微软雅黑" w:cs="宋体"/>
                <w:kern w:val="0"/>
                <w:sz w:val="18"/>
                <w:szCs w:val="18"/>
              </w:rPr>
              <w:t>wifi</w:t>
            </w:r>
            <w:r>
              <w:rPr>
                <w:rFonts w:hint="eastAsia" w:ascii="微软雅黑" w:hAnsi="微软雅黑" w:eastAsia="微软雅黑" w:cs="宋体"/>
                <w:kern w:val="0"/>
                <w:sz w:val="18"/>
                <w:szCs w:val="18"/>
              </w:rPr>
              <w:t>；</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4、运行内存≥1GB，存储内存≥8GB；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5、操作系统：安卓操作系统。</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个</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智能窗帘</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无线智能控制，电子记忆限位功能，优雅静音运行，遇阻停止，轻触启动，停电手拉</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智能语音管家</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实现智能语音管控家居设备，可语音打开关闭家电、智能窗帘、交流沟通。</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智能灯控</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具备隐藏式场景按键，智能语音控制</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智能网关</w:t>
            </w:r>
            <w:r>
              <w:rPr>
                <w:rFonts w:ascii="微软雅黑" w:hAnsi="微软雅黑" w:eastAsia="微软雅黑"/>
                <w:kern w:val="0"/>
                <w:sz w:val="18"/>
                <w:szCs w:val="18"/>
              </w:rPr>
              <w:t> </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与智能家居设备联动，实现语音遥控，使智能房间里的电器连为一体。</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410"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568" w:type="pct"/>
            <w:vMerge w:val="restart"/>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其他</w:t>
            </w: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移动音响</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可移动使用，蓝牙连接，兼容主流设备，内置电池</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智能告警展示</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安装于护士站，显示智能床垫以及其他告警动态</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1、屏幕尺寸≥46英寸；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2、分辨率≥1920x1080；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3、运行内存≥2GB，存储内存≥8GB；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4、操作系统：安卓操作系统；</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5、支持网线或</w:t>
            </w:r>
            <w:r>
              <w:rPr>
                <w:rFonts w:ascii="微软雅黑" w:hAnsi="微软雅黑" w:eastAsia="微软雅黑" w:cs="宋体"/>
                <w:kern w:val="0"/>
                <w:sz w:val="18"/>
                <w:szCs w:val="18"/>
              </w:rPr>
              <w:t>wifi</w:t>
            </w:r>
            <w:r>
              <w:rPr>
                <w:rFonts w:hint="eastAsia" w:ascii="微软雅黑" w:hAnsi="微软雅黑" w:eastAsia="微软雅黑" w:cs="宋体"/>
                <w:kern w:val="0"/>
                <w:sz w:val="18"/>
                <w:szCs w:val="18"/>
              </w:rPr>
              <w:t>。</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568" w:type="pct"/>
            <w:vMerge w:val="continue"/>
            <w:vAlign w:val="center"/>
          </w:tcPr>
          <w:p>
            <w:pPr>
              <w:widowControl/>
              <w:jc w:val="left"/>
              <w:rPr>
                <w:rFonts w:ascii="微软雅黑" w:hAnsi="微软雅黑" w:eastAsia="微软雅黑" w:cs="宋体"/>
                <w:b/>
                <w:bCs/>
                <w:kern w:val="0"/>
                <w:sz w:val="18"/>
                <w:szCs w:val="18"/>
              </w:rPr>
            </w:pPr>
          </w:p>
        </w:tc>
        <w:tc>
          <w:tcPr>
            <w:tcW w:w="668"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硬件改造费用</w:t>
            </w:r>
            <w:r>
              <w:rPr>
                <w:rFonts w:ascii="微软雅黑" w:hAnsi="微软雅黑" w:eastAsia="微软雅黑"/>
                <w:kern w:val="0"/>
                <w:sz w:val="18"/>
                <w:szCs w:val="18"/>
              </w:rPr>
              <w:t> </w:t>
            </w:r>
          </w:p>
        </w:tc>
        <w:tc>
          <w:tcPr>
            <w:tcW w:w="2943" w:type="pct"/>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包含硬件改造辅材、实施费用等</w:t>
            </w:r>
          </w:p>
        </w:tc>
        <w:tc>
          <w:tcPr>
            <w:tcW w:w="409" w:type="pct"/>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批</w:t>
            </w:r>
          </w:p>
        </w:tc>
        <w:tc>
          <w:tcPr>
            <w:tcW w:w="410" w:type="pct"/>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5000" w:type="pct"/>
            <w:gridSpan w:val="5"/>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投标报价需包含安装调试费用</w:t>
            </w:r>
          </w:p>
        </w:tc>
      </w:tr>
    </w:tbl>
    <w:p/>
    <w:p>
      <w:pPr>
        <w:pStyle w:val="2"/>
      </w:pPr>
    </w:p>
    <w:p>
      <w:pPr>
        <w:pStyle w:val="2"/>
      </w:pPr>
    </w:p>
    <w:p>
      <w:pPr>
        <w:pStyle w:val="2"/>
      </w:pPr>
    </w:p>
    <w:p>
      <w:pPr>
        <w:pStyle w:val="2"/>
      </w:pPr>
    </w:p>
    <w:p>
      <w:pPr>
        <w:pStyle w:val="2"/>
      </w:pPr>
    </w:p>
    <w:p>
      <w:pPr>
        <w:pStyle w:val="5"/>
        <w:numPr>
          <w:ilvl w:val="0"/>
          <w:numId w:val="1"/>
        </w:numPr>
        <w:ind w:right="314" w:rightChars="131"/>
        <w:jc w:val="center"/>
        <w:rPr>
          <w:sz w:val="36"/>
          <w:szCs w:val="36"/>
        </w:rPr>
      </w:pPr>
      <w:r>
        <w:rPr>
          <w:rFonts w:hint="eastAsia"/>
          <w:sz w:val="36"/>
          <w:szCs w:val="36"/>
        </w:rPr>
        <w:t>建设内容</w:t>
      </w:r>
    </w:p>
    <w:p>
      <w:pPr>
        <w:pStyle w:val="2"/>
        <w:rPr>
          <w:rFonts w:hAnsi="宋体" w:cs="宋体"/>
        </w:rPr>
      </w:pPr>
    </w:p>
    <w:p>
      <w:pPr>
        <w:pStyle w:val="2"/>
        <w:ind w:firstLine="480" w:firstLineChars="200"/>
        <w:rPr>
          <w:rFonts w:hAnsi="宋体" w:cs="宋体"/>
        </w:rPr>
      </w:pPr>
      <w:r>
        <w:rPr>
          <w:rFonts w:hint="eastAsia" w:hAnsi="宋体" w:cs="宋体"/>
        </w:rPr>
        <w:t>铜陵市光荣</w:t>
      </w:r>
      <w:r>
        <w:rPr>
          <w:rFonts w:hint="eastAsia" w:hAnsi="宋体" w:cs="宋体"/>
          <w:color w:val="000000" w:themeColor="text1"/>
          <w14:textFill>
            <w14:solidFill>
              <w14:schemeClr w14:val="tx1"/>
            </w14:solidFill>
          </w14:textFill>
        </w:rPr>
        <w:t>院</w:t>
      </w:r>
      <w:r>
        <w:rPr>
          <w:rFonts w:hint="eastAsia" w:hAnsi="宋体" w:cs="宋体"/>
        </w:rPr>
        <w:t>围绕“健、学、乐、为”开展活动，不断提升优抚养老服务的品位和档次，把光荣院打造成重温军旅生活，感受党和政府温暖的优抚工作新阵地。</w:t>
      </w:r>
      <w:r>
        <w:rPr>
          <w:rFonts w:hint="eastAsia"/>
        </w:rPr>
        <w:t>为了进一步增强优抚对象的服务体验以及提升工作人员的工作效率，</w:t>
      </w:r>
      <w:r>
        <w:rPr>
          <w:rFonts w:hint="eastAsia" w:hAnsi="宋体" w:cs="宋体"/>
        </w:rPr>
        <w:t>市光荣院积极响应国家、省、市关于优抚对象和光荣院的相关政策要求，提出建设“铜陵市智慧光荣院综合服务云平台”，实现推进光荣院信息化、智能化、智慧化，为管理部门带来更高效的管理模式，为优抚对象带来更完整优质的服务，让老军人以及军属有荣誉感、获得感。</w:t>
      </w:r>
      <w:r>
        <w:rPr>
          <w:rFonts w:hint="eastAsia" w:hAnsi="宋体" w:cs="宋体"/>
        </w:rPr>
        <w:br w:type="textWrapping"/>
      </w:r>
      <w:r>
        <w:rPr>
          <w:rFonts w:hint="eastAsia" w:hAnsi="宋体" w:cs="宋体"/>
        </w:rPr>
        <w:t xml:space="preserve"> </w:t>
      </w:r>
      <w:r>
        <w:rPr>
          <w:rFonts w:hAnsi="宋体" w:cs="宋体"/>
        </w:rPr>
        <w:t xml:space="preserve">   </w:t>
      </w:r>
      <w:r>
        <w:rPr>
          <w:rFonts w:hint="eastAsia" w:hAnsi="宋体" w:cs="宋体"/>
        </w:rPr>
        <w:t>本项目通过合理运用互联网、计算机网络、通信、物联网等现代化技术和智能产品，建立一个网络智能服务平台，满足优抚对象的多方位需求，为其提供舒心、智能、便捷的生活服务，不断推动智慧光荣院的可持续发展。</w:t>
      </w:r>
      <w:r>
        <w:rPr>
          <w:rFonts w:hint="eastAsia" w:hAnsi="宋体" w:cs="宋体"/>
        </w:rPr>
        <w:br w:type="textWrapping"/>
      </w:r>
      <w:r>
        <w:rPr>
          <w:rFonts w:hint="eastAsia" w:hAnsi="宋体" w:cs="宋体"/>
        </w:rPr>
        <w:t xml:space="preserve"> </w:t>
      </w:r>
      <w:r>
        <w:rPr>
          <w:rFonts w:hAnsi="宋体" w:cs="宋体"/>
        </w:rPr>
        <w:t xml:space="preserve">   </w:t>
      </w:r>
      <w:r>
        <w:rPr>
          <w:rFonts w:hint="eastAsia" w:hAnsi="宋体" w:cs="宋体"/>
        </w:rPr>
        <w:t>本项目建设内容涵盖综合信息管理平台、入院管理系统、活动管理系统、安全管理系统、护养管理系统、后勤管理系统、数据分析系统、基础配置系统、光荣院大数据展示平台和智能移动端应用。</w:t>
      </w:r>
    </w:p>
    <w:p>
      <w:pPr>
        <w:pStyle w:val="2"/>
        <w:ind w:firstLine="480" w:firstLineChars="200"/>
        <w:rPr>
          <w:rFonts w:hAnsi="宋体" w:cs="宋体"/>
        </w:rPr>
      </w:pPr>
      <w:r>
        <w:rPr>
          <w:rFonts w:hint="eastAsia" w:hAnsi="宋体" w:cs="宋体"/>
        </w:rPr>
        <w:t>1、综合信息管理平台</w:t>
      </w:r>
    </w:p>
    <w:p>
      <w:pPr>
        <w:ind w:firstLine="480" w:firstLineChars="200"/>
        <w:jc w:val="left"/>
        <w:rPr>
          <w:rFonts w:hAnsi="宋体" w:cs="宋体"/>
        </w:rPr>
      </w:pPr>
      <w:r>
        <w:rPr>
          <w:rFonts w:hint="eastAsia" w:hAnsi="宋体" w:cs="宋体"/>
        </w:rPr>
        <w:t>综合信息管理平台为各业务系统提供底层基础数据，用于支撑整个光荣院的业务流转。通过对组织部门多层维护，提升了工作人员的工作效率；通过对志愿者信息进行管理，方便了光荣院志愿活动的开展；通过对组织、人事等信息统一入口管理，实现了光荣院行政管理的整体性、严密性和科学性。</w:t>
      </w:r>
    </w:p>
    <w:p>
      <w:pPr>
        <w:pStyle w:val="2"/>
        <w:ind w:firstLine="480" w:firstLineChars="200"/>
      </w:pPr>
      <w:r>
        <w:rPr>
          <w:rFonts w:hint="eastAsia"/>
        </w:rPr>
        <w:t>业务功能包含组织信息、光荣院信息、部门信息、支部管理、员工管理、志愿者管理等。</w:t>
      </w:r>
    </w:p>
    <w:p>
      <w:pPr>
        <w:pStyle w:val="2"/>
        <w:ind w:firstLine="480" w:firstLineChars="200"/>
      </w:pPr>
      <w:r>
        <w:rPr>
          <w:rFonts w:hint="eastAsia"/>
        </w:rPr>
        <w:t>2、入院管理系统</w:t>
      </w:r>
    </w:p>
    <w:p>
      <w:pPr>
        <w:pStyle w:val="2"/>
        <w:ind w:firstLine="480" w:firstLineChars="200"/>
      </w:pPr>
      <w:r>
        <w:rPr>
          <w:rFonts w:hint="eastAsia"/>
        </w:rPr>
        <w:t>遵循国家、省市规范文件，结合铜陵市光荣院实际工作流程，建立入院管理系统，实现“一站式”审批功能，工作人员业务办理更加便捷、审批过程可留痕，实现对优抚对象从申请入院到办理离院的全流程在线管理，并为优抚对象建立电子档案。通过入院管理业务的全面信息化，大大提高铜陵市光荣院工作人员的工作效率。</w:t>
      </w:r>
    </w:p>
    <w:p>
      <w:pPr>
        <w:pStyle w:val="2"/>
        <w:ind w:firstLine="480" w:firstLineChars="200"/>
        <w:rPr>
          <w:rFonts w:hAnsi="宋体" w:cs="宋体"/>
          <w:highlight w:val="green"/>
        </w:rPr>
      </w:pPr>
      <w:r>
        <w:rPr>
          <w:rFonts w:hint="eastAsia"/>
        </w:rPr>
        <w:t>业务功能包含入院管理、离院管理、短期修养、实时房态、登记管理、协议管理、档案管理等。</w:t>
      </w:r>
    </w:p>
    <w:p>
      <w:pPr>
        <w:pStyle w:val="2"/>
        <w:ind w:firstLine="480" w:firstLineChars="200"/>
      </w:pPr>
      <w:r>
        <w:rPr>
          <w:rFonts w:hint="eastAsia"/>
        </w:rPr>
        <w:t>3、活动管理系统</w:t>
      </w:r>
    </w:p>
    <w:p>
      <w:pPr>
        <w:pStyle w:val="2"/>
        <w:ind w:firstLine="480" w:firstLineChars="200"/>
      </w:pPr>
      <w:r>
        <w:rPr>
          <w:rFonts w:hint="eastAsia"/>
        </w:rPr>
        <w:t>为解决优抚对象中出现的晚年孤独、渴望关注等问题，铜陵市光荣院积极开展特色活动，努力把光荣院打造成优抚对象的第二个家，同时也是铜陵志愿服务的“现代阵地”。</w:t>
      </w:r>
    </w:p>
    <w:p>
      <w:pPr>
        <w:pStyle w:val="2"/>
        <w:ind w:firstLine="480" w:firstLineChars="200"/>
      </w:pPr>
      <w:r>
        <w:rPr>
          <w:rFonts w:hint="eastAsia"/>
        </w:rPr>
        <w:t>通过建立活动管理系统，为光荣院开展特色活动提供载体，方便活动开展的同时拓展社会效益，让老兵在院内留下足迹，让社会公众及时了解院内活动动态。</w:t>
      </w:r>
    </w:p>
    <w:p>
      <w:pPr>
        <w:pStyle w:val="2"/>
        <w:ind w:firstLine="480" w:firstLineChars="200"/>
      </w:pPr>
      <w:r>
        <w:rPr>
          <w:rFonts w:hint="eastAsia"/>
        </w:rPr>
        <w:t>4、安全管理系统</w:t>
      </w:r>
    </w:p>
    <w:p>
      <w:pPr>
        <w:ind w:firstLine="480" w:firstLineChars="200"/>
        <w:jc w:val="left"/>
        <w:rPr>
          <w:rFonts w:hAnsi="宋体" w:cs="宋体"/>
        </w:rPr>
      </w:pPr>
      <w:r>
        <w:rPr>
          <w:rFonts w:hint="eastAsia" w:hAnsi="宋体" w:cs="宋体"/>
        </w:rPr>
        <w:t>利用智能化终端设备，通过无人化、实时化、智能化的信息采集，建立安全管理系统，为光荣院全域提供智能安防，为光荣院优抚对象提供安全看护服务，有效缓解光荣院内部的看护压力，为光荣院管理人员提供工作便利，提高工作效率。</w:t>
      </w:r>
    </w:p>
    <w:p>
      <w:pPr>
        <w:pStyle w:val="2"/>
        <w:ind w:firstLine="480"/>
        <w:rPr>
          <w:rFonts w:hAnsi="宋体" w:cs="宋体"/>
        </w:rPr>
      </w:pPr>
      <w:r>
        <w:rPr>
          <w:rFonts w:hint="eastAsia" w:hAnsi="宋体" w:cs="宋体"/>
        </w:rPr>
        <w:t>业务功能包含床垫监测、人脸识别、智能定位、跌倒告警、健康监测、设备绑定等。</w:t>
      </w:r>
    </w:p>
    <w:p>
      <w:pPr>
        <w:pStyle w:val="2"/>
        <w:ind w:firstLine="480"/>
        <w:rPr>
          <w:rFonts w:hAnsi="宋体" w:cs="宋体"/>
        </w:rPr>
      </w:pPr>
      <w:r>
        <w:rPr>
          <w:rFonts w:hint="eastAsia" w:hAnsi="宋体" w:cs="宋体"/>
        </w:rPr>
        <w:t>5、护养管理系统</w:t>
      </w:r>
    </w:p>
    <w:p>
      <w:pPr>
        <w:ind w:firstLine="480" w:firstLineChars="200"/>
        <w:jc w:val="left"/>
        <w:rPr>
          <w:rFonts w:hAnsi="宋体" w:cs="宋体"/>
        </w:rPr>
      </w:pPr>
      <w:r>
        <w:rPr>
          <w:rFonts w:hint="eastAsia" w:hAnsi="宋体" w:cs="宋体"/>
        </w:rPr>
        <w:t>建立护养管理系统，实现对优抚对象的日常护理情况进行管理，通过护养任务的自动派发、任务执行、任务统计，让管理员能随时监督到护理工作完成情况，让优抚对象获得更好更优质的服务。</w:t>
      </w:r>
    </w:p>
    <w:p>
      <w:pPr>
        <w:pStyle w:val="2"/>
        <w:ind w:firstLine="480"/>
        <w:rPr>
          <w:rFonts w:hAnsi="宋体" w:cs="宋体"/>
        </w:rPr>
      </w:pPr>
      <w:r>
        <w:rPr>
          <w:rFonts w:hint="eastAsia" w:hAnsi="宋体" w:cs="宋体"/>
        </w:rPr>
        <w:t>业务功能包含计划总览、计划执行、护理计划、护理项目、护理模板、换床管理、班次设置、班组设置、排班总览等。</w:t>
      </w:r>
    </w:p>
    <w:p>
      <w:pPr>
        <w:pStyle w:val="2"/>
        <w:ind w:firstLine="480"/>
        <w:rPr>
          <w:rFonts w:hAnsi="宋体" w:cs="宋体"/>
        </w:rPr>
      </w:pPr>
      <w:r>
        <w:rPr>
          <w:rFonts w:hint="eastAsia" w:hAnsi="宋体" w:cs="宋体"/>
        </w:rPr>
        <w:t>6、后勤管理系统</w:t>
      </w:r>
    </w:p>
    <w:p>
      <w:pPr>
        <w:ind w:firstLine="480" w:firstLineChars="200"/>
        <w:jc w:val="left"/>
        <w:rPr>
          <w:rFonts w:hAnsi="宋体" w:cs="宋体"/>
        </w:rPr>
      </w:pPr>
      <w:r>
        <w:rPr>
          <w:rFonts w:hint="eastAsia" w:hAnsi="宋体" w:cs="宋体"/>
        </w:rPr>
        <w:t>后勤管理系统主要对光荣院后勤方面的业务进行统一规范管理，具体业务范围包含费用管理、膳食管理、库存管理，通过相关业务电子化流程化管理，为后勤管理工作提供便利服务。</w:t>
      </w:r>
    </w:p>
    <w:p>
      <w:pPr>
        <w:ind w:firstLine="480" w:firstLineChars="200"/>
        <w:jc w:val="left"/>
        <w:rPr>
          <w:rFonts w:hAnsi="宋体" w:cs="宋体"/>
        </w:rPr>
      </w:pPr>
      <w:r>
        <w:rPr>
          <w:rFonts w:hint="eastAsia" w:hAnsi="宋体" w:cs="宋体"/>
        </w:rPr>
        <w:t>费用管理记录每期为优抚对象发放零用钱、体检、伙食费、服装费等费用，支持数据导出，并支持生成报表，便于光荣院相关管理人员进行相关费用预留安排。</w:t>
      </w:r>
    </w:p>
    <w:p>
      <w:pPr>
        <w:ind w:firstLine="480" w:firstLineChars="200"/>
        <w:jc w:val="left"/>
        <w:rPr>
          <w:rFonts w:hAnsi="宋体" w:cs="宋体"/>
        </w:rPr>
      </w:pPr>
      <w:r>
        <w:rPr>
          <w:rFonts w:hint="eastAsia" w:hAnsi="宋体" w:cs="宋体"/>
        </w:rPr>
        <w:t>膳食管理通过维护电子菜单，支持菜单导出，方便优抚对象了解最新菜单情况。</w:t>
      </w:r>
    </w:p>
    <w:p>
      <w:pPr>
        <w:ind w:firstLine="480" w:firstLineChars="200"/>
        <w:jc w:val="left"/>
        <w:rPr>
          <w:rFonts w:hAnsi="宋体" w:cs="宋体"/>
        </w:rPr>
      </w:pPr>
      <w:r>
        <w:rPr>
          <w:rFonts w:hint="eastAsia" w:hAnsi="宋体" w:cs="宋体"/>
        </w:rPr>
        <w:t>库存管理实现对院内物品的出库以及入库等情况进行记录，方便院内工作人员进行库存盘点查询。</w:t>
      </w:r>
    </w:p>
    <w:p>
      <w:pPr>
        <w:pStyle w:val="2"/>
        <w:ind w:firstLine="480"/>
        <w:rPr>
          <w:rFonts w:hAnsi="宋体" w:cs="宋体"/>
        </w:rPr>
      </w:pPr>
      <w:r>
        <w:rPr>
          <w:rFonts w:hint="eastAsia" w:hAnsi="宋体" w:cs="宋体"/>
        </w:rPr>
        <w:t>业务功能包含费用记录、费用报表、电子菜单、菜品管理、库存查询、物品盘点、物品出库、物品入库、物品信息等。</w:t>
      </w:r>
    </w:p>
    <w:p>
      <w:pPr>
        <w:pStyle w:val="2"/>
        <w:ind w:firstLine="480" w:firstLineChars="200"/>
        <w:rPr>
          <w:rFonts w:hAnsi="宋体" w:cs="宋体"/>
        </w:rPr>
      </w:pPr>
      <w:r>
        <w:rPr>
          <w:rFonts w:hint="eastAsia" w:hAnsi="宋体" w:cs="宋体"/>
        </w:rPr>
        <w:t>7、数据分析系统</w:t>
      </w:r>
    </w:p>
    <w:p>
      <w:pPr>
        <w:pStyle w:val="2"/>
        <w:ind w:firstLine="480" w:firstLineChars="200"/>
        <w:rPr>
          <w:rFonts w:hAnsi="宋体" w:cs="宋体"/>
        </w:rPr>
      </w:pPr>
      <w:r>
        <w:rPr>
          <w:rFonts w:hint="eastAsia" w:hAnsi="宋体" w:cs="宋体"/>
        </w:rPr>
        <w:t>通过对光荣院平台基础数据以及业务数据进行统计分析，并通过可视化形式进行展示。分析展示维度包含光荣院房间、床位、优抚对象数量、性别、年龄、政治面貌等，并对光荣院工作人员以及志愿者的数量、性别、年龄、文化程度等进行分析，为光荣院主管部门以及院内管理人员提供决策支撑。</w:t>
      </w:r>
    </w:p>
    <w:p>
      <w:pPr>
        <w:pStyle w:val="2"/>
        <w:ind w:firstLine="480" w:firstLineChars="200"/>
        <w:rPr>
          <w:rFonts w:hAnsi="宋体" w:cs="宋体"/>
        </w:rPr>
      </w:pPr>
      <w:r>
        <w:rPr>
          <w:rFonts w:hint="eastAsia" w:hAnsi="宋体" w:cs="宋体"/>
        </w:rPr>
        <w:t>分析主题包含光荣院概况分析、优抚对象分析、护养任务分析、费用数据分析、安全监测分析等。</w:t>
      </w:r>
    </w:p>
    <w:p>
      <w:pPr>
        <w:pStyle w:val="2"/>
        <w:ind w:firstLine="480" w:firstLineChars="200"/>
        <w:rPr>
          <w:rFonts w:hAnsi="宋体" w:cs="宋体"/>
        </w:rPr>
      </w:pPr>
      <w:r>
        <w:rPr>
          <w:rFonts w:hint="eastAsia" w:hAnsi="宋体" w:cs="宋体"/>
        </w:rPr>
        <w:t>8、基础配置系统</w:t>
      </w:r>
    </w:p>
    <w:p>
      <w:pPr>
        <w:pStyle w:val="2"/>
        <w:ind w:firstLine="480" w:firstLineChars="200"/>
        <w:rPr>
          <w:rFonts w:hAnsi="宋体" w:cs="宋体"/>
        </w:rPr>
      </w:pPr>
      <w:r>
        <w:rPr>
          <w:rFonts w:hint="eastAsia" w:hAnsi="宋体" w:cs="宋体"/>
        </w:rPr>
        <w:t>基础配置系统通过光荣院平台级配置以及各业务功能相关配置，实现平台配置项统一入口维护，便于用户操作。</w:t>
      </w:r>
    </w:p>
    <w:p>
      <w:pPr>
        <w:pStyle w:val="2"/>
        <w:ind w:firstLine="480" w:firstLineChars="200"/>
        <w:rPr>
          <w:rFonts w:hAnsi="宋体" w:cs="宋体"/>
        </w:rPr>
      </w:pPr>
      <w:r>
        <w:rPr>
          <w:rFonts w:hint="eastAsia" w:hAnsi="宋体" w:cs="宋体"/>
        </w:rPr>
        <w:t>基础配置功能包含用户管理、角色权限、菜单管理、字典管理、日志管理、房间类型、楼栋配置、房间床位、短修期数、入院流程、离院流程、短修流程等。</w:t>
      </w:r>
    </w:p>
    <w:p>
      <w:pPr>
        <w:pStyle w:val="2"/>
        <w:ind w:firstLine="480" w:firstLineChars="200"/>
        <w:rPr>
          <w:rFonts w:hAnsi="宋体" w:cs="宋体"/>
        </w:rPr>
      </w:pPr>
      <w:r>
        <w:rPr>
          <w:rFonts w:hint="eastAsia" w:hAnsi="宋体" w:cs="宋体"/>
        </w:rPr>
        <w:t>9、光荣院大数据展示平台</w:t>
      </w:r>
    </w:p>
    <w:p>
      <w:pPr>
        <w:pStyle w:val="2"/>
        <w:ind w:firstLine="480" w:firstLineChars="200"/>
        <w:rPr>
          <w:rFonts w:hAnsi="宋体" w:cs="宋体"/>
        </w:rPr>
      </w:pPr>
      <w:r>
        <w:rPr>
          <w:rFonts w:hint="eastAsia" w:hAnsi="宋体" w:cs="宋体"/>
        </w:rPr>
        <w:t>光荣院大数据展示平台通过汇集各业务系统数据，展示院内综合管理服务情况，借助系统数据汇集分析功能，分门别类展示院内各项数据信息。对优抚对象的数量、性别、政治面貌、来源区域等维度进行分析，对院内工作人员、志愿者等维度进行分析呈现，并对院内开展的活动动态以及最新通知等进行展示。</w:t>
      </w:r>
    </w:p>
    <w:p>
      <w:pPr>
        <w:keepNext/>
        <w:keepLines/>
        <w:spacing w:line="360" w:lineRule="auto"/>
        <w:outlineLvl w:val="2"/>
        <w:rPr>
          <w:b/>
          <w:bCs/>
          <w:vanish/>
          <w:sz w:val="32"/>
          <w:szCs w:val="32"/>
        </w:rPr>
      </w:pPr>
      <w:bookmarkStart w:id="0" w:name="_Toc83308204"/>
      <w:bookmarkEnd w:id="0"/>
      <w:bookmarkStart w:id="1" w:name="_Toc83383468"/>
      <w:bookmarkEnd w:id="1"/>
      <w:bookmarkStart w:id="2" w:name="_Toc83289276"/>
      <w:bookmarkEnd w:id="2"/>
      <w:bookmarkStart w:id="3" w:name="_Toc83289270"/>
      <w:bookmarkEnd w:id="3"/>
      <w:bookmarkStart w:id="4" w:name="_Toc83388022"/>
      <w:bookmarkEnd w:id="4"/>
      <w:bookmarkStart w:id="5" w:name="_Toc83290772"/>
      <w:bookmarkEnd w:id="5"/>
      <w:bookmarkStart w:id="6" w:name="_Toc83383462"/>
      <w:bookmarkEnd w:id="6"/>
      <w:bookmarkStart w:id="7" w:name="_Toc83376769"/>
      <w:bookmarkEnd w:id="7"/>
      <w:bookmarkStart w:id="8" w:name="_Toc83304949"/>
      <w:bookmarkEnd w:id="8"/>
      <w:bookmarkStart w:id="9" w:name="_Toc83289008"/>
      <w:bookmarkEnd w:id="9"/>
      <w:bookmarkStart w:id="10" w:name="_Toc83304943"/>
      <w:bookmarkEnd w:id="10"/>
      <w:bookmarkStart w:id="11" w:name="_Toc83289014"/>
      <w:bookmarkEnd w:id="11"/>
      <w:bookmarkStart w:id="12" w:name="_Toc83388028"/>
      <w:bookmarkEnd w:id="12"/>
      <w:bookmarkStart w:id="13" w:name="_Toc83308210"/>
      <w:bookmarkEnd w:id="13"/>
      <w:bookmarkStart w:id="14" w:name="_Toc83384475"/>
      <w:bookmarkEnd w:id="14"/>
      <w:bookmarkStart w:id="15" w:name="_Toc83289229"/>
      <w:bookmarkEnd w:id="15"/>
      <w:bookmarkStart w:id="16" w:name="_Toc83384481"/>
      <w:bookmarkEnd w:id="16"/>
      <w:bookmarkStart w:id="17" w:name="_Toc83289223"/>
      <w:bookmarkEnd w:id="17"/>
      <w:bookmarkStart w:id="18" w:name="_Toc83290778"/>
      <w:bookmarkEnd w:id="18"/>
      <w:bookmarkStart w:id="19" w:name="_Toc83376775"/>
      <w:bookmarkEnd w:id="19"/>
      <w:bookmarkStart w:id="20" w:name="_Toc82813962"/>
    </w:p>
    <w:bookmarkEnd w:id="20"/>
    <w:p>
      <w:pPr>
        <w:pStyle w:val="2"/>
        <w:ind w:firstLine="480" w:firstLineChars="200"/>
        <w:rPr>
          <w:rFonts w:hAnsi="宋体" w:cs="宋体"/>
        </w:rPr>
      </w:pPr>
      <w:r>
        <w:rPr>
          <w:rFonts w:hint="eastAsia" w:hAnsi="宋体" w:cs="宋体"/>
        </w:rPr>
        <w:t>10、智能移动端应用</w:t>
      </w:r>
    </w:p>
    <w:p>
      <w:pPr>
        <w:pStyle w:val="2"/>
        <w:ind w:firstLine="480" w:firstLineChars="200"/>
        <w:rPr>
          <w:rFonts w:hAnsi="宋体" w:cs="宋体"/>
        </w:rPr>
      </w:pPr>
      <w:r>
        <w:rPr>
          <w:rFonts w:hint="eastAsia" w:hAnsi="宋体" w:cs="宋体"/>
        </w:rPr>
        <w:t>（1）移动端APP建设</w:t>
      </w:r>
    </w:p>
    <w:p>
      <w:pPr>
        <w:pStyle w:val="2"/>
        <w:ind w:firstLine="480" w:firstLineChars="200"/>
        <w:rPr>
          <w:rFonts w:hAnsi="宋体" w:cs="宋体"/>
        </w:rPr>
      </w:pPr>
      <w:r>
        <w:rPr>
          <w:rFonts w:hint="eastAsia" w:hAnsi="宋体" w:cs="宋体"/>
        </w:rPr>
        <w:t>实现工作人员移动式、便捷式开展日常工作。通过通讯录、值班表，实现院内沟通更加迅速；通过通知公告，实现最新通知及时下达；通过床垫监测、外出定位、通行告警、健康体检，实现对优抚对象的智能安全防护；通过护养服务，实现护理人员快速执行护理计划；通过统计分析功能，实现院内管理人员随时了解铜陵光荣院内整体运转情况。</w:t>
      </w:r>
    </w:p>
    <w:p>
      <w:pPr>
        <w:pStyle w:val="2"/>
        <w:numPr>
          <w:ilvl w:val="0"/>
          <w:numId w:val="3"/>
        </w:numPr>
        <w:ind w:firstLine="480" w:firstLineChars="200"/>
        <w:rPr>
          <w:rFonts w:hAnsi="宋体" w:cs="宋体"/>
        </w:rPr>
      </w:pPr>
      <w:r>
        <w:rPr>
          <w:rFonts w:hint="eastAsia" w:hAnsi="宋体" w:cs="宋体"/>
        </w:rPr>
        <w:t>公众端建设</w:t>
      </w:r>
    </w:p>
    <w:p>
      <w:pPr>
        <w:pStyle w:val="2"/>
        <w:ind w:firstLine="480" w:firstLineChars="200"/>
        <w:rPr>
          <w:rFonts w:hint="eastAsia" w:hAnsi="宋体" w:cs="宋体"/>
        </w:rPr>
      </w:pPr>
      <w:r>
        <w:rPr>
          <w:rFonts w:hint="eastAsia" w:hAnsi="宋体" w:cs="宋体"/>
        </w:rPr>
        <w:t>为光荣院提供宣传入口，社会公众及子女无需下载安装即可快捷查看光荣院简介以及活动动态，旨在打造铜陵光荣院特色品牌系列活动宣传专栏。通过光荣院简介，展示光荣院基本情况；通过活动动态及时向公众推送院内特色活动资讯等。建立光荣院与社会公众的连接桥梁，使更多的人了解熟悉光荣院；并为子女亲属提供查询优抚对象健康等基本情况。</w:t>
      </w:r>
    </w:p>
    <w:p>
      <w:pPr>
        <w:pStyle w:val="2"/>
        <w:ind w:firstLine="480" w:firstLineChars="200"/>
        <w:rPr>
          <w:rFonts w:hint="eastAsia" w:hAnsi="宋体" w:cs="宋体"/>
        </w:rPr>
      </w:pPr>
    </w:p>
    <w:p>
      <w:pPr>
        <w:pStyle w:val="2"/>
        <w:ind w:firstLine="480" w:firstLineChars="200"/>
        <w:rPr>
          <w:rFonts w:hint="eastAsia" w:hAnsi="宋体" w:cs="宋体"/>
        </w:rPr>
      </w:pPr>
    </w:p>
    <w:p>
      <w:pPr>
        <w:pStyle w:val="2"/>
        <w:ind w:firstLine="480" w:firstLineChars="200"/>
        <w:rPr>
          <w:rFonts w:hint="eastAsia" w:hAnsi="宋体" w:cs="宋体"/>
        </w:rPr>
      </w:pPr>
    </w:p>
    <w:p>
      <w:pPr>
        <w:pStyle w:val="5"/>
        <w:numPr>
          <w:ilvl w:val="0"/>
          <w:numId w:val="1"/>
        </w:numPr>
        <w:ind w:right="314" w:rightChars="131"/>
        <w:jc w:val="center"/>
        <w:rPr>
          <w:sz w:val="36"/>
          <w:szCs w:val="36"/>
        </w:rPr>
      </w:pPr>
      <w:r>
        <w:rPr>
          <w:rFonts w:hint="eastAsia"/>
          <w:sz w:val="36"/>
          <w:szCs w:val="36"/>
        </w:rPr>
        <w:t>其他要求</w:t>
      </w:r>
    </w:p>
    <w:p>
      <w:pPr>
        <w:ind w:firstLine="480"/>
        <w:rPr>
          <w:rFonts w:hAnsi="宋体" w:cs="宋体"/>
        </w:rPr>
      </w:pPr>
      <w:r>
        <w:rPr>
          <w:rFonts w:hint="eastAsia" w:hAnsi="宋体" w:cs="宋体"/>
        </w:rPr>
        <w:t>（一）应用和开发要求</w:t>
      </w:r>
    </w:p>
    <w:p>
      <w:pPr>
        <w:ind w:firstLine="480"/>
        <w:rPr>
          <w:rFonts w:hAnsi="宋体" w:cs="宋体"/>
        </w:rPr>
      </w:pPr>
      <w:r>
        <w:rPr>
          <w:rFonts w:hint="eastAsia" w:hAnsi="宋体" w:cs="宋体"/>
        </w:rPr>
        <w:t>1、严格按照国家信息化建设标准建设。</w:t>
      </w:r>
    </w:p>
    <w:p>
      <w:pPr>
        <w:ind w:firstLine="480"/>
        <w:rPr>
          <w:rFonts w:hAnsi="宋体" w:cs="宋体"/>
        </w:rPr>
      </w:pPr>
      <w:r>
        <w:rPr>
          <w:rFonts w:hint="eastAsia" w:hAnsi="宋体" w:cs="宋体"/>
        </w:rPr>
        <w:t>2、系统采用主流开发语言，B/S结构，支持IE浏览器8.0以上的版本（包括最新的IE版本），支持Mozilla Firefox、Chrome等浏览器。</w:t>
      </w:r>
    </w:p>
    <w:p>
      <w:pPr>
        <w:ind w:firstLine="480"/>
        <w:rPr>
          <w:rFonts w:hAnsi="宋体" w:cs="宋体"/>
        </w:rPr>
      </w:pPr>
      <w:r>
        <w:rPr>
          <w:rFonts w:hint="eastAsia" w:hAnsi="宋体" w:cs="宋体"/>
        </w:rPr>
        <w:t>3、系统设计应做到结构模块化，程序结构化，数据格式标准化，代码统一化，各种文档资料规范化。软件系统必须统一标准，规范设计，统一数据入口，充分共享；数据可被系统中任何处理环节使用，确保数据的完整性，一致性。</w:t>
      </w:r>
    </w:p>
    <w:p>
      <w:pPr>
        <w:ind w:firstLine="480"/>
        <w:rPr>
          <w:rFonts w:hAnsi="宋体" w:cs="宋体"/>
        </w:rPr>
      </w:pPr>
      <w:r>
        <w:rPr>
          <w:rFonts w:hint="eastAsia" w:hAnsi="宋体" w:cs="宋体"/>
        </w:rPr>
        <w:t>4、充分考虑系统的安全性、可靠性和健壮性。通过设置系统日志、自动记录全部操作过程；通过完整的权限管理机制进行权限划分。</w:t>
      </w:r>
    </w:p>
    <w:p>
      <w:pPr>
        <w:ind w:firstLine="480"/>
        <w:rPr>
          <w:rFonts w:hAnsi="宋体" w:cs="宋体"/>
        </w:rPr>
      </w:pPr>
      <w:r>
        <w:rPr>
          <w:rFonts w:hint="eastAsia" w:hAnsi="宋体" w:cs="宋体"/>
        </w:rPr>
        <w:t>5、系统的操作要力求简便，操作界面的设计风格统一，便于操作员快速掌握系统操作方法；用户界面简单明了，符合业务办理流程，具有人性化特点。</w:t>
      </w:r>
    </w:p>
    <w:p>
      <w:pPr>
        <w:ind w:firstLine="480"/>
        <w:rPr>
          <w:rFonts w:hAnsi="宋体" w:cs="宋体"/>
        </w:rPr>
      </w:pPr>
      <w:r>
        <w:rPr>
          <w:rFonts w:hint="eastAsia" w:hAnsi="宋体" w:cs="宋体"/>
        </w:rPr>
        <w:t>（三）实施与培训要求</w:t>
      </w:r>
    </w:p>
    <w:p>
      <w:pPr>
        <w:ind w:firstLine="480"/>
        <w:rPr>
          <w:rFonts w:hAnsi="宋体" w:cs="宋体"/>
        </w:rPr>
      </w:pPr>
      <w:r>
        <w:rPr>
          <w:rFonts w:hint="eastAsia" w:hAnsi="宋体" w:cs="宋体"/>
        </w:rPr>
        <w:t>1、投标供应商须向建设单位和用户单位提供相关培训，以便工作人员对系统可熟练操作，同时保证能够进行系统的运行管理、操作、维护，故障分析处理等工作。</w:t>
      </w:r>
    </w:p>
    <w:p>
      <w:pPr>
        <w:ind w:firstLine="480"/>
        <w:rPr>
          <w:rFonts w:hAnsi="宋体" w:cs="宋体"/>
        </w:rPr>
      </w:pPr>
      <w:r>
        <w:rPr>
          <w:rFonts w:hint="eastAsia" w:hAnsi="宋体" w:cs="宋体"/>
        </w:rPr>
        <w:t>2、培训对象主要为光荣院的工作人员、系统运维人员，考虑到光荣院工作人员年龄偏大，信息化程度不高，投标供应商应考虑专业的人员作为讲师进行培训。</w:t>
      </w:r>
    </w:p>
    <w:p>
      <w:pPr>
        <w:ind w:firstLine="480"/>
        <w:rPr>
          <w:rFonts w:hAnsi="宋体" w:cs="宋体"/>
        </w:rPr>
      </w:pPr>
      <w:r>
        <w:rPr>
          <w:rFonts w:hint="eastAsia" w:hAnsi="宋体" w:cs="宋体"/>
        </w:rPr>
        <w:t>3、培训教材包括但不限于培训对象的视频教材、WORD和HTML用户手册、培训PPT，培训所使用的语言和教材必须是中文。建设单位有权在系统内部使用这些培训资料。</w:t>
      </w:r>
    </w:p>
    <w:p>
      <w:pPr>
        <w:ind w:firstLine="480"/>
        <w:rPr>
          <w:rFonts w:hAnsi="宋体" w:cs="宋体"/>
        </w:rPr>
      </w:pPr>
      <w:r>
        <w:rPr>
          <w:rFonts w:hint="eastAsia" w:hAnsi="宋体" w:cs="宋体"/>
        </w:rPr>
        <w:t>4、投标文件中须提供详细的培训方案。培训方案主要包括培训时间、地点、内容、人员、批次、课时等方面进行详细说明。全市工作人员培训采取集中培训方式，培训时由中标商提供师资、教材、课件。</w:t>
      </w:r>
    </w:p>
    <w:p>
      <w:pPr>
        <w:ind w:firstLine="480"/>
        <w:rPr>
          <w:rFonts w:hAnsi="宋体" w:cs="宋体"/>
          <w:bCs/>
        </w:rPr>
      </w:pPr>
      <w:r>
        <w:rPr>
          <w:rFonts w:hint="eastAsia" w:hAnsi="宋体" w:cs="宋体"/>
          <w:bCs/>
        </w:rPr>
        <w:t>（四）售后服务要求</w:t>
      </w:r>
    </w:p>
    <w:p>
      <w:pPr>
        <w:ind w:firstLine="480"/>
        <w:rPr>
          <w:rFonts w:hAnsi="宋体" w:cs="宋体"/>
        </w:rPr>
      </w:pPr>
      <w:r>
        <w:rPr>
          <w:rFonts w:hAnsi="宋体" w:cs="宋体"/>
        </w:rPr>
        <w:t>1</w:t>
      </w:r>
      <w:r>
        <w:rPr>
          <w:rFonts w:hint="eastAsia" w:hAnsi="宋体" w:cs="宋体"/>
        </w:rPr>
        <w:t>、质保期：软件提供三年的免费质保期，硬件产品提供两年的免费质保期。</w:t>
      </w:r>
    </w:p>
    <w:p>
      <w:pPr>
        <w:ind w:firstLine="480"/>
        <w:rPr>
          <w:rFonts w:hAnsi="宋体" w:cs="宋体"/>
        </w:rPr>
      </w:pPr>
      <w:r>
        <w:rPr>
          <w:rFonts w:hAnsi="宋体" w:cs="宋体"/>
        </w:rPr>
        <w:t>2</w:t>
      </w:r>
      <w:r>
        <w:rPr>
          <w:rFonts w:hint="eastAsia" w:hAnsi="宋体" w:cs="宋体"/>
        </w:rPr>
        <w:t>、质保期内（以本项目验收合格之日算起）应当为采购人提供以下技术支持和服务：</w:t>
      </w:r>
    </w:p>
    <w:p>
      <w:pPr>
        <w:ind w:firstLine="480"/>
        <w:rPr>
          <w:rFonts w:hAnsi="宋体" w:cs="宋体"/>
        </w:rPr>
      </w:pPr>
      <w:r>
        <w:rPr>
          <w:rFonts w:hint="eastAsia" w:hAnsi="宋体" w:cs="宋体"/>
        </w:rPr>
        <w:t>（1）电话咨询。中标人或制造商应当为采购人提供技术援助电话，解答采购人在使用中遇到的问题，及时为采购人提出解决问题的建议和办法。</w:t>
      </w:r>
    </w:p>
    <w:p>
      <w:pPr>
        <w:ind w:firstLine="480"/>
        <w:rPr>
          <w:rFonts w:hAnsi="宋体" w:cs="宋体"/>
        </w:rPr>
      </w:pPr>
      <w:r>
        <w:rPr>
          <w:rFonts w:hint="eastAsia" w:hAnsi="宋体" w:cs="宋体"/>
        </w:rPr>
        <w:t>（2）现场响应。采购人遇到使用及技术问题，电话咨询不能解决的，中标人或制造商售后应在1小时内响应，8小内到达现场进行处理，确保货物系统正常工作；无法在12小时内解决的，应在24小时内提供备用产品，使采购人能够正常使用。</w:t>
      </w:r>
    </w:p>
    <w:p>
      <w:pPr>
        <w:ind w:firstLine="480"/>
        <w:rPr>
          <w:rFonts w:hAnsi="宋体" w:cs="宋体"/>
        </w:rPr>
      </w:pPr>
      <w:r>
        <w:rPr>
          <w:rFonts w:hint="eastAsia" w:hAnsi="宋体" w:cs="宋体"/>
        </w:rPr>
        <w:t>（3）中标人应当定期对所供货物系统运行情况进行检测，消除故障隐患，以保证货物的正常运行。</w:t>
      </w:r>
    </w:p>
    <w:p>
      <w:pPr>
        <w:ind w:firstLine="480"/>
        <w:rPr>
          <w:rFonts w:hAnsi="宋体" w:cs="宋体"/>
        </w:rPr>
      </w:pPr>
      <w:r>
        <w:rPr>
          <w:rFonts w:hint="eastAsia" w:hAnsi="宋体" w:cs="宋体"/>
        </w:rPr>
        <w:t>（4）技术升级。在质保期内，如果制造商的产品技术升级，中标人应及时通知采购人，如采购人有相应要求，中标人和制造商应对采购人购买的产品进行免费升级服务。</w:t>
      </w:r>
    </w:p>
    <w:p>
      <w:pPr>
        <w:ind w:firstLine="480"/>
        <w:rPr>
          <w:rFonts w:hAnsi="宋体" w:cs="宋体"/>
        </w:rPr>
      </w:pPr>
      <w:r>
        <w:rPr>
          <w:rFonts w:hAnsi="宋体" w:cs="宋体"/>
        </w:rPr>
        <w:t>3</w:t>
      </w:r>
      <w:r>
        <w:rPr>
          <w:rFonts w:hint="eastAsia" w:hAnsi="宋体" w:cs="宋体"/>
        </w:rPr>
        <w:t>、质保期后应当为采购人提供以下技术支持和服务：</w:t>
      </w:r>
    </w:p>
    <w:p>
      <w:pPr>
        <w:ind w:firstLine="480"/>
        <w:rPr>
          <w:rFonts w:hAnsi="宋体" w:cs="宋体"/>
        </w:rPr>
      </w:pPr>
      <w:r>
        <w:rPr>
          <w:rFonts w:hint="eastAsia" w:hAnsi="宋体" w:cs="宋体"/>
        </w:rPr>
        <w:t>（1）应同样提供免费电话咨询服务，并应承诺提供产品上门维护服务。</w:t>
      </w:r>
    </w:p>
    <w:p>
      <w:pPr>
        <w:ind w:firstLine="480"/>
        <w:rPr>
          <w:rFonts w:hAnsi="宋体" w:cs="宋体"/>
        </w:rPr>
      </w:pPr>
      <w:r>
        <w:rPr>
          <w:rFonts w:hint="eastAsia" w:hAnsi="宋体" w:cs="宋体"/>
        </w:rPr>
        <w:t>（2）应以优惠价格继续提供售后服务。</w:t>
      </w:r>
    </w:p>
    <w:p>
      <w:pPr>
        <w:ind w:firstLine="480"/>
        <w:rPr>
          <w:rFonts w:hAnsi="宋体" w:cs="宋体"/>
        </w:rPr>
      </w:pPr>
      <w:r>
        <w:rPr>
          <w:rFonts w:hAnsi="宋体" w:cs="宋体"/>
        </w:rPr>
        <w:t>4</w:t>
      </w:r>
      <w:r>
        <w:rPr>
          <w:rFonts w:hint="eastAsia" w:hAnsi="宋体" w:cs="宋体"/>
        </w:rPr>
        <w:t>、备品备件及易损件</w:t>
      </w:r>
    </w:p>
    <w:p>
      <w:pPr>
        <w:ind w:firstLine="480"/>
      </w:pPr>
      <w:r>
        <w:rPr>
          <w:rFonts w:hint="eastAsia" w:hAnsi="宋体" w:cs="宋体"/>
        </w:rPr>
        <w:t>中标人或制造商售后服务中，维修使用的备品备件及易损件应为原厂配件，未经采购人同意不得使用非原厂配件。</w:t>
      </w:r>
    </w:p>
    <w:p>
      <w:pPr>
        <w:widowControl/>
        <w:jc w:val="left"/>
      </w:pPr>
    </w:p>
    <w:p>
      <w:pPr>
        <w:pStyle w:val="2"/>
      </w:pPr>
    </w:p>
    <w:p>
      <w:pPr>
        <w:widowControl/>
        <w:jc w:val="left"/>
        <w:rPr>
          <w:rFonts w:hAnsi="宋体"/>
          <w:sz w:val="21"/>
          <w:szCs w:val="21"/>
        </w:rPr>
      </w:pPr>
      <w:r>
        <w:rPr>
          <w:rFonts w:hint="eastAsia" w:hAnsi="宋体" w:cs="微软雅黑"/>
          <w:b/>
          <w:bCs/>
          <w:kern w:val="0"/>
          <w:sz w:val="32"/>
          <w:szCs w:val="32"/>
          <w:lang w:val="en-US" w:eastAsia="zh-CN" w:bidi="ar"/>
        </w:rPr>
        <w:t>投标人资格：</w:t>
      </w:r>
      <w:r>
        <w:rPr>
          <w:rFonts w:hint="eastAsia" w:hAnsi="宋体" w:cs="微软雅黑"/>
          <w:kern w:val="0"/>
          <w:sz w:val="21"/>
          <w:szCs w:val="21"/>
          <w:lang w:bidi="ar"/>
        </w:rPr>
        <w:t xml:space="preserve">1）投标人具有 CMMI3 级资质的得 1 分，投标人具有 CMMI4 级资质的得1.5 分、具有 CMMI5 级资质的得 2 分； </w:t>
      </w:r>
    </w:p>
    <w:p>
      <w:pPr>
        <w:widowControl/>
        <w:jc w:val="left"/>
        <w:rPr>
          <w:rFonts w:hAnsi="宋体"/>
          <w:sz w:val="21"/>
          <w:szCs w:val="21"/>
        </w:rPr>
      </w:pPr>
      <w:r>
        <w:rPr>
          <w:rFonts w:hint="eastAsia" w:hAnsi="宋体" w:cs="微软雅黑"/>
          <w:kern w:val="0"/>
          <w:sz w:val="21"/>
          <w:szCs w:val="21"/>
          <w:lang w:bidi="ar"/>
        </w:rPr>
        <w:t xml:space="preserve">2）投标人具有中国信息安全认证中心或中国网络安全审查技术与认证中心颁发的信息安全集成服务认证证书（信息系统安全集成服务）二级及以上的得 2 分，否则不得分。 </w:t>
      </w:r>
    </w:p>
    <w:p>
      <w:pPr>
        <w:widowControl/>
        <w:jc w:val="left"/>
        <w:rPr>
          <w:rFonts w:hAnsi="宋体" w:cs="微软雅黑"/>
          <w:kern w:val="0"/>
          <w:sz w:val="21"/>
          <w:szCs w:val="21"/>
          <w:lang w:bidi="ar"/>
        </w:rPr>
      </w:pPr>
      <w:r>
        <w:rPr>
          <w:rFonts w:hint="eastAsia" w:hAnsi="宋体" w:cs="微软雅黑"/>
          <w:kern w:val="0"/>
          <w:sz w:val="21"/>
          <w:szCs w:val="21"/>
          <w:lang w:bidi="ar"/>
        </w:rPr>
        <w:t xml:space="preserve">3）投标人同时具有中国软件行业协会颁发的AAA 级企业信誉等级证书得2分。 </w:t>
      </w:r>
    </w:p>
    <w:p>
      <w:pPr>
        <w:widowControl/>
        <w:jc w:val="left"/>
        <w:rPr>
          <w:rFonts w:hAnsi="宋体"/>
          <w:sz w:val="21"/>
          <w:szCs w:val="21"/>
        </w:rPr>
      </w:pPr>
      <w:r>
        <w:rPr>
          <w:rFonts w:hint="eastAsia" w:hAnsi="宋体" w:cs="微软雅黑"/>
          <w:kern w:val="0"/>
          <w:sz w:val="21"/>
          <w:szCs w:val="21"/>
          <w:lang w:bidi="ar"/>
        </w:rPr>
        <w:t xml:space="preserve">4）投标人具有涉密信息系统集成资质证书（系统集成、软件开发）得2分，否则不得分。 </w:t>
      </w:r>
    </w:p>
    <w:p>
      <w:pPr>
        <w:widowControl/>
        <w:jc w:val="left"/>
        <w:rPr>
          <w:rFonts w:hAnsi="宋体"/>
          <w:sz w:val="21"/>
          <w:szCs w:val="21"/>
        </w:rPr>
      </w:pPr>
      <w:r>
        <w:rPr>
          <w:rFonts w:hint="eastAsia" w:hAnsi="宋体" w:cs="微软雅黑"/>
          <w:kern w:val="0"/>
          <w:sz w:val="21"/>
          <w:szCs w:val="21"/>
          <w:lang w:bidi="ar"/>
        </w:rPr>
        <w:t>5）投标人具有系统通过信息等级保护三级评测的经验及案例的得 2分。（需提供建设合同与公安部颁发的信息系统安全等级保护备案证明）</w:t>
      </w:r>
    </w:p>
    <w:p>
      <w:pPr>
        <w:pStyle w:val="2"/>
      </w:pPr>
    </w:p>
    <w:p>
      <w:pPr>
        <w:pStyle w:val="2"/>
        <w:rPr>
          <w:rFonts w:hint="eastAsia"/>
          <w:lang w:val="en-US" w:eastAsia="zh-CN"/>
        </w:rPr>
      </w:pPr>
      <w:r>
        <w:rPr>
          <w:rFonts w:hint="eastAsia" w:ascii="宋体" w:hAnsi="宋体" w:eastAsia="宋体" w:cs="微软雅黑"/>
          <w:b/>
          <w:bCs/>
          <w:color w:val="000000"/>
          <w:kern w:val="0"/>
          <w:sz w:val="32"/>
          <w:szCs w:val="32"/>
          <w:lang w:val="en-US" w:eastAsia="zh-CN" w:bidi="ar"/>
        </w:rPr>
        <w:t>付款方式：</w:t>
      </w:r>
      <w:r>
        <w:rPr>
          <w:rFonts w:hint="eastAsia"/>
          <w:lang w:val="en-US" w:eastAsia="zh-CN"/>
        </w:rPr>
        <w:t>财政直接支付</w:t>
      </w:r>
    </w:p>
    <w:p>
      <w:pPr>
        <w:pStyle w:val="2"/>
        <w:rPr>
          <w:rFonts w:hint="eastAsia"/>
          <w:lang w:val="en-US" w:eastAsia="zh-CN"/>
        </w:rPr>
      </w:pPr>
    </w:p>
    <w:p>
      <w:pPr>
        <w:pStyle w:val="2"/>
        <w:rPr>
          <w:rFonts w:hint="default"/>
          <w:lang w:val="en-US" w:eastAsia="zh-CN"/>
        </w:rPr>
      </w:pPr>
      <w:r>
        <w:rPr>
          <w:rFonts w:hint="eastAsia" w:ascii="宋体" w:hAnsi="宋体" w:eastAsia="宋体" w:cs="微软雅黑"/>
          <w:b/>
          <w:bCs/>
          <w:color w:val="000000"/>
          <w:kern w:val="0"/>
          <w:sz w:val="32"/>
          <w:szCs w:val="32"/>
          <w:lang w:val="en-US" w:eastAsia="zh-CN" w:bidi="ar"/>
        </w:rPr>
        <w:t>供货时间：</w:t>
      </w:r>
      <w:r>
        <w:rPr>
          <w:rFonts w:hint="eastAsia"/>
          <w:lang w:val="en-US" w:eastAsia="zh-CN"/>
        </w:rPr>
        <w:t>20天</w:t>
      </w:r>
      <w:bookmarkStart w:id="21" w:name="_GoBack"/>
      <w:bookmarkEnd w:id="21"/>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90DEB"/>
    <w:multiLevelType w:val="singleLevel"/>
    <w:tmpl w:val="C0A90DEB"/>
    <w:lvl w:ilvl="0" w:tentative="0">
      <w:start w:val="2"/>
      <w:numFmt w:val="decimal"/>
      <w:suff w:val="nothing"/>
      <w:lvlText w:val="（%1）"/>
      <w:lvlJc w:val="left"/>
    </w:lvl>
  </w:abstractNum>
  <w:abstractNum w:abstractNumId="1">
    <w:nsid w:val="00000002"/>
    <w:multiLevelType w:val="multilevel"/>
    <w:tmpl w:val="00000002"/>
    <w:lvl w:ilvl="0" w:tentative="0">
      <w:start w:val="1"/>
      <w:numFmt w:val="chineseCountingThousand"/>
      <w:lvlText w:val="%1、"/>
      <w:lvlJc w:val="left"/>
      <w:pPr>
        <w:ind w:left="966" w:hanging="420"/>
      </w:pPr>
    </w:lvl>
    <w:lvl w:ilvl="1" w:tentative="0">
      <w:start w:val="1"/>
      <w:numFmt w:val="lowerLetter"/>
      <w:lvlText w:val="%2)"/>
      <w:lvlJc w:val="left"/>
      <w:pPr>
        <w:ind w:left="1386" w:hanging="420"/>
      </w:pPr>
    </w:lvl>
    <w:lvl w:ilvl="2" w:tentative="0">
      <w:start w:val="1"/>
      <w:numFmt w:val="lowerRoman"/>
      <w:lvlText w:val="%3."/>
      <w:lvlJc w:val="right"/>
      <w:pPr>
        <w:ind w:left="1806" w:hanging="420"/>
      </w:pPr>
    </w:lvl>
    <w:lvl w:ilvl="3" w:tentative="0">
      <w:start w:val="1"/>
      <w:numFmt w:val="decimal"/>
      <w:lvlText w:val="%4."/>
      <w:lvlJc w:val="left"/>
      <w:pPr>
        <w:ind w:left="2226" w:hanging="420"/>
      </w:pPr>
    </w:lvl>
    <w:lvl w:ilvl="4" w:tentative="0">
      <w:start w:val="1"/>
      <w:numFmt w:val="lowerLetter"/>
      <w:lvlText w:val="%5)"/>
      <w:lvlJc w:val="left"/>
      <w:pPr>
        <w:ind w:left="2646" w:hanging="420"/>
      </w:pPr>
    </w:lvl>
    <w:lvl w:ilvl="5" w:tentative="0">
      <w:start w:val="1"/>
      <w:numFmt w:val="lowerRoman"/>
      <w:lvlText w:val="%6."/>
      <w:lvlJc w:val="right"/>
      <w:pPr>
        <w:ind w:left="3066" w:hanging="420"/>
      </w:pPr>
    </w:lvl>
    <w:lvl w:ilvl="6" w:tentative="0">
      <w:start w:val="1"/>
      <w:numFmt w:val="decimal"/>
      <w:lvlText w:val="%7."/>
      <w:lvlJc w:val="left"/>
      <w:pPr>
        <w:ind w:left="3486" w:hanging="420"/>
      </w:pPr>
    </w:lvl>
    <w:lvl w:ilvl="7" w:tentative="0">
      <w:start w:val="1"/>
      <w:numFmt w:val="lowerLetter"/>
      <w:lvlText w:val="%8)"/>
      <w:lvlJc w:val="left"/>
      <w:pPr>
        <w:ind w:left="3906" w:hanging="420"/>
      </w:pPr>
    </w:lvl>
    <w:lvl w:ilvl="8" w:tentative="0">
      <w:start w:val="1"/>
      <w:numFmt w:val="lowerRoman"/>
      <w:lvlText w:val="%9."/>
      <w:lvlJc w:val="right"/>
      <w:pPr>
        <w:ind w:left="4326" w:hanging="420"/>
      </w:pPr>
    </w:lvl>
  </w:abstractNum>
  <w:abstractNum w:abstractNumId="2">
    <w:nsid w:val="0053208E"/>
    <w:multiLevelType w:val="multilevel"/>
    <w:tmpl w:val="0053208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9E"/>
    <w:rsid w:val="00000287"/>
    <w:rsid w:val="0000421C"/>
    <w:rsid w:val="00007726"/>
    <w:rsid w:val="0001502B"/>
    <w:rsid w:val="000152BD"/>
    <w:rsid w:val="00025CB2"/>
    <w:rsid w:val="00055793"/>
    <w:rsid w:val="00066720"/>
    <w:rsid w:val="000D2A8F"/>
    <w:rsid w:val="000E1082"/>
    <w:rsid w:val="000F3145"/>
    <w:rsid w:val="00111539"/>
    <w:rsid w:val="001263B2"/>
    <w:rsid w:val="00131B8A"/>
    <w:rsid w:val="001334A2"/>
    <w:rsid w:val="00165A69"/>
    <w:rsid w:val="001718D1"/>
    <w:rsid w:val="00174175"/>
    <w:rsid w:val="0017661E"/>
    <w:rsid w:val="0018208A"/>
    <w:rsid w:val="00187B4A"/>
    <w:rsid w:val="00192B9E"/>
    <w:rsid w:val="001A36A4"/>
    <w:rsid w:val="001A519D"/>
    <w:rsid w:val="001B1455"/>
    <w:rsid w:val="001C2DC9"/>
    <w:rsid w:val="001D61E6"/>
    <w:rsid w:val="001E4CB4"/>
    <w:rsid w:val="001E578D"/>
    <w:rsid w:val="001F0CE8"/>
    <w:rsid w:val="001F2EB5"/>
    <w:rsid w:val="002016CA"/>
    <w:rsid w:val="00217611"/>
    <w:rsid w:val="002178B5"/>
    <w:rsid w:val="0026365C"/>
    <w:rsid w:val="0028259B"/>
    <w:rsid w:val="00284002"/>
    <w:rsid w:val="00284BA5"/>
    <w:rsid w:val="00286D92"/>
    <w:rsid w:val="002A63EC"/>
    <w:rsid w:val="002E743B"/>
    <w:rsid w:val="0030782D"/>
    <w:rsid w:val="00320E98"/>
    <w:rsid w:val="00332130"/>
    <w:rsid w:val="00332FB2"/>
    <w:rsid w:val="003516BB"/>
    <w:rsid w:val="00355800"/>
    <w:rsid w:val="0037043D"/>
    <w:rsid w:val="00383191"/>
    <w:rsid w:val="00383602"/>
    <w:rsid w:val="003A753D"/>
    <w:rsid w:val="003E4947"/>
    <w:rsid w:val="003E6713"/>
    <w:rsid w:val="003E74B8"/>
    <w:rsid w:val="003F6678"/>
    <w:rsid w:val="004051CF"/>
    <w:rsid w:val="00405A67"/>
    <w:rsid w:val="00434717"/>
    <w:rsid w:val="00452A80"/>
    <w:rsid w:val="004644D4"/>
    <w:rsid w:val="004740D3"/>
    <w:rsid w:val="004759A5"/>
    <w:rsid w:val="004B0A5B"/>
    <w:rsid w:val="004B38AA"/>
    <w:rsid w:val="004E5073"/>
    <w:rsid w:val="004E6C7F"/>
    <w:rsid w:val="004F1598"/>
    <w:rsid w:val="004F43EC"/>
    <w:rsid w:val="00514BC1"/>
    <w:rsid w:val="00525C70"/>
    <w:rsid w:val="00526A4C"/>
    <w:rsid w:val="00541474"/>
    <w:rsid w:val="005424C5"/>
    <w:rsid w:val="0054284E"/>
    <w:rsid w:val="00566DF1"/>
    <w:rsid w:val="00587C5E"/>
    <w:rsid w:val="005A6AA8"/>
    <w:rsid w:val="005B6422"/>
    <w:rsid w:val="005F6145"/>
    <w:rsid w:val="0061502F"/>
    <w:rsid w:val="00641E8A"/>
    <w:rsid w:val="00643CFA"/>
    <w:rsid w:val="00646C18"/>
    <w:rsid w:val="00650FFC"/>
    <w:rsid w:val="00660478"/>
    <w:rsid w:val="00683559"/>
    <w:rsid w:val="00695F3F"/>
    <w:rsid w:val="006B3010"/>
    <w:rsid w:val="006B50C0"/>
    <w:rsid w:val="006D4B73"/>
    <w:rsid w:val="006E332A"/>
    <w:rsid w:val="00734E36"/>
    <w:rsid w:val="007430BE"/>
    <w:rsid w:val="007A6809"/>
    <w:rsid w:val="007A6AA8"/>
    <w:rsid w:val="007B1B9F"/>
    <w:rsid w:val="007B26D8"/>
    <w:rsid w:val="007C24B5"/>
    <w:rsid w:val="0084340A"/>
    <w:rsid w:val="008521F2"/>
    <w:rsid w:val="0086745D"/>
    <w:rsid w:val="00895E99"/>
    <w:rsid w:val="008A21FA"/>
    <w:rsid w:val="008D3F8B"/>
    <w:rsid w:val="008D7C08"/>
    <w:rsid w:val="00917072"/>
    <w:rsid w:val="009507C0"/>
    <w:rsid w:val="00960A85"/>
    <w:rsid w:val="00966A18"/>
    <w:rsid w:val="0098061A"/>
    <w:rsid w:val="009835EA"/>
    <w:rsid w:val="009B2E9B"/>
    <w:rsid w:val="009C1539"/>
    <w:rsid w:val="00A00506"/>
    <w:rsid w:val="00A22116"/>
    <w:rsid w:val="00A2637C"/>
    <w:rsid w:val="00A36CD9"/>
    <w:rsid w:val="00A6530D"/>
    <w:rsid w:val="00A709D7"/>
    <w:rsid w:val="00A73A60"/>
    <w:rsid w:val="00A75506"/>
    <w:rsid w:val="00A87498"/>
    <w:rsid w:val="00AB3D9E"/>
    <w:rsid w:val="00AE2999"/>
    <w:rsid w:val="00AF48A3"/>
    <w:rsid w:val="00B15E72"/>
    <w:rsid w:val="00B35CED"/>
    <w:rsid w:val="00B379EF"/>
    <w:rsid w:val="00B4305D"/>
    <w:rsid w:val="00B50AFD"/>
    <w:rsid w:val="00B524E8"/>
    <w:rsid w:val="00B72B33"/>
    <w:rsid w:val="00B7632C"/>
    <w:rsid w:val="00B9130D"/>
    <w:rsid w:val="00BA3103"/>
    <w:rsid w:val="00BA77F9"/>
    <w:rsid w:val="00BE5E79"/>
    <w:rsid w:val="00C07739"/>
    <w:rsid w:val="00C1497D"/>
    <w:rsid w:val="00C23201"/>
    <w:rsid w:val="00C300F3"/>
    <w:rsid w:val="00C31238"/>
    <w:rsid w:val="00C43AF9"/>
    <w:rsid w:val="00C457A7"/>
    <w:rsid w:val="00C633CB"/>
    <w:rsid w:val="00C74914"/>
    <w:rsid w:val="00CA51AB"/>
    <w:rsid w:val="00CB600B"/>
    <w:rsid w:val="00CB6DDF"/>
    <w:rsid w:val="00CB7220"/>
    <w:rsid w:val="00CC0BDF"/>
    <w:rsid w:val="00CC0F5A"/>
    <w:rsid w:val="00D0103C"/>
    <w:rsid w:val="00D1404A"/>
    <w:rsid w:val="00D314AB"/>
    <w:rsid w:val="00D6117B"/>
    <w:rsid w:val="00D71E61"/>
    <w:rsid w:val="00D83DC3"/>
    <w:rsid w:val="00DB4A8E"/>
    <w:rsid w:val="00DB72FE"/>
    <w:rsid w:val="00DD3F6E"/>
    <w:rsid w:val="00DD647E"/>
    <w:rsid w:val="00DF2AC1"/>
    <w:rsid w:val="00E10A82"/>
    <w:rsid w:val="00E3182A"/>
    <w:rsid w:val="00E41463"/>
    <w:rsid w:val="00E419B7"/>
    <w:rsid w:val="00E47528"/>
    <w:rsid w:val="00E660A9"/>
    <w:rsid w:val="00E67E67"/>
    <w:rsid w:val="00E732CA"/>
    <w:rsid w:val="00E75E00"/>
    <w:rsid w:val="00E841ED"/>
    <w:rsid w:val="00E84515"/>
    <w:rsid w:val="00E8672F"/>
    <w:rsid w:val="00EB188E"/>
    <w:rsid w:val="00EB7384"/>
    <w:rsid w:val="00F00BD5"/>
    <w:rsid w:val="00F20D5E"/>
    <w:rsid w:val="00F2683B"/>
    <w:rsid w:val="00F30F58"/>
    <w:rsid w:val="00F52208"/>
    <w:rsid w:val="00F56740"/>
    <w:rsid w:val="00FB7C03"/>
    <w:rsid w:val="00FE3DD0"/>
    <w:rsid w:val="00FE495E"/>
    <w:rsid w:val="00FF3C72"/>
    <w:rsid w:val="0ADD06AB"/>
    <w:rsid w:val="0F0E39B0"/>
    <w:rsid w:val="0F653AA1"/>
    <w:rsid w:val="17CF450B"/>
    <w:rsid w:val="23960D0C"/>
    <w:rsid w:val="29D400DF"/>
    <w:rsid w:val="306B2A6A"/>
    <w:rsid w:val="32E25CDE"/>
    <w:rsid w:val="39B56E5C"/>
    <w:rsid w:val="43E26FF3"/>
    <w:rsid w:val="4B3A1A29"/>
    <w:rsid w:val="4C7D5A82"/>
    <w:rsid w:val="4E644248"/>
    <w:rsid w:val="62F914E8"/>
    <w:rsid w:val="63B11965"/>
    <w:rsid w:val="64463296"/>
    <w:rsid w:val="6CB42C9E"/>
    <w:rsid w:val="6DF6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仿宋" w:eastAsia="宋体" w:cs="仿宋"/>
      <w:color w:val="000000"/>
      <w:kern w:val="2"/>
      <w:sz w:val="24"/>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cstheme="majorBidi"/>
      <w:b/>
      <w:bCs/>
      <w:sz w:val="36"/>
      <w:szCs w:val="32"/>
    </w:rPr>
  </w:style>
  <w:style w:type="paragraph" w:styleId="5">
    <w:name w:val="heading 3"/>
    <w:basedOn w:val="1"/>
    <w:next w:val="1"/>
    <w:link w:val="18"/>
    <w:unhideWhenUsed/>
    <w:qFormat/>
    <w:uiPriority w:val="1"/>
    <w:pPr>
      <w:keepNext/>
      <w:keepLines/>
      <w:spacing w:before="260" w:after="260" w:line="416" w:lineRule="auto"/>
      <w:outlineLvl w:val="2"/>
    </w:pPr>
    <w:rPr>
      <w:b/>
      <w:bCs/>
      <w:sz w:val="32"/>
      <w:szCs w:val="32"/>
    </w:rPr>
  </w:style>
  <w:style w:type="paragraph" w:styleId="6">
    <w:name w:val="heading 4"/>
    <w:basedOn w:val="1"/>
    <w:next w:val="1"/>
    <w:link w:val="19"/>
    <w:unhideWhenUsed/>
    <w:qFormat/>
    <w:uiPriority w:val="9"/>
    <w:pPr>
      <w:keepNext/>
      <w:keepLines/>
      <w:spacing w:before="280" w:after="290" w:line="376" w:lineRule="auto"/>
      <w:outlineLvl w:val="3"/>
    </w:pPr>
    <w:rPr>
      <w:rFonts w:asciiTheme="majorHAnsi" w:hAnsiTheme="majorHAnsi" w:cstheme="majorBidi"/>
      <w:b/>
      <w:bCs/>
      <w:sz w:val="30"/>
      <w:szCs w:val="28"/>
    </w:rPr>
  </w:style>
  <w:style w:type="paragraph" w:styleId="7">
    <w:name w:val="heading 5"/>
    <w:basedOn w:val="1"/>
    <w:next w:val="1"/>
    <w:link w:val="21"/>
    <w:unhideWhenUsed/>
    <w:qFormat/>
    <w:uiPriority w:val="9"/>
    <w:pPr>
      <w:keepNext/>
      <w:keepLines/>
      <w:spacing w:before="280" w:after="290" w:line="376" w:lineRule="auto"/>
      <w:outlineLvl w:val="4"/>
    </w:pPr>
    <w:rPr>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unhideWhenUsed/>
    <w:qFormat/>
    <w:uiPriority w:val="1"/>
    <w:pPr>
      <w:spacing w:after="120"/>
    </w:pPr>
  </w:style>
  <w:style w:type="paragraph" w:styleId="8">
    <w:name w:val="annotation text"/>
    <w:basedOn w:val="1"/>
    <w:link w:val="27"/>
    <w:semiHidden/>
    <w:unhideWhenUsed/>
    <w:qFormat/>
    <w:uiPriority w:val="99"/>
    <w:pPr>
      <w:jc w:val="left"/>
    </w:pPr>
  </w:style>
  <w:style w:type="paragraph" w:styleId="9">
    <w:name w:val="Body Text 3"/>
    <w:basedOn w:val="1"/>
    <w:link w:val="30"/>
    <w:semiHidden/>
    <w:unhideWhenUsed/>
    <w:qFormat/>
    <w:uiPriority w:val="99"/>
    <w:pPr>
      <w:spacing w:after="120"/>
    </w:pPr>
    <w:rPr>
      <w:sz w:val="16"/>
      <w:szCs w:val="16"/>
    </w:rPr>
  </w:style>
  <w:style w:type="paragraph" w:styleId="10">
    <w:name w:val="Balloon Text"/>
    <w:basedOn w:val="1"/>
    <w:link w:val="29"/>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Autospacing="1" w:afterAutospacing="1"/>
      <w:jc w:val="left"/>
    </w:pPr>
    <w:rPr>
      <w:rFonts w:cs="Times New Roman"/>
      <w:kern w:val="0"/>
    </w:rPr>
  </w:style>
  <w:style w:type="paragraph" w:styleId="14">
    <w:name w:val="annotation subject"/>
    <w:basedOn w:val="8"/>
    <w:next w:val="8"/>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3 字符"/>
    <w:basedOn w:val="16"/>
    <w:link w:val="5"/>
    <w:qFormat/>
    <w:uiPriority w:val="1"/>
    <w:rPr>
      <w:rFonts w:ascii="Times New Roman" w:hAnsi="Times New Roman" w:eastAsia="仿宋" w:cs="Times New Roman"/>
      <w:b/>
      <w:bCs/>
      <w:kern w:val="0"/>
      <w:sz w:val="32"/>
      <w:szCs w:val="32"/>
    </w:rPr>
  </w:style>
  <w:style w:type="character" w:customStyle="1" w:styleId="19">
    <w:name w:val="标题 4 字符"/>
    <w:basedOn w:val="16"/>
    <w:link w:val="6"/>
    <w:qFormat/>
    <w:uiPriority w:val="9"/>
    <w:rPr>
      <w:rFonts w:eastAsia="仿宋" w:asciiTheme="majorHAnsi" w:hAnsiTheme="majorHAnsi" w:cstheme="majorBidi"/>
      <w:b/>
      <w:bCs/>
      <w:kern w:val="0"/>
      <w:sz w:val="30"/>
      <w:szCs w:val="28"/>
    </w:rPr>
  </w:style>
  <w:style w:type="character" w:customStyle="1" w:styleId="20">
    <w:name w:val="标题 2 字符"/>
    <w:basedOn w:val="16"/>
    <w:link w:val="4"/>
    <w:qFormat/>
    <w:uiPriority w:val="9"/>
    <w:rPr>
      <w:rFonts w:eastAsia="仿宋" w:asciiTheme="majorHAnsi" w:hAnsiTheme="majorHAnsi" w:cstheme="majorBidi"/>
      <w:b/>
      <w:bCs/>
      <w:kern w:val="0"/>
      <w:sz w:val="36"/>
      <w:szCs w:val="32"/>
    </w:rPr>
  </w:style>
  <w:style w:type="character" w:customStyle="1" w:styleId="21">
    <w:name w:val="标题 5 字符"/>
    <w:basedOn w:val="16"/>
    <w:link w:val="7"/>
    <w:qFormat/>
    <w:uiPriority w:val="9"/>
    <w:rPr>
      <w:rFonts w:ascii="Times New Roman" w:hAnsi="Times New Roman" w:eastAsia="仿宋" w:cs="Times New Roman"/>
      <w:b/>
      <w:bCs/>
      <w:kern w:val="0"/>
      <w:sz w:val="28"/>
      <w:szCs w:val="28"/>
    </w:rPr>
  </w:style>
  <w:style w:type="character" w:customStyle="1" w:styleId="22">
    <w:name w:val="页眉 字符"/>
    <w:basedOn w:val="16"/>
    <w:link w:val="12"/>
    <w:qFormat/>
    <w:uiPriority w:val="99"/>
    <w:rPr>
      <w:rFonts w:ascii="Times New Roman" w:hAnsi="Times New Roman" w:eastAsia="仿宋" w:cs="Times New Roman"/>
      <w:kern w:val="0"/>
      <w:sz w:val="18"/>
      <w:szCs w:val="18"/>
    </w:rPr>
  </w:style>
  <w:style w:type="character" w:customStyle="1" w:styleId="23">
    <w:name w:val="页脚 字符"/>
    <w:basedOn w:val="16"/>
    <w:link w:val="11"/>
    <w:qFormat/>
    <w:uiPriority w:val="99"/>
    <w:rPr>
      <w:rFonts w:ascii="Times New Roman" w:hAnsi="Times New Roman" w:eastAsia="仿宋" w:cs="Times New Roman"/>
      <w:kern w:val="0"/>
      <w:sz w:val="18"/>
      <w:szCs w:val="18"/>
    </w:rPr>
  </w:style>
  <w:style w:type="character" w:customStyle="1" w:styleId="24">
    <w:name w:val="正文文本 字符"/>
    <w:basedOn w:val="16"/>
    <w:link w:val="2"/>
    <w:qFormat/>
    <w:uiPriority w:val="1"/>
    <w:rPr>
      <w:rFonts w:ascii="宋体" w:hAnsi="仿宋" w:eastAsia="宋体" w:cs="仿宋"/>
      <w:color w:val="000000"/>
      <w:sz w:val="24"/>
      <w:szCs w:val="24"/>
    </w:rPr>
  </w:style>
  <w:style w:type="paragraph" w:styleId="25">
    <w:name w:val="List Paragraph"/>
    <w:basedOn w:val="1"/>
    <w:qFormat/>
    <w:uiPriority w:val="99"/>
    <w:pPr>
      <w:ind w:firstLine="420" w:firstLineChars="200"/>
    </w:pPr>
  </w:style>
  <w:style w:type="character" w:customStyle="1" w:styleId="26">
    <w:name w:val="标题 1 字符"/>
    <w:basedOn w:val="16"/>
    <w:link w:val="3"/>
    <w:qFormat/>
    <w:uiPriority w:val="9"/>
    <w:rPr>
      <w:rFonts w:ascii="宋体" w:hAnsi="仿宋" w:eastAsia="宋体" w:cs="仿宋"/>
      <w:b/>
      <w:bCs/>
      <w:color w:val="000000"/>
      <w:kern w:val="44"/>
      <w:sz w:val="44"/>
      <w:szCs w:val="44"/>
    </w:rPr>
  </w:style>
  <w:style w:type="character" w:customStyle="1" w:styleId="27">
    <w:name w:val="批注文字 字符"/>
    <w:basedOn w:val="16"/>
    <w:link w:val="8"/>
    <w:semiHidden/>
    <w:qFormat/>
    <w:uiPriority w:val="99"/>
    <w:rPr>
      <w:rFonts w:ascii="宋体" w:hAnsi="仿宋" w:eastAsia="宋体" w:cs="仿宋"/>
      <w:color w:val="000000"/>
      <w:sz w:val="24"/>
      <w:szCs w:val="24"/>
    </w:rPr>
  </w:style>
  <w:style w:type="character" w:customStyle="1" w:styleId="28">
    <w:name w:val="批注主题 字符"/>
    <w:basedOn w:val="27"/>
    <w:link w:val="14"/>
    <w:semiHidden/>
    <w:qFormat/>
    <w:uiPriority w:val="99"/>
    <w:rPr>
      <w:rFonts w:ascii="宋体" w:hAnsi="仿宋" w:eastAsia="宋体" w:cs="仿宋"/>
      <w:b/>
      <w:bCs/>
      <w:color w:val="000000"/>
      <w:sz w:val="24"/>
      <w:szCs w:val="24"/>
    </w:rPr>
  </w:style>
  <w:style w:type="character" w:customStyle="1" w:styleId="29">
    <w:name w:val="批注框文本 字符"/>
    <w:basedOn w:val="16"/>
    <w:link w:val="10"/>
    <w:semiHidden/>
    <w:qFormat/>
    <w:uiPriority w:val="99"/>
    <w:rPr>
      <w:rFonts w:ascii="宋体" w:hAnsi="仿宋" w:eastAsia="宋体" w:cs="仿宋"/>
      <w:color w:val="000000"/>
      <w:sz w:val="18"/>
      <w:szCs w:val="18"/>
    </w:rPr>
  </w:style>
  <w:style w:type="character" w:customStyle="1" w:styleId="30">
    <w:name w:val="正文文本 3 字符"/>
    <w:basedOn w:val="16"/>
    <w:link w:val="9"/>
    <w:semiHidden/>
    <w:qFormat/>
    <w:uiPriority w:val="99"/>
    <w:rPr>
      <w:rFonts w:ascii="宋体" w:hAnsi="仿宋" w:eastAsia="宋体" w:cs="仿宋"/>
      <w:color w:val="00000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1339</Words>
  <Characters>7637</Characters>
  <Lines>63</Lines>
  <Paragraphs>17</Paragraphs>
  <TotalTime>2</TotalTime>
  <ScaleCrop>false</ScaleCrop>
  <LinksUpToDate>false</LinksUpToDate>
  <CharactersWithSpaces>8959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2021-10-11T00:30:00Z</dcterms:created>
  <dc:creator>sun meng</dc:creator>
  <cp:lastModifiedBy>Mr_青先森</cp:lastModifiedBy>
  <dcterms:modified xsi:type="dcterms:W3CDTF">2021-11-23T08:48:58Z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57B5E4D13C6D46919D3B78F54D423CF2</vt:lpwstr>
  </property>
</Properties>
</file>