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hint="eastAsia" w:hAnsi="宋体" w:eastAsia="宋体" w:cs="宋体"/>
          <w:b/>
          <w:color w:val="auto"/>
          <w:szCs w:val="28"/>
          <w:highlight w:val="none"/>
        </w:rPr>
      </w:pPr>
      <w:r>
        <w:drawing>
          <wp:inline distT="0" distB="0" distL="114300" distR="114300">
            <wp:extent cx="5757545" cy="8750300"/>
            <wp:effectExtent l="0" t="0" r="14605"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757545" cy="8750300"/>
                    </a:xfrm>
                    <a:prstGeom prst="rect">
                      <a:avLst/>
                    </a:prstGeom>
                    <a:noFill/>
                    <a:ln>
                      <a:noFill/>
                    </a:ln>
                  </pic:spPr>
                </pic:pic>
              </a:graphicData>
            </a:graphic>
          </wp:inline>
        </w:drawing>
      </w:r>
    </w:p>
    <w:p>
      <w:pPr>
        <w:pStyle w:val="17"/>
        <w:rPr>
          <w:rFonts w:hint="eastAsia" w:hAnsi="宋体" w:eastAsia="宋体"/>
          <w:b/>
          <w:color w:val="auto"/>
          <w:szCs w:val="28"/>
          <w:highlight w:val="none"/>
          <w:lang w:val="en-US" w:eastAsia="zh-CN"/>
        </w:rPr>
      </w:pPr>
      <w:r>
        <w:rPr>
          <w:rFonts w:hint="eastAsia" w:hAnsi="宋体" w:eastAsia="宋体" w:cs="宋体"/>
          <w:b/>
          <w:color w:val="auto"/>
          <w:szCs w:val="28"/>
          <w:highlight w:val="none"/>
        </w:rPr>
        <w:t>项</w:t>
      </w:r>
      <w:r>
        <w:rPr>
          <w:rFonts w:hint="eastAsia" w:hAnsi="宋体" w:eastAsia="宋体" w:cs="Dotum"/>
          <w:b/>
          <w:color w:val="auto"/>
          <w:szCs w:val="28"/>
          <w:highlight w:val="none"/>
        </w:rPr>
        <w:t>目</w:t>
      </w:r>
      <w:r>
        <w:rPr>
          <w:rFonts w:hint="eastAsia" w:hAnsi="宋体" w:eastAsia="宋体" w:cs="宋体"/>
          <w:b/>
          <w:color w:val="auto"/>
          <w:szCs w:val="28"/>
          <w:highlight w:val="none"/>
        </w:rPr>
        <w:t>编号</w:t>
      </w:r>
      <w:r>
        <w:rPr>
          <w:rFonts w:hint="eastAsia" w:hAnsi="宋体" w:eastAsia="宋体" w:cs="Dotum"/>
          <w:b/>
          <w:color w:val="auto"/>
          <w:szCs w:val="28"/>
          <w:highlight w:val="none"/>
        </w:rPr>
        <w:t>：QT20230311</w:t>
      </w:r>
      <w:r>
        <w:rPr>
          <w:rFonts w:hint="eastAsia" w:hAnsi="宋体" w:eastAsia="宋体" w:cs="Dotum"/>
          <w:b/>
          <w:color w:val="auto"/>
          <w:szCs w:val="28"/>
          <w:highlight w:val="none"/>
          <w:lang w:val="en-US" w:eastAsia="zh-CN"/>
        </w:rPr>
        <w:t xml:space="preserve"> </w:t>
      </w:r>
    </w:p>
    <w:p>
      <w:pPr>
        <w:wordWrap w:val="0"/>
        <w:spacing w:line="360" w:lineRule="auto"/>
        <w:rPr>
          <w:rFonts w:ascii="宋体" w:hAnsi="宋体" w:cs="黑体"/>
          <w:b/>
          <w:color w:val="auto"/>
          <w:sz w:val="48"/>
          <w:szCs w:val="48"/>
          <w:highlight w:val="none"/>
        </w:rPr>
      </w:pPr>
    </w:p>
    <w:p>
      <w:pPr>
        <w:pStyle w:val="31"/>
        <w:jc w:val="center"/>
        <w:rPr>
          <w:color w:val="auto"/>
          <w:sz w:val="36"/>
          <w:szCs w:val="36"/>
          <w:highlight w:val="none"/>
        </w:rPr>
      </w:pPr>
      <w:r>
        <w:rPr>
          <w:rFonts w:hint="eastAsia"/>
          <w:b/>
          <w:bCs/>
          <w:color w:val="auto"/>
          <w:sz w:val="36"/>
          <w:szCs w:val="36"/>
          <w:highlight w:val="none"/>
          <w:lang w:val="en-US" w:eastAsia="zh-CN"/>
        </w:rPr>
        <w:t>枞阳县枞阳镇下枞阳社区办公楼维修改造工程</w:t>
      </w:r>
    </w:p>
    <w:p>
      <w:pPr>
        <w:pStyle w:val="15"/>
        <w:adjustRightInd w:val="0"/>
        <w:snapToGrid w:val="0"/>
        <w:spacing w:line="360" w:lineRule="auto"/>
        <w:ind w:firstLine="0"/>
        <w:jc w:val="center"/>
        <w:rPr>
          <w:rFonts w:hint="eastAsia" w:hAnsi="宋体" w:cs="宋体"/>
          <w:b/>
          <w:color w:val="auto"/>
          <w:sz w:val="52"/>
          <w:szCs w:val="52"/>
          <w:highlight w:val="none"/>
        </w:rPr>
      </w:pPr>
    </w:p>
    <w:p>
      <w:pPr>
        <w:pStyle w:val="16"/>
        <w:rPr>
          <w:rFonts w:hint="eastAsia"/>
          <w:color w:val="auto"/>
          <w:highlight w:val="none"/>
        </w:rPr>
      </w:pPr>
    </w:p>
    <w:p>
      <w:pPr>
        <w:pStyle w:val="15"/>
        <w:adjustRightInd w:val="0"/>
        <w:snapToGrid w:val="0"/>
        <w:spacing w:line="360" w:lineRule="auto"/>
        <w:ind w:firstLine="0"/>
        <w:jc w:val="center"/>
        <w:rPr>
          <w:rFonts w:hint="eastAsia" w:hAnsi="宋体" w:cs="宋体"/>
          <w:b/>
          <w:color w:val="auto"/>
          <w:sz w:val="52"/>
          <w:szCs w:val="52"/>
          <w:highlight w:val="none"/>
        </w:rPr>
      </w:pPr>
    </w:p>
    <w:p>
      <w:pPr>
        <w:pStyle w:val="15"/>
        <w:adjustRightInd w:val="0"/>
        <w:snapToGrid w:val="0"/>
        <w:spacing w:line="360" w:lineRule="auto"/>
        <w:ind w:firstLine="0"/>
        <w:jc w:val="center"/>
        <w:rPr>
          <w:rFonts w:ascii="宋体" w:hAnsi="宋体" w:cs="宋体"/>
          <w:b/>
          <w:color w:val="auto"/>
          <w:sz w:val="52"/>
          <w:szCs w:val="52"/>
          <w:highlight w:val="none"/>
        </w:rPr>
      </w:pPr>
      <w:r>
        <w:rPr>
          <w:rFonts w:hint="eastAsia" w:hAnsi="宋体" w:cs="宋体"/>
          <w:b/>
          <w:color w:val="auto"/>
          <w:sz w:val="52"/>
          <w:szCs w:val="52"/>
          <w:highlight w:val="none"/>
        </w:rPr>
        <w:t>竞争性磋商文件</w:t>
      </w:r>
    </w:p>
    <w:p>
      <w:pPr>
        <w:pStyle w:val="17"/>
        <w:wordWrap w:val="0"/>
        <w:spacing w:line="360" w:lineRule="auto"/>
        <w:jc w:val="center"/>
        <w:rPr>
          <w:rFonts w:hAnsi="宋体" w:eastAsia="宋体"/>
          <w:b/>
          <w:color w:val="auto"/>
          <w:szCs w:val="28"/>
          <w:highlight w:val="none"/>
        </w:rPr>
      </w:pPr>
    </w:p>
    <w:p>
      <w:pPr>
        <w:pStyle w:val="17"/>
        <w:wordWrap w:val="0"/>
        <w:spacing w:line="360" w:lineRule="auto"/>
        <w:jc w:val="center"/>
        <w:rPr>
          <w:rFonts w:hAnsi="宋体" w:eastAsia="宋体"/>
          <w:b/>
          <w:color w:val="auto"/>
          <w:szCs w:val="28"/>
          <w:highlight w:val="none"/>
        </w:rPr>
      </w:pPr>
    </w:p>
    <w:p>
      <w:pPr>
        <w:pStyle w:val="17"/>
        <w:wordWrap w:val="0"/>
        <w:spacing w:line="360" w:lineRule="auto"/>
        <w:jc w:val="center"/>
        <w:rPr>
          <w:rFonts w:hAnsi="宋体" w:eastAsia="宋体"/>
          <w:b/>
          <w:color w:val="auto"/>
          <w:szCs w:val="28"/>
          <w:highlight w:val="none"/>
        </w:rPr>
      </w:pPr>
    </w:p>
    <w:p>
      <w:pPr>
        <w:pStyle w:val="17"/>
        <w:wordWrap w:val="0"/>
        <w:spacing w:line="360" w:lineRule="auto"/>
        <w:rPr>
          <w:rFonts w:hAnsi="宋体" w:eastAsia="宋体"/>
          <w:b/>
          <w:color w:val="auto"/>
          <w:szCs w:val="28"/>
          <w:highlight w:val="none"/>
        </w:rPr>
      </w:pPr>
    </w:p>
    <w:tbl>
      <w:tblPr>
        <w:tblStyle w:val="32"/>
        <w:tblW w:w="9182" w:type="dxa"/>
        <w:tblInd w:w="0" w:type="dxa"/>
        <w:tblLayout w:type="fixed"/>
        <w:tblCellMar>
          <w:top w:w="0" w:type="dxa"/>
          <w:left w:w="108" w:type="dxa"/>
          <w:bottom w:w="0" w:type="dxa"/>
          <w:right w:w="108" w:type="dxa"/>
        </w:tblCellMar>
      </w:tblPr>
      <w:tblGrid>
        <w:gridCol w:w="2864"/>
        <w:gridCol w:w="400"/>
        <w:gridCol w:w="5918"/>
      </w:tblGrid>
      <w:tr>
        <w:tblPrEx>
          <w:tblCellMar>
            <w:top w:w="0" w:type="dxa"/>
            <w:left w:w="108" w:type="dxa"/>
            <w:bottom w:w="0" w:type="dxa"/>
            <w:right w:w="108" w:type="dxa"/>
          </w:tblCellMar>
        </w:tblPrEx>
        <w:trPr>
          <w:trHeight w:val="1080" w:hRule="atLeast"/>
        </w:trPr>
        <w:tc>
          <w:tcPr>
            <w:tcW w:w="2864" w:type="dxa"/>
            <w:vAlign w:val="center"/>
          </w:tcPr>
          <w:p>
            <w:pPr>
              <w:pStyle w:val="17"/>
              <w:wordWrap w:val="0"/>
              <w:rPr>
                <w:rFonts w:hAnsi="宋体" w:eastAsia="宋体"/>
                <w:b/>
                <w:color w:val="auto"/>
                <w:sz w:val="32"/>
                <w:szCs w:val="32"/>
                <w:highlight w:val="none"/>
              </w:rPr>
            </w:pPr>
            <w:r>
              <w:rPr>
                <w:rFonts w:hint="eastAsia" w:hAnsi="宋体" w:eastAsia="宋体"/>
                <w:b/>
                <w:color w:val="auto"/>
                <w:sz w:val="32"/>
                <w:szCs w:val="32"/>
                <w:highlight w:val="none"/>
              </w:rPr>
              <w:t>采     购     人</w:t>
            </w:r>
          </w:p>
        </w:tc>
        <w:tc>
          <w:tcPr>
            <w:tcW w:w="400" w:type="dxa"/>
            <w:vAlign w:val="center"/>
          </w:tcPr>
          <w:p>
            <w:pPr>
              <w:pStyle w:val="17"/>
              <w:wordWrap w:val="0"/>
              <w:rPr>
                <w:rFonts w:hAnsi="宋体" w:eastAsia="宋体"/>
                <w:b/>
                <w:color w:val="auto"/>
                <w:sz w:val="32"/>
                <w:szCs w:val="32"/>
                <w:highlight w:val="none"/>
              </w:rPr>
            </w:pPr>
            <w:r>
              <w:rPr>
                <w:rFonts w:hint="eastAsia" w:hAnsi="宋体" w:eastAsia="宋体"/>
                <w:b/>
                <w:color w:val="auto"/>
                <w:spacing w:val="60"/>
                <w:sz w:val="32"/>
                <w:szCs w:val="32"/>
                <w:highlight w:val="none"/>
              </w:rPr>
              <w:t>：</w:t>
            </w:r>
          </w:p>
        </w:tc>
        <w:tc>
          <w:tcPr>
            <w:tcW w:w="5918" w:type="dxa"/>
            <w:vAlign w:val="center"/>
          </w:tcPr>
          <w:p>
            <w:pPr>
              <w:pStyle w:val="17"/>
              <w:wordWrap w:val="0"/>
              <w:rPr>
                <w:rFonts w:hAnsi="宋体" w:eastAsia="宋体"/>
                <w:b/>
                <w:color w:val="auto"/>
                <w:sz w:val="32"/>
                <w:szCs w:val="32"/>
                <w:highlight w:val="none"/>
                <w:u w:val="none"/>
              </w:rPr>
            </w:pPr>
            <w:r>
              <w:rPr>
                <w:rFonts w:hint="eastAsia" w:hAnsi="宋体" w:eastAsia="宋体"/>
                <w:b/>
                <w:color w:val="auto"/>
                <w:sz w:val="32"/>
                <w:szCs w:val="32"/>
                <w:highlight w:val="none"/>
                <w:u w:val="none"/>
              </w:rPr>
              <w:t>枞阳县</w:t>
            </w:r>
            <w:r>
              <w:rPr>
                <w:rFonts w:hint="eastAsia" w:hAnsi="宋体" w:eastAsia="宋体"/>
                <w:b/>
                <w:color w:val="auto"/>
                <w:sz w:val="32"/>
                <w:szCs w:val="32"/>
                <w:highlight w:val="none"/>
                <w:u w:val="none"/>
                <w:lang w:eastAsia="zh-CN"/>
              </w:rPr>
              <w:t>枞阳</w:t>
            </w:r>
            <w:r>
              <w:rPr>
                <w:rFonts w:hint="eastAsia" w:hAnsi="宋体" w:eastAsia="宋体"/>
                <w:b/>
                <w:color w:val="auto"/>
                <w:sz w:val="32"/>
                <w:szCs w:val="32"/>
                <w:highlight w:val="none"/>
                <w:u w:val="none"/>
              </w:rPr>
              <w:t>镇</w:t>
            </w:r>
            <w:r>
              <w:rPr>
                <w:rFonts w:hint="eastAsia" w:hAnsi="宋体" w:eastAsia="宋体"/>
                <w:b/>
                <w:color w:val="auto"/>
                <w:sz w:val="32"/>
                <w:szCs w:val="32"/>
                <w:highlight w:val="none"/>
                <w:u w:val="none"/>
                <w:lang w:eastAsia="zh-CN"/>
              </w:rPr>
              <w:t>下枞阳社区居委会</w:t>
            </w:r>
            <w:r>
              <w:rPr>
                <w:rFonts w:hint="eastAsia" w:hAnsi="宋体" w:eastAsia="宋体"/>
                <w:b/>
                <w:color w:val="auto"/>
                <w:sz w:val="28"/>
                <w:szCs w:val="28"/>
                <w:highlight w:val="none"/>
                <w:u w:val="none"/>
              </w:rPr>
              <w:t>（</w:t>
            </w:r>
            <w:r>
              <w:rPr>
                <w:rFonts w:hint="eastAsia" w:hAnsi="宋体"/>
                <w:b/>
                <w:color w:val="auto"/>
                <w:sz w:val="28"/>
                <w:szCs w:val="28"/>
                <w:highlight w:val="none"/>
                <w:u w:val="none"/>
              </w:rPr>
              <w:t>盖章</w:t>
            </w:r>
            <w:r>
              <w:rPr>
                <w:rFonts w:hint="eastAsia" w:hAnsi="宋体" w:eastAsia="宋体"/>
                <w:b/>
                <w:color w:val="auto"/>
                <w:sz w:val="28"/>
                <w:szCs w:val="28"/>
                <w:highlight w:val="none"/>
                <w:u w:val="none"/>
              </w:rPr>
              <w:t>）</w:t>
            </w:r>
          </w:p>
        </w:tc>
      </w:tr>
      <w:tr>
        <w:tblPrEx>
          <w:tblCellMar>
            <w:top w:w="0" w:type="dxa"/>
            <w:left w:w="108" w:type="dxa"/>
            <w:bottom w:w="0" w:type="dxa"/>
            <w:right w:w="108" w:type="dxa"/>
          </w:tblCellMar>
        </w:tblPrEx>
        <w:trPr>
          <w:trHeight w:val="1080" w:hRule="atLeast"/>
        </w:trPr>
        <w:tc>
          <w:tcPr>
            <w:tcW w:w="2864" w:type="dxa"/>
            <w:vAlign w:val="center"/>
          </w:tcPr>
          <w:p>
            <w:pPr>
              <w:pStyle w:val="17"/>
              <w:wordWrap w:val="0"/>
              <w:ind w:firstLine="1"/>
              <w:rPr>
                <w:rFonts w:hAnsi="宋体" w:eastAsia="宋体"/>
                <w:b/>
                <w:color w:val="auto"/>
                <w:sz w:val="32"/>
                <w:szCs w:val="32"/>
                <w:highlight w:val="none"/>
              </w:rPr>
            </w:pPr>
            <w:r>
              <w:rPr>
                <w:rFonts w:hint="eastAsia" w:hAnsi="宋体" w:eastAsia="宋体"/>
                <w:b/>
                <w:color w:val="auto"/>
                <w:spacing w:val="60"/>
                <w:sz w:val="32"/>
                <w:szCs w:val="32"/>
                <w:highlight w:val="none"/>
              </w:rPr>
              <w:t>代 理 机 构</w:t>
            </w:r>
          </w:p>
        </w:tc>
        <w:tc>
          <w:tcPr>
            <w:tcW w:w="400" w:type="dxa"/>
            <w:vAlign w:val="center"/>
          </w:tcPr>
          <w:p>
            <w:pPr>
              <w:pStyle w:val="17"/>
              <w:wordWrap w:val="0"/>
              <w:rPr>
                <w:rFonts w:hAnsi="宋体" w:eastAsia="宋体"/>
                <w:b/>
                <w:color w:val="auto"/>
                <w:sz w:val="32"/>
                <w:szCs w:val="32"/>
                <w:highlight w:val="none"/>
              </w:rPr>
            </w:pPr>
            <w:r>
              <w:rPr>
                <w:rFonts w:hint="eastAsia" w:hAnsi="宋体" w:eastAsia="宋体"/>
                <w:b/>
                <w:color w:val="auto"/>
                <w:spacing w:val="-20"/>
                <w:sz w:val="32"/>
                <w:szCs w:val="32"/>
                <w:highlight w:val="none"/>
              </w:rPr>
              <w:t>：</w:t>
            </w:r>
          </w:p>
        </w:tc>
        <w:tc>
          <w:tcPr>
            <w:tcW w:w="5918" w:type="dxa"/>
            <w:vAlign w:val="center"/>
          </w:tcPr>
          <w:p>
            <w:pPr>
              <w:pStyle w:val="17"/>
              <w:wordWrap w:val="0"/>
              <w:rPr>
                <w:rFonts w:hAnsi="宋体" w:eastAsia="宋体"/>
                <w:b/>
                <w:bCs/>
                <w:color w:val="auto"/>
                <w:sz w:val="32"/>
                <w:szCs w:val="32"/>
                <w:highlight w:val="none"/>
                <w:u w:val="none"/>
              </w:rPr>
            </w:pPr>
          </w:p>
          <w:p>
            <w:pPr>
              <w:pStyle w:val="17"/>
              <w:wordWrap w:val="0"/>
              <w:rPr>
                <w:rFonts w:hAnsi="宋体" w:eastAsia="宋体"/>
                <w:b/>
                <w:color w:val="auto"/>
                <w:sz w:val="32"/>
                <w:szCs w:val="32"/>
                <w:highlight w:val="none"/>
                <w:u w:val="none"/>
              </w:rPr>
            </w:pPr>
            <w:r>
              <w:rPr>
                <w:rFonts w:hint="eastAsia" w:hAnsi="宋体" w:eastAsia="宋体"/>
                <w:b/>
                <w:color w:val="auto"/>
                <w:sz w:val="32"/>
                <w:szCs w:val="32"/>
                <w:highlight w:val="none"/>
                <w:u w:val="none"/>
              </w:rPr>
              <w:t>安徽</w:t>
            </w:r>
            <w:r>
              <w:rPr>
                <w:rFonts w:hint="eastAsia" w:hAnsi="宋体" w:eastAsia="宋体"/>
                <w:b/>
                <w:color w:val="auto"/>
                <w:sz w:val="32"/>
                <w:szCs w:val="32"/>
                <w:highlight w:val="none"/>
                <w:u w:val="none"/>
                <w:lang w:eastAsia="zh-CN"/>
              </w:rPr>
              <w:t>怡萱建筑有限公司</w:t>
            </w:r>
            <w:r>
              <w:rPr>
                <w:rFonts w:hint="eastAsia" w:hAnsi="宋体" w:eastAsia="宋体"/>
                <w:b/>
                <w:color w:val="auto"/>
                <w:sz w:val="32"/>
                <w:szCs w:val="32"/>
                <w:highlight w:val="none"/>
                <w:u w:val="none"/>
                <w:lang w:val="en-US" w:eastAsia="zh-CN"/>
              </w:rPr>
              <w:t xml:space="preserve">  </w:t>
            </w:r>
            <w:r>
              <w:rPr>
                <w:rFonts w:hint="eastAsia" w:hAnsi="宋体" w:eastAsia="宋体"/>
                <w:b/>
                <w:color w:val="auto"/>
                <w:sz w:val="32"/>
                <w:szCs w:val="32"/>
                <w:highlight w:val="none"/>
                <w:u w:val="none"/>
              </w:rPr>
              <w:t>（</w:t>
            </w:r>
            <w:r>
              <w:rPr>
                <w:rFonts w:hint="eastAsia" w:hAnsi="宋体"/>
                <w:b/>
                <w:color w:val="auto"/>
                <w:sz w:val="32"/>
                <w:szCs w:val="32"/>
                <w:highlight w:val="none"/>
                <w:u w:val="none"/>
              </w:rPr>
              <w:t>盖章</w:t>
            </w:r>
            <w:r>
              <w:rPr>
                <w:rFonts w:hint="eastAsia" w:hAnsi="宋体" w:eastAsia="宋体"/>
                <w:b/>
                <w:color w:val="auto"/>
                <w:sz w:val="32"/>
                <w:szCs w:val="32"/>
                <w:highlight w:val="none"/>
                <w:u w:val="none"/>
              </w:rPr>
              <w:t>）</w:t>
            </w:r>
            <w:r>
              <w:rPr>
                <w:rFonts w:hint="eastAsia" w:hAnsi="宋体" w:eastAsia="宋体"/>
                <w:b/>
                <w:bCs/>
                <w:color w:val="auto"/>
                <w:sz w:val="32"/>
                <w:szCs w:val="32"/>
                <w:highlight w:val="none"/>
                <w:u w:val="none"/>
              </w:rPr>
              <w:t xml:space="preserve">                  </w:t>
            </w:r>
          </w:p>
        </w:tc>
      </w:tr>
    </w:tbl>
    <w:p>
      <w:pPr>
        <w:pStyle w:val="17"/>
        <w:wordWrap w:val="0"/>
        <w:spacing w:line="360" w:lineRule="auto"/>
        <w:rPr>
          <w:rFonts w:hAnsi="宋体" w:eastAsia="宋体"/>
          <w:b/>
          <w:color w:val="auto"/>
          <w:spacing w:val="60"/>
          <w:sz w:val="32"/>
          <w:szCs w:val="32"/>
          <w:highlight w:val="none"/>
        </w:rPr>
      </w:pPr>
    </w:p>
    <w:p>
      <w:pPr>
        <w:pStyle w:val="17"/>
        <w:wordWrap w:val="0"/>
        <w:spacing w:line="360" w:lineRule="auto"/>
        <w:rPr>
          <w:rFonts w:hAnsi="宋体" w:eastAsia="宋体"/>
          <w:b/>
          <w:color w:val="auto"/>
          <w:spacing w:val="60"/>
          <w:sz w:val="32"/>
          <w:szCs w:val="32"/>
          <w:highlight w:val="none"/>
        </w:rPr>
      </w:pPr>
    </w:p>
    <w:p>
      <w:pPr>
        <w:pStyle w:val="17"/>
        <w:wordWrap w:val="0"/>
        <w:spacing w:line="360" w:lineRule="auto"/>
        <w:rPr>
          <w:rFonts w:hAnsi="宋体" w:eastAsia="宋体"/>
          <w:b/>
          <w:color w:val="auto"/>
          <w:sz w:val="32"/>
          <w:szCs w:val="32"/>
          <w:highlight w:val="none"/>
        </w:rPr>
      </w:pPr>
      <w:r>
        <w:rPr>
          <w:rFonts w:hint="eastAsia" w:hAnsi="宋体" w:eastAsia="宋体"/>
          <w:b/>
          <w:color w:val="auto"/>
          <w:spacing w:val="60"/>
          <w:sz w:val="32"/>
          <w:szCs w:val="32"/>
          <w:highlight w:val="none"/>
        </w:rPr>
        <w:t>日      期：</w:t>
      </w:r>
      <w:r>
        <w:rPr>
          <w:rFonts w:hint="eastAsia" w:hAnsi="宋体" w:eastAsia="宋体"/>
          <w:b/>
          <w:color w:val="auto"/>
          <w:spacing w:val="60"/>
          <w:sz w:val="32"/>
          <w:szCs w:val="32"/>
          <w:highlight w:val="none"/>
          <w:u w:val="single"/>
        </w:rPr>
        <w:t xml:space="preserve">  二〇二</w:t>
      </w:r>
      <w:r>
        <w:rPr>
          <w:rFonts w:hint="eastAsia" w:hAnsi="宋体" w:eastAsia="宋体"/>
          <w:b/>
          <w:color w:val="auto"/>
          <w:spacing w:val="60"/>
          <w:sz w:val="32"/>
          <w:szCs w:val="32"/>
          <w:highlight w:val="none"/>
          <w:u w:val="single"/>
          <w:lang w:eastAsia="zh-CN"/>
        </w:rPr>
        <w:t>三</w:t>
      </w:r>
      <w:r>
        <w:rPr>
          <w:rFonts w:hint="eastAsia" w:hAnsi="宋体" w:eastAsia="宋体"/>
          <w:b/>
          <w:color w:val="auto"/>
          <w:spacing w:val="60"/>
          <w:sz w:val="32"/>
          <w:szCs w:val="32"/>
          <w:highlight w:val="none"/>
          <w:u w:val="single"/>
        </w:rPr>
        <w:t>年</w:t>
      </w:r>
      <w:r>
        <w:rPr>
          <w:rFonts w:hint="eastAsia" w:hAnsi="宋体" w:eastAsia="宋体"/>
          <w:b/>
          <w:color w:val="auto"/>
          <w:spacing w:val="60"/>
          <w:sz w:val="32"/>
          <w:szCs w:val="32"/>
          <w:highlight w:val="none"/>
          <w:u w:val="single"/>
          <w:lang w:eastAsia="zh-CN"/>
        </w:rPr>
        <w:t>十二</w:t>
      </w:r>
      <w:r>
        <w:rPr>
          <w:rFonts w:hint="eastAsia" w:hAnsi="宋体" w:eastAsia="宋体"/>
          <w:b/>
          <w:color w:val="auto"/>
          <w:spacing w:val="60"/>
          <w:sz w:val="32"/>
          <w:szCs w:val="32"/>
          <w:highlight w:val="none"/>
          <w:u w:val="single"/>
        </w:rPr>
        <w:t xml:space="preserve">月     </w:t>
      </w:r>
    </w:p>
    <w:p>
      <w:pPr>
        <w:pStyle w:val="17"/>
        <w:spacing w:line="360" w:lineRule="auto"/>
        <w:rPr>
          <w:rFonts w:hAnsi="宋体" w:eastAsia="宋体"/>
          <w:b/>
          <w:color w:val="auto"/>
          <w:kern w:val="44"/>
          <w:szCs w:val="28"/>
          <w:highlight w:val="none"/>
        </w:rPr>
      </w:pPr>
      <w:r>
        <w:rPr>
          <w:rFonts w:hint="eastAsia" w:hAnsi="宋体" w:eastAsia="宋体"/>
          <w:b/>
          <w:color w:val="auto"/>
          <w:kern w:val="44"/>
          <w:szCs w:val="28"/>
          <w:highlight w:val="none"/>
        </w:rPr>
        <w:t xml:space="preserve">                            </w:t>
      </w:r>
    </w:p>
    <w:p>
      <w:pPr>
        <w:pStyle w:val="17"/>
        <w:spacing w:line="360" w:lineRule="auto"/>
        <w:rPr>
          <w:rFonts w:hAnsi="宋体" w:eastAsia="宋体"/>
          <w:b/>
          <w:color w:val="auto"/>
          <w:kern w:val="44"/>
          <w:szCs w:val="28"/>
          <w:highlight w:val="none"/>
        </w:rPr>
      </w:pPr>
    </w:p>
    <w:p>
      <w:pPr>
        <w:pStyle w:val="17"/>
        <w:spacing w:line="360" w:lineRule="auto"/>
        <w:rPr>
          <w:rFonts w:hAnsi="宋体" w:eastAsia="宋体"/>
          <w:b/>
          <w:color w:val="auto"/>
          <w:kern w:val="44"/>
          <w:szCs w:val="28"/>
          <w:highlight w:val="none"/>
        </w:rPr>
      </w:pPr>
    </w:p>
    <w:p>
      <w:pPr>
        <w:pStyle w:val="17"/>
        <w:spacing w:line="360" w:lineRule="auto"/>
        <w:rPr>
          <w:rFonts w:hAnsi="宋体" w:eastAsia="宋体"/>
          <w:b/>
          <w:color w:val="auto"/>
          <w:kern w:val="44"/>
          <w:szCs w:val="28"/>
          <w:highlight w:val="none"/>
        </w:rPr>
      </w:pPr>
    </w:p>
    <w:p>
      <w:pPr>
        <w:pStyle w:val="17"/>
        <w:spacing w:line="360" w:lineRule="auto"/>
        <w:rPr>
          <w:rFonts w:hAnsi="宋体" w:eastAsia="宋体"/>
          <w:b/>
          <w:color w:val="auto"/>
          <w:kern w:val="44"/>
          <w:szCs w:val="28"/>
          <w:highlight w:val="none"/>
        </w:rPr>
      </w:pPr>
    </w:p>
    <w:p>
      <w:pPr>
        <w:pStyle w:val="17"/>
        <w:spacing w:line="360" w:lineRule="auto"/>
        <w:rPr>
          <w:rFonts w:hAnsi="宋体" w:eastAsia="宋体"/>
          <w:b/>
          <w:color w:val="auto"/>
          <w:kern w:val="44"/>
          <w:szCs w:val="28"/>
          <w:highlight w:val="none"/>
        </w:rPr>
      </w:pPr>
      <w:r>
        <w:rPr>
          <w:rFonts w:hint="eastAsia" w:hAnsi="宋体" w:eastAsia="宋体"/>
          <w:b/>
          <w:color w:val="auto"/>
          <w:kern w:val="44"/>
          <w:szCs w:val="28"/>
          <w:highlight w:val="none"/>
        </w:rPr>
        <w:t xml:space="preserve">                           </w:t>
      </w:r>
    </w:p>
    <w:p>
      <w:pPr>
        <w:pStyle w:val="17"/>
        <w:spacing w:line="360" w:lineRule="auto"/>
        <w:rPr>
          <w:rFonts w:hint="eastAsia" w:hAnsi="宋体" w:eastAsia="宋体"/>
          <w:b/>
          <w:color w:val="auto"/>
          <w:kern w:val="44"/>
          <w:sz w:val="36"/>
          <w:szCs w:val="36"/>
          <w:highlight w:val="none"/>
        </w:rPr>
      </w:pPr>
      <w:r>
        <w:rPr>
          <w:rFonts w:hint="eastAsia" w:hAnsi="宋体" w:eastAsia="宋体"/>
          <w:b/>
          <w:color w:val="auto"/>
          <w:kern w:val="44"/>
          <w:szCs w:val="28"/>
          <w:highlight w:val="none"/>
        </w:rPr>
        <w:t xml:space="preserve">                         </w:t>
      </w:r>
      <w:r>
        <w:rPr>
          <w:rFonts w:hint="eastAsia" w:hAnsi="宋体" w:eastAsia="宋体"/>
          <w:b/>
          <w:color w:val="auto"/>
          <w:kern w:val="44"/>
          <w:sz w:val="36"/>
          <w:szCs w:val="36"/>
          <w:highlight w:val="none"/>
        </w:rPr>
        <w:t xml:space="preserve">  目  录</w:t>
      </w:r>
    </w:p>
    <w:p>
      <w:pPr>
        <w:pStyle w:val="17"/>
        <w:spacing w:line="360" w:lineRule="auto"/>
        <w:rPr>
          <w:rFonts w:hint="eastAsia" w:hAnsi="宋体" w:eastAsia="宋体"/>
          <w:b/>
          <w:color w:val="auto"/>
          <w:kern w:val="44"/>
          <w:sz w:val="36"/>
          <w:szCs w:val="36"/>
          <w:highlight w:val="none"/>
        </w:rPr>
      </w:pPr>
    </w:p>
    <w:p>
      <w:pPr>
        <w:pStyle w:val="17"/>
        <w:spacing w:line="360" w:lineRule="auto"/>
        <w:rPr>
          <w:rFonts w:hAnsi="宋体" w:eastAsia="宋体"/>
          <w:color w:val="auto"/>
          <w:szCs w:val="28"/>
          <w:highlight w:val="none"/>
          <w:u w:val="dotted"/>
        </w:rPr>
      </w:pPr>
      <w:r>
        <w:rPr>
          <w:rFonts w:hint="eastAsia" w:hAnsi="宋体" w:eastAsia="宋体"/>
          <w:color w:val="auto"/>
          <w:szCs w:val="28"/>
          <w:highlight w:val="none"/>
        </w:rPr>
        <w:t xml:space="preserve">第一章 </w:t>
      </w:r>
      <w:r>
        <w:rPr>
          <w:rFonts w:hAnsi="宋体" w:eastAsia="宋体"/>
          <w:color w:val="auto"/>
          <w:szCs w:val="28"/>
          <w:highlight w:val="none"/>
        </w:rPr>
        <w:t xml:space="preserve"> </w:t>
      </w:r>
      <w:r>
        <w:rPr>
          <w:rFonts w:hint="eastAsia" w:hAnsi="宋体" w:eastAsia="宋体"/>
          <w:color w:val="auto"/>
          <w:szCs w:val="28"/>
          <w:highlight w:val="none"/>
        </w:rPr>
        <w:t>竞争性磋商</w:t>
      </w:r>
      <w:r>
        <w:rPr>
          <w:rFonts w:hAnsi="宋体" w:eastAsia="宋体"/>
          <w:color w:val="auto"/>
          <w:szCs w:val="28"/>
          <w:highlight w:val="none"/>
        </w:rPr>
        <w:t>公告</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第二章  磋商响应须知前附表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第三章  磋商响应须知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（一）总则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（二）竞争性磋商文件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（三）供应商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（四）磋商响应文件的编制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（五）磋商响应文件的提交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（六）竞争性磋商程序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（七）</w:t>
      </w:r>
      <w:r>
        <w:rPr>
          <w:rFonts w:ascii="宋体" w:hAnsi="宋体" w:eastAsia="宋体" w:cs="宋体"/>
          <w:color w:val="auto"/>
          <w:spacing w:val="-1"/>
          <w:sz w:val="29"/>
          <w:szCs w:val="29"/>
          <w:highlight w:val="none"/>
        </w:rPr>
        <w:t>磋商评审及成交候选人推荐</w:t>
      </w:r>
      <w:r>
        <w:rPr>
          <w:rFonts w:hint="eastAsia" w:ascii="宋体" w:hAnsi="宋体"/>
          <w:color w:val="auto"/>
          <w:sz w:val="28"/>
          <w:szCs w:val="28"/>
          <w:highlight w:val="none"/>
        </w:rPr>
        <w:t xml:space="preserve"> </w:t>
      </w:r>
    </w:p>
    <w:p>
      <w:pPr>
        <w:spacing w:line="360" w:lineRule="auto"/>
        <w:rPr>
          <w:rFonts w:ascii="宋体" w:hAnsi="宋体" w:eastAsia="宋体" w:cs="宋体"/>
          <w:color w:val="auto"/>
          <w:spacing w:val="8"/>
          <w:sz w:val="29"/>
          <w:szCs w:val="29"/>
          <w:highlight w:val="none"/>
        </w:rPr>
      </w:pPr>
      <w:r>
        <w:rPr>
          <w:rFonts w:hint="eastAsia" w:ascii="宋体" w:hAnsi="宋体"/>
          <w:color w:val="auto"/>
          <w:sz w:val="28"/>
          <w:szCs w:val="28"/>
          <w:highlight w:val="none"/>
        </w:rPr>
        <w:t>（八）</w:t>
      </w:r>
      <w:r>
        <w:rPr>
          <w:rFonts w:ascii="宋体" w:hAnsi="宋体" w:eastAsia="宋体" w:cs="宋体"/>
          <w:color w:val="auto"/>
          <w:spacing w:val="8"/>
          <w:sz w:val="29"/>
          <w:szCs w:val="29"/>
          <w:highlight w:val="none"/>
        </w:rPr>
        <w:t>终止磋商</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（九）</w:t>
      </w:r>
      <w:r>
        <w:rPr>
          <w:rFonts w:ascii="宋体" w:hAnsi="宋体" w:eastAsia="宋体" w:cs="宋体"/>
          <w:color w:val="auto"/>
          <w:spacing w:val="10"/>
          <w:sz w:val="29"/>
          <w:szCs w:val="29"/>
          <w:highlight w:val="none"/>
        </w:rPr>
        <w:t>评审办法</w:t>
      </w:r>
      <w:r>
        <w:rPr>
          <w:rFonts w:hint="eastAsia" w:ascii="宋体" w:hAnsi="宋体"/>
          <w:color w:val="auto"/>
          <w:sz w:val="28"/>
          <w:szCs w:val="28"/>
          <w:highlight w:val="none"/>
        </w:rPr>
        <w:t xml:space="preserve">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（十）确定中标人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（十一）合同的签订、履行及验收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第四章  项目需求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第五章  采购合同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第六章  磋商响应文件格式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（一）资格、技术及商务部分                                     </w:t>
      </w:r>
    </w:p>
    <w:p>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（二）报价部分                                                 </w:t>
      </w:r>
    </w:p>
    <w:p>
      <w:pPr>
        <w:pStyle w:val="134"/>
        <w:wordWrap w:val="0"/>
        <w:spacing w:line="360" w:lineRule="auto"/>
        <w:jc w:val="both"/>
        <w:rPr>
          <w:color w:val="auto"/>
          <w:sz w:val="28"/>
          <w:szCs w:val="28"/>
          <w:highlight w:val="none"/>
        </w:rPr>
      </w:pPr>
    </w:p>
    <w:p>
      <w:pPr>
        <w:pStyle w:val="134"/>
        <w:wordWrap w:val="0"/>
        <w:spacing w:line="360" w:lineRule="auto"/>
        <w:jc w:val="both"/>
        <w:rPr>
          <w:color w:val="auto"/>
          <w:sz w:val="28"/>
          <w:szCs w:val="28"/>
          <w:highlight w:val="none"/>
        </w:rPr>
      </w:pPr>
    </w:p>
    <w:p>
      <w:pPr>
        <w:pStyle w:val="134"/>
        <w:wordWrap w:val="0"/>
        <w:spacing w:line="360" w:lineRule="auto"/>
        <w:jc w:val="both"/>
        <w:rPr>
          <w:color w:val="auto"/>
          <w:sz w:val="28"/>
          <w:szCs w:val="28"/>
          <w:highlight w:val="none"/>
        </w:rPr>
      </w:pPr>
    </w:p>
    <w:p>
      <w:pPr>
        <w:pStyle w:val="3"/>
        <w:spacing w:line="276" w:lineRule="auto"/>
        <w:jc w:val="center"/>
        <w:rPr>
          <w:rFonts w:ascii="宋体" w:hAnsi="宋体" w:eastAsia="宋体"/>
          <w:color w:val="auto"/>
          <w:sz w:val="28"/>
          <w:szCs w:val="28"/>
          <w:highlight w:val="none"/>
        </w:rPr>
        <w:sectPr>
          <w:footerReference r:id="rId3" w:type="first"/>
          <w:pgSz w:w="11907" w:h="16839"/>
          <w:pgMar w:top="1418" w:right="1531" w:bottom="1418" w:left="1531" w:header="1145" w:footer="709" w:gutter="0"/>
          <w:cols w:space="720" w:num="1"/>
          <w:docGrid w:linePitch="360" w:charSpace="0"/>
        </w:sectPr>
      </w:pPr>
    </w:p>
    <w:p>
      <w:pPr>
        <w:pStyle w:val="3"/>
        <w:spacing w:line="276" w:lineRule="auto"/>
        <w:jc w:val="center"/>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第一章 </w:t>
      </w:r>
      <w:bookmarkStart w:id="0" w:name="_Hlk78891068"/>
      <w:r>
        <w:rPr>
          <w:rFonts w:hint="eastAsia" w:ascii="宋体" w:hAnsi="宋体" w:eastAsia="宋体"/>
          <w:color w:val="auto"/>
          <w:sz w:val="32"/>
          <w:szCs w:val="32"/>
          <w:highlight w:val="none"/>
        </w:rPr>
        <w:t>竞争性磋商公告</w:t>
      </w:r>
    </w:p>
    <w:tbl>
      <w:tblPr>
        <w:tblStyle w:val="32"/>
        <w:tblW w:w="9543"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autofit"/>
        <w:tblCellMar>
          <w:top w:w="45" w:type="dxa"/>
          <w:left w:w="45" w:type="dxa"/>
          <w:bottom w:w="45" w:type="dxa"/>
          <w:right w:w="45" w:type="dxa"/>
        </w:tblCellMar>
      </w:tblPr>
      <w:tblGrid>
        <w:gridCol w:w="954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45" w:type="dxa"/>
            <w:left w:w="45" w:type="dxa"/>
            <w:bottom w:w="45" w:type="dxa"/>
            <w:right w:w="45" w:type="dxa"/>
          </w:tblCellMar>
        </w:tblPrEx>
        <w:trPr>
          <w:trHeight w:val="2276" w:hRule="atLeast"/>
        </w:trPr>
        <w:tc>
          <w:tcPr>
            <w:tcW w:w="954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5"/>
              <w:tabs>
                <w:tab w:val="left" w:pos="4732"/>
              </w:tabs>
              <w:snapToGrid w:val="0"/>
              <w:ind w:firstLine="0"/>
              <w:rPr>
                <w:rFonts w:hint="eastAsia" w:ascii="宋体" w:hAnsi="宋体" w:eastAsia="宋体" w:cs="Times New Roman"/>
                <w:bCs/>
                <w:snapToGrid/>
                <w:color w:val="auto"/>
                <w:kern w:val="2"/>
                <w:sz w:val="24"/>
                <w:szCs w:val="24"/>
                <w:highlight w:val="none"/>
                <w:lang w:val="en-US" w:eastAsia="zh-CN" w:bidi="ar-SA"/>
              </w:rPr>
            </w:pPr>
            <w:bookmarkStart w:id="1" w:name="OLE_LINK5"/>
            <w:bookmarkStart w:id="2" w:name="_Toc28359095"/>
            <w:bookmarkStart w:id="3" w:name="_Toc35393805"/>
            <w:bookmarkStart w:id="4" w:name="_Toc35393636"/>
            <w:bookmarkStart w:id="5" w:name="_Toc28359018"/>
            <w:bookmarkStart w:id="6" w:name="OLE_LINK1"/>
            <w:bookmarkStart w:id="7" w:name="OLE_LINK2"/>
            <w:r>
              <w:rPr>
                <w:rFonts w:hint="eastAsia" w:ascii="宋体" w:hAnsi="宋体" w:eastAsia="宋体" w:cs="Times New Roman"/>
                <w:bCs/>
                <w:snapToGrid/>
                <w:color w:val="auto"/>
                <w:kern w:val="2"/>
                <w:sz w:val="24"/>
                <w:szCs w:val="24"/>
                <w:highlight w:val="none"/>
                <w:lang w:val="en-US" w:eastAsia="zh-CN" w:bidi="ar-SA"/>
              </w:rPr>
              <w:t>项目概况：</w:t>
            </w:r>
          </w:p>
          <w:p>
            <w:pPr>
              <w:pStyle w:val="28"/>
              <w:adjustRightInd w:val="0"/>
              <w:snapToGrid w:val="0"/>
              <w:spacing w:line="360" w:lineRule="auto"/>
              <w:ind w:right="237" w:rightChars="113" w:firstLine="570"/>
              <w:rPr>
                <w:color w:val="auto"/>
                <w:sz w:val="28"/>
                <w:szCs w:val="28"/>
                <w:highlight w:val="none"/>
                <w:shd w:val="clear" w:color="auto" w:fill="FFFFFF"/>
              </w:rPr>
            </w:pPr>
            <w:r>
              <w:rPr>
                <w:rFonts w:hint="eastAsia" w:ascii="宋体" w:hAnsi="宋体" w:eastAsia="宋体" w:cs="Times New Roman"/>
                <w:bCs/>
                <w:snapToGrid/>
                <w:color w:val="auto"/>
                <w:kern w:val="2"/>
                <w:sz w:val="24"/>
                <w:szCs w:val="24"/>
                <w:highlight w:val="none"/>
                <w:lang w:val="en-US" w:eastAsia="zh-CN" w:bidi="ar-SA"/>
              </w:rPr>
              <w:t>枞阳县枞阳镇下枞阳社区办公楼维修改造工程的潜在供应商应在铜陵市公共资源交易中心网站（</w:t>
            </w:r>
            <w:r>
              <w:rPr>
                <w:rFonts w:hint="eastAsia" w:ascii="宋体" w:hAnsi="宋体" w:eastAsia="宋体" w:cs="Times New Roman"/>
                <w:bCs/>
                <w:snapToGrid/>
                <w:color w:val="auto"/>
                <w:kern w:val="2"/>
                <w:sz w:val="24"/>
                <w:szCs w:val="24"/>
                <w:highlight w:val="none"/>
                <w:lang w:val="en-US" w:eastAsia="zh-CN" w:bidi="ar-SA"/>
              </w:rPr>
              <w:fldChar w:fldCharType="begin"/>
            </w:r>
            <w:r>
              <w:rPr>
                <w:rFonts w:hint="eastAsia" w:ascii="宋体" w:hAnsi="宋体" w:eastAsia="宋体" w:cs="Times New Roman"/>
                <w:bCs/>
                <w:snapToGrid/>
                <w:color w:val="auto"/>
                <w:kern w:val="2"/>
                <w:sz w:val="24"/>
                <w:szCs w:val="24"/>
                <w:highlight w:val="none"/>
                <w:lang w:val="en-US" w:eastAsia="zh-CN" w:bidi="ar-SA"/>
              </w:rPr>
              <w:instrText xml:space="preserve"> HYPERLINK "http://ggzyjyzx.tl.gov.cn）免费下载获取采购文件，并于2022年05月" </w:instrText>
            </w:r>
            <w:r>
              <w:rPr>
                <w:rFonts w:hint="eastAsia" w:ascii="宋体" w:hAnsi="宋体" w:eastAsia="宋体" w:cs="Times New Roman"/>
                <w:bCs/>
                <w:snapToGrid/>
                <w:color w:val="auto"/>
                <w:kern w:val="2"/>
                <w:sz w:val="24"/>
                <w:szCs w:val="24"/>
                <w:highlight w:val="none"/>
                <w:lang w:val="en-US" w:eastAsia="zh-CN" w:bidi="ar-SA"/>
              </w:rPr>
              <w:fldChar w:fldCharType="separate"/>
            </w:r>
            <w:r>
              <w:rPr>
                <w:rFonts w:hint="eastAsia" w:ascii="宋体" w:hAnsi="宋体" w:eastAsia="宋体" w:cs="Times New Roman"/>
                <w:bCs/>
                <w:snapToGrid/>
                <w:color w:val="auto"/>
                <w:kern w:val="2"/>
                <w:sz w:val="24"/>
                <w:szCs w:val="24"/>
                <w:highlight w:val="none"/>
                <w:lang w:val="en-US" w:eastAsia="zh-CN" w:bidi="ar-SA"/>
              </w:rPr>
              <w:t>http://ggzyjyzx.tl.gov.cn）“非进场交易项目信息公开栏”获取采购文件，并于202</w:t>
            </w:r>
            <w:r>
              <w:rPr>
                <w:rFonts w:hint="eastAsia" w:cs="Times New Roman"/>
                <w:bCs/>
                <w:snapToGrid/>
                <w:color w:val="auto"/>
                <w:kern w:val="2"/>
                <w:sz w:val="24"/>
                <w:szCs w:val="24"/>
                <w:highlight w:val="none"/>
                <w:lang w:val="en-US" w:eastAsia="zh-CN" w:bidi="ar-SA"/>
              </w:rPr>
              <w:t>3</w:t>
            </w:r>
            <w:r>
              <w:rPr>
                <w:rFonts w:hint="eastAsia" w:ascii="宋体" w:hAnsi="宋体" w:eastAsia="宋体" w:cs="Times New Roman"/>
                <w:bCs/>
                <w:snapToGrid/>
                <w:color w:val="auto"/>
                <w:kern w:val="2"/>
                <w:sz w:val="24"/>
                <w:szCs w:val="24"/>
                <w:highlight w:val="none"/>
                <w:lang w:val="en-US" w:eastAsia="zh-CN" w:bidi="ar-SA"/>
              </w:rPr>
              <w:t>年</w:t>
            </w:r>
            <w:r>
              <w:rPr>
                <w:rFonts w:hint="eastAsia" w:cs="Times New Roman"/>
                <w:bCs/>
                <w:snapToGrid/>
                <w:color w:val="auto"/>
                <w:kern w:val="2"/>
                <w:sz w:val="24"/>
                <w:szCs w:val="24"/>
                <w:highlight w:val="none"/>
                <w:lang w:val="en-US" w:eastAsia="zh-CN" w:bidi="ar-SA"/>
              </w:rPr>
              <w:t>12</w:t>
            </w:r>
            <w:r>
              <w:rPr>
                <w:rFonts w:hint="eastAsia" w:ascii="宋体" w:hAnsi="宋体" w:eastAsia="宋体" w:cs="Times New Roman"/>
                <w:bCs/>
                <w:snapToGrid/>
                <w:color w:val="auto"/>
                <w:kern w:val="2"/>
                <w:sz w:val="24"/>
                <w:szCs w:val="24"/>
                <w:highlight w:val="none"/>
                <w:lang w:val="en-US" w:eastAsia="zh-CN" w:bidi="ar-SA"/>
              </w:rPr>
              <w:t>月</w:t>
            </w:r>
            <w:r>
              <w:rPr>
                <w:rFonts w:hint="eastAsia" w:ascii="宋体" w:hAnsi="宋体" w:eastAsia="宋体" w:cs="Times New Roman"/>
                <w:bCs/>
                <w:snapToGrid/>
                <w:color w:val="auto"/>
                <w:kern w:val="2"/>
                <w:sz w:val="24"/>
                <w:szCs w:val="24"/>
                <w:highlight w:val="none"/>
                <w:lang w:val="en-US" w:eastAsia="zh-CN" w:bidi="ar-SA"/>
              </w:rPr>
              <w:fldChar w:fldCharType="end"/>
            </w:r>
            <w:r>
              <w:rPr>
                <w:rFonts w:hint="eastAsia" w:cs="Times New Roman"/>
                <w:bCs/>
                <w:snapToGrid/>
                <w:color w:val="auto"/>
                <w:kern w:val="2"/>
                <w:sz w:val="24"/>
                <w:szCs w:val="24"/>
                <w:highlight w:val="none"/>
                <w:lang w:val="en-US" w:eastAsia="zh-CN" w:bidi="ar-SA"/>
              </w:rPr>
              <w:t>29</w:t>
            </w:r>
            <w:r>
              <w:rPr>
                <w:rFonts w:hint="eastAsia" w:ascii="宋体" w:hAnsi="宋体" w:eastAsia="宋体" w:cs="Times New Roman"/>
                <w:bCs/>
                <w:snapToGrid/>
                <w:color w:val="auto"/>
                <w:kern w:val="2"/>
                <w:sz w:val="24"/>
                <w:szCs w:val="24"/>
                <w:highlight w:val="none"/>
                <w:lang w:val="en-US" w:eastAsia="zh-CN" w:bidi="ar-SA"/>
              </w:rPr>
              <w:t>日9:00（北京时间）前提交磋商响应文件。</w:t>
            </w:r>
          </w:p>
        </w:tc>
      </w:tr>
    </w:tbl>
    <w:p>
      <w:pPr>
        <w:keepNext w:val="0"/>
        <w:keepLines w:val="0"/>
        <w:pageBreakBefore w:val="0"/>
        <w:widowControl w:val="0"/>
        <w:shd w:val="clear" w:color="auto" w:fill="FFFFFF"/>
        <w:kinsoku/>
        <w:wordWrap/>
        <w:overflowPunct/>
        <w:topLinePunct w:val="0"/>
        <w:bidi w:val="0"/>
        <w:adjustRightInd w:val="0"/>
        <w:snapToGrid w:val="0"/>
        <w:spacing w:line="440" w:lineRule="exact"/>
        <w:ind w:firstLine="643"/>
        <w:textAlignment w:val="auto"/>
        <w:rPr>
          <w:rFonts w:hint="eastAsia" w:ascii="宋体" w:hAnsi="宋体"/>
          <w:b/>
          <w:bCs/>
          <w:color w:val="auto"/>
          <w:sz w:val="28"/>
          <w:szCs w:val="28"/>
          <w:highlight w:val="none"/>
          <w:shd w:val="clear" w:color="auto" w:fill="FFFFFF"/>
        </w:rPr>
      </w:pPr>
      <w:bookmarkStart w:id="8" w:name="OLE_LINK3"/>
    </w:p>
    <w:p>
      <w:pPr>
        <w:keepNext w:val="0"/>
        <w:keepLines w:val="0"/>
        <w:pageBreakBefore w:val="0"/>
        <w:widowControl w:val="0"/>
        <w:shd w:val="clear" w:color="auto" w:fill="FFFFFF"/>
        <w:kinsoku/>
        <w:wordWrap/>
        <w:overflowPunct/>
        <w:topLinePunct w:val="0"/>
        <w:bidi w:val="0"/>
        <w:adjustRightInd w:val="0"/>
        <w:snapToGrid w:val="0"/>
        <w:spacing w:line="440" w:lineRule="exact"/>
        <w:ind w:firstLine="643"/>
        <w:textAlignment w:val="auto"/>
        <w:rPr>
          <w:rFonts w:ascii="宋体" w:hAnsi="宋体"/>
          <w:color w:val="auto"/>
          <w:sz w:val="28"/>
          <w:szCs w:val="28"/>
          <w:highlight w:val="none"/>
        </w:rPr>
      </w:pPr>
      <w:r>
        <w:rPr>
          <w:rFonts w:hint="eastAsia" w:ascii="宋体" w:hAnsi="宋体"/>
          <w:b/>
          <w:bCs/>
          <w:color w:val="auto"/>
          <w:sz w:val="28"/>
          <w:szCs w:val="28"/>
          <w:highlight w:val="none"/>
          <w:shd w:val="clear" w:color="auto" w:fill="FFFFFF"/>
        </w:rPr>
        <w:t>一、项目基本情况</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 xml:space="preserve">1、项目编号：QT20230311 </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2、项目名称：枞阳县枞阳镇下枞阳社区办公楼维修改造工程</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3、资金来源：</w:t>
      </w:r>
      <w:r>
        <w:rPr>
          <w:rFonts w:hint="eastAsia" w:ascii="宋体" w:hAnsi="宋体" w:cs="Times New Roman"/>
          <w:bCs/>
          <w:snapToGrid/>
          <w:color w:val="auto"/>
          <w:kern w:val="2"/>
          <w:sz w:val="24"/>
          <w:szCs w:val="24"/>
          <w:highlight w:val="none"/>
          <w:lang w:val="en-US" w:eastAsia="zh-CN" w:bidi="ar-SA"/>
        </w:rPr>
        <w:t>自筹资金</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4、采购方式：□竞争性谈判 ☑竞争性磋商 □询价</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textAlignment w:val="auto"/>
        <w:rPr>
          <w:rFonts w:hint="eastAsia" w:ascii="宋体" w:hAnsi="宋体" w:cs="Times New Roman"/>
          <w:bCs/>
          <w:snapToGrid/>
          <w:color w:val="auto"/>
          <w:kern w:val="2"/>
          <w:sz w:val="24"/>
          <w:szCs w:val="24"/>
          <w:highlight w:val="none"/>
          <w:lang w:val="zh-CN" w:eastAsia="zh-CN" w:bidi="ar-SA"/>
        </w:rPr>
      </w:pPr>
      <w:r>
        <w:rPr>
          <w:rFonts w:hint="eastAsia" w:ascii="宋体" w:hAnsi="宋体" w:eastAsia="宋体" w:cs="Times New Roman"/>
          <w:bCs/>
          <w:snapToGrid/>
          <w:color w:val="auto"/>
          <w:kern w:val="2"/>
          <w:sz w:val="24"/>
          <w:szCs w:val="24"/>
          <w:highlight w:val="none"/>
          <w:lang w:val="en-US" w:eastAsia="zh-CN" w:bidi="ar-SA"/>
        </w:rPr>
        <w:t>5、预</w:t>
      </w:r>
      <w:r>
        <w:rPr>
          <w:rFonts w:hint="eastAsia" w:ascii="宋体" w:hAnsi="宋体" w:eastAsia="宋体" w:cs="Times New Roman"/>
          <w:bCs/>
          <w:snapToGrid/>
          <w:color w:val="auto"/>
          <w:kern w:val="2"/>
          <w:sz w:val="24"/>
          <w:szCs w:val="24"/>
          <w:highlight w:val="none"/>
          <w:lang w:val="zh-CN" w:eastAsia="zh-CN" w:bidi="ar-SA"/>
        </w:rPr>
        <w:t>算金额：</w:t>
      </w:r>
      <w:r>
        <w:rPr>
          <w:rFonts w:hint="eastAsia" w:ascii="宋体" w:hAnsi="宋体" w:cs="Times New Roman"/>
          <w:bCs/>
          <w:snapToGrid/>
          <w:color w:val="auto"/>
          <w:kern w:val="2"/>
          <w:sz w:val="24"/>
          <w:szCs w:val="24"/>
          <w:highlight w:val="none"/>
          <w:lang w:val="en-US" w:eastAsia="zh-CN" w:bidi="ar-SA"/>
        </w:rPr>
        <w:t>735560.51元</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textAlignment w:val="auto"/>
        <w:rPr>
          <w:rFonts w:hint="eastAsia" w:ascii="宋体" w:hAnsi="宋体" w:cs="Times New Roman"/>
          <w:bCs/>
          <w:snapToGrid/>
          <w:color w:val="auto"/>
          <w:kern w:val="2"/>
          <w:sz w:val="24"/>
          <w:szCs w:val="24"/>
          <w:highlight w:val="none"/>
          <w:lang w:val="zh-CN" w:eastAsia="zh-CN" w:bidi="ar-SA"/>
        </w:rPr>
      </w:pPr>
      <w:r>
        <w:rPr>
          <w:rFonts w:hint="eastAsia" w:ascii="宋体" w:hAnsi="宋体" w:eastAsia="宋体" w:cs="Times New Roman"/>
          <w:bCs/>
          <w:snapToGrid/>
          <w:color w:val="auto"/>
          <w:kern w:val="2"/>
          <w:sz w:val="24"/>
          <w:szCs w:val="24"/>
          <w:highlight w:val="none"/>
          <w:lang w:val="en-US" w:eastAsia="zh-CN" w:bidi="ar-SA"/>
        </w:rPr>
        <w:t>6、最高限价：</w:t>
      </w:r>
      <w:r>
        <w:rPr>
          <w:rFonts w:hint="eastAsia" w:ascii="宋体" w:hAnsi="宋体" w:cs="Times New Roman"/>
          <w:bCs/>
          <w:snapToGrid/>
          <w:color w:val="auto"/>
          <w:kern w:val="2"/>
          <w:sz w:val="24"/>
          <w:szCs w:val="24"/>
          <w:highlight w:val="none"/>
          <w:lang w:val="en-US" w:eastAsia="zh-CN" w:bidi="ar-SA"/>
        </w:rPr>
        <w:t>735560.51元</w:t>
      </w:r>
    </w:p>
    <w:p>
      <w:pPr>
        <w:pStyle w:val="53"/>
        <w:keepNext w:val="0"/>
        <w:keepLines w:val="0"/>
        <w:pageBreakBefore w:val="0"/>
        <w:widowControl w:val="0"/>
        <w:kinsoku/>
        <w:wordWrap/>
        <w:overflowPunct/>
        <w:topLinePunct w:val="0"/>
        <w:bidi w:val="0"/>
        <w:snapToGrid w:val="0"/>
        <w:spacing w:line="480" w:lineRule="exact"/>
        <w:ind w:left="0" w:leftChars="0" w:firstLine="638" w:firstLineChars="266"/>
        <w:jc w:val="both"/>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7、采购需求：本项目主要建设内容为室内楼地面，墙面维修，外墙面铲除维修，门窗更换，卫生间水电安装维修等工程。具体内容详见设计图纸及工程量清单所载内容</w:t>
      </w:r>
      <w:r>
        <w:rPr>
          <w:rFonts w:hint="eastAsia" w:cs="Times New Roman"/>
          <w:bCs/>
          <w:snapToGrid/>
          <w:color w:val="auto"/>
          <w:kern w:val="2"/>
          <w:sz w:val="24"/>
          <w:szCs w:val="24"/>
          <w:highlight w:val="none"/>
          <w:lang w:val="en-US" w:eastAsia="zh-CN" w:bidi="ar-SA"/>
        </w:rPr>
        <w:t>。</w:t>
      </w:r>
    </w:p>
    <w:p>
      <w:pPr>
        <w:pStyle w:val="53"/>
        <w:keepNext w:val="0"/>
        <w:keepLines w:val="0"/>
        <w:pageBreakBefore w:val="0"/>
        <w:widowControl w:val="0"/>
        <w:kinsoku/>
        <w:wordWrap/>
        <w:overflowPunct/>
        <w:topLinePunct w:val="0"/>
        <w:bidi w:val="0"/>
        <w:snapToGrid w:val="0"/>
        <w:spacing w:line="480" w:lineRule="exact"/>
        <w:ind w:firstLine="480" w:firstLineChars="200"/>
        <w:jc w:val="both"/>
        <w:textAlignment w:val="auto"/>
        <w:rPr>
          <w:rFonts w:hint="eastAsia" w:ascii="宋体" w:hAnsi="宋体" w:cs="宋体"/>
          <w:color w:val="auto"/>
          <w:kern w:val="0"/>
          <w:sz w:val="24"/>
          <w:szCs w:val="24"/>
          <w:highlight w:val="none"/>
          <w:lang w:val="zh-CN"/>
        </w:rPr>
      </w:pPr>
      <w:r>
        <w:rPr>
          <w:rFonts w:hint="eastAsia" w:ascii="宋体" w:hAnsi="宋体" w:eastAsia="宋体" w:cs="Times New Roman"/>
          <w:bCs/>
          <w:snapToGrid/>
          <w:color w:val="auto"/>
          <w:kern w:val="2"/>
          <w:sz w:val="24"/>
          <w:szCs w:val="24"/>
          <w:highlight w:val="none"/>
          <w:lang w:val="en-US" w:eastAsia="zh-CN" w:bidi="ar-SA"/>
        </w:rPr>
        <w:t xml:space="preserve"> 8、合同履行期限：自合同签订之日起</w:t>
      </w:r>
      <w:r>
        <w:rPr>
          <w:rFonts w:hint="eastAsia" w:cs="Times New Roman"/>
          <w:bCs/>
          <w:snapToGrid/>
          <w:color w:val="auto"/>
          <w:kern w:val="2"/>
          <w:sz w:val="24"/>
          <w:szCs w:val="24"/>
          <w:highlight w:val="none"/>
          <w:lang w:val="en-US" w:eastAsia="zh-CN" w:bidi="ar-SA"/>
        </w:rPr>
        <w:t>60</w:t>
      </w:r>
      <w:r>
        <w:rPr>
          <w:rFonts w:hint="eastAsia" w:ascii="宋体" w:hAnsi="宋体" w:eastAsia="宋体" w:cs="Times New Roman"/>
          <w:bCs/>
          <w:snapToGrid/>
          <w:color w:val="auto"/>
          <w:kern w:val="2"/>
          <w:sz w:val="24"/>
          <w:szCs w:val="24"/>
          <w:highlight w:val="none"/>
          <w:lang w:val="en-US" w:eastAsia="zh-CN" w:bidi="ar-SA"/>
        </w:rPr>
        <w:t>日历天内完成</w:t>
      </w:r>
      <w:r>
        <w:rPr>
          <w:rFonts w:hint="eastAsia" w:ascii="宋体" w:hAnsi="宋体" w:cs="宋体"/>
          <w:color w:val="auto"/>
          <w:kern w:val="0"/>
          <w:sz w:val="24"/>
          <w:szCs w:val="24"/>
          <w:highlight w:val="none"/>
          <w:lang w:val="zh-CN"/>
        </w:rPr>
        <w:t>；</w:t>
      </w:r>
    </w:p>
    <w:p>
      <w:pPr>
        <w:keepNext w:val="0"/>
        <w:keepLines w:val="0"/>
        <w:pageBreakBefore w:val="0"/>
        <w:widowControl w:val="0"/>
        <w:shd w:val="clear" w:color="auto" w:fill="FFFFFF"/>
        <w:kinsoku/>
        <w:wordWrap/>
        <w:overflowPunct/>
        <w:topLinePunct w:val="0"/>
        <w:bidi w:val="0"/>
        <w:adjustRightInd w:val="0"/>
        <w:snapToGrid w:val="0"/>
        <w:spacing w:line="480" w:lineRule="exact"/>
        <w:ind w:left="0" w:leftChars="0" w:firstLine="660" w:firstLineChars="275"/>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9、本项目</w:t>
      </w:r>
      <w:r>
        <w:rPr>
          <w:rFonts w:hint="eastAsia" w:ascii="宋体" w:hAnsi="宋体" w:cs="Times New Roman"/>
          <w:bCs/>
          <w:snapToGrid/>
          <w:color w:val="auto"/>
          <w:kern w:val="2"/>
          <w:sz w:val="24"/>
          <w:szCs w:val="24"/>
          <w:highlight w:val="none"/>
          <w:lang w:val="en-US" w:eastAsia="zh-CN" w:bidi="ar-SA"/>
        </w:rPr>
        <w:t>不</w:t>
      </w:r>
      <w:r>
        <w:rPr>
          <w:rFonts w:hint="eastAsia" w:ascii="宋体" w:hAnsi="宋体" w:eastAsia="宋体" w:cs="Times New Roman"/>
          <w:bCs/>
          <w:snapToGrid/>
          <w:color w:val="auto"/>
          <w:kern w:val="2"/>
          <w:sz w:val="24"/>
          <w:szCs w:val="24"/>
          <w:highlight w:val="none"/>
          <w:lang w:val="en-US" w:eastAsia="zh-CN" w:bidi="ar-SA"/>
        </w:rPr>
        <w:t>接受联合体投标</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b/>
          <w:bCs/>
          <w:color w:val="auto"/>
          <w:sz w:val="28"/>
          <w:szCs w:val="28"/>
          <w:highlight w:val="none"/>
          <w:shd w:val="clear" w:color="auto" w:fill="FFFFFF"/>
        </w:rPr>
      </w:pPr>
      <w:r>
        <w:rPr>
          <w:rFonts w:hint="eastAsia" w:ascii="宋体" w:hAnsi="宋体"/>
          <w:b/>
          <w:bCs/>
          <w:color w:val="auto"/>
          <w:sz w:val="28"/>
          <w:szCs w:val="28"/>
          <w:highlight w:val="none"/>
          <w:shd w:val="clear" w:color="auto" w:fill="FFFFFF"/>
        </w:rPr>
        <w:t>二、申请人的资格要求</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1、满足《中华人民共和国政府采购法》第二十二条规定。</w:t>
      </w:r>
    </w:p>
    <w:p>
      <w:pPr>
        <w:pStyle w:val="31"/>
        <w:keepNext w:val="0"/>
        <w:keepLines w:val="0"/>
        <w:pageBreakBefore w:val="0"/>
        <w:widowControl w:val="0"/>
        <w:kinsoku/>
        <w:wordWrap/>
        <w:overflowPunct/>
        <w:topLinePunct w:val="0"/>
        <w:bidi w:val="0"/>
        <w:spacing w:line="480" w:lineRule="exact"/>
        <w:ind w:left="0" w:leftChars="0" w:firstLine="638" w:firstLineChars="266"/>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专门面向中小企业采购的项目,供应商应为中小微企业、监狱企业、残疾人福利性单位)</w:t>
      </w:r>
    </w:p>
    <w:p>
      <w:pPr>
        <w:pStyle w:val="31"/>
        <w:keepNext w:val="0"/>
        <w:keepLines w:val="0"/>
        <w:pageBreakBefore w:val="0"/>
        <w:widowControl w:val="0"/>
        <w:kinsoku/>
        <w:wordWrap/>
        <w:overflowPunct/>
        <w:topLinePunct w:val="0"/>
        <w:bidi w:val="0"/>
        <w:spacing w:line="480" w:lineRule="exact"/>
        <w:ind w:left="0" w:leftChars="0" w:firstLine="638" w:firstLineChars="266"/>
        <w:textAlignment w:val="auto"/>
        <w:rPr>
          <w:rFonts w:hint="eastAsia" w:ascii="宋体" w:hAnsi="宋体" w:cs="Times New Roman"/>
          <w:bCs/>
          <w:snapToGrid/>
          <w:color w:val="auto"/>
          <w:kern w:val="2"/>
          <w:sz w:val="24"/>
          <w:szCs w:val="24"/>
          <w:highlight w:val="none"/>
          <w:lang w:val="en-US" w:eastAsia="zh-CN" w:bidi="ar-SA"/>
        </w:rPr>
      </w:pPr>
      <w:r>
        <w:rPr>
          <w:rFonts w:hint="eastAsia" w:ascii="宋体" w:hAnsi="宋体" w:cs="Times New Roman"/>
          <w:bCs/>
          <w:snapToGrid/>
          <w:color w:val="auto"/>
          <w:kern w:val="2"/>
          <w:sz w:val="24"/>
          <w:szCs w:val="24"/>
          <w:highlight w:val="none"/>
          <w:lang w:val="en-US" w:eastAsia="zh-CN" w:bidi="ar-SA"/>
        </w:rPr>
        <w:t>3、本项目的特定资格要求：</w:t>
      </w:r>
    </w:p>
    <w:p>
      <w:pPr>
        <w:pStyle w:val="31"/>
        <w:keepNext w:val="0"/>
        <w:keepLines w:val="0"/>
        <w:pageBreakBefore w:val="0"/>
        <w:widowControl w:val="0"/>
        <w:kinsoku/>
        <w:wordWrap/>
        <w:overflowPunct/>
        <w:topLinePunct w:val="0"/>
        <w:bidi w:val="0"/>
        <w:spacing w:line="480" w:lineRule="exact"/>
        <w:ind w:left="0" w:leftChars="0" w:firstLine="720" w:firstLineChars="300"/>
        <w:textAlignment w:val="auto"/>
        <w:rPr>
          <w:rFonts w:hint="eastAsia" w:ascii="宋体" w:hAnsi="宋体" w:cs="Times New Roman"/>
          <w:bCs/>
          <w:snapToGrid/>
          <w:color w:val="auto"/>
          <w:kern w:val="2"/>
          <w:sz w:val="24"/>
          <w:szCs w:val="24"/>
          <w:highlight w:val="none"/>
          <w:lang w:val="en-US" w:eastAsia="zh-CN" w:bidi="ar-SA"/>
        </w:rPr>
      </w:pPr>
      <w:r>
        <w:rPr>
          <w:rFonts w:hint="eastAsia" w:ascii="宋体" w:hAnsi="宋体" w:cs="Times New Roman"/>
          <w:bCs/>
          <w:snapToGrid/>
          <w:color w:val="auto"/>
          <w:kern w:val="2"/>
          <w:sz w:val="24"/>
          <w:szCs w:val="24"/>
          <w:highlight w:val="none"/>
          <w:lang w:val="en-US" w:eastAsia="zh-CN" w:bidi="ar-SA"/>
        </w:rPr>
        <w:t>①供应商具备有效的建筑工程施工总承包三级及以上资质,并具有有效的安全生产许可证。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olor w:val="auto"/>
          <w:highlight w:val="none"/>
          <w:lang w:val="en-US" w:eastAsia="zh-CN"/>
        </w:rPr>
      </w:pPr>
      <w:r>
        <w:rPr>
          <w:rFonts w:hint="eastAsia" w:ascii="宋体" w:hAnsi="宋体" w:cs="Times New Roman"/>
          <w:bCs/>
          <w:snapToGrid/>
          <w:color w:val="auto"/>
          <w:kern w:val="2"/>
          <w:sz w:val="24"/>
          <w:szCs w:val="24"/>
          <w:highlight w:val="none"/>
          <w:lang w:val="en-US" w:eastAsia="zh-CN" w:bidi="ar-SA"/>
        </w:rPr>
        <w:t xml:space="preserve">      ②供应商拟派项目经理（或项目负责人）：具备有效的建筑工程专业二级或以上注册建造师资格，具备有效的安全生产考核合格(B类)证书。</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
          <w:bCs w:val="0"/>
          <w:snapToGrid/>
          <w:color w:val="auto"/>
          <w:kern w:val="2"/>
          <w:sz w:val="24"/>
          <w:szCs w:val="24"/>
          <w:highlight w:val="none"/>
          <w:lang w:val="en-US" w:eastAsia="zh-CN" w:bidi="ar-SA"/>
        </w:rPr>
      </w:pPr>
      <w:r>
        <w:rPr>
          <w:rFonts w:hint="eastAsia" w:ascii="宋体" w:hAnsi="宋体" w:eastAsia="宋体" w:cs="Times New Roman"/>
          <w:b/>
          <w:bCs w:val="0"/>
          <w:snapToGrid/>
          <w:color w:val="auto"/>
          <w:kern w:val="2"/>
          <w:sz w:val="24"/>
          <w:szCs w:val="24"/>
          <w:highlight w:val="none"/>
          <w:lang w:val="en-US" w:eastAsia="zh-CN" w:bidi="ar-SA"/>
        </w:rPr>
        <w:t>三、获取采购文件：</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1、时间：</w:t>
      </w:r>
      <w:bookmarkStart w:id="21" w:name="_GoBack"/>
      <w:r>
        <w:rPr>
          <w:rFonts w:hint="eastAsia" w:ascii="宋体" w:hAnsi="宋体" w:eastAsia="宋体" w:cs="Times New Roman"/>
          <w:bCs/>
          <w:snapToGrid/>
          <w:color w:val="auto"/>
          <w:kern w:val="2"/>
          <w:sz w:val="24"/>
          <w:szCs w:val="24"/>
          <w:highlight w:val="none"/>
          <w:lang w:val="en-US" w:eastAsia="zh-CN" w:bidi="ar-SA"/>
        </w:rPr>
        <w:t>自</w:t>
      </w:r>
      <w:r>
        <w:rPr>
          <w:rFonts w:hint="eastAsia" w:ascii="宋体" w:hAnsi="宋体" w:cs="Times New Roman"/>
          <w:bCs/>
          <w:snapToGrid/>
          <w:color w:val="auto"/>
          <w:kern w:val="2"/>
          <w:sz w:val="24"/>
          <w:szCs w:val="24"/>
          <w:highlight w:val="none"/>
          <w:lang w:val="en-US" w:eastAsia="zh-CN" w:bidi="ar-SA"/>
        </w:rPr>
        <w:t>磋商</w:t>
      </w:r>
      <w:r>
        <w:rPr>
          <w:rFonts w:hint="eastAsia" w:ascii="宋体" w:hAnsi="宋体" w:eastAsia="宋体" w:cs="Times New Roman"/>
          <w:bCs/>
          <w:snapToGrid/>
          <w:color w:val="auto"/>
          <w:kern w:val="2"/>
          <w:sz w:val="24"/>
          <w:szCs w:val="24"/>
          <w:highlight w:val="none"/>
          <w:lang w:val="en-US" w:eastAsia="zh-CN" w:bidi="ar-SA"/>
        </w:rPr>
        <w:t>告</w:t>
      </w:r>
      <w:r>
        <w:rPr>
          <w:rFonts w:hint="eastAsia" w:ascii="宋体" w:hAnsi="宋体" w:eastAsia="宋体" w:cs="Times New Roman"/>
          <w:bCs/>
          <w:snapToGrid/>
          <w:color w:val="auto"/>
          <w:kern w:val="2"/>
          <w:sz w:val="24"/>
          <w:szCs w:val="24"/>
          <w:highlight w:val="none"/>
          <w:lang w:val="en-US" w:eastAsia="zh-CN" w:bidi="ar-SA"/>
        </w:rPr>
        <w:t>发布之日起至</w:t>
      </w:r>
      <w:r>
        <w:rPr>
          <w:rFonts w:hint="eastAsia" w:ascii="宋体" w:hAnsi="宋体" w:eastAsia="宋体" w:cs="宋体"/>
          <w:color w:val="auto"/>
          <w:sz w:val="24"/>
          <w:szCs w:val="24"/>
          <w:shd w:val="clear" w:fill="FFFFFF"/>
        </w:rPr>
        <w:t>磋商响应</w:t>
      </w:r>
      <w:r>
        <w:rPr>
          <w:rFonts w:hint="eastAsia" w:ascii="宋体" w:hAnsi="宋体" w:eastAsia="宋体" w:cs="Times New Roman"/>
          <w:bCs/>
          <w:snapToGrid/>
          <w:color w:val="auto"/>
          <w:kern w:val="2"/>
          <w:sz w:val="24"/>
          <w:szCs w:val="24"/>
          <w:highlight w:val="none"/>
          <w:lang w:val="en-US" w:eastAsia="zh-CN" w:bidi="ar-SA"/>
        </w:rPr>
        <w:t>文</w:t>
      </w:r>
      <w:r>
        <w:rPr>
          <w:rFonts w:hint="eastAsia" w:ascii="宋体" w:hAnsi="宋体" w:eastAsia="宋体" w:cs="Times New Roman"/>
          <w:bCs/>
          <w:snapToGrid/>
          <w:color w:val="auto"/>
          <w:kern w:val="2"/>
          <w:sz w:val="24"/>
          <w:szCs w:val="24"/>
          <w:highlight w:val="none"/>
          <w:lang w:val="en-US" w:eastAsia="zh-CN" w:bidi="ar-SA"/>
        </w:rPr>
        <w:t>件提交截止时间止</w:t>
      </w:r>
      <w:bookmarkEnd w:id="21"/>
      <w:r>
        <w:rPr>
          <w:rFonts w:hint="eastAsia" w:ascii="宋体" w:hAnsi="宋体" w:eastAsia="宋体" w:cs="Times New Roman"/>
          <w:bCs/>
          <w:snapToGrid/>
          <w:color w:val="auto"/>
          <w:kern w:val="2"/>
          <w:sz w:val="24"/>
          <w:szCs w:val="24"/>
          <w:highlight w:val="none"/>
          <w:lang w:val="en-US" w:eastAsia="zh-CN" w:bidi="ar-SA"/>
        </w:rPr>
        <w:t>。</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2、地点：铜陵市公共资源交易信息网“非进场交易项目信息公开”。</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3、方式：网上下载。</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4、售价：0元。</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供应商应在铜陵市公共资源交易信息网站（网址：http：//ggzyjyzx.tl.gov.cn）“非进场交易项目信息公开栏”自行免费下载采购文件，采购文件如有修正，将在该网站补充公告栏公布，与本磋商文件具有同等效力。</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
          <w:bCs w:val="0"/>
          <w:snapToGrid/>
          <w:color w:val="auto"/>
          <w:kern w:val="2"/>
          <w:sz w:val="24"/>
          <w:szCs w:val="24"/>
          <w:highlight w:val="none"/>
          <w:lang w:val="en-US" w:eastAsia="zh-CN" w:bidi="ar-SA"/>
        </w:rPr>
      </w:pPr>
      <w:r>
        <w:rPr>
          <w:rFonts w:hint="eastAsia" w:ascii="宋体" w:hAnsi="宋体" w:eastAsia="宋体" w:cs="Times New Roman"/>
          <w:b/>
          <w:bCs w:val="0"/>
          <w:snapToGrid/>
          <w:color w:val="auto"/>
          <w:kern w:val="2"/>
          <w:sz w:val="24"/>
          <w:szCs w:val="24"/>
          <w:highlight w:val="none"/>
          <w:lang w:val="en-US" w:eastAsia="zh-CN" w:bidi="ar-SA"/>
        </w:rPr>
        <w:t>四、响应文件提交（现场提交）</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提交响应文件截止时间：202</w:t>
      </w:r>
      <w:r>
        <w:rPr>
          <w:rFonts w:hint="eastAsia" w:ascii="宋体" w:hAnsi="宋体" w:cs="Times New Roman"/>
          <w:bCs/>
          <w:snapToGrid/>
          <w:color w:val="auto"/>
          <w:kern w:val="2"/>
          <w:sz w:val="24"/>
          <w:szCs w:val="24"/>
          <w:highlight w:val="none"/>
          <w:lang w:val="en-US" w:eastAsia="zh-CN" w:bidi="ar-SA"/>
        </w:rPr>
        <w:t>3</w:t>
      </w:r>
      <w:r>
        <w:rPr>
          <w:rFonts w:hint="eastAsia" w:ascii="宋体" w:hAnsi="宋体" w:eastAsia="宋体" w:cs="Times New Roman"/>
          <w:bCs/>
          <w:snapToGrid/>
          <w:color w:val="auto"/>
          <w:kern w:val="2"/>
          <w:sz w:val="24"/>
          <w:szCs w:val="24"/>
          <w:highlight w:val="none"/>
          <w:lang w:val="en-US" w:eastAsia="zh-CN" w:bidi="ar-SA"/>
        </w:rPr>
        <w:t>年</w:t>
      </w:r>
      <w:r>
        <w:rPr>
          <w:rFonts w:hint="eastAsia" w:ascii="宋体" w:hAnsi="宋体" w:cs="Times New Roman"/>
          <w:bCs/>
          <w:snapToGrid/>
          <w:color w:val="auto"/>
          <w:kern w:val="2"/>
          <w:sz w:val="24"/>
          <w:szCs w:val="24"/>
          <w:highlight w:val="none"/>
          <w:lang w:val="en-US" w:eastAsia="zh-CN" w:bidi="ar-SA"/>
        </w:rPr>
        <w:t>12</w:t>
      </w:r>
      <w:r>
        <w:rPr>
          <w:rFonts w:hint="eastAsia" w:ascii="宋体" w:hAnsi="宋体" w:eastAsia="宋体" w:cs="Times New Roman"/>
          <w:bCs/>
          <w:snapToGrid/>
          <w:color w:val="auto"/>
          <w:kern w:val="2"/>
          <w:sz w:val="24"/>
          <w:szCs w:val="24"/>
          <w:highlight w:val="none"/>
          <w:lang w:val="en-US" w:eastAsia="zh-CN" w:bidi="ar-SA"/>
        </w:rPr>
        <w:t>月</w:t>
      </w:r>
      <w:r>
        <w:rPr>
          <w:rFonts w:hint="eastAsia" w:ascii="宋体" w:hAnsi="宋体" w:cs="Times New Roman"/>
          <w:bCs/>
          <w:snapToGrid/>
          <w:color w:val="auto"/>
          <w:kern w:val="2"/>
          <w:sz w:val="24"/>
          <w:szCs w:val="24"/>
          <w:highlight w:val="none"/>
          <w:lang w:val="en-US" w:eastAsia="zh-CN" w:bidi="ar-SA"/>
        </w:rPr>
        <w:t>29</w:t>
      </w:r>
      <w:r>
        <w:rPr>
          <w:rFonts w:hint="eastAsia" w:ascii="宋体" w:hAnsi="宋体" w:eastAsia="宋体" w:cs="Times New Roman"/>
          <w:bCs/>
          <w:snapToGrid/>
          <w:color w:val="auto"/>
          <w:kern w:val="2"/>
          <w:sz w:val="24"/>
          <w:szCs w:val="24"/>
          <w:highlight w:val="none"/>
          <w:lang w:val="en-US" w:eastAsia="zh-CN" w:bidi="ar-SA"/>
        </w:rPr>
        <w:t>日</w:t>
      </w:r>
      <w:r>
        <w:rPr>
          <w:rFonts w:hint="eastAsia" w:ascii="宋体" w:hAnsi="宋体" w:cs="Times New Roman"/>
          <w:bCs/>
          <w:snapToGrid/>
          <w:color w:val="auto"/>
          <w:kern w:val="2"/>
          <w:sz w:val="24"/>
          <w:szCs w:val="24"/>
          <w:highlight w:val="none"/>
          <w:lang w:val="en-US" w:eastAsia="zh-CN" w:bidi="ar-SA"/>
        </w:rPr>
        <w:t>8</w:t>
      </w:r>
      <w:r>
        <w:rPr>
          <w:rFonts w:hint="eastAsia" w:ascii="宋体" w:hAnsi="宋体" w:eastAsia="宋体" w:cs="Times New Roman"/>
          <w:bCs/>
          <w:snapToGrid/>
          <w:color w:val="auto"/>
          <w:kern w:val="2"/>
          <w:sz w:val="24"/>
          <w:szCs w:val="24"/>
          <w:highlight w:val="none"/>
          <w:lang w:val="en-US" w:eastAsia="zh-CN" w:bidi="ar-SA"/>
        </w:rPr>
        <w:t>:00</w:t>
      </w:r>
      <w:r>
        <w:rPr>
          <w:rFonts w:hint="eastAsia" w:ascii="宋体" w:hAnsi="宋体" w:cs="Times New Roman"/>
          <w:bCs/>
          <w:snapToGrid/>
          <w:color w:val="auto"/>
          <w:kern w:val="2"/>
          <w:sz w:val="24"/>
          <w:szCs w:val="24"/>
          <w:highlight w:val="none"/>
          <w:lang w:val="en-US" w:eastAsia="zh-CN" w:bidi="ar-SA"/>
        </w:rPr>
        <w:t>至</w:t>
      </w:r>
      <w:r>
        <w:rPr>
          <w:rFonts w:hint="eastAsia" w:ascii="宋体" w:hAnsi="宋体" w:eastAsia="宋体" w:cs="Times New Roman"/>
          <w:bCs/>
          <w:snapToGrid/>
          <w:color w:val="auto"/>
          <w:kern w:val="2"/>
          <w:sz w:val="24"/>
          <w:szCs w:val="24"/>
          <w:highlight w:val="none"/>
          <w:lang w:val="en-US" w:eastAsia="zh-CN" w:bidi="ar-SA"/>
        </w:rPr>
        <w:t>202</w:t>
      </w:r>
      <w:r>
        <w:rPr>
          <w:rFonts w:hint="eastAsia" w:ascii="宋体" w:hAnsi="宋体" w:cs="Times New Roman"/>
          <w:bCs/>
          <w:snapToGrid/>
          <w:color w:val="auto"/>
          <w:kern w:val="2"/>
          <w:sz w:val="24"/>
          <w:szCs w:val="24"/>
          <w:highlight w:val="none"/>
          <w:lang w:val="en-US" w:eastAsia="zh-CN" w:bidi="ar-SA"/>
        </w:rPr>
        <w:t>3</w:t>
      </w:r>
      <w:r>
        <w:rPr>
          <w:rFonts w:hint="eastAsia" w:ascii="宋体" w:hAnsi="宋体" w:eastAsia="宋体" w:cs="Times New Roman"/>
          <w:bCs/>
          <w:snapToGrid/>
          <w:color w:val="auto"/>
          <w:kern w:val="2"/>
          <w:sz w:val="24"/>
          <w:szCs w:val="24"/>
          <w:highlight w:val="none"/>
          <w:lang w:val="en-US" w:eastAsia="zh-CN" w:bidi="ar-SA"/>
        </w:rPr>
        <w:t>年</w:t>
      </w:r>
      <w:r>
        <w:rPr>
          <w:rFonts w:hint="eastAsia" w:ascii="宋体" w:hAnsi="宋体" w:cs="Times New Roman"/>
          <w:bCs/>
          <w:snapToGrid/>
          <w:color w:val="auto"/>
          <w:kern w:val="2"/>
          <w:sz w:val="24"/>
          <w:szCs w:val="24"/>
          <w:highlight w:val="none"/>
          <w:lang w:val="en-US" w:eastAsia="zh-CN" w:bidi="ar-SA"/>
        </w:rPr>
        <w:t>12</w:t>
      </w:r>
      <w:r>
        <w:rPr>
          <w:rFonts w:hint="eastAsia" w:ascii="宋体" w:hAnsi="宋体" w:eastAsia="宋体" w:cs="Times New Roman"/>
          <w:bCs/>
          <w:snapToGrid/>
          <w:color w:val="auto"/>
          <w:kern w:val="2"/>
          <w:sz w:val="24"/>
          <w:szCs w:val="24"/>
          <w:highlight w:val="none"/>
          <w:lang w:val="en-US" w:eastAsia="zh-CN" w:bidi="ar-SA"/>
        </w:rPr>
        <w:t>月</w:t>
      </w:r>
      <w:r>
        <w:rPr>
          <w:rFonts w:hint="eastAsia" w:ascii="宋体" w:hAnsi="宋体" w:cs="Times New Roman"/>
          <w:bCs/>
          <w:snapToGrid/>
          <w:color w:val="auto"/>
          <w:kern w:val="2"/>
          <w:sz w:val="24"/>
          <w:szCs w:val="24"/>
          <w:highlight w:val="none"/>
          <w:lang w:val="en-US" w:eastAsia="zh-CN" w:bidi="ar-SA"/>
        </w:rPr>
        <w:t>29</w:t>
      </w:r>
      <w:r>
        <w:rPr>
          <w:rFonts w:hint="eastAsia" w:ascii="宋体" w:hAnsi="宋体" w:eastAsia="宋体" w:cs="Times New Roman"/>
          <w:bCs/>
          <w:snapToGrid/>
          <w:color w:val="auto"/>
          <w:kern w:val="2"/>
          <w:sz w:val="24"/>
          <w:szCs w:val="24"/>
          <w:highlight w:val="none"/>
          <w:lang w:val="en-US" w:eastAsia="zh-CN" w:bidi="ar-SA"/>
        </w:rPr>
        <w:t xml:space="preserve">日9:00（注：距磋商文件发售开始时间不少于10日） </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地点：</w:t>
      </w:r>
      <w:r>
        <w:rPr>
          <w:rFonts w:hint="eastAsia" w:ascii="宋体" w:hAnsi="宋体" w:cs="Times New Roman"/>
          <w:bCs/>
          <w:snapToGrid/>
          <w:color w:val="auto"/>
          <w:kern w:val="2"/>
          <w:sz w:val="24"/>
          <w:szCs w:val="24"/>
          <w:highlight w:val="none"/>
          <w:lang w:val="en-US" w:eastAsia="zh-CN" w:bidi="ar-SA"/>
        </w:rPr>
        <w:t>安徽省</w:t>
      </w:r>
      <w:r>
        <w:rPr>
          <w:rFonts w:hint="eastAsia" w:ascii="宋体" w:hAnsi="宋体" w:eastAsia="宋体" w:cs="Times New Roman"/>
          <w:bCs/>
          <w:snapToGrid/>
          <w:color w:val="auto"/>
          <w:kern w:val="2"/>
          <w:sz w:val="24"/>
          <w:szCs w:val="24"/>
          <w:highlight w:val="none"/>
          <w:lang w:val="en-US" w:eastAsia="zh-CN" w:bidi="ar-SA"/>
        </w:rPr>
        <w:t>铜陵市枞阳县枞阳镇中海大厦15楼</w:t>
      </w:r>
      <w:r>
        <w:rPr>
          <w:rFonts w:hint="eastAsia" w:ascii="宋体" w:hAnsi="宋体" w:cs="Times New Roman"/>
          <w:bCs/>
          <w:snapToGrid/>
          <w:color w:val="auto"/>
          <w:kern w:val="2"/>
          <w:sz w:val="24"/>
          <w:szCs w:val="24"/>
          <w:highlight w:val="none"/>
          <w:lang w:val="en-US" w:eastAsia="zh-CN" w:bidi="ar-SA"/>
        </w:rPr>
        <w:t>(</w:t>
      </w:r>
      <w:r>
        <w:rPr>
          <w:rFonts w:hint="eastAsia" w:ascii="宋体" w:hAnsi="宋体" w:eastAsia="宋体" w:cs="Times New Roman"/>
          <w:bCs/>
          <w:snapToGrid/>
          <w:color w:val="auto"/>
          <w:kern w:val="2"/>
          <w:sz w:val="24"/>
          <w:szCs w:val="24"/>
          <w:highlight w:val="none"/>
          <w:lang w:val="en-US" w:eastAsia="zh-CN" w:bidi="ar-SA"/>
        </w:rPr>
        <w:t>安徽怡萱建筑有限公司</w:t>
      </w:r>
      <w:r>
        <w:rPr>
          <w:rFonts w:hint="eastAsia" w:ascii="宋体" w:hAnsi="宋体" w:cs="Times New Roman"/>
          <w:bCs/>
          <w:snapToGrid/>
          <w:color w:val="auto"/>
          <w:kern w:val="2"/>
          <w:sz w:val="24"/>
          <w:szCs w:val="24"/>
          <w:highlight w:val="none"/>
          <w:lang w:val="en-US" w:eastAsia="zh-CN" w:bidi="ar-SA"/>
        </w:rPr>
        <w:t>)</w:t>
      </w:r>
      <w:r>
        <w:rPr>
          <w:rFonts w:hint="eastAsia" w:ascii="宋体" w:hAnsi="宋体" w:eastAsia="宋体" w:cs="Times New Roman"/>
          <w:bCs/>
          <w:snapToGrid/>
          <w:color w:val="auto"/>
          <w:kern w:val="2"/>
          <w:sz w:val="24"/>
          <w:szCs w:val="24"/>
          <w:highlight w:val="none"/>
          <w:lang w:val="en-US" w:eastAsia="zh-CN" w:bidi="ar-SA"/>
        </w:rPr>
        <w:t xml:space="preserve"> </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
          <w:bCs w:val="0"/>
          <w:snapToGrid/>
          <w:color w:val="auto"/>
          <w:kern w:val="2"/>
          <w:sz w:val="24"/>
          <w:szCs w:val="24"/>
          <w:highlight w:val="none"/>
          <w:lang w:val="en-US" w:eastAsia="zh-CN" w:bidi="ar-SA"/>
        </w:rPr>
      </w:pPr>
      <w:r>
        <w:rPr>
          <w:rFonts w:hint="eastAsia" w:ascii="宋体" w:hAnsi="宋体" w:eastAsia="宋体" w:cs="Times New Roman"/>
          <w:b/>
          <w:bCs w:val="0"/>
          <w:snapToGrid/>
          <w:color w:val="auto"/>
          <w:kern w:val="2"/>
          <w:sz w:val="24"/>
          <w:szCs w:val="24"/>
          <w:highlight w:val="none"/>
          <w:lang w:val="en-US" w:eastAsia="zh-CN" w:bidi="ar-SA"/>
        </w:rPr>
        <w:t>五、开启</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时间：202</w:t>
      </w:r>
      <w:r>
        <w:rPr>
          <w:rFonts w:hint="eastAsia" w:ascii="宋体" w:hAnsi="宋体" w:cs="Times New Roman"/>
          <w:bCs/>
          <w:snapToGrid/>
          <w:color w:val="auto"/>
          <w:kern w:val="2"/>
          <w:sz w:val="24"/>
          <w:szCs w:val="24"/>
          <w:highlight w:val="none"/>
          <w:lang w:val="en-US" w:eastAsia="zh-CN" w:bidi="ar-SA"/>
        </w:rPr>
        <w:t>3</w:t>
      </w:r>
      <w:r>
        <w:rPr>
          <w:rFonts w:hint="eastAsia" w:ascii="宋体" w:hAnsi="宋体" w:eastAsia="宋体" w:cs="Times New Roman"/>
          <w:bCs/>
          <w:snapToGrid/>
          <w:color w:val="auto"/>
          <w:kern w:val="2"/>
          <w:sz w:val="24"/>
          <w:szCs w:val="24"/>
          <w:highlight w:val="none"/>
          <w:lang w:val="en-US" w:eastAsia="zh-CN" w:bidi="ar-SA"/>
        </w:rPr>
        <w:t>年</w:t>
      </w:r>
      <w:r>
        <w:rPr>
          <w:rFonts w:hint="eastAsia" w:ascii="宋体" w:hAnsi="宋体" w:cs="Times New Roman"/>
          <w:bCs/>
          <w:snapToGrid/>
          <w:color w:val="auto"/>
          <w:kern w:val="2"/>
          <w:sz w:val="24"/>
          <w:szCs w:val="24"/>
          <w:highlight w:val="none"/>
          <w:lang w:val="en-US" w:eastAsia="zh-CN" w:bidi="ar-SA"/>
        </w:rPr>
        <w:t>12</w:t>
      </w:r>
      <w:r>
        <w:rPr>
          <w:rFonts w:hint="eastAsia" w:ascii="宋体" w:hAnsi="宋体" w:eastAsia="宋体" w:cs="Times New Roman"/>
          <w:bCs/>
          <w:snapToGrid/>
          <w:color w:val="auto"/>
          <w:kern w:val="2"/>
          <w:sz w:val="24"/>
          <w:szCs w:val="24"/>
          <w:highlight w:val="none"/>
          <w:lang w:val="en-US" w:eastAsia="zh-CN" w:bidi="ar-SA"/>
        </w:rPr>
        <w:t>月</w:t>
      </w:r>
      <w:r>
        <w:rPr>
          <w:rFonts w:hint="eastAsia" w:ascii="宋体" w:hAnsi="宋体" w:cs="Times New Roman"/>
          <w:bCs/>
          <w:snapToGrid/>
          <w:color w:val="auto"/>
          <w:kern w:val="2"/>
          <w:sz w:val="24"/>
          <w:szCs w:val="24"/>
          <w:highlight w:val="none"/>
          <w:lang w:val="en-US" w:eastAsia="zh-CN" w:bidi="ar-SA"/>
        </w:rPr>
        <w:t>29</w:t>
      </w:r>
      <w:r>
        <w:rPr>
          <w:rFonts w:hint="eastAsia" w:ascii="宋体" w:hAnsi="宋体" w:eastAsia="宋体" w:cs="Times New Roman"/>
          <w:bCs/>
          <w:snapToGrid/>
          <w:color w:val="auto"/>
          <w:kern w:val="2"/>
          <w:sz w:val="24"/>
          <w:szCs w:val="24"/>
          <w:highlight w:val="none"/>
          <w:lang w:val="en-US" w:eastAsia="zh-CN" w:bidi="ar-SA"/>
        </w:rPr>
        <w:t>日 9:00</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地点：</w:t>
      </w:r>
      <w:r>
        <w:rPr>
          <w:rFonts w:hint="eastAsia" w:ascii="宋体" w:hAnsi="宋体" w:cs="Times New Roman"/>
          <w:bCs/>
          <w:snapToGrid/>
          <w:color w:val="auto"/>
          <w:kern w:val="2"/>
          <w:sz w:val="24"/>
          <w:szCs w:val="24"/>
          <w:highlight w:val="none"/>
          <w:lang w:val="en-US" w:eastAsia="zh-CN" w:bidi="ar-SA"/>
        </w:rPr>
        <w:t>安徽省</w:t>
      </w:r>
      <w:r>
        <w:rPr>
          <w:rFonts w:hint="eastAsia" w:ascii="宋体" w:hAnsi="宋体" w:eastAsia="宋体" w:cs="Times New Roman"/>
          <w:bCs/>
          <w:snapToGrid/>
          <w:color w:val="auto"/>
          <w:kern w:val="2"/>
          <w:sz w:val="24"/>
          <w:szCs w:val="24"/>
          <w:highlight w:val="none"/>
          <w:lang w:val="en-US" w:eastAsia="zh-CN" w:bidi="ar-SA"/>
        </w:rPr>
        <w:t>铜陵市枞阳县枞阳镇中海大厦15楼</w:t>
      </w:r>
      <w:r>
        <w:rPr>
          <w:rFonts w:hint="eastAsia" w:ascii="宋体" w:hAnsi="宋体" w:cs="Times New Roman"/>
          <w:bCs/>
          <w:snapToGrid/>
          <w:color w:val="auto"/>
          <w:kern w:val="2"/>
          <w:sz w:val="24"/>
          <w:szCs w:val="24"/>
          <w:highlight w:val="none"/>
          <w:lang w:val="en-US" w:eastAsia="zh-CN" w:bidi="ar-SA"/>
        </w:rPr>
        <w:t>(</w:t>
      </w:r>
      <w:r>
        <w:rPr>
          <w:rFonts w:hint="eastAsia" w:ascii="宋体" w:hAnsi="宋体" w:eastAsia="宋体" w:cs="Times New Roman"/>
          <w:bCs/>
          <w:snapToGrid/>
          <w:color w:val="auto"/>
          <w:kern w:val="2"/>
          <w:sz w:val="24"/>
          <w:szCs w:val="24"/>
          <w:highlight w:val="none"/>
          <w:lang w:val="en-US" w:eastAsia="zh-CN" w:bidi="ar-SA"/>
        </w:rPr>
        <w:t>安徽怡萱建筑有限公司</w:t>
      </w:r>
      <w:r>
        <w:rPr>
          <w:rFonts w:hint="eastAsia" w:ascii="宋体" w:hAnsi="宋体" w:cs="Times New Roman"/>
          <w:bCs/>
          <w:snapToGrid/>
          <w:color w:val="auto"/>
          <w:kern w:val="2"/>
          <w:sz w:val="24"/>
          <w:szCs w:val="24"/>
          <w:highlight w:val="none"/>
          <w:lang w:val="en-US" w:eastAsia="zh-CN" w:bidi="ar-SA"/>
        </w:rPr>
        <w:t>)</w:t>
      </w:r>
      <w:r>
        <w:rPr>
          <w:rFonts w:hint="eastAsia" w:ascii="宋体" w:hAnsi="宋体" w:eastAsia="宋体" w:cs="Times New Roman"/>
          <w:bCs/>
          <w:snapToGrid/>
          <w:color w:val="auto"/>
          <w:kern w:val="2"/>
          <w:sz w:val="24"/>
          <w:szCs w:val="24"/>
          <w:highlight w:val="none"/>
          <w:lang w:val="en-US" w:eastAsia="zh-CN" w:bidi="ar-SA"/>
        </w:rPr>
        <w:t xml:space="preserve">  </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
          <w:bCs w:val="0"/>
          <w:snapToGrid/>
          <w:color w:val="auto"/>
          <w:kern w:val="2"/>
          <w:sz w:val="24"/>
          <w:szCs w:val="24"/>
          <w:highlight w:val="none"/>
          <w:lang w:val="en-US" w:eastAsia="zh-CN" w:bidi="ar-SA"/>
        </w:rPr>
      </w:pPr>
      <w:r>
        <w:rPr>
          <w:rFonts w:hint="eastAsia" w:ascii="宋体" w:hAnsi="宋体" w:eastAsia="宋体" w:cs="Times New Roman"/>
          <w:b/>
          <w:bCs w:val="0"/>
          <w:snapToGrid/>
          <w:color w:val="auto"/>
          <w:kern w:val="2"/>
          <w:sz w:val="24"/>
          <w:szCs w:val="24"/>
          <w:highlight w:val="none"/>
          <w:lang w:val="en-US" w:eastAsia="zh-CN" w:bidi="ar-SA"/>
        </w:rPr>
        <w:t>六、公告期限</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自本公告发布之日起3个工作日</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
          <w:bCs w:val="0"/>
          <w:snapToGrid/>
          <w:color w:val="auto"/>
          <w:kern w:val="2"/>
          <w:sz w:val="24"/>
          <w:szCs w:val="24"/>
          <w:highlight w:val="none"/>
          <w:lang w:val="en-US" w:eastAsia="zh-CN" w:bidi="ar-SA"/>
        </w:rPr>
      </w:pPr>
      <w:r>
        <w:rPr>
          <w:rFonts w:hint="eastAsia" w:ascii="宋体" w:hAnsi="宋体" w:eastAsia="宋体" w:cs="Times New Roman"/>
          <w:b/>
          <w:bCs w:val="0"/>
          <w:snapToGrid/>
          <w:color w:val="auto"/>
          <w:kern w:val="2"/>
          <w:sz w:val="24"/>
          <w:szCs w:val="24"/>
          <w:highlight w:val="none"/>
          <w:lang w:val="en-US" w:eastAsia="zh-CN" w:bidi="ar-SA"/>
        </w:rPr>
        <w:t>七、其他补充事宜</w:t>
      </w:r>
    </w:p>
    <w:bookmarkEnd w:id="1"/>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1、本项目需落实的节能环保、中小微型企业扶持等相关政府采购政策详见采购文件。</w:t>
      </w:r>
    </w:p>
    <w:p>
      <w:pPr>
        <w:keepNext w:val="0"/>
        <w:keepLines w:val="0"/>
        <w:pageBreakBefore w:val="0"/>
        <w:widowControl w:val="0"/>
        <w:shd w:val="clear" w:color="auto" w:fill="FFFFFF"/>
        <w:kinsoku/>
        <w:wordWrap/>
        <w:overflowPunct/>
        <w:topLinePunct w:val="0"/>
        <w:bidi w:val="0"/>
        <w:adjustRightInd w:val="0"/>
        <w:snapToGrid w:val="0"/>
        <w:spacing w:line="48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2、采购项目的名称、编号、数量、简要规格描述或项目基本概况介绍详见采购需求。</w:t>
      </w:r>
    </w:p>
    <w:p>
      <w:pPr>
        <w:pStyle w:val="31"/>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3、 各供应商可授权委派1名代表参加本项目开标交易活动，被授权单位或个人须携带供应商书面授权委托书(与磋商响应文件中被授权委托人为同一人)、身份证原件， 被授权人仅可代表一家供应商(供应商)递交磋商响应文件。被授权单位或个人不得同时参加二个被授权项目的交易活动。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
          <w:bCs w:val="0"/>
          <w:snapToGrid/>
          <w:color w:val="auto"/>
          <w:kern w:val="2"/>
          <w:sz w:val="24"/>
          <w:szCs w:val="24"/>
          <w:highlight w:val="none"/>
          <w:lang w:val="zh-CN" w:eastAsia="zh-CN" w:bidi="ar-SA"/>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
          <w:bCs w:val="0"/>
          <w:snapToGrid/>
          <w:color w:val="auto"/>
          <w:kern w:val="2"/>
          <w:sz w:val="24"/>
          <w:szCs w:val="24"/>
          <w:highlight w:val="none"/>
          <w:lang w:val="zh-CN" w:eastAsia="zh-CN" w:bidi="ar-SA"/>
        </w:rPr>
      </w:pPr>
      <w:r>
        <w:rPr>
          <w:rFonts w:hint="eastAsia" w:ascii="宋体" w:hAnsi="宋体" w:eastAsia="宋体" w:cs="Times New Roman"/>
          <w:b/>
          <w:bCs w:val="0"/>
          <w:snapToGrid/>
          <w:color w:val="auto"/>
          <w:kern w:val="2"/>
          <w:sz w:val="24"/>
          <w:szCs w:val="24"/>
          <w:highlight w:val="none"/>
          <w:lang w:val="zh-CN" w:eastAsia="zh-CN" w:bidi="ar-SA"/>
        </w:rPr>
        <w:t>八、凡对本次采购提出询问，请按以下方式联系。</w:t>
      </w:r>
      <w:bookmarkEnd w:id="2"/>
      <w:bookmarkEnd w:id="3"/>
      <w:bookmarkEnd w:id="4"/>
      <w:bookmarkEnd w:id="5"/>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1、采购人信息</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 xml:space="preserve">名  称：枞阳县枞阳镇下枞阳社区居委会 </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地  址：枞阳县枞阳镇下枞阳社区</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联系人：</w:t>
      </w:r>
      <w:r>
        <w:rPr>
          <w:rFonts w:hint="eastAsia" w:ascii="宋体" w:hAnsi="宋体" w:cs="Times New Roman"/>
          <w:bCs/>
          <w:snapToGrid/>
          <w:color w:val="auto"/>
          <w:kern w:val="2"/>
          <w:sz w:val="24"/>
          <w:szCs w:val="24"/>
          <w:highlight w:val="none"/>
          <w:lang w:val="en-US" w:eastAsia="zh-CN" w:bidi="ar-SA"/>
        </w:rPr>
        <w:t>汪先生</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联系方式：</w:t>
      </w:r>
      <w:r>
        <w:rPr>
          <w:rFonts w:hint="eastAsia" w:ascii="宋体" w:hAnsi="宋体" w:cs="Times New Roman"/>
          <w:bCs/>
          <w:snapToGrid/>
          <w:color w:val="auto"/>
          <w:kern w:val="2"/>
          <w:sz w:val="24"/>
          <w:szCs w:val="24"/>
          <w:highlight w:val="none"/>
          <w:lang w:val="en-US" w:eastAsia="zh-CN" w:bidi="ar-SA"/>
        </w:rPr>
        <w:t>182 5569 2999</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default" w:ascii="宋体" w:hAnsi="宋体" w:cs="Times New Roman"/>
          <w:bCs/>
          <w:snapToGrid/>
          <w:color w:val="auto"/>
          <w:kern w:val="2"/>
          <w:sz w:val="24"/>
          <w:szCs w:val="24"/>
          <w:highlight w:val="none"/>
          <w:lang w:val="en-US" w:eastAsia="zh-CN" w:bidi="ar-SA"/>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2、采购代理机构信息</w:t>
      </w:r>
    </w:p>
    <w:p>
      <w:pPr>
        <w:pStyle w:val="134"/>
        <w:keepNext w:val="0"/>
        <w:keepLines w:val="0"/>
        <w:pageBreakBefore w:val="0"/>
        <w:widowControl w:val="0"/>
        <w:kinsoku/>
        <w:wordWrap/>
        <w:overflowPunct/>
        <w:topLinePunct w:val="0"/>
        <w:autoSpaceDE/>
        <w:autoSpaceDN/>
        <w:bidi w:val="0"/>
        <w:snapToGrid/>
        <w:spacing w:line="400" w:lineRule="exact"/>
        <w:ind w:firstLine="720" w:firstLineChars="300"/>
        <w:jc w:val="left"/>
        <w:textAlignment w:val="auto"/>
        <w:rPr>
          <w:rFonts w:hint="eastAsia" w:ascii="宋体" w:hAnsi="宋体" w:eastAsia="宋体" w:cs="Times New Roman"/>
          <w:b w:val="0"/>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名  称：安徽怡萱建筑有限公司</w:t>
      </w:r>
    </w:p>
    <w:p>
      <w:pPr>
        <w:pStyle w:val="134"/>
        <w:keepNext w:val="0"/>
        <w:keepLines w:val="0"/>
        <w:pageBreakBefore w:val="0"/>
        <w:widowControl w:val="0"/>
        <w:kinsoku/>
        <w:wordWrap/>
        <w:overflowPunct/>
        <w:topLinePunct w:val="0"/>
        <w:autoSpaceDE/>
        <w:autoSpaceDN/>
        <w:bidi w:val="0"/>
        <w:snapToGrid/>
        <w:spacing w:line="400" w:lineRule="exact"/>
        <w:ind w:firstLine="720" w:firstLineChars="300"/>
        <w:jc w:val="left"/>
        <w:textAlignment w:val="auto"/>
        <w:rPr>
          <w:rFonts w:hint="eastAsia" w:ascii="宋体" w:hAnsi="宋体" w:eastAsia="宋体" w:cs="Times New Roman"/>
          <w:b w:val="0"/>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地  址：铜陵市枞阳县枞阳镇中海大厦15楼</w:t>
      </w:r>
    </w:p>
    <w:p>
      <w:pPr>
        <w:pStyle w:val="134"/>
        <w:keepNext w:val="0"/>
        <w:keepLines w:val="0"/>
        <w:pageBreakBefore w:val="0"/>
        <w:widowControl w:val="0"/>
        <w:kinsoku/>
        <w:wordWrap/>
        <w:overflowPunct/>
        <w:topLinePunct w:val="0"/>
        <w:autoSpaceDE/>
        <w:autoSpaceDN/>
        <w:bidi w:val="0"/>
        <w:snapToGrid/>
        <w:spacing w:line="400" w:lineRule="exact"/>
        <w:ind w:firstLine="720" w:firstLineChars="300"/>
        <w:jc w:val="left"/>
        <w:textAlignment w:val="auto"/>
        <w:rPr>
          <w:rFonts w:hint="eastAsia" w:ascii="宋体" w:hAnsi="宋体" w:eastAsia="宋体" w:cs="Times New Roman"/>
          <w:b w:val="0"/>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联系人：</w:t>
      </w:r>
      <w:r>
        <w:rPr>
          <w:rFonts w:hint="eastAsia" w:cs="Times New Roman"/>
          <w:b w:val="0"/>
          <w:bCs/>
          <w:snapToGrid/>
          <w:color w:val="auto"/>
          <w:kern w:val="2"/>
          <w:sz w:val="24"/>
          <w:szCs w:val="24"/>
          <w:highlight w:val="none"/>
          <w:lang w:val="en-US" w:eastAsia="zh-CN" w:bidi="ar-SA"/>
        </w:rPr>
        <w:t>夏</w:t>
      </w:r>
      <w:r>
        <w:rPr>
          <w:rFonts w:hint="eastAsia" w:ascii="宋体" w:hAnsi="宋体" w:eastAsia="宋体" w:cs="Times New Roman"/>
          <w:b w:val="0"/>
          <w:bCs/>
          <w:snapToGrid/>
          <w:color w:val="auto"/>
          <w:kern w:val="2"/>
          <w:sz w:val="24"/>
          <w:szCs w:val="24"/>
          <w:highlight w:val="none"/>
          <w:lang w:val="en-US" w:eastAsia="zh-CN" w:bidi="ar-SA"/>
        </w:rPr>
        <w:t>工</w:t>
      </w:r>
    </w:p>
    <w:p>
      <w:pPr>
        <w:pStyle w:val="134"/>
        <w:keepNext w:val="0"/>
        <w:keepLines w:val="0"/>
        <w:pageBreakBefore w:val="0"/>
        <w:widowControl w:val="0"/>
        <w:kinsoku/>
        <w:wordWrap/>
        <w:overflowPunct/>
        <w:topLinePunct w:val="0"/>
        <w:autoSpaceDE/>
        <w:autoSpaceDN/>
        <w:bidi w:val="0"/>
        <w:snapToGrid/>
        <w:spacing w:line="400" w:lineRule="exact"/>
        <w:ind w:firstLine="720" w:firstLineChars="300"/>
        <w:jc w:val="left"/>
        <w:textAlignment w:val="auto"/>
        <w:rPr>
          <w:rFonts w:hint="eastAsia" w:cs="Times New Roman"/>
          <w:b w:val="0"/>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联系方式：</w:t>
      </w:r>
      <w:r>
        <w:rPr>
          <w:rFonts w:hint="eastAsia" w:cs="Times New Roman"/>
          <w:b w:val="0"/>
          <w:bCs/>
          <w:snapToGrid/>
          <w:color w:val="auto"/>
          <w:kern w:val="2"/>
          <w:sz w:val="24"/>
          <w:szCs w:val="24"/>
          <w:highlight w:val="none"/>
          <w:lang w:val="en-US" w:eastAsia="zh-CN" w:bidi="ar-SA"/>
        </w:rPr>
        <w:t>177 3028 6557</w:t>
      </w:r>
    </w:p>
    <w:p>
      <w:pPr>
        <w:pStyle w:val="134"/>
        <w:keepNext w:val="0"/>
        <w:keepLines w:val="0"/>
        <w:pageBreakBefore w:val="0"/>
        <w:widowControl w:val="0"/>
        <w:kinsoku/>
        <w:wordWrap/>
        <w:overflowPunct/>
        <w:topLinePunct w:val="0"/>
        <w:autoSpaceDE/>
        <w:autoSpaceDN/>
        <w:bidi w:val="0"/>
        <w:snapToGrid/>
        <w:spacing w:line="400" w:lineRule="exact"/>
        <w:ind w:firstLine="720" w:firstLineChars="300"/>
        <w:jc w:val="left"/>
        <w:textAlignment w:val="auto"/>
        <w:rPr>
          <w:rFonts w:hint="default" w:cs="Times New Roman"/>
          <w:b w:val="0"/>
          <w:bCs/>
          <w:snapToGrid/>
          <w:color w:val="auto"/>
          <w:kern w:val="2"/>
          <w:sz w:val="24"/>
          <w:szCs w:val="24"/>
          <w:highlight w:val="none"/>
          <w:lang w:val="en-US" w:eastAsia="zh-CN" w:bidi="ar-SA"/>
        </w:rPr>
      </w:pPr>
    </w:p>
    <w:p>
      <w:pPr>
        <w:pStyle w:val="134"/>
        <w:keepNext w:val="0"/>
        <w:keepLines w:val="0"/>
        <w:pageBreakBefore w:val="0"/>
        <w:widowControl w:val="0"/>
        <w:kinsoku/>
        <w:wordWrap/>
        <w:overflowPunct/>
        <w:topLinePunct w:val="0"/>
        <w:autoSpaceDE/>
        <w:autoSpaceDN/>
        <w:bidi w:val="0"/>
        <w:snapToGrid/>
        <w:spacing w:line="400" w:lineRule="exact"/>
        <w:ind w:firstLine="480" w:firstLineChars="200"/>
        <w:jc w:val="left"/>
        <w:textAlignment w:val="auto"/>
        <w:rPr>
          <w:rFonts w:hint="eastAsia" w:ascii="宋体" w:hAnsi="宋体" w:eastAsia="宋体" w:cs="Times New Roman"/>
          <w:b w:val="0"/>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3、项目联系方式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cs="Times New Roman"/>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项目联系人：</w:t>
      </w:r>
      <w:r>
        <w:rPr>
          <w:rFonts w:hint="eastAsia" w:ascii="宋体" w:hAnsi="宋体" w:cs="Times New Roman"/>
          <w:bCs/>
          <w:snapToGrid/>
          <w:color w:val="auto"/>
          <w:kern w:val="2"/>
          <w:sz w:val="24"/>
          <w:szCs w:val="24"/>
          <w:highlight w:val="none"/>
          <w:lang w:val="en-US" w:eastAsia="zh-CN" w:bidi="ar-SA"/>
        </w:rPr>
        <w:t xml:space="preserve">汪先生 </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cs="Times New Roman"/>
          <w:bCs/>
          <w:snapToGrid/>
          <w:color w:val="auto"/>
          <w:kern w:val="2"/>
          <w:sz w:val="24"/>
          <w:szCs w:val="24"/>
          <w:highlight w:val="none"/>
          <w:lang w:val="en-US" w:eastAsia="zh-CN" w:bidi="ar-SA"/>
        </w:rPr>
      </w:pPr>
      <w:r>
        <w:rPr>
          <w:rFonts w:hint="eastAsia" w:ascii="宋体" w:hAnsi="宋体" w:eastAsia="宋体" w:cs="Times New Roman"/>
          <w:b w:val="0"/>
          <w:bCs/>
          <w:snapToGrid/>
          <w:color w:val="auto"/>
          <w:kern w:val="2"/>
          <w:sz w:val="24"/>
          <w:szCs w:val="24"/>
          <w:highlight w:val="none"/>
          <w:lang w:val="en-US" w:eastAsia="zh-CN" w:bidi="ar-SA"/>
        </w:rPr>
        <w:t>电  话：</w:t>
      </w:r>
      <w:r>
        <w:rPr>
          <w:rFonts w:hint="eastAsia" w:ascii="宋体" w:hAnsi="宋体" w:cs="Times New Roman"/>
          <w:bCs/>
          <w:snapToGrid/>
          <w:color w:val="auto"/>
          <w:kern w:val="2"/>
          <w:sz w:val="24"/>
          <w:szCs w:val="24"/>
          <w:highlight w:val="none"/>
          <w:lang w:val="en-US" w:eastAsia="zh-CN" w:bidi="ar-SA"/>
        </w:rPr>
        <w:t>182 5569 2999</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cs="Times New Roman"/>
          <w:bCs/>
          <w:snapToGrid/>
          <w:color w:val="auto"/>
          <w:kern w:val="2"/>
          <w:sz w:val="24"/>
          <w:szCs w:val="24"/>
          <w:highlight w:val="none"/>
          <w:lang w:val="en-US" w:eastAsia="zh-CN" w:bidi="ar-SA"/>
        </w:rPr>
      </w:pPr>
      <w:r>
        <w:rPr>
          <w:rFonts w:hint="eastAsia" w:ascii="宋体" w:hAnsi="宋体" w:cs="Times New Roman"/>
          <w:bCs/>
          <w:snapToGrid/>
          <w:color w:val="auto"/>
          <w:kern w:val="2"/>
          <w:sz w:val="24"/>
          <w:szCs w:val="24"/>
          <w:highlight w:val="none"/>
          <w:lang w:val="en-US" w:eastAsia="zh-CN" w:bidi="ar-SA"/>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ind w:firstLine="643"/>
        <w:textAlignment w:val="auto"/>
        <w:rPr>
          <w:rFonts w:hint="eastAsia" w:ascii="宋体" w:hAnsi="宋体" w:eastAsia="宋体" w:cs="Times New Roman"/>
          <w:b/>
          <w:bCs w:val="0"/>
          <w:snapToGrid/>
          <w:color w:val="auto"/>
          <w:kern w:val="2"/>
          <w:sz w:val="24"/>
          <w:szCs w:val="24"/>
          <w:highlight w:val="none"/>
          <w:lang w:val="zh-CN" w:eastAsia="zh-CN" w:bidi="ar-SA"/>
        </w:rPr>
      </w:pPr>
      <w:r>
        <w:rPr>
          <w:rFonts w:hint="eastAsia" w:ascii="宋体" w:hAnsi="宋体" w:eastAsia="宋体" w:cs="Times New Roman"/>
          <w:b/>
          <w:bCs w:val="0"/>
          <w:snapToGrid/>
          <w:color w:val="auto"/>
          <w:kern w:val="2"/>
          <w:sz w:val="24"/>
          <w:szCs w:val="24"/>
          <w:highlight w:val="none"/>
          <w:lang w:val="zh-CN" w:eastAsia="zh-CN" w:bidi="ar-SA"/>
        </w:rPr>
        <w:t>九、 投标保证金</w:t>
      </w:r>
    </w:p>
    <w:tbl>
      <w:tblPr>
        <w:tblStyle w:val="161"/>
        <w:tblW w:w="8878"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2"/>
        <w:gridCol w:w="6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392" w:type="dxa"/>
            <w:vAlign w:val="top"/>
          </w:tcPr>
          <w:p>
            <w:pPr>
              <w:spacing w:before="147" w:line="220" w:lineRule="auto"/>
              <w:ind w:left="604"/>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户名</w:t>
            </w:r>
          </w:p>
        </w:tc>
        <w:tc>
          <w:tcPr>
            <w:tcW w:w="6486" w:type="dxa"/>
            <w:vAlign w:val="top"/>
          </w:tcPr>
          <w:p>
            <w:pPr>
              <w:spacing w:before="146" w:line="219"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安徽怡萱建筑有限公司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2392" w:type="dxa"/>
            <w:vAlign w:val="top"/>
          </w:tcPr>
          <w:p>
            <w:pPr>
              <w:spacing w:before="154" w:line="221" w:lineRule="auto"/>
              <w:ind w:left="60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账号</w:t>
            </w:r>
          </w:p>
        </w:tc>
        <w:tc>
          <w:tcPr>
            <w:tcW w:w="6486" w:type="dxa"/>
            <w:vAlign w:val="top"/>
          </w:tcPr>
          <w:p>
            <w:pPr>
              <w:spacing w:before="223" w:line="184" w:lineRule="auto"/>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1797 5109 3927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392" w:type="dxa"/>
            <w:vAlign w:val="top"/>
          </w:tcPr>
          <w:p>
            <w:pPr>
              <w:spacing w:before="144" w:line="220" w:lineRule="auto"/>
              <w:ind w:left="62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开户银行</w:t>
            </w:r>
          </w:p>
        </w:tc>
        <w:tc>
          <w:tcPr>
            <w:tcW w:w="6486" w:type="dxa"/>
            <w:vAlign w:val="top"/>
          </w:tcPr>
          <w:p>
            <w:pPr>
              <w:spacing w:before="143" w:line="219" w:lineRule="auto"/>
              <w:jc w:val="left"/>
              <w:rPr>
                <w:rFonts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中国银行股份有限公司枞阳金山路支行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392" w:type="dxa"/>
            <w:vAlign w:val="top"/>
          </w:tcPr>
          <w:p>
            <w:pPr>
              <w:spacing w:before="74" w:line="219" w:lineRule="auto"/>
              <w:ind w:left="62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保证金金额</w:t>
            </w:r>
          </w:p>
        </w:tc>
        <w:tc>
          <w:tcPr>
            <w:tcW w:w="6486" w:type="dxa"/>
            <w:vAlign w:val="top"/>
          </w:tcPr>
          <w:p>
            <w:pPr>
              <w:spacing w:before="142" w:line="219"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壹万肆仟元整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392" w:type="dxa"/>
            <w:vAlign w:val="top"/>
          </w:tcPr>
          <w:p>
            <w:pPr>
              <w:spacing w:before="74" w:line="219" w:lineRule="auto"/>
              <w:ind w:left="62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交款方式</w:t>
            </w:r>
          </w:p>
        </w:tc>
        <w:tc>
          <w:tcPr>
            <w:tcW w:w="6486" w:type="dxa"/>
            <w:vAlign w:val="top"/>
          </w:tcPr>
          <w:p>
            <w:pPr>
              <w:spacing w:before="142" w:line="219"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供应商须从投标单位账户转账或汇款，不接受现金</w:t>
            </w:r>
            <w:r>
              <w:rPr>
                <w:rFonts w:ascii="宋体" w:hAnsi="宋体" w:eastAsia="宋体" w:cs="宋体"/>
                <w:color w:val="auto"/>
                <w:spacing w:val="-11"/>
                <w:sz w:val="24"/>
                <w:szCs w:val="24"/>
                <w:highlight w:val="none"/>
              </w:rPr>
              <w:t>形</w:t>
            </w:r>
            <w:r>
              <w:rPr>
                <w:rFonts w:ascii="宋体" w:hAnsi="宋体" w:eastAsia="宋体" w:cs="宋体"/>
                <w:color w:val="auto"/>
                <w:spacing w:val="-25"/>
                <w:sz w:val="24"/>
                <w:szCs w:val="24"/>
                <w:highlight w:val="none"/>
              </w:rPr>
              <w:t xml:space="preserve"> </w:t>
            </w:r>
            <w:r>
              <w:rPr>
                <w:rFonts w:ascii="宋体" w:hAnsi="宋体" w:eastAsia="宋体" w:cs="宋体"/>
                <w:color w:val="auto"/>
                <w:spacing w:val="-11"/>
                <w:sz w:val="24"/>
                <w:szCs w:val="24"/>
                <w:highlight w:val="none"/>
              </w:rPr>
              <w:t>式</w:t>
            </w:r>
            <w:r>
              <w:rPr>
                <w:rFonts w:ascii="宋体" w:hAnsi="宋体" w:eastAsia="宋体" w:cs="宋体"/>
                <w:color w:val="auto"/>
                <w:spacing w:val="-43"/>
                <w:sz w:val="24"/>
                <w:szCs w:val="24"/>
                <w:highlight w:val="none"/>
              </w:rPr>
              <w:t xml:space="preserve"> </w:t>
            </w:r>
            <w:r>
              <w:rPr>
                <w:rFonts w:ascii="宋体" w:hAnsi="宋体" w:eastAsia="宋体" w:cs="宋体"/>
                <w:color w:val="auto"/>
                <w:spacing w:val="-11"/>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392" w:type="dxa"/>
            <w:vAlign w:val="top"/>
          </w:tcPr>
          <w:p>
            <w:pPr>
              <w:spacing w:before="190" w:line="220" w:lineRule="auto"/>
              <w:ind w:left="5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交款到账截止时间</w:t>
            </w:r>
          </w:p>
        </w:tc>
        <w:tc>
          <w:tcPr>
            <w:tcW w:w="6486" w:type="dxa"/>
            <w:vAlign w:val="top"/>
          </w:tcPr>
          <w:p>
            <w:pPr>
              <w:numPr>
                <w:ilvl w:val="0"/>
                <w:numId w:val="0"/>
              </w:numPr>
              <w:spacing w:before="189" w:line="219" w:lineRule="auto"/>
              <w:ind w:leftChars="0"/>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2023年</w:t>
            </w:r>
            <w:r>
              <w:rPr>
                <w:rFonts w:hint="eastAsia" w:ascii="宋体" w:hAnsi="宋体" w:eastAsia="宋体" w:cs="宋体"/>
                <w:color w:val="auto"/>
                <w:sz w:val="24"/>
                <w:szCs w:val="24"/>
                <w:highlight w:val="none"/>
                <w:lang w:val="en-US" w:eastAsia="zh-CN"/>
              </w:rPr>
              <w:t>12</w:t>
            </w:r>
            <w:r>
              <w:rPr>
                <w:rFonts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28</w:t>
            </w:r>
            <w:r>
              <w:rPr>
                <w:rFonts w:ascii="宋体" w:hAnsi="宋体" w:eastAsia="宋体" w:cs="宋体"/>
                <w:color w:val="auto"/>
                <w:sz w:val="24"/>
                <w:szCs w:val="24"/>
                <w:highlight w:val="none"/>
                <w:lang w:eastAsia="zh-CN"/>
              </w:rPr>
              <w:t>日17时整</w:t>
            </w:r>
          </w:p>
        </w:tc>
      </w:tr>
      <w:bookmarkEnd w:id="0"/>
      <w:bookmarkEnd w:id="6"/>
      <w:bookmarkEnd w:id="7"/>
      <w:bookmarkEnd w:id="8"/>
    </w:tbl>
    <w:p>
      <w:pPr>
        <w:pStyle w:val="3"/>
        <w:spacing w:line="276" w:lineRule="auto"/>
        <w:jc w:val="center"/>
        <w:rPr>
          <w:rFonts w:hint="eastAsia" w:ascii="宋体" w:hAnsi="宋体" w:eastAsia="宋体"/>
          <w:color w:val="auto"/>
          <w:highlight w:val="none"/>
        </w:rPr>
      </w:pPr>
    </w:p>
    <w:p>
      <w:pPr>
        <w:pStyle w:val="3"/>
        <w:spacing w:line="276" w:lineRule="auto"/>
        <w:jc w:val="center"/>
        <w:rPr>
          <w:rFonts w:hint="eastAsia" w:ascii="宋体" w:hAnsi="宋体" w:eastAsia="宋体"/>
          <w:color w:val="auto"/>
          <w:highlight w:val="none"/>
        </w:rPr>
      </w:pPr>
    </w:p>
    <w:p>
      <w:pPr>
        <w:pStyle w:val="4"/>
        <w:rPr>
          <w:rFonts w:hint="eastAsia" w:ascii="宋体" w:hAnsi="宋体" w:eastAsia="宋体"/>
          <w:color w:val="auto"/>
          <w:highlight w:val="none"/>
        </w:rPr>
      </w:pPr>
    </w:p>
    <w:p>
      <w:pPr>
        <w:pStyle w:val="4"/>
        <w:rPr>
          <w:rFonts w:hint="eastAsia" w:ascii="宋体" w:hAnsi="宋体" w:eastAsia="宋体"/>
          <w:color w:val="auto"/>
          <w:highlight w:val="none"/>
        </w:rPr>
      </w:pPr>
    </w:p>
    <w:p>
      <w:pPr>
        <w:pStyle w:val="4"/>
        <w:rPr>
          <w:rFonts w:hint="eastAsia" w:ascii="宋体" w:hAnsi="宋体" w:eastAsia="宋体"/>
          <w:color w:val="auto"/>
          <w:highlight w:val="none"/>
        </w:rPr>
      </w:pPr>
    </w:p>
    <w:p>
      <w:pPr>
        <w:pStyle w:val="4"/>
        <w:rPr>
          <w:rFonts w:hint="eastAsia" w:ascii="宋体" w:hAnsi="宋体" w:eastAsia="宋体"/>
          <w:color w:val="auto"/>
          <w:highlight w:val="none"/>
        </w:rPr>
      </w:pPr>
    </w:p>
    <w:p>
      <w:pPr>
        <w:pStyle w:val="4"/>
        <w:rPr>
          <w:rFonts w:hint="eastAsia" w:ascii="宋体" w:hAnsi="宋体" w:eastAsia="宋体"/>
          <w:color w:val="auto"/>
          <w:highlight w:val="none"/>
        </w:rPr>
      </w:pPr>
    </w:p>
    <w:p>
      <w:pPr>
        <w:pStyle w:val="4"/>
        <w:rPr>
          <w:rFonts w:hint="eastAsia" w:ascii="宋体" w:hAnsi="宋体" w:eastAsia="宋体"/>
          <w:color w:val="auto"/>
          <w:highlight w:val="none"/>
        </w:rPr>
      </w:pPr>
    </w:p>
    <w:p>
      <w:pPr>
        <w:pStyle w:val="4"/>
        <w:rPr>
          <w:rFonts w:hint="eastAsia" w:ascii="宋体" w:hAnsi="宋体" w:eastAsia="宋体"/>
          <w:color w:val="auto"/>
          <w:highlight w:val="none"/>
        </w:rPr>
      </w:pPr>
    </w:p>
    <w:p>
      <w:pPr>
        <w:pStyle w:val="3"/>
        <w:spacing w:line="276" w:lineRule="auto"/>
        <w:jc w:val="center"/>
        <w:rPr>
          <w:rFonts w:ascii="宋体" w:hAnsi="宋体" w:eastAsia="宋体"/>
          <w:color w:val="auto"/>
          <w:highlight w:val="none"/>
        </w:rPr>
      </w:pPr>
      <w:r>
        <w:rPr>
          <w:rFonts w:hint="eastAsia" w:ascii="宋体" w:hAnsi="宋体" w:eastAsia="宋体"/>
          <w:color w:val="auto"/>
          <w:highlight w:val="none"/>
        </w:rPr>
        <w:t>第二章 供应商须知一览表</w:t>
      </w:r>
    </w:p>
    <w:tbl>
      <w:tblPr>
        <w:tblStyle w:val="32"/>
        <w:tblW w:w="91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04"/>
        <w:gridCol w:w="2920"/>
        <w:gridCol w:w="54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2" w:hRule="atLeast"/>
          <w:tblHeader/>
          <w:jc w:val="center"/>
        </w:trPr>
        <w:tc>
          <w:tcPr>
            <w:tcW w:w="804"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序号</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条款名称</w:t>
            </w:r>
          </w:p>
        </w:tc>
        <w:tc>
          <w:tcPr>
            <w:tcW w:w="545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1</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color w:val="auto"/>
                <w:sz w:val="28"/>
                <w:szCs w:val="28"/>
                <w:highlight w:val="none"/>
                <w:lang w:val="zh-CN"/>
              </w:rPr>
              <w:t>磋商最高限价</w:t>
            </w:r>
          </w:p>
        </w:tc>
        <w:tc>
          <w:tcPr>
            <w:tcW w:w="5450" w:type="dxa"/>
            <w:tcMar>
              <w:left w:w="113" w:type="dxa"/>
              <w:right w:w="113" w:type="dxa"/>
            </w:tcMar>
            <w:vAlign w:val="center"/>
          </w:tcPr>
          <w:p>
            <w:pPr>
              <w:shd w:val="clear" w:color="auto" w:fill="FFFFFF"/>
              <w:adjustRightInd w:val="0"/>
              <w:snapToGrid w:val="0"/>
              <w:spacing w:line="360" w:lineRule="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735560.51元</w:t>
            </w:r>
          </w:p>
          <w:p>
            <w:pPr>
              <w:shd w:val="clear" w:color="auto" w:fill="FFFFFF"/>
              <w:adjustRightInd w:val="0"/>
              <w:snapToGrid w:val="0"/>
              <w:spacing w:line="360" w:lineRule="auto"/>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en-US" w:eastAsia="zh-CN"/>
              </w:rPr>
              <w:t>（供应商首轮报价不得超过磋商最高限价，否则无效）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2</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资金来源</w:t>
            </w:r>
          </w:p>
        </w:tc>
        <w:tc>
          <w:tcPr>
            <w:tcW w:w="5450" w:type="dxa"/>
            <w:tcMar>
              <w:left w:w="113" w:type="dxa"/>
              <w:right w:w="113" w:type="dxa"/>
            </w:tcMar>
            <w:vAlign w:val="center"/>
          </w:tcPr>
          <w:p>
            <w:pPr>
              <w:shd w:val="clear" w:color="auto" w:fill="FFFFFF"/>
              <w:adjustRightInd w:val="0"/>
              <w:snapToGrid w:val="0"/>
              <w:spacing w:line="360" w:lineRule="auto"/>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3</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供应商资格要求</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lang w:val="zh-CN"/>
              </w:rPr>
            </w:pPr>
            <w:r>
              <w:rPr>
                <w:rFonts w:hint="eastAsia"/>
                <w:color w:val="auto"/>
                <w:sz w:val="28"/>
                <w:szCs w:val="28"/>
                <w:highlight w:val="none"/>
              </w:rPr>
              <w:t>见竞争性磋商公告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4</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采购方式</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lang w:val="zh-CN"/>
              </w:rPr>
            </w:pPr>
            <w:r>
              <w:rPr>
                <w:rFonts w:hint="eastAsia"/>
                <w:color w:val="auto"/>
                <w:sz w:val="28"/>
                <w:szCs w:val="28"/>
                <w:highlight w:val="none"/>
                <w:lang w:val="zh-CN"/>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5</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评标方法</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lang w:val="zh-CN"/>
              </w:rPr>
            </w:pPr>
            <w:r>
              <w:rPr>
                <w:rFonts w:hint="eastAsia"/>
                <w:color w:val="auto"/>
                <w:sz w:val="28"/>
                <w:szCs w:val="28"/>
                <w:highlight w:val="none"/>
                <w:lang w:val="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6</w:t>
            </w:r>
          </w:p>
        </w:tc>
        <w:tc>
          <w:tcPr>
            <w:tcW w:w="2920" w:type="dxa"/>
            <w:tcMar>
              <w:left w:w="113" w:type="dxa"/>
              <w:right w:w="113" w:type="dxa"/>
            </w:tcMar>
            <w:vAlign w:val="center"/>
          </w:tcPr>
          <w:p>
            <w:pPr>
              <w:pStyle w:val="53"/>
              <w:wordWrap w:val="0"/>
              <w:adjustRightInd/>
              <w:snapToGrid w:val="0"/>
              <w:jc w:val="both"/>
              <w:rPr>
                <w:color w:val="auto"/>
                <w:sz w:val="28"/>
                <w:szCs w:val="28"/>
                <w:highlight w:val="none"/>
                <w:lang w:val="zh-CN"/>
              </w:rPr>
            </w:pPr>
            <w:r>
              <w:rPr>
                <w:rFonts w:hint="eastAsia"/>
                <w:color w:val="auto"/>
                <w:sz w:val="28"/>
                <w:szCs w:val="28"/>
                <w:highlight w:val="none"/>
              </w:rPr>
              <w:t>服务期（达到可验收状态所需的所有时间）</w:t>
            </w:r>
          </w:p>
        </w:tc>
        <w:tc>
          <w:tcPr>
            <w:tcW w:w="5450" w:type="dxa"/>
            <w:tcMar>
              <w:left w:w="113" w:type="dxa"/>
              <w:right w:w="113" w:type="dxa"/>
            </w:tcMar>
            <w:vAlign w:val="center"/>
          </w:tcPr>
          <w:p>
            <w:pPr>
              <w:widowControl/>
              <w:shd w:val="clear" w:color="auto" w:fill="FFFFFF"/>
              <w:adjustRightInd w:val="0"/>
              <w:snapToGrid w:val="0"/>
              <w:spacing w:line="440" w:lineRule="exac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eastAsia="zh-CN"/>
              </w:rPr>
              <w:t>自合同签订之日起60日历天内完成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7</w:t>
            </w:r>
          </w:p>
        </w:tc>
        <w:tc>
          <w:tcPr>
            <w:tcW w:w="2920" w:type="dxa"/>
            <w:tcMar>
              <w:left w:w="113" w:type="dxa"/>
              <w:right w:w="113" w:type="dxa"/>
            </w:tcMar>
            <w:vAlign w:val="center"/>
          </w:tcPr>
          <w:p>
            <w:pPr>
              <w:pStyle w:val="53"/>
              <w:wordWrap w:val="0"/>
              <w:adjustRightInd/>
              <w:snapToGrid w:val="0"/>
              <w:spacing w:line="276" w:lineRule="auto"/>
              <w:jc w:val="both"/>
              <w:rPr>
                <w:color w:val="auto"/>
                <w:sz w:val="28"/>
                <w:szCs w:val="28"/>
                <w:highlight w:val="none"/>
                <w:lang w:val="zh-CN"/>
              </w:rPr>
            </w:pPr>
            <w:r>
              <w:rPr>
                <w:rFonts w:hint="eastAsia"/>
                <w:color w:val="auto"/>
                <w:sz w:val="28"/>
                <w:szCs w:val="28"/>
                <w:highlight w:val="none"/>
                <w:lang w:val="zh-CN"/>
              </w:rPr>
              <w:t>是否接受联合体磋商响应</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lang w:val="zh-CN"/>
              </w:rPr>
            </w:pPr>
            <w:r>
              <w:rPr>
                <w:rFonts w:hint="eastAsia"/>
                <w:color w:val="auto"/>
                <w:sz w:val="28"/>
                <w:szCs w:val="28"/>
                <w:highlight w:val="none"/>
                <w:lang w:val="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8</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是否接受分包履约</w:t>
            </w:r>
          </w:p>
        </w:tc>
        <w:tc>
          <w:tcPr>
            <w:tcW w:w="5450" w:type="dxa"/>
            <w:tcMar>
              <w:left w:w="113" w:type="dxa"/>
              <w:right w:w="113" w:type="dxa"/>
            </w:tcMar>
            <w:vAlign w:val="center"/>
          </w:tcPr>
          <w:p>
            <w:pPr>
              <w:pStyle w:val="53"/>
              <w:adjustRightInd/>
              <w:snapToGrid w:val="0"/>
              <w:spacing w:line="440" w:lineRule="exact"/>
              <w:jc w:val="both"/>
              <w:rPr>
                <w:rFonts w:cs="华文仿宋"/>
                <w:b/>
                <w:color w:val="auto"/>
                <w:sz w:val="28"/>
                <w:szCs w:val="28"/>
                <w:highlight w:val="none"/>
              </w:rPr>
            </w:pPr>
            <w:r>
              <w:rPr>
                <w:rFonts w:hint="eastAsia"/>
                <w:color w:val="auto"/>
                <w:sz w:val="28"/>
                <w:szCs w:val="28"/>
                <w:highlight w:val="none"/>
                <w:lang w:val="zh-CN"/>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9</w:t>
            </w:r>
          </w:p>
        </w:tc>
        <w:tc>
          <w:tcPr>
            <w:tcW w:w="2920" w:type="dxa"/>
            <w:tcMar>
              <w:left w:w="113" w:type="dxa"/>
              <w:right w:w="113" w:type="dxa"/>
            </w:tcMar>
            <w:vAlign w:val="center"/>
          </w:tcPr>
          <w:p>
            <w:pPr>
              <w:pStyle w:val="53"/>
              <w:wordWrap w:val="0"/>
              <w:adjustRightInd/>
              <w:snapToGrid w:val="0"/>
              <w:spacing w:line="276" w:lineRule="auto"/>
              <w:jc w:val="center"/>
              <w:rPr>
                <w:color w:val="auto"/>
                <w:sz w:val="28"/>
                <w:szCs w:val="28"/>
                <w:highlight w:val="none"/>
                <w:lang w:val="zh-CN"/>
              </w:rPr>
            </w:pPr>
            <w:r>
              <w:rPr>
                <w:rFonts w:hint="eastAsia"/>
                <w:color w:val="auto"/>
                <w:sz w:val="28"/>
                <w:szCs w:val="28"/>
                <w:highlight w:val="none"/>
                <w:lang w:val="zh-CN"/>
              </w:rPr>
              <w:t>对采购文件质疑的提出</w:t>
            </w:r>
          </w:p>
        </w:tc>
        <w:tc>
          <w:tcPr>
            <w:tcW w:w="5450" w:type="dxa"/>
            <w:tcMar>
              <w:left w:w="113" w:type="dxa"/>
              <w:right w:w="113" w:type="dxa"/>
            </w:tcMar>
            <w:vAlign w:val="center"/>
          </w:tcPr>
          <w:p>
            <w:pPr>
              <w:pStyle w:val="53"/>
              <w:numPr>
                <w:ilvl w:val="0"/>
                <w:numId w:val="2"/>
              </w:numPr>
              <w:snapToGrid w:val="0"/>
              <w:spacing w:after="156" w:line="480" w:lineRule="exact"/>
              <w:jc w:val="both"/>
              <w:rPr>
                <w:rFonts w:cs="华文仿宋"/>
                <w:bCs/>
                <w:color w:val="auto"/>
                <w:kern w:val="2"/>
                <w:sz w:val="28"/>
                <w:szCs w:val="28"/>
                <w:highlight w:val="none"/>
                <w:lang w:val="zh-CN"/>
              </w:rPr>
            </w:pPr>
            <w:r>
              <w:rPr>
                <w:rFonts w:hint="eastAsia" w:ascii="Times New Roman" w:hAnsi="Times New Roman" w:cs="华文仿宋"/>
                <w:bCs/>
                <w:color w:val="auto"/>
                <w:kern w:val="2"/>
                <w:sz w:val="28"/>
                <w:szCs w:val="28"/>
                <w:highlight w:val="none"/>
              </w:rPr>
              <w:t>供应商知其权益受到损害之日起七个工作日内。</w:t>
            </w:r>
          </w:p>
          <w:p>
            <w:pPr>
              <w:pStyle w:val="53"/>
              <w:snapToGrid w:val="0"/>
              <w:spacing w:after="156" w:line="480" w:lineRule="exact"/>
              <w:jc w:val="both"/>
              <w:rPr>
                <w:rFonts w:cs="华文仿宋"/>
                <w:bCs/>
                <w:color w:val="auto"/>
                <w:kern w:val="2"/>
                <w:sz w:val="28"/>
                <w:szCs w:val="28"/>
                <w:highlight w:val="none"/>
                <w:lang w:val="zh-CN"/>
              </w:rPr>
            </w:pPr>
            <w:r>
              <w:rPr>
                <w:rFonts w:hint="eastAsia" w:cs="华文仿宋"/>
                <w:bCs/>
                <w:color w:val="auto"/>
                <w:sz w:val="28"/>
                <w:szCs w:val="28"/>
                <w:highlight w:val="none"/>
              </w:rPr>
              <w:t>2、请在质疑截止时间之前</w:t>
            </w:r>
            <w:r>
              <w:rPr>
                <w:rFonts w:hint="eastAsia"/>
                <w:color w:val="auto"/>
                <w:sz w:val="28"/>
                <w:szCs w:val="28"/>
                <w:highlight w:val="none"/>
              </w:rPr>
              <w:t>，通过邮寄或以书面形式递交采购人、代理机构。</w:t>
            </w:r>
            <w:r>
              <w:rPr>
                <w:rFonts w:hint="eastAsia" w:cs="华文仿宋"/>
                <w:bCs/>
                <w:color w:val="auto"/>
                <w:sz w:val="28"/>
                <w:szCs w:val="28"/>
                <w:highlight w:val="none"/>
              </w:rPr>
              <w:t>（质疑的提交要求、处理主体、处理程序等相关问题可以登录《铜陵市公共资源交易网》政策法规栏进行查询）。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rPr>
            </w:pPr>
            <w:r>
              <w:rPr>
                <w:rFonts w:hint="eastAsia" w:cs="Courier New"/>
                <w:color w:val="auto"/>
                <w:sz w:val="28"/>
                <w:szCs w:val="28"/>
                <w:highlight w:val="none"/>
              </w:rPr>
              <w:t>10</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标段划分</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rPr>
            </w:pPr>
            <w:r>
              <w:rPr>
                <w:rFonts w:hint="eastAsia"/>
                <w:color w:val="auto"/>
                <w:sz w:val="28"/>
                <w:szCs w:val="28"/>
                <w:highlight w:val="none"/>
              </w:rPr>
              <w:t xml:space="preserve">本项目分为一个标段。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lang w:val="zh-CN"/>
              </w:rPr>
              <w:t>11</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rPr>
              <w:t>成交候选人的推荐</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rPr>
            </w:pPr>
            <w:r>
              <w:rPr>
                <w:rFonts w:hint="eastAsia" w:cs="华文仿宋"/>
                <w:bCs/>
                <w:color w:val="auto"/>
                <w:sz w:val="28"/>
                <w:szCs w:val="28"/>
                <w:highlight w:val="none"/>
              </w:rPr>
              <w:t>磋商小组依据磋商文件规定的评标标准和方法，对合格</w:t>
            </w:r>
            <w:r>
              <w:rPr>
                <w:rFonts w:hint="eastAsia"/>
                <w:color w:val="auto"/>
                <w:sz w:val="28"/>
                <w:szCs w:val="28"/>
                <w:highlight w:val="none"/>
              </w:rPr>
              <w:t>磋商响应</w:t>
            </w:r>
            <w:r>
              <w:rPr>
                <w:rFonts w:hint="eastAsia" w:cs="华文仿宋"/>
                <w:bCs/>
                <w:color w:val="auto"/>
                <w:sz w:val="28"/>
                <w:szCs w:val="28"/>
                <w:highlight w:val="none"/>
              </w:rPr>
              <w:t>文件分别进行评审和比较，</w:t>
            </w:r>
            <w:r>
              <w:rPr>
                <w:rFonts w:hint="eastAsia"/>
                <w:bCs/>
                <w:color w:val="auto"/>
                <w:sz w:val="28"/>
                <w:szCs w:val="28"/>
                <w:highlight w:val="none"/>
              </w:rPr>
              <w:t>结合信用查询情况，按照得分由高到低的顺序推荐出</w:t>
            </w:r>
            <w:r>
              <w:rPr>
                <w:rFonts w:hint="eastAsia"/>
                <w:bCs/>
                <w:color w:val="auto"/>
                <w:sz w:val="28"/>
                <w:szCs w:val="28"/>
                <w:highlight w:val="none"/>
                <w:u w:val="single"/>
              </w:rPr>
              <w:t xml:space="preserve"> 3</w:t>
            </w:r>
            <w:r>
              <w:rPr>
                <w:bCs/>
                <w:color w:val="auto"/>
                <w:sz w:val="28"/>
                <w:szCs w:val="28"/>
                <w:highlight w:val="none"/>
                <w:u w:val="single"/>
              </w:rPr>
              <w:t xml:space="preserve"> </w:t>
            </w:r>
            <w:r>
              <w:rPr>
                <w:rFonts w:hint="eastAsia"/>
                <w:bCs/>
                <w:color w:val="auto"/>
                <w:sz w:val="28"/>
                <w:szCs w:val="28"/>
                <w:highlight w:val="none"/>
              </w:rPr>
              <w:t>名成交候选人。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65"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rPr>
            </w:pPr>
            <w:r>
              <w:rPr>
                <w:rFonts w:hint="eastAsia" w:cs="Courier New"/>
                <w:color w:val="auto"/>
                <w:sz w:val="28"/>
                <w:szCs w:val="28"/>
                <w:highlight w:val="none"/>
              </w:rPr>
              <w:t>12</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rPr>
            </w:pPr>
            <w:r>
              <w:rPr>
                <w:rFonts w:hint="eastAsia"/>
                <w:color w:val="auto"/>
                <w:sz w:val="28"/>
                <w:szCs w:val="28"/>
                <w:highlight w:val="none"/>
              </w:rPr>
              <w:t>磋商响应保证金</w:t>
            </w:r>
          </w:p>
        </w:tc>
        <w:tc>
          <w:tcPr>
            <w:tcW w:w="5450" w:type="dxa"/>
            <w:tcMar>
              <w:left w:w="113" w:type="dxa"/>
              <w:right w:w="113" w:type="dxa"/>
            </w:tcMar>
            <w:vAlign w:val="center"/>
          </w:tcPr>
          <w:p>
            <w:pPr>
              <w:pStyle w:val="53"/>
              <w:snapToGrid w:val="0"/>
              <w:spacing w:line="440" w:lineRule="exact"/>
              <w:jc w:val="both"/>
              <w:rPr>
                <w:rFonts w:hint="eastAsia"/>
                <w:snapToGrid w:val="0"/>
                <w:color w:val="auto"/>
                <w:sz w:val="28"/>
                <w:szCs w:val="28"/>
                <w:highlight w:val="none"/>
                <w:lang w:val="en-US" w:eastAsia="zh-CN"/>
              </w:rPr>
            </w:pPr>
            <w:r>
              <w:rPr>
                <w:snapToGrid w:val="0"/>
                <w:color w:val="auto"/>
                <w:sz w:val="28"/>
                <w:szCs w:val="28"/>
                <w:highlight w:val="none"/>
                <w:lang w:eastAsia="zh-CN"/>
              </w:rPr>
              <w:t>缴纳的形式：由</w:t>
            </w:r>
            <w:r>
              <w:rPr>
                <w:rFonts w:hint="eastAsia"/>
                <w:snapToGrid w:val="0"/>
                <w:color w:val="auto"/>
                <w:sz w:val="28"/>
                <w:szCs w:val="28"/>
                <w:highlight w:val="none"/>
                <w:lang w:eastAsia="zh-CN"/>
              </w:rPr>
              <w:t>磋商</w:t>
            </w:r>
            <w:r>
              <w:rPr>
                <w:snapToGrid w:val="0"/>
                <w:color w:val="auto"/>
                <w:sz w:val="28"/>
                <w:szCs w:val="28"/>
                <w:highlight w:val="none"/>
                <w:lang w:eastAsia="zh-CN"/>
              </w:rPr>
              <w:t>响应人基本账户采用银行转账、电汇、网银方式缴至到下列指定账户</w:t>
            </w:r>
            <w:r>
              <w:rPr>
                <w:rFonts w:hint="eastAsia"/>
                <w:snapToGrid w:val="0"/>
                <w:color w:val="auto"/>
                <w:sz w:val="28"/>
                <w:szCs w:val="28"/>
                <w:highlight w:val="none"/>
                <w:lang w:val="en-US" w:eastAsia="zh-CN"/>
              </w:rPr>
              <w:t>:</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账户名称：</w:t>
            </w:r>
            <w:r>
              <w:rPr>
                <w:rFonts w:hint="eastAsia"/>
                <w:snapToGrid w:val="0"/>
                <w:color w:val="auto"/>
                <w:sz w:val="28"/>
                <w:szCs w:val="28"/>
                <w:highlight w:val="none"/>
                <w:lang w:val="en-US" w:eastAsia="zh-CN"/>
              </w:rPr>
              <w:t>安徽怡萱建筑有限公司</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开户银行：</w:t>
            </w:r>
            <w:r>
              <w:rPr>
                <w:rFonts w:hint="default"/>
                <w:snapToGrid w:val="0"/>
                <w:color w:val="auto"/>
                <w:sz w:val="28"/>
                <w:szCs w:val="28"/>
                <w:highlight w:val="none"/>
                <w:lang w:val="en-US" w:eastAsia="zh-CN"/>
              </w:rPr>
              <w:t>中国银行股份有限公司枞阳金山路支行</w:t>
            </w:r>
            <w:r>
              <w:rPr>
                <w:snapToGrid w:val="0"/>
                <w:color w:val="auto"/>
                <w:sz w:val="28"/>
                <w:szCs w:val="28"/>
                <w:highlight w:val="none"/>
                <w:lang w:eastAsia="zh-CN"/>
              </w:rPr>
              <w:t xml:space="preserve"> </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账  号：</w:t>
            </w:r>
            <w:r>
              <w:rPr>
                <w:rFonts w:hint="default"/>
                <w:snapToGrid w:val="0"/>
                <w:color w:val="auto"/>
                <w:sz w:val="28"/>
                <w:szCs w:val="28"/>
                <w:highlight w:val="none"/>
                <w:lang w:val="en-US" w:eastAsia="zh-CN"/>
              </w:rPr>
              <w:t>1797 5109 3927</w:t>
            </w:r>
            <w:r>
              <w:rPr>
                <w:snapToGrid w:val="0"/>
                <w:color w:val="auto"/>
                <w:sz w:val="28"/>
                <w:szCs w:val="28"/>
                <w:highlight w:val="none"/>
                <w:lang w:eastAsia="zh-CN"/>
              </w:rPr>
              <w:t xml:space="preserve"> </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缴纳的金额：</w:t>
            </w:r>
            <w:r>
              <w:rPr>
                <w:rFonts w:hint="eastAsia"/>
                <w:snapToGrid w:val="0"/>
                <w:color w:val="auto"/>
                <w:sz w:val="28"/>
                <w:szCs w:val="28"/>
                <w:highlight w:val="none"/>
                <w:lang w:val="en-US" w:eastAsia="zh-CN"/>
              </w:rPr>
              <w:t>14000.00</w:t>
            </w:r>
            <w:r>
              <w:rPr>
                <w:snapToGrid w:val="0"/>
                <w:color w:val="auto"/>
                <w:sz w:val="28"/>
                <w:szCs w:val="28"/>
                <w:highlight w:val="none"/>
                <w:lang w:eastAsia="zh-CN"/>
              </w:rPr>
              <w:t>元人民币</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缴纳截止时间：2023年</w:t>
            </w:r>
            <w:r>
              <w:rPr>
                <w:rFonts w:hint="eastAsia"/>
                <w:snapToGrid w:val="0"/>
                <w:color w:val="auto"/>
                <w:sz w:val="28"/>
                <w:szCs w:val="28"/>
                <w:highlight w:val="none"/>
                <w:lang w:val="en-US" w:eastAsia="zh-CN"/>
              </w:rPr>
              <w:t>12</w:t>
            </w:r>
            <w:r>
              <w:rPr>
                <w:snapToGrid w:val="0"/>
                <w:color w:val="auto"/>
                <w:sz w:val="28"/>
                <w:szCs w:val="28"/>
                <w:highlight w:val="none"/>
                <w:lang w:eastAsia="zh-CN"/>
              </w:rPr>
              <w:t>月</w:t>
            </w:r>
            <w:r>
              <w:rPr>
                <w:rFonts w:hint="eastAsia"/>
                <w:snapToGrid w:val="0"/>
                <w:color w:val="auto"/>
                <w:sz w:val="28"/>
                <w:szCs w:val="28"/>
                <w:highlight w:val="none"/>
                <w:lang w:val="en-US" w:eastAsia="zh-CN"/>
              </w:rPr>
              <w:t>28</w:t>
            </w:r>
            <w:r>
              <w:rPr>
                <w:snapToGrid w:val="0"/>
                <w:color w:val="auto"/>
                <w:sz w:val="28"/>
                <w:szCs w:val="28"/>
                <w:highlight w:val="none"/>
                <w:lang w:eastAsia="zh-CN"/>
              </w:rPr>
              <w:t>日17时整</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注：（1）</w:t>
            </w:r>
            <w:r>
              <w:rPr>
                <w:rFonts w:hint="eastAsia"/>
                <w:snapToGrid w:val="0"/>
                <w:color w:val="auto"/>
                <w:sz w:val="28"/>
                <w:szCs w:val="28"/>
                <w:highlight w:val="none"/>
                <w:lang w:eastAsia="zh-CN"/>
              </w:rPr>
              <w:t>磋商</w:t>
            </w:r>
            <w:r>
              <w:rPr>
                <w:snapToGrid w:val="0"/>
                <w:color w:val="auto"/>
                <w:sz w:val="28"/>
                <w:szCs w:val="28"/>
                <w:highlight w:val="none"/>
                <w:lang w:eastAsia="zh-CN"/>
              </w:rPr>
              <w:t>响应保证金必须由</w:t>
            </w:r>
            <w:r>
              <w:rPr>
                <w:rFonts w:hint="eastAsia"/>
                <w:snapToGrid w:val="0"/>
                <w:color w:val="auto"/>
                <w:sz w:val="28"/>
                <w:szCs w:val="28"/>
                <w:highlight w:val="none"/>
                <w:lang w:eastAsia="zh-CN"/>
              </w:rPr>
              <w:t>磋商</w:t>
            </w:r>
            <w:r>
              <w:rPr>
                <w:snapToGrid w:val="0"/>
                <w:color w:val="auto"/>
                <w:sz w:val="28"/>
                <w:szCs w:val="28"/>
                <w:highlight w:val="none"/>
                <w:lang w:eastAsia="zh-CN"/>
              </w:rPr>
              <w:t>响应人基本账户转出，</w:t>
            </w:r>
            <w:r>
              <w:rPr>
                <w:rFonts w:hint="eastAsia"/>
                <w:snapToGrid w:val="0"/>
                <w:color w:val="auto"/>
                <w:sz w:val="28"/>
                <w:szCs w:val="28"/>
                <w:highlight w:val="none"/>
                <w:lang w:eastAsia="zh-CN"/>
              </w:rPr>
              <w:t>否则</w:t>
            </w:r>
            <w:r>
              <w:rPr>
                <w:snapToGrid w:val="0"/>
                <w:color w:val="auto"/>
                <w:sz w:val="28"/>
                <w:szCs w:val="28"/>
                <w:highlight w:val="none"/>
                <w:lang w:eastAsia="zh-CN"/>
              </w:rPr>
              <w:t>视为无效</w:t>
            </w:r>
            <w:r>
              <w:rPr>
                <w:rFonts w:hint="eastAsia"/>
                <w:snapToGrid w:val="0"/>
                <w:color w:val="auto"/>
                <w:sz w:val="28"/>
                <w:szCs w:val="28"/>
                <w:highlight w:val="none"/>
                <w:lang w:eastAsia="zh-CN"/>
              </w:rPr>
              <w:t>磋商</w:t>
            </w:r>
            <w:r>
              <w:rPr>
                <w:snapToGrid w:val="0"/>
                <w:color w:val="auto"/>
                <w:sz w:val="28"/>
                <w:szCs w:val="28"/>
                <w:highlight w:val="none"/>
                <w:lang w:eastAsia="zh-CN"/>
              </w:rPr>
              <w:t>响应文件；</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（2）</w:t>
            </w:r>
            <w:r>
              <w:rPr>
                <w:rFonts w:hint="eastAsia"/>
                <w:snapToGrid w:val="0"/>
                <w:color w:val="auto"/>
                <w:sz w:val="28"/>
                <w:szCs w:val="28"/>
                <w:highlight w:val="none"/>
                <w:lang w:eastAsia="zh-CN"/>
              </w:rPr>
              <w:t>磋商</w:t>
            </w:r>
            <w:r>
              <w:rPr>
                <w:snapToGrid w:val="0"/>
                <w:color w:val="auto"/>
                <w:sz w:val="28"/>
                <w:szCs w:val="28"/>
                <w:highlight w:val="none"/>
                <w:lang w:eastAsia="zh-CN"/>
              </w:rPr>
              <w:t>响应保证金缴纳单位名称与</w:t>
            </w:r>
            <w:r>
              <w:rPr>
                <w:rFonts w:hint="eastAsia"/>
                <w:snapToGrid w:val="0"/>
                <w:color w:val="auto"/>
                <w:sz w:val="28"/>
                <w:szCs w:val="28"/>
                <w:highlight w:val="none"/>
                <w:lang w:eastAsia="zh-CN"/>
              </w:rPr>
              <w:t>磋商</w:t>
            </w:r>
            <w:r>
              <w:rPr>
                <w:snapToGrid w:val="0"/>
                <w:color w:val="auto"/>
                <w:sz w:val="28"/>
                <w:szCs w:val="28"/>
                <w:highlight w:val="none"/>
                <w:lang w:eastAsia="zh-CN"/>
              </w:rPr>
              <w:t>响应单位名称必须一致，</w:t>
            </w:r>
            <w:r>
              <w:rPr>
                <w:rFonts w:hint="eastAsia"/>
                <w:snapToGrid w:val="0"/>
                <w:color w:val="auto"/>
                <w:sz w:val="28"/>
                <w:szCs w:val="28"/>
                <w:highlight w:val="none"/>
                <w:lang w:eastAsia="zh-CN"/>
              </w:rPr>
              <w:t>否则</w:t>
            </w:r>
            <w:r>
              <w:rPr>
                <w:snapToGrid w:val="0"/>
                <w:color w:val="auto"/>
                <w:sz w:val="28"/>
                <w:szCs w:val="28"/>
                <w:highlight w:val="none"/>
                <w:lang w:eastAsia="zh-CN"/>
              </w:rPr>
              <w:t>视为无效</w:t>
            </w:r>
            <w:r>
              <w:rPr>
                <w:rFonts w:hint="eastAsia"/>
                <w:snapToGrid w:val="0"/>
                <w:color w:val="auto"/>
                <w:sz w:val="28"/>
                <w:szCs w:val="28"/>
                <w:highlight w:val="none"/>
                <w:lang w:eastAsia="zh-CN"/>
              </w:rPr>
              <w:t>磋商</w:t>
            </w:r>
            <w:r>
              <w:rPr>
                <w:snapToGrid w:val="0"/>
                <w:color w:val="auto"/>
                <w:sz w:val="28"/>
                <w:szCs w:val="28"/>
                <w:highlight w:val="none"/>
                <w:lang w:eastAsia="zh-CN"/>
              </w:rPr>
              <w:t>响应文件；</w:t>
            </w:r>
          </w:p>
          <w:p>
            <w:pPr>
              <w:pStyle w:val="53"/>
              <w:snapToGrid w:val="0"/>
              <w:spacing w:line="440" w:lineRule="exact"/>
              <w:jc w:val="both"/>
              <w:rPr>
                <w:snapToGrid w:val="0"/>
                <w:color w:val="auto"/>
                <w:sz w:val="28"/>
                <w:szCs w:val="28"/>
                <w:highlight w:val="none"/>
                <w:lang w:eastAsia="zh-CN"/>
              </w:rPr>
            </w:pPr>
            <w:r>
              <w:rPr>
                <w:snapToGrid w:val="0"/>
                <w:color w:val="auto"/>
                <w:sz w:val="28"/>
                <w:szCs w:val="28"/>
                <w:highlight w:val="none"/>
                <w:lang w:eastAsia="zh-CN"/>
              </w:rPr>
              <w:t>（3）</w:t>
            </w:r>
            <w:r>
              <w:rPr>
                <w:rFonts w:hint="eastAsia"/>
                <w:snapToGrid w:val="0"/>
                <w:color w:val="auto"/>
                <w:sz w:val="28"/>
                <w:szCs w:val="28"/>
                <w:highlight w:val="none"/>
                <w:lang w:eastAsia="zh-CN"/>
              </w:rPr>
              <w:t>磋商</w:t>
            </w:r>
            <w:r>
              <w:rPr>
                <w:snapToGrid w:val="0"/>
                <w:color w:val="auto"/>
                <w:sz w:val="28"/>
                <w:szCs w:val="28"/>
                <w:highlight w:val="none"/>
                <w:lang w:eastAsia="zh-CN"/>
              </w:rPr>
              <w:t>响应保证金未按截止时间缴纳到指定账户的，视为无效</w:t>
            </w:r>
            <w:r>
              <w:rPr>
                <w:rFonts w:hint="eastAsia"/>
                <w:snapToGrid w:val="0"/>
                <w:color w:val="auto"/>
                <w:sz w:val="28"/>
                <w:szCs w:val="28"/>
                <w:highlight w:val="none"/>
                <w:lang w:eastAsia="zh-CN"/>
              </w:rPr>
              <w:t>磋商</w:t>
            </w:r>
            <w:r>
              <w:rPr>
                <w:snapToGrid w:val="0"/>
                <w:color w:val="auto"/>
                <w:sz w:val="28"/>
                <w:szCs w:val="28"/>
                <w:highlight w:val="none"/>
                <w:lang w:eastAsia="zh-CN"/>
              </w:rPr>
              <w:t>响应文件；</w:t>
            </w:r>
          </w:p>
          <w:p>
            <w:pPr>
              <w:pStyle w:val="53"/>
              <w:snapToGrid w:val="0"/>
              <w:spacing w:line="440" w:lineRule="exact"/>
              <w:jc w:val="both"/>
              <w:rPr>
                <w:snapToGrid w:val="0"/>
                <w:color w:val="auto"/>
                <w:sz w:val="28"/>
                <w:szCs w:val="28"/>
                <w:highlight w:val="none"/>
              </w:rPr>
            </w:pPr>
            <w:r>
              <w:rPr>
                <w:snapToGrid w:val="0"/>
                <w:color w:val="auto"/>
                <w:sz w:val="28"/>
                <w:szCs w:val="28"/>
                <w:highlight w:val="none"/>
                <w:lang w:eastAsia="zh-CN"/>
              </w:rPr>
              <w:t>（4）</w:t>
            </w:r>
            <w:r>
              <w:rPr>
                <w:rFonts w:hint="eastAsia"/>
                <w:snapToGrid w:val="0"/>
                <w:color w:val="auto"/>
                <w:sz w:val="28"/>
                <w:szCs w:val="28"/>
                <w:highlight w:val="none"/>
                <w:lang w:eastAsia="zh-CN"/>
              </w:rPr>
              <w:t>磋商</w:t>
            </w:r>
            <w:r>
              <w:rPr>
                <w:snapToGrid w:val="0"/>
                <w:color w:val="auto"/>
                <w:sz w:val="28"/>
                <w:szCs w:val="28"/>
                <w:highlight w:val="none"/>
                <w:lang w:eastAsia="zh-CN"/>
              </w:rPr>
              <w:t>响应人在缴纳保证金时须在汇款用途或摘要栏上注明项目名称（此处可简写）。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3"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rPr>
            </w:pPr>
            <w:r>
              <w:rPr>
                <w:rFonts w:hint="eastAsia" w:cs="Courier New"/>
                <w:color w:val="auto"/>
                <w:sz w:val="28"/>
                <w:szCs w:val="28"/>
                <w:highlight w:val="none"/>
              </w:rPr>
              <w:t>13</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rPr>
            </w:pPr>
            <w:r>
              <w:rPr>
                <w:rFonts w:hint="eastAsia"/>
                <w:color w:val="auto"/>
                <w:sz w:val="28"/>
                <w:szCs w:val="28"/>
                <w:highlight w:val="none"/>
              </w:rPr>
              <w:t>履约保证金</w:t>
            </w:r>
            <w:r>
              <w:rPr>
                <w:rFonts w:hint="eastAsia"/>
                <w:color w:val="auto"/>
                <w:sz w:val="28"/>
                <w:szCs w:val="28"/>
                <w:highlight w:val="none"/>
              </w:rPr>
              <w:tab/>
            </w:r>
          </w:p>
        </w:tc>
        <w:tc>
          <w:tcPr>
            <w:tcW w:w="5450" w:type="dxa"/>
            <w:tcMar>
              <w:left w:w="113" w:type="dxa"/>
              <w:right w:w="113" w:type="dxa"/>
            </w:tcMar>
            <w:vAlign w:val="center"/>
          </w:tcPr>
          <w:p>
            <w:pPr>
              <w:adjustRightInd w:val="0"/>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1、交纳形式：成交通知书发放前，成交人应按成交金额</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提交履约保证金，保证金形式可以为支票、汇票、本票、网上银行支付或者金融机构、担保机构出具的保函、保证保险等非现金形式交纳。供应商可以采用以上形式中的任意一种，但不得采用两种（含两种）以上形式。</w:t>
            </w:r>
          </w:p>
          <w:p>
            <w:pPr>
              <w:adjustRightInd w:val="0"/>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2、履约保证金退还：最后一次验收合格后一次性无息返还。</w:t>
            </w:r>
          </w:p>
          <w:p>
            <w:pPr>
              <w:adjustRightInd w:val="0"/>
              <w:snapToGrid w:val="0"/>
              <w:spacing w:line="440" w:lineRule="exact"/>
              <w:rPr>
                <w:rFonts w:hint="eastAsia" w:eastAsia="宋体"/>
                <w:color w:val="auto"/>
                <w:highlight w:val="none"/>
                <w:lang w:val="en-US" w:eastAsia="zh-CN"/>
              </w:rPr>
            </w:pPr>
            <w:r>
              <w:rPr>
                <w:rFonts w:hint="eastAsia" w:ascii="宋体" w:hAnsi="宋体" w:eastAsia="宋体" w:cs="宋体"/>
                <w:color w:val="auto"/>
                <w:sz w:val="28"/>
                <w:szCs w:val="28"/>
                <w:highlight w:val="none"/>
              </w:rPr>
              <w:t>3、未缴纳履约保证金，或逾期未提交履约担保的，采购人拒签合同。若成交人无法在规定时间内完工，采购人有权不予退还履约保证金。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lang w:val="zh-CN"/>
              </w:rPr>
              <w:t>14</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rPr>
            </w:pPr>
            <w:r>
              <w:rPr>
                <w:rFonts w:hint="eastAsia"/>
                <w:color w:val="auto"/>
                <w:sz w:val="28"/>
                <w:szCs w:val="28"/>
                <w:highlight w:val="none"/>
              </w:rPr>
              <w:t>勘查现场的要求</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rPr>
            </w:pPr>
            <w:r>
              <w:rPr>
                <w:rFonts w:hint="eastAsia"/>
                <w:color w:val="auto"/>
                <w:sz w:val="28"/>
                <w:szCs w:val="28"/>
                <w:highlight w:val="none"/>
              </w:rPr>
              <w:t>供应商应自行对现场和周围环境进行勘查，以获取编制磋商响应文件和签署合同所需的资料。</w:t>
            </w:r>
          </w:p>
          <w:p>
            <w:pPr>
              <w:pStyle w:val="53"/>
              <w:adjustRightInd/>
              <w:snapToGrid w:val="0"/>
              <w:spacing w:line="440" w:lineRule="exact"/>
              <w:jc w:val="both"/>
              <w:rPr>
                <w:color w:val="auto"/>
                <w:sz w:val="28"/>
                <w:szCs w:val="28"/>
                <w:highlight w:val="none"/>
              </w:rPr>
            </w:pPr>
            <w:r>
              <w:rPr>
                <w:rFonts w:hint="eastAsia"/>
                <w:color w:val="auto"/>
                <w:sz w:val="28"/>
                <w:szCs w:val="28"/>
                <w:highlight w:val="none"/>
              </w:rPr>
              <w:t>勘查现场的地址为：采购人指定地点</w:t>
            </w:r>
          </w:p>
          <w:p>
            <w:pPr>
              <w:keepNext w:val="0"/>
              <w:keepLines w:val="0"/>
              <w:pageBreakBefore w:val="0"/>
              <w:widowControl w:val="0"/>
              <w:shd w:val="clear" w:color="auto" w:fill="FFFFFF"/>
              <w:kinsoku/>
              <w:wordWrap/>
              <w:overflowPunct/>
              <w:topLinePunct w:val="0"/>
              <w:autoSpaceDE/>
              <w:autoSpaceDN/>
              <w:bidi w:val="0"/>
              <w:adjustRightInd w:val="0"/>
              <w:snapToGrid w:val="0"/>
              <w:spacing w:line="400" w:lineRule="exact"/>
              <w:textAlignment w:val="auto"/>
              <w:rPr>
                <w:rFonts w:hint="default" w:ascii="宋体" w:hAnsi="宋体" w:cs="宋体"/>
                <w:color w:val="auto"/>
                <w:kern w:val="0"/>
                <w:sz w:val="28"/>
                <w:szCs w:val="28"/>
                <w:highlight w:val="none"/>
                <w:lang w:val="en-US"/>
              </w:rPr>
            </w:pPr>
            <w:r>
              <w:rPr>
                <w:rFonts w:hint="eastAsia" w:ascii="宋体" w:hAnsi="宋体" w:cs="宋体"/>
                <w:color w:val="auto"/>
                <w:kern w:val="0"/>
                <w:sz w:val="28"/>
                <w:szCs w:val="28"/>
                <w:highlight w:val="none"/>
              </w:rPr>
              <w:t>联系人及联系方式：</w:t>
            </w:r>
            <w:r>
              <w:rPr>
                <w:rFonts w:hint="eastAsia" w:ascii="宋体" w:hAnsi="宋体" w:cs="Times New Roman"/>
                <w:bCs/>
                <w:snapToGrid/>
                <w:color w:val="auto"/>
                <w:kern w:val="2"/>
                <w:sz w:val="24"/>
                <w:szCs w:val="24"/>
                <w:highlight w:val="none"/>
                <w:lang w:val="en-US" w:eastAsia="zh-CN" w:bidi="ar-SA"/>
              </w:rPr>
              <w:t>汪书记 182 5569 2999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s="Courier New"/>
                <w:color w:val="auto"/>
                <w:sz w:val="28"/>
                <w:szCs w:val="28"/>
                <w:highlight w:val="none"/>
              </w:rPr>
              <w:t>15</w:t>
            </w:r>
          </w:p>
        </w:tc>
        <w:tc>
          <w:tcPr>
            <w:tcW w:w="2920" w:type="dxa"/>
            <w:tcMar>
              <w:left w:w="113" w:type="dxa"/>
              <w:right w:w="113" w:type="dxa"/>
            </w:tcMar>
            <w:vAlign w:val="center"/>
          </w:tcPr>
          <w:p>
            <w:pPr>
              <w:spacing w:line="0" w:lineRule="atLeas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构成竞争性磋商文件的其他文件</w:t>
            </w:r>
          </w:p>
        </w:tc>
        <w:tc>
          <w:tcPr>
            <w:tcW w:w="5450" w:type="dxa"/>
            <w:tcMar>
              <w:left w:w="113" w:type="dxa"/>
              <w:right w:w="113" w:type="dxa"/>
            </w:tcMar>
            <w:vAlign w:val="center"/>
          </w:tcPr>
          <w:p>
            <w:pPr>
              <w:spacing w:line="0" w:lineRule="atLeas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竞争性磋商文件的澄清、修改书及有关补充通知为竞争性磋商文件的有效组成部分。澄清、修改书及有关补充通知发布在铜陵市公共资源交易网，各供应商应自行查看。采购人不承担供应商因未及时查看而导致的任何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16</w:t>
            </w:r>
          </w:p>
        </w:tc>
        <w:tc>
          <w:tcPr>
            <w:tcW w:w="2920" w:type="dxa"/>
            <w:tcMar>
              <w:left w:w="113" w:type="dxa"/>
              <w:right w:w="113" w:type="dxa"/>
            </w:tcMar>
            <w:vAlign w:val="center"/>
          </w:tcPr>
          <w:p>
            <w:pPr>
              <w:pStyle w:val="53"/>
              <w:wordWrap w:val="0"/>
              <w:adjustRightInd/>
              <w:snapToGrid w:val="0"/>
              <w:spacing w:line="276" w:lineRule="auto"/>
              <w:jc w:val="both"/>
              <w:rPr>
                <w:color w:val="auto"/>
                <w:sz w:val="28"/>
                <w:szCs w:val="28"/>
                <w:highlight w:val="none"/>
                <w:lang w:val="zh-CN"/>
              </w:rPr>
            </w:pPr>
            <w:r>
              <w:rPr>
                <w:rFonts w:hint="eastAsia"/>
                <w:color w:val="auto"/>
                <w:sz w:val="28"/>
                <w:szCs w:val="28"/>
                <w:highlight w:val="none"/>
                <w:lang w:val="zh-CN"/>
              </w:rPr>
              <w:t>付款方式</w:t>
            </w:r>
          </w:p>
        </w:tc>
        <w:tc>
          <w:tcPr>
            <w:tcW w:w="5450" w:type="dxa"/>
            <w:tcMar>
              <w:left w:w="113" w:type="dxa"/>
              <w:right w:w="113" w:type="dxa"/>
            </w:tcMar>
            <w:vAlign w:val="center"/>
          </w:tcPr>
          <w:p>
            <w:pPr>
              <w:spacing w:line="0" w:lineRule="atLeas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工程完工经验收合格且竣工资料交付齐全、正确、有效、手续完备</w:t>
            </w:r>
            <w:r>
              <w:rPr>
                <w:rFonts w:hint="eastAsia" w:ascii="宋体" w:hAnsi="宋体" w:cs="宋体"/>
                <w:color w:val="auto"/>
                <w:kern w:val="0"/>
                <w:sz w:val="28"/>
                <w:szCs w:val="28"/>
                <w:highlight w:val="none"/>
                <w:lang w:val="zh-CN" w:eastAsia="zh-CN"/>
              </w:rPr>
              <w:t>，工程审计结束后付至工程款的97%，余下的3%作为质量保证金，一年后工程无质量问题，一次性付清（无息)。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rPr>
            </w:pPr>
            <w:r>
              <w:rPr>
                <w:rFonts w:hint="eastAsia" w:cs="Courier New"/>
                <w:color w:val="auto"/>
                <w:sz w:val="28"/>
                <w:szCs w:val="28"/>
                <w:highlight w:val="none"/>
              </w:rPr>
              <w:t>17</w:t>
            </w:r>
          </w:p>
        </w:tc>
        <w:tc>
          <w:tcPr>
            <w:tcW w:w="2920" w:type="dxa"/>
            <w:tcMar>
              <w:left w:w="113" w:type="dxa"/>
              <w:right w:w="113" w:type="dxa"/>
            </w:tcMar>
            <w:vAlign w:val="bottom"/>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项目实施地点</w:t>
            </w:r>
          </w:p>
        </w:tc>
        <w:tc>
          <w:tcPr>
            <w:tcW w:w="5450" w:type="dxa"/>
            <w:tcMar>
              <w:left w:w="113" w:type="dxa"/>
              <w:right w:w="113" w:type="dxa"/>
            </w:tcMar>
            <w:vAlign w:val="center"/>
          </w:tcPr>
          <w:p>
            <w:pPr>
              <w:pStyle w:val="53"/>
              <w:adjustRightInd/>
              <w:snapToGrid w:val="0"/>
              <w:spacing w:line="440" w:lineRule="exact"/>
              <w:jc w:val="both"/>
              <w:rPr>
                <w:rFonts w:hint="eastAsia" w:eastAsia="宋体"/>
                <w:color w:val="auto"/>
                <w:sz w:val="28"/>
                <w:szCs w:val="28"/>
                <w:highlight w:val="none"/>
                <w:lang w:eastAsia="zh-CN"/>
              </w:rPr>
            </w:pPr>
            <w:r>
              <w:rPr>
                <w:rFonts w:hint="eastAsia"/>
                <w:color w:val="auto"/>
                <w:sz w:val="28"/>
                <w:szCs w:val="28"/>
                <w:highlight w:val="none"/>
              </w:rPr>
              <w:t>枞阳县</w:t>
            </w:r>
            <w:r>
              <w:rPr>
                <w:rFonts w:hint="eastAsia"/>
                <w:color w:val="auto"/>
                <w:sz w:val="28"/>
                <w:szCs w:val="28"/>
                <w:highlight w:val="none"/>
                <w:lang w:eastAsia="zh-CN"/>
              </w:rPr>
              <w:t>枞阳</w:t>
            </w:r>
            <w:r>
              <w:rPr>
                <w:rFonts w:hint="eastAsia"/>
                <w:color w:val="auto"/>
                <w:sz w:val="28"/>
                <w:szCs w:val="28"/>
                <w:highlight w:val="none"/>
                <w:shd w:val="clear" w:color="auto" w:fill="FFFFFF"/>
              </w:rPr>
              <w:t>镇</w:t>
            </w:r>
            <w:r>
              <w:rPr>
                <w:rFonts w:hint="eastAsia"/>
                <w:color w:val="auto"/>
                <w:sz w:val="28"/>
                <w:szCs w:val="28"/>
                <w:highlight w:val="none"/>
                <w:shd w:val="clear" w:color="auto" w:fill="FFFFFF"/>
                <w:lang w:eastAsia="zh-CN"/>
              </w:rPr>
              <w:t>下枞阳社区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s="Courier New"/>
                <w:color w:val="auto"/>
                <w:sz w:val="28"/>
                <w:szCs w:val="28"/>
                <w:highlight w:val="none"/>
                <w:lang w:val="zh-CN"/>
              </w:rPr>
              <w:t>1</w:t>
            </w:r>
            <w:r>
              <w:rPr>
                <w:rFonts w:hint="eastAsia" w:cs="Courier New"/>
                <w:color w:val="auto"/>
                <w:sz w:val="28"/>
                <w:szCs w:val="28"/>
                <w:highlight w:val="none"/>
              </w:rPr>
              <w:t>8</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lang w:val="zh-CN"/>
              </w:rPr>
              <w:t>磋商响应文件份数</w:t>
            </w:r>
          </w:p>
        </w:tc>
        <w:tc>
          <w:tcPr>
            <w:tcW w:w="5450" w:type="dxa"/>
            <w:tcMar>
              <w:left w:w="113" w:type="dxa"/>
              <w:right w:w="113" w:type="dxa"/>
            </w:tcMar>
            <w:vAlign w:val="center"/>
          </w:tcPr>
          <w:p>
            <w:pPr>
              <w:pStyle w:val="53"/>
              <w:numPr>
                <w:ilvl w:val="0"/>
                <w:numId w:val="3"/>
              </w:numPr>
              <w:adjustRightInd/>
              <w:snapToGrid w:val="0"/>
              <w:spacing w:line="440" w:lineRule="exact"/>
              <w:jc w:val="both"/>
              <w:rPr>
                <w:color w:val="auto"/>
                <w:sz w:val="28"/>
                <w:szCs w:val="28"/>
                <w:highlight w:val="none"/>
              </w:rPr>
            </w:pPr>
            <w:r>
              <w:rPr>
                <w:rFonts w:hint="eastAsia"/>
                <w:color w:val="auto"/>
                <w:sz w:val="28"/>
                <w:szCs w:val="28"/>
                <w:highlight w:val="none"/>
                <w:lang w:val="zh-CN"/>
              </w:rPr>
              <w:t>正本1份、副本</w:t>
            </w:r>
            <w:r>
              <w:rPr>
                <w:rFonts w:hint="eastAsia"/>
                <w:color w:val="auto"/>
                <w:sz w:val="28"/>
                <w:szCs w:val="28"/>
                <w:highlight w:val="none"/>
                <w:lang w:val="en-US" w:eastAsia="zh-CN"/>
              </w:rPr>
              <w:t>2</w:t>
            </w:r>
            <w:r>
              <w:rPr>
                <w:rFonts w:hint="eastAsia"/>
                <w:color w:val="auto"/>
                <w:sz w:val="28"/>
                <w:szCs w:val="28"/>
                <w:highlight w:val="none"/>
                <w:lang w:val="zh-CN"/>
              </w:rPr>
              <w:t>份（密封递交，封面上</w:t>
            </w:r>
          </w:p>
          <w:p>
            <w:pPr>
              <w:pStyle w:val="53"/>
              <w:adjustRightInd/>
              <w:snapToGrid w:val="0"/>
              <w:spacing w:line="440" w:lineRule="exact"/>
              <w:jc w:val="both"/>
              <w:rPr>
                <w:rFonts w:hint="eastAsia"/>
                <w:color w:val="auto"/>
                <w:sz w:val="28"/>
                <w:szCs w:val="28"/>
                <w:highlight w:val="none"/>
                <w:lang w:val="zh-CN"/>
              </w:rPr>
            </w:pPr>
            <w:r>
              <w:rPr>
                <w:rFonts w:hint="eastAsia"/>
                <w:color w:val="auto"/>
                <w:sz w:val="28"/>
                <w:szCs w:val="28"/>
                <w:highlight w:val="none"/>
                <w:lang w:val="zh-CN"/>
              </w:rPr>
              <w:t>注明：项目名称、开标日期、投标单位名称</w:t>
            </w:r>
            <w:r>
              <w:rPr>
                <w:rFonts w:hint="eastAsia"/>
                <w:b/>
                <w:color w:val="auto"/>
                <w:sz w:val="28"/>
                <w:szCs w:val="28"/>
                <w:highlight w:val="none"/>
              </w:rPr>
              <w:t>，封口处加盖供应商公章</w:t>
            </w:r>
            <w:r>
              <w:rPr>
                <w:rFonts w:hint="eastAsia"/>
                <w:color w:val="auto"/>
                <w:sz w:val="28"/>
                <w:szCs w:val="28"/>
                <w:highlight w:val="none"/>
                <w:lang w:val="zh-CN"/>
              </w:rPr>
              <w:t>）</w:t>
            </w:r>
          </w:p>
          <w:p>
            <w:pPr>
              <w:pStyle w:val="53"/>
              <w:numPr>
                <w:ilvl w:val="0"/>
                <w:numId w:val="0"/>
              </w:numPr>
              <w:adjustRightInd/>
              <w:snapToGrid w:val="0"/>
              <w:spacing w:line="440" w:lineRule="exact"/>
              <w:ind w:leftChars="0"/>
              <w:jc w:val="both"/>
              <w:rPr>
                <w:rFonts w:hint="eastAsia"/>
                <w:color w:val="auto"/>
                <w:sz w:val="28"/>
                <w:szCs w:val="28"/>
                <w:highlight w:val="none"/>
                <w:lang w:val="zh-CN"/>
              </w:rPr>
            </w:pPr>
            <w:r>
              <w:rPr>
                <w:rFonts w:hint="eastAsia"/>
                <w:color w:val="auto"/>
                <w:sz w:val="28"/>
                <w:szCs w:val="28"/>
                <w:highlight w:val="none"/>
                <w:lang w:val="zh-CN"/>
              </w:rPr>
              <w:t>2、电子磋商响应文件1份(光盘或者u盘);</w:t>
            </w:r>
          </w:p>
          <w:p>
            <w:pPr>
              <w:pStyle w:val="53"/>
              <w:adjustRightInd/>
              <w:snapToGrid w:val="0"/>
              <w:spacing w:line="440" w:lineRule="exact"/>
              <w:jc w:val="both"/>
              <w:rPr>
                <w:rFonts w:hint="eastAsia"/>
                <w:color w:val="auto"/>
                <w:sz w:val="28"/>
                <w:szCs w:val="28"/>
                <w:highlight w:val="none"/>
                <w:lang w:val="zh-CN"/>
              </w:rPr>
            </w:pPr>
            <w:r>
              <w:rPr>
                <w:rFonts w:ascii="宋体" w:hAnsi="宋体" w:eastAsia="宋体" w:cs="宋体"/>
                <w:color w:val="auto"/>
                <w:spacing w:val="20"/>
                <w:sz w:val="27"/>
                <w:szCs w:val="27"/>
                <w:highlight w:val="none"/>
              </w:rPr>
              <w:t>(现场密封递交)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lang w:val="zh-CN"/>
              </w:rPr>
              <w:t>1</w:t>
            </w:r>
            <w:r>
              <w:rPr>
                <w:rFonts w:hint="eastAsia" w:cs="Courier New"/>
                <w:color w:val="auto"/>
                <w:sz w:val="28"/>
                <w:szCs w:val="28"/>
                <w:highlight w:val="none"/>
              </w:rPr>
              <w:t>9</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rPr>
            </w:pPr>
            <w:r>
              <w:rPr>
                <w:rFonts w:hint="eastAsia"/>
                <w:color w:val="auto"/>
                <w:sz w:val="28"/>
                <w:szCs w:val="28"/>
                <w:highlight w:val="none"/>
              </w:rPr>
              <w:t>磋商及磋商响应书递交</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rPr>
            </w:pPr>
            <w:r>
              <w:rPr>
                <w:rFonts w:hint="eastAsia"/>
                <w:color w:val="auto"/>
                <w:sz w:val="28"/>
                <w:szCs w:val="28"/>
                <w:highlight w:val="none"/>
              </w:rPr>
              <w:t>见竞争性磋商公告，供应商应当仔细上网查看地点及时间相关发布或变更信息，磋商响应书接收时间为投标截止时间。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lang w:val="zh-CN"/>
              </w:rPr>
              <w:t>20</w:t>
            </w:r>
          </w:p>
        </w:tc>
        <w:tc>
          <w:tcPr>
            <w:tcW w:w="2920" w:type="dxa"/>
            <w:tcMar>
              <w:left w:w="113" w:type="dxa"/>
              <w:right w:w="113" w:type="dxa"/>
            </w:tcMar>
            <w:vAlign w:val="center"/>
          </w:tcPr>
          <w:p>
            <w:pPr>
              <w:pStyle w:val="53"/>
              <w:wordWrap w:val="0"/>
              <w:adjustRightInd/>
              <w:snapToGrid w:val="0"/>
              <w:spacing w:line="360" w:lineRule="auto"/>
              <w:jc w:val="both"/>
              <w:rPr>
                <w:rFonts w:cs="Arial"/>
                <w:color w:val="auto"/>
                <w:sz w:val="28"/>
                <w:szCs w:val="28"/>
                <w:highlight w:val="none"/>
                <w:lang w:val="zh-CN"/>
              </w:rPr>
            </w:pPr>
            <w:r>
              <w:rPr>
                <w:rFonts w:hint="eastAsia"/>
                <w:color w:val="auto"/>
                <w:sz w:val="28"/>
                <w:szCs w:val="28"/>
                <w:highlight w:val="none"/>
                <w:lang w:val="zh-CN"/>
              </w:rPr>
              <w:t>磋商响应截止时间</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lang w:val="zh-CN"/>
              </w:rPr>
            </w:pPr>
            <w:r>
              <w:rPr>
                <w:rFonts w:hint="eastAsia"/>
                <w:color w:val="auto"/>
                <w:sz w:val="28"/>
                <w:szCs w:val="28"/>
                <w:highlight w:val="none"/>
                <w:lang w:val="zh-CN"/>
              </w:rPr>
              <w:t>见竞争性磋商公告，迟于磋商响应截止时间递交的文件将不予接受。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21</w:t>
            </w:r>
          </w:p>
        </w:tc>
        <w:tc>
          <w:tcPr>
            <w:tcW w:w="2920" w:type="dxa"/>
            <w:tcMar>
              <w:left w:w="113" w:type="dxa"/>
              <w:right w:w="113" w:type="dxa"/>
            </w:tcMar>
            <w:vAlign w:val="center"/>
          </w:tcPr>
          <w:p>
            <w:pPr>
              <w:pStyle w:val="53"/>
              <w:adjustRightInd/>
              <w:snapToGrid w:val="0"/>
              <w:spacing w:line="460" w:lineRule="exact"/>
              <w:jc w:val="both"/>
              <w:rPr>
                <w:color w:val="auto"/>
                <w:sz w:val="28"/>
                <w:szCs w:val="28"/>
                <w:highlight w:val="none"/>
                <w:lang w:val="zh-CN"/>
              </w:rPr>
            </w:pPr>
            <w:r>
              <w:rPr>
                <w:rFonts w:hint="eastAsia"/>
                <w:color w:val="auto"/>
                <w:sz w:val="28"/>
                <w:szCs w:val="28"/>
                <w:highlight w:val="none"/>
                <w:lang w:val="zh-CN"/>
              </w:rPr>
              <w:t xml:space="preserve">磋商响应有效期 </w:t>
            </w:r>
          </w:p>
        </w:tc>
        <w:tc>
          <w:tcPr>
            <w:tcW w:w="5450" w:type="dxa"/>
            <w:tcMar>
              <w:left w:w="113" w:type="dxa"/>
              <w:right w:w="113" w:type="dxa"/>
            </w:tcMar>
            <w:vAlign w:val="center"/>
          </w:tcPr>
          <w:p>
            <w:pPr>
              <w:pStyle w:val="53"/>
              <w:adjustRightInd/>
              <w:snapToGrid w:val="0"/>
              <w:spacing w:line="460" w:lineRule="exact"/>
              <w:jc w:val="both"/>
              <w:rPr>
                <w:color w:val="auto"/>
                <w:sz w:val="28"/>
                <w:szCs w:val="28"/>
                <w:highlight w:val="none"/>
                <w:lang w:val="zh-CN"/>
              </w:rPr>
            </w:pPr>
            <w:r>
              <w:rPr>
                <w:rFonts w:hint="eastAsia"/>
                <w:color w:val="auto"/>
                <w:sz w:val="28"/>
                <w:szCs w:val="28"/>
                <w:highlight w:val="none"/>
                <w:lang w:val="zh-CN"/>
              </w:rPr>
              <w:t xml:space="preserve">开标后三个月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rPr>
              <w:t>22</w:t>
            </w:r>
          </w:p>
        </w:tc>
        <w:tc>
          <w:tcPr>
            <w:tcW w:w="2920" w:type="dxa"/>
            <w:tcMar>
              <w:left w:w="113" w:type="dxa"/>
              <w:right w:w="113" w:type="dxa"/>
            </w:tcMar>
            <w:vAlign w:val="center"/>
          </w:tcPr>
          <w:p>
            <w:pPr>
              <w:pStyle w:val="53"/>
              <w:wordWrap w:val="0"/>
              <w:adjustRightInd/>
              <w:snapToGrid w:val="0"/>
              <w:spacing w:line="360" w:lineRule="auto"/>
              <w:jc w:val="both"/>
              <w:rPr>
                <w:color w:val="auto"/>
                <w:sz w:val="28"/>
                <w:szCs w:val="28"/>
                <w:highlight w:val="none"/>
                <w:lang w:val="zh-CN"/>
              </w:rPr>
            </w:pPr>
            <w:r>
              <w:rPr>
                <w:rFonts w:hint="eastAsia"/>
                <w:color w:val="auto"/>
                <w:sz w:val="28"/>
                <w:szCs w:val="28"/>
                <w:highlight w:val="none"/>
              </w:rPr>
              <w:t>费用承担</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rPr>
            </w:pPr>
            <w:r>
              <w:rPr>
                <w:rFonts w:hint="eastAsia"/>
                <w:color w:val="auto"/>
                <w:sz w:val="28"/>
                <w:szCs w:val="28"/>
                <w:highlight w:val="none"/>
              </w:rPr>
              <w:t>供应商参加磋商响应活动发生的一切费用均自理不论磋商的结果如何，采购人和采购代理机构在任何情况下均无义务和责任承担这些费用。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rPr>
            </w:pPr>
            <w:r>
              <w:rPr>
                <w:rFonts w:hint="eastAsia" w:cs="Courier New"/>
                <w:color w:val="auto"/>
                <w:sz w:val="28"/>
                <w:szCs w:val="28"/>
                <w:highlight w:val="none"/>
              </w:rPr>
              <w:t>23</w:t>
            </w:r>
          </w:p>
        </w:tc>
        <w:tc>
          <w:tcPr>
            <w:tcW w:w="2920" w:type="dxa"/>
            <w:tcMar>
              <w:left w:w="113" w:type="dxa"/>
              <w:right w:w="113" w:type="dxa"/>
            </w:tcMar>
            <w:vAlign w:val="center"/>
          </w:tcPr>
          <w:p>
            <w:pPr>
              <w:pStyle w:val="53"/>
              <w:snapToGrid w:val="0"/>
              <w:spacing w:line="360" w:lineRule="auto"/>
              <w:jc w:val="both"/>
              <w:rPr>
                <w:color w:val="auto"/>
                <w:sz w:val="28"/>
                <w:szCs w:val="28"/>
                <w:highlight w:val="none"/>
              </w:rPr>
            </w:pPr>
            <w:r>
              <w:rPr>
                <w:rFonts w:hint="eastAsia"/>
                <w:color w:val="auto"/>
                <w:sz w:val="28"/>
                <w:szCs w:val="28"/>
                <w:highlight w:val="none"/>
              </w:rPr>
              <w:t>合同签订时间</w:t>
            </w:r>
          </w:p>
        </w:tc>
        <w:tc>
          <w:tcPr>
            <w:tcW w:w="5450" w:type="dxa"/>
            <w:tcMar>
              <w:left w:w="113" w:type="dxa"/>
              <w:right w:w="113" w:type="dxa"/>
            </w:tcMar>
            <w:vAlign w:val="center"/>
          </w:tcPr>
          <w:p>
            <w:pPr>
              <w:pStyle w:val="53"/>
              <w:snapToGrid w:val="0"/>
              <w:spacing w:line="440" w:lineRule="exact"/>
              <w:jc w:val="both"/>
              <w:rPr>
                <w:color w:val="auto"/>
                <w:sz w:val="28"/>
                <w:szCs w:val="28"/>
                <w:highlight w:val="none"/>
              </w:rPr>
            </w:pPr>
            <w:r>
              <w:rPr>
                <w:rFonts w:hint="eastAsia"/>
                <w:color w:val="auto"/>
                <w:sz w:val="28"/>
                <w:szCs w:val="28"/>
                <w:highlight w:val="none"/>
              </w:rPr>
              <w:t>成交供应商领取成交通知书后应在</w:t>
            </w:r>
            <w:r>
              <w:rPr>
                <w:rFonts w:hint="eastAsia"/>
                <w:color w:val="auto"/>
                <w:sz w:val="28"/>
                <w:szCs w:val="28"/>
                <w:highlight w:val="none"/>
                <w:u w:val="none"/>
                <w:lang w:val="en-US" w:eastAsia="zh-CN"/>
              </w:rPr>
              <w:t>七</w:t>
            </w:r>
            <w:r>
              <w:rPr>
                <w:rFonts w:hint="eastAsia"/>
                <w:color w:val="auto"/>
                <w:sz w:val="28"/>
                <w:szCs w:val="28"/>
                <w:highlight w:val="none"/>
              </w:rPr>
              <w:t>日内与采购人签订合同，超过《政府采购法》及其他相关法律法规规定期限不领取成交通知书或不签订合同的，顺延至第二成交候选人或重新采购。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rPr>
            </w:pPr>
            <w:r>
              <w:rPr>
                <w:rFonts w:hint="eastAsia" w:cs="Courier New"/>
                <w:color w:val="auto"/>
                <w:sz w:val="28"/>
                <w:szCs w:val="28"/>
                <w:highlight w:val="none"/>
              </w:rPr>
              <w:t>24</w:t>
            </w:r>
          </w:p>
        </w:tc>
        <w:tc>
          <w:tcPr>
            <w:tcW w:w="2920" w:type="dxa"/>
            <w:tcMar>
              <w:left w:w="113" w:type="dxa"/>
              <w:right w:w="113" w:type="dxa"/>
            </w:tcMar>
            <w:vAlign w:val="center"/>
          </w:tcPr>
          <w:p>
            <w:pPr>
              <w:pStyle w:val="53"/>
              <w:wordWrap w:val="0"/>
              <w:adjustRightInd/>
              <w:snapToGrid w:val="0"/>
              <w:spacing w:line="276" w:lineRule="auto"/>
              <w:jc w:val="both"/>
              <w:rPr>
                <w:rFonts w:cs="Courier New"/>
                <w:color w:val="auto"/>
                <w:sz w:val="28"/>
                <w:szCs w:val="28"/>
                <w:highlight w:val="none"/>
              </w:rPr>
            </w:pPr>
            <w:r>
              <w:rPr>
                <w:rFonts w:hint="eastAsia" w:cs="Courier New"/>
                <w:color w:val="auto"/>
                <w:sz w:val="28"/>
                <w:szCs w:val="28"/>
                <w:highlight w:val="none"/>
              </w:rPr>
              <w:t>竞争性磋商采购服务费</w:t>
            </w:r>
          </w:p>
        </w:tc>
        <w:tc>
          <w:tcPr>
            <w:tcW w:w="5450" w:type="dxa"/>
            <w:tcMar>
              <w:left w:w="113" w:type="dxa"/>
              <w:right w:w="113" w:type="dxa"/>
            </w:tcMar>
            <w:vAlign w:val="center"/>
          </w:tcPr>
          <w:p>
            <w:pPr>
              <w:pStyle w:val="53"/>
              <w:wordWrap w:val="0"/>
              <w:adjustRightInd/>
              <w:snapToGrid w:val="0"/>
              <w:spacing w:line="276" w:lineRule="auto"/>
              <w:jc w:val="both"/>
              <w:rPr>
                <w:rFonts w:cs="Courier New"/>
                <w:color w:val="auto"/>
                <w:sz w:val="28"/>
                <w:szCs w:val="28"/>
                <w:highlight w:val="none"/>
              </w:rPr>
            </w:pPr>
            <w:r>
              <w:rPr>
                <w:rFonts w:hint="eastAsia"/>
                <w:color w:val="auto"/>
                <w:sz w:val="28"/>
                <w:szCs w:val="28"/>
                <w:highlight w:val="none"/>
                <w:lang w:eastAsia="zh-CN"/>
              </w:rPr>
              <w:t>本次采购代理服务费按照《招标代理服务收费管理暂行办法》（计价 格[2002]1980号）计取，该费用由成交人在成交通知书发出前支付给采购代理机构。供应商在报价时应考虑此费用，后期采购人不再另行支付。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lang w:val="zh-CN"/>
              </w:rPr>
              <w:t>2</w:t>
            </w:r>
            <w:r>
              <w:rPr>
                <w:rFonts w:hint="eastAsia" w:cs="Courier New"/>
                <w:color w:val="auto"/>
                <w:sz w:val="28"/>
                <w:szCs w:val="28"/>
                <w:highlight w:val="none"/>
              </w:rPr>
              <w:t>5</w:t>
            </w:r>
          </w:p>
        </w:tc>
        <w:tc>
          <w:tcPr>
            <w:tcW w:w="2920" w:type="dxa"/>
            <w:tcMar>
              <w:left w:w="113" w:type="dxa"/>
              <w:right w:w="113" w:type="dxa"/>
            </w:tcMar>
            <w:vAlign w:val="center"/>
          </w:tcPr>
          <w:p>
            <w:pPr>
              <w:widowControl/>
              <w:shd w:val="clear" w:color="auto" w:fill="FFFFFF"/>
              <w:spacing w:line="500" w:lineRule="exact"/>
              <w:ind w:firstLine="420"/>
              <w:rPr>
                <w:rFonts w:ascii="宋体" w:hAnsi="宋体" w:cs="宋体"/>
                <w:color w:val="auto"/>
                <w:kern w:val="0"/>
                <w:sz w:val="28"/>
                <w:szCs w:val="28"/>
                <w:highlight w:val="none"/>
              </w:rPr>
            </w:pPr>
            <w:r>
              <w:rPr>
                <w:rFonts w:hint="eastAsia" w:ascii="宋体" w:hAnsi="宋体" w:cs="宋体"/>
                <w:color w:val="auto"/>
                <w:kern w:val="0"/>
                <w:sz w:val="28"/>
                <w:szCs w:val="28"/>
                <w:highlight w:val="none"/>
              </w:rPr>
              <w:t>信用查询</w:t>
            </w:r>
          </w:p>
        </w:tc>
        <w:tc>
          <w:tcPr>
            <w:tcW w:w="5450" w:type="dxa"/>
            <w:tcMar>
              <w:left w:w="113" w:type="dxa"/>
              <w:right w:w="113" w:type="dxa"/>
            </w:tcMar>
            <w:vAlign w:val="center"/>
          </w:tcPr>
          <w:p>
            <w:pPr>
              <w:spacing w:line="276" w:lineRule="auto"/>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详见评标办法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cs="Courier New"/>
                <w:color w:val="auto"/>
                <w:sz w:val="28"/>
                <w:szCs w:val="28"/>
                <w:highlight w:val="none"/>
                <w:lang w:val="zh-CN"/>
              </w:rPr>
            </w:pPr>
            <w:r>
              <w:rPr>
                <w:rFonts w:hint="eastAsia" w:cs="Courier New"/>
                <w:color w:val="auto"/>
                <w:sz w:val="28"/>
                <w:szCs w:val="28"/>
                <w:highlight w:val="none"/>
                <w:lang w:val="zh-CN"/>
              </w:rPr>
              <w:t>2</w:t>
            </w:r>
            <w:r>
              <w:rPr>
                <w:rFonts w:hint="eastAsia" w:cs="Courier New"/>
                <w:color w:val="auto"/>
                <w:sz w:val="28"/>
                <w:szCs w:val="28"/>
                <w:highlight w:val="none"/>
              </w:rPr>
              <w:t>6</w:t>
            </w:r>
          </w:p>
        </w:tc>
        <w:tc>
          <w:tcPr>
            <w:tcW w:w="2920" w:type="dxa"/>
            <w:tcMar>
              <w:left w:w="113" w:type="dxa"/>
              <w:right w:w="113" w:type="dxa"/>
            </w:tcMar>
            <w:vAlign w:val="center"/>
          </w:tcPr>
          <w:p>
            <w:pPr>
              <w:widowControl/>
              <w:shd w:val="clear" w:color="auto" w:fill="FFFFFF"/>
              <w:spacing w:line="500" w:lineRule="exact"/>
              <w:ind w:firstLine="420"/>
              <w:rPr>
                <w:rFonts w:ascii="宋体" w:hAnsi="宋体" w:cs="宋体"/>
                <w:color w:val="auto"/>
                <w:kern w:val="0"/>
                <w:sz w:val="28"/>
                <w:szCs w:val="28"/>
                <w:highlight w:val="none"/>
              </w:rPr>
            </w:pPr>
            <w:r>
              <w:rPr>
                <w:rFonts w:hint="eastAsia" w:ascii="宋体" w:hAnsi="宋体" w:cs="宋体"/>
                <w:color w:val="auto"/>
                <w:kern w:val="0"/>
                <w:sz w:val="28"/>
                <w:szCs w:val="28"/>
                <w:highlight w:val="none"/>
              </w:rPr>
              <w:t>政府采购政策</w:t>
            </w:r>
          </w:p>
        </w:tc>
        <w:tc>
          <w:tcPr>
            <w:tcW w:w="5450" w:type="dxa"/>
            <w:tcMar>
              <w:left w:w="113" w:type="dxa"/>
              <w:right w:w="113" w:type="dxa"/>
            </w:tcMar>
            <w:vAlign w:val="center"/>
          </w:tcPr>
          <w:p>
            <w:pPr>
              <w:pStyle w:val="53"/>
              <w:adjustRightInd/>
              <w:snapToGrid w:val="0"/>
              <w:spacing w:line="440" w:lineRule="exact"/>
              <w:jc w:val="both"/>
              <w:rPr>
                <w:color w:val="auto"/>
                <w:sz w:val="28"/>
                <w:szCs w:val="28"/>
                <w:highlight w:val="none"/>
              </w:rPr>
            </w:pPr>
            <w:r>
              <w:rPr>
                <w:color w:val="auto"/>
                <w:sz w:val="28"/>
                <w:szCs w:val="28"/>
                <w:highlight w:val="none"/>
              </w:rPr>
              <w:t>一、中小企业</w:t>
            </w:r>
          </w:p>
          <w:p>
            <w:pPr>
              <w:pStyle w:val="53"/>
              <w:adjustRightInd/>
              <w:snapToGrid w:val="0"/>
              <w:spacing w:line="440" w:lineRule="exact"/>
              <w:jc w:val="both"/>
              <w:rPr>
                <w:color w:val="auto"/>
                <w:sz w:val="28"/>
                <w:szCs w:val="28"/>
                <w:highlight w:val="none"/>
              </w:rPr>
            </w:pPr>
            <w:r>
              <w:rPr>
                <w:color w:val="auto"/>
                <w:sz w:val="28"/>
                <w:szCs w:val="28"/>
                <w:highlight w:val="none"/>
              </w:rPr>
              <w:t>依据《政府采购促进中小企业发展管理办 法》(财库〔2020〕46号)、财政部《关 于进一步加大政府采购支持中小企业力度 的通知》   (财库〔2022〕19号)、安徽省 财政厅《关于进一步优化政府采购营商环 境的通知》(皖财购〔2022〕556号)文件 规定执行中小企业政策，参加本次采购活 动的中小企业应当在磋商响应文件中提供 有效的《中小企业声明函》,并对其真实性负责。</w:t>
            </w:r>
          </w:p>
          <w:p>
            <w:pPr>
              <w:pStyle w:val="53"/>
              <w:adjustRightInd/>
              <w:snapToGrid w:val="0"/>
              <w:spacing w:line="440" w:lineRule="exact"/>
              <w:jc w:val="both"/>
              <w:rPr>
                <w:color w:val="auto"/>
                <w:sz w:val="28"/>
                <w:szCs w:val="28"/>
                <w:highlight w:val="none"/>
              </w:rPr>
            </w:pPr>
            <w:r>
              <w:rPr>
                <w:color w:val="auto"/>
                <w:sz w:val="28"/>
                <w:szCs w:val="28"/>
                <w:highlight w:val="none"/>
              </w:rPr>
              <w:t>二、监狱企业。</w:t>
            </w:r>
          </w:p>
          <w:p>
            <w:pPr>
              <w:pStyle w:val="53"/>
              <w:adjustRightInd/>
              <w:snapToGrid w:val="0"/>
              <w:spacing w:line="440" w:lineRule="exact"/>
              <w:jc w:val="both"/>
              <w:rPr>
                <w:color w:val="auto"/>
                <w:sz w:val="28"/>
                <w:szCs w:val="28"/>
                <w:highlight w:val="none"/>
              </w:rPr>
            </w:pPr>
            <w:r>
              <w:rPr>
                <w:color w:val="auto"/>
                <w:sz w:val="28"/>
                <w:szCs w:val="28"/>
                <w:highlight w:val="none"/>
              </w:rPr>
              <w:t>依据财政部司法部《关于政府采购支持监 狱企业发展有关问题的通知》(财库〔2014) 68号),监狱企业视同小型、微型企业。 监狱企业参加政府采购活动时，提供由省  级以上监狱管理局、   戒毒管理局(含新疆  生产建设兵团)出具的属于监狱企业的证</w:t>
            </w:r>
          </w:p>
          <w:p>
            <w:pPr>
              <w:pStyle w:val="53"/>
              <w:adjustRightInd/>
              <w:snapToGrid w:val="0"/>
              <w:spacing w:line="440" w:lineRule="exact"/>
              <w:jc w:val="both"/>
              <w:rPr>
                <w:rFonts w:hint="eastAsia"/>
                <w:color w:val="auto"/>
                <w:sz w:val="28"/>
                <w:szCs w:val="28"/>
                <w:highlight w:val="none"/>
                <w:lang w:eastAsia="zh-CN"/>
              </w:rPr>
            </w:pPr>
            <w:r>
              <w:rPr>
                <w:color w:val="auto"/>
                <w:sz w:val="28"/>
                <w:szCs w:val="28"/>
                <w:highlight w:val="none"/>
              </w:rPr>
              <w:t>明文件，不再提供《中小微企业声明函》</w:t>
            </w:r>
            <w:r>
              <w:rPr>
                <w:rFonts w:hint="eastAsia"/>
                <w:color w:val="auto"/>
                <w:sz w:val="28"/>
                <w:szCs w:val="28"/>
                <w:highlight w:val="none"/>
                <w:lang w:eastAsia="zh-CN"/>
              </w:rPr>
              <w:t>。</w:t>
            </w:r>
          </w:p>
          <w:p>
            <w:pPr>
              <w:pStyle w:val="53"/>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三、残疾人福利性单位</w:t>
            </w:r>
          </w:p>
          <w:p>
            <w:pPr>
              <w:pStyle w:val="53"/>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依据财政部民政部《中国残疾人联合会关 于促进残疾人就业政府采购政策的通知》 (财库〔2017〕141号)的规定，残疾人 福利性单位视同小型、微型企业。符合条 件的残疾人福利性单位在参加政府采购活 动时，提供141号文规定的《残疾人福利 性单位声明函》,不再提供《中小企业声 明函》。残疾人福利性单位属于小型、微</w:t>
            </w:r>
          </w:p>
          <w:p>
            <w:pPr>
              <w:pStyle w:val="53"/>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型企业的，不重复享受政策。</w:t>
            </w:r>
          </w:p>
          <w:p>
            <w:pPr>
              <w:pStyle w:val="53"/>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四、三首、创新产品</w:t>
            </w:r>
          </w:p>
          <w:p>
            <w:pPr>
              <w:pStyle w:val="53"/>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依据《铜陵市人民政府办公室关于印发铜 陵市科技型小微企业创新产品首张订单和 推广应用实施办法(试行)的通知)》(铜 政办〔2021〕11号)和《铜陵市财政局关 于落实政府采购支持科技创新政策的通 知》(财购〔2021〕12号),规范支持三 首、创新产品政策，具体为三首产品和经 市科技局认定的创新产品自认定之日起2 年内，视同已具备相应销售业绩，参加政 府采购活动时业绩分值为满分。经市科技 局认定的创新产品应提供市科技局公布的 铜陵市科技型小微企业创新产品目录相关 文件，三首产品应提供省经信厅公布首台 套重大技术装备、首批次新材料、首版次 软件产品名单相关文件或省经信厅网站公</w:t>
            </w:r>
          </w:p>
          <w:p>
            <w:pPr>
              <w:pStyle w:val="53"/>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开的截图，未提供的不享受相关政策。</w:t>
            </w:r>
          </w:p>
          <w:p>
            <w:pPr>
              <w:pStyle w:val="53"/>
              <w:numPr>
                <w:ilvl w:val="0"/>
                <w:numId w:val="4"/>
              </w:numPr>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节能环保产品</w:t>
            </w:r>
          </w:p>
          <w:p>
            <w:pPr>
              <w:pStyle w:val="53"/>
              <w:numPr>
                <w:ilvl w:val="0"/>
                <w:numId w:val="0"/>
              </w:numPr>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低碳、再生、有机等因素，参考相关国家 标准、行业标准或团体标准，在采购需求 中提出相关绿色采购要求，促进绿色产品</w:t>
            </w:r>
          </w:p>
          <w:p>
            <w:pPr>
              <w:pStyle w:val="53"/>
              <w:numPr>
                <w:ilvl w:val="0"/>
                <w:numId w:val="0"/>
              </w:numPr>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推广应用。</w:t>
            </w:r>
          </w:p>
          <w:p>
            <w:pPr>
              <w:pStyle w:val="53"/>
              <w:numPr>
                <w:ilvl w:val="0"/>
                <w:numId w:val="0"/>
              </w:numPr>
              <w:adjustRightInd/>
              <w:snapToGrid w:val="0"/>
              <w:spacing w:line="440" w:lineRule="exact"/>
              <w:jc w:val="both"/>
              <w:rPr>
                <w:rFonts w:hint="eastAsia"/>
                <w:color w:val="auto"/>
                <w:sz w:val="28"/>
                <w:szCs w:val="28"/>
                <w:highlight w:val="none"/>
                <w:lang w:eastAsia="zh-CN"/>
              </w:rPr>
            </w:pPr>
            <w:r>
              <w:rPr>
                <w:rFonts w:hint="eastAsia"/>
                <w:color w:val="auto"/>
                <w:sz w:val="28"/>
                <w:szCs w:val="28"/>
                <w:highlight w:val="none"/>
                <w:lang w:eastAsia="zh-CN"/>
              </w:rPr>
              <w:t>本项目将对排名第一的成交候选人提供的 《中小企业声明函》或《残疾人福利性单位声明函》或监狱企业证明材料，随评审结果一并公示。如涉嫌造假，将由监管部门按相关规定进行处理。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hint="default" w:eastAsia="宋体" w:cs="Courier New"/>
                <w:color w:val="auto"/>
                <w:sz w:val="28"/>
                <w:szCs w:val="28"/>
                <w:highlight w:val="none"/>
                <w:lang w:val="en-US" w:eastAsia="zh-CN"/>
              </w:rPr>
            </w:pPr>
            <w:r>
              <w:rPr>
                <w:rFonts w:hint="eastAsia" w:cs="Courier New"/>
                <w:color w:val="auto"/>
                <w:sz w:val="28"/>
                <w:szCs w:val="28"/>
                <w:highlight w:val="none"/>
                <w:lang w:val="en-US" w:eastAsia="zh-CN"/>
              </w:rPr>
              <w:t>27</w:t>
            </w:r>
          </w:p>
        </w:tc>
        <w:tc>
          <w:tcPr>
            <w:tcW w:w="2920" w:type="dxa"/>
            <w:tcMar>
              <w:left w:w="113" w:type="dxa"/>
              <w:right w:w="113" w:type="dxa"/>
            </w:tcMar>
            <w:vAlign w:val="center"/>
          </w:tcPr>
          <w:p>
            <w:pPr>
              <w:pStyle w:val="77"/>
              <w:ind w:left="105" w:leftChars="50" w:right="105" w:rightChars="50"/>
              <w:jc w:val="both"/>
              <w:rPr>
                <w:rFonts w:hint="eastAsia"/>
                <w:color w:val="auto"/>
                <w:sz w:val="28"/>
                <w:szCs w:val="28"/>
                <w:highlight w:val="none"/>
              </w:rPr>
            </w:pPr>
            <w:r>
              <w:rPr>
                <w:rFonts w:hint="eastAsia" w:ascii="仿宋" w:hAnsi="仿宋" w:eastAsia="仿宋"/>
                <w:color w:val="auto"/>
                <w:sz w:val="28"/>
                <w:szCs w:val="28"/>
                <w:highlight w:val="none"/>
              </w:rPr>
              <w:t>标的所属行业划分</w:t>
            </w:r>
          </w:p>
        </w:tc>
        <w:tc>
          <w:tcPr>
            <w:tcW w:w="5450" w:type="dxa"/>
            <w:tcMar>
              <w:left w:w="113" w:type="dxa"/>
              <w:right w:w="113" w:type="dxa"/>
            </w:tcMar>
            <w:vAlign w:val="center"/>
          </w:tcPr>
          <w:p>
            <w:pPr>
              <w:pStyle w:val="77"/>
              <w:spacing w:line="480" w:lineRule="exact"/>
              <w:jc w:val="both"/>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建筑业</w:t>
            </w:r>
          </w:p>
          <w:p>
            <w:pPr>
              <w:pStyle w:val="77"/>
              <w:spacing w:line="480" w:lineRule="exact"/>
              <w:jc w:val="both"/>
              <w:rPr>
                <w:rFonts w:hint="eastAsia"/>
                <w:color w:val="auto"/>
                <w:sz w:val="28"/>
                <w:szCs w:val="28"/>
                <w:highlight w:val="none"/>
              </w:rPr>
            </w:pPr>
            <w:r>
              <w:rPr>
                <w:rFonts w:hint="eastAsia" w:ascii="仿宋" w:hAnsi="仿宋" w:eastAsia="仿宋"/>
                <w:color w:val="auto"/>
                <w:sz w:val="28"/>
                <w:szCs w:val="28"/>
                <w:highlight w:val="none"/>
              </w:rPr>
              <w:t>企业划型标准按照《关于印发中小企业划型标准规定的通知》(工信部联企业【2011】300号规定执行)。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04" w:type="dxa"/>
            <w:tcMar>
              <w:left w:w="113" w:type="dxa"/>
              <w:right w:w="113" w:type="dxa"/>
            </w:tcMar>
            <w:vAlign w:val="center"/>
          </w:tcPr>
          <w:p>
            <w:pPr>
              <w:pStyle w:val="53"/>
              <w:wordWrap w:val="0"/>
              <w:adjustRightInd/>
              <w:snapToGrid w:val="0"/>
              <w:spacing w:line="360" w:lineRule="auto"/>
              <w:jc w:val="both"/>
              <w:rPr>
                <w:rFonts w:hint="eastAsia" w:eastAsia="宋体" w:cs="Courier New"/>
                <w:color w:val="auto"/>
                <w:sz w:val="28"/>
                <w:szCs w:val="28"/>
                <w:highlight w:val="none"/>
                <w:lang w:val="zh-CN" w:eastAsia="zh-CN"/>
              </w:rPr>
            </w:pPr>
            <w:r>
              <w:rPr>
                <w:rFonts w:hint="eastAsia" w:cs="Courier New"/>
                <w:color w:val="auto"/>
                <w:sz w:val="28"/>
                <w:szCs w:val="28"/>
                <w:highlight w:val="none"/>
                <w:lang w:val="zh-CN"/>
              </w:rPr>
              <w:t>2</w:t>
            </w:r>
            <w:r>
              <w:rPr>
                <w:rFonts w:hint="eastAsia" w:cs="Courier New"/>
                <w:color w:val="auto"/>
                <w:sz w:val="28"/>
                <w:szCs w:val="28"/>
                <w:highlight w:val="none"/>
                <w:lang w:val="en-US" w:eastAsia="zh-CN"/>
              </w:rPr>
              <w:t>8</w:t>
            </w:r>
          </w:p>
        </w:tc>
        <w:tc>
          <w:tcPr>
            <w:tcW w:w="2920" w:type="dxa"/>
            <w:tcMar>
              <w:left w:w="113" w:type="dxa"/>
              <w:right w:w="113" w:type="dxa"/>
            </w:tcMar>
            <w:vAlign w:val="center"/>
          </w:tcPr>
          <w:p>
            <w:pPr>
              <w:pStyle w:val="53"/>
              <w:snapToGrid w:val="0"/>
              <w:spacing w:line="480" w:lineRule="exact"/>
              <w:jc w:val="both"/>
              <w:rPr>
                <w:color w:val="auto"/>
                <w:sz w:val="28"/>
                <w:szCs w:val="28"/>
                <w:highlight w:val="none"/>
              </w:rPr>
            </w:pPr>
          </w:p>
          <w:p>
            <w:pPr>
              <w:pStyle w:val="53"/>
              <w:snapToGrid w:val="0"/>
              <w:spacing w:line="480" w:lineRule="exact"/>
              <w:jc w:val="both"/>
              <w:rPr>
                <w:color w:val="auto"/>
                <w:sz w:val="28"/>
                <w:szCs w:val="28"/>
                <w:highlight w:val="none"/>
              </w:rPr>
            </w:pPr>
            <w:r>
              <w:rPr>
                <w:rFonts w:hint="eastAsia"/>
                <w:color w:val="auto"/>
                <w:sz w:val="28"/>
                <w:szCs w:val="28"/>
                <w:highlight w:val="none"/>
              </w:rPr>
              <w:t>磋商文件的解释权顺序</w:t>
            </w:r>
          </w:p>
        </w:tc>
        <w:tc>
          <w:tcPr>
            <w:tcW w:w="5450" w:type="dxa"/>
            <w:tcMar>
              <w:left w:w="113" w:type="dxa"/>
              <w:right w:w="113" w:type="dxa"/>
            </w:tcMar>
          </w:tcPr>
          <w:p>
            <w:pPr>
              <w:pStyle w:val="53"/>
              <w:snapToGrid w:val="0"/>
              <w:spacing w:line="480" w:lineRule="exact"/>
              <w:jc w:val="both"/>
              <w:rPr>
                <w:color w:val="auto"/>
                <w:sz w:val="28"/>
                <w:szCs w:val="28"/>
                <w:highlight w:val="none"/>
              </w:rPr>
            </w:pPr>
            <w:r>
              <w:rPr>
                <w:rFonts w:hint="eastAsia"/>
                <w:color w:val="auto"/>
                <w:sz w:val="28"/>
                <w:szCs w:val="28"/>
                <w:highlight w:val="none"/>
              </w:rPr>
              <w:t>1、构成本磋商文件的各个组成文件应互为解释，互为说明；</w:t>
            </w:r>
          </w:p>
          <w:p>
            <w:pPr>
              <w:pStyle w:val="53"/>
              <w:snapToGrid w:val="0"/>
              <w:spacing w:line="480" w:lineRule="exact"/>
              <w:jc w:val="both"/>
              <w:rPr>
                <w:color w:val="auto"/>
                <w:sz w:val="28"/>
                <w:szCs w:val="28"/>
                <w:highlight w:val="none"/>
              </w:rPr>
            </w:pPr>
            <w:r>
              <w:rPr>
                <w:rFonts w:hint="eastAsia"/>
                <w:color w:val="auto"/>
                <w:sz w:val="28"/>
                <w:szCs w:val="28"/>
                <w:highlight w:val="none"/>
              </w:rPr>
              <w:t>2、除磋商文件中有特别规定外，仅适用于招标投标阶段的规定，同一组成文件中就同一事项的规定或约定不一致的，按评</w:t>
            </w:r>
            <w:r>
              <w:rPr>
                <w:rFonts w:hint="eastAsia"/>
                <w:color w:val="auto"/>
                <w:sz w:val="28"/>
                <w:szCs w:val="28"/>
                <w:highlight w:val="none"/>
                <w:lang w:eastAsia="zh-CN"/>
              </w:rPr>
              <w:t>审</w:t>
            </w:r>
            <w:r>
              <w:rPr>
                <w:rFonts w:hint="eastAsia"/>
                <w:color w:val="auto"/>
                <w:sz w:val="28"/>
                <w:szCs w:val="28"/>
                <w:highlight w:val="none"/>
              </w:rPr>
              <w:t>办法、</w:t>
            </w:r>
            <w:r>
              <w:rPr>
                <w:rFonts w:ascii="宋体" w:hAnsi="宋体" w:eastAsia="宋体" w:cs="宋体"/>
                <w:color w:val="auto"/>
                <w:spacing w:val="10"/>
                <w:sz w:val="27"/>
                <w:szCs w:val="27"/>
                <w:highlight w:val="none"/>
              </w:rPr>
              <w:t>磋商</w:t>
            </w:r>
            <w:r>
              <w:rPr>
                <w:rFonts w:hint="eastAsia"/>
                <w:color w:val="auto"/>
                <w:sz w:val="28"/>
                <w:szCs w:val="28"/>
                <w:highlight w:val="none"/>
              </w:rPr>
              <w:t>公告、供应商须知、</w:t>
            </w:r>
            <w:r>
              <w:rPr>
                <w:rFonts w:ascii="宋体" w:hAnsi="宋体" w:eastAsia="宋体" w:cs="宋体"/>
                <w:color w:val="auto"/>
                <w:spacing w:val="10"/>
                <w:sz w:val="27"/>
                <w:szCs w:val="27"/>
                <w:highlight w:val="none"/>
              </w:rPr>
              <w:t>磋商</w:t>
            </w:r>
            <w:r>
              <w:rPr>
                <w:rFonts w:hint="eastAsia" w:cs="宋体"/>
                <w:color w:val="auto"/>
                <w:spacing w:val="10"/>
                <w:sz w:val="27"/>
                <w:szCs w:val="27"/>
                <w:highlight w:val="none"/>
                <w:lang w:eastAsia="zh-CN"/>
              </w:rPr>
              <w:t>响应</w:t>
            </w:r>
            <w:r>
              <w:rPr>
                <w:rFonts w:hint="eastAsia"/>
                <w:color w:val="auto"/>
                <w:sz w:val="28"/>
                <w:szCs w:val="28"/>
                <w:highlight w:val="none"/>
              </w:rPr>
              <w:t>文件格式的优先顺序解释；</w:t>
            </w:r>
          </w:p>
          <w:p>
            <w:pPr>
              <w:pStyle w:val="53"/>
              <w:snapToGrid w:val="0"/>
              <w:spacing w:line="480" w:lineRule="exact"/>
              <w:jc w:val="both"/>
              <w:rPr>
                <w:color w:val="auto"/>
                <w:sz w:val="28"/>
                <w:szCs w:val="28"/>
                <w:highlight w:val="none"/>
              </w:rPr>
            </w:pPr>
            <w:r>
              <w:rPr>
                <w:rFonts w:hint="eastAsia"/>
                <w:color w:val="auto"/>
                <w:sz w:val="28"/>
                <w:szCs w:val="28"/>
                <w:highlight w:val="none"/>
              </w:rPr>
              <w:t>3、按上述规定仍不能形成结论的，由</w:t>
            </w:r>
            <w:r>
              <w:rPr>
                <w:rFonts w:hint="eastAsia"/>
                <w:color w:val="auto"/>
                <w:sz w:val="28"/>
                <w:szCs w:val="28"/>
                <w:highlight w:val="none"/>
                <w:lang w:eastAsia="zh-CN"/>
              </w:rPr>
              <w:t>采购</w:t>
            </w:r>
            <w:r>
              <w:rPr>
                <w:rFonts w:hint="eastAsia"/>
                <w:color w:val="auto"/>
                <w:sz w:val="28"/>
                <w:szCs w:val="28"/>
                <w:highlight w:val="none"/>
              </w:rPr>
              <w:t>人或其委托的招标代理机构负责解释。</w:t>
            </w:r>
          </w:p>
        </w:tc>
      </w:tr>
    </w:tbl>
    <w:p>
      <w:pPr>
        <w:pStyle w:val="3"/>
        <w:adjustRightInd w:val="0"/>
        <w:snapToGrid w:val="0"/>
        <w:spacing w:before="0" w:after="0" w:line="276" w:lineRule="auto"/>
        <w:jc w:val="center"/>
        <w:rPr>
          <w:rFonts w:ascii="宋体" w:hAnsi="宋体" w:eastAsia="宋体"/>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rPr>
        <w:t>第三章  磋商响应须知</w:t>
      </w:r>
    </w:p>
    <w:p>
      <w:pPr>
        <w:pStyle w:val="5"/>
        <w:spacing w:before="0" w:after="0" w:line="460" w:lineRule="exact"/>
        <w:ind w:firstLine="560" w:firstLineChars="200"/>
        <w:rPr>
          <w:rFonts w:ascii="宋体" w:hAnsi="宋体" w:cs="宋体"/>
          <w:b w:val="0"/>
          <w:bCs w:val="0"/>
          <w:color w:val="auto"/>
          <w:kern w:val="0"/>
          <w:sz w:val="28"/>
          <w:szCs w:val="28"/>
          <w:highlight w:val="none"/>
        </w:rPr>
      </w:pPr>
      <w:r>
        <w:rPr>
          <w:rFonts w:hint="eastAsia" w:ascii="宋体" w:hAnsi="宋体" w:cs="宋体"/>
          <w:b w:val="0"/>
          <w:bCs w:val="0"/>
          <w:color w:val="auto"/>
          <w:kern w:val="0"/>
          <w:sz w:val="28"/>
          <w:szCs w:val="28"/>
          <w:highlight w:val="none"/>
        </w:rPr>
        <w:t>一、总则</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1、本竞争性磋商文件仅适用于本次竞争性磋商的工程项目</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代理机构接受采购人委托，根据采购人提交的服务要求，对此项目进行代理，编制竞争性磋商文件，组织开评标活动。</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2、本竞争性磋商文件仅适用于本次竞争性磋商的工程项目</w:t>
      </w:r>
      <w:r>
        <w:rPr>
          <w:rFonts w:ascii="宋体" w:hAnsi="宋体" w:cs="宋体"/>
          <w:color w:val="auto"/>
          <w:kern w:val="0"/>
          <w:sz w:val="28"/>
          <w:szCs w:val="28"/>
          <w:highlight w:val="none"/>
        </w:rPr>
        <w:t>。无论</w:t>
      </w:r>
      <w:r>
        <w:rPr>
          <w:rFonts w:hint="eastAsia" w:ascii="宋体" w:hAnsi="宋体" w:cs="宋体"/>
          <w:color w:val="auto"/>
          <w:kern w:val="0"/>
          <w:sz w:val="28"/>
          <w:szCs w:val="28"/>
          <w:highlight w:val="none"/>
        </w:rPr>
        <w:t>竞争性磋商</w:t>
      </w:r>
      <w:r>
        <w:rPr>
          <w:rFonts w:ascii="宋体" w:hAnsi="宋体" w:cs="宋体"/>
          <w:color w:val="auto"/>
          <w:kern w:val="0"/>
          <w:sz w:val="28"/>
          <w:szCs w:val="28"/>
          <w:highlight w:val="none"/>
        </w:rPr>
        <w:t>文件是否列明，</w:t>
      </w:r>
      <w:r>
        <w:rPr>
          <w:rFonts w:hint="eastAsia" w:ascii="宋体" w:hAnsi="宋体" w:cs="宋体"/>
          <w:color w:val="auto"/>
          <w:kern w:val="0"/>
          <w:sz w:val="28"/>
          <w:szCs w:val="28"/>
          <w:highlight w:val="none"/>
        </w:rPr>
        <w:t>供应商</w:t>
      </w:r>
      <w:r>
        <w:rPr>
          <w:rFonts w:ascii="宋体" w:hAnsi="宋体" w:cs="宋体"/>
          <w:color w:val="auto"/>
          <w:kern w:val="0"/>
          <w:sz w:val="28"/>
          <w:szCs w:val="28"/>
          <w:highlight w:val="none"/>
        </w:rPr>
        <w:t>所提供的服务</w:t>
      </w:r>
      <w:r>
        <w:rPr>
          <w:rFonts w:hint="eastAsia" w:ascii="宋体" w:hAnsi="宋体" w:cs="宋体"/>
          <w:color w:val="auto"/>
          <w:kern w:val="0"/>
          <w:sz w:val="28"/>
          <w:szCs w:val="28"/>
          <w:highlight w:val="none"/>
        </w:rPr>
        <w:t>必</w:t>
      </w:r>
      <w:r>
        <w:rPr>
          <w:rFonts w:ascii="宋体" w:hAnsi="宋体" w:cs="宋体"/>
          <w:color w:val="auto"/>
          <w:kern w:val="0"/>
          <w:sz w:val="28"/>
          <w:szCs w:val="28"/>
          <w:highlight w:val="none"/>
        </w:rPr>
        <w:t>须符合国家</w:t>
      </w:r>
      <w:r>
        <w:rPr>
          <w:rFonts w:hint="eastAsia" w:ascii="宋体" w:hAnsi="宋体" w:cs="宋体"/>
          <w:color w:val="auto"/>
          <w:kern w:val="0"/>
          <w:sz w:val="28"/>
          <w:szCs w:val="28"/>
          <w:highlight w:val="none"/>
        </w:rPr>
        <w:t>相关</w:t>
      </w:r>
      <w:r>
        <w:rPr>
          <w:rFonts w:ascii="宋体" w:hAnsi="宋体" w:cs="宋体"/>
          <w:color w:val="auto"/>
          <w:kern w:val="0"/>
          <w:sz w:val="28"/>
          <w:szCs w:val="28"/>
          <w:highlight w:val="none"/>
        </w:rPr>
        <w:t>现行法律法规的规定，否则</w:t>
      </w:r>
      <w:r>
        <w:rPr>
          <w:rFonts w:hint="eastAsia" w:ascii="宋体" w:hAnsi="宋体" w:cs="宋体"/>
          <w:color w:val="auto"/>
          <w:kern w:val="0"/>
          <w:sz w:val="28"/>
          <w:szCs w:val="28"/>
          <w:highlight w:val="none"/>
        </w:rPr>
        <w:t>磋商响应</w:t>
      </w:r>
      <w:r>
        <w:rPr>
          <w:rFonts w:ascii="宋体" w:hAnsi="宋体" w:cs="宋体"/>
          <w:color w:val="auto"/>
          <w:kern w:val="0"/>
          <w:sz w:val="28"/>
          <w:szCs w:val="28"/>
          <w:highlight w:val="none"/>
        </w:rPr>
        <w:t>无效。本</w:t>
      </w:r>
      <w:r>
        <w:rPr>
          <w:rFonts w:hint="eastAsia" w:ascii="宋体" w:hAnsi="宋体" w:cs="宋体"/>
          <w:color w:val="auto"/>
          <w:kern w:val="0"/>
          <w:sz w:val="28"/>
          <w:szCs w:val="28"/>
          <w:highlight w:val="none"/>
        </w:rPr>
        <w:t>竞争性磋商</w:t>
      </w:r>
      <w:r>
        <w:rPr>
          <w:rFonts w:ascii="宋体" w:hAnsi="宋体" w:cs="宋体"/>
          <w:color w:val="auto"/>
          <w:kern w:val="0"/>
          <w:sz w:val="28"/>
          <w:szCs w:val="28"/>
          <w:highlight w:val="none"/>
        </w:rPr>
        <w:t>文件所要求的证书、认证、资质，均应当是有权机构颁发，且在有效期内。</w:t>
      </w:r>
    </w:p>
    <w:p>
      <w:pPr>
        <w:pStyle w:val="5"/>
        <w:spacing w:before="0" w:after="0" w:line="460" w:lineRule="exact"/>
        <w:ind w:firstLine="560" w:firstLineChars="200"/>
        <w:rPr>
          <w:rFonts w:ascii="宋体" w:hAnsi="宋体" w:cs="宋体"/>
          <w:b w:val="0"/>
          <w:bCs w:val="0"/>
          <w:color w:val="auto"/>
          <w:kern w:val="0"/>
          <w:sz w:val="28"/>
          <w:szCs w:val="28"/>
          <w:highlight w:val="none"/>
        </w:rPr>
      </w:pPr>
      <w:r>
        <w:rPr>
          <w:rFonts w:hint="eastAsia" w:ascii="宋体" w:hAnsi="宋体" w:cs="宋体"/>
          <w:b w:val="0"/>
          <w:bCs w:val="0"/>
          <w:color w:val="auto"/>
          <w:kern w:val="0"/>
          <w:sz w:val="28"/>
          <w:szCs w:val="28"/>
          <w:highlight w:val="none"/>
        </w:rPr>
        <w:t>二、竞争性磋商文件</w:t>
      </w:r>
    </w:p>
    <w:p>
      <w:pPr>
        <w:spacing w:line="460" w:lineRule="exact"/>
        <w:ind w:firstLine="549"/>
        <w:rPr>
          <w:rFonts w:ascii="宋体" w:hAnsi="宋体" w:cs="宋体"/>
          <w:color w:val="auto"/>
          <w:kern w:val="0"/>
          <w:sz w:val="28"/>
          <w:szCs w:val="28"/>
          <w:highlight w:val="none"/>
        </w:rPr>
      </w:pPr>
      <w:r>
        <w:rPr>
          <w:rFonts w:ascii="宋体" w:hAnsi="宋体" w:cs="宋体"/>
          <w:color w:val="auto"/>
          <w:kern w:val="0"/>
          <w:sz w:val="28"/>
          <w:szCs w:val="28"/>
          <w:highlight w:val="none"/>
        </w:rPr>
        <w:t>3、</w:t>
      </w:r>
      <w:r>
        <w:rPr>
          <w:rFonts w:hint="eastAsia" w:ascii="宋体" w:hAnsi="宋体" w:cs="宋体"/>
          <w:color w:val="auto"/>
          <w:kern w:val="0"/>
          <w:sz w:val="28"/>
          <w:szCs w:val="28"/>
          <w:highlight w:val="none"/>
        </w:rPr>
        <w:t>供应商应当按照竞争性磋商文件的要求编制磋商响应文件。磋商响应文件应对竞争性磋商文件提出的要求和条件作出实质性响应。供应商</w:t>
      </w:r>
      <w:r>
        <w:rPr>
          <w:rFonts w:ascii="宋体" w:hAnsi="宋体" w:cs="宋体"/>
          <w:color w:val="auto"/>
          <w:kern w:val="0"/>
          <w:sz w:val="28"/>
          <w:szCs w:val="28"/>
          <w:highlight w:val="none"/>
        </w:rPr>
        <w:t>应认真阅读和充分理解</w:t>
      </w:r>
      <w:r>
        <w:rPr>
          <w:rFonts w:hint="eastAsia" w:ascii="宋体" w:hAnsi="宋体" w:cs="宋体"/>
          <w:color w:val="auto"/>
          <w:kern w:val="0"/>
          <w:sz w:val="28"/>
          <w:szCs w:val="28"/>
          <w:highlight w:val="none"/>
        </w:rPr>
        <w:t>竞争性磋商</w:t>
      </w:r>
      <w:r>
        <w:rPr>
          <w:rFonts w:ascii="宋体" w:hAnsi="宋体" w:cs="宋体"/>
          <w:color w:val="auto"/>
          <w:kern w:val="0"/>
          <w:sz w:val="28"/>
          <w:szCs w:val="28"/>
          <w:highlight w:val="none"/>
        </w:rPr>
        <w:t>文件中所有的内容。如果</w:t>
      </w:r>
      <w:r>
        <w:rPr>
          <w:rFonts w:hint="eastAsia" w:ascii="宋体" w:hAnsi="宋体" w:cs="宋体"/>
          <w:color w:val="auto"/>
          <w:kern w:val="0"/>
          <w:sz w:val="28"/>
          <w:szCs w:val="28"/>
          <w:highlight w:val="none"/>
        </w:rPr>
        <w:t>供应商</w:t>
      </w:r>
      <w:r>
        <w:rPr>
          <w:rFonts w:ascii="宋体" w:hAnsi="宋体" w:cs="宋体"/>
          <w:color w:val="auto"/>
          <w:kern w:val="0"/>
          <w:sz w:val="28"/>
          <w:szCs w:val="28"/>
          <w:highlight w:val="none"/>
        </w:rPr>
        <w:t>没有满足</w:t>
      </w:r>
      <w:r>
        <w:rPr>
          <w:rFonts w:hint="eastAsia" w:ascii="宋体" w:hAnsi="宋体" w:cs="宋体"/>
          <w:color w:val="auto"/>
          <w:kern w:val="0"/>
          <w:sz w:val="28"/>
          <w:szCs w:val="28"/>
          <w:highlight w:val="none"/>
        </w:rPr>
        <w:t>竞争性磋商</w:t>
      </w:r>
      <w:r>
        <w:rPr>
          <w:rFonts w:ascii="宋体" w:hAnsi="宋体" w:cs="宋体"/>
          <w:color w:val="auto"/>
          <w:kern w:val="0"/>
          <w:sz w:val="28"/>
          <w:szCs w:val="28"/>
          <w:highlight w:val="none"/>
        </w:rPr>
        <w:t>文件的有关要求，其风险由</w:t>
      </w:r>
      <w:r>
        <w:rPr>
          <w:rFonts w:hint="eastAsia" w:ascii="宋体" w:hAnsi="宋体" w:cs="宋体"/>
          <w:color w:val="auto"/>
          <w:kern w:val="0"/>
          <w:sz w:val="28"/>
          <w:szCs w:val="28"/>
          <w:highlight w:val="none"/>
        </w:rPr>
        <w:t>供应商</w:t>
      </w:r>
      <w:r>
        <w:rPr>
          <w:rFonts w:ascii="宋体" w:hAnsi="宋体" w:cs="宋体"/>
          <w:color w:val="auto"/>
          <w:kern w:val="0"/>
          <w:sz w:val="28"/>
          <w:szCs w:val="28"/>
          <w:highlight w:val="none"/>
        </w:rPr>
        <w:t>自行承担。</w:t>
      </w:r>
    </w:p>
    <w:p>
      <w:pPr>
        <w:pStyle w:val="17"/>
        <w:spacing w:line="460" w:lineRule="exact"/>
        <w:ind w:firstLine="560" w:firstLineChars="200"/>
        <w:rPr>
          <w:rFonts w:hAnsi="宋体" w:eastAsia="宋体"/>
          <w:color w:val="auto"/>
          <w:kern w:val="0"/>
          <w:szCs w:val="28"/>
          <w:highlight w:val="none"/>
        </w:rPr>
      </w:pPr>
      <w:r>
        <w:rPr>
          <w:rFonts w:hint="eastAsia" w:hAnsi="宋体" w:eastAsia="宋体"/>
          <w:color w:val="auto"/>
          <w:kern w:val="0"/>
          <w:szCs w:val="28"/>
          <w:highlight w:val="none"/>
        </w:rPr>
        <w:t>4、供应商获取竞争性磋商文件后，应仔细检查竞争性磋商文件的所有内容，如有残缺、疑问等问题应在须知前附表中规定的时间内向采购人和代理机构提出，否则，由此引起的损失由供应商自行承担。</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5、答疑及竞争性磋商文件的澄清与修改</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5.1供应商可以要求采购单位对竞争性磋商文件中的有关问题进行答疑、澄清。</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5.2供应商对竞争性磋商文件如有疑问，须在法律规定的时间前按竞争性磋商公告中的联系方式，以书面形式通知采购人和代理机构。未在规定时间提出疑问的，将不予答复。在此规定时间以前收到的、且需要做出澄清的问题，将在磋商响应截止前以公告的形式刊登在“铜陵公共资源交易网” “补充公告”一栏，告知所有供应商，但不说明问题的来源。因此，供应商无论是否提出过澄清的要求，均应上网查看是否有关本项目的澄清说明。</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6、竞争性磋商文件的修改</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6.1在某些情况下，采购人可能对竞争性磋商文件进行修改。</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6.2采购人对竞争性磋商文件的修改，将在网站以补充公告的形式通知所有供应商，并对所有供应商具有约束力。</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6.3为使供应商有充分时间对竞争性磋商文件的修改部分进行研究或由于其他原因，采购人可以决定延长磋商响应截止日期，并以补充公告的形式将变更时间通知所有供应商。</w:t>
      </w:r>
    </w:p>
    <w:p>
      <w:pPr>
        <w:pStyle w:val="17"/>
        <w:adjustRightInd w:val="0"/>
        <w:snapToGrid w:val="0"/>
        <w:spacing w:line="460" w:lineRule="exact"/>
        <w:ind w:firstLine="560" w:firstLineChars="200"/>
        <w:rPr>
          <w:rFonts w:hAnsi="宋体" w:eastAsia="宋体"/>
          <w:color w:val="auto"/>
          <w:szCs w:val="28"/>
          <w:highlight w:val="none"/>
        </w:rPr>
      </w:pPr>
      <w:r>
        <w:rPr>
          <w:rFonts w:hint="eastAsia" w:hAnsi="宋体" w:eastAsia="宋体" w:cs="华文仿宋"/>
          <w:color w:val="auto"/>
          <w:szCs w:val="28"/>
          <w:highlight w:val="none"/>
        </w:rPr>
        <w:t xml:space="preserve">6.4.澄清或者修改的内容为竞争性磋商文件的组成部分，与竞争性磋商文件具有同等的效力； </w:t>
      </w:r>
    </w:p>
    <w:p>
      <w:pPr>
        <w:pStyle w:val="17"/>
        <w:adjustRightInd w:val="0"/>
        <w:snapToGrid w:val="0"/>
        <w:spacing w:line="460" w:lineRule="exact"/>
        <w:ind w:firstLine="560" w:firstLineChars="200"/>
        <w:rPr>
          <w:rFonts w:hAnsi="宋体" w:eastAsia="宋体"/>
          <w:color w:val="auto"/>
          <w:szCs w:val="28"/>
          <w:highlight w:val="none"/>
        </w:rPr>
      </w:pPr>
      <w:r>
        <w:rPr>
          <w:rFonts w:hint="eastAsia" w:hAnsi="宋体" w:eastAsia="宋体"/>
          <w:color w:val="auto"/>
          <w:szCs w:val="28"/>
          <w:highlight w:val="none"/>
        </w:rPr>
        <w:t>7.</w:t>
      </w:r>
      <w:r>
        <w:rPr>
          <w:rFonts w:hint="eastAsia" w:hAnsi="宋体" w:cs="华文仿宋"/>
          <w:bCs/>
          <w:color w:val="auto"/>
          <w:szCs w:val="28"/>
          <w:highlight w:val="none"/>
        </w:rPr>
        <w:t>报名</w:t>
      </w:r>
      <w:r>
        <w:rPr>
          <w:rFonts w:hint="eastAsia" w:hAnsi="宋体" w:eastAsia="宋体"/>
          <w:color w:val="auto"/>
          <w:szCs w:val="28"/>
          <w:highlight w:val="none"/>
        </w:rPr>
        <w:t>下载磋商文件</w:t>
      </w:r>
    </w:p>
    <w:p>
      <w:pPr>
        <w:pStyle w:val="17"/>
        <w:adjustRightInd w:val="0"/>
        <w:snapToGrid w:val="0"/>
        <w:spacing w:line="460" w:lineRule="exact"/>
        <w:ind w:firstLine="560" w:firstLineChars="200"/>
        <w:rPr>
          <w:rFonts w:hAnsi="宋体" w:eastAsia="宋体"/>
          <w:color w:val="auto"/>
          <w:szCs w:val="28"/>
          <w:highlight w:val="none"/>
        </w:rPr>
      </w:pPr>
      <w:r>
        <w:rPr>
          <w:rFonts w:hint="eastAsia" w:hAnsi="宋体" w:eastAsia="宋体"/>
          <w:color w:val="auto"/>
          <w:szCs w:val="28"/>
          <w:highlight w:val="none"/>
        </w:rPr>
        <w:t>7.1供应商在磋商文件获取时间内登录系统完善投标信息、下载磋商文件和其他相关资料。如有补疑、答疑、澄清和修改，招标人在网上澄清公告栏发布相关内容，供应商应及时上网查阅，通过系统下载最新的答疑文件，据此制作投标文件。</w:t>
      </w:r>
    </w:p>
    <w:p>
      <w:pPr>
        <w:pStyle w:val="17"/>
        <w:adjustRightInd w:val="0"/>
        <w:snapToGrid w:val="0"/>
        <w:spacing w:line="460" w:lineRule="exact"/>
        <w:ind w:firstLine="560" w:firstLineChars="200"/>
        <w:rPr>
          <w:rFonts w:hAnsi="宋体" w:eastAsia="宋体"/>
          <w:color w:val="auto"/>
          <w:szCs w:val="28"/>
          <w:highlight w:val="none"/>
        </w:rPr>
      </w:pPr>
      <w:r>
        <w:rPr>
          <w:rFonts w:hint="eastAsia" w:hAnsi="宋体" w:eastAsia="宋体"/>
          <w:color w:val="auto"/>
          <w:kern w:val="0"/>
          <w:szCs w:val="28"/>
          <w:highlight w:val="none"/>
        </w:rPr>
        <w:t>7.2供应商获取磋商文件后，应仔细检查磋商文件的所有内容，如有残缺、疑问等问题应在须知前附表中规定的时间内向采购人和代理机构提出，否则，由此引起的损失由供应商自行承担。</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三、供应商</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8、磋商响应费用。</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供应商必须自行承担所有与参加磋商响应有关的一切费用。不论磋商响应的结果如何，采购人和采购代理机构在任何情况下均无义务和责任承担这些费用。</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9、合格的供应商</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9.1合格的供应商应当满足本项目采购文件所载明须满足的最低条件。</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9.2供应商之间如果存在下列情形之一的，不得同时参加同一标段（包别）或者不分标段（包别）的同一项目磋商响应，相关供应商均按无效标进行处理：</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9.2.1法定代表人为同一个人的两个及两个以上法人；</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9.2.2母公司、全资子公司及其控股公司；</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9.2.3参加磋商响应的其他组织之间存在特殊的利害关系的；</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9.2.4法律和行政法规规定的其他情形。</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10、勘查现场</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10.1供应商应自行对服务场地和周围环境进行勘查，以获取编制磋商响应文件和签署合同所需的资料。勘查现场的方式、地址及联系方式见供应商须知前附表。</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10.2勘查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10.3除非有特殊要求，竞争性磋商文件不单独提供现场的自然环境、气候条件、公用设施等情况，供应商被视为熟悉上述与履行合同有关的一切情况。</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11、知识产权</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11.1供应商须保证，采购人在中华人民共和国境内使用磋商响应货物、资料、技术、服务或其任何一部分时，享有不受限制的无偿使用权，不会产生因第三方提出侵犯其专利权、商标权或其它知识产权而引起的法律或经济纠纷。如供应商不拥有相应的知识产权，则在磋商响应报价中必须包括合法获取该知识产权的一切相关费用。如因此导致采购人损失的，供应商须承担全部赔偿责任。</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11.2供应商如欲在项目实施过程中采用自有知识成果，须在磋商响应文件中声明，并提供相关知识产权证明文件。使用该知识成果后，供应商须提供开发接口和开发手册等技术文档。</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12、纪律与保密</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12.1供应商的磋商响应行为应遵守中国的有关法律、法规和规章。</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12.2供应商不得相互串通磋商响应报价，不得妨碍其他供应商的公平竞争，不得损害采购人或其他供应商的合法权益，供应商不得以向采购人、磋商小组成员行贿或者采取其他不正当手段谋取成交。</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12.2.1有下列情形之一的，属于供应商相互串通磋商响应：</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12.2.1.1供应商之间协商磋商响应报价等磋商响应文件的实质性内容；</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12.2.1.2供应商之间约定成交供应商；</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12.2.1.3供应商之间约定部分供应商放弃磋商响应或者成交；</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12.2.1.4属于同一集团、协会、商会等组织成员的供应商按照该组织要求协同磋商响应；</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12.2.1.5供应商之间为谋取成交或者排斥特定供应商而采取的其他联合行动。</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12.2.1.6法律法规规定的其它情形。</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 有下列情形之一的，视为供应商相互串通磋商响应：</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12.2.2.1不同供应商的磋商响应文件由同一单位（或同一个人）编制；</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12.2.2.2不同供应商委托同一单位或者个人办理磋商响应事宜，或提交磋商响应文件的网卡地址一致；</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12.2.2.3不同供应商的磋商响应文件载明的项目负责人（或技术负责人）为同一人；</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12.2.2.4不同供应商的磋商响应文件相互混装；</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12.2.2.5不同供应商的磋商文件异常一致或者磋商最终报价是呈规律性差异；</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12.2.2.6不同供应商的磋商响应保证金从同一单位（或同一个人）的账户转出；</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12.2.2.7 法律法规规定的其它情形。</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12.3在确定成交供应商之前，供应商试图在磋商响应文件审查、澄清、比较和评价时对磋商小组、采购人和采购中心施加任何影响都可能导致其磋商响应无效。</w:t>
      </w:r>
    </w:p>
    <w:p>
      <w:pPr>
        <w:adjustRightInd w:val="0"/>
        <w:snapToGrid w:val="0"/>
        <w:spacing w:line="460" w:lineRule="exact"/>
        <w:ind w:firstLine="549"/>
        <w:rPr>
          <w:rFonts w:ascii="宋体" w:hAnsi="宋体" w:cs="华文仿宋"/>
          <w:color w:val="auto"/>
          <w:sz w:val="28"/>
          <w:szCs w:val="28"/>
          <w:highlight w:val="none"/>
        </w:rPr>
      </w:pPr>
      <w:r>
        <w:rPr>
          <w:rFonts w:hint="eastAsia" w:ascii="宋体" w:hAnsi="宋体" w:cs="华文仿宋"/>
          <w:color w:val="auto"/>
          <w:sz w:val="28"/>
          <w:szCs w:val="28"/>
          <w:highlight w:val="none"/>
        </w:rPr>
        <w:t xml:space="preserve">12.4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pPr>
        <w:adjustRightInd w:val="0"/>
        <w:snapToGrid w:val="0"/>
        <w:spacing w:line="460" w:lineRule="exact"/>
        <w:ind w:firstLine="549"/>
        <w:rPr>
          <w:rFonts w:ascii="宋体" w:hAnsi="宋体" w:cs="华文仿宋"/>
          <w:color w:val="auto"/>
          <w:sz w:val="28"/>
          <w:szCs w:val="28"/>
          <w:highlight w:val="none"/>
        </w:rPr>
      </w:pPr>
      <w:r>
        <w:rPr>
          <w:rFonts w:hint="eastAsia" w:ascii="宋体" w:hAnsi="宋体" w:cs="华文仿宋"/>
          <w:color w:val="auto"/>
          <w:sz w:val="28"/>
          <w:szCs w:val="28"/>
          <w:highlight w:val="none"/>
        </w:rPr>
        <w:t xml:space="preserve">①提供虚假材料谋取中标、成交的； </w:t>
      </w:r>
    </w:p>
    <w:p>
      <w:pPr>
        <w:adjustRightInd w:val="0"/>
        <w:snapToGrid w:val="0"/>
        <w:spacing w:line="460" w:lineRule="exact"/>
        <w:ind w:firstLine="549"/>
        <w:rPr>
          <w:rFonts w:ascii="宋体" w:hAnsi="宋体" w:cs="华文仿宋"/>
          <w:color w:val="auto"/>
          <w:sz w:val="28"/>
          <w:szCs w:val="28"/>
          <w:highlight w:val="none"/>
        </w:rPr>
      </w:pPr>
      <w:r>
        <w:rPr>
          <w:rFonts w:hint="eastAsia" w:ascii="宋体" w:hAnsi="宋体" w:cs="华文仿宋"/>
          <w:color w:val="auto"/>
          <w:sz w:val="28"/>
          <w:szCs w:val="28"/>
          <w:highlight w:val="none"/>
        </w:rPr>
        <w:t xml:space="preserve">②采取不正当手段诋毁、排挤其他供应商的； </w:t>
      </w:r>
    </w:p>
    <w:p>
      <w:pPr>
        <w:adjustRightInd w:val="0"/>
        <w:snapToGrid w:val="0"/>
        <w:spacing w:line="460" w:lineRule="exact"/>
        <w:ind w:firstLine="549"/>
        <w:rPr>
          <w:rFonts w:ascii="宋体" w:hAnsi="宋体" w:cs="华文仿宋"/>
          <w:color w:val="auto"/>
          <w:sz w:val="28"/>
          <w:szCs w:val="28"/>
          <w:highlight w:val="none"/>
        </w:rPr>
      </w:pPr>
      <w:r>
        <w:rPr>
          <w:rFonts w:hint="eastAsia" w:ascii="宋体" w:hAnsi="宋体" w:cs="华文仿宋"/>
          <w:color w:val="auto"/>
          <w:sz w:val="28"/>
          <w:szCs w:val="28"/>
          <w:highlight w:val="none"/>
        </w:rPr>
        <w:t>③与采购人、其他供应商或者采购代理机构恶意串通的；</w:t>
      </w:r>
    </w:p>
    <w:p>
      <w:pPr>
        <w:adjustRightInd w:val="0"/>
        <w:snapToGrid w:val="0"/>
        <w:spacing w:line="460" w:lineRule="exact"/>
        <w:ind w:firstLine="550"/>
        <w:rPr>
          <w:rFonts w:ascii="宋体" w:hAnsi="宋体" w:cs="华文仿宋"/>
          <w:color w:val="auto"/>
          <w:sz w:val="28"/>
          <w:szCs w:val="28"/>
          <w:highlight w:val="none"/>
        </w:rPr>
      </w:pPr>
      <w:r>
        <w:rPr>
          <w:rFonts w:hint="eastAsia" w:ascii="宋体" w:hAnsi="宋体" w:cs="华文仿宋"/>
          <w:color w:val="auto"/>
          <w:sz w:val="28"/>
          <w:szCs w:val="28"/>
          <w:highlight w:val="none"/>
        </w:rPr>
        <w:t xml:space="preserve">④向采购人、采购代理机构行贿或者提供其他不正当利益的；  </w:t>
      </w:r>
    </w:p>
    <w:p>
      <w:pPr>
        <w:adjustRightInd w:val="0"/>
        <w:snapToGrid w:val="0"/>
        <w:spacing w:line="460" w:lineRule="exact"/>
        <w:ind w:firstLine="550"/>
        <w:rPr>
          <w:rFonts w:ascii="宋体" w:hAnsi="宋体" w:cs="华文仿宋"/>
          <w:color w:val="auto"/>
          <w:sz w:val="28"/>
          <w:szCs w:val="28"/>
          <w:highlight w:val="none"/>
        </w:rPr>
      </w:pPr>
      <w:r>
        <w:rPr>
          <w:rFonts w:hint="eastAsia" w:ascii="宋体" w:hAnsi="宋体" w:cs="华文仿宋"/>
          <w:color w:val="auto"/>
          <w:sz w:val="28"/>
          <w:szCs w:val="28"/>
          <w:highlight w:val="none"/>
        </w:rPr>
        <w:t xml:space="preserve">⑤在招标采购过程中与采购人进行协商谈判的； </w:t>
      </w:r>
    </w:p>
    <w:p>
      <w:pPr>
        <w:adjustRightInd w:val="0"/>
        <w:snapToGrid w:val="0"/>
        <w:spacing w:line="460" w:lineRule="exact"/>
        <w:ind w:firstLine="550"/>
        <w:rPr>
          <w:rFonts w:ascii="宋体" w:hAnsi="宋体" w:cs="华文仿宋"/>
          <w:color w:val="auto"/>
          <w:sz w:val="28"/>
          <w:szCs w:val="28"/>
          <w:highlight w:val="none"/>
        </w:rPr>
      </w:pPr>
      <w:r>
        <w:rPr>
          <w:rFonts w:hint="eastAsia" w:ascii="宋体" w:hAnsi="宋体" w:cs="华文仿宋"/>
          <w:color w:val="auto"/>
          <w:sz w:val="28"/>
          <w:szCs w:val="28"/>
          <w:highlight w:val="none"/>
        </w:rPr>
        <w:t xml:space="preserve">⑥拒绝有关部门监督检查或者提供虚假情况的。 </w:t>
      </w:r>
    </w:p>
    <w:p>
      <w:pPr>
        <w:adjustRightInd w:val="0"/>
        <w:snapToGrid w:val="0"/>
        <w:spacing w:line="460" w:lineRule="exact"/>
        <w:ind w:firstLine="550"/>
        <w:rPr>
          <w:rFonts w:ascii="宋体" w:hAnsi="宋体" w:cs="华文仿宋"/>
          <w:color w:val="auto"/>
          <w:sz w:val="28"/>
          <w:szCs w:val="28"/>
          <w:highlight w:val="none"/>
        </w:rPr>
      </w:pPr>
      <w:r>
        <w:rPr>
          <w:rFonts w:hint="eastAsia" w:ascii="宋体" w:hAnsi="宋体" w:cs="华文仿宋"/>
          <w:color w:val="auto"/>
          <w:sz w:val="28"/>
          <w:szCs w:val="28"/>
          <w:highlight w:val="none"/>
        </w:rPr>
        <w:t>供应商有前款第①至⑤项情形之一的，中标、成交无效。</w:t>
      </w:r>
    </w:p>
    <w:p>
      <w:pPr>
        <w:adjustRightInd w:val="0"/>
        <w:snapToGrid w:val="0"/>
        <w:spacing w:line="460" w:lineRule="exact"/>
        <w:ind w:firstLine="550"/>
        <w:rPr>
          <w:rFonts w:ascii="宋体" w:hAnsi="宋体" w:cs="华文仿宋"/>
          <w:color w:val="auto"/>
          <w:sz w:val="28"/>
          <w:szCs w:val="28"/>
          <w:highlight w:val="none"/>
        </w:rPr>
      </w:pPr>
      <w:r>
        <w:rPr>
          <w:rFonts w:hint="eastAsia" w:ascii="宋体" w:hAnsi="宋体" w:cs="华文仿宋"/>
          <w:color w:val="auto"/>
          <w:sz w:val="28"/>
          <w:szCs w:val="28"/>
          <w:highlight w:val="none"/>
        </w:rPr>
        <w:t>12.5投标结束后，供应商的价格、业绩等资料已公开，由此而引起的法律后果，由供应商自行承担，采购人或者采购代理机构不承担任何法律和经济责任；</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13.联合体磋商响应（如有）</w:t>
      </w:r>
    </w:p>
    <w:p>
      <w:pPr>
        <w:spacing w:line="460" w:lineRule="exact"/>
        <w:ind w:firstLine="525"/>
        <w:rPr>
          <w:rFonts w:ascii="宋体" w:hAnsi="宋体" w:cs="宋体"/>
          <w:color w:val="auto"/>
          <w:kern w:val="0"/>
          <w:sz w:val="28"/>
          <w:szCs w:val="28"/>
          <w:highlight w:val="none"/>
        </w:rPr>
      </w:pPr>
      <w:r>
        <w:rPr>
          <w:rFonts w:hint="eastAsia" w:ascii="宋体" w:hAnsi="宋体" w:cs="宋体"/>
          <w:color w:val="auto"/>
          <w:kern w:val="0"/>
          <w:sz w:val="28"/>
          <w:szCs w:val="28"/>
          <w:highlight w:val="none"/>
        </w:rPr>
        <w:t>13.1除非本项目明确要求不接受联合体形式投标外，两个或两个以上供应商可以组成一个联合体投标，以一个供应商的身份投标。</w:t>
      </w:r>
    </w:p>
    <w:p>
      <w:pPr>
        <w:spacing w:line="460" w:lineRule="exact"/>
        <w:ind w:firstLine="525"/>
        <w:rPr>
          <w:rFonts w:ascii="宋体" w:hAnsi="宋体" w:cs="宋体"/>
          <w:color w:val="auto"/>
          <w:kern w:val="0"/>
          <w:sz w:val="28"/>
          <w:szCs w:val="28"/>
          <w:highlight w:val="none"/>
        </w:rPr>
      </w:pPr>
      <w:r>
        <w:rPr>
          <w:rFonts w:hint="eastAsia" w:ascii="宋体" w:hAnsi="宋体" w:cs="宋体"/>
          <w:color w:val="auto"/>
          <w:kern w:val="0"/>
          <w:sz w:val="28"/>
          <w:szCs w:val="28"/>
          <w:highlight w:val="none"/>
        </w:rPr>
        <w:t>13.2联合体各方之间应当签订联合体协议，明确约定联合体各方应当承担的工作和相应的责任，明确联合体牵头人，并将联合体协议连同投标文件一并提交，联合体协议上需加盖联合体各方公章。由同一专业的单位组成的联合体，按照同一资质等级较低的单位确定资质等级。</w:t>
      </w:r>
    </w:p>
    <w:p>
      <w:pPr>
        <w:spacing w:line="460" w:lineRule="exact"/>
        <w:ind w:firstLine="525"/>
        <w:rPr>
          <w:rFonts w:ascii="宋体" w:hAnsi="宋体" w:cs="宋体"/>
          <w:color w:val="auto"/>
          <w:kern w:val="0"/>
          <w:sz w:val="28"/>
          <w:szCs w:val="28"/>
          <w:highlight w:val="none"/>
        </w:rPr>
      </w:pPr>
      <w:r>
        <w:rPr>
          <w:rFonts w:hint="eastAsia" w:ascii="宋体" w:hAnsi="宋体" w:cs="宋体"/>
          <w:color w:val="auto"/>
          <w:kern w:val="0"/>
          <w:sz w:val="28"/>
          <w:szCs w:val="28"/>
          <w:highlight w:val="none"/>
        </w:rPr>
        <w:t>13.3联合体各方签订联合体协议后，不得再以自己的名义单独在同一项目中投标，也不得组成新的联合体参加同一项目投标，否则相关供应商均按无效标处理。</w:t>
      </w:r>
    </w:p>
    <w:p>
      <w:pPr>
        <w:spacing w:line="460" w:lineRule="exact"/>
        <w:ind w:firstLine="525"/>
        <w:rPr>
          <w:rFonts w:ascii="宋体" w:hAnsi="宋体" w:cs="宋体"/>
          <w:color w:val="auto"/>
          <w:kern w:val="0"/>
          <w:sz w:val="28"/>
          <w:szCs w:val="28"/>
          <w:highlight w:val="none"/>
        </w:rPr>
      </w:pPr>
      <w:r>
        <w:rPr>
          <w:rFonts w:hint="eastAsia" w:ascii="宋体" w:hAnsi="宋体" w:cs="宋体"/>
          <w:color w:val="auto"/>
          <w:kern w:val="0"/>
          <w:sz w:val="28"/>
          <w:szCs w:val="28"/>
          <w:highlight w:val="none"/>
        </w:rPr>
        <w:t>13.4联合体投标的，可以由联合体中的一方或者共同提交投标保证金（如有），以一方名义提交保证金的，对联合体各方均具有约束力。</w:t>
      </w:r>
    </w:p>
    <w:p>
      <w:pPr>
        <w:spacing w:line="460" w:lineRule="exact"/>
        <w:ind w:firstLine="525"/>
        <w:rPr>
          <w:rFonts w:ascii="宋体" w:hAnsi="宋体" w:cs="宋体"/>
          <w:color w:val="auto"/>
          <w:kern w:val="0"/>
          <w:sz w:val="28"/>
          <w:szCs w:val="28"/>
          <w:highlight w:val="none"/>
        </w:rPr>
      </w:pPr>
      <w:r>
        <w:rPr>
          <w:rFonts w:hint="eastAsia" w:ascii="宋体" w:hAnsi="宋体" w:cs="宋体"/>
          <w:color w:val="auto"/>
          <w:kern w:val="0"/>
          <w:sz w:val="28"/>
          <w:szCs w:val="28"/>
          <w:highlight w:val="none"/>
        </w:rPr>
        <w:t>14.签章的效力</w:t>
      </w:r>
    </w:p>
    <w:p>
      <w:pPr>
        <w:pStyle w:val="52"/>
        <w:spacing w:line="460" w:lineRule="exact"/>
        <w:ind w:firstLine="560"/>
        <w:rPr>
          <w:rFonts w:ascii="宋体" w:hAnsi="宋体" w:cs="宋体"/>
          <w:b w:val="0"/>
          <w:bCs w:val="0"/>
          <w:color w:val="auto"/>
          <w:kern w:val="0"/>
          <w:highlight w:val="none"/>
        </w:rPr>
      </w:pPr>
      <w:r>
        <w:rPr>
          <w:rFonts w:hint="eastAsia" w:ascii="宋体" w:hAnsi="宋体"/>
          <w:b w:val="0"/>
          <w:bCs w:val="0"/>
          <w:color w:val="auto"/>
          <w:highlight w:val="none"/>
        </w:rPr>
        <w:t>磋商文件中明确要求加盖公章的，供应商必须加盖供应商公章。</w:t>
      </w:r>
      <w:r>
        <w:rPr>
          <w:rFonts w:hint="eastAsia" w:ascii="宋体" w:hAnsi="宋体" w:cs="宋体"/>
          <w:b w:val="0"/>
          <w:bCs w:val="0"/>
          <w:color w:val="auto"/>
          <w:kern w:val="0"/>
          <w:highlight w:val="none"/>
        </w:rPr>
        <w:t>在有授权文件（原件）表明投标专用章法律效力等同于供应商公章的情况下，可以加盖投标专用章，否则将导致投标无效。</w:t>
      </w:r>
    </w:p>
    <w:p>
      <w:pPr>
        <w:pStyle w:val="5"/>
        <w:spacing w:before="0" w:after="0" w:line="460" w:lineRule="exact"/>
        <w:ind w:firstLine="562"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四、磋商响应书的编制</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15、磋商响应的语言及度量衡单位</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15.1供应商的磋商响应书、以及供应商与采购单位就磋商响应的所有往来函电，均须使用简体中文。</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15.2除竞争性磋商文件中另有规定外，磋商响应书所使用的度量衡均须采用法定计量单位。</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16、磋商响应书构成</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16.1磋商响应书应包括本竞争性磋商文件磋商响应书格式中所规定的全部内容。</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16.2供应商必须对其磋商响应书的真实性与准确性负责。供应商一旦成为成交供应商，其磋商响应书将作为合同的重要组成部分。</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16.3除文件中规定允许变动的格式，供应商不得擅自对竞争性磋商文件规定的格式、条款和技术要求进行修改。否则，其磋商响应书在评标时有可能被认为是未对竞争性磋商文件做出实质性的响应而中止对其作进一步的评审。</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17、磋商响应报价</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17.1磋商响应书的磋商响应报价表上应清楚地标明供应商拟提供服务的名称、单价和总价。只允许有一个方案、一个报价，多方案、多报价的磋商响应文件将不被接受。</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17.2磋商响应报价表上服务的价格是服务总价，其总价即为履行合同的固定价格。报价应当低于同类服务的市场平均价格。除非竞争性磋商文件另有规定，磋商响应报价均不得高于竞争性磋商文件（公告）列明的控制价、项目预算。</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17.3磋商响应供应商的报价应包含所投服务、保险、税费、验收和交付后约定期限内免费维保服务等工作所发生的一切应有费用。磋商响应报价为签订合同的依据</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17.4供应商应在磋商响应文件中注明拟提供服务的单价、服务内容明细和总价。除政策性文件规定以外，供应商所报价格在合同实施期间不因市场变化因素而变动。</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18、磋商响应货币：磋商响应须以人民币报价。</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19、证明供应商合格的文件</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19.1供应商在其磋商响应文件中，应根据采购文件要求提交证明其有资格参加磋商响应和成交后有能力履行合同的证明文件，作为其磋商响应文件的一部分。</w:t>
      </w:r>
    </w:p>
    <w:p>
      <w:pPr>
        <w:spacing w:line="460" w:lineRule="exact"/>
        <w:ind w:firstLine="550"/>
        <w:rPr>
          <w:rFonts w:ascii="宋体" w:hAnsi="宋体" w:cs="宋体"/>
          <w:color w:val="auto"/>
          <w:kern w:val="0"/>
          <w:sz w:val="28"/>
          <w:szCs w:val="28"/>
          <w:highlight w:val="none"/>
        </w:rPr>
      </w:pPr>
      <w:r>
        <w:rPr>
          <w:rFonts w:hint="eastAsia" w:ascii="宋体" w:hAnsi="宋体" w:cs="宋体"/>
          <w:color w:val="auto"/>
          <w:kern w:val="0"/>
          <w:sz w:val="28"/>
          <w:szCs w:val="28"/>
          <w:highlight w:val="none"/>
        </w:rPr>
        <w:t>19.2供应商资质证书（或资格证明）处于年检、换证、升级、变更等期间，除非法律法规或发证机构有书面材料明确表明供应商资质（或资格)有效，否则一律不予认可。</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20、磋商响应书的密封和标记</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20.1</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文件应当密封，并在密封袋上标注项目名称、项目编号、供应商名称。</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20.2如果未按规定封装或加写标记或递交，代理机构将不承担磋商响应文件错放或提前开封的责任，并导致该类别磋商响应文件递交无效。</w:t>
      </w:r>
    </w:p>
    <w:p>
      <w:pPr>
        <w:pStyle w:val="5"/>
        <w:spacing w:before="0" w:after="0" w:line="460" w:lineRule="exact"/>
        <w:ind w:firstLine="560" w:firstLineChars="200"/>
        <w:rPr>
          <w:rFonts w:ascii="宋体" w:hAnsi="宋体" w:cs="宋体"/>
          <w:b w:val="0"/>
          <w:bCs w:val="0"/>
          <w:color w:val="auto"/>
          <w:kern w:val="0"/>
          <w:sz w:val="28"/>
          <w:szCs w:val="28"/>
          <w:highlight w:val="none"/>
        </w:rPr>
      </w:pPr>
      <w:r>
        <w:rPr>
          <w:rFonts w:hint="eastAsia" w:ascii="宋体" w:hAnsi="宋体" w:cs="宋体"/>
          <w:b w:val="0"/>
          <w:bCs w:val="0"/>
          <w:color w:val="auto"/>
          <w:kern w:val="0"/>
          <w:sz w:val="28"/>
          <w:szCs w:val="28"/>
          <w:highlight w:val="none"/>
        </w:rPr>
        <w:t>20</w:t>
      </w:r>
      <w:r>
        <w:rPr>
          <w:rFonts w:ascii="宋体" w:hAnsi="宋体" w:cs="宋体"/>
          <w:b w:val="0"/>
          <w:bCs w:val="0"/>
          <w:color w:val="auto"/>
          <w:kern w:val="0"/>
          <w:sz w:val="28"/>
          <w:szCs w:val="28"/>
          <w:highlight w:val="none"/>
        </w:rPr>
        <w:t>.</w:t>
      </w:r>
      <w:r>
        <w:rPr>
          <w:rFonts w:hint="eastAsia" w:ascii="宋体" w:hAnsi="宋体" w:cs="宋体"/>
          <w:b w:val="0"/>
          <w:bCs w:val="0"/>
          <w:color w:val="auto"/>
          <w:kern w:val="0"/>
          <w:sz w:val="28"/>
          <w:szCs w:val="28"/>
          <w:highlight w:val="none"/>
        </w:rPr>
        <w:t>3供应商应按照供应商须知前附表的要求准备磋商响应文件</w:t>
      </w:r>
    </w:p>
    <w:p>
      <w:pPr>
        <w:pStyle w:val="5"/>
        <w:spacing w:before="0" w:after="0" w:line="460" w:lineRule="exact"/>
        <w:ind w:firstLine="562"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五、磋商响应书的递交</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21.</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文件的递交</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21.1</w:t>
      </w:r>
      <w:r>
        <w:rPr>
          <w:rFonts w:hint="eastAsia" w:ascii="宋体" w:hAnsi="宋体" w:cs="宋体"/>
          <w:color w:val="auto"/>
          <w:kern w:val="0"/>
          <w:sz w:val="28"/>
          <w:szCs w:val="28"/>
          <w:highlight w:val="none"/>
        </w:rPr>
        <w:t>磋商响应文件的递交指供应商在投标截止时间前密封送达到指定开标地点</w:t>
      </w:r>
      <w:r>
        <w:rPr>
          <w:rFonts w:hint="eastAsia" w:ascii="宋体" w:hAnsi="宋体" w:cs="华文仿宋"/>
          <w:color w:val="auto"/>
          <w:sz w:val="28"/>
          <w:szCs w:val="28"/>
          <w:highlight w:val="none"/>
        </w:rPr>
        <w:t>。</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21.2在</w:t>
      </w:r>
      <w:r>
        <w:rPr>
          <w:rFonts w:hint="eastAsia" w:ascii="宋体" w:hAnsi="宋体" w:cs="宋体"/>
          <w:color w:val="auto"/>
          <w:kern w:val="0"/>
          <w:sz w:val="28"/>
          <w:szCs w:val="28"/>
          <w:highlight w:val="none"/>
        </w:rPr>
        <w:t>磋商</w:t>
      </w:r>
      <w:r>
        <w:rPr>
          <w:rFonts w:hint="eastAsia" w:ascii="宋体" w:hAnsi="宋体" w:cs="华文仿宋"/>
          <w:color w:val="auto"/>
          <w:sz w:val="28"/>
          <w:szCs w:val="28"/>
          <w:highlight w:val="none"/>
        </w:rPr>
        <w:t>文件要求提交</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文件的截止时间之后送达的</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文件，为无效</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文件，将拒绝接收。</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22、拒绝的磋商响应书：</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22.1采购单位将拒绝迟交的标书并原封退回。</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23、磋商响应书的修改和撤回</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23.1供应商递交</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书后，可以在规定的投标截止时间前修改或撤回其</w:t>
      </w:r>
      <w:r>
        <w:rPr>
          <w:rFonts w:hint="eastAsia" w:ascii="宋体" w:hAnsi="宋体" w:cs="宋体"/>
          <w:color w:val="auto"/>
          <w:kern w:val="0"/>
          <w:sz w:val="28"/>
          <w:szCs w:val="28"/>
          <w:highlight w:val="none"/>
        </w:rPr>
        <w:t>磋商响应</w:t>
      </w:r>
      <w:r>
        <w:rPr>
          <w:rFonts w:hint="eastAsia" w:ascii="宋体" w:hAnsi="宋体" w:cs="华文仿宋"/>
          <w:color w:val="auto"/>
          <w:sz w:val="28"/>
          <w:szCs w:val="28"/>
          <w:highlight w:val="none"/>
        </w:rPr>
        <w:t>书。但这种修改和撤回，必须以书面形式通知采购单位。</w:t>
      </w:r>
    </w:p>
    <w:p>
      <w:pPr>
        <w:spacing w:line="460" w:lineRule="exact"/>
        <w:ind w:firstLine="560" w:firstLineChars="200"/>
        <w:rPr>
          <w:rFonts w:ascii="宋体" w:hAnsi="宋体" w:cs="宋体"/>
          <w:color w:val="auto"/>
          <w:kern w:val="0"/>
          <w:sz w:val="28"/>
          <w:szCs w:val="28"/>
          <w:highlight w:val="none"/>
        </w:rPr>
      </w:pPr>
      <w:r>
        <w:rPr>
          <w:rFonts w:hint="eastAsia" w:ascii="宋体" w:hAnsi="宋体" w:cs="华文仿宋"/>
          <w:color w:val="auto"/>
          <w:sz w:val="28"/>
          <w:szCs w:val="28"/>
          <w:highlight w:val="none"/>
        </w:rPr>
        <w:t>23.2供应商修改书或撤回通知书，应由法定代表人或其授权代表签署，修改书应当按磋商文件要求进行密封、标记和提交。</w:t>
      </w:r>
    </w:p>
    <w:p>
      <w:pPr>
        <w:pStyle w:val="5"/>
        <w:spacing w:before="0" w:after="0" w:line="460" w:lineRule="exact"/>
        <w:ind w:firstLine="562" w:firstLineChars="200"/>
        <w:rPr>
          <w:rFonts w:ascii="宋体" w:hAnsi="宋体" w:cs="宋体"/>
          <w:b w:val="0"/>
          <w:bCs w:val="0"/>
          <w:color w:val="auto"/>
          <w:kern w:val="0"/>
          <w:sz w:val="28"/>
          <w:szCs w:val="28"/>
          <w:highlight w:val="none"/>
        </w:rPr>
      </w:pPr>
      <w:r>
        <w:rPr>
          <w:rFonts w:hint="eastAsia" w:ascii="宋体" w:hAnsi="宋体" w:cs="宋体"/>
          <w:color w:val="auto"/>
          <w:kern w:val="0"/>
          <w:sz w:val="28"/>
          <w:szCs w:val="28"/>
          <w:highlight w:val="none"/>
        </w:rPr>
        <w:t>六、竞争性磋商程序</w:t>
      </w:r>
    </w:p>
    <w:p>
      <w:pPr>
        <w:adjustRightInd w:val="0"/>
        <w:snapToGrid w:val="0"/>
        <w:spacing w:line="480" w:lineRule="exact"/>
        <w:ind w:firstLine="560" w:firstLineChars="200"/>
        <w:rPr>
          <w:rFonts w:ascii="宋体" w:hAnsi="宋体" w:cs="华文仿宋"/>
          <w:color w:val="auto"/>
          <w:sz w:val="28"/>
          <w:szCs w:val="28"/>
          <w:highlight w:val="none"/>
        </w:rPr>
      </w:pPr>
      <w:r>
        <w:rPr>
          <w:rFonts w:hint="eastAsia" w:ascii="宋体" w:hAnsi="宋体" w:cs="华文仿宋"/>
          <w:color w:val="auto"/>
          <w:sz w:val="28"/>
          <w:szCs w:val="28"/>
          <w:highlight w:val="none"/>
        </w:rPr>
        <w:t>24、开标活动由代理机构相关人员主持，并应当符合相关法律法规。</w:t>
      </w:r>
    </w:p>
    <w:p>
      <w:pPr>
        <w:pStyle w:val="17"/>
        <w:adjustRightInd w:val="0"/>
        <w:snapToGrid w:val="0"/>
        <w:spacing w:line="480" w:lineRule="exact"/>
        <w:ind w:firstLine="560" w:firstLineChars="200"/>
        <w:rPr>
          <w:rFonts w:hAnsi="宋体" w:eastAsia="宋体"/>
          <w:color w:val="auto"/>
          <w:szCs w:val="28"/>
          <w:highlight w:val="none"/>
        </w:rPr>
      </w:pPr>
      <w:r>
        <w:rPr>
          <w:rFonts w:hint="eastAsia" w:hAnsi="宋体" w:eastAsia="宋体" w:cs="华文仿宋"/>
          <w:color w:val="auto"/>
          <w:szCs w:val="28"/>
          <w:highlight w:val="none"/>
        </w:rPr>
        <w:t>24.1开标会议</w:t>
      </w:r>
    </w:p>
    <w:p>
      <w:pPr>
        <w:adjustRightInd w:val="0"/>
        <w:snapToGrid w:val="0"/>
        <w:spacing w:line="480" w:lineRule="exact"/>
        <w:ind w:firstLine="560" w:firstLineChars="200"/>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24.1.1主持人按招标时间安排表所规定的时间和地点公开开标。</w:t>
      </w:r>
    </w:p>
    <w:p>
      <w:pPr>
        <w:pStyle w:val="53"/>
        <w:snapToGrid w:val="0"/>
        <w:spacing w:line="480" w:lineRule="exact"/>
        <w:ind w:firstLine="560" w:firstLineChars="200"/>
        <w:jc w:val="both"/>
        <w:rPr>
          <w:rFonts w:cs="华文仿宋"/>
          <w:color w:val="auto"/>
          <w:sz w:val="28"/>
          <w:szCs w:val="28"/>
          <w:highlight w:val="none"/>
        </w:rPr>
      </w:pPr>
      <w:r>
        <w:rPr>
          <w:rFonts w:hint="eastAsia" w:cs="华文仿宋"/>
          <w:color w:val="auto"/>
          <w:sz w:val="28"/>
          <w:szCs w:val="28"/>
          <w:highlight w:val="none"/>
        </w:rPr>
        <w:t>24.1.2按规定提交合格的撤回通知的投标文件不予开封，并退回给供应商。</w:t>
      </w:r>
    </w:p>
    <w:p>
      <w:pPr>
        <w:pStyle w:val="53"/>
        <w:snapToGrid w:val="0"/>
        <w:spacing w:line="480" w:lineRule="exact"/>
        <w:ind w:firstLine="560" w:firstLineChars="200"/>
        <w:jc w:val="both"/>
        <w:rPr>
          <w:rFonts w:cs="华文仿宋"/>
          <w:color w:val="auto"/>
          <w:sz w:val="28"/>
          <w:szCs w:val="28"/>
          <w:highlight w:val="none"/>
        </w:rPr>
      </w:pPr>
      <w:r>
        <w:rPr>
          <w:rFonts w:hint="eastAsia" w:cs="华文仿宋"/>
          <w:color w:val="auto"/>
          <w:sz w:val="28"/>
          <w:szCs w:val="28"/>
          <w:highlight w:val="none"/>
        </w:rPr>
        <w:t>24.1.3开标由代理机构相关人员主持，主持人并按程序进行，任何对开标期间的质疑应当在开标当场即时提出，否则视同供应商对开标过程理解和接受。</w:t>
      </w:r>
    </w:p>
    <w:p>
      <w:pPr>
        <w:pStyle w:val="17"/>
        <w:adjustRightInd w:val="0"/>
        <w:snapToGrid w:val="0"/>
        <w:spacing w:line="480" w:lineRule="exact"/>
        <w:ind w:firstLine="560" w:firstLineChars="200"/>
        <w:rPr>
          <w:rFonts w:hAnsi="宋体" w:eastAsia="宋体" w:cs="华文仿宋"/>
          <w:color w:val="auto"/>
          <w:kern w:val="0"/>
          <w:szCs w:val="28"/>
          <w:highlight w:val="none"/>
        </w:rPr>
      </w:pPr>
      <w:r>
        <w:rPr>
          <w:rFonts w:hint="eastAsia" w:hAnsi="宋体" w:eastAsia="宋体" w:cs="华文仿宋"/>
          <w:color w:val="auto"/>
          <w:kern w:val="0"/>
          <w:szCs w:val="28"/>
          <w:highlight w:val="none"/>
        </w:rPr>
        <w:t>24.1.4主持人公布在投标截止时间前递交投标文件的供应商名称，并检查投标文件的密封情况。有质疑的应当场提出。</w:t>
      </w:r>
    </w:p>
    <w:p>
      <w:pPr>
        <w:adjustRightInd w:val="0"/>
        <w:snapToGrid w:val="0"/>
        <w:spacing w:line="480" w:lineRule="exact"/>
        <w:ind w:firstLine="560" w:firstLineChars="200"/>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24.1.5公布供应商名称、投标价格，以及其它招标人认为合适的详细内容。各供应商对开标情况记录进行确认，如有异议应当场提出。</w:t>
      </w:r>
    </w:p>
    <w:p>
      <w:pPr>
        <w:pStyle w:val="5"/>
        <w:spacing w:before="0" w:after="0" w:line="460" w:lineRule="exact"/>
        <w:ind w:firstLine="562" w:firstLineChars="200"/>
        <w:rPr>
          <w:rFonts w:ascii="宋体" w:hAnsi="宋体" w:cs="宋体"/>
          <w:b w:val="0"/>
          <w:bCs w:val="0"/>
          <w:color w:val="auto"/>
          <w:kern w:val="0"/>
          <w:sz w:val="28"/>
          <w:szCs w:val="28"/>
          <w:highlight w:val="none"/>
        </w:rPr>
      </w:pPr>
      <w:r>
        <w:rPr>
          <w:rFonts w:hint="eastAsia" w:ascii="宋体" w:hAnsi="宋体" w:cs="宋体"/>
          <w:color w:val="auto"/>
          <w:kern w:val="0"/>
          <w:sz w:val="28"/>
          <w:szCs w:val="28"/>
          <w:highlight w:val="none"/>
        </w:rPr>
        <w:t>七、磋商评审及成交候选人推荐</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25、磋商小组与评标</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25.1磋商小组由采购人依法组建，评标活动由磋商小组负责。</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25.2开标结束后，开始评标，评标采用保密方式进行。</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26、评标过程的保密</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26.1开标后，直至授予中标人合同为止，凡属于对投标文件的审查、澄清、评价和比较的有关资料以及中标候选人的推荐情况，与评标有关的其他任何情况均严格保密。</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26.2中标人确定后，采购人不对未中标人就评标过程以及未能中标原因作出任何解释。未中标人不得向磋商小组组成人员或其他有关人员询问评标过程的情况和索要材料。</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27、</w:t>
      </w:r>
      <w:r>
        <w:rPr>
          <w:rFonts w:hint="eastAsia" w:hAnsi="宋体"/>
          <w:color w:val="auto"/>
          <w:kern w:val="0"/>
          <w:szCs w:val="28"/>
          <w:highlight w:val="none"/>
        </w:rPr>
        <w:t>磋商响应</w:t>
      </w:r>
      <w:r>
        <w:rPr>
          <w:rFonts w:hint="eastAsia"/>
          <w:color w:val="auto"/>
          <w:szCs w:val="28"/>
          <w:highlight w:val="none"/>
        </w:rPr>
        <w:t>文件的澄清</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为有助于</w:t>
      </w:r>
      <w:r>
        <w:rPr>
          <w:rFonts w:hint="eastAsia" w:hAnsi="宋体"/>
          <w:color w:val="auto"/>
          <w:kern w:val="0"/>
          <w:szCs w:val="28"/>
          <w:highlight w:val="none"/>
        </w:rPr>
        <w:t>磋商响应</w:t>
      </w:r>
      <w:r>
        <w:rPr>
          <w:rFonts w:hint="eastAsia"/>
          <w:color w:val="auto"/>
          <w:szCs w:val="28"/>
          <w:highlight w:val="none"/>
        </w:rPr>
        <w:t>文件的审查、评价和比较，磋商小组可以以询标方式要求供应商对</w:t>
      </w:r>
      <w:r>
        <w:rPr>
          <w:rFonts w:hint="eastAsia" w:hAnsi="宋体"/>
          <w:color w:val="auto"/>
          <w:kern w:val="0"/>
          <w:szCs w:val="28"/>
          <w:highlight w:val="none"/>
        </w:rPr>
        <w:t>磋商响应</w:t>
      </w:r>
      <w:r>
        <w:rPr>
          <w:rFonts w:hint="eastAsia"/>
          <w:color w:val="auto"/>
          <w:szCs w:val="28"/>
          <w:highlight w:val="none"/>
        </w:rPr>
        <w:t>文件含义不明确的内容作必要的澄清或说明，供应商应进行澄清或说明，但不得超出</w:t>
      </w:r>
      <w:r>
        <w:rPr>
          <w:rFonts w:hint="eastAsia" w:hAnsi="宋体"/>
          <w:color w:val="auto"/>
          <w:kern w:val="0"/>
          <w:szCs w:val="28"/>
          <w:highlight w:val="none"/>
        </w:rPr>
        <w:t>磋商响应</w:t>
      </w:r>
      <w:r>
        <w:rPr>
          <w:rFonts w:hint="eastAsia"/>
          <w:color w:val="auto"/>
          <w:szCs w:val="28"/>
          <w:highlight w:val="none"/>
        </w:rPr>
        <w:t>文件的范围或改变</w:t>
      </w:r>
      <w:r>
        <w:rPr>
          <w:rFonts w:hint="eastAsia" w:hAnsi="宋体"/>
          <w:color w:val="auto"/>
          <w:kern w:val="0"/>
          <w:szCs w:val="28"/>
          <w:highlight w:val="none"/>
        </w:rPr>
        <w:t>磋商响应</w:t>
      </w:r>
      <w:r>
        <w:rPr>
          <w:rFonts w:hint="eastAsia"/>
          <w:color w:val="auto"/>
          <w:szCs w:val="28"/>
          <w:highlight w:val="none"/>
        </w:rPr>
        <w:t>文件的实质性内容。凡属于磋商小组在评标中发现的计算错误进行核实的修改不在此列。</w:t>
      </w:r>
    </w:p>
    <w:p>
      <w:pPr>
        <w:pStyle w:val="17"/>
        <w:adjustRightInd w:val="0"/>
        <w:snapToGrid w:val="0"/>
        <w:spacing w:line="460" w:lineRule="exact"/>
        <w:ind w:firstLine="560" w:firstLineChars="200"/>
        <w:rPr>
          <w:color w:val="auto"/>
          <w:szCs w:val="28"/>
          <w:highlight w:val="none"/>
        </w:rPr>
      </w:pPr>
      <w:r>
        <w:rPr>
          <w:rFonts w:hint="eastAsia" w:hAnsi="宋体"/>
          <w:color w:val="auto"/>
          <w:kern w:val="0"/>
          <w:szCs w:val="28"/>
          <w:highlight w:val="none"/>
        </w:rPr>
        <w:t>磋商响应</w:t>
      </w:r>
      <w:r>
        <w:rPr>
          <w:rFonts w:hint="eastAsia"/>
          <w:color w:val="auto"/>
          <w:szCs w:val="28"/>
          <w:highlight w:val="none"/>
        </w:rPr>
        <w:t>文件的澄清：</w:t>
      </w:r>
      <w:r>
        <w:rPr>
          <w:rFonts w:hint="eastAsia" w:hAnsi="宋体"/>
          <w:color w:val="auto"/>
          <w:kern w:val="0"/>
          <w:szCs w:val="28"/>
          <w:highlight w:val="none"/>
        </w:rPr>
        <w:t>磋商响应</w:t>
      </w:r>
      <w:r>
        <w:rPr>
          <w:rFonts w:hint="eastAsia"/>
          <w:color w:val="auto"/>
          <w:szCs w:val="28"/>
          <w:highlight w:val="none"/>
        </w:rPr>
        <w:t>文件需澄清、说明或者补正的（包括补正投标报价）以及投标文件存在细微偏差需要补正的，磋商小组应当以询标方式要求供应商进行澄清、说明、补正或确认，细微偏差的修正将由评委进行评审、解释，供应商确认认可。</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28、重大偏差和细微偏差</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28.1磋商小组应当根据磋商文件有关规定，审查并逐项列出投标文件的全部投标偏差。投标偏差分重大偏差和细微偏差。</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28.2投标文件属于重大偏差，由磋商小组评审后按无效标处理。</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28.3细微偏差的认定：细微偏差是指投标文件在实质上响应磋商文件要求，但在个别地方存在漏项或者提供了不完整的技术信息和数据等情况，并且补正这些遗漏或者不完整不会对其他供应商造成不公平的结果。细微偏差不影响投标文件的有效性。</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28.4如果投标文件实质上不响应磋商文件的各项要求，磋商小组将予以拒绝，并且不允许供应商通过修改或撤销其不符合要求的差异或保留，使之成为具有响应性的投标。</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28.5经审查符合磋商文件要求的有效投标文件，由磋商小组进行详细评审、比较。</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29、调整或修正投标报价</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调整或修正投标文件的投标报价，供应商同意后，调整后的投标报价对供应商起约束作用。如果供应商不接受修正后的报价，则其投标将被拒绝，并不影响评标工作。</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30、澄清、补正后的投标报价</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按照规定进行澄清、补正后的投标报价经供应商的法定代表人或其委托代理人确认后即为该供应商的最终投标报价。供应商一旦中标，此报价即为中标价。</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31、投标文件的评审、比较和否决</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31.1磋商小组将按照本须知规定，仅对在实质上响应磋商文件要求的投标文件进行评估和比较。</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31.2在评审过程中，磋商小组可以以询标形式要求供应商就投标文件中含义不明确的内容进行书面说明并提供相关材料。</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31.3采购人根据信用查询情况、磋商小组提出的书面评标报告和推荐的中标候选人，依据国家和地方现行法规确定中标人。采购人也可以授权磋商小组依据现行法规直接确定中标人。</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32、中标人放弃中标、因不可抗力不能履行合同、不按照磋商文件要求提交履约保证金，或者被查实存在影响中标结果的违法行为等情形，不符合中标条件的，采购人可以按照磋商小组提出的中标候选供应商名单排序依次确定其他中标候选供应商为中标人，也可以重新招标。</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33、中标通知书</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中标人确定后，将在刊登本次招标公告的媒体上发布中标公告，同时由采购人向中标人发出中标通知书，中标通知书对采购人和中标人具有同等法律效力。中标通知书发出以后，采购人改变中标结果或者中标人放弃中标，应当承担相应的法律责任。</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34、质疑和投诉</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供应商应在法定质疑期内一次性提出针对同一采购程序环节的质疑。提出质疑的供应商应当是参与所质疑项目采购活动的供应商。</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供应商如对本磋商文件有任何疑问或澄清要求，应在知其权益受到损害之日起七个工作日内提出（招标公告期限届满之日起七个工作日内）。否则视同供应商对文件理解和接受。</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供应商对中标公告有异议的，应在中标公告期限届满之日起七个工作日前提出。</w:t>
      </w:r>
    </w:p>
    <w:p>
      <w:pPr>
        <w:pStyle w:val="17"/>
        <w:adjustRightInd w:val="0"/>
        <w:snapToGrid w:val="0"/>
        <w:spacing w:line="460" w:lineRule="exact"/>
        <w:ind w:firstLine="560" w:firstLineChars="200"/>
        <w:rPr>
          <w:color w:val="auto"/>
          <w:szCs w:val="28"/>
          <w:highlight w:val="none"/>
        </w:rPr>
      </w:pPr>
      <w:r>
        <w:rPr>
          <w:rFonts w:hint="eastAsia"/>
          <w:color w:val="auto"/>
          <w:szCs w:val="28"/>
          <w:highlight w:val="none"/>
        </w:rPr>
        <w:t>关于采购文件中非通用条款部分方面及评标结果的质疑向采购人提出，采购人在七个工作日内作出答复。关于采购文件通用条款部分以及采购程序方面的质疑向代理机构提出，由代理机构作出答复。质疑供应商对答复内容不满意的或受理单位未在规定时间内作出答复的，可在答复期满后十五个工作日内向监督管理部门提出投诉。相关联系人及联系方式根据质疑提出阶段的不同分别见招标公告和成交公告。</w:t>
      </w:r>
    </w:p>
    <w:p>
      <w:pPr>
        <w:pStyle w:val="17"/>
        <w:adjustRightInd w:val="0"/>
        <w:snapToGrid w:val="0"/>
        <w:spacing w:line="460" w:lineRule="exact"/>
        <w:ind w:firstLine="560" w:firstLineChars="200"/>
        <w:rPr>
          <w:rFonts w:hAnsi="宋体" w:eastAsia="宋体" w:cs="华文仿宋"/>
          <w:color w:val="auto"/>
          <w:szCs w:val="28"/>
          <w:highlight w:val="none"/>
        </w:rPr>
      </w:pPr>
      <w:r>
        <w:rPr>
          <w:rFonts w:hint="eastAsia"/>
          <w:color w:val="auto"/>
          <w:szCs w:val="28"/>
          <w:highlight w:val="none"/>
        </w:rPr>
        <w:t>质疑的提交要求、处理主体、处理程序等相关问题可以登录《铜陵市公共资源交易网》政策法规栏进行查询。</w:t>
      </w:r>
      <w:r>
        <w:rPr>
          <w:rFonts w:hint="eastAsia" w:hAnsi="宋体" w:eastAsia="宋体" w:cs="华文仿宋"/>
          <w:color w:val="auto"/>
          <w:szCs w:val="28"/>
          <w:highlight w:val="none"/>
        </w:rPr>
        <w:t xml:space="preserve"> </w:t>
      </w:r>
    </w:p>
    <w:p>
      <w:pPr>
        <w:pStyle w:val="5"/>
        <w:spacing w:before="0" w:after="0" w:line="460" w:lineRule="exact"/>
        <w:ind w:firstLine="562" w:firstLineChars="200"/>
        <w:rPr>
          <w:rFonts w:ascii="宋体" w:hAnsi="宋体" w:cs="宋体"/>
          <w:bCs w:val="0"/>
          <w:color w:val="auto"/>
          <w:kern w:val="0"/>
          <w:sz w:val="28"/>
          <w:szCs w:val="28"/>
          <w:highlight w:val="none"/>
        </w:rPr>
      </w:pPr>
      <w:r>
        <w:rPr>
          <w:rFonts w:hint="eastAsia" w:ascii="宋体" w:hAnsi="宋体" w:cs="宋体"/>
          <w:bCs w:val="0"/>
          <w:color w:val="auto"/>
          <w:kern w:val="0"/>
          <w:sz w:val="28"/>
          <w:szCs w:val="28"/>
          <w:highlight w:val="none"/>
        </w:rPr>
        <w:t>八、终止磋商</w:t>
      </w:r>
    </w:p>
    <w:p>
      <w:pPr>
        <w:spacing w:line="46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35、在竞争性磋商采购中，出现下列情形之一的，采购人和采购代理机构有权宣布终止竞争性磋商采购，并将理由通知所有供应商：</w:t>
      </w:r>
    </w:p>
    <w:p>
      <w:pPr>
        <w:spacing w:line="460" w:lineRule="exact"/>
        <w:ind w:firstLine="560" w:firstLineChars="200"/>
        <w:rPr>
          <w:rFonts w:ascii="宋体" w:hAnsi="宋体" w:cs="华文仿宋"/>
          <w:color w:val="auto"/>
          <w:sz w:val="28"/>
          <w:szCs w:val="28"/>
          <w:highlight w:val="none"/>
        </w:rPr>
      </w:pPr>
      <w:r>
        <w:rPr>
          <w:rFonts w:hint="eastAsia" w:ascii="宋体" w:hAnsi="宋体" w:cs="宋体"/>
          <w:color w:val="auto"/>
          <w:kern w:val="0"/>
          <w:sz w:val="28"/>
          <w:szCs w:val="28"/>
          <w:highlight w:val="none"/>
        </w:rPr>
        <w:t xml:space="preserve"> </w:t>
      </w:r>
      <w:r>
        <w:rPr>
          <w:rFonts w:hint="eastAsia" w:ascii="宋体" w:hAnsi="宋体" w:cs="华文仿宋"/>
          <w:color w:val="auto"/>
          <w:sz w:val="28"/>
          <w:szCs w:val="28"/>
          <w:highlight w:val="none"/>
        </w:rPr>
        <w:t>（1）有效供应商数量不足，导致本次磋商缺乏竞争的；</w:t>
      </w:r>
    </w:p>
    <w:p>
      <w:pPr>
        <w:spacing w:line="460" w:lineRule="exact"/>
        <w:ind w:firstLine="700" w:firstLineChars="250"/>
        <w:rPr>
          <w:rFonts w:ascii="宋体" w:hAnsi="宋体" w:cs="华文仿宋"/>
          <w:color w:val="auto"/>
          <w:sz w:val="28"/>
          <w:szCs w:val="28"/>
          <w:highlight w:val="none"/>
        </w:rPr>
      </w:pPr>
      <w:r>
        <w:rPr>
          <w:rFonts w:hint="eastAsia" w:ascii="宋体" w:hAnsi="宋体" w:cs="华文仿宋"/>
          <w:color w:val="auto"/>
          <w:sz w:val="28"/>
          <w:szCs w:val="28"/>
          <w:highlight w:val="none"/>
        </w:rPr>
        <w:t>（2）出现影响采购公正的违法、违规行为的；</w:t>
      </w:r>
    </w:p>
    <w:p>
      <w:pPr>
        <w:spacing w:line="460" w:lineRule="exact"/>
        <w:ind w:firstLine="700" w:firstLineChars="250"/>
        <w:rPr>
          <w:rFonts w:ascii="宋体" w:hAnsi="宋体" w:cs="华文仿宋"/>
          <w:color w:val="auto"/>
          <w:sz w:val="28"/>
          <w:szCs w:val="28"/>
          <w:highlight w:val="none"/>
        </w:rPr>
      </w:pPr>
      <w:r>
        <w:rPr>
          <w:rFonts w:hint="eastAsia" w:ascii="宋体" w:hAnsi="宋体" w:cs="华文仿宋"/>
          <w:color w:val="auto"/>
          <w:sz w:val="28"/>
          <w:szCs w:val="28"/>
          <w:highlight w:val="none"/>
        </w:rPr>
        <w:t>（3）因重大变故，采购任务取消的；</w:t>
      </w:r>
    </w:p>
    <w:p>
      <w:pPr>
        <w:spacing w:line="460" w:lineRule="exact"/>
        <w:ind w:firstLine="700" w:firstLineChars="250"/>
        <w:rPr>
          <w:rFonts w:ascii="宋体" w:hAnsi="宋体" w:cs="华文仿宋"/>
          <w:color w:val="auto"/>
          <w:sz w:val="28"/>
          <w:szCs w:val="28"/>
          <w:highlight w:val="none"/>
        </w:rPr>
      </w:pPr>
      <w:r>
        <w:rPr>
          <w:rFonts w:hint="eastAsia" w:ascii="宋体" w:hAnsi="宋体" w:cs="华文仿宋"/>
          <w:color w:val="auto"/>
          <w:sz w:val="28"/>
          <w:szCs w:val="28"/>
          <w:highlight w:val="none"/>
        </w:rPr>
        <w:t>（4）政府采购法律法规规定的其他情形。</w:t>
      </w:r>
    </w:p>
    <w:p>
      <w:pPr>
        <w:spacing w:line="460" w:lineRule="exact"/>
        <w:ind w:firstLine="420" w:firstLineChars="150"/>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36、如出现终止磋商情况，且同时符合以下情形的，如采购人提出申请，</w:t>
      </w:r>
      <w:r>
        <w:rPr>
          <w:rFonts w:hint="eastAsia" w:ascii="宋体" w:hAnsi="宋体" w:cs="华文仿宋"/>
          <w:color w:val="auto"/>
          <w:kern w:val="0"/>
          <w:sz w:val="28"/>
          <w:szCs w:val="28"/>
          <w:highlight w:val="none"/>
          <w:lang w:eastAsia="zh-CN"/>
        </w:rPr>
        <w:t>可依据</w:t>
      </w:r>
      <w:r>
        <w:rPr>
          <w:rFonts w:hint="eastAsia"/>
          <w:color w:val="auto"/>
          <w:sz w:val="28"/>
          <w:szCs w:val="28"/>
          <w:highlight w:val="none"/>
        </w:rPr>
        <w:t>财库〔2015〕124号《财政部关于政府采购竞争性磋商采购方式管理暂行办法有关问题的补充通知》等法律法规的精神，</w:t>
      </w:r>
      <w:r>
        <w:rPr>
          <w:rFonts w:hint="eastAsia" w:ascii="宋体" w:hAnsi="宋体" w:cs="华文仿宋"/>
          <w:color w:val="auto"/>
          <w:kern w:val="0"/>
          <w:sz w:val="28"/>
          <w:szCs w:val="28"/>
          <w:highlight w:val="none"/>
        </w:rPr>
        <w:t>供应商为在场的两家合格供应商。</w:t>
      </w:r>
    </w:p>
    <w:p>
      <w:pPr>
        <w:adjustRightInd w:val="0"/>
        <w:snapToGrid w:val="0"/>
        <w:spacing w:line="480" w:lineRule="exact"/>
        <w:ind w:firstLine="549"/>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36</w:t>
      </w:r>
      <w:r>
        <w:rPr>
          <w:rFonts w:ascii="宋体" w:hAnsi="宋体" w:cs="华文仿宋"/>
          <w:color w:val="auto"/>
          <w:kern w:val="0"/>
          <w:sz w:val="28"/>
          <w:szCs w:val="28"/>
          <w:highlight w:val="none"/>
        </w:rPr>
        <w:t>.1</w:t>
      </w:r>
      <w:r>
        <w:rPr>
          <w:rFonts w:hint="eastAsia" w:ascii="宋体" w:hAnsi="宋体" w:cs="华文仿宋"/>
          <w:color w:val="auto"/>
          <w:kern w:val="0"/>
          <w:sz w:val="28"/>
          <w:szCs w:val="28"/>
          <w:highlight w:val="none"/>
        </w:rPr>
        <w:t>因上条第一款情形导致终止的；</w:t>
      </w:r>
    </w:p>
    <w:p>
      <w:pPr>
        <w:adjustRightInd w:val="0"/>
        <w:snapToGrid w:val="0"/>
        <w:spacing w:line="480" w:lineRule="exact"/>
        <w:ind w:firstLine="549"/>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36</w:t>
      </w:r>
      <w:r>
        <w:rPr>
          <w:rFonts w:ascii="宋体" w:hAnsi="宋体" w:cs="华文仿宋"/>
          <w:color w:val="auto"/>
          <w:kern w:val="0"/>
          <w:sz w:val="28"/>
          <w:szCs w:val="28"/>
          <w:highlight w:val="none"/>
        </w:rPr>
        <w:t>.2</w:t>
      </w:r>
      <w:r>
        <w:rPr>
          <w:rFonts w:hint="eastAsia" w:ascii="宋体" w:hAnsi="宋体" w:cs="华文仿宋"/>
          <w:color w:val="auto"/>
          <w:kern w:val="0"/>
          <w:sz w:val="28"/>
          <w:szCs w:val="28"/>
          <w:highlight w:val="none"/>
        </w:rPr>
        <w:t>只有两家合格供应商（未开启标书的，将开启标书，审核其资格条件及响应内容）；</w:t>
      </w:r>
    </w:p>
    <w:p>
      <w:pPr>
        <w:adjustRightInd w:val="0"/>
        <w:snapToGrid w:val="0"/>
        <w:spacing w:line="480" w:lineRule="exact"/>
        <w:ind w:firstLine="549"/>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36</w:t>
      </w:r>
      <w:r>
        <w:rPr>
          <w:rFonts w:ascii="宋体" w:hAnsi="宋体" w:cs="华文仿宋"/>
          <w:color w:val="auto"/>
          <w:kern w:val="0"/>
          <w:sz w:val="28"/>
          <w:szCs w:val="28"/>
          <w:highlight w:val="none"/>
        </w:rPr>
        <w:t>.</w:t>
      </w:r>
      <w:r>
        <w:rPr>
          <w:rFonts w:hint="eastAsia" w:ascii="宋体" w:hAnsi="宋体" w:cs="华文仿宋"/>
          <w:color w:val="auto"/>
          <w:kern w:val="0"/>
          <w:sz w:val="28"/>
          <w:szCs w:val="28"/>
          <w:highlight w:val="none"/>
        </w:rPr>
        <w:t>3现场没有出现影响采购公正的违法违规行为；</w:t>
      </w:r>
    </w:p>
    <w:p>
      <w:pPr>
        <w:adjustRightInd w:val="0"/>
        <w:snapToGrid w:val="0"/>
        <w:spacing w:line="480" w:lineRule="exact"/>
        <w:ind w:firstLine="549"/>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36</w:t>
      </w:r>
      <w:r>
        <w:rPr>
          <w:rFonts w:ascii="宋体" w:hAnsi="宋体" w:cs="华文仿宋"/>
          <w:color w:val="auto"/>
          <w:kern w:val="0"/>
          <w:sz w:val="28"/>
          <w:szCs w:val="28"/>
          <w:highlight w:val="none"/>
        </w:rPr>
        <w:t>.</w:t>
      </w:r>
      <w:r>
        <w:rPr>
          <w:rFonts w:hint="eastAsia" w:ascii="宋体" w:hAnsi="宋体" w:cs="华文仿宋"/>
          <w:color w:val="auto"/>
          <w:kern w:val="0"/>
          <w:sz w:val="28"/>
          <w:szCs w:val="28"/>
          <w:highlight w:val="none"/>
        </w:rPr>
        <w:t>4现场没有供应商提出质疑或供应商提出的质疑得到回复后没有提出质疑（投诉）的；</w:t>
      </w:r>
    </w:p>
    <w:p>
      <w:pPr>
        <w:adjustRightInd w:val="0"/>
        <w:snapToGrid w:val="0"/>
        <w:spacing w:line="480" w:lineRule="exact"/>
        <w:ind w:firstLine="549"/>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36</w:t>
      </w:r>
      <w:r>
        <w:rPr>
          <w:rFonts w:ascii="宋体" w:hAnsi="宋体" w:cs="华文仿宋"/>
          <w:color w:val="auto"/>
          <w:kern w:val="0"/>
          <w:sz w:val="28"/>
          <w:szCs w:val="28"/>
          <w:highlight w:val="none"/>
        </w:rPr>
        <w:t>.</w:t>
      </w:r>
      <w:r>
        <w:rPr>
          <w:rFonts w:hint="eastAsia" w:ascii="宋体" w:hAnsi="宋体" w:cs="华文仿宋"/>
          <w:color w:val="auto"/>
          <w:kern w:val="0"/>
          <w:sz w:val="28"/>
          <w:szCs w:val="28"/>
          <w:highlight w:val="none"/>
        </w:rPr>
        <w:t>5专家认为采购文件没有违法违规或不合理条款，可以继续评审的。</w:t>
      </w:r>
    </w:p>
    <w:p>
      <w:pPr>
        <w:adjustRightInd w:val="0"/>
        <w:snapToGrid w:val="0"/>
        <w:spacing w:line="480" w:lineRule="exact"/>
        <w:ind w:firstLine="549"/>
        <w:rPr>
          <w:rFonts w:hint="eastAsia" w:ascii="宋体" w:hAnsi="宋体" w:eastAsia="宋体" w:cs="华文仿宋"/>
          <w:color w:val="auto"/>
          <w:kern w:val="0"/>
          <w:sz w:val="28"/>
          <w:szCs w:val="28"/>
          <w:highlight w:val="none"/>
          <w:lang w:eastAsia="zh-CN"/>
        </w:rPr>
      </w:pPr>
      <w:r>
        <w:rPr>
          <w:rFonts w:hint="eastAsia" w:ascii="宋体" w:hAnsi="宋体" w:cs="华文仿宋"/>
          <w:color w:val="auto"/>
          <w:kern w:val="0"/>
          <w:sz w:val="28"/>
          <w:szCs w:val="28"/>
          <w:highlight w:val="none"/>
        </w:rPr>
        <w:t>37、在技术与服务需要没有增加的前提下，供应商次轮报价不得高于上一轮报价，否则按投标无效处理。</w:t>
      </w:r>
      <w:r>
        <w:rPr>
          <w:rFonts w:hint="eastAsia" w:ascii="宋体" w:hAnsi="宋体" w:cs="华文仿宋"/>
          <w:color w:val="auto"/>
          <w:kern w:val="0"/>
          <w:sz w:val="28"/>
          <w:szCs w:val="28"/>
          <w:highlight w:val="none"/>
          <w:lang w:val="en-US" w:eastAsia="zh-CN"/>
        </w:rPr>
        <w:t>(</w:t>
      </w:r>
      <w:r>
        <w:rPr>
          <w:rFonts w:hint="eastAsia" w:ascii="宋体" w:hAnsi="宋体" w:cs="华文仿宋"/>
          <w:color w:val="auto"/>
          <w:kern w:val="0"/>
          <w:sz w:val="28"/>
          <w:szCs w:val="28"/>
          <w:highlight w:val="none"/>
          <w:lang w:eastAsia="zh-CN"/>
        </w:rPr>
        <w:t>本项目不采用二轮报价）</w:t>
      </w:r>
    </w:p>
    <w:p>
      <w:pPr>
        <w:adjustRightInd w:val="0"/>
        <w:snapToGrid w:val="0"/>
        <w:spacing w:line="480" w:lineRule="exact"/>
        <w:ind w:firstLine="549"/>
        <w:rPr>
          <w:rFonts w:ascii="宋体" w:hAnsi="宋体" w:cs="华文仿宋"/>
          <w:color w:val="auto"/>
          <w:kern w:val="0"/>
          <w:sz w:val="28"/>
          <w:szCs w:val="28"/>
          <w:highlight w:val="none"/>
        </w:rPr>
      </w:pPr>
      <w:r>
        <w:rPr>
          <w:rFonts w:hint="eastAsia" w:ascii="宋体" w:hAnsi="宋体" w:cs="华文仿宋"/>
          <w:color w:val="auto"/>
          <w:kern w:val="0"/>
          <w:sz w:val="28"/>
          <w:szCs w:val="28"/>
          <w:highlight w:val="none"/>
        </w:rPr>
        <w:t>37.</w:t>
      </w:r>
      <w:r>
        <w:rPr>
          <w:rFonts w:ascii="宋体" w:hAnsi="宋体" w:cs="华文仿宋"/>
          <w:color w:val="auto"/>
          <w:kern w:val="0"/>
          <w:sz w:val="28"/>
          <w:szCs w:val="28"/>
          <w:highlight w:val="none"/>
        </w:rPr>
        <w:t>1</w:t>
      </w:r>
      <w:r>
        <w:rPr>
          <w:rFonts w:hint="eastAsia" w:ascii="宋体" w:hAnsi="宋体" w:cs="华文仿宋"/>
          <w:color w:val="auto"/>
          <w:kern w:val="0"/>
          <w:sz w:val="28"/>
          <w:szCs w:val="28"/>
          <w:highlight w:val="none"/>
        </w:rPr>
        <w:t>供应商投标报价异常，导致</w:t>
      </w:r>
      <w:r>
        <w:rPr>
          <w:rFonts w:ascii="宋体" w:hAnsi="宋体" w:cs="华文仿宋"/>
          <w:color w:val="auto"/>
          <w:kern w:val="0"/>
          <w:sz w:val="28"/>
          <w:szCs w:val="28"/>
          <w:highlight w:val="none"/>
        </w:rPr>
        <w:t>磋商小组</w:t>
      </w:r>
      <w:r>
        <w:rPr>
          <w:rFonts w:hint="eastAsia" w:ascii="宋体" w:hAnsi="宋体" w:cs="华文仿宋"/>
          <w:color w:val="auto"/>
          <w:kern w:val="0"/>
          <w:sz w:val="28"/>
          <w:szCs w:val="28"/>
          <w:highlight w:val="none"/>
        </w:rPr>
        <w:t>认为明显缺乏竞争性的，不能保证财政资金的有效利用时，</w:t>
      </w:r>
      <w:r>
        <w:rPr>
          <w:rFonts w:ascii="宋体" w:hAnsi="宋体" w:cs="华文仿宋"/>
          <w:color w:val="auto"/>
          <w:kern w:val="0"/>
          <w:sz w:val="28"/>
          <w:szCs w:val="28"/>
          <w:highlight w:val="none"/>
        </w:rPr>
        <w:t>磋商小组</w:t>
      </w:r>
      <w:r>
        <w:rPr>
          <w:rFonts w:hint="eastAsia" w:ascii="宋体" w:hAnsi="宋体" w:cs="华文仿宋"/>
          <w:color w:val="auto"/>
          <w:kern w:val="0"/>
          <w:sz w:val="28"/>
          <w:szCs w:val="28"/>
          <w:highlight w:val="none"/>
        </w:rPr>
        <w:t>可以否决所有投标。</w:t>
      </w:r>
    </w:p>
    <w:p>
      <w:pPr>
        <w:pStyle w:val="5"/>
        <w:spacing w:before="0" w:after="0" w:line="460" w:lineRule="exact"/>
        <w:ind w:firstLine="562" w:firstLineChars="200"/>
        <w:rPr>
          <w:rFonts w:ascii="宋体" w:hAnsi="宋体" w:cs="宋体"/>
          <w:b w:val="0"/>
          <w:bCs w:val="0"/>
          <w:color w:val="auto"/>
          <w:kern w:val="0"/>
          <w:sz w:val="28"/>
          <w:szCs w:val="28"/>
          <w:highlight w:val="none"/>
        </w:rPr>
      </w:pPr>
      <w:r>
        <w:rPr>
          <w:rFonts w:hint="eastAsia" w:ascii="宋体" w:hAnsi="宋体" w:cs="宋体"/>
          <w:color w:val="auto"/>
          <w:kern w:val="0"/>
          <w:sz w:val="28"/>
          <w:szCs w:val="28"/>
          <w:highlight w:val="none"/>
        </w:rPr>
        <w:t>九、评</w:t>
      </w:r>
      <w:r>
        <w:rPr>
          <w:rFonts w:hint="eastAsia" w:ascii="宋体" w:hAnsi="宋体" w:cs="宋体"/>
          <w:color w:val="auto"/>
          <w:kern w:val="0"/>
          <w:sz w:val="28"/>
          <w:szCs w:val="28"/>
          <w:highlight w:val="none"/>
          <w:lang w:eastAsia="zh-CN"/>
        </w:rPr>
        <w:t>审</w:t>
      </w:r>
      <w:r>
        <w:rPr>
          <w:rFonts w:hint="eastAsia" w:ascii="宋体" w:hAnsi="宋体" w:cs="宋体"/>
          <w:color w:val="auto"/>
          <w:kern w:val="0"/>
          <w:sz w:val="28"/>
          <w:szCs w:val="28"/>
          <w:highlight w:val="none"/>
        </w:rPr>
        <w:t>办法</w:t>
      </w:r>
    </w:p>
    <w:p>
      <w:pPr>
        <w:pStyle w:val="53"/>
        <w:adjustRightInd/>
        <w:spacing w:line="460" w:lineRule="exact"/>
        <w:jc w:val="both"/>
        <w:rPr>
          <w:color w:val="auto"/>
          <w:sz w:val="28"/>
          <w:szCs w:val="28"/>
          <w:highlight w:val="none"/>
        </w:rPr>
      </w:pPr>
      <w:r>
        <w:rPr>
          <w:rFonts w:hint="eastAsia"/>
          <w:color w:val="auto"/>
          <w:sz w:val="28"/>
          <w:szCs w:val="28"/>
          <w:highlight w:val="none"/>
        </w:rPr>
        <w:t xml:space="preserve">    一、总则</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本着坚持“公开、公平、公正”的原则，为维护磋商响应双方的合法权益，增加评标工作透明度，保证评标、定标的科学性、公正性和可操作性，根据《中华人民共和国政府采购法》、《中华人民共和国政府采购法实施条例》、《政府采购货物和服务竞争性磋商磋商响应管理办法》、财库〔2015〕124号《财政部关于政府采购竞争性磋商采购方式管理暂行办法有关问题的补充通知》等法律法规的精神，并结合本项目实际制定本办法。</w:t>
      </w:r>
    </w:p>
    <w:p>
      <w:pPr>
        <w:pStyle w:val="53"/>
        <w:adjustRightInd/>
        <w:spacing w:line="460" w:lineRule="exact"/>
        <w:ind w:firstLine="560" w:firstLineChars="200"/>
        <w:jc w:val="both"/>
        <w:rPr>
          <w:rFonts w:cs="华文仿宋"/>
          <w:color w:val="auto"/>
          <w:sz w:val="28"/>
          <w:szCs w:val="28"/>
          <w:highlight w:val="none"/>
        </w:rPr>
      </w:pPr>
      <w:r>
        <w:rPr>
          <w:rFonts w:hint="eastAsia"/>
          <w:color w:val="auto"/>
          <w:sz w:val="28"/>
          <w:szCs w:val="28"/>
          <w:highlight w:val="none"/>
        </w:rPr>
        <w:t>综合评分法，即在全部满足磋商文件实质性要求前提下，按照磋商文件中规定的各项因素进行综合评审，以总得分最高的供应商作为中标候选供应商。得分相同时，以</w:t>
      </w:r>
      <w:r>
        <w:rPr>
          <w:rFonts w:hint="eastAsia" w:cs="华文仿宋"/>
          <w:color w:val="auto"/>
          <w:sz w:val="28"/>
          <w:szCs w:val="28"/>
          <w:highlight w:val="none"/>
        </w:rPr>
        <w:t>报价最低的供应商作为中标候选人，报价仍然相同时由采购人抽签决定排序。</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38、评标程序</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磋商小组应认真研究竞争性磋商文件及采购需求，应了解和熟悉竞争性磋商项目的范围、性质、特征主要技术服务要求及标准、评审标准等相关内容：</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38.1磋商小组首先根据磋商文件核对磋商文件数据评审项，与磋商文件内容不符的，按磋商文件内容对磋商响应文件数据进行评审。</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38.2 磋商小组成员对响应文件有效性进行评审。</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38.3先进行有效性评审，采用综合评分法的将技术与商务部分得分汇总后，最后再进行报价部分评审。磋商小组根据采购文件，推荐有排序的预成交候选人，并形成评标报告。</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w:t>
      </w:r>
      <w:r>
        <w:rPr>
          <w:color w:val="auto"/>
          <w:sz w:val="28"/>
          <w:szCs w:val="28"/>
          <w:highlight w:val="none"/>
        </w:rPr>
        <w:t>.</w:t>
      </w:r>
      <w:r>
        <w:rPr>
          <w:rFonts w:hint="eastAsia"/>
          <w:color w:val="auto"/>
          <w:sz w:val="28"/>
          <w:szCs w:val="28"/>
          <w:highlight w:val="none"/>
        </w:rPr>
        <w:t>3</w:t>
      </w:r>
      <w:r>
        <w:rPr>
          <w:color w:val="auto"/>
          <w:sz w:val="28"/>
          <w:szCs w:val="28"/>
          <w:highlight w:val="none"/>
        </w:rPr>
        <w:t>.</w:t>
      </w:r>
      <w:r>
        <w:rPr>
          <w:rFonts w:hint="eastAsia"/>
          <w:color w:val="auto"/>
          <w:sz w:val="28"/>
          <w:szCs w:val="28"/>
          <w:highlight w:val="none"/>
        </w:rPr>
        <w:t>1磋商小组发现供应商的磋商响应文件中对同类问题表述不一致、前后矛盾、有明显文字和计算错误的内容、有可能不符合竞争性磋商文件规定等情况需要澄清时，磋商小组将以询标的方式告知并要求供应商以进行必要的澄清、说明或补正。对否定的磋商响应文件，评委要提出充足的否定理由，并填写在评标记录上。对评审结果持有不同意见的，按照少数服从多数的原则由评委采取投票方式表决确定。磋商小组成员应当在评审报告上签字，对自己的评审意见承担法律责任。对评审报告有异议的，应当在评审报告上签署不同意见，并说明理由，否则视为同意评审报告。</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w:t>
      </w:r>
      <w:r>
        <w:rPr>
          <w:color w:val="auto"/>
          <w:sz w:val="28"/>
          <w:szCs w:val="28"/>
          <w:highlight w:val="none"/>
        </w:rPr>
        <w:t>.</w:t>
      </w:r>
      <w:r>
        <w:rPr>
          <w:rFonts w:hint="eastAsia"/>
          <w:color w:val="auto"/>
          <w:sz w:val="28"/>
          <w:szCs w:val="28"/>
          <w:highlight w:val="none"/>
        </w:rPr>
        <w:t>3</w:t>
      </w:r>
      <w:r>
        <w:rPr>
          <w:color w:val="auto"/>
          <w:sz w:val="28"/>
          <w:szCs w:val="28"/>
          <w:highlight w:val="none"/>
        </w:rPr>
        <w:t>.</w:t>
      </w:r>
      <w:r>
        <w:rPr>
          <w:rFonts w:hint="eastAsia"/>
          <w:color w:val="auto"/>
          <w:sz w:val="28"/>
          <w:szCs w:val="28"/>
          <w:highlight w:val="none"/>
        </w:rPr>
        <w:t>2评审报告是磋商小组根据全体评标成员签字的原始评标记录和评标结果编写的报告，磋商小组全体成员均须在评审报告上签字。评审报告应如实记录本次评标的主要过程，全面反映评标过程中的各种不同的意见，以及其他澄清、说明、补正事项。</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w:t>
      </w:r>
      <w:r>
        <w:rPr>
          <w:color w:val="auto"/>
          <w:sz w:val="28"/>
          <w:szCs w:val="28"/>
          <w:highlight w:val="none"/>
        </w:rPr>
        <w:t>.</w:t>
      </w:r>
      <w:r>
        <w:rPr>
          <w:rFonts w:hint="eastAsia"/>
          <w:color w:val="auto"/>
          <w:sz w:val="28"/>
          <w:szCs w:val="28"/>
          <w:highlight w:val="none"/>
        </w:rPr>
        <w:t>3</w:t>
      </w:r>
      <w:r>
        <w:rPr>
          <w:color w:val="auto"/>
          <w:sz w:val="28"/>
          <w:szCs w:val="28"/>
          <w:highlight w:val="none"/>
        </w:rPr>
        <w:t>.</w:t>
      </w:r>
      <w:r>
        <w:rPr>
          <w:rFonts w:hint="eastAsia"/>
          <w:color w:val="auto"/>
          <w:sz w:val="28"/>
          <w:szCs w:val="28"/>
          <w:highlight w:val="none"/>
        </w:rPr>
        <w:t>3磋商小组在评标过程中发现的问题，应当区别情形及时作出处理。</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w:t>
      </w:r>
      <w:r>
        <w:rPr>
          <w:color w:val="auto"/>
          <w:sz w:val="28"/>
          <w:szCs w:val="28"/>
          <w:highlight w:val="none"/>
        </w:rPr>
        <w:t>.</w:t>
      </w:r>
      <w:r>
        <w:rPr>
          <w:rFonts w:hint="eastAsia"/>
          <w:color w:val="auto"/>
          <w:sz w:val="28"/>
          <w:szCs w:val="28"/>
          <w:highlight w:val="none"/>
        </w:rPr>
        <w:t>3</w:t>
      </w:r>
      <w:r>
        <w:rPr>
          <w:color w:val="auto"/>
          <w:sz w:val="28"/>
          <w:szCs w:val="28"/>
          <w:highlight w:val="none"/>
        </w:rPr>
        <w:t>.</w:t>
      </w:r>
      <w:r>
        <w:rPr>
          <w:rFonts w:hint="eastAsia"/>
          <w:color w:val="auto"/>
          <w:sz w:val="28"/>
          <w:szCs w:val="28"/>
          <w:highlight w:val="none"/>
        </w:rPr>
        <w:t>4磋商小组认为供应商的报价明显低于其他通过符合性审查供应商的报价，有可能影响服务质量或者不能诚信履约的，应当要求其在评标现场合理的时间内提供说明，必要时提交相关证明材料；供应商不能证明其报价合理性的，磋商小组应当将其作为无效投标处理。</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38</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3</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5磋商小组评审磋商响应文件依据为磋商响应文件以及按采购文件要求递交的其它资料。磋商小组决定磋商响应文件的响应性及符合性只根据磋商响应文件本身的内容，而不寻求其他外部证据。磋商小组应向采购人、采购代理机构或者有关部门报告评标中发现的违法行为。</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w:t>
      </w:r>
      <w:r>
        <w:rPr>
          <w:color w:val="auto"/>
          <w:sz w:val="28"/>
          <w:szCs w:val="28"/>
          <w:highlight w:val="none"/>
        </w:rPr>
        <w:t>.</w:t>
      </w:r>
      <w:r>
        <w:rPr>
          <w:rFonts w:hint="eastAsia"/>
          <w:color w:val="auto"/>
          <w:sz w:val="28"/>
          <w:szCs w:val="28"/>
          <w:highlight w:val="none"/>
        </w:rPr>
        <w:t>3</w:t>
      </w:r>
      <w:r>
        <w:rPr>
          <w:color w:val="auto"/>
          <w:sz w:val="28"/>
          <w:szCs w:val="28"/>
          <w:highlight w:val="none"/>
        </w:rPr>
        <w:t>.</w:t>
      </w:r>
      <w:r>
        <w:rPr>
          <w:rFonts w:hint="eastAsia"/>
          <w:color w:val="auto"/>
          <w:sz w:val="28"/>
          <w:szCs w:val="28"/>
          <w:highlight w:val="none"/>
        </w:rPr>
        <w:t>6磋商小组和评标工作人员应严格遵守国家的法律、法规和规章制度；严格按照本次竞争性磋商文件进行评标；公正廉洁、不徇私情，不得损害国家利益；保护采购人、供应商的合法权益。</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38.4磋商小组</w:t>
      </w:r>
      <w:r>
        <w:rPr>
          <w:color w:val="auto"/>
          <w:sz w:val="28"/>
          <w:szCs w:val="28"/>
          <w:highlight w:val="none"/>
        </w:rPr>
        <w:t>发现采购文件内容违反国家有关强制性规定的，应当停止评审并向</w:t>
      </w:r>
      <w:r>
        <w:rPr>
          <w:rFonts w:hint="eastAsia"/>
          <w:color w:val="auto"/>
          <w:sz w:val="28"/>
          <w:szCs w:val="28"/>
          <w:highlight w:val="none"/>
        </w:rPr>
        <w:t>采购人及代理机构</w:t>
      </w:r>
      <w:r>
        <w:rPr>
          <w:color w:val="auto"/>
          <w:sz w:val="28"/>
          <w:szCs w:val="28"/>
          <w:highlight w:val="none"/>
        </w:rPr>
        <w:t>说明情况。</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 xml:space="preserve">38.5供应商存在以下不良信用记录情形之一,不得推荐为中标候选人: </w:t>
      </w:r>
    </w:p>
    <w:p>
      <w:pPr>
        <w:pStyle w:val="53"/>
        <w:spacing w:line="480" w:lineRule="exact"/>
        <w:ind w:firstLine="560" w:firstLineChars="200"/>
        <w:jc w:val="both"/>
        <w:rPr>
          <w:color w:val="auto"/>
          <w:sz w:val="28"/>
          <w:szCs w:val="28"/>
          <w:highlight w:val="none"/>
        </w:rPr>
      </w:pPr>
      <w:r>
        <w:rPr>
          <w:rFonts w:hint="eastAsia"/>
          <w:color w:val="auto"/>
          <w:sz w:val="28"/>
          <w:szCs w:val="28"/>
          <w:highlight w:val="none"/>
        </w:rPr>
        <w:t>（1）被列入失信被执行人；（2）重大税收违法案件当事人名单；（3）政府采购严重违法失信行为记录名单；（4）被工商行政管理部门列入企业经营异常名录；（5）</w:t>
      </w:r>
      <w:r>
        <w:rPr>
          <w:color w:val="auto"/>
          <w:sz w:val="28"/>
          <w:szCs w:val="28"/>
          <w:highlight w:val="none"/>
        </w:rPr>
        <w:t>供应商或其法定代表人或拟派项目经理（项目负责人）近三年内被人民检察院列入行贿犯罪档案的；</w:t>
      </w:r>
      <w:r>
        <w:rPr>
          <w:rFonts w:hint="eastAsia"/>
          <w:color w:val="auto"/>
          <w:sz w:val="28"/>
          <w:szCs w:val="28"/>
          <w:highlight w:val="none"/>
        </w:rPr>
        <w:t>（5）以上情形第（</w:t>
      </w:r>
      <w:r>
        <w:rPr>
          <w:color w:val="auto"/>
          <w:sz w:val="28"/>
          <w:szCs w:val="28"/>
          <w:highlight w:val="none"/>
        </w:rPr>
        <w:t>1</w:t>
      </w:r>
      <w:r>
        <w:rPr>
          <w:rFonts w:hint="eastAsia"/>
          <w:color w:val="auto"/>
          <w:sz w:val="28"/>
          <w:szCs w:val="28"/>
          <w:highlight w:val="none"/>
        </w:rPr>
        <w:t>）（2）（3）条以开标当日</w:t>
      </w:r>
      <w:r>
        <w:rPr>
          <w:color w:val="auto"/>
          <w:sz w:val="28"/>
          <w:szCs w:val="28"/>
          <w:highlight w:val="none"/>
        </w:rPr>
        <w:t>“</w:t>
      </w:r>
      <w:r>
        <w:rPr>
          <w:rFonts w:hint="eastAsia"/>
          <w:color w:val="auto"/>
          <w:sz w:val="28"/>
          <w:szCs w:val="28"/>
          <w:highlight w:val="none"/>
        </w:rPr>
        <w:t>信用中国</w:t>
      </w:r>
      <w:r>
        <w:rPr>
          <w:color w:val="auto"/>
          <w:sz w:val="28"/>
          <w:szCs w:val="28"/>
          <w:highlight w:val="none"/>
        </w:rPr>
        <w:t>”</w:t>
      </w:r>
      <w:r>
        <w:rPr>
          <w:rFonts w:hint="eastAsia"/>
          <w:color w:val="auto"/>
          <w:sz w:val="28"/>
          <w:szCs w:val="28"/>
          <w:highlight w:val="none"/>
        </w:rPr>
        <w:t>（</w:t>
      </w:r>
      <w:r>
        <w:rPr>
          <w:color w:val="auto"/>
          <w:sz w:val="28"/>
          <w:szCs w:val="28"/>
          <w:highlight w:val="none"/>
        </w:rPr>
        <w:t>http://www.creditchina.gov.cn</w:t>
      </w:r>
      <w:r>
        <w:rPr>
          <w:rFonts w:hint="eastAsia"/>
          <w:color w:val="auto"/>
          <w:sz w:val="28"/>
          <w:szCs w:val="28"/>
          <w:highlight w:val="none"/>
        </w:rPr>
        <w:t>）、中国政府采购网（</w:t>
      </w:r>
      <w:r>
        <w:rPr>
          <w:color w:val="auto"/>
          <w:sz w:val="28"/>
          <w:szCs w:val="28"/>
          <w:highlight w:val="none"/>
        </w:rPr>
        <w:t>www.ccgp.gov.cn</w:t>
      </w:r>
      <w:r>
        <w:rPr>
          <w:rFonts w:hint="eastAsia"/>
          <w:color w:val="auto"/>
          <w:sz w:val="28"/>
          <w:szCs w:val="28"/>
          <w:highlight w:val="none"/>
        </w:rPr>
        <w:t>）发布的为准。以上情形第（4</w:t>
      </w:r>
      <w:r>
        <w:rPr>
          <w:color w:val="auto"/>
          <w:sz w:val="28"/>
          <w:szCs w:val="28"/>
          <w:highlight w:val="none"/>
        </w:rPr>
        <w:t>）</w:t>
      </w:r>
      <w:r>
        <w:rPr>
          <w:rFonts w:hint="eastAsia"/>
          <w:color w:val="auto"/>
          <w:sz w:val="28"/>
          <w:szCs w:val="28"/>
          <w:highlight w:val="none"/>
        </w:rPr>
        <w:t>条以以开标当日“</w:t>
      </w:r>
      <w:r>
        <w:rPr>
          <w:rFonts w:hint="eastAsia"/>
          <w:color w:val="auto"/>
          <w:sz w:val="28"/>
          <w:szCs w:val="28"/>
          <w:highlight w:val="none"/>
          <w:shd w:val="clear" w:color="auto" w:fill="FFFFFF"/>
        </w:rPr>
        <w:t>国家企业信用信息公示系统”（www.gsxt.gov.cn）查询为准。</w:t>
      </w:r>
      <w:r>
        <w:rPr>
          <w:rFonts w:hint="eastAsia"/>
          <w:color w:val="auto"/>
          <w:sz w:val="28"/>
          <w:szCs w:val="28"/>
          <w:highlight w:val="none"/>
        </w:rPr>
        <w:t>以上情形第（5）条以开标当日中国裁判文书网（</w:t>
      </w:r>
      <w:r>
        <w:rPr>
          <w:color w:val="auto"/>
          <w:sz w:val="28"/>
          <w:szCs w:val="28"/>
          <w:highlight w:val="none"/>
        </w:rPr>
        <w:t>wenshu.court.gov.cn</w:t>
      </w:r>
      <w:r>
        <w:rPr>
          <w:rFonts w:hint="eastAsia"/>
          <w:color w:val="auto"/>
          <w:sz w:val="28"/>
          <w:szCs w:val="28"/>
          <w:highlight w:val="none"/>
        </w:rPr>
        <w:t>）发布为准。由采购人代表或委托磋商小组在推荐中标候选人前对拟推荐的中标候选人进行查询并将查询结果截图反馈至磋商小组，由磋商小组记录在评标报告中。如在上述网站查询结果均显示没有相关记录，视为没有上述不良信用记录。</w:t>
      </w:r>
    </w:p>
    <w:p>
      <w:pPr>
        <w:pStyle w:val="53"/>
        <w:spacing w:line="460" w:lineRule="exact"/>
        <w:ind w:firstLine="560" w:firstLineChars="200"/>
        <w:jc w:val="both"/>
        <w:rPr>
          <w:color w:val="auto"/>
          <w:sz w:val="28"/>
          <w:szCs w:val="28"/>
          <w:highlight w:val="none"/>
        </w:rPr>
      </w:pPr>
      <w:r>
        <w:rPr>
          <w:rFonts w:hint="eastAsia"/>
          <w:color w:val="auto"/>
          <w:sz w:val="28"/>
          <w:szCs w:val="28"/>
          <w:highlight w:val="none"/>
        </w:rPr>
        <w:t>38.6磋商小组在推荐中标候选人前对拟推荐的中标候选人进行查询，查询结果由评审委员会签字确认。评标过程中如因网络、网站或设备原因现场无法查询的，由评审委员会将原因记录签字后存档，在中标（成交）公告发布前由采购人或代理机构查询并直接采用，查询记录由采购人或代理机构盖章后归档。</w:t>
      </w:r>
    </w:p>
    <w:p>
      <w:pPr>
        <w:pStyle w:val="53"/>
        <w:snapToGrid w:val="0"/>
        <w:spacing w:line="460" w:lineRule="exact"/>
        <w:ind w:firstLine="560" w:firstLineChars="200"/>
        <w:jc w:val="both"/>
        <w:rPr>
          <w:rFonts w:cs="华文仿宋"/>
          <w:color w:val="auto"/>
          <w:sz w:val="28"/>
          <w:szCs w:val="28"/>
          <w:highlight w:val="none"/>
        </w:rPr>
      </w:pPr>
      <w:r>
        <w:rPr>
          <w:rFonts w:hint="eastAsia"/>
          <w:color w:val="auto"/>
          <w:sz w:val="28"/>
          <w:szCs w:val="28"/>
          <w:highlight w:val="none"/>
        </w:rPr>
        <w:t>38.7信用查询后</w:t>
      </w:r>
      <w:r>
        <w:rPr>
          <w:color w:val="auto"/>
          <w:sz w:val="28"/>
          <w:szCs w:val="28"/>
          <w:highlight w:val="none"/>
        </w:rPr>
        <w:t>若第一中</w:t>
      </w:r>
      <w:r>
        <w:rPr>
          <w:rFonts w:cs="华文仿宋"/>
          <w:color w:val="auto"/>
          <w:sz w:val="28"/>
          <w:szCs w:val="28"/>
          <w:highlight w:val="none"/>
        </w:rPr>
        <w:t>标候选人被取消中标资格，则中标资格</w:t>
      </w:r>
      <w:r>
        <w:rPr>
          <w:rFonts w:hint="eastAsia" w:cs="华文仿宋"/>
          <w:color w:val="auto"/>
          <w:sz w:val="28"/>
          <w:szCs w:val="28"/>
          <w:highlight w:val="none"/>
        </w:rPr>
        <w:t>按照得分排序</w:t>
      </w:r>
      <w:r>
        <w:rPr>
          <w:rFonts w:cs="华文仿宋"/>
          <w:color w:val="auto"/>
          <w:sz w:val="28"/>
          <w:szCs w:val="28"/>
          <w:highlight w:val="none"/>
        </w:rPr>
        <w:t>顺延到第二中标候选人，以此类推。</w:t>
      </w:r>
    </w:p>
    <w:p>
      <w:pPr>
        <w:pStyle w:val="50"/>
        <w:adjustRightInd w:val="0"/>
        <w:snapToGrid w:val="0"/>
        <w:spacing w:line="460" w:lineRule="exact"/>
        <w:ind w:firstLine="560"/>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38.8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53"/>
        <w:adjustRightInd/>
        <w:spacing w:line="460" w:lineRule="exact"/>
        <w:ind w:firstLine="562" w:firstLineChars="200"/>
        <w:jc w:val="both"/>
        <w:rPr>
          <w:b/>
          <w:color w:val="auto"/>
          <w:sz w:val="28"/>
          <w:szCs w:val="28"/>
          <w:highlight w:val="none"/>
        </w:rPr>
      </w:pPr>
      <w:r>
        <w:rPr>
          <w:rFonts w:hint="eastAsia"/>
          <w:b/>
          <w:color w:val="auto"/>
          <w:sz w:val="28"/>
          <w:szCs w:val="28"/>
          <w:highlight w:val="none"/>
        </w:rPr>
        <w:t>39、有效性审查</w:t>
      </w:r>
    </w:p>
    <w:p>
      <w:pPr>
        <w:pStyle w:val="53"/>
        <w:adjustRightInd/>
        <w:spacing w:line="460" w:lineRule="exact"/>
        <w:ind w:firstLine="562" w:firstLineChars="200"/>
        <w:jc w:val="both"/>
        <w:rPr>
          <w:color w:val="auto"/>
          <w:sz w:val="28"/>
          <w:szCs w:val="28"/>
          <w:highlight w:val="none"/>
        </w:rPr>
      </w:pPr>
      <w:r>
        <w:rPr>
          <w:rFonts w:hint="eastAsia"/>
          <w:b/>
          <w:color w:val="auto"/>
          <w:sz w:val="28"/>
          <w:szCs w:val="28"/>
          <w:highlight w:val="none"/>
        </w:rPr>
        <w:t>若有一项不通过，作无效标处理</w:t>
      </w:r>
      <w:r>
        <w:rPr>
          <w:rFonts w:hint="eastAsia"/>
          <w:color w:val="auto"/>
          <w:sz w:val="28"/>
          <w:szCs w:val="28"/>
          <w:highlight w:val="none"/>
        </w:rPr>
        <w:t>。</w:t>
      </w:r>
    </w:p>
    <w:tbl>
      <w:tblPr>
        <w:tblStyle w:val="3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67"/>
        <w:gridCol w:w="4605"/>
        <w:gridCol w:w="3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6" w:type="dxa"/>
            <w:vAlign w:val="center"/>
          </w:tcPr>
          <w:p>
            <w:pPr>
              <w:pStyle w:val="53"/>
              <w:adjustRightInd/>
              <w:spacing w:line="460" w:lineRule="exact"/>
              <w:jc w:val="both"/>
              <w:rPr>
                <w:color w:val="auto"/>
                <w:sz w:val="28"/>
                <w:szCs w:val="28"/>
                <w:highlight w:val="none"/>
              </w:rPr>
            </w:pPr>
            <w:r>
              <w:rPr>
                <w:rFonts w:hint="eastAsia"/>
                <w:color w:val="auto"/>
                <w:sz w:val="28"/>
                <w:szCs w:val="28"/>
                <w:highlight w:val="none"/>
              </w:rPr>
              <w:t>序号</w:t>
            </w:r>
          </w:p>
        </w:tc>
        <w:tc>
          <w:tcPr>
            <w:tcW w:w="1667" w:type="dxa"/>
            <w:vAlign w:val="center"/>
          </w:tcPr>
          <w:p>
            <w:pPr>
              <w:pStyle w:val="53"/>
              <w:adjustRightInd/>
              <w:spacing w:line="460" w:lineRule="exact"/>
              <w:jc w:val="both"/>
              <w:rPr>
                <w:color w:val="auto"/>
                <w:sz w:val="28"/>
                <w:szCs w:val="28"/>
                <w:highlight w:val="none"/>
              </w:rPr>
            </w:pPr>
            <w:r>
              <w:rPr>
                <w:rFonts w:hint="eastAsia"/>
                <w:color w:val="auto"/>
                <w:sz w:val="28"/>
                <w:szCs w:val="28"/>
                <w:highlight w:val="none"/>
              </w:rPr>
              <w:t>项目内容</w:t>
            </w:r>
          </w:p>
        </w:tc>
        <w:tc>
          <w:tcPr>
            <w:tcW w:w="4605" w:type="dxa"/>
            <w:vAlign w:val="center"/>
          </w:tcPr>
          <w:p>
            <w:pPr>
              <w:pStyle w:val="53"/>
              <w:adjustRightInd/>
              <w:spacing w:line="460" w:lineRule="exact"/>
              <w:jc w:val="both"/>
              <w:rPr>
                <w:color w:val="auto"/>
                <w:sz w:val="28"/>
                <w:szCs w:val="28"/>
                <w:highlight w:val="none"/>
              </w:rPr>
            </w:pPr>
            <w:r>
              <w:rPr>
                <w:rFonts w:hint="eastAsia"/>
                <w:color w:val="auto"/>
                <w:sz w:val="28"/>
                <w:szCs w:val="28"/>
                <w:highlight w:val="none"/>
              </w:rPr>
              <w:t>合格条件</w:t>
            </w:r>
          </w:p>
        </w:tc>
        <w:tc>
          <w:tcPr>
            <w:tcW w:w="3107" w:type="dxa"/>
            <w:vAlign w:val="center"/>
          </w:tcPr>
          <w:p>
            <w:pPr>
              <w:pStyle w:val="53"/>
              <w:adjustRightInd/>
              <w:spacing w:line="460" w:lineRule="exact"/>
              <w:jc w:val="both"/>
              <w:rPr>
                <w:color w:val="auto"/>
                <w:sz w:val="28"/>
                <w:szCs w:val="28"/>
                <w:highlight w:val="none"/>
              </w:rPr>
            </w:pPr>
            <w:r>
              <w:rPr>
                <w:rFonts w:hint="eastAsia"/>
                <w:color w:val="auto"/>
                <w:sz w:val="28"/>
                <w:szCs w:val="28"/>
                <w:highlight w:val="none"/>
              </w:rPr>
              <w:t>审核材料要求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816"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1</w:t>
            </w:r>
          </w:p>
        </w:tc>
        <w:tc>
          <w:tcPr>
            <w:tcW w:w="1667"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授权委托书</w:t>
            </w:r>
          </w:p>
        </w:tc>
        <w:tc>
          <w:tcPr>
            <w:tcW w:w="4605"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供应商授权的委托代理人有合法、有效的委托书，委托书按相应要求签字或盖章。同时委托人符合文件相关要求。</w:t>
            </w:r>
          </w:p>
        </w:tc>
        <w:tc>
          <w:tcPr>
            <w:tcW w:w="3107" w:type="dxa"/>
            <w:vAlign w:val="center"/>
          </w:tcPr>
          <w:p>
            <w:pPr>
              <w:adjustRightInd w:val="0"/>
              <w:snapToGrid w:val="0"/>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提供授权委托书扫描入磋商响应文件。（法定代表人参加投标的提供身份证明复印件或影印件，无需投标授权书）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16" w:type="dxa"/>
            <w:vMerge w:val="restart"/>
            <w:vAlign w:val="center"/>
          </w:tcPr>
          <w:p>
            <w:pPr>
              <w:pStyle w:val="53"/>
              <w:spacing w:line="460" w:lineRule="exact"/>
              <w:jc w:val="both"/>
              <w:rPr>
                <w:rFonts w:hint="eastAsia"/>
                <w:color w:val="auto"/>
                <w:sz w:val="24"/>
                <w:szCs w:val="24"/>
                <w:highlight w:val="none"/>
                <w:lang w:val="en-US" w:eastAsia="zh-CN"/>
              </w:rPr>
            </w:pPr>
            <w:r>
              <w:rPr>
                <w:rFonts w:hint="eastAsia"/>
                <w:color w:val="auto"/>
                <w:sz w:val="24"/>
                <w:szCs w:val="24"/>
                <w:highlight w:val="none"/>
                <w:lang w:val="en-US" w:eastAsia="zh-CN"/>
              </w:rPr>
              <w:t>2</w:t>
            </w:r>
          </w:p>
          <w:p>
            <w:pPr>
              <w:pStyle w:val="53"/>
              <w:spacing w:line="460" w:lineRule="exact"/>
              <w:jc w:val="both"/>
              <w:rPr>
                <w:color w:val="auto"/>
                <w:sz w:val="24"/>
                <w:szCs w:val="24"/>
                <w:highlight w:val="none"/>
              </w:rPr>
            </w:pPr>
          </w:p>
        </w:tc>
        <w:tc>
          <w:tcPr>
            <w:tcW w:w="1667" w:type="dxa"/>
            <w:vMerge w:val="restart"/>
            <w:vAlign w:val="center"/>
          </w:tcPr>
          <w:p>
            <w:pPr>
              <w:pStyle w:val="53"/>
              <w:spacing w:line="460" w:lineRule="exact"/>
              <w:jc w:val="both"/>
              <w:rPr>
                <w:rFonts w:hint="eastAsia"/>
                <w:color w:val="auto"/>
                <w:sz w:val="24"/>
                <w:szCs w:val="24"/>
                <w:highlight w:val="none"/>
              </w:rPr>
            </w:pPr>
            <w:r>
              <w:rPr>
                <w:rFonts w:hint="eastAsia"/>
                <w:color w:val="auto"/>
                <w:sz w:val="24"/>
                <w:szCs w:val="24"/>
                <w:highlight w:val="none"/>
              </w:rPr>
              <w:t>需要提供的磋商响应资格证明资料</w:t>
            </w:r>
          </w:p>
          <w:p>
            <w:pPr>
              <w:pStyle w:val="53"/>
              <w:spacing w:line="460" w:lineRule="exact"/>
              <w:jc w:val="both"/>
              <w:rPr>
                <w:color w:val="auto"/>
                <w:sz w:val="24"/>
                <w:szCs w:val="24"/>
                <w:highlight w:val="none"/>
              </w:rPr>
            </w:pPr>
          </w:p>
        </w:tc>
        <w:tc>
          <w:tcPr>
            <w:tcW w:w="4605" w:type="dxa"/>
            <w:vAlign w:val="center"/>
          </w:tcPr>
          <w:p>
            <w:pPr>
              <w:pStyle w:val="53"/>
              <w:snapToGrid w:val="0"/>
              <w:spacing w:line="460" w:lineRule="exact"/>
              <w:rPr>
                <w:rFonts w:hint="eastAsia" w:eastAsia="宋体"/>
                <w:color w:val="auto"/>
                <w:sz w:val="24"/>
                <w:szCs w:val="24"/>
                <w:highlight w:val="none"/>
                <w:lang w:eastAsia="zh-CN"/>
              </w:rPr>
            </w:pPr>
            <w:r>
              <w:rPr>
                <w:rFonts w:hint="eastAsia"/>
                <w:color w:val="auto"/>
                <w:sz w:val="24"/>
                <w:szCs w:val="24"/>
                <w:highlight w:val="none"/>
              </w:rPr>
              <w:t>满足《中华人民共和国政府采购法》第二十二条要求。</w:t>
            </w:r>
          </w:p>
        </w:tc>
        <w:tc>
          <w:tcPr>
            <w:tcW w:w="3107" w:type="dxa"/>
            <w:vAlign w:val="center"/>
          </w:tcPr>
          <w:p>
            <w:pPr>
              <w:spacing w:before="115" w:line="360" w:lineRule="auto"/>
              <w:ind w:left="114" w:right="107"/>
              <w:rPr>
                <w:rFonts w:ascii="宋体" w:hAnsi="宋体" w:eastAsia="宋体" w:cs="宋体"/>
                <w:color w:val="auto"/>
                <w:spacing w:val="4"/>
                <w:sz w:val="24"/>
                <w:szCs w:val="24"/>
                <w:highlight w:val="none"/>
              </w:rPr>
            </w:pPr>
            <w:r>
              <w:rPr>
                <w:rFonts w:hint="eastAsia"/>
                <w:color w:val="auto"/>
                <w:sz w:val="24"/>
                <w:szCs w:val="24"/>
                <w:highlight w:val="none"/>
              </w:rPr>
              <w:t>按磋商函格式填写相关承诺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816" w:type="dxa"/>
            <w:vMerge w:val="continue"/>
            <w:vAlign w:val="center"/>
          </w:tcPr>
          <w:p>
            <w:pPr>
              <w:pStyle w:val="53"/>
              <w:spacing w:line="460" w:lineRule="exact"/>
              <w:jc w:val="both"/>
              <w:rPr>
                <w:color w:val="auto"/>
                <w:sz w:val="24"/>
                <w:szCs w:val="24"/>
                <w:highlight w:val="none"/>
              </w:rPr>
            </w:pPr>
          </w:p>
        </w:tc>
        <w:tc>
          <w:tcPr>
            <w:tcW w:w="1667" w:type="dxa"/>
            <w:vMerge w:val="continue"/>
            <w:vAlign w:val="center"/>
          </w:tcPr>
          <w:p>
            <w:pPr>
              <w:pStyle w:val="53"/>
              <w:spacing w:line="460" w:lineRule="exact"/>
              <w:jc w:val="both"/>
              <w:rPr>
                <w:color w:val="auto"/>
                <w:sz w:val="24"/>
                <w:szCs w:val="24"/>
                <w:highlight w:val="none"/>
              </w:rPr>
            </w:pPr>
          </w:p>
        </w:tc>
        <w:tc>
          <w:tcPr>
            <w:tcW w:w="4605" w:type="dxa"/>
            <w:vAlign w:val="center"/>
          </w:tcPr>
          <w:p>
            <w:pPr>
              <w:pStyle w:val="53"/>
              <w:snapToGrid w:val="0"/>
              <w:spacing w:line="460" w:lineRule="exact"/>
              <w:rPr>
                <w:rFonts w:hint="eastAsia" w:eastAsia="宋体"/>
                <w:color w:val="auto"/>
                <w:sz w:val="24"/>
                <w:szCs w:val="24"/>
                <w:highlight w:val="none"/>
                <w:lang w:eastAsia="zh-CN"/>
              </w:rPr>
            </w:pPr>
            <w:r>
              <w:rPr>
                <w:rFonts w:hint="eastAsia" w:eastAsia="宋体"/>
                <w:color w:val="auto"/>
                <w:sz w:val="24"/>
                <w:szCs w:val="24"/>
                <w:highlight w:val="none"/>
                <w:lang w:eastAsia="zh-CN"/>
              </w:rPr>
              <w:t>企业资质资格符合磋商公告要求</w:t>
            </w:r>
          </w:p>
        </w:tc>
        <w:tc>
          <w:tcPr>
            <w:tcW w:w="3107" w:type="dxa"/>
            <w:vAlign w:val="center"/>
          </w:tcPr>
          <w:p>
            <w:pPr>
              <w:spacing w:before="115" w:line="360" w:lineRule="auto"/>
              <w:ind w:left="114" w:right="107"/>
              <w:rPr>
                <w:rFonts w:hint="eastAsia" w:eastAsia="宋体"/>
                <w:color w:val="auto"/>
                <w:sz w:val="24"/>
                <w:szCs w:val="24"/>
                <w:highlight w:val="none"/>
                <w:lang w:val="en-US" w:eastAsia="zh-CN"/>
              </w:rPr>
            </w:pPr>
            <w:r>
              <w:rPr>
                <w:rFonts w:ascii="宋体" w:hAnsi="宋体" w:eastAsia="宋体" w:cs="宋体"/>
                <w:color w:val="auto"/>
                <w:spacing w:val="4"/>
                <w:sz w:val="24"/>
                <w:szCs w:val="24"/>
                <w:highlight w:val="none"/>
              </w:rPr>
              <w:t>提供有效的资质证书、安全</w:t>
            </w:r>
            <w:r>
              <w:rPr>
                <w:rFonts w:ascii="宋体" w:hAnsi="宋体" w:eastAsia="宋体" w:cs="宋体"/>
                <w:color w:val="auto"/>
                <w:spacing w:val="3"/>
                <w:sz w:val="24"/>
                <w:szCs w:val="24"/>
                <w:highlight w:val="none"/>
              </w:rPr>
              <w:t>生</w:t>
            </w:r>
            <w:r>
              <w:rPr>
                <w:rFonts w:ascii="宋体" w:hAnsi="宋体" w:eastAsia="宋体" w:cs="宋体"/>
                <w:color w:val="auto"/>
                <w:spacing w:val="4"/>
                <w:sz w:val="24"/>
                <w:szCs w:val="24"/>
                <w:highlight w:val="none"/>
              </w:rPr>
              <w:t>产许可证、营业执照扫描件</w:t>
            </w:r>
            <w:r>
              <w:rPr>
                <w:rFonts w:hint="eastAsia" w:ascii="宋体" w:hAnsi="宋体" w:cs="宋体"/>
                <w:color w:val="auto"/>
                <w:spacing w:val="4"/>
                <w:sz w:val="24"/>
                <w:szCs w:val="24"/>
                <w:highlight w:val="none"/>
                <w:lang w:eastAsia="zh-CN"/>
              </w:rPr>
              <w:t>放入</w:t>
            </w:r>
            <w:r>
              <w:rPr>
                <w:rFonts w:ascii="宋体" w:hAnsi="宋体" w:eastAsia="宋体" w:cs="宋体"/>
                <w:color w:val="auto"/>
                <w:spacing w:val="-1"/>
                <w:sz w:val="24"/>
                <w:szCs w:val="24"/>
                <w:highlight w:val="none"/>
              </w:rPr>
              <w:t>电子磋商响</w:t>
            </w:r>
            <w:r>
              <w:rPr>
                <w:rFonts w:ascii="宋体" w:hAnsi="宋体" w:eastAsia="宋体" w:cs="宋体"/>
                <w:color w:val="auto"/>
                <w:sz w:val="24"/>
                <w:szCs w:val="24"/>
                <w:highlight w:val="none"/>
              </w:rPr>
              <w:t>应文件</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16" w:type="dxa"/>
            <w:vMerge w:val="continue"/>
            <w:vAlign w:val="center"/>
          </w:tcPr>
          <w:p>
            <w:pPr>
              <w:pStyle w:val="53"/>
              <w:adjustRightInd/>
              <w:spacing w:line="460" w:lineRule="exact"/>
              <w:jc w:val="both"/>
              <w:rPr>
                <w:color w:val="auto"/>
                <w:sz w:val="24"/>
                <w:szCs w:val="24"/>
                <w:highlight w:val="none"/>
              </w:rPr>
            </w:pPr>
          </w:p>
        </w:tc>
        <w:tc>
          <w:tcPr>
            <w:tcW w:w="1667" w:type="dxa"/>
            <w:vMerge w:val="continue"/>
            <w:vAlign w:val="center"/>
          </w:tcPr>
          <w:p>
            <w:pPr>
              <w:pStyle w:val="53"/>
              <w:adjustRightInd/>
              <w:spacing w:line="460" w:lineRule="exact"/>
              <w:jc w:val="both"/>
              <w:rPr>
                <w:color w:val="auto"/>
                <w:sz w:val="24"/>
                <w:szCs w:val="24"/>
                <w:highlight w:val="none"/>
              </w:rPr>
            </w:pPr>
          </w:p>
        </w:tc>
        <w:tc>
          <w:tcPr>
            <w:tcW w:w="4605" w:type="dxa"/>
            <w:vAlign w:val="top"/>
          </w:tcPr>
          <w:p>
            <w:pPr>
              <w:spacing w:line="349" w:lineRule="auto"/>
              <w:rPr>
                <w:color w:val="auto"/>
                <w:sz w:val="24"/>
                <w:szCs w:val="24"/>
                <w:highlight w:val="none"/>
              </w:rPr>
            </w:pPr>
          </w:p>
          <w:p>
            <w:pPr>
              <w:spacing w:before="78" w:line="255" w:lineRule="auto"/>
              <w:ind w:left="112" w:leftChars="0" w:right="101" w:rightChars="0" w:firstLine="1" w:firstLineChars="0"/>
              <w:rPr>
                <w:color w:val="auto"/>
                <w:sz w:val="24"/>
                <w:szCs w:val="24"/>
                <w:highlight w:val="none"/>
              </w:rPr>
            </w:pPr>
            <w:r>
              <w:rPr>
                <w:rFonts w:ascii="宋体" w:hAnsi="宋体" w:eastAsia="宋体" w:cs="宋体"/>
                <w:color w:val="auto"/>
                <w:spacing w:val="20"/>
                <w:sz w:val="24"/>
                <w:szCs w:val="24"/>
                <w:highlight w:val="none"/>
              </w:rPr>
              <w:t>项</w:t>
            </w:r>
            <w:r>
              <w:rPr>
                <w:rFonts w:ascii="宋体" w:hAnsi="宋体" w:eastAsia="宋体" w:cs="宋体"/>
                <w:color w:val="auto"/>
                <w:spacing w:val="12"/>
                <w:sz w:val="24"/>
                <w:szCs w:val="24"/>
                <w:highlight w:val="none"/>
              </w:rPr>
              <w:t>目负责人资格符合磋商公告要</w:t>
            </w:r>
            <w:r>
              <w:rPr>
                <w:rFonts w:ascii="宋体" w:hAnsi="宋体" w:eastAsia="宋体" w:cs="宋体"/>
                <w:color w:val="auto"/>
                <w:sz w:val="24"/>
                <w:szCs w:val="24"/>
                <w:highlight w:val="none"/>
              </w:rPr>
              <w:t>求</w:t>
            </w:r>
          </w:p>
        </w:tc>
        <w:tc>
          <w:tcPr>
            <w:tcW w:w="3107" w:type="dxa"/>
            <w:vAlign w:val="top"/>
          </w:tcPr>
          <w:p>
            <w:pPr>
              <w:spacing w:before="116" w:line="360" w:lineRule="auto"/>
              <w:ind w:left="118" w:right="104" w:hanging="3"/>
              <w:rPr>
                <w:rFonts w:hint="eastAsia" w:eastAsia="宋体"/>
                <w:color w:val="auto"/>
                <w:sz w:val="24"/>
                <w:szCs w:val="24"/>
                <w:highlight w:val="none"/>
                <w:lang w:val="en-US" w:eastAsia="zh-CN"/>
              </w:rPr>
            </w:pPr>
            <w:r>
              <w:rPr>
                <w:rFonts w:ascii="宋体" w:hAnsi="宋体" w:eastAsia="宋体" w:cs="宋体"/>
                <w:color w:val="auto"/>
                <w:spacing w:val="4"/>
                <w:sz w:val="24"/>
                <w:szCs w:val="24"/>
                <w:highlight w:val="none"/>
              </w:rPr>
              <w:t>提供有效的注册建造师资格证</w:t>
            </w:r>
            <w:r>
              <w:rPr>
                <w:rFonts w:ascii="宋体" w:hAnsi="宋体" w:eastAsia="宋体" w:cs="宋体"/>
                <w:color w:val="auto"/>
                <w:spacing w:val="6"/>
                <w:sz w:val="24"/>
                <w:szCs w:val="24"/>
                <w:highlight w:val="none"/>
              </w:rPr>
              <w:t>书、安</w:t>
            </w:r>
            <w:r>
              <w:rPr>
                <w:rFonts w:ascii="宋体" w:hAnsi="宋体" w:eastAsia="宋体" w:cs="宋体"/>
                <w:color w:val="auto"/>
                <w:spacing w:val="3"/>
                <w:sz w:val="24"/>
                <w:szCs w:val="24"/>
                <w:highlight w:val="none"/>
              </w:rPr>
              <w:t>全考核证书(</w:t>
            </w:r>
            <w:r>
              <w:rPr>
                <w:rFonts w:ascii="宋体" w:hAnsi="宋体" w:eastAsia="宋体" w:cs="宋体"/>
                <w:color w:val="auto"/>
                <w:sz w:val="24"/>
                <w:szCs w:val="24"/>
                <w:highlight w:val="none"/>
              </w:rPr>
              <w:t>B</w:t>
            </w:r>
            <w:r>
              <w:rPr>
                <w:rFonts w:ascii="宋体" w:hAnsi="宋体" w:eastAsia="宋体" w:cs="宋体"/>
                <w:color w:val="auto"/>
                <w:spacing w:val="3"/>
                <w:sz w:val="24"/>
                <w:szCs w:val="24"/>
                <w:highlight w:val="none"/>
              </w:rPr>
              <w:t>证) 扫描</w:t>
            </w:r>
            <w:r>
              <w:rPr>
                <w:rFonts w:ascii="宋体" w:hAnsi="宋体" w:eastAsia="宋体" w:cs="宋体"/>
                <w:color w:val="auto"/>
                <w:spacing w:val="-1"/>
                <w:sz w:val="24"/>
                <w:szCs w:val="24"/>
                <w:highlight w:val="none"/>
              </w:rPr>
              <w:t>件</w:t>
            </w:r>
            <w:r>
              <w:rPr>
                <w:rFonts w:hint="eastAsia" w:ascii="宋体" w:hAnsi="宋体" w:cs="宋体"/>
                <w:color w:val="auto"/>
                <w:spacing w:val="4"/>
                <w:sz w:val="24"/>
                <w:szCs w:val="24"/>
                <w:highlight w:val="none"/>
                <w:lang w:eastAsia="zh-CN"/>
              </w:rPr>
              <w:t>放入</w:t>
            </w:r>
            <w:r>
              <w:rPr>
                <w:rFonts w:ascii="宋体" w:hAnsi="宋体" w:eastAsia="宋体" w:cs="宋体"/>
                <w:color w:val="auto"/>
                <w:spacing w:val="-1"/>
                <w:sz w:val="24"/>
                <w:szCs w:val="24"/>
                <w:highlight w:val="none"/>
              </w:rPr>
              <w:t>磋商</w:t>
            </w:r>
            <w:r>
              <w:rPr>
                <w:rFonts w:ascii="宋体" w:hAnsi="宋体" w:eastAsia="宋体" w:cs="宋体"/>
                <w:color w:val="auto"/>
                <w:sz w:val="24"/>
                <w:szCs w:val="24"/>
                <w:highlight w:val="none"/>
              </w:rPr>
              <w:t>响应文件</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6" w:type="dxa"/>
            <w:vAlign w:val="center"/>
          </w:tcPr>
          <w:p>
            <w:pPr>
              <w:pStyle w:val="53"/>
              <w:adjustRightInd/>
              <w:spacing w:line="460" w:lineRule="exact"/>
              <w:jc w:val="both"/>
              <w:rPr>
                <w:color w:val="auto"/>
                <w:sz w:val="24"/>
                <w:szCs w:val="24"/>
                <w:highlight w:val="none"/>
              </w:rPr>
            </w:pPr>
            <w:r>
              <w:rPr>
                <w:color w:val="auto"/>
                <w:sz w:val="24"/>
                <w:szCs w:val="24"/>
                <w:highlight w:val="none"/>
              </w:rPr>
              <w:t>3</w:t>
            </w:r>
          </w:p>
        </w:tc>
        <w:tc>
          <w:tcPr>
            <w:tcW w:w="1667"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标书规范性</w:t>
            </w:r>
          </w:p>
        </w:tc>
        <w:tc>
          <w:tcPr>
            <w:tcW w:w="4605" w:type="dxa"/>
            <w:vAlign w:val="center"/>
          </w:tcPr>
          <w:p>
            <w:pPr>
              <w:pStyle w:val="53"/>
              <w:numPr>
                <w:ilvl w:val="0"/>
                <w:numId w:val="5"/>
              </w:numPr>
              <w:spacing w:line="460" w:lineRule="exact"/>
              <w:rPr>
                <w:rFonts w:cs="华文仿宋"/>
                <w:color w:val="auto"/>
                <w:sz w:val="24"/>
                <w:szCs w:val="24"/>
                <w:highlight w:val="none"/>
              </w:rPr>
            </w:pPr>
            <w:r>
              <w:rPr>
                <w:rFonts w:hint="eastAsia" w:cs="华文仿宋"/>
                <w:color w:val="auto"/>
                <w:sz w:val="24"/>
                <w:szCs w:val="24"/>
                <w:highlight w:val="none"/>
              </w:rPr>
              <w:t>在磋商文件规定的投标时间截止</w:t>
            </w:r>
          </w:p>
          <w:p>
            <w:pPr>
              <w:pStyle w:val="53"/>
              <w:spacing w:line="460" w:lineRule="exact"/>
              <w:rPr>
                <w:rFonts w:cs="华文仿宋"/>
                <w:color w:val="auto"/>
                <w:sz w:val="24"/>
                <w:szCs w:val="24"/>
                <w:highlight w:val="none"/>
              </w:rPr>
            </w:pPr>
            <w:r>
              <w:rPr>
                <w:rFonts w:hint="eastAsia" w:cs="华文仿宋"/>
                <w:color w:val="auto"/>
                <w:sz w:val="24"/>
                <w:szCs w:val="24"/>
                <w:highlight w:val="none"/>
              </w:rPr>
              <w:t>前递交投标文件的。</w:t>
            </w:r>
          </w:p>
          <w:p>
            <w:pPr>
              <w:pStyle w:val="53"/>
              <w:spacing w:line="460" w:lineRule="exact"/>
              <w:rPr>
                <w:rFonts w:cs="华文仿宋"/>
                <w:color w:val="auto"/>
                <w:sz w:val="24"/>
                <w:szCs w:val="24"/>
                <w:highlight w:val="none"/>
              </w:rPr>
            </w:pPr>
            <w:r>
              <w:rPr>
                <w:rFonts w:hint="eastAsia" w:cs="华文仿宋"/>
                <w:color w:val="auto"/>
                <w:sz w:val="24"/>
                <w:szCs w:val="24"/>
                <w:highlight w:val="none"/>
              </w:rPr>
              <w:t>2、投标文件符合磋商文件密封、标记、递交等相应要求。</w:t>
            </w:r>
          </w:p>
          <w:p>
            <w:pPr>
              <w:pStyle w:val="53"/>
              <w:spacing w:line="460" w:lineRule="exact"/>
              <w:jc w:val="both"/>
              <w:rPr>
                <w:rFonts w:cs="华文仿宋"/>
                <w:color w:val="auto"/>
                <w:sz w:val="24"/>
                <w:szCs w:val="24"/>
                <w:highlight w:val="none"/>
              </w:rPr>
            </w:pPr>
            <w:r>
              <w:rPr>
                <w:rFonts w:hint="eastAsia" w:cs="华文仿宋"/>
                <w:color w:val="auto"/>
                <w:sz w:val="24"/>
                <w:szCs w:val="24"/>
                <w:highlight w:val="none"/>
              </w:rPr>
              <w:t>3、应当随中标公告一并向社会公布的表单内容（如主要业绩一览表、中小企业证明材料等）与投标文件中其它相应内容一致。</w:t>
            </w:r>
          </w:p>
        </w:tc>
        <w:tc>
          <w:tcPr>
            <w:tcW w:w="3107" w:type="dxa"/>
            <w:vAlign w:val="center"/>
          </w:tcPr>
          <w:p>
            <w:pPr>
              <w:pStyle w:val="53"/>
              <w:adjustRightInd/>
              <w:spacing w:line="460" w:lineRule="exact"/>
              <w:ind w:firstLine="480" w:firstLineChars="200"/>
              <w:jc w:val="both"/>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6" w:type="dxa"/>
            <w:vAlign w:val="center"/>
          </w:tcPr>
          <w:p>
            <w:pPr>
              <w:pStyle w:val="53"/>
              <w:adjustRightInd/>
              <w:spacing w:line="460" w:lineRule="exact"/>
              <w:jc w:val="both"/>
              <w:rPr>
                <w:color w:val="auto"/>
                <w:sz w:val="24"/>
                <w:szCs w:val="24"/>
                <w:highlight w:val="none"/>
              </w:rPr>
            </w:pPr>
            <w:r>
              <w:rPr>
                <w:color w:val="auto"/>
                <w:sz w:val="24"/>
                <w:szCs w:val="24"/>
                <w:highlight w:val="none"/>
              </w:rPr>
              <w:t>4</w:t>
            </w:r>
          </w:p>
        </w:tc>
        <w:tc>
          <w:tcPr>
            <w:tcW w:w="1667"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标书盖章</w:t>
            </w:r>
          </w:p>
        </w:tc>
        <w:tc>
          <w:tcPr>
            <w:tcW w:w="4605" w:type="dxa"/>
            <w:vAlign w:val="center"/>
          </w:tcPr>
          <w:p>
            <w:pPr>
              <w:pStyle w:val="53"/>
              <w:spacing w:line="460" w:lineRule="exact"/>
              <w:jc w:val="both"/>
              <w:rPr>
                <w:color w:val="auto"/>
                <w:sz w:val="24"/>
                <w:szCs w:val="24"/>
                <w:highlight w:val="none"/>
              </w:rPr>
            </w:pPr>
            <w:r>
              <w:rPr>
                <w:rFonts w:hint="eastAsia"/>
                <w:color w:val="auto"/>
                <w:sz w:val="24"/>
                <w:szCs w:val="24"/>
                <w:highlight w:val="none"/>
              </w:rPr>
              <w:t>磋商响应文件盖章符合竞争性磋商文件的要求。</w:t>
            </w:r>
          </w:p>
        </w:tc>
        <w:tc>
          <w:tcPr>
            <w:tcW w:w="3107" w:type="dxa"/>
            <w:vAlign w:val="center"/>
          </w:tcPr>
          <w:p>
            <w:pPr>
              <w:widowControl/>
              <w:shd w:val="clear" w:color="auto" w:fill="FFFFFF"/>
              <w:adjustRightInd w:val="0"/>
              <w:snapToGrid w:val="0"/>
              <w:spacing w:line="460" w:lineRule="exac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6" w:type="dxa"/>
            <w:vAlign w:val="center"/>
          </w:tcPr>
          <w:p>
            <w:pPr>
              <w:pStyle w:val="53"/>
              <w:adjustRightInd/>
              <w:spacing w:line="460" w:lineRule="exact"/>
              <w:jc w:val="both"/>
              <w:rPr>
                <w:color w:val="auto"/>
                <w:sz w:val="24"/>
                <w:szCs w:val="24"/>
                <w:highlight w:val="none"/>
              </w:rPr>
            </w:pPr>
            <w:r>
              <w:rPr>
                <w:color w:val="auto"/>
                <w:sz w:val="24"/>
                <w:szCs w:val="24"/>
                <w:highlight w:val="none"/>
              </w:rPr>
              <w:t>5</w:t>
            </w:r>
          </w:p>
        </w:tc>
        <w:tc>
          <w:tcPr>
            <w:tcW w:w="1667"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标书响应情况</w:t>
            </w:r>
          </w:p>
        </w:tc>
        <w:tc>
          <w:tcPr>
            <w:tcW w:w="4605" w:type="dxa"/>
            <w:vAlign w:val="center"/>
          </w:tcPr>
          <w:p>
            <w:pPr>
              <w:pStyle w:val="53"/>
              <w:spacing w:line="460" w:lineRule="exact"/>
              <w:jc w:val="both"/>
              <w:rPr>
                <w:color w:val="auto"/>
                <w:sz w:val="24"/>
                <w:szCs w:val="24"/>
                <w:highlight w:val="none"/>
              </w:rPr>
            </w:pPr>
            <w:r>
              <w:rPr>
                <w:rFonts w:hint="eastAsia"/>
                <w:color w:val="auto"/>
                <w:sz w:val="24"/>
                <w:szCs w:val="24"/>
                <w:highlight w:val="none"/>
              </w:rPr>
              <w:t>服务标准要求、服务期响应等内容满足竞争性磋商文件的实质性要求。</w:t>
            </w:r>
          </w:p>
        </w:tc>
        <w:tc>
          <w:tcPr>
            <w:tcW w:w="3107" w:type="dxa"/>
            <w:vAlign w:val="center"/>
          </w:tcPr>
          <w:p>
            <w:pPr>
              <w:pStyle w:val="53"/>
              <w:adjustRightInd/>
              <w:spacing w:line="460" w:lineRule="exact"/>
              <w:ind w:firstLine="480" w:firstLineChars="200"/>
              <w:jc w:val="both"/>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16"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6</w:t>
            </w:r>
          </w:p>
        </w:tc>
        <w:tc>
          <w:tcPr>
            <w:tcW w:w="1667" w:type="dxa"/>
            <w:vAlign w:val="center"/>
          </w:tcPr>
          <w:p>
            <w:pPr>
              <w:pStyle w:val="53"/>
              <w:adjustRightInd/>
              <w:spacing w:line="460" w:lineRule="exact"/>
              <w:jc w:val="both"/>
              <w:rPr>
                <w:color w:val="auto"/>
                <w:sz w:val="24"/>
                <w:szCs w:val="24"/>
                <w:highlight w:val="none"/>
              </w:rPr>
            </w:pPr>
            <w:r>
              <w:rPr>
                <w:rFonts w:hint="eastAsia"/>
                <w:color w:val="auto"/>
                <w:sz w:val="24"/>
                <w:szCs w:val="24"/>
                <w:highlight w:val="none"/>
              </w:rPr>
              <w:t>其他要求</w:t>
            </w:r>
          </w:p>
        </w:tc>
        <w:tc>
          <w:tcPr>
            <w:tcW w:w="4605" w:type="dxa"/>
            <w:vAlign w:val="center"/>
          </w:tcPr>
          <w:p>
            <w:pPr>
              <w:pStyle w:val="53"/>
              <w:spacing w:line="460" w:lineRule="exact"/>
              <w:jc w:val="both"/>
              <w:rPr>
                <w:color w:val="auto"/>
                <w:sz w:val="24"/>
                <w:szCs w:val="24"/>
                <w:highlight w:val="none"/>
              </w:rPr>
            </w:pPr>
            <w:r>
              <w:rPr>
                <w:rFonts w:hint="eastAsia" w:cs="华文仿宋"/>
                <w:color w:val="auto"/>
                <w:sz w:val="24"/>
                <w:szCs w:val="24"/>
                <w:highlight w:val="none"/>
              </w:rPr>
              <w:t>须符合法律、行政法规规定的其他条件。</w:t>
            </w:r>
          </w:p>
        </w:tc>
        <w:tc>
          <w:tcPr>
            <w:tcW w:w="3107" w:type="dxa"/>
            <w:vAlign w:val="center"/>
          </w:tcPr>
          <w:p>
            <w:pPr>
              <w:pStyle w:val="53"/>
              <w:adjustRightInd/>
              <w:spacing w:line="460" w:lineRule="exact"/>
              <w:ind w:firstLine="480" w:firstLineChars="200"/>
              <w:jc w:val="both"/>
              <w:rPr>
                <w:color w:val="auto"/>
                <w:sz w:val="24"/>
                <w:szCs w:val="24"/>
                <w:highlight w:val="none"/>
              </w:rPr>
            </w:pPr>
          </w:p>
        </w:tc>
      </w:tr>
    </w:tbl>
    <w:p>
      <w:pPr>
        <w:pStyle w:val="53"/>
        <w:adjustRightInd/>
        <w:spacing w:line="460" w:lineRule="exact"/>
        <w:ind w:firstLine="560" w:firstLineChars="200"/>
        <w:jc w:val="both"/>
        <w:rPr>
          <w:rFonts w:hint="eastAsia" w:eastAsia="宋体"/>
          <w:color w:val="auto"/>
          <w:sz w:val="28"/>
          <w:szCs w:val="28"/>
          <w:highlight w:val="none"/>
          <w:lang w:eastAsia="zh-CN"/>
        </w:rPr>
      </w:pPr>
      <w:r>
        <w:rPr>
          <w:rFonts w:hint="eastAsia"/>
          <w:color w:val="auto"/>
          <w:sz w:val="28"/>
          <w:szCs w:val="28"/>
          <w:highlight w:val="none"/>
        </w:rPr>
        <w:t>40、报价部分评审</w:t>
      </w:r>
    </w:p>
    <w:p>
      <w:pPr>
        <w:pStyle w:val="53"/>
        <w:adjustRightInd/>
        <w:spacing w:line="460" w:lineRule="exact"/>
        <w:ind w:firstLine="560" w:firstLineChars="200"/>
        <w:jc w:val="both"/>
        <w:rPr>
          <w:rFonts w:hint="eastAsia"/>
          <w:strike w:val="0"/>
          <w:dstrike w:val="0"/>
          <w:color w:val="auto"/>
          <w:sz w:val="28"/>
          <w:szCs w:val="28"/>
          <w:highlight w:val="none"/>
        </w:rPr>
      </w:pPr>
      <w:r>
        <w:rPr>
          <w:rFonts w:hint="eastAsia"/>
          <w:strike w:val="0"/>
          <w:dstrike w:val="0"/>
          <w:color w:val="auto"/>
          <w:sz w:val="28"/>
          <w:szCs w:val="28"/>
          <w:highlight w:val="none"/>
        </w:rPr>
        <w:t>40.1如采用综合评分法的，应当在技术与商务部分评审结束后，评审其报价部分。</w:t>
      </w:r>
    </w:p>
    <w:p>
      <w:pPr>
        <w:pStyle w:val="53"/>
        <w:adjustRightInd/>
        <w:spacing w:line="460" w:lineRule="exact"/>
        <w:ind w:firstLine="560" w:firstLineChars="200"/>
        <w:jc w:val="both"/>
        <w:rPr>
          <w:rFonts w:hint="eastAsia"/>
          <w:strike w:val="0"/>
          <w:dstrike w:val="0"/>
          <w:color w:val="auto"/>
          <w:sz w:val="28"/>
          <w:szCs w:val="28"/>
          <w:highlight w:val="none"/>
        </w:rPr>
      </w:pPr>
      <w:r>
        <w:rPr>
          <w:rFonts w:hint="eastAsia"/>
          <w:strike w:val="0"/>
          <w:dstrike w:val="0"/>
          <w:color w:val="auto"/>
          <w:sz w:val="28"/>
          <w:szCs w:val="28"/>
          <w:highlight w:val="none"/>
        </w:rPr>
        <w:t>40.2磋商小组将对进入报价部分评审的各供应商的报价部分有效性进行审查，经评审有效后，磋商小组将对报价部分进行校核，看其是否有计算或表达上的错误，修正错误的原则如下：</w:t>
      </w:r>
    </w:p>
    <w:p>
      <w:pPr>
        <w:pStyle w:val="53"/>
        <w:adjustRightInd/>
        <w:spacing w:line="460" w:lineRule="exact"/>
        <w:ind w:firstLine="560" w:firstLineChars="200"/>
        <w:jc w:val="both"/>
        <w:rPr>
          <w:rFonts w:hint="eastAsia"/>
          <w:strike w:val="0"/>
          <w:dstrike w:val="0"/>
          <w:color w:val="auto"/>
          <w:sz w:val="28"/>
          <w:szCs w:val="28"/>
          <w:highlight w:val="none"/>
        </w:rPr>
      </w:pPr>
      <w:r>
        <w:rPr>
          <w:rFonts w:hint="eastAsia"/>
          <w:strike w:val="0"/>
          <w:dstrike w:val="0"/>
          <w:color w:val="auto"/>
          <w:sz w:val="28"/>
          <w:szCs w:val="28"/>
          <w:highlight w:val="none"/>
        </w:rPr>
        <w:t>40.2.1如果数字表示的金额和用文字表示的金额不一致时，应以文字表示的金额为准；</w:t>
      </w:r>
    </w:p>
    <w:p>
      <w:pPr>
        <w:pStyle w:val="53"/>
        <w:adjustRightInd/>
        <w:spacing w:line="460" w:lineRule="exact"/>
        <w:ind w:firstLine="560" w:firstLineChars="200"/>
        <w:jc w:val="both"/>
        <w:rPr>
          <w:rFonts w:hint="eastAsia"/>
          <w:strike w:val="0"/>
          <w:dstrike w:val="0"/>
          <w:color w:val="auto"/>
          <w:sz w:val="28"/>
          <w:szCs w:val="28"/>
          <w:highlight w:val="none"/>
        </w:rPr>
      </w:pPr>
      <w:r>
        <w:rPr>
          <w:rFonts w:hint="eastAsia"/>
          <w:strike w:val="0"/>
          <w:dstrike w:val="0"/>
          <w:color w:val="auto"/>
          <w:sz w:val="28"/>
          <w:szCs w:val="28"/>
          <w:highlight w:val="none"/>
        </w:rPr>
        <w:t>40.2.2如果单价与数量的乘积和总价不一致，以单价为准；当单位小数点有明显的错误时，磋商小组将以总价为准，并修正其单价。</w:t>
      </w:r>
    </w:p>
    <w:p>
      <w:pPr>
        <w:pStyle w:val="53"/>
        <w:adjustRightInd/>
        <w:spacing w:line="460" w:lineRule="exact"/>
        <w:ind w:firstLine="560" w:firstLineChars="200"/>
        <w:jc w:val="both"/>
        <w:rPr>
          <w:rFonts w:hint="eastAsia"/>
          <w:strike w:val="0"/>
          <w:dstrike w:val="0"/>
          <w:color w:val="auto"/>
          <w:sz w:val="28"/>
          <w:szCs w:val="28"/>
          <w:highlight w:val="none"/>
        </w:rPr>
      </w:pPr>
      <w:r>
        <w:rPr>
          <w:rFonts w:hint="eastAsia"/>
          <w:strike w:val="0"/>
          <w:dstrike w:val="0"/>
          <w:color w:val="auto"/>
          <w:sz w:val="28"/>
          <w:szCs w:val="28"/>
          <w:highlight w:val="none"/>
        </w:rPr>
        <w:t>40.2.3如果磋商响应报价同时出现上述1、2两种情况，按第2种修正原则调整或修正磋商响应文件的磋商响应报价。</w:t>
      </w:r>
    </w:p>
    <w:p>
      <w:pPr>
        <w:pStyle w:val="53"/>
        <w:adjustRightInd/>
        <w:spacing w:line="460" w:lineRule="exact"/>
        <w:ind w:firstLine="560" w:firstLineChars="200"/>
        <w:jc w:val="both"/>
        <w:rPr>
          <w:strike w:val="0"/>
          <w:dstrike w:val="0"/>
          <w:color w:val="auto"/>
          <w:sz w:val="28"/>
          <w:szCs w:val="28"/>
          <w:highlight w:val="none"/>
        </w:rPr>
      </w:pPr>
      <w:r>
        <w:rPr>
          <w:rFonts w:hint="eastAsia"/>
          <w:strike w:val="0"/>
          <w:dstrike w:val="0"/>
          <w:color w:val="auto"/>
          <w:sz w:val="28"/>
          <w:szCs w:val="28"/>
          <w:highlight w:val="none"/>
        </w:rPr>
        <w:t>按上述修正错误的原则及方法调整或修正磋商响应文件的磋商响应报价，供应商同意后，调整后的磋商响应报价对供应商起约束作用。如果供应商不接受修正后的报价，则投标无效。</w:t>
      </w:r>
    </w:p>
    <w:p>
      <w:pPr>
        <w:pStyle w:val="53"/>
        <w:adjustRightInd/>
        <w:spacing w:line="460" w:lineRule="exact"/>
        <w:ind w:firstLine="560" w:firstLineChars="200"/>
        <w:jc w:val="both"/>
        <w:rPr>
          <w:strike w:val="0"/>
          <w:dstrike w:val="0"/>
          <w:color w:val="auto"/>
          <w:sz w:val="28"/>
          <w:szCs w:val="28"/>
          <w:highlight w:val="none"/>
        </w:rPr>
      </w:pPr>
      <w:r>
        <w:rPr>
          <w:rFonts w:hint="eastAsia"/>
          <w:strike w:val="0"/>
          <w:dstrike w:val="0"/>
          <w:color w:val="auto"/>
          <w:sz w:val="28"/>
          <w:szCs w:val="28"/>
          <w:highlight w:val="none"/>
        </w:rPr>
        <w:t>40.3磋商响应报价无效的几种情形：</w:t>
      </w:r>
    </w:p>
    <w:p>
      <w:pPr>
        <w:pStyle w:val="53"/>
        <w:adjustRightInd/>
        <w:spacing w:line="460" w:lineRule="exact"/>
        <w:ind w:firstLine="560" w:firstLineChars="200"/>
        <w:jc w:val="both"/>
        <w:rPr>
          <w:strike w:val="0"/>
          <w:dstrike w:val="0"/>
          <w:color w:val="auto"/>
          <w:sz w:val="28"/>
          <w:szCs w:val="28"/>
          <w:highlight w:val="none"/>
        </w:rPr>
      </w:pPr>
      <w:r>
        <w:rPr>
          <w:rFonts w:hint="eastAsia"/>
          <w:strike w:val="0"/>
          <w:dstrike w:val="0"/>
          <w:color w:val="auto"/>
          <w:sz w:val="28"/>
          <w:szCs w:val="28"/>
          <w:highlight w:val="none"/>
        </w:rPr>
        <w:t>40.3.1磋商响应报价高于预算控制；</w:t>
      </w:r>
    </w:p>
    <w:p>
      <w:pPr>
        <w:pStyle w:val="53"/>
        <w:adjustRightInd/>
        <w:spacing w:line="460" w:lineRule="exact"/>
        <w:ind w:firstLine="560" w:firstLineChars="200"/>
        <w:jc w:val="both"/>
        <w:rPr>
          <w:strike w:val="0"/>
          <w:dstrike w:val="0"/>
          <w:color w:val="auto"/>
          <w:sz w:val="28"/>
          <w:szCs w:val="28"/>
          <w:highlight w:val="none"/>
        </w:rPr>
      </w:pPr>
      <w:r>
        <w:rPr>
          <w:rFonts w:hint="eastAsia"/>
          <w:strike w:val="0"/>
          <w:dstrike w:val="0"/>
          <w:color w:val="auto"/>
          <w:sz w:val="28"/>
          <w:szCs w:val="28"/>
          <w:highlight w:val="none"/>
        </w:rPr>
        <w:t>40.3.2经磋商小组认定低于成本的；</w:t>
      </w:r>
    </w:p>
    <w:p>
      <w:pPr>
        <w:pStyle w:val="53"/>
        <w:adjustRightInd/>
        <w:spacing w:line="460" w:lineRule="exact"/>
        <w:ind w:firstLine="560" w:firstLineChars="200"/>
        <w:jc w:val="both"/>
        <w:rPr>
          <w:strike w:val="0"/>
          <w:dstrike w:val="0"/>
          <w:color w:val="auto"/>
          <w:sz w:val="28"/>
          <w:szCs w:val="28"/>
          <w:highlight w:val="none"/>
        </w:rPr>
      </w:pPr>
      <w:r>
        <w:rPr>
          <w:rFonts w:hint="eastAsia"/>
          <w:strike w:val="0"/>
          <w:dstrike w:val="0"/>
          <w:color w:val="auto"/>
          <w:sz w:val="28"/>
          <w:szCs w:val="28"/>
          <w:highlight w:val="none"/>
        </w:rPr>
        <w:t>40.3.3经磋商小组认定报价出现异常导致不能保证政府采购资金的使用效益的。</w:t>
      </w:r>
    </w:p>
    <w:p>
      <w:pPr>
        <w:pStyle w:val="53"/>
        <w:adjustRightInd/>
        <w:spacing w:line="460" w:lineRule="exact"/>
        <w:ind w:firstLine="560" w:firstLineChars="200"/>
        <w:jc w:val="both"/>
        <w:rPr>
          <w:strike w:val="0"/>
          <w:dstrike w:val="0"/>
          <w:color w:val="auto"/>
          <w:sz w:val="28"/>
          <w:szCs w:val="28"/>
          <w:highlight w:val="none"/>
        </w:rPr>
      </w:pPr>
      <w:r>
        <w:rPr>
          <w:rFonts w:hint="eastAsia"/>
          <w:strike w:val="0"/>
          <w:dstrike w:val="0"/>
          <w:color w:val="auto"/>
          <w:sz w:val="28"/>
          <w:szCs w:val="28"/>
          <w:highlight w:val="none"/>
        </w:rPr>
        <w:t>40.3.4不符合法律法规及采购文件中其它合格性评审要求。</w:t>
      </w:r>
    </w:p>
    <w:p>
      <w:pPr>
        <w:pStyle w:val="53"/>
        <w:adjustRightInd/>
        <w:spacing w:line="460" w:lineRule="exact"/>
        <w:ind w:firstLine="570"/>
        <w:jc w:val="both"/>
        <w:rPr>
          <w:rFonts w:hint="eastAsia" w:eastAsia="宋体"/>
          <w:b/>
          <w:bCs/>
          <w:color w:val="auto"/>
          <w:sz w:val="28"/>
          <w:szCs w:val="28"/>
          <w:highlight w:val="none"/>
          <w:lang w:eastAsia="zh-CN"/>
        </w:rPr>
      </w:pPr>
      <w:r>
        <w:rPr>
          <w:rFonts w:hint="eastAsia"/>
          <w:b/>
          <w:bCs/>
          <w:color w:val="auto"/>
          <w:sz w:val="28"/>
          <w:szCs w:val="28"/>
          <w:highlight w:val="none"/>
        </w:rPr>
        <w:t>41、评标办法</w:t>
      </w:r>
      <w:r>
        <w:rPr>
          <w:rFonts w:hint="eastAsia"/>
          <w:b/>
          <w:bCs/>
          <w:color w:val="auto"/>
          <w:sz w:val="28"/>
          <w:szCs w:val="28"/>
          <w:highlight w:val="none"/>
          <w:lang w:eastAsia="zh-CN"/>
        </w:rPr>
        <w:t>（综合评分法）</w:t>
      </w:r>
    </w:p>
    <w:p>
      <w:pPr>
        <w:pStyle w:val="53"/>
        <w:adjustRightInd/>
        <w:spacing w:line="460" w:lineRule="exact"/>
        <w:ind w:firstLine="570"/>
        <w:jc w:val="both"/>
        <w:rPr>
          <w:color w:val="auto"/>
          <w:sz w:val="28"/>
          <w:szCs w:val="28"/>
          <w:highlight w:val="none"/>
        </w:rPr>
      </w:pPr>
      <w:r>
        <w:rPr>
          <w:rFonts w:hint="eastAsia"/>
          <w:color w:val="auto"/>
          <w:sz w:val="28"/>
          <w:szCs w:val="28"/>
          <w:highlight w:val="none"/>
        </w:rPr>
        <w:t>41.1、由磋商小组对初步评审符合要求的磋商响应文件进行综合评审，满分100分，具体评定分值依据以下原则。</w:t>
      </w:r>
    </w:p>
    <w:p>
      <w:pPr>
        <w:pStyle w:val="53"/>
        <w:adjustRightInd/>
        <w:spacing w:line="460" w:lineRule="exact"/>
        <w:ind w:firstLine="560" w:firstLineChars="200"/>
        <w:jc w:val="both"/>
        <w:rPr>
          <w:rFonts w:hint="eastAsia"/>
          <w:color w:val="auto"/>
          <w:sz w:val="28"/>
          <w:szCs w:val="28"/>
          <w:highlight w:val="none"/>
        </w:rPr>
      </w:pPr>
      <w:r>
        <w:rPr>
          <w:rFonts w:hint="eastAsia"/>
          <w:color w:val="auto"/>
          <w:sz w:val="28"/>
          <w:szCs w:val="28"/>
          <w:highlight w:val="none"/>
        </w:rPr>
        <w:t>41.2、供应商技术标的最终得分为：取所有评委评分的算术平均值为供应商技术标的最终得分，保留小数点后二位小数，第三位四舍五入。评分细则如下：</w:t>
      </w:r>
    </w:p>
    <w:p>
      <w:pPr>
        <w:jc w:val="center"/>
        <w:rPr>
          <w:rFonts w:hint="eastAsia" w:ascii="宋体" w:hAnsi="宋体" w:cs="宋体"/>
          <w:b/>
          <w:bCs/>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综合评分法评分标准细则</w:t>
      </w:r>
    </w:p>
    <w:tbl>
      <w:tblPr>
        <w:tblStyle w:val="33"/>
        <w:tblpPr w:leftFromText="180" w:rightFromText="180" w:vertAnchor="text" w:horzAnchor="page" w:tblpX="1095" w:tblpY="291"/>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17"/>
        <w:gridCol w:w="905"/>
        <w:gridCol w:w="6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20"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评审项目</w:t>
            </w:r>
          </w:p>
        </w:tc>
        <w:tc>
          <w:tcPr>
            <w:tcW w:w="905"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分值</w:t>
            </w:r>
          </w:p>
        </w:tc>
        <w:tc>
          <w:tcPr>
            <w:tcW w:w="6543"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重点、关键和难点工程的施工方案</w:t>
            </w:r>
          </w:p>
        </w:tc>
        <w:tc>
          <w:tcPr>
            <w:tcW w:w="905"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15</w:t>
            </w:r>
          </w:p>
        </w:tc>
        <w:tc>
          <w:tcPr>
            <w:tcW w:w="6543" w:type="dxa"/>
            <w:noWrap w:val="0"/>
            <w:vAlign w:val="top"/>
          </w:tcPr>
          <w:p>
            <w:pPr>
              <w:pStyle w:val="53"/>
              <w:adjustRightInd/>
              <w:spacing w:line="46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综合评审</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vertAlign w:val="baseline"/>
                <w:lang w:val="en-US" w:eastAsia="zh-CN"/>
              </w:rPr>
              <w:t xml:space="preserve">关于重点、关键和难点工程的施工方案：针对本工程项目特点，方案周全、具体、有效。满分 </w:t>
            </w:r>
            <w:r>
              <w:rPr>
                <w:rFonts w:hint="eastAsia" w:cs="宋体"/>
                <w:color w:val="auto"/>
                <w:sz w:val="24"/>
                <w:szCs w:val="24"/>
                <w:highlight w:val="none"/>
                <w:vertAlign w:val="baseline"/>
                <w:lang w:val="en-US" w:eastAsia="zh-CN"/>
              </w:rPr>
              <w:t>15</w:t>
            </w:r>
            <w:r>
              <w:rPr>
                <w:rFonts w:hint="eastAsia" w:ascii="宋体" w:hAnsi="宋体" w:eastAsia="宋体" w:cs="宋体"/>
                <w:color w:val="auto"/>
                <w:sz w:val="24"/>
                <w:szCs w:val="24"/>
                <w:highlight w:val="none"/>
                <w:vertAlign w:val="baseline"/>
                <w:lang w:val="en-US" w:eastAsia="zh-CN"/>
              </w:rPr>
              <w:t xml:space="preserve"> 分；方案周全、具体、有效、科学合理可行的得 </w:t>
            </w:r>
            <w:r>
              <w:rPr>
                <w:rFonts w:hint="eastAsia" w:cs="宋体"/>
                <w:color w:val="auto"/>
                <w:sz w:val="24"/>
                <w:szCs w:val="24"/>
                <w:highlight w:val="none"/>
                <w:vertAlign w:val="baseline"/>
                <w:lang w:val="en-US" w:eastAsia="zh-CN"/>
              </w:rPr>
              <w:t>15</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val="en-US" w:eastAsia="zh-CN"/>
              </w:rPr>
              <w:t xml:space="preserve"> 分，其次由评委酌情给 </w:t>
            </w:r>
            <w:r>
              <w:rPr>
                <w:rFonts w:hint="eastAsia"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 xml:space="preserve"> 分，没有方案不得分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工程质量的技术组织措施</w:t>
            </w:r>
          </w:p>
        </w:tc>
        <w:tc>
          <w:tcPr>
            <w:tcW w:w="905" w:type="dxa"/>
            <w:noWrap w:val="0"/>
            <w:vAlign w:val="center"/>
          </w:tcPr>
          <w:p>
            <w:pPr>
              <w:pStyle w:val="53"/>
              <w:adjustRightInd/>
              <w:spacing w:line="460" w:lineRule="exact"/>
              <w:jc w:val="center"/>
              <w:rPr>
                <w:rFonts w:hint="default"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17</w:t>
            </w:r>
          </w:p>
        </w:tc>
        <w:tc>
          <w:tcPr>
            <w:tcW w:w="6543" w:type="dxa"/>
            <w:noWrap w:val="0"/>
            <w:vAlign w:val="top"/>
          </w:tcPr>
          <w:p>
            <w:pPr>
              <w:pStyle w:val="53"/>
              <w:adjustRightInd/>
              <w:spacing w:line="46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综合评审</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vertAlign w:val="baseline"/>
                <w:lang w:val="en-US" w:eastAsia="zh-CN"/>
              </w:rPr>
              <w:t>确保工程质量的技术组织措施：施工项目应有专门的质量技术管理班子和制度，且人员配备合理，制度健全。主要工序应有质量技术保证措施和手段，自控体系完整，能有效保证技术质量，达到承诺的质量标准，从施工组织设计完整性、是否有针对性、合理性进行评分。满分</w:t>
            </w:r>
            <w:r>
              <w:rPr>
                <w:rFonts w:hint="eastAsia" w:cs="宋体"/>
                <w:color w:val="auto"/>
                <w:sz w:val="24"/>
                <w:szCs w:val="24"/>
                <w:highlight w:val="none"/>
                <w:vertAlign w:val="baseline"/>
                <w:lang w:val="en-US" w:eastAsia="zh-CN"/>
              </w:rPr>
              <w:t>17</w:t>
            </w:r>
            <w:r>
              <w:rPr>
                <w:rFonts w:hint="eastAsia" w:ascii="宋体" w:hAnsi="宋体" w:eastAsia="宋体" w:cs="宋体"/>
                <w:color w:val="auto"/>
                <w:sz w:val="24"/>
                <w:szCs w:val="24"/>
                <w:highlight w:val="none"/>
                <w:vertAlign w:val="baseline"/>
                <w:lang w:val="en-US" w:eastAsia="zh-CN"/>
              </w:rPr>
              <w:t xml:space="preserve"> 分；措施具体、有效，科学合理可行的得 </w:t>
            </w:r>
            <w:r>
              <w:rPr>
                <w:rFonts w:hint="eastAsia" w:cs="宋体"/>
                <w:color w:val="auto"/>
                <w:sz w:val="24"/>
                <w:szCs w:val="24"/>
                <w:highlight w:val="none"/>
                <w:vertAlign w:val="baseline"/>
                <w:lang w:val="en-US" w:eastAsia="zh-CN"/>
              </w:rPr>
              <w:t>17</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12</w:t>
            </w:r>
            <w:r>
              <w:rPr>
                <w:rFonts w:hint="eastAsia" w:ascii="宋体" w:hAnsi="宋体" w:eastAsia="宋体" w:cs="宋体"/>
                <w:color w:val="auto"/>
                <w:sz w:val="24"/>
                <w:szCs w:val="24"/>
                <w:highlight w:val="none"/>
                <w:vertAlign w:val="baseline"/>
                <w:lang w:val="en-US" w:eastAsia="zh-CN"/>
              </w:rPr>
              <w:t xml:space="preserve"> 分，其次由评委酌情给 </w:t>
            </w:r>
            <w:r>
              <w:rPr>
                <w:rFonts w:hint="eastAsia"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en-US" w:eastAsia="zh-CN"/>
              </w:rPr>
              <w:t xml:space="preserve"> 分，没有方案不得分。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安全生产的技术组织措施</w:t>
            </w:r>
          </w:p>
        </w:tc>
        <w:tc>
          <w:tcPr>
            <w:tcW w:w="905"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18</w:t>
            </w:r>
          </w:p>
        </w:tc>
        <w:tc>
          <w:tcPr>
            <w:tcW w:w="6543" w:type="dxa"/>
            <w:noWrap w:val="0"/>
            <w:vAlign w:val="top"/>
          </w:tcPr>
          <w:p>
            <w:pPr>
              <w:pStyle w:val="53"/>
              <w:adjustRightInd/>
              <w:spacing w:line="460" w:lineRule="exact"/>
              <w:jc w:val="left"/>
              <w:rPr>
                <w:rFonts w:hint="eastAsia" w:ascii="仿宋" w:hAnsi="仿宋" w:eastAsia="仿宋" w:cs="宋体"/>
                <w:b w:val="0"/>
                <w:bCs w:val="0"/>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综合评审</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vertAlign w:val="baseline"/>
                <w:lang w:val="en-US" w:eastAsia="zh-CN"/>
              </w:rPr>
              <w:t>确保安全生产的技术组织措施 ：施工项目应有专门的安全管理人员和制度，且人员配备合理，制度健全，各道工序安全技术措施针对性强，符合实际且满足有关安全技术标准要求。现场防火、社会治安安全措施得力，从施工组织设计完整性、是否有针对性、合理性进行评分。满分</w:t>
            </w:r>
            <w:r>
              <w:rPr>
                <w:rFonts w:hint="eastAsia" w:cs="宋体"/>
                <w:color w:val="auto"/>
                <w:sz w:val="24"/>
                <w:szCs w:val="24"/>
                <w:highlight w:val="none"/>
                <w:vertAlign w:val="baseline"/>
                <w:lang w:val="en-US" w:eastAsia="zh-CN"/>
              </w:rPr>
              <w:t>18</w:t>
            </w:r>
            <w:r>
              <w:rPr>
                <w:rFonts w:hint="eastAsia" w:ascii="宋体" w:hAnsi="宋体" w:eastAsia="宋体" w:cs="宋体"/>
                <w:color w:val="auto"/>
                <w:sz w:val="24"/>
                <w:szCs w:val="24"/>
                <w:highlight w:val="none"/>
                <w:vertAlign w:val="baseline"/>
                <w:lang w:val="en-US" w:eastAsia="zh-CN"/>
              </w:rPr>
              <w:t>分；措施具体、有效，科学合理可行的得</w:t>
            </w:r>
            <w:r>
              <w:rPr>
                <w:rFonts w:hint="eastAsia" w:cs="宋体"/>
                <w:color w:val="auto"/>
                <w:sz w:val="24"/>
                <w:szCs w:val="24"/>
                <w:highlight w:val="none"/>
                <w:vertAlign w:val="baseline"/>
                <w:lang w:val="en-US" w:eastAsia="zh-CN"/>
              </w:rPr>
              <w:t>18</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13</w:t>
            </w:r>
            <w:r>
              <w:rPr>
                <w:rFonts w:hint="eastAsia" w:ascii="宋体" w:hAnsi="宋体" w:eastAsia="宋体" w:cs="宋体"/>
                <w:color w:val="auto"/>
                <w:sz w:val="24"/>
                <w:szCs w:val="24"/>
                <w:highlight w:val="none"/>
                <w:vertAlign w:val="baseline"/>
                <w:lang w:val="en-US" w:eastAsia="zh-CN"/>
              </w:rPr>
              <w:t xml:space="preserve"> 分，其次由评委酌情给</w:t>
            </w:r>
            <w:r>
              <w:rPr>
                <w:rFonts w:hint="eastAsia" w:cs="宋体"/>
                <w:color w:val="auto"/>
                <w:sz w:val="24"/>
                <w:szCs w:val="24"/>
                <w:highlight w:val="none"/>
                <w:vertAlign w:val="baseline"/>
                <w:lang w:val="en-US" w:eastAsia="zh-CN"/>
              </w:rPr>
              <w:t>12</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en-US" w:eastAsia="zh-CN"/>
              </w:rPr>
              <w:t xml:space="preserve"> 分，没有方案不得分。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工期的技术组织措施</w:t>
            </w:r>
          </w:p>
        </w:tc>
        <w:tc>
          <w:tcPr>
            <w:tcW w:w="905"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17</w:t>
            </w:r>
          </w:p>
        </w:tc>
        <w:tc>
          <w:tcPr>
            <w:tcW w:w="6543" w:type="dxa"/>
            <w:noWrap w:val="0"/>
            <w:vAlign w:val="top"/>
          </w:tcPr>
          <w:p>
            <w:pPr>
              <w:pStyle w:val="53"/>
              <w:adjustRightInd/>
              <w:spacing w:line="46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综合评审</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vertAlign w:val="baseline"/>
                <w:lang w:val="en-US" w:eastAsia="zh-CN"/>
              </w:rPr>
              <w:t>确保工期的技术组织措施：在施工工艺、施工方法、材料选用、劳动力安排、技术等方面有保证工期的具体措施且措施得当。有控制工期的施工进度计划。应有施工总进度表或施工网络图，各项计划图表编制完善，安排科学合理，符合本项目施工实际要求，从施工组织设计完整性、是否有针对性、合理性进行评分。满分</w:t>
            </w:r>
            <w:r>
              <w:rPr>
                <w:rFonts w:hint="eastAsia" w:cs="宋体"/>
                <w:color w:val="auto"/>
                <w:sz w:val="24"/>
                <w:szCs w:val="24"/>
                <w:highlight w:val="none"/>
                <w:vertAlign w:val="baseline"/>
                <w:lang w:val="en-US" w:eastAsia="zh-CN"/>
              </w:rPr>
              <w:t>17</w:t>
            </w:r>
            <w:r>
              <w:rPr>
                <w:rFonts w:hint="eastAsia" w:ascii="宋体" w:hAnsi="宋体" w:eastAsia="宋体" w:cs="宋体"/>
                <w:color w:val="auto"/>
                <w:sz w:val="24"/>
                <w:szCs w:val="24"/>
                <w:highlight w:val="none"/>
                <w:vertAlign w:val="baseline"/>
                <w:lang w:val="en-US" w:eastAsia="zh-CN"/>
              </w:rPr>
              <w:t>分；措施具体、有效，科学合理可行的得</w:t>
            </w:r>
            <w:r>
              <w:rPr>
                <w:rFonts w:hint="eastAsia" w:cs="宋体"/>
                <w:color w:val="auto"/>
                <w:sz w:val="24"/>
                <w:szCs w:val="24"/>
                <w:highlight w:val="none"/>
                <w:vertAlign w:val="baseline"/>
                <w:lang w:val="en-US" w:eastAsia="zh-CN"/>
              </w:rPr>
              <w:t>17</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12</w:t>
            </w:r>
            <w:r>
              <w:rPr>
                <w:rFonts w:hint="eastAsia" w:ascii="宋体" w:hAnsi="宋体" w:eastAsia="宋体" w:cs="宋体"/>
                <w:color w:val="auto"/>
                <w:sz w:val="24"/>
                <w:szCs w:val="24"/>
                <w:highlight w:val="none"/>
                <w:vertAlign w:val="baseline"/>
                <w:lang w:val="en-US" w:eastAsia="zh-CN"/>
              </w:rPr>
              <w:t xml:space="preserve"> 分，其次由评委酌情给</w:t>
            </w:r>
            <w:r>
              <w:rPr>
                <w:rFonts w:hint="eastAsia" w:cs="宋体"/>
                <w:color w:val="auto"/>
                <w:sz w:val="24"/>
                <w:szCs w:val="24"/>
                <w:highlight w:val="none"/>
                <w:vertAlign w:val="baseline"/>
                <w:lang w:val="en-US" w:eastAsia="zh-CN"/>
              </w:rPr>
              <w:t>11</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en-US" w:eastAsia="zh-CN"/>
              </w:rPr>
              <w:t xml:space="preserve"> 分，没有方案不得分。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default"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文明施工的技术组织措施</w:t>
            </w:r>
          </w:p>
        </w:tc>
        <w:tc>
          <w:tcPr>
            <w:tcW w:w="905"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15</w:t>
            </w:r>
          </w:p>
        </w:tc>
        <w:tc>
          <w:tcPr>
            <w:tcW w:w="6543" w:type="dxa"/>
            <w:noWrap w:val="0"/>
            <w:vAlign w:val="top"/>
          </w:tcPr>
          <w:p>
            <w:pPr>
              <w:pStyle w:val="53"/>
              <w:adjustRightInd/>
              <w:spacing w:line="46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综合评审</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vertAlign w:val="baseline"/>
                <w:lang w:val="en-US" w:eastAsia="zh-CN"/>
              </w:rPr>
              <w:t>确保文明施工的技术组织措施：针对本工程项目特点，应有现场文明施工计划，环境保护措施。各项措施周全、具体、有效。有具体实现现场文明施工目标的承诺。满分</w:t>
            </w:r>
            <w:r>
              <w:rPr>
                <w:rFonts w:hint="eastAsia" w:cs="宋体"/>
                <w:color w:val="auto"/>
                <w:sz w:val="24"/>
                <w:szCs w:val="24"/>
                <w:highlight w:val="none"/>
                <w:vertAlign w:val="baseline"/>
                <w:lang w:val="en-US" w:eastAsia="zh-CN"/>
              </w:rPr>
              <w:t>15</w:t>
            </w:r>
            <w:r>
              <w:rPr>
                <w:rFonts w:hint="eastAsia" w:ascii="宋体" w:hAnsi="宋体" w:eastAsia="宋体" w:cs="宋体"/>
                <w:color w:val="auto"/>
                <w:sz w:val="24"/>
                <w:szCs w:val="24"/>
                <w:highlight w:val="none"/>
                <w:vertAlign w:val="baseline"/>
                <w:lang w:val="en-US" w:eastAsia="zh-CN"/>
              </w:rPr>
              <w:t>分； 各项措施周全、具体、有效，合理可行的得</w:t>
            </w:r>
            <w:r>
              <w:rPr>
                <w:rFonts w:hint="eastAsia" w:cs="宋体"/>
                <w:color w:val="auto"/>
                <w:sz w:val="24"/>
                <w:szCs w:val="24"/>
                <w:highlight w:val="none"/>
                <w:vertAlign w:val="baseline"/>
                <w:lang w:val="en-US" w:eastAsia="zh-CN"/>
              </w:rPr>
              <w:t>15</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10</w:t>
            </w:r>
            <w:r>
              <w:rPr>
                <w:rFonts w:hint="eastAsia" w:ascii="宋体" w:hAnsi="宋体" w:eastAsia="宋体" w:cs="宋体"/>
                <w:color w:val="auto"/>
                <w:sz w:val="24"/>
                <w:szCs w:val="24"/>
                <w:highlight w:val="none"/>
                <w:vertAlign w:val="baseline"/>
                <w:lang w:val="en-US" w:eastAsia="zh-CN"/>
              </w:rPr>
              <w:t xml:space="preserve">  分，其次由评委酌情给</w:t>
            </w:r>
            <w:r>
              <w:rPr>
                <w:rFonts w:hint="eastAsia" w:cs="宋体"/>
                <w:color w:val="auto"/>
                <w:sz w:val="24"/>
                <w:szCs w:val="24"/>
                <w:highlight w:val="none"/>
                <w:vertAlign w:val="baseline"/>
                <w:lang w:val="en-US" w:eastAsia="zh-CN"/>
              </w:rPr>
              <w:t>9</w:t>
            </w:r>
            <w:r>
              <w:rPr>
                <w:rFonts w:hint="eastAsia" w:ascii="宋体" w:hAnsi="宋体" w:eastAsia="宋体" w:cs="宋体"/>
                <w:color w:val="auto"/>
                <w:sz w:val="24"/>
                <w:szCs w:val="24"/>
                <w:highlight w:val="none"/>
                <w:vertAlign w:val="baseline"/>
                <w:lang w:val="en-US" w:eastAsia="zh-CN"/>
              </w:rPr>
              <w:t>-</w:t>
            </w:r>
            <w:r>
              <w:rPr>
                <w:rFonts w:hint="eastAsia"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val="en-US" w:eastAsia="zh-CN"/>
              </w:rPr>
              <w:t xml:space="preserve"> 分，没有方案不得分。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default"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服务方案及应急机</w:t>
            </w:r>
            <w:r>
              <w:rPr>
                <w:rFonts w:hint="eastAsia" w:cs="宋体"/>
                <w:color w:val="auto"/>
                <w:sz w:val="24"/>
                <w:szCs w:val="24"/>
                <w:highlight w:val="none"/>
                <w:vertAlign w:val="baseline"/>
                <w:lang w:val="en-US" w:eastAsia="zh-CN"/>
              </w:rPr>
              <w:t>制</w:t>
            </w:r>
          </w:p>
        </w:tc>
        <w:tc>
          <w:tcPr>
            <w:tcW w:w="905"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6543" w:type="dxa"/>
            <w:noWrap w:val="0"/>
            <w:vAlign w:val="top"/>
          </w:tcPr>
          <w:p>
            <w:pPr>
              <w:pStyle w:val="42"/>
              <w:keepNext w:val="0"/>
              <w:keepLines w:val="0"/>
              <w:pageBreakBefore w:val="0"/>
              <w:widowControl w:val="0"/>
              <w:kinsoku/>
              <w:wordWrap/>
              <w:overflowPunct/>
              <w:topLinePunct w:val="0"/>
              <w:autoSpaceDE w:val="0"/>
              <w:autoSpaceDN w:val="0"/>
              <w:bidi w:val="0"/>
              <w:adjustRightInd/>
              <w:snapToGrid/>
              <w:spacing w:line="400" w:lineRule="exact"/>
              <w:ind w:left="0" w:leftChars="0" w:firstLine="0" w:firstLineChars="0"/>
              <w:jc w:val="both"/>
              <w:textAlignment w:val="auto"/>
              <w:rPr>
                <w:rFonts w:hint="eastAsia" w:ascii="仿宋" w:hAnsi="仿宋" w:eastAsia="仿宋" w:cs="宋体"/>
                <w:b w:val="0"/>
                <w:bCs w:val="0"/>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 xml:space="preserve">根据本工程的实施地点及工程特征，制定科学合理、切实可行的服务方案及应急机制。满分 </w:t>
            </w:r>
            <w:r>
              <w:rPr>
                <w:rFonts w:hint="eastAsia" w:ascii="宋体" w:hAnsi="宋体" w:cs="宋体"/>
                <w:color w:val="auto"/>
                <w:sz w:val="24"/>
                <w:szCs w:val="24"/>
                <w:highlight w:val="none"/>
                <w:vertAlign w:val="baseline"/>
                <w:lang w:val="en-US" w:eastAsia="zh-CN"/>
              </w:rPr>
              <w:t>8</w:t>
            </w:r>
            <w:r>
              <w:rPr>
                <w:rFonts w:hint="eastAsia" w:ascii="宋体" w:hAnsi="宋体" w:eastAsia="宋体" w:cs="宋体"/>
                <w:color w:val="auto"/>
                <w:sz w:val="24"/>
                <w:szCs w:val="24"/>
                <w:highlight w:val="none"/>
                <w:vertAlign w:val="baseline"/>
                <w:lang w:val="en-US" w:eastAsia="zh-CN"/>
              </w:rPr>
              <w:t xml:space="preserve"> 分，方案科学合理、真实有效、切实可行的得</w:t>
            </w:r>
            <w:r>
              <w:rPr>
                <w:rFonts w:hint="eastAsia" w:ascii="宋体" w:hAnsi="宋体" w:cs="宋体"/>
                <w:color w:val="auto"/>
                <w:sz w:val="24"/>
                <w:szCs w:val="24"/>
                <w:highlight w:val="none"/>
                <w:vertAlign w:val="baseline"/>
                <w:lang w:val="en-US" w:eastAsia="zh-CN"/>
              </w:rPr>
              <w:t>8-5</w:t>
            </w:r>
            <w:r>
              <w:rPr>
                <w:rFonts w:hint="eastAsia" w:ascii="宋体" w:hAnsi="宋体" w:eastAsia="宋体" w:cs="宋体"/>
                <w:color w:val="auto"/>
                <w:sz w:val="24"/>
                <w:szCs w:val="24"/>
                <w:highlight w:val="none"/>
                <w:vertAlign w:val="baseline"/>
                <w:lang w:val="en-US" w:eastAsia="zh-CN"/>
              </w:rPr>
              <w:t xml:space="preserve"> 分，其次由评委酌情给 </w:t>
            </w:r>
            <w:r>
              <w:rPr>
                <w:rFonts w:hint="eastAsia" w:ascii="宋体" w:hAnsi="宋体" w:cs="宋体"/>
                <w:color w:val="auto"/>
                <w:sz w:val="24"/>
                <w:szCs w:val="24"/>
                <w:highlight w:val="none"/>
                <w:vertAlign w:val="baseline"/>
                <w:lang w:val="en-US" w:eastAsia="zh-CN"/>
              </w:rPr>
              <w:t>5-3</w:t>
            </w:r>
            <w:r>
              <w:rPr>
                <w:rFonts w:hint="eastAsia" w:ascii="宋体" w:hAnsi="宋体" w:eastAsia="宋体" w:cs="宋体"/>
                <w:color w:val="auto"/>
                <w:sz w:val="24"/>
                <w:szCs w:val="24"/>
                <w:highlight w:val="none"/>
                <w:vertAlign w:val="baseline"/>
                <w:lang w:val="en-US" w:eastAsia="zh-CN"/>
              </w:rPr>
              <w:t xml:space="preserve"> 分，没有方案不得分。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noWrap w:val="0"/>
            <w:vAlign w:val="center"/>
          </w:tcPr>
          <w:p>
            <w:pPr>
              <w:pStyle w:val="53"/>
              <w:adjustRightInd/>
              <w:spacing w:line="460" w:lineRule="exact"/>
              <w:jc w:val="center"/>
              <w:rPr>
                <w:rFonts w:hint="default"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1417" w:type="dxa"/>
            <w:noWrap w:val="0"/>
            <w:vAlign w:val="center"/>
          </w:tcPr>
          <w:p>
            <w:pPr>
              <w:pStyle w:val="53"/>
              <w:adjustRightInd/>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磋商报价</w:t>
            </w:r>
          </w:p>
        </w:tc>
        <w:tc>
          <w:tcPr>
            <w:tcW w:w="905" w:type="dxa"/>
            <w:noWrap w:val="0"/>
            <w:vAlign w:val="center"/>
          </w:tcPr>
          <w:p>
            <w:pPr>
              <w:pStyle w:val="53"/>
              <w:adjustRightInd/>
              <w:spacing w:line="460" w:lineRule="exact"/>
              <w:jc w:val="center"/>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6543" w:type="dxa"/>
            <w:noWrap w:val="0"/>
            <w:vAlign w:val="top"/>
          </w:tcPr>
          <w:p>
            <w:pPr>
              <w:pStyle w:val="53"/>
              <w:adjustRightInd/>
              <w:spacing w:line="460" w:lineRule="exact"/>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根据各供应商的最终有效投标报价，以满足磋商文件要求且最终有效投标价格最低的投标报价为评标基准价，其价格分为满分</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分。其它供应商的价格分统一按照下列公式计算：投标报价得分=(评标基准价／投标报价)×</w:t>
            </w:r>
            <w:r>
              <w:rPr>
                <w:rFonts w:hint="eastAsia" w:cs="宋体"/>
                <w:color w:val="auto"/>
                <w:sz w:val="24"/>
                <w:szCs w:val="24"/>
                <w:highlight w:val="none"/>
                <w:lang w:val="en-US" w:eastAsia="zh-CN"/>
              </w:rPr>
              <w:t>10</w:t>
            </w:r>
            <w:r>
              <w:rPr>
                <w:rFonts w:hint="eastAsia" w:cs="宋体"/>
                <w:color w:val="auto"/>
                <w:sz w:val="24"/>
                <w:szCs w:val="24"/>
                <w:highlight w:val="none"/>
                <w:lang w:eastAsia="zh-CN"/>
              </w:rPr>
              <w:t>分（</w:t>
            </w:r>
            <w:r>
              <w:rPr>
                <w:rFonts w:hint="eastAsia" w:ascii="宋体" w:hAnsi="宋体" w:eastAsia="宋体" w:cs="宋体"/>
                <w:color w:val="auto"/>
                <w:sz w:val="24"/>
                <w:szCs w:val="24"/>
                <w:highlight w:val="none"/>
              </w:rPr>
              <w:t>小数点后保留两位小数，第三位四舍五入</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p>
        </w:tc>
      </w:tr>
    </w:tbl>
    <w:p>
      <w:pPr>
        <w:jc w:val="center"/>
        <w:rPr>
          <w:rFonts w:hint="eastAsia" w:ascii="宋体" w:hAnsi="宋体" w:cs="宋体"/>
          <w:b/>
          <w:bCs/>
          <w:color w:val="auto"/>
          <w:sz w:val="24"/>
          <w:highlight w:val="none"/>
        </w:rPr>
      </w:pPr>
    </w:p>
    <w:p>
      <w:pPr>
        <w:pStyle w:val="53"/>
        <w:spacing w:line="520" w:lineRule="exact"/>
        <w:ind w:firstLine="562" w:firstLineChars="200"/>
        <w:rPr>
          <w:rFonts w:hint="eastAsia" w:ascii="仿宋" w:hAnsi="仿宋" w:eastAsia="仿宋"/>
          <w:b/>
          <w:color w:val="auto"/>
          <w:sz w:val="28"/>
          <w:szCs w:val="28"/>
          <w:highlight w:val="none"/>
        </w:rPr>
      </w:pPr>
      <w:r>
        <w:rPr>
          <w:rFonts w:hint="eastAsia"/>
          <w:b/>
          <w:color w:val="auto"/>
          <w:sz w:val="28"/>
          <w:szCs w:val="28"/>
          <w:highlight w:val="none"/>
        </w:rPr>
        <w:t>备注：</w:t>
      </w:r>
      <w:r>
        <w:rPr>
          <w:rFonts w:hint="eastAsia" w:ascii="仿宋" w:hAnsi="仿宋" w:eastAsia="仿宋"/>
          <w:b/>
          <w:color w:val="auto"/>
          <w:sz w:val="28"/>
          <w:szCs w:val="28"/>
          <w:highlight w:val="none"/>
        </w:rPr>
        <w:t>①供应商技术标的最终得分计算方法为：取所有磋商小组评分的算术平均值为供应商技术标的最终得分，小数点后保留两位小数，第三位四舍五入。</w:t>
      </w:r>
    </w:p>
    <w:p>
      <w:pPr>
        <w:pStyle w:val="53"/>
        <w:spacing w:line="520" w:lineRule="exact"/>
        <w:ind w:firstLine="562" w:firstLineChars="20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②涉及报价评审的均以供应商二轮（最终）报价进行评审，未进行二轮（最终）报价的供应商以其首轮报价进行评审。</w:t>
      </w:r>
    </w:p>
    <w:p>
      <w:pPr>
        <w:pStyle w:val="5"/>
        <w:keepNext/>
        <w:keepLines/>
        <w:pageBreakBefore w:val="0"/>
        <w:widowControl w:val="0"/>
        <w:kinsoku/>
        <w:wordWrap/>
        <w:overflowPunct/>
        <w:topLinePunct w:val="0"/>
        <w:autoSpaceDE/>
        <w:autoSpaceDN/>
        <w:bidi w:val="0"/>
        <w:adjustRightInd w:val="0"/>
        <w:snapToGrid w:val="0"/>
        <w:spacing w:line="360" w:lineRule="exact"/>
        <w:textAlignment w:val="auto"/>
        <w:rPr>
          <w:rFonts w:hint="eastAsia"/>
          <w:b/>
          <w:color w:val="auto"/>
          <w:sz w:val="28"/>
          <w:szCs w:val="28"/>
          <w:highlight w:val="none"/>
        </w:rPr>
      </w:pPr>
      <w:r>
        <w:rPr>
          <w:rFonts w:hint="eastAsia"/>
          <w:b/>
          <w:color w:val="auto"/>
          <w:sz w:val="28"/>
          <w:szCs w:val="28"/>
          <w:highlight w:val="none"/>
        </w:rPr>
        <w:t>注：1、为便于评审专家评标，供应商的磋商响应文件及相关资料扫描件或复印件应清晰明了，签章需在空白处，不要遮挡重要数据，否则可能导致被评委判 定无效。如相关资料的扫描件或复印件不清晰或磋商响应文件表述含糊不清的，导致评审委员会无法判断，影响其评审结果，责任自负。2、以上资料涉及有效期的均须在相应有效期内。3、供应商对所提供的资料的真实性，合法性负责，如有弄虚作假的情况，一经发现严肃查处。</w:t>
      </w:r>
    </w:p>
    <w:p>
      <w:pPr>
        <w:pStyle w:val="5"/>
        <w:keepNext/>
        <w:keepLines/>
        <w:pageBreakBefore w:val="0"/>
        <w:widowControl w:val="0"/>
        <w:kinsoku/>
        <w:wordWrap/>
        <w:overflowPunct/>
        <w:topLinePunct w:val="0"/>
        <w:autoSpaceDE/>
        <w:autoSpaceDN/>
        <w:bidi w:val="0"/>
        <w:adjustRightInd w:val="0"/>
        <w:snapToGrid w:val="0"/>
        <w:spacing w:line="360" w:lineRule="exact"/>
        <w:textAlignment w:val="auto"/>
        <w:rPr>
          <w:rFonts w:ascii="宋体" w:hAnsi="宋体"/>
          <w:color w:val="auto"/>
          <w:sz w:val="28"/>
          <w:szCs w:val="28"/>
          <w:highlight w:val="none"/>
        </w:rPr>
      </w:pPr>
      <w:r>
        <w:rPr>
          <w:rFonts w:hint="eastAsia" w:ascii="宋体" w:hAnsi="宋体"/>
          <w:color w:val="auto"/>
          <w:sz w:val="28"/>
          <w:szCs w:val="28"/>
          <w:highlight w:val="none"/>
        </w:rPr>
        <w:t xml:space="preserve">十、确定中标人 </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42、采购人根据磋商小组提出的书面评标报告和推荐的中标候选人，依据国家和地方现行法规确定中标人，即评标后总得分排序第一的中标候选人为中标人。</w:t>
      </w:r>
    </w:p>
    <w:p>
      <w:pPr>
        <w:spacing w:line="4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43、中标人放弃中标、因不可抗力不能履行合同、不按照磋商文件要求提交履约保证金，或者被查实提供虚假证明文件、存在影响中标结果的违法行为等情形，不符合中标条件的，采购人可以按照磋商小组提出的中标候选人名单排序依次顺延确定其他中标候选人为中标人。也可以重新招标。</w:t>
      </w:r>
    </w:p>
    <w:p>
      <w:pPr>
        <w:pStyle w:val="5"/>
        <w:adjustRightInd w:val="0"/>
        <w:snapToGrid w:val="0"/>
        <w:spacing w:line="460" w:lineRule="exact"/>
        <w:rPr>
          <w:rFonts w:ascii="宋体" w:hAnsi="宋体"/>
          <w:color w:val="auto"/>
          <w:sz w:val="28"/>
          <w:szCs w:val="28"/>
          <w:highlight w:val="none"/>
        </w:rPr>
      </w:pPr>
      <w:r>
        <w:rPr>
          <w:rFonts w:hint="eastAsia" w:ascii="宋体" w:hAnsi="宋体"/>
          <w:color w:val="auto"/>
          <w:sz w:val="28"/>
          <w:szCs w:val="28"/>
          <w:highlight w:val="none"/>
        </w:rPr>
        <w:t>十一、合同的签订、履行及验收</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43、合同授予标准：</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本项目合同将授予成交供应商。</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44、采购人拒绝磋商响应的权力</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采购人在发出成交通知书前，有权依据磋商小组的评标报告拒绝不合格的磋商响应。</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45、合同协议书的签订</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46.1成交供应商应在成交通知书发出之日起三十日内（具体时间、地点见成交通知书）与采购人签订合同。采购人应按照竞争性磋商文件和成交供应商的磋商响应文件与成交供应商签订采购合同，采购人不得向成交供应商提出任何不合理的要求，作为签订合同的条件，不得与成交供应商私下订立背离合同实质性内容的任何协议，所签订的合同不得对竞争性磋商文件和成交供应商磋商响应文件作实质性修改。</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46.2成交供应商如不按本竞争性磋商文件规定与采购人订立合同，则采购人将废除授标，有磋商响应担保的将不予退还，给采购人造成的损失超过磋商响应担保数额的，还应当对超过部分予以赔偿，同时依法承担相应法律责任。</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46.3成交供应商应当按照合同约定履行义务，完成成交项目。</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46.4 采购双方必须严格按照竞争性磋商文件、磋商响应文件及有关承诺签订采购合同，不得擅自变更。合同的标的、价款、质量、履行期限、服务要求等主要条款应当与竞争性磋商文件和成交供应商的磋商响应文件的内容一致，采购人和成交供应商不得再行订立背离合同实质性内容的其他协议。对任何因双方擅自变更合同引起的问题中心概不负责，合同风险由双方自行承担。</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46.5采购人保留以书面形式要求对服务细则作适当调整的权利。</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47、履行合同</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47.1成交供应商与采购人签订合同后，合同双方应严格执行合同条款，履行合同规定的义务，保证合同的顺利完成。</w:t>
      </w:r>
    </w:p>
    <w:p>
      <w:pPr>
        <w:pStyle w:val="53"/>
        <w:adjustRightInd/>
        <w:spacing w:line="460" w:lineRule="exact"/>
        <w:ind w:firstLine="560" w:firstLineChars="200"/>
        <w:jc w:val="both"/>
        <w:rPr>
          <w:color w:val="auto"/>
          <w:sz w:val="28"/>
          <w:szCs w:val="28"/>
          <w:highlight w:val="none"/>
        </w:rPr>
      </w:pPr>
      <w:r>
        <w:rPr>
          <w:rFonts w:hint="eastAsia"/>
          <w:color w:val="auto"/>
          <w:sz w:val="28"/>
          <w:szCs w:val="28"/>
          <w:highlight w:val="none"/>
        </w:rPr>
        <w:t>47.2在合同履行过程中，如发生合同纠纷，合同双方应按照《合同法》的有关规定进行处理。</w:t>
      </w:r>
    </w:p>
    <w:p>
      <w:pPr>
        <w:spacing w:line="460" w:lineRule="exact"/>
        <w:ind w:firstLine="549"/>
        <w:rPr>
          <w:rFonts w:ascii="宋体" w:hAnsi="宋体" w:cs="宋体"/>
          <w:color w:val="auto"/>
          <w:kern w:val="0"/>
          <w:sz w:val="28"/>
          <w:szCs w:val="28"/>
          <w:highlight w:val="none"/>
        </w:rPr>
      </w:pPr>
      <w:bookmarkStart w:id="9" w:name="项目清单"/>
      <w:r>
        <w:rPr>
          <w:rFonts w:hint="eastAsia" w:ascii="宋体" w:hAnsi="宋体" w:cs="宋体"/>
          <w:color w:val="auto"/>
          <w:kern w:val="0"/>
          <w:sz w:val="28"/>
          <w:szCs w:val="28"/>
          <w:highlight w:val="none"/>
        </w:rPr>
        <w:t>48、验收</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48.1采购人须建立日常考核制度。考核时应成立三人以上（由合同双方、专业人员等相关人员组成），依据考核方案进行考核。</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48.2采购人验收时，应成立三人以上（由合同双方、专业人员、纪检等相关人员组成）验收小组，明确责任，严格依照采购文件、成交通知书、政府采购合同及相关验收规范进行核对、验收，形成结论，并出具书面验收报告。</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48</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3涉及安全等其他需要由行业主管部门进行验收的项目，必须邀请相关部门参与验收。</w:t>
      </w:r>
    </w:p>
    <w:p>
      <w:pPr>
        <w:spacing w:line="460" w:lineRule="exact"/>
        <w:ind w:firstLine="549"/>
        <w:rPr>
          <w:rFonts w:ascii="宋体" w:hAnsi="宋体" w:cs="宋体"/>
          <w:color w:val="auto"/>
          <w:kern w:val="0"/>
          <w:sz w:val="28"/>
          <w:szCs w:val="28"/>
          <w:highlight w:val="none"/>
        </w:rPr>
      </w:pPr>
      <w:r>
        <w:rPr>
          <w:rFonts w:hint="eastAsia" w:ascii="宋体" w:hAnsi="宋体" w:cs="宋体"/>
          <w:color w:val="auto"/>
          <w:kern w:val="0"/>
          <w:sz w:val="28"/>
          <w:szCs w:val="28"/>
          <w:highlight w:val="none"/>
        </w:rPr>
        <w:t>48</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4验收费用均由合同乙方（成交供应商）承担，采购文件中另有约定的除外。</w:t>
      </w:r>
      <w:bookmarkEnd w:id="9"/>
    </w:p>
    <w:p>
      <w:pPr>
        <w:pStyle w:val="14"/>
        <w:numPr>
          <w:ilvl w:val="0"/>
          <w:numId w:val="6"/>
        </w:numPr>
        <w:jc w:val="center"/>
        <w:rPr>
          <w:rFonts w:hint="eastAsia" w:ascii="宋体" w:hAnsi="宋体" w:eastAsia="宋体" w:cs="宋体"/>
          <w:b/>
          <w:color w:val="auto"/>
          <w:sz w:val="28"/>
          <w:szCs w:val="28"/>
          <w:highlight w:val="none"/>
        </w:rPr>
      </w:pPr>
      <w:r>
        <w:rPr>
          <w:color w:val="auto"/>
          <w:highlight w:val="none"/>
        </w:rPr>
        <w:br w:type="page"/>
      </w:r>
      <w:r>
        <w:rPr>
          <w:rFonts w:hint="eastAsia" w:ascii="宋体" w:hAnsi="宋体" w:eastAsia="宋体" w:cs="宋体"/>
          <w:b/>
          <w:color w:val="auto"/>
          <w:sz w:val="28"/>
          <w:szCs w:val="28"/>
          <w:highlight w:val="none"/>
        </w:rPr>
        <w:t>项目需求</w:t>
      </w:r>
    </w:p>
    <w:p>
      <w:pPr>
        <w:spacing w:line="460" w:lineRule="exact"/>
        <w:rPr>
          <w:rFonts w:hint="eastAsia" w:ascii="宋体" w:hAnsi="宋体" w:eastAsia="宋体" w:cs="宋体"/>
          <w:b/>
          <w:bCs/>
          <w:color w:val="auto"/>
          <w:kern w:val="0"/>
          <w:sz w:val="28"/>
          <w:szCs w:val="28"/>
          <w:highlight w:val="none"/>
        </w:rPr>
      </w:pPr>
      <w:bookmarkStart w:id="10" w:name="_Toc407096156"/>
    </w:p>
    <w:p>
      <w:pPr>
        <w:spacing w:line="276"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rPr>
        <w:t>如本章内容与其他章节有冲突，以本章内容为准。</w:t>
      </w:r>
    </w:p>
    <w:p>
      <w:pPr>
        <w:spacing w:line="276"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rPr>
        <w:t>如本章内容与国家法律法规相冲突的，以相关法律法规为准。</w:t>
      </w:r>
    </w:p>
    <w:p>
      <w:pPr>
        <w:spacing w:line="276"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rPr>
        <w:tab/>
      </w:r>
      <w:r>
        <w:rPr>
          <w:rFonts w:hint="eastAsia" w:ascii="宋体" w:hAnsi="宋体" w:eastAsia="宋体" w:cs="宋体"/>
          <w:color w:val="auto"/>
          <w:kern w:val="0"/>
          <w:sz w:val="28"/>
          <w:szCs w:val="28"/>
          <w:highlight w:val="none"/>
        </w:rPr>
        <w:t>如本章内容与国家、地方强制标准相冲突的，以强制标准为准。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一、项目基本情况、采购内容：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本项目主要建设内容为室内楼地面，墙面维修，外墙面铲除维修，门窗更换，卫生间水电安装维修等工程。具体内容详见设计图纸及工程量清单所载内容</w:t>
      </w:r>
      <w:r>
        <w:rPr>
          <w:rFonts w:hint="eastAsia" w:ascii="宋体" w:hAnsi="宋体" w:cs="宋体"/>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zh-CN" w:eastAsia="zh-CN"/>
        </w:rPr>
      </w:pPr>
      <w:r>
        <w:rPr>
          <w:rFonts w:hint="eastAsia" w:ascii="宋体" w:hAnsi="宋体" w:eastAsia="宋体" w:cs="宋体"/>
          <w:color w:val="auto"/>
          <w:kern w:val="0"/>
          <w:sz w:val="28"/>
          <w:szCs w:val="28"/>
          <w:highlight w:val="none"/>
          <w:lang w:val="en-US" w:eastAsia="zh-CN"/>
        </w:rPr>
        <w:t>项目最高投标限价：735560.51元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二、技术方案或服务内容、范围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详见工程量清单及图纸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三、工程量清单及报价说明</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1.响应报价</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供应商应仔细阅读磋商文件，了解拟服务合同段的全部工程内容。供应商的响应报价应是磋商文件所确定的采购范围内全部工程内容的价格体现。供应商的响应报价，应是在满足磋商文件规定工期、质量要求下，完成本项目采购工程范围的全部工作。</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供应商应根据当前建设市场行情，结合工程实际情况及本单位的施工方法、材料来源渠道、施工机械装备、施工管理水平等，对服务费用进行分析、测算，实事求是地确定响应报价（不得低于成本价）。供应商不得以自有机械闲置、自有材料等不计成本为由进行响应报价。采用清单报价方法的，供应商不应采用总价优惠或以总价百分比优惠的方式进行响应报价，其优惠应直接体现在各项响应报价的综合单价中。</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 响应报价编制依据</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 磋商文件；</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 设计图纸；</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1.3.3 工程量清单；</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 澄清、补充文件中提出的工程技术、质量、工期、承包范围、工器具及设备清单；</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1.3.5 施工组织设计及施工方案；</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1.3.6 质量验收规范等国家、行业、地方有关技术标准、规范；</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1.3.7 安徽省住房和城乡建设厅发布的 2018 版安徽省建设工程计价依据（建标〔2017〕191 号）；</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1.3.8 本工程涉及的人工、材料、机械台班的市场价格；</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1.3.9 施工期间的风险因素。</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 供应商的费用项目编制原则</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1.4.1 工程量清单计价中的措施项目应与拟建工程的施工组织设计或施工方案相符。</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1.4.2 其他项目费用，如总包服务费，成交人应根据采购人（建设单位）提出的工程分包项目，按规定或自主确定费用。</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1.4.3 供应商应当按照企业定额或者安徽省建设厅发布的消耗量定额、取费标准、人工预算单价和施工机械台班预算单价以及材料市场价格信息等，根据自身实力、施工经验、现场环境以及磋商文件的要求，由供应商自行考虑报价。</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1.4.4 供应商的响应报价应是完成工程量清单、施工图纸所列招标工程范围内容的全部以及完成上述内容所必需的附属工程、临时工程（其中含施工围栏、施工现场周围管线的保护及不影响原道路畅通的导流措施等）等，采购人（建设单位）要求施工单位能够做到安全生产、文明施工。供应商应自行进行现场踏勘，对工程的地理位置，施工现场情况和影响的因素以及困难条件进行周密的勘察和研究，做出自己的判断、结论和估价，响应报价时要充分考虑上述因素（如与周边社会关系的协调、材料场内二次搬运、临时施工道路、场地清表、取土场地、运输距离和土方外运、建筑垃圾外运（外运垃圾的弃土点由供应商自行考虑）过程中交通、城管等部门对装卸的限制、环境影响等各种因素等）。成交后，签订合同时和施工过程中，供应商不得以不完全了解现场情况为由，提出任何形式的增加工程造价或索赔的要求。</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供应商的报价：</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（1）税金。</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（2）磋商文件中明确的由采购人（建设单位）自行采购的材料费。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（3）法规规章、上级文件规定的其他不可竞争费用（2018 版安徽省建设工程计价依据中安徽省建设工程费用定额中各专业工程中的不可竞争费）。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 材料费、机械费用；</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(5)管理费；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(6)利润；</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 供应商应按采购人（建设单位）提供的工程量清单中列出的工程项目和工程量逐项填报综合单价和合价。供应商不得在工程量清单中任意增删、修改清单项目与工程量及项目排列顺序。</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 除非磋商文件中另有规定，供应商在工程量清单报价书中所报的综合单价和合价、以及响应报价汇总表中的响应报价均包括完成磋商文件规定的全部工程内容及为达到质量和工期目标、安全文明、环境保护等要求的直接费、间接费、利润、税金、风险费等所有费用。为满足工程建设标准和技术规范要求所发生的费用应包括在响应报价中。响应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服务总价内，供应商必须按合同要求完成工程量清单中未填综合单价或合价的工程项目，任何与未填综合单价或合价的工程项目有关的工程价款，采购人（建设单位）将不再另行支付。</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 工程材料</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 材料供应方式：见前附表</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 材料价格：除甲供材和实行暂定价的材料及设备以外，由供应商自行采购的材料确定响应报价时应充分考虑材料价格上涨等市场风险因素，综合单价中的材料费应包括材料运杂费、采保费及试验检验费。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 结算时实行暂定价的材料和设备的价差仅计取税金，不计取其他费用。暂定价的材料达到采购限额以上的，采购人（建设单位）将另行采购。</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 工程造价的确定与控制</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 磋商响应截止时间前，供应商应认真对照施工设计图纸等文件核对采购人（建设单位）提供的工程量清单，发现工程量存在项目划分误差、计量单位误差、数量误差、遗漏项目的，应在响应文件递交截止日 5 日 前向采购人（建设单位）提出异议或修正要求。采购人（建设单位）经核实后确实存在误差且对工程造价影响较大的，应进行修正并重新公布准确的工程量清单。</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 本工程确定成交供应商后，如采购人（建设单位）提供的工程量清单项目或数量有误差，在合同价正负3%以内的部分不予调整，超过合同价正3%的，成交人应在14日历天（以发出成交通知书日期起算）内提出书面质疑材料（附详细计算书），经采购人（建设单位）确认属实后，超过合同价 3%以外的部分，造价办理结算时给予调整，逾期提出质疑则不予认可。</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 成交人在工程量清单报价书中所报的综合单价非合同条款约束因素外一律不予调整。</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80" w:firstLineChars="10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1.10 本次采购工程的施工地点为本须知前附表所述，供应商应自行到施工现场踏勘以充分了解工地位置、情况、道路、储存空间、装卸限制及任何其它足以影响响应报价的情况，任何因忽视或误解施工场地情况而导致的索赔或工期延长申请将不被批准。对于受施工现场场地限制，如需要另外寻找场地解决临时住宿、材料及设备堆放，由此所产生的费用应包含在响应报价范围内，采购人（建设单位）不再承担该费用。</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225" w:firstLineChars="100"/>
        <w:textAlignment w:val="baseline"/>
        <w:rPr>
          <w:rFonts w:ascii="宋体" w:hAnsi="宋体" w:eastAsia="宋体" w:cs="宋体"/>
          <w:b/>
          <w:bCs/>
          <w:color w:val="auto"/>
          <w:spacing w:val="-4"/>
          <w:sz w:val="24"/>
          <w:szCs w:val="24"/>
          <w:highlight w:val="none"/>
        </w:rPr>
      </w:pPr>
      <w:r>
        <w:rPr>
          <w:rFonts w:ascii="宋体" w:hAnsi="宋体" w:eastAsia="宋体" w:cs="宋体"/>
          <w:b/>
          <w:bCs/>
          <w:color w:val="auto"/>
          <w:spacing w:val="-8"/>
          <w:sz w:val="24"/>
          <w:szCs w:val="24"/>
          <w:highlight w:val="none"/>
        </w:rPr>
        <w:t>四</w:t>
      </w:r>
      <w:r>
        <w:rPr>
          <w:rFonts w:ascii="宋体" w:hAnsi="宋体" w:eastAsia="宋体" w:cs="宋体"/>
          <w:b/>
          <w:bCs/>
          <w:color w:val="auto"/>
          <w:spacing w:val="-4"/>
          <w:sz w:val="24"/>
          <w:szCs w:val="24"/>
          <w:highlight w:val="none"/>
        </w:rPr>
        <w:t>、服务周期</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3" w:firstLine="428"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 xml:space="preserve">计划工期： </w:t>
      </w:r>
      <w:r>
        <w:rPr>
          <w:rFonts w:hint="eastAsia" w:ascii="宋体" w:hAnsi="宋体" w:cs="宋体"/>
          <w:color w:val="auto"/>
          <w:spacing w:val="-13"/>
          <w:sz w:val="24"/>
          <w:szCs w:val="24"/>
          <w:highlight w:val="none"/>
          <w:lang w:val="en-US" w:eastAsia="zh-CN"/>
        </w:rPr>
        <w:t>60</w:t>
      </w:r>
      <w:r>
        <w:rPr>
          <w:rFonts w:ascii="宋体" w:hAnsi="宋体" w:eastAsia="宋体" w:cs="宋体"/>
          <w:color w:val="auto"/>
          <w:spacing w:val="-13"/>
          <w:sz w:val="24"/>
          <w:szCs w:val="24"/>
          <w:highlight w:val="none"/>
        </w:rPr>
        <w:t>日历天</w:t>
      </w:r>
      <w:r>
        <w:rPr>
          <w:rFonts w:ascii="宋体" w:hAnsi="宋体" w:eastAsia="宋体" w:cs="宋体"/>
          <w:color w:val="auto"/>
          <w:spacing w:val="-12"/>
          <w:sz w:val="24"/>
          <w:szCs w:val="24"/>
          <w:highlight w:val="no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4" w:line="500" w:lineRule="exact"/>
        <w:ind w:firstLine="711" w:firstLineChars="300"/>
        <w:textAlignment w:val="baseline"/>
        <w:rPr>
          <w:rFonts w:ascii="宋体" w:hAnsi="宋体" w:eastAsia="宋体" w:cs="宋体"/>
          <w:b/>
          <w:bCs/>
          <w:color w:val="auto"/>
          <w:spacing w:val="-1"/>
          <w:sz w:val="24"/>
          <w:szCs w:val="24"/>
          <w:highlight w:val="none"/>
        </w:rPr>
      </w:pPr>
      <w:r>
        <w:rPr>
          <w:rFonts w:hint="eastAsia" w:ascii="宋体" w:hAnsi="宋体" w:cs="宋体"/>
          <w:b/>
          <w:bCs/>
          <w:color w:val="auto"/>
          <w:spacing w:val="-2"/>
          <w:sz w:val="24"/>
          <w:szCs w:val="24"/>
          <w:highlight w:val="none"/>
          <w:lang w:eastAsia="zh-CN"/>
        </w:rPr>
        <w:t>五、</w:t>
      </w:r>
      <w:r>
        <w:rPr>
          <w:rFonts w:ascii="宋体" w:hAnsi="宋体" w:eastAsia="宋体" w:cs="宋体"/>
          <w:b/>
          <w:bCs/>
          <w:color w:val="auto"/>
          <w:spacing w:val="-2"/>
          <w:sz w:val="24"/>
          <w:szCs w:val="24"/>
          <w:highlight w:val="none"/>
        </w:rPr>
        <w:t>付</w:t>
      </w:r>
      <w:r>
        <w:rPr>
          <w:rFonts w:ascii="宋体" w:hAnsi="宋体" w:eastAsia="宋体" w:cs="宋体"/>
          <w:b/>
          <w:bCs/>
          <w:color w:val="auto"/>
          <w:spacing w:val="-1"/>
          <w:sz w:val="24"/>
          <w:szCs w:val="24"/>
          <w:highlight w:val="none"/>
        </w:rPr>
        <w:t>款方式</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362" w:firstLine="560" w:firstLineChars="200"/>
        <w:textAlignment w:val="baseline"/>
        <w:rPr>
          <w:rFonts w:hint="eastAsia" w:ascii="宋体" w:hAnsi="宋体" w:eastAsia="宋体" w:cs="宋体"/>
          <w:color w:val="auto"/>
          <w:spacing w:val="-1"/>
          <w:sz w:val="24"/>
          <w:szCs w:val="24"/>
          <w:highlight w:val="none"/>
        </w:rPr>
      </w:pPr>
      <w:r>
        <w:rPr>
          <w:rFonts w:hint="eastAsia" w:ascii="宋体" w:hAnsi="宋体" w:cs="宋体"/>
          <w:color w:val="auto"/>
          <w:kern w:val="0"/>
          <w:sz w:val="28"/>
          <w:szCs w:val="28"/>
          <w:highlight w:val="none"/>
          <w:lang w:val="zh-CN"/>
        </w:rPr>
        <w:t>工程完工经验收合格且竣工资料交付齐全、正确、有效、手续完备</w:t>
      </w:r>
      <w:r>
        <w:rPr>
          <w:rFonts w:hint="eastAsia" w:ascii="宋体" w:hAnsi="宋体" w:cs="宋体"/>
          <w:color w:val="auto"/>
          <w:kern w:val="0"/>
          <w:sz w:val="28"/>
          <w:szCs w:val="28"/>
          <w:highlight w:val="none"/>
          <w:lang w:val="zh-CN" w:eastAsia="zh-CN"/>
        </w:rPr>
        <w:t>，工程审计结束后付至工程款的97%，余下的3%作为质量保证金，一年后工程无质量问题，一次性付清（无息)。</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234" w:line="500" w:lineRule="exact"/>
        <w:ind w:left="424"/>
        <w:textAlignment w:val="baseline"/>
        <w:rPr>
          <w:rFonts w:ascii="宋体" w:hAnsi="宋体" w:eastAsia="宋体" w:cs="宋体"/>
          <w:b/>
          <w:bCs/>
          <w:color w:val="auto"/>
          <w:spacing w:val="-2"/>
          <w:sz w:val="24"/>
          <w:szCs w:val="24"/>
          <w:highlight w:val="none"/>
        </w:rPr>
      </w:pPr>
      <w:r>
        <w:rPr>
          <w:rFonts w:ascii="宋体" w:hAnsi="宋体" w:eastAsia="宋体" w:cs="宋体"/>
          <w:b/>
          <w:bCs/>
          <w:color w:val="auto"/>
          <w:spacing w:val="-2"/>
          <w:sz w:val="24"/>
          <w:szCs w:val="24"/>
          <w:highlight w:val="none"/>
        </w:rPr>
        <w:t>主要标的一览表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此表中项目名称、施工范围由采购人列出，施工工期、项目经理、执业证书信息由供应商填写，将随成交结果公告一并发布，接受社会监督。未填写此表按无效标处理。</w:t>
      </w:r>
    </w:p>
    <w:tbl>
      <w:tblPr>
        <w:tblStyle w:val="161"/>
        <w:tblW w:w="90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3"/>
        <w:gridCol w:w="7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723" w:type="dxa"/>
            <w:tcBorders>
              <w:left w:val="single" w:color="000000" w:sz="10" w:space="0"/>
              <w:right w:val="single" w:color="000000" w:sz="4" w:space="0"/>
            </w:tcBorders>
          </w:tcPr>
          <w:p>
            <w:pPr>
              <w:spacing w:before="314" w:line="220" w:lineRule="auto"/>
              <w:ind w:left="3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w:t>
            </w:r>
            <w:r>
              <w:rPr>
                <w:rFonts w:ascii="宋体" w:hAnsi="宋体" w:eastAsia="宋体" w:cs="宋体"/>
                <w:color w:val="auto"/>
                <w:spacing w:val="-2"/>
                <w:sz w:val="24"/>
                <w:szCs w:val="24"/>
                <w:highlight w:val="none"/>
              </w:rPr>
              <w:t>目名称</w:t>
            </w:r>
          </w:p>
        </w:tc>
        <w:tc>
          <w:tcPr>
            <w:tcW w:w="7320" w:type="dxa"/>
            <w:tcBorders>
              <w:left w:val="single" w:color="000000" w:sz="4" w:space="0"/>
              <w:right w:val="single" w:color="000000" w:sz="10" w:space="0"/>
            </w:tcBorders>
            <w:vAlign w:val="center"/>
          </w:tcPr>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jc w:val="both"/>
              <w:textAlignment w:val="auto"/>
              <w:rPr>
                <w:rFonts w:ascii="宋体" w:hAnsi="宋体" w:eastAsia="宋体" w:cs="宋体"/>
                <w:color w:val="auto"/>
                <w:sz w:val="24"/>
                <w:szCs w:val="24"/>
                <w:highlight w:val="none"/>
              </w:rPr>
            </w:pPr>
            <w:r>
              <w:rPr>
                <w:rFonts w:hint="eastAsia" w:ascii="宋体" w:hAnsi="宋体" w:eastAsia="宋体" w:cs="Times New Roman"/>
                <w:bCs/>
                <w:snapToGrid/>
                <w:color w:val="auto"/>
                <w:kern w:val="2"/>
                <w:sz w:val="24"/>
                <w:szCs w:val="24"/>
                <w:highlight w:val="none"/>
                <w:lang w:val="en-US" w:eastAsia="zh-CN" w:bidi="ar-SA"/>
              </w:rPr>
              <w:t>枞阳县枞阳镇下枞阳社区办公楼维修改造工程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1723" w:type="dxa"/>
            <w:tcBorders>
              <w:left w:val="single" w:color="000000" w:sz="10" w:space="0"/>
              <w:right w:val="single" w:color="000000" w:sz="4" w:space="0"/>
            </w:tcBorders>
          </w:tcPr>
          <w:p>
            <w:pPr>
              <w:spacing w:line="285" w:lineRule="auto"/>
              <w:rPr>
                <w:color w:val="auto"/>
                <w:highlight w:val="none"/>
              </w:rPr>
            </w:pPr>
          </w:p>
          <w:p>
            <w:pPr>
              <w:spacing w:line="286" w:lineRule="auto"/>
              <w:rPr>
                <w:color w:val="auto"/>
                <w:highlight w:val="none"/>
              </w:rPr>
            </w:pPr>
          </w:p>
          <w:p>
            <w:pPr>
              <w:spacing w:before="78" w:line="220" w:lineRule="auto"/>
              <w:ind w:left="379"/>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施工</w:t>
            </w:r>
            <w:r>
              <w:rPr>
                <w:rFonts w:ascii="宋体" w:hAnsi="宋体" w:eastAsia="宋体" w:cs="宋体"/>
                <w:color w:val="auto"/>
                <w:spacing w:val="-3"/>
                <w:sz w:val="24"/>
                <w:szCs w:val="24"/>
                <w:highlight w:val="none"/>
              </w:rPr>
              <w:t>范围</w:t>
            </w:r>
          </w:p>
        </w:tc>
        <w:tc>
          <w:tcPr>
            <w:tcW w:w="7320" w:type="dxa"/>
            <w:tcBorders>
              <w:left w:val="single" w:color="000000" w:sz="4" w:space="0"/>
              <w:right w:val="single" w:color="000000" w:sz="10" w:space="0"/>
            </w:tcBorders>
          </w:tcPr>
          <w:p>
            <w:pPr>
              <w:spacing w:before="1" w:line="218" w:lineRule="auto"/>
              <w:ind w:left="104"/>
              <w:rPr>
                <w:rFonts w:ascii="宋体" w:hAnsi="宋体" w:eastAsia="宋体" w:cs="宋体"/>
                <w:color w:val="auto"/>
                <w:spacing w:val="1"/>
                <w:sz w:val="24"/>
                <w:szCs w:val="24"/>
                <w:highlight w:val="none"/>
              </w:rPr>
            </w:pPr>
          </w:p>
          <w:p>
            <w:pPr>
              <w:pStyle w:val="53"/>
              <w:keepNext w:val="0"/>
              <w:keepLines w:val="0"/>
              <w:pageBreakBefore w:val="0"/>
              <w:widowControl w:val="0"/>
              <w:kinsoku/>
              <w:wordWrap/>
              <w:overflowPunct/>
              <w:topLinePunct w:val="0"/>
              <w:bidi w:val="0"/>
              <w:snapToGrid w:val="0"/>
              <w:spacing w:line="480" w:lineRule="exact"/>
              <w:ind w:firstLine="600" w:firstLineChars="250"/>
              <w:jc w:val="both"/>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本项目主要建设内容为室内楼地面，墙面维修，外墙面铲除维修，门窗更换，卫生间水电安装维修等工程。具体内容详见设计图纸及工程量清单所载内容</w:t>
            </w:r>
            <w:r>
              <w:rPr>
                <w:rFonts w:hint="eastAsia" w:cs="Times New Roman"/>
                <w:bCs/>
                <w:snapToGrid/>
                <w:color w:val="auto"/>
                <w:kern w:val="2"/>
                <w:sz w:val="24"/>
                <w:szCs w:val="24"/>
                <w:highlight w:val="none"/>
                <w:lang w:val="en-US" w:eastAsia="zh-CN" w:bidi="ar-SA"/>
              </w:rPr>
              <w:t>。</w:t>
            </w:r>
          </w:p>
          <w:p>
            <w:pPr>
              <w:spacing w:before="1" w:line="218" w:lineRule="auto"/>
              <w:ind w:left="104"/>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723" w:type="dxa"/>
            <w:tcBorders>
              <w:left w:val="single" w:color="000000" w:sz="10" w:space="0"/>
              <w:right w:val="single" w:color="000000" w:sz="4" w:space="0"/>
            </w:tcBorders>
          </w:tcPr>
          <w:p>
            <w:pPr>
              <w:spacing w:line="261" w:lineRule="auto"/>
              <w:rPr>
                <w:color w:val="auto"/>
                <w:highlight w:val="none"/>
              </w:rPr>
            </w:pPr>
          </w:p>
          <w:p>
            <w:pPr>
              <w:spacing w:before="78" w:line="220" w:lineRule="auto"/>
              <w:ind w:left="37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施工工期</w:t>
            </w:r>
          </w:p>
        </w:tc>
        <w:tc>
          <w:tcPr>
            <w:tcW w:w="7320" w:type="dxa"/>
            <w:tcBorders>
              <w:left w:val="single" w:color="000000" w:sz="4" w:space="0"/>
              <w:right w:val="single" w:color="000000" w:sz="10" w:space="0"/>
            </w:tcBorders>
          </w:tcPr>
          <w:p>
            <w:pPr>
              <w:spacing w:line="320" w:lineRule="auto"/>
              <w:rPr>
                <w:color w:val="auto"/>
                <w:highlight w:val="none"/>
              </w:rPr>
            </w:pPr>
          </w:p>
          <w:p>
            <w:pPr>
              <w:spacing w:before="78" w:line="366" w:lineRule="auto"/>
              <w:ind w:left="330" w:leftChars="157" w:right="96" w:firstLine="237" w:firstLineChars="99"/>
              <w:rPr>
                <w:rFonts w:ascii="宋体" w:hAnsi="宋体" w:eastAsia="宋体" w:cs="宋体"/>
                <w:color w:val="auto"/>
                <w:sz w:val="24"/>
                <w:szCs w:val="24"/>
                <w:highlight w:val="none"/>
              </w:rPr>
            </w:pPr>
            <w:r>
              <w:rPr>
                <w:rFonts w:hint="eastAsia" w:ascii="宋体" w:hAnsi="宋体" w:eastAsia="宋体" w:cs="Times New Roman"/>
                <w:bCs/>
                <w:snapToGrid/>
                <w:color w:val="auto"/>
                <w:kern w:val="2"/>
                <w:sz w:val="24"/>
                <w:szCs w:val="24"/>
                <w:highlight w:val="none"/>
                <w:lang w:val="en-US" w:eastAsia="zh-CN" w:bidi="ar-SA"/>
              </w:rPr>
              <w:t>自合同签订之日起</w:t>
            </w:r>
            <w:r>
              <w:rPr>
                <w:rFonts w:hint="eastAsia" w:cs="Times New Roman"/>
                <w:bCs/>
                <w:snapToGrid/>
                <w:color w:val="auto"/>
                <w:kern w:val="2"/>
                <w:sz w:val="24"/>
                <w:szCs w:val="24"/>
                <w:highlight w:val="none"/>
                <w:lang w:val="en-US" w:eastAsia="zh-CN" w:bidi="ar-SA"/>
              </w:rPr>
              <w:t>60</w:t>
            </w:r>
            <w:r>
              <w:rPr>
                <w:rFonts w:hint="eastAsia" w:ascii="宋体" w:hAnsi="宋体" w:eastAsia="宋体" w:cs="Times New Roman"/>
                <w:bCs/>
                <w:snapToGrid/>
                <w:color w:val="auto"/>
                <w:kern w:val="2"/>
                <w:sz w:val="24"/>
                <w:szCs w:val="24"/>
                <w:highlight w:val="none"/>
                <w:lang w:val="en-US" w:eastAsia="zh-CN" w:bidi="ar-SA"/>
              </w:rPr>
              <w:t>日历天内完成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723" w:type="dxa"/>
            <w:tcBorders>
              <w:left w:val="single" w:color="000000" w:sz="10" w:space="0"/>
              <w:right w:val="single" w:color="000000" w:sz="4" w:space="0"/>
            </w:tcBorders>
          </w:tcPr>
          <w:p>
            <w:pPr>
              <w:spacing w:before="301" w:line="220" w:lineRule="auto"/>
              <w:ind w:left="139" w:firstLine="236" w:firstLineChars="10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项目经理</w:t>
            </w:r>
          </w:p>
        </w:tc>
        <w:tc>
          <w:tcPr>
            <w:tcW w:w="7320"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723" w:type="dxa"/>
            <w:tcBorders>
              <w:left w:val="single" w:color="000000" w:sz="10" w:space="0"/>
              <w:right w:val="single" w:color="000000" w:sz="4" w:space="0"/>
            </w:tcBorders>
          </w:tcPr>
          <w:p>
            <w:pPr>
              <w:spacing w:before="237" w:line="220" w:lineRule="auto"/>
              <w:ind w:left="1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执业证书信息</w:t>
            </w:r>
          </w:p>
        </w:tc>
        <w:tc>
          <w:tcPr>
            <w:tcW w:w="7320" w:type="dxa"/>
            <w:tcBorders>
              <w:left w:val="single" w:color="000000" w:sz="4" w:space="0"/>
              <w:right w:val="single" w:color="000000" w:sz="10" w:space="0"/>
            </w:tcBorders>
          </w:tcPr>
          <w:p>
            <w:pPr>
              <w:rPr>
                <w:color w:val="auto"/>
                <w:highlight w:val="none"/>
              </w:rPr>
            </w:pPr>
          </w:p>
        </w:tc>
      </w:tr>
    </w:tbl>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line="255" w:lineRule="auto"/>
        <w:rPr>
          <w:color w:val="auto"/>
          <w:highlight w:val="none"/>
        </w:rPr>
      </w:pPr>
    </w:p>
    <w:p>
      <w:pPr>
        <w:spacing w:before="78" w:line="219" w:lineRule="auto"/>
        <w:ind w:left="260"/>
        <w:rPr>
          <w:rFonts w:ascii="宋体" w:hAnsi="宋体" w:eastAsia="宋体" w:cs="宋体"/>
          <w:b/>
          <w:bCs/>
          <w:color w:val="auto"/>
          <w:sz w:val="24"/>
          <w:szCs w:val="24"/>
          <w:highlight w:val="none"/>
        </w:rPr>
      </w:pPr>
      <w:r>
        <w:rPr>
          <w:rFonts w:ascii="宋体" w:hAnsi="宋体" w:eastAsia="宋体" w:cs="宋体"/>
          <w:b/>
          <w:bCs/>
          <w:color w:val="auto"/>
          <w:spacing w:val="-19"/>
          <w:sz w:val="24"/>
          <w:szCs w:val="24"/>
          <w:highlight w:val="none"/>
        </w:rPr>
        <w:t>附</w:t>
      </w:r>
      <w:r>
        <w:rPr>
          <w:rFonts w:ascii="宋体" w:hAnsi="宋体" w:eastAsia="宋体" w:cs="宋体"/>
          <w:b/>
          <w:bCs/>
          <w:color w:val="auto"/>
          <w:spacing w:val="-11"/>
          <w:sz w:val="24"/>
          <w:szCs w:val="24"/>
          <w:highlight w:val="none"/>
        </w:rPr>
        <w:t>件：图纸、工程量清单</w:t>
      </w:r>
    </w:p>
    <w:p>
      <w:pPr>
        <w:rPr>
          <w:b/>
          <w:bCs/>
          <w:color w:val="auto"/>
          <w:highlight w:val="none"/>
        </w:rPr>
        <w:sectPr>
          <w:footerReference r:id="rId4" w:type="default"/>
          <w:pgSz w:w="11907" w:h="16839"/>
          <w:pgMar w:top="1134" w:right="1406" w:bottom="1362" w:left="1430" w:header="0" w:footer="1202" w:gutter="0"/>
          <w:pgNumType w:fmt="decimal"/>
          <w:cols w:space="720" w:num="1"/>
        </w:sectPr>
      </w:pPr>
    </w:p>
    <w:p>
      <w:pPr>
        <w:pStyle w:val="14"/>
        <w:rPr>
          <w:rFonts w:hint="eastAsia"/>
          <w:color w:val="auto"/>
          <w:highlight w:val="none"/>
        </w:rPr>
      </w:pPr>
    </w:p>
    <w:p>
      <w:pPr>
        <w:pStyle w:val="3"/>
        <w:spacing w:before="0" w:after="0" w:line="360" w:lineRule="auto"/>
        <w:jc w:val="center"/>
        <w:rPr>
          <w:rFonts w:ascii="宋体" w:hAnsi="宋体" w:eastAsia="宋体"/>
          <w:color w:val="auto"/>
          <w:sz w:val="28"/>
          <w:szCs w:val="28"/>
          <w:highlight w:val="none"/>
        </w:rPr>
      </w:pPr>
      <w:r>
        <w:rPr>
          <w:rFonts w:hint="eastAsia" w:ascii="宋体" w:hAnsi="宋体" w:eastAsia="宋体"/>
          <w:color w:val="auto"/>
          <w:highlight w:val="none"/>
        </w:rPr>
        <w:t>第五章</w:t>
      </w:r>
      <w:bookmarkStart w:id="11" w:name="_Toc220232392"/>
      <w:r>
        <w:rPr>
          <w:rFonts w:hint="eastAsia" w:ascii="宋体" w:hAnsi="宋体" w:eastAsia="宋体"/>
          <w:color w:val="auto"/>
          <w:highlight w:val="none"/>
        </w:rPr>
        <w:t xml:space="preserve"> 采购</w:t>
      </w:r>
      <w:r>
        <w:rPr>
          <w:rFonts w:ascii="宋体" w:hAnsi="宋体" w:eastAsia="宋体"/>
          <w:color w:val="auto"/>
          <w:highlight w:val="none"/>
        </w:rPr>
        <w:t>合同</w:t>
      </w:r>
      <w:bookmarkEnd w:id="10"/>
      <w:bookmarkEnd w:id="11"/>
      <w:r>
        <w:rPr>
          <w:rFonts w:hint="eastAsia" w:ascii="宋体" w:hAnsi="宋体" w:eastAsia="宋体"/>
          <w:color w:val="auto"/>
          <w:sz w:val="28"/>
          <w:szCs w:val="28"/>
          <w:highlight w:val="none"/>
        </w:rPr>
        <w:t>（仅供参考）</w:t>
      </w:r>
    </w:p>
    <w:p>
      <w:pPr>
        <w:spacing w:before="101" w:line="221" w:lineRule="auto"/>
        <w:ind w:left="714"/>
        <w:jc w:val="center"/>
        <w:outlineLvl w:val="1"/>
        <w:rPr>
          <w:rFonts w:ascii="宋体" w:hAnsi="宋体" w:eastAsia="宋体" w:cs="宋体"/>
          <w:b/>
          <w:bCs/>
          <w:color w:val="auto"/>
          <w:sz w:val="31"/>
          <w:szCs w:val="31"/>
          <w:highlight w:val="none"/>
        </w:rPr>
      </w:pPr>
      <w:r>
        <w:rPr>
          <w:rFonts w:ascii="宋体" w:hAnsi="宋体" w:eastAsia="宋体" w:cs="宋体"/>
          <w:b/>
          <w:bCs/>
          <w:color w:val="auto"/>
          <w:spacing w:val="29"/>
          <w:sz w:val="31"/>
          <w:szCs w:val="31"/>
          <w:highlight w:val="none"/>
        </w:rPr>
        <w:t>第</w:t>
      </w:r>
      <w:r>
        <w:rPr>
          <w:rFonts w:ascii="宋体" w:hAnsi="宋体" w:eastAsia="宋体" w:cs="宋体"/>
          <w:b/>
          <w:bCs/>
          <w:color w:val="auto"/>
          <w:spacing w:val="22"/>
          <w:sz w:val="31"/>
          <w:szCs w:val="31"/>
          <w:highlight w:val="none"/>
        </w:rPr>
        <w:t>五章采购合同((仅供参考，以实际签订合同为准)</w:t>
      </w:r>
    </w:p>
    <w:p>
      <w:pPr>
        <w:spacing w:line="244" w:lineRule="auto"/>
        <w:rPr>
          <w:color w:val="auto"/>
          <w:highlight w:val="none"/>
        </w:rPr>
      </w:pPr>
    </w:p>
    <w:p>
      <w:pPr>
        <w:pStyle w:val="14"/>
        <w:tabs>
          <w:tab w:val="left" w:pos="5327"/>
          <w:tab w:val="left" w:pos="5395"/>
        </w:tabs>
        <w:spacing w:before="290" w:line="480" w:lineRule="exact"/>
        <w:ind w:right="392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需方：</w:t>
      </w:r>
      <w:r>
        <w:rPr>
          <w:rFonts w:hint="eastAsia" w:ascii="仿宋" w:hAnsi="仿宋" w:eastAsia="仿宋" w:cs="仿宋"/>
          <w:color w:val="auto"/>
          <w:spacing w:val="-3"/>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供方</w:t>
      </w:r>
      <w:r>
        <w:rPr>
          <w:rFonts w:hint="eastAsia" w:ascii="仿宋" w:hAnsi="仿宋" w:eastAsia="仿宋" w:cs="仿宋"/>
          <w:color w:val="auto"/>
          <w:spacing w:val="-3"/>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ab/>
      </w:r>
    </w:p>
    <w:p>
      <w:pPr>
        <w:spacing w:line="480" w:lineRule="exact"/>
        <w:ind w:left="76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为了保护供需双方合法权益，根据《中华人民共和国民法典》合同编、</w:t>
      </w:r>
    </w:p>
    <w:p>
      <w:p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政府采购管理部门的有关规定及本项目采购文</w:t>
      </w:r>
      <w:r>
        <w:rPr>
          <w:rFonts w:hint="eastAsia" w:ascii="仿宋" w:hAnsi="仿宋" w:eastAsia="仿宋" w:cs="仿宋"/>
          <w:color w:val="auto"/>
          <w:spacing w:val="-10"/>
          <w:sz w:val="28"/>
          <w:szCs w:val="28"/>
          <w:highlight w:val="none"/>
        </w:rPr>
        <w:t>件</w:t>
      </w:r>
      <w:r>
        <w:rPr>
          <w:rFonts w:hint="eastAsia" w:ascii="仿宋" w:hAnsi="仿宋" w:eastAsia="仿宋" w:cs="仿宋"/>
          <w:color w:val="auto"/>
          <w:sz w:val="28"/>
          <w:szCs w:val="28"/>
          <w:highlight w:val="none"/>
        </w:rPr>
        <w:t xml:space="preserve">（项目编号 </w:t>
      </w: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u w:val="single"/>
        </w:rPr>
        <w:t xml:space="preserve"> </w:t>
      </w:r>
      <w:r>
        <w:rPr>
          <w:rFonts w:hint="eastAsia" w:ascii="仿宋" w:hAnsi="仿宋" w:eastAsia="仿宋" w:cs="仿宋"/>
          <w:color w:val="auto"/>
          <w:spacing w:val="-10"/>
          <w:sz w:val="28"/>
          <w:szCs w:val="28"/>
          <w:highlight w:val="none"/>
          <w:u w:val="single"/>
          <w:lang w:val="en-US" w:eastAsia="zh-CN"/>
        </w:rPr>
        <w:t xml:space="preserve"> </w:t>
      </w:r>
      <w:r>
        <w:rPr>
          <w:rFonts w:hint="eastAsia" w:ascii="仿宋" w:hAnsi="仿宋" w:eastAsia="仿宋" w:cs="仿宋"/>
          <w:color w:val="auto"/>
          <w:spacing w:val="-10"/>
          <w:sz w:val="28"/>
          <w:szCs w:val="28"/>
          <w:highlight w:val="none"/>
          <w:u w:val="single"/>
        </w:rPr>
        <w:tab/>
      </w:r>
      <w:r>
        <w:rPr>
          <w:rFonts w:hint="eastAsia" w:ascii="仿宋" w:hAnsi="仿宋" w:eastAsia="仿宋" w:cs="仿宋"/>
          <w:color w:val="auto"/>
          <w:spacing w:val="-10"/>
          <w:sz w:val="28"/>
          <w:szCs w:val="28"/>
          <w:highlight w:val="none"/>
        </w:rPr>
        <w:t>）</w:t>
      </w:r>
      <w:r>
        <w:rPr>
          <w:rFonts w:hint="eastAsia" w:ascii="仿宋" w:hAnsi="仿宋" w:eastAsia="仿宋" w:cs="仿宋"/>
          <w:color w:val="auto"/>
          <w:sz w:val="28"/>
          <w:szCs w:val="28"/>
          <w:highlight w:val="none"/>
        </w:rPr>
        <w:t>和供方的投</w:t>
      </w:r>
      <w:r>
        <w:rPr>
          <w:rFonts w:hint="eastAsia" w:ascii="仿宋" w:hAnsi="仿宋" w:eastAsia="仿宋" w:cs="仿宋"/>
          <w:color w:val="auto"/>
          <w:spacing w:val="-17"/>
          <w:sz w:val="28"/>
          <w:szCs w:val="28"/>
          <w:highlight w:val="none"/>
        </w:rPr>
        <w:t>标</w:t>
      </w:r>
      <w:r>
        <w:rPr>
          <w:rFonts w:hint="eastAsia" w:ascii="仿宋" w:hAnsi="仿宋" w:eastAsia="仿宋" w:cs="仿宋"/>
          <w:color w:val="auto"/>
          <w:sz w:val="28"/>
          <w:szCs w:val="28"/>
          <w:highlight w:val="none"/>
        </w:rPr>
        <w:t>文件签订本合同，并共同遵守。</w:t>
      </w:r>
    </w:p>
    <w:p>
      <w:pPr>
        <w:spacing w:after="37" w:line="480" w:lineRule="exact"/>
        <w:ind w:left="76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b/>
          <w:color w:val="auto"/>
          <w:sz w:val="28"/>
          <w:szCs w:val="28"/>
          <w:highlight w:val="none"/>
        </w:rPr>
        <w:t>工程量内容及合同金额</w:t>
      </w:r>
    </w:p>
    <w:tbl>
      <w:tblPr>
        <w:tblStyle w:val="32"/>
        <w:tblW w:w="9525"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1703"/>
        <w:gridCol w:w="1561"/>
        <w:gridCol w:w="851"/>
        <w:gridCol w:w="564"/>
        <w:gridCol w:w="480"/>
        <w:gridCol w:w="480"/>
        <w:gridCol w:w="449"/>
        <w:gridCol w:w="345"/>
        <w:gridCol w:w="525"/>
        <w:gridCol w:w="510"/>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352" w:type="dxa"/>
            <w:vMerge w:val="restart"/>
            <w:noWrap w:val="0"/>
            <w:vAlign w:val="top"/>
          </w:tcPr>
          <w:p>
            <w:pPr>
              <w:pStyle w:val="165"/>
              <w:spacing w:before="15" w:line="480" w:lineRule="exact"/>
              <w:jc w:val="both"/>
              <w:rPr>
                <w:rFonts w:hint="eastAsia" w:ascii="仿宋" w:hAnsi="仿宋" w:eastAsia="仿宋" w:cs="仿宋"/>
                <w:b/>
                <w:color w:val="auto"/>
                <w:kern w:val="2"/>
                <w:sz w:val="28"/>
                <w:szCs w:val="28"/>
                <w:highlight w:val="none"/>
              </w:rPr>
            </w:pPr>
          </w:p>
          <w:p>
            <w:pPr>
              <w:pStyle w:val="165"/>
              <w:spacing w:line="480" w:lineRule="exact"/>
              <w:ind w:left="326"/>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品目</w:t>
            </w:r>
          </w:p>
        </w:tc>
        <w:tc>
          <w:tcPr>
            <w:tcW w:w="1703" w:type="dxa"/>
            <w:vMerge w:val="restart"/>
            <w:noWrap w:val="0"/>
            <w:vAlign w:val="top"/>
          </w:tcPr>
          <w:p>
            <w:pPr>
              <w:pStyle w:val="165"/>
              <w:spacing w:before="15" w:line="480" w:lineRule="exact"/>
              <w:jc w:val="center"/>
              <w:rPr>
                <w:rFonts w:hint="eastAsia" w:ascii="仿宋" w:hAnsi="仿宋" w:eastAsia="仿宋" w:cs="仿宋"/>
                <w:b/>
                <w:color w:val="auto"/>
                <w:kern w:val="2"/>
                <w:sz w:val="28"/>
                <w:szCs w:val="28"/>
                <w:highlight w:val="none"/>
              </w:rPr>
            </w:pPr>
          </w:p>
          <w:p>
            <w:pPr>
              <w:pStyle w:val="165"/>
              <w:spacing w:line="480" w:lineRule="exact"/>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型号及配置</w:t>
            </w:r>
          </w:p>
        </w:tc>
        <w:tc>
          <w:tcPr>
            <w:tcW w:w="1561" w:type="dxa"/>
            <w:vMerge w:val="restart"/>
            <w:noWrap w:val="0"/>
            <w:vAlign w:val="top"/>
          </w:tcPr>
          <w:p>
            <w:pPr>
              <w:pStyle w:val="165"/>
              <w:spacing w:before="15" w:line="480" w:lineRule="exact"/>
              <w:jc w:val="center"/>
              <w:rPr>
                <w:rFonts w:hint="eastAsia" w:ascii="仿宋" w:hAnsi="仿宋" w:eastAsia="仿宋" w:cs="仿宋"/>
                <w:b/>
                <w:color w:val="auto"/>
                <w:kern w:val="2"/>
                <w:sz w:val="28"/>
                <w:szCs w:val="28"/>
                <w:highlight w:val="none"/>
              </w:rPr>
            </w:pPr>
          </w:p>
          <w:p>
            <w:pPr>
              <w:pStyle w:val="165"/>
              <w:spacing w:line="480" w:lineRule="exact"/>
              <w:ind w:right="542"/>
              <w:jc w:val="cente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数量</w:t>
            </w:r>
          </w:p>
        </w:tc>
        <w:tc>
          <w:tcPr>
            <w:tcW w:w="851" w:type="dxa"/>
            <w:vMerge w:val="restart"/>
            <w:noWrap w:val="0"/>
            <w:vAlign w:val="top"/>
          </w:tcPr>
          <w:p>
            <w:pPr>
              <w:pStyle w:val="165"/>
              <w:spacing w:before="15" w:line="480" w:lineRule="exact"/>
              <w:jc w:val="both"/>
              <w:rPr>
                <w:rFonts w:hint="eastAsia" w:ascii="仿宋" w:hAnsi="仿宋" w:eastAsia="仿宋" w:cs="仿宋"/>
                <w:b/>
                <w:color w:val="auto"/>
                <w:kern w:val="2"/>
                <w:sz w:val="28"/>
                <w:szCs w:val="28"/>
                <w:highlight w:val="none"/>
              </w:rPr>
            </w:pPr>
          </w:p>
          <w:p>
            <w:pPr>
              <w:pStyle w:val="165"/>
              <w:spacing w:line="480" w:lineRule="exact"/>
              <w:ind w:left="211"/>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工期</w:t>
            </w:r>
          </w:p>
        </w:tc>
        <w:tc>
          <w:tcPr>
            <w:tcW w:w="4058" w:type="dxa"/>
            <w:gridSpan w:val="8"/>
            <w:noWrap w:val="0"/>
            <w:vAlign w:val="top"/>
          </w:tcPr>
          <w:p>
            <w:pPr>
              <w:pStyle w:val="165"/>
              <w:tabs>
                <w:tab w:val="left" w:pos="840"/>
              </w:tabs>
              <w:spacing w:before="17" w:line="480" w:lineRule="exact"/>
              <w:ind w:right="8"/>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价</w:t>
            </w:r>
            <w:r>
              <w:rPr>
                <w:rFonts w:hint="eastAsia" w:ascii="仿宋" w:hAnsi="仿宋" w:eastAsia="仿宋" w:cs="仿宋"/>
                <w:color w:val="auto"/>
                <w:kern w:val="2"/>
                <w:sz w:val="28"/>
                <w:szCs w:val="28"/>
                <w:highlight w:val="none"/>
              </w:rPr>
              <w:tab/>
            </w:r>
            <w:r>
              <w:rPr>
                <w:rFonts w:hint="eastAsia" w:ascii="仿宋" w:hAnsi="仿宋" w:eastAsia="仿宋" w:cs="仿宋"/>
                <w:color w:val="auto"/>
                <w:kern w:val="2"/>
                <w:sz w:val="28"/>
                <w:szCs w:val="28"/>
                <w:highlight w:val="none"/>
              </w:rPr>
              <w:t>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52" w:type="dxa"/>
            <w:vMerge w:val="continue"/>
            <w:tcBorders>
              <w:top w:val="nil"/>
            </w:tcBorders>
            <w:noWrap w:val="0"/>
            <w:vAlign w:val="top"/>
          </w:tcPr>
          <w:p>
            <w:pPr>
              <w:spacing w:line="480" w:lineRule="exact"/>
              <w:jc w:val="both"/>
              <w:rPr>
                <w:rFonts w:hint="eastAsia" w:ascii="仿宋" w:hAnsi="仿宋" w:eastAsia="仿宋" w:cs="仿宋"/>
                <w:color w:val="auto"/>
                <w:kern w:val="2"/>
                <w:sz w:val="28"/>
                <w:szCs w:val="28"/>
                <w:highlight w:val="none"/>
              </w:rPr>
            </w:pPr>
          </w:p>
        </w:tc>
        <w:tc>
          <w:tcPr>
            <w:tcW w:w="1703" w:type="dxa"/>
            <w:vMerge w:val="continue"/>
            <w:tcBorders>
              <w:top w:val="nil"/>
            </w:tcBorders>
            <w:noWrap w:val="0"/>
            <w:vAlign w:val="top"/>
          </w:tcPr>
          <w:p>
            <w:pPr>
              <w:spacing w:line="480" w:lineRule="exact"/>
              <w:jc w:val="both"/>
              <w:rPr>
                <w:rFonts w:hint="eastAsia" w:ascii="仿宋" w:hAnsi="仿宋" w:eastAsia="仿宋" w:cs="仿宋"/>
                <w:color w:val="auto"/>
                <w:kern w:val="2"/>
                <w:sz w:val="28"/>
                <w:szCs w:val="28"/>
                <w:highlight w:val="none"/>
              </w:rPr>
            </w:pPr>
          </w:p>
        </w:tc>
        <w:tc>
          <w:tcPr>
            <w:tcW w:w="1561" w:type="dxa"/>
            <w:vMerge w:val="continue"/>
            <w:tcBorders>
              <w:top w:val="nil"/>
            </w:tcBorders>
            <w:noWrap w:val="0"/>
            <w:vAlign w:val="top"/>
          </w:tcPr>
          <w:p>
            <w:pPr>
              <w:spacing w:line="480" w:lineRule="exact"/>
              <w:jc w:val="both"/>
              <w:rPr>
                <w:rFonts w:hint="eastAsia" w:ascii="仿宋" w:hAnsi="仿宋" w:eastAsia="仿宋" w:cs="仿宋"/>
                <w:color w:val="auto"/>
                <w:kern w:val="2"/>
                <w:sz w:val="28"/>
                <w:szCs w:val="28"/>
                <w:highlight w:val="none"/>
              </w:rPr>
            </w:pPr>
          </w:p>
        </w:tc>
        <w:tc>
          <w:tcPr>
            <w:tcW w:w="851" w:type="dxa"/>
            <w:vMerge w:val="continue"/>
            <w:tcBorders>
              <w:top w:val="nil"/>
            </w:tcBorders>
            <w:noWrap w:val="0"/>
            <w:vAlign w:val="top"/>
          </w:tcPr>
          <w:p>
            <w:pPr>
              <w:spacing w:line="480" w:lineRule="exact"/>
              <w:jc w:val="both"/>
              <w:rPr>
                <w:rFonts w:hint="eastAsia" w:ascii="仿宋" w:hAnsi="仿宋" w:eastAsia="仿宋" w:cs="仿宋"/>
                <w:color w:val="auto"/>
                <w:kern w:val="2"/>
                <w:sz w:val="28"/>
                <w:szCs w:val="28"/>
                <w:highlight w:val="none"/>
              </w:rPr>
            </w:pPr>
          </w:p>
        </w:tc>
        <w:tc>
          <w:tcPr>
            <w:tcW w:w="564" w:type="dxa"/>
            <w:noWrap w:val="0"/>
            <w:vAlign w:val="top"/>
          </w:tcPr>
          <w:p>
            <w:pPr>
              <w:pStyle w:val="165"/>
              <w:spacing w:before="26" w:line="480" w:lineRule="exact"/>
              <w:ind w:left="66"/>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十</w:t>
            </w:r>
          </w:p>
        </w:tc>
        <w:tc>
          <w:tcPr>
            <w:tcW w:w="480" w:type="dxa"/>
            <w:noWrap w:val="0"/>
            <w:vAlign w:val="top"/>
          </w:tcPr>
          <w:p>
            <w:pPr>
              <w:pStyle w:val="165"/>
              <w:spacing w:before="26" w:line="480" w:lineRule="exact"/>
              <w:ind w:left="81"/>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万</w:t>
            </w:r>
          </w:p>
        </w:tc>
        <w:tc>
          <w:tcPr>
            <w:tcW w:w="480" w:type="dxa"/>
            <w:noWrap w:val="0"/>
            <w:vAlign w:val="top"/>
          </w:tcPr>
          <w:p>
            <w:pPr>
              <w:pStyle w:val="165"/>
              <w:spacing w:before="26" w:line="480" w:lineRule="exact"/>
              <w:ind w:left="82"/>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千</w:t>
            </w:r>
          </w:p>
        </w:tc>
        <w:tc>
          <w:tcPr>
            <w:tcW w:w="449" w:type="dxa"/>
            <w:noWrap w:val="0"/>
            <w:vAlign w:val="top"/>
          </w:tcPr>
          <w:p>
            <w:pPr>
              <w:pStyle w:val="165"/>
              <w:spacing w:before="26" w:line="480" w:lineRule="exact"/>
              <w:ind w:left="79"/>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百</w:t>
            </w:r>
          </w:p>
        </w:tc>
        <w:tc>
          <w:tcPr>
            <w:tcW w:w="345" w:type="dxa"/>
            <w:noWrap w:val="0"/>
            <w:vAlign w:val="top"/>
          </w:tcPr>
          <w:p>
            <w:pPr>
              <w:pStyle w:val="165"/>
              <w:spacing w:before="26" w:line="480" w:lineRule="exact"/>
              <w:ind w:left="78"/>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十</w:t>
            </w:r>
          </w:p>
        </w:tc>
        <w:tc>
          <w:tcPr>
            <w:tcW w:w="525" w:type="dxa"/>
            <w:noWrap w:val="0"/>
            <w:vAlign w:val="top"/>
          </w:tcPr>
          <w:p>
            <w:pPr>
              <w:pStyle w:val="165"/>
              <w:spacing w:before="26" w:line="480" w:lineRule="exact"/>
              <w:ind w:left="80"/>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元</w:t>
            </w:r>
          </w:p>
        </w:tc>
        <w:tc>
          <w:tcPr>
            <w:tcW w:w="510" w:type="dxa"/>
            <w:noWrap w:val="0"/>
            <w:vAlign w:val="top"/>
          </w:tcPr>
          <w:p>
            <w:pPr>
              <w:pStyle w:val="165"/>
              <w:spacing w:before="26" w:line="480" w:lineRule="exact"/>
              <w:ind w:left="76"/>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角</w:t>
            </w:r>
          </w:p>
        </w:tc>
        <w:tc>
          <w:tcPr>
            <w:tcW w:w="705" w:type="dxa"/>
            <w:noWrap w:val="0"/>
            <w:vAlign w:val="top"/>
          </w:tcPr>
          <w:p>
            <w:pPr>
              <w:pStyle w:val="165"/>
              <w:spacing w:before="26" w:line="480" w:lineRule="exact"/>
              <w:ind w:left="77"/>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52" w:type="dxa"/>
            <w:noWrap w:val="0"/>
            <w:vAlign w:val="top"/>
          </w:tcPr>
          <w:p>
            <w:pPr>
              <w:pStyle w:val="165"/>
              <w:spacing w:before="69" w:line="480" w:lineRule="exact"/>
              <w:ind w:left="220" w:right="106" w:hanging="104"/>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详见工程量清单</w:t>
            </w:r>
          </w:p>
        </w:tc>
        <w:tc>
          <w:tcPr>
            <w:tcW w:w="1703" w:type="dxa"/>
            <w:noWrap w:val="0"/>
            <w:vAlign w:val="top"/>
          </w:tcPr>
          <w:p>
            <w:pPr>
              <w:pStyle w:val="165"/>
              <w:spacing w:before="69" w:line="480" w:lineRule="exact"/>
              <w:ind w:left="217" w:right="104" w:hanging="106"/>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符合磋商文件要求及施工图纸</w:t>
            </w:r>
          </w:p>
        </w:tc>
        <w:tc>
          <w:tcPr>
            <w:tcW w:w="1561" w:type="dxa"/>
            <w:noWrap w:val="0"/>
            <w:vAlign w:val="top"/>
          </w:tcPr>
          <w:p>
            <w:pPr>
              <w:pStyle w:val="165"/>
              <w:spacing w:before="69" w:line="480" w:lineRule="exact"/>
              <w:ind w:left="147" w:right="139"/>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详见工程量清单及施工图纸</w:t>
            </w:r>
          </w:p>
        </w:tc>
        <w:tc>
          <w:tcPr>
            <w:tcW w:w="851"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564"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480"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480"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449"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345"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525"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510"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705"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52" w:type="dxa"/>
            <w:noWrap w:val="0"/>
            <w:vAlign w:val="top"/>
          </w:tcPr>
          <w:p>
            <w:pPr>
              <w:pStyle w:val="165"/>
              <w:spacing w:before="159" w:line="480" w:lineRule="exact"/>
              <w:ind w:left="326"/>
              <w:jc w:val="both"/>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小计</w:t>
            </w:r>
          </w:p>
        </w:tc>
        <w:tc>
          <w:tcPr>
            <w:tcW w:w="1703"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1561"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851"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564"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480"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480"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449"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345"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525"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510"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c>
          <w:tcPr>
            <w:tcW w:w="705" w:type="dxa"/>
            <w:noWrap w:val="0"/>
            <w:vAlign w:val="top"/>
          </w:tcPr>
          <w:p>
            <w:pPr>
              <w:pStyle w:val="165"/>
              <w:spacing w:line="480" w:lineRule="exact"/>
              <w:jc w:val="both"/>
              <w:rPr>
                <w:rFonts w:hint="eastAsia" w:ascii="仿宋" w:hAnsi="仿宋" w:eastAsia="仿宋" w:cs="仿宋"/>
                <w:color w:val="auto"/>
                <w:kern w:val="2"/>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525" w:type="dxa"/>
            <w:gridSpan w:val="12"/>
            <w:noWrap w:val="0"/>
            <w:vAlign w:val="top"/>
          </w:tcPr>
          <w:p>
            <w:pPr>
              <w:pStyle w:val="165"/>
              <w:spacing w:before="136" w:line="480" w:lineRule="exact"/>
              <w:ind w:left="295"/>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合计金额（大写</w:t>
            </w:r>
            <w:r>
              <w:rPr>
                <w:rFonts w:hint="eastAsia" w:ascii="仿宋" w:hAnsi="仿宋" w:eastAsia="仿宋" w:cs="仿宋"/>
                <w:color w:val="auto"/>
                <w:spacing w:val="-120"/>
                <w:kern w:val="2"/>
                <w:sz w:val="28"/>
                <w:szCs w:val="28"/>
                <w:highlight w:val="none"/>
              </w:rPr>
              <w:t>）</w:t>
            </w:r>
            <w:r>
              <w:rPr>
                <w:rFonts w:hint="eastAsia" w:ascii="仿宋" w:hAnsi="仿宋" w:eastAsia="仿宋" w:cs="仿宋"/>
                <w:color w:val="auto"/>
                <w:kern w:val="2"/>
                <w:sz w:val="28"/>
                <w:szCs w:val="28"/>
                <w:highlight w:val="none"/>
              </w:rPr>
              <w:t>：人民币</w:t>
            </w:r>
          </w:p>
        </w:tc>
      </w:tr>
    </w:tbl>
    <w:p>
      <w:pPr>
        <w:spacing w:before="48" w:line="480" w:lineRule="exact"/>
        <w:ind w:left="76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二、组成合同的文件</w:t>
      </w:r>
    </w:p>
    <w:p>
      <w:pPr>
        <w:spacing w:before="52" w:line="480" w:lineRule="exact"/>
        <w:ind w:left="289" w:right="302"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包括;(1)</w:t>
      </w:r>
      <w:r>
        <w:rPr>
          <w:rFonts w:hint="eastAsia" w:ascii="仿宋" w:hAnsi="仿宋" w:eastAsia="仿宋" w:cs="仿宋"/>
          <w:color w:val="auto"/>
          <w:spacing w:val="-2"/>
          <w:sz w:val="28"/>
          <w:szCs w:val="28"/>
          <w:highlight w:val="none"/>
        </w:rPr>
        <w:t>本项目磋商文件</w:t>
      </w:r>
      <w:r>
        <w:rPr>
          <w:rFonts w:hint="eastAsia" w:ascii="仿宋" w:hAnsi="仿宋" w:eastAsia="仿宋" w:cs="仿宋"/>
          <w:color w:val="auto"/>
          <w:sz w:val="28"/>
          <w:szCs w:val="28"/>
          <w:highlight w:val="none"/>
        </w:rPr>
        <w:t>（含磋商文件补充资料</w:t>
      </w:r>
      <w:r>
        <w:rPr>
          <w:rFonts w:hint="eastAsia" w:ascii="仿宋" w:hAnsi="仿宋" w:eastAsia="仿宋" w:cs="仿宋"/>
          <w:color w:val="auto"/>
          <w:spacing w:val="-120"/>
          <w:sz w:val="28"/>
          <w:szCs w:val="28"/>
          <w:highlight w:val="none"/>
        </w:rPr>
        <w:t>）</w:t>
      </w:r>
      <w:r>
        <w:rPr>
          <w:rFonts w:hint="eastAsia" w:ascii="仿宋" w:hAnsi="仿宋" w:eastAsia="仿宋" w:cs="仿宋"/>
          <w:color w:val="auto"/>
          <w:spacing w:val="-130"/>
          <w:sz w:val="28"/>
          <w:szCs w:val="28"/>
          <w:highlight w:val="none"/>
        </w:rPr>
        <w:t>；</w:t>
      </w:r>
      <w:r>
        <w:rPr>
          <w:rFonts w:hint="eastAsia" w:ascii="仿宋" w:hAnsi="仿宋" w:eastAsia="仿宋" w:cs="仿宋"/>
          <w:color w:val="auto"/>
          <w:spacing w:val="-130"/>
          <w:sz w:val="28"/>
          <w:szCs w:val="28"/>
          <w:highlight w:val="none"/>
          <w:lang w:val="en-US" w:eastAsia="zh-CN"/>
        </w:rPr>
        <w:t xml:space="preserve">     </w:t>
      </w:r>
      <w:r>
        <w:rPr>
          <w:rFonts w:hint="eastAsia" w:ascii="仿宋" w:hAnsi="仿宋" w:eastAsia="仿宋" w:cs="仿宋"/>
          <w:color w:val="auto"/>
          <w:sz w:val="28"/>
          <w:szCs w:val="28"/>
          <w:highlight w:val="none"/>
        </w:rPr>
        <w:t>（2</w:t>
      </w: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2"/>
          <w:sz w:val="28"/>
          <w:szCs w:val="28"/>
          <w:highlight w:val="none"/>
        </w:rPr>
        <w:t>供方提交的磋商响应文</w:t>
      </w:r>
      <w:r>
        <w:rPr>
          <w:rFonts w:hint="eastAsia" w:ascii="仿宋" w:hAnsi="仿宋" w:eastAsia="仿宋" w:cs="仿宋"/>
          <w:color w:val="auto"/>
          <w:spacing w:val="-8"/>
          <w:sz w:val="28"/>
          <w:szCs w:val="28"/>
          <w:highlight w:val="none"/>
        </w:rPr>
        <w:t>件以及修改或澄清文件及书面承诺函；</w:t>
      </w:r>
      <w:r>
        <w:rPr>
          <w:rFonts w:hint="eastAsia" w:ascii="仿宋" w:hAnsi="仿宋" w:eastAsia="仿宋" w:cs="仿宋"/>
          <w:color w:val="auto"/>
          <w:sz w:val="28"/>
          <w:szCs w:val="28"/>
          <w:highlight w:val="none"/>
        </w:rPr>
        <w:t>（3）</w:t>
      </w:r>
      <w:r>
        <w:rPr>
          <w:rFonts w:hint="eastAsia" w:ascii="仿宋" w:hAnsi="仿宋" w:eastAsia="仿宋" w:cs="仿宋"/>
          <w:color w:val="auto"/>
          <w:spacing w:val="-20"/>
          <w:sz w:val="28"/>
          <w:szCs w:val="28"/>
          <w:highlight w:val="none"/>
        </w:rPr>
        <w:t>成交通知书；</w:t>
      </w:r>
      <w:r>
        <w:rPr>
          <w:rFonts w:hint="eastAsia" w:ascii="仿宋" w:hAnsi="仿宋" w:eastAsia="仿宋" w:cs="仿宋"/>
          <w:color w:val="auto"/>
          <w:sz w:val="28"/>
          <w:szCs w:val="28"/>
          <w:highlight w:val="none"/>
        </w:rPr>
        <w:t>（4）验收资料。</w:t>
      </w:r>
    </w:p>
    <w:p>
      <w:pPr>
        <w:spacing w:before="1" w:line="480" w:lineRule="exact"/>
        <w:ind w:left="76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三、保修及售后服务：</w:t>
      </w:r>
    </w:p>
    <w:p>
      <w:pPr>
        <w:spacing w:before="53" w:line="480" w:lineRule="exact"/>
        <w:ind w:left="289" w:right="302" w:firstLine="47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pacing w:val="-7"/>
          <w:sz w:val="28"/>
          <w:szCs w:val="28"/>
          <w:highlight w:val="none"/>
        </w:rPr>
        <w:t>、项目工程量清单的“项目特征描述”提供的是最低限度的技术配置要求，并</w:t>
      </w:r>
      <w:r>
        <w:rPr>
          <w:rFonts w:hint="eastAsia" w:ascii="仿宋" w:hAnsi="仿宋" w:eastAsia="仿宋" w:cs="仿宋"/>
          <w:color w:val="auto"/>
          <w:sz w:val="28"/>
          <w:szCs w:val="28"/>
          <w:highlight w:val="none"/>
        </w:rPr>
        <w:t>未对一切技术细节做出规定，也未充分引述有关标准和规范的条文，供方应保证提</w:t>
      </w:r>
      <w:r>
        <w:rPr>
          <w:rFonts w:hint="eastAsia" w:ascii="仿宋" w:hAnsi="仿宋" w:eastAsia="仿宋" w:cs="仿宋"/>
          <w:color w:val="auto"/>
          <w:spacing w:val="8"/>
          <w:sz w:val="28"/>
          <w:szCs w:val="28"/>
          <w:highlight w:val="none"/>
        </w:rPr>
        <w:t>供的工程材料和技术工艺不低于磋商文件规定的各项技术要求并达到国家各类安全、技术相关标准。</w:t>
      </w:r>
    </w:p>
    <w:p>
      <w:pPr>
        <w:spacing w:line="480" w:lineRule="exact"/>
        <w:ind w:left="289" w:right="301" w:firstLine="47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pacing w:val="-7"/>
          <w:sz w:val="28"/>
          <w:szCs w:val="28"/>
          <w:highlight w:val="none"/>
        </w:rPr>
        <w:t>、质量保修期：为工程完工，经验收合格后，出具验收报告之日计算。供方为</w:t>
      </w:r>
      <w:r>
        <w:rPr>
          <w:rFonts w:hint="eastAsia" w:ascii="仿宋" w:hAnsi="仿宋" w:eastAsia="仿宋" w:cs="仿宋"/>
          <w:color w:val="auto"/>
          <w:spacing w:val="-4"/>
          <w:sz w:val="28"/>
          <w:szCs w:val="28"/>
          <w:highlight w:val="none"/>
        </w:rPr>
        <w:t xml:space="preserve">本项目整体免费提供质量保修期 </w:t>
      </w:r>
      <w:r>
        <w:rPr>
          <w:rFonts w:hint="eastAsia" w:ascii="仿宋" w:hAnsi="仿宋" w:eastAsia="仿宋" w:cs="仿宋"/>
          <w:color w:val="auto"/>
          <w:sz w:val="28"/>
          <w:szCs w:val="28"/>
          <w:highlight w:val="none"/>
          <w:u w:val="single"/>
        </w:rPr>
        <w:t>24</w:t>
      </w:r>
      <w:r>
        <w:rPr>
          <w:rFonts w:hint="eastAsia" w:ascii="仿宋" w:hAnsi="仿宋" w:eastAsia="仿宋" w:cs="仿宋"/>
          <w:color w:val="auto"/>
          <w:spacing w:val="-11"/>
          <w:sz w:val="28"/>
          <w:szCs w:val="28"/>
          <w:highlight w:val="none"/>
        </w:rPr>
        <w:t xml:space="preserve"> 个月。质保期内，如果出现工程质量问题，由供</w:t>
      </w:r>
      <w:r>
        <w:rPr>
          <w:rFonts w:hint="eastAsia" w:ascii="仿宋" w:hAnsi="仿宋" w:eastAsia="仿宋" w:cs="仿宋"/>
          <w:color w:val="auto"/>
          <w:sz w:val="28"/>
          <w:szCs w:val="28"/>
          <w:highlight w:val="none"/>
        </w:rPr>
        <w:t>方负责免费包修、免费提供人工材料，并承担因此而产生的一切费用。</w:t>
      </w:r>
    </w:p>
    <w:p>
      <w:pPr>
        <w:spacing w:before="1" w:line="480" w:lineRule="exact"/>
        <w:ind w:left="76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3、供方在质量保修期内需提供 7*24 小时的售后服务。</w:t>
      </w:r>
    </w:p>
    <w:p>
      <w:pPr>
        <w:spacing w:before="53" w:line="480" w:lineRule="exact"/>
        <w:ind w:right="874"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四、工期时间：</w:t>
      </w:r>
    </w:p>
    <w:p>
      <w:pPr>
        <w:spacing w:before="53" w:line="480" w:lineRule="exact"/>
        <w:ind w:right="874" w:firstLine="1330" w:firstLineChars="500"/>
        <w:rPr>
          <w:rFonts w:hint="eastAsia" w:ascii="仿宋" w:hAnsi="仿宋" w:eastAsia="仿宋" w:cs="仿宋"/>
          <w:color w:val="auto"/>
          <w:spacing w:val="-9"/>
          <w:sz w:val="28"/>
          <w:szCs w:val="28"/>
          <w:highlight w:val="none"/>
          <w:u w:val="single"/>
        </w:rPr>
      </w:pPr>
      <w:r>
        <w:rPr>
          <w:rFonts w:hint="eastAsia" w:ascii="仿宋" w:hAnsi="仿宋" w:eastAsia="仿宋" w:cs="仿宋"/>
          <w:color w:val="auto"/>
          <w:spacing w:val="-7"/>
          <w:sz w:val="28"/>
          <w:szCs w:val="28"/>
          <w:highlight w:val="none"/>
          <w:u w:val="single"/>
        </w:rPr>
        <w:t>供方在合同签订后</w:t>
      </w:r>
      <w:r>
        <w:rPr>
          <w:rFonts w:hint="eastAsia" w:ascii="仿宋" w:hAnsi="仿宋" w:eastAsia="仿宋" w:cs="仿宋"/>
          <w:color w:val="auto"/>
          <w:spacing w:val="-7"/>
          <w:sz w:val="28"/>
          <w:szCs w:val="28"/>
          <w:highlight w:val="none"/>
          <w:u w:val="single"/>
          <w:lang w:val="en-US" w:eastAsia="zh-CN"/>
        </w:rPr>
        <w:t>60</w:t>
      </w:r>
      <w:r>
        <w:rPr>
          <w:rFonts w:hint="eastAsia" w:ascii="仿宋" w:hAnsi="仿宋" w:eastAsia="仿宋" w:cs="仿宋"/>
          <w:color w:val="auto"/>
          <w:spacing w:val="-9"/>
          <w:sz w:val="28"/>
          <w:szCs w:val="28"/>
          <w:highlight w:val="none"/>
          <w:u w:val="single"/>
        </w:rPr>
        <w:t>日内，确保工程完成并验收通过。</w:t>
      </w:r>
    </w:p>
    <w:p>
      <w:pPr>
        <w:spacing w:before="53" w:line="480" w:lineRule="exact"/>
        <w:ind w:right="874"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五、验收标准及提出异议时间：</w:t>
      </w:r>
    </w:p>
    <w:p>
      <w:pPr>
        <w:spacing w:before="1" w:line="480" w:lineRule="exact"/>
        <w:ind w:left="76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1、按磋商文件及</w:t>
      </w:r>
      <w:r>
        <w:rPr>
          <w:rFonts w:hint="eastAsia" w:ascii="仿宋" w:hAnsi="仿宋" w:eastAsia="仿宋" w:cs="仿宋"/>
          <w:color w:val="auto"/>
          <w:sz w:val="28"/>
          <w:szCs w:val="28"/>
          <w:highlight w:val="none"/>
          <w:lang w:eastAsia="zh-CN"/>
        </w:rPr>
        <w:t>工程量清单及图纸</w:t>
      </w:r>
      <w:r>
        <w:rPr>
          <w:rFonts w:hint="eastAsia" w:ascii="仿宋" w:hAnsi="仿宋" w:eastAsia="仿宋" w:cs="仿宋"/>
          <w:color w:val="auto"/>
          <w:sz w:val="28"/>
          <w:szCs w:val="28"/>
          <w:highlight w:val="none"/>
        </w:rPr>
        <w:t>验收。</w:t>
      </w:r>
    </w:p>
    <w:p>
      <w:pPr>
        <w:spacing w:before="52" w:line="480" w:lineRule="exact"/>
        <w:ind w:left="289" w:right="302" w:firstLine="479"/>
        <w:jc w:val="both"/>
        <w:rPr>
          <w:rFonts w:hint="eastAsia" w:ascii="仿宋" w:hAnsi="仿宋" w:eastAsia="仿宋" w:cs="仿宋"/>
          <w:color w:val="auto"/>
          <w:spacing w:val="-7"/>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pacing w:val="-7"/>
          <w:sz w:val="28"/>
          <w:szCs w:val="28"/>
          <w:highlight w:val="none"/>
        </w:rPr>
        <w:t>、项目验收依据，包括但不限于国家和安徽省关于本项目竣工验收的各</w:t>
      </w:r>
    </w:p>
    <w:p>
      <w:pPr>
        <w:spacing w:before="52" w:line="480" w:lineRule="exact"/>
        <w:ind w:right="302"/>
        <w:jc w:val="both"/>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项批文</w:t>
      </w:r>
      <w:r>
        <w:rPr>
          <w:rFonts w:hint="eastAsia" w:ascii="仿宋" w:hAnsi="仿宋" w:eastAsia="仿宋" w:cs="仿宋"/>
          <w:color w:val="auto"/>
          <w:sz w:val="28"/>
          <w:szCs w:val="28"/>
          <w:highlight w:val="none"/>
        </w:rPr>
        <w:t>及有关规定；国家施工及验收规范和质量检验评定标准；涉及安全、消防、环保等其他需要由公安、质检或行业主管部门进行验收的标准及要求、磋商文件要求、磋商响应文件承诺。</w:t>
      </w:r>
    </w:p>
    <w:p>
      <w:pPr>
        <w:spacing w:before="1" w:line="480" w:lineRule="exact"/>
        <w:ind w:left="76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3、供方应保证全部工程符合国家现行的各类安全、消防、环保、技术</w:t>
      </w:r>
    </w:p>
    <w:p>
      <w:pPr>
        <w:spacing w:before="1"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相关标准；否则，不予验收。如因供方技术能力不足或其他原因导致项目实施延期，或不能达到本项目的验收要求，需方有权终止本项目，没收供方的履约保证金，同时由供方承担相应的违约责任。</w:t>
      </w:r>
    </w:p>
    <w:p>
      <w:pPr>
        <w:numPr>
          <w:ilvl w:val="0"/>
          <w:numId w:val="8"/>
        </w:numPr>
        <w:spacing w:line="480" w:lineRule="exact"/>
        <w:ind w:left="76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提出异议时间：</w:t>
      </w:r>
      <w:r>
        <w:rPr>
          <w:rFonts w:hint="eastAsia" w:ascii="仿宋" w:hAnsi="仿宋" w:eastAsia="仿宋" w:cs="仿宋"/>
          <w:b/>
          <w:color w:val="auto"/>
          <w:sz w:val="28"/>
          <w:szCs w:val="28"/>
          <w:highlight w:val="none"/>
          <w:u w:val="single"/>
        </w:rPr>
        <w:t>验收合格交付使用之日起两年内。</w:t>
      </w:r>
      <w:r>
        <w:rPr>
          <w:rFonts w:hint="eastAsia" w:ascii="仿宋" w:hAnsi="仿宋" w:eastAsia="仿宋" w:cs="仿宋"/>
          <w:color w:val="auto"/>
          <w:sz w:val="28"/>
          <w:szCs w:val="28"/>
          <w:highlight w:val="none"/>
          <w:u w:val="single"/>
        </w:rPr>
        <w:t>（具体根据</w:t>
      </w:r>
      <w:r>
        <w:rPr>
          <w:rFonts w:hint="eastAsia" w:ascii="仿宋" w:hAnsi="仿宋" w:eastAsia="仿宋" w:cs="仿宋"/>
          <w:color w:val="auto"/>
          <w:sz w:val="28"/>
          <w:szCs w:val="28"/>
          <w:highlight w:val="none"/>
          <w:u w:val="single"/>
          <w:lang w:eastAsia="zh-CN"/>
        </w:rPr>
        <w:t>成交</w:t>
      </w:r>
    </w:p>
    <w:p>
      <w:pPr>
        <w:numPr>
          <w:ilvl w:val="0"/>
          <w:numId w:val="0"/>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人提供的免费质保期确定</w:t>
      </w:r>
      <w:r>
        <w:rPr>
          <w:rFonts w:hint="eastAsia" w:ascii="仿宋" w:hAnsi="仿宋" w:eastAsia="仿宋" w:cs="仿宋"/>
          <w:color w:val="auto"/>
          <w:spacing w:val="-120"/>
          <w:sz w:val="28"/>
          <w:szCs w:val="28"/>
          <w:highlight w:val="none"/>
          <w:u w:val="single"/>
        </w:rPr>
        <w:t>）</w:t>
      </w:r>
      <w:r>
        <w:rPr>
          <w:rFonts w:hint="eastAsia" w:ascii="仿宋" w:hAnsi="仿宋" w:eastAsia="仿宋" w:cs="仿宋"/>
          <w:color w:val="auto"/>
          <w:sz w:val="28"/>
          <w:szCs w:val="28"/>
          <w:highlight w:val="none"/>
          <w:u w:val="single"/>
        </w:rPr>
        <w:t>。</w:t>
      </w:r>
    </w:p>
    <w:p>
      <w:pPr>
        <w:spacing w:line="480" w:lineRule="exact"/>
        <w:ind w:left="28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六、付款方式及期限：</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362" w:firstLine="560" w:firstLineChars="200"/>
        <w:textAlignment w:val="baseline"/>
        <w:rPr>
          <w:rFonts w:hint="eastAsia" w:ascii="宋体" w:hAnsi="宋体" w:eastAsia="宋体" w:cs="宋体"/>
          <w:color w:val="auto"/>
          <w:spacing w:val="-1"/>
          <w:sz w:val="24"/>
          <w:szCs w:val="24"/>
          <w:highlight w:val="none"/>
        </w:rPr>
      </w:pPr>
      <w:r>
        <w:rPr>
          <w:rFonts w:hint="eastAsia" w:ascii="宋体" w:hAnsi="宋体" w:cs="宋体"/>
          <w:color w:val="auto"/>
          <w:kern w:val="0"/>
          <w:sz w:val="28"/>
          <w:szCs w:val="28"/>
          <w:highlight w:val="none"/>
          <w:lang w:val="zh-CN"/>
        </w:rPr>
        <w:t>工程完工经验收合格且竣工资料交付齐全、正确、有效、手续完备</w:t>
      </w:r>
      <w:r>
        <w:rPr>
          <w:rFonts w:hint="eastAsia" w:ascii="宋体" w:hAnsi="宋体" w:cs="宋体"/>
          <w:color w:val="auto"/>
          <w:kern w:val="0"/>
          <w:sz w:val="28"/>
          <w:szCs w:val="28"/>
          <w:highlight w:val="none"/>
          <w:lang w:val="zh-CN" w:eastAsia="zh-CN"/>
        </w:rPr>
        <w:t>，工程审计结束后付至工程款的97%，余下的3%作为质量保证金，一年后工程无质量问题，一次性付清（无息)。</w:t>
      </w:r>
    </w:p>
    <w:p>
      <w:pPr>
        <w:tabs>
          <w:tab w:val="left" w:pos="4489"/>
          <w:tab w:val="left" w:pos="7425"/>
        </w:tabs>
        <w:spacing w:line="480" w:lineRule="exact"/>
        <w:ind w:left="769" w:right="189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供方开户银行名称：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帐号：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p>
    <w:p>
      <w:pPr>
        <w:tabs>
          <w:tab w:val="left" w:pos="4489"/>
          <w:tab w:val="left" w:pos="7425"/>
        </w:tabs>
        <w:spacing w:line="480" w:lineRule="exact"/>
        <w:ind w:right="1899" w:firstLine="281" w:firstLineChars="1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七、违约责任：</w:t>
      </w:r>
    </w:p>
    <w:p>
      <w:pPr>
        <w:spacing w:line="480" w:lineRule="exact"/>
        <w:ind w:left="289" w:right="264"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1、需方无正当理由拒绝接受乙方已完工的达到验收标准工程超过一年的，需方向供方偿付合同总价款的</w:t>
      </w:r>
      <w:r>
        <w:rPr>
          <w:rFonts w:hint="eastAsia" w:ascii="仿宋" w:hAnsi="仿宋" w:eastAsia="仿宋" w:cs="仿宋"/>
          <w:color w:val="auto"/>
          <w:sz w:val="28"/>
          <w:szCs w:val="28"/>
          <w:highlight w:val="none"/>
          <w:u w:val="single"/>
        </w:rPr>
        <w:t xml:space="preserve"> 10 </w:t>
      </w:r>
      <w:r>
        <w:rPr>
          <w:rFonts w:hint="eastAsia" w:ascii="仿宋" w:hAnsi="仿宋" w:eastAsia="仿宋" w:cs="仿宋"/>
          <w:color w:val="auto"/>
          <w:sz w:val="28"/>
          <w:szCs w:val="28"/>
          <w:highlight w:val="none"/>
        </w:rPr>
        <w:t>%的违约金；</w:t>
      </w:r>
    </w:p>
    <w:p>
      <w:pPr>
        <w:spacing w:before="1" w:line="480" w:lineRule="exact"/>
        <w:ind w:left="289" w:right="253"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2、需方无正当理由逾期支付工程款的，需方向供方每日（按每逾期一日）偿付逾期付款金额的</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z w:val="28"/>
          <w:szCs w:val="28"/>
          <w:highlight w:val="none"/>
        </w:rPr>
        <w:t>‰的违约金；</w:t>
      </w:r>
    </w:p>
    <w:p>
      <w:pPr>
        <w:spacing w:line="480" w:lineRule="exact"/>
        <w:ind w:left="289" w:right="304"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pacing w:val="-10"/>
          <w:sz w:val="28"/>
          <w:szCs w:val="28"/>
          <w:highlight w:val="none"/>
        </w:rPr>
        <w:t>、供方不能按照合同完成本工程项目的，供方须向需方支付合同总价款的</w:t>
      </w:r>
      <w:r>
        <w:rPr>
          <w:rFonts w:hint="eastAsia" w:ascii="仿宋" w:hAnsi="仿宋" w:eastAsia="仿宋" w:cs="仿宋"/>
          <w:color w:val="auto"/>
          <w:sz w:val="28"/>
          <w:szCs w:val="28"/>
          <w:highlight w:val="none"/>
          <w:u w:val="single"/>
        </w:rPr>
        <w:t xml:space="preserve"> 10</w:t>
      </w:r>
      <w:r>
        <w:rPr>
          <w:rFonts w:hint="eastAsia" w:ascii="仿宋" w:hAnsi="仿宋" w:eastAsia="仿宋" w:cs="仿宋"/>
          <w:color w:val="auto"/>
          <w:spacing w:val="-37"/>
          <w:sz w:val="28"/>
          <w:szCs w:val="28"/>
          <w:highlight w:val="none"/>
        </w:rPr>
        <w:t xml:space="preserve"> % </w:t>
      </w:r>
      <w:r>
        <w:rPr>
          <w:rFonts w:hint="eastAsia" w:ascii="仿宋" w:hAnsi="仿宋" w:eastAsia="仿宋" w:cs="仿宋"/>
          <w:color w:val="auto"/>
          <w:sz w:val="28"/>
          <w:szCs w:val="28"/>
          <w:highlight w:val="none"/>
        </w:rPr>
        <w:t>的违约金；</w:t>
      </w:r>
    </w:p>
    <w:p>
      <w:pPr>
        <w:spacing w:before="32" w:line="480" w:lineRule="exact"/>
        <w:ind w:left="289" w:right="302" w:firstLine="479"/>
        <w:jc w:val="both"/>
        <w:rPr>
          <w:rFonts w:hint="eastAsia" w:ascii="仿宋" w:hAnsi="仿宋" w:eastAsia="仿宋" w:cs="仿宋"/>
          <w:color w:val="auto"/>
          <w:spacing w:val="-10"/>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pacing w:val="-5"/>
          <w:sz w:val="28"/>
          <w:szCs w:val="28"/>
          <w:highlight w:val="none"/>
        </w:rPr>
        <w:t>、供方逾期完成本项目工程的，供方向需方每日</w:t>
      </w:r>
      <w:r>
        <w:rPr>
          <w:rFonts w:hint="eastAsia" w:ascii="仿宋" w:hAnsi="仿宋" w:eastAsia="仿宋" w:cs="仿宋"/>
          <w:color w:val="auto"/>
          <w:sz w:val="28"/>
          <w:szCs w:val="28"/>
          <w:highlight w:val="none"/>
        </w:rPr>
        <w:t>（按每逾期一日</w:t>
      </w:r>
      <w:r>
        <w:rPr>
          <w:rFonts w:hint="eastAsia" w:ascii="仿宋" w:hAnsi="仿宋" w:eastAsia="仿宋" w:cs="仿宋"/>
          <w:color w:val="auto"/>
          <w:spacing w:val="-8"/>
          <w:sz w:val="28"/>
          <w:szCs w:val="28"/>
          <w:highlight w:val="none"/>
        </w:rPr>
        <w:t>）</w:t>
      </w:r>
      <w:r>
        <w:rPr>
          <w:rFonts w:hint="eastAsia" w:ascii="仿宋" w:hAnsi="仿宋" w:eastAsia="仿宋" w:cs="仿宋"/>
          <w:color w:val="auto"/>
          <w:spacing w:val="-3"/>
          <w:sz w:val="28"/>
          <w:szCs w:val="28"/>
          <w:highlight w:val="none"/>
        </w:rPr>
        <w:t>偿付合同价</w:t>
      </w:r>
      <w:r>
        <w:rPr>
          <w:rFonts w:hint="eastAsia" w:ascii="仿宋" w:hAnsi="仿宋" w:eastAsia="仿宋" w:cs="仿宋"/>
          <w:color w:val="auto"/>
          <w:sz w:val="28"/>
          <w:szCs w:val="28"/>
          <w:highlight w:val="none"/>
        </w:rPr>
        <w:t>总值的</w:t>
      </w:r>
      <w:r>
        <w:rPr>
          <w:rFonts w:hint="eastAsia" w:ascii="仿宋" w:hAnsi="仿宋" w:eastAsia="仿宋" w:cs="仿宋"/>
          <w:color w:val="auto"/>
          <w:sz w:val="28"/>
          <w:szCs w:val="28"/>
          <w:highlight w:val="none"/>
          <w:u w:val="single"/>
        </w:rPr>
        <w:t xml:space="preserve"> 3 </w:t>
      </w:r>
      <w:r>
        <w:rPr>
          <w:rFonts w:hint="eastAsia" w:ascii="仿宋" w:hAnsi="仿宋" w:eastAsia="仿宋" w:cs="仿宋"/>
          <w:color w:val="auto"/>
          <w:spacing w:val="-10"/>
          <w:sz w:val="28"/>
          <w:szCs w:val="28"/>
          <w:highlight w:val="none"/>
        </w:rPr>
        <w:t>‰的违约金。供方支付逾期违约金并不免除供方交付合格工程和按照合同完成本工程项目的责任。</w:t>
      </w:r>
    </w:p>
    <w:p>
      <w:pPr>
        <w:spacing w:before="14" w:line="480" w:lineRule="exact"/>
        <w:ind w:left="76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八、解决合同纠纷方式：</w:t>
      </w:r>
    </w:p>
    <w:p>
      <w:pPr>
        <w:spacing w:before="52" w:line="480" w:lineRule="exact"/>
        <w:ind w:left="769" w:right="159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1、双方协商解决；</w:t>
      </w:r>
    </w:p>
    <w:p>
      <w:pPr>
        <w:spacing w:before="52" w:line="480" w:lineRule="exact"/>
        <w:ind w:left="769" w:right="159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2、协商不成的，向枞阳县人民法院提起诉讼。</w:t>
      </w:r>
    </w:p>
    <w:p>
      <w:pPr>
        <w:spacing w:before="52" w:line="480" w:lineRule="exact"/>
        <w:ind w:left="769" w:right="1594"/>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九、其他约定事项：</w:t>
      </w:r>
    </w:p>
    <w:p>
      <w:pPr>
        <w:spacing w:before="1" w:line="480" w:lineRule="exact"/>
        <w:ind w:left="289" w:right="302" w:firstLine="47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pacing w:val="-6"/>
          <w:sz w:val="28"/>
          <w:szCs w:val="28"/>
          <w:highlight w:val="none"/>
        </w:rPr>
        <w:t>、供方自行承担工程施工过程中所发生一切安全责任和风险。供方的拟派项目</w:t>
      </w:r>
      <w:r>
        <w:rPr>
          <w:rFonts w:hint="eastAsia" w:ascii="仿宋" w:hAnsi="仿宋" w:eastAsia="仿宋" w:cs="仿宋"/>
          <w:color w:val="auto"/>
          <w:sz w:val="28"/>
          <w:szCs w:val="28"/>
          <w:highlight w:val="none"/>
        </w:rPr>
        <w:t>经理（项目负责人）应负责现场施工安全及一切相关工作，在整个项目施工期内都必须在岗。供方所报施工现场技术负责人、各专业人员及施工机械等在整个项目施工期内必须按时到位，否则需方有权终止合同。由此给需方造成的损失，由供方承担并赔偿。</w:t>
      </w:r>
    </w:p>
    <w:p>
      <w:pPr>
        <w:spacing w:before="1" w:line="480" w:lineRule="exact"/>
        <w:ind w:left="289" w:right="302" w:firstLine="47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2、供方不得擅自更换投标时所报项目经理</w:t>
      </w:r>
      <w:r>
        <w:rPr>
          <w:rFonts w:hint="eastAsia" w:ascii="仿宋" w:hAnsi="仿宋" w:eastAsia="仿宋" w:cs="仿宋"/>
          <w:color w:val="auto"/>
          <w:spacing w:val="4"/>
          <w:sz w:val="28"/>
          <w:szCs w:val="28"/>
          <w:highlight w:val="none"/>
        </w:rPr>
        <w:t>（</w:t>
      </w:r>
      <w:r>
        <w:rPr>
          <w:rFonts w:hint="eastAsia" w:ascii="仿宋" w:hAnsi="仿宋" w:eastAsia="仿宋" w:cs="仿宋"/>
          <w:color w:val="auto"/>
          <w:sz w:val="28"/>
          <w:szCs w:val="28"/>
          <w:highlight w:val="none"/>
        </w:rPr>
        <w:t>项目负责人</w:t>
      </w:r>
      <w:r>
        <w:rPr>
          <w:rFonts w:hint="eastAsia" w:ascii="仿宋" w:hAnsi="仿宋" w:eastAsia="仿宋" w:cs="仿宋"/>
          <w:color w:val="auto"/>
          <w:spacing w:val="-118"/>
          <w:sz w:val="28"/>
          <w:szCs w:val="28"/>
          <w:highlight w:val="none"/>
        </w:rPr>
        <w:t>）</w:t>
      </w:r>
      <w:r>
        <w:rPr>
          <w:rFonts w:hint="eastAsia" w:ascii="仿宋" w:hAnsi="仿宋" w:eastAsia="仿宋" w:cs="仿宋"/>
          <w:color w:val="auto"/>
          <w:sz w:val="28"/>
          <w:szCs w:val="28"/>
          <w:highlight w:val="none"/>
        </w:rPr>
        <w:t>、施工现场技术负责人及项目主要管理人员。确需更换时，须报经需方同意，更换后人员不得低于供方投标时所报人员资质和技术水平。需方如认为有必要，可要求对上述人员中的部分人员做出更好的调整。</w:t>
      </w:r>
    </w:p>
    <w:p>
      <w:pPr>
        <w:spacing w:before="1" w:line="480" w:lineRule="exact"/>
        <w:ind w:left="289" w:right="274" w:firstLine="479"/>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3、供方未能按照承诺到岗尽职的，需方将视情况严重程度对其做出相应处理， 给予警告并发出整改通知。如仍未及时整改，需方有权责令其停工整改、直至终止合同，引进新的承包商。需方还将停止支付工程款项，扣留任何未付的工程进度款项补偿需方的有关损失或工期延误的损失，并就此向承包单位索赔。</w:t>
      </w:r>
    </w:p>
    <w:p>
      <w:pPr>
        <w:spacing w:before="1" w:line="480" w:lineRule="exact"/>
        <w:ind w:left="289" w:right="264"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方应保证全部工程符合现行国家相关标准和规范，以及磋商文件中要求的规格、型号、材质、品牌，如因工程质量或其他原因，导致不能达到本项目的验收要求，采购人有权终止本项目，没收供方的履约保证金，供方应同时承担相应的违约责任。施工前，要全面了解各有关专业的设计图纸内容和设计要求，并协助设计单位及时发现设计中的错、漏、碰、缺问题，使其得到及时纠正，以保证工程进度及施工安装质量。图纸内容与现场实际情况有出入，则以现场为准。</w:t>
      </w:r>
    </w:p>
    <w:p>
      <w:pPr>
        <w:spacing w:before="1" w:line="480" w:lineRule="exact"/>
        <w:ind w:left="289" w:right="287"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5、供方须按照本项目设计图纸组织实施，并确保项目完工后，达到验收标准。否则，需方有权不予付款并且扣除其履约保证金不退还。</w:t>
      </w:r>
    </w:p>
    <w:p>
      <w:pPr>
        <w:spacing w:before="151" w:line="480" w:lineRule="exact"/>
        <w:ind w:left="289" w:right="302"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6、本项目工程量及技术标准要求详见工程量清单和设计图纸。投标人应认真核对本项目工程量清单和图纸内容。</w:t>
      </w:r>
    </w:p>
    <w:p>
      <w:pPr>
        <w:spacing w:before="151" w:line="480" w:lineRule="exact"/>
        <w:ind w:left="289" w:right="302"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7、对工程量清单和图纸内容（均未包括）以外的部分，根据实际签证数量并结合国家定额标准按决算评审价格在不超过合同总价款的 10%以内据实结算；超过合同总价款的 10%以外的部分招标单位不予承担，由供方承担。供方不得以任何理由减少工程量或降低工程质量，必须确保本项目按时按质按量完工。</w:t>
      </w:r>
    </w:p>
    <w:p>
      <w:pPr>
        <w:spacing w:before="5" w:line="480" w:lineRule="exact"/>
        <w:ind w:left="289" w:right="281"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8、中标人在工程量清单报价书中所报的综合单价除合同有明确规定外一律不予调整。</w:t>
      </w:r>
    </w:p>
    <w:p>
      <w:pPr>
        <w:spacing w:before="1" w:line="480" w:lineRule="exact"/>
        <w:ind w:left="289" w:right="183"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9、本招标工程的施工地点、环境，投标人应自行到施工现场踏勘以充分了解</w:t>
      </w:r>
      <w:r>
        <w:rPr>
          <w:rFonts w:hint="eastAsia" w:ascii="仿宋" w:hAnsi="仿宋" w:eastAsia="仿宋" w:cs="仿宋"/>
          <w:color w:val="auto"/>
          <w:spacing w:val="-6"/>
          <w:sz w:val="28"/>
          <w:szCs w:val="28"/>
          <w:highlight w:val="none"/>
        </w:rPr>
        <w:t xml:space="preserve">工地位置、情况、道路、储存空间、装卸限制及任何其它足以影响投标报价的情况， </w:t>
      </w:r>
      <w:r>
        <w:rPr>
          <w:rFonts w:hint="eastAsia" w:ascii="仿宋" w:hAnsi="仿宋" w:eastAsia="仿宋" w:cs="仿宋"/>
          <w:color w:val="auto"/>
          <w:sz w:val="28"/>
          <w:szCs w:val="28"/>
          <w:highlight w:val="none"/>
        </w:rPr>
        <w:t>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spacing w:line="480" w:lineRule="exact"/>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r>
        <w:rPr>
          <w:rFonts w:hint="eastAsia" w:ascii="仿宋" w:hAnsi="仿宋" w:eastAsia="仿宋" w:cs="仿宋"/>
          <w:color w:val="auto"/>
          <w:spacing w:val="-5"/>
          <w:sz w:val="28"/>
          <w:szCs w:val="28"/>
          <w:highlight w:val="none"/>
        </w:rPr>
        <w:t>在本项目实施过程中，对涉及安全、消防、环保等其他需要由质检或行业主</w:t>
      </w:r>
      <w:r>
        <w:rPr>
          <w:rFonts w:hint="eastAsia" w:ascii="仿宋" w:hAnsi="仿宋" w:eastAsia="仿宋" w:cs="仿宋"/>
          <w:color w:val="auto"/>
          <w:sz w:val="28"/>
          <w:szCs w:val="28"/>
          <w:highlight w:val="none"/>
        </w:rPr>
        <w:t>管部门进行验收的，相关检测、验收费用均由合同供方承担。</w:t>
      </w:r>
    </w:p>
    <w:p>
      <w:pPr>
        <w:pStyle w:val="42"/>
        <w:spacing w:line="480" w:lineRule="exact"/>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12、</w:t>
      </w:r>
      <w:r>
        <w:rPr>
          <w:rFonts w:hint="eastAsia" w:ascii="仿宋" w:hAnsi="仿宋" w:eastAsia="仿宋" w:cs="仿宋"/>
          <w:color w:val="auto"/>
          <w:spacing w:val="-5"/>
          <w:sz w:val="28"/>
          <w:szCs w:val="28"/>
          <w:highlight w:val="none"/>
          <w:lang w:bidi="zh-CN"/>
        </w:rPr>
        <w:t>其它补充事项：</w:t>
      </w:r>
      <w:r>
        <w:rPr>
          <w:rFonts w:hint="eastAsia" w:ascii="仿宋" w:hAnsi="仿宋" w:eastAsia="仿宋" w:cs="仿宋"/>
          <w:color w:val="auto"/>
          <w:sz w:val="28"/>
          <w:szCs w:val="28"/>
          <w:highlight w:val="none"/>
          <w:u w:val="single"/>
        </w:rPr>
        <w:t xml:space="preserve">                                                                                                                                               </w:t>
      </w:r>
    </w:p>
    <w:p>
      <w:pPr>
        <w:spacing w:before="52" w:line="480" w:lineRule="exact"/>
        <w:ind w:left="289" w:right="305"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本合同须供需双方签字、盖章后生效。合同内容如国家法律、法规及政策另有规定的，从其规定。</w:t>
      </w:r>
    </w:p>
    <w:p>
      <w:pPr>
        <w:pStyle w:val="42"/>
        <w:ind w:firstLine="560"/>
        <w:rPr>
          <w:rFonts w:hint="eastAsia" w:ascii="仿宋" w:hAnsi="仿宋" w:eastAsia="仿宋" w:cs="仿宋"/>
          <w:color w:val="auto"/>
          <w:sz w:val="28"/>
          <w:szCs w:val="28"/>
          <w:highlight w:val="none"/>
        </w:rPr>
      </w:pPr>
    </w:p>
    <w:p>
      <w:pPr>
        <w:tabs>
          <w:tab w:val="left" w:pos="6530"/>
        </w:tabs>
        <w:spacing w:before="1" w:line="480" w:lineRule="exact"/>
        <w:ind w:left="1609"/>
        <w:rPr>
          <w:rFonts w:hint="eastAsia" w:ascii="仿宋" w:hAnsi="仿宋" w:eastAsia="仿宋" w:cs="仿宋"/>
          <w:color w:val="auto"/>
          <w:sz w:val="28"/>
          <w:szCs w:val="28"/>
          <w:highlight w:val="none"/>
        </w:rPr>
      </w:pPr>
    </w:p>
    <w:p>
      <w:pPr>
        <w:tabs>
          <w:tab w:val="left" w:pos="6530"/>
        </w:tabs>
        <w:spacing w:before="1" w:line="480" w:lineRule="exact"/>
        <w:ind w:left="1609"/>
        <w:rPr>
          <w:rFonts w:hint="eastAsia" w:ascii="仿宋" w:hAnsi="仿宋" w:eastAsia="仿宋" w:cs="仿宋"/>
          <w:color w:val="auto"/>
          <w:sz w:val="28"/>
          <w:szCs w:val="28"/>
          <w:highlight w:val="none"/>
        </w:rPr>
      </w:pPr>
    </w:p>
    <w:p>
      <w:pPr>
        <w:tabs>
          <w:tab w:val="left" w:pos="6530"/>
        </w:tabs>
        <w:spacing w:before="1" w:line="480" w:lineRule="exact"/>
        <w:ind w:left="1609"/>
        <w:rPr>
          <w:rFonts w:hint="eastAsia" w:ascii="仿宋" w:hAnsi="仿宋" w:eastAsia="仿宋" w:cs="仿宋"/>
          <w:color w:val="auto"/>
          <w:sz w:val="28"/>
          <w:szCs w:val="28"/>
          <w:highlight w:val="none"/>
        </w:rPr>
      </w:pPr>
    </w:p>
    <w:p>
      <w:pPr>
        <w:tabs>
          <w:tab w:val="left" w:pos="6530"/>
        </w:tabs>
        <w:spacing w:before="1" w:line="480" w:lineRule="exact"/>
        <w:ind w:left="1609"/>
        <w:rPr>
          <w:rFonts w:hint="eastAsia" w:ascii="仿宋" w:hAnsi="仿宋" w:eastAsia="仿宋" w:cs="仿宋"/>
          <w:color w:val="auto"/>
          <w:sz w:val="28"/>
          <w:szCs w:val="28"/>
          <w:highlight w:val="none"/>
        </w:rPr>
      </w:pPr>
    </w:p>
    <w:p>
      <w:pPr>
        <w:tabs>
          <w:tab w:val="left" w:pos="6530"/>
        </w:tabs>
        <w:spacing w:before="1" w:line="480" w:lineRule="exact"/>
        <w:ind w:left="160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委托方</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受托方</w:t>
      </w:r>
    </w:p>
    <w:p>
      <w:pPr>
        <w:tabs>
          <w:tab w:val="left" w:pos="4184"/>
          <w:tab w:val="left" w:pos="5330"/>
          <w:tab w:val="left" w:pos="8865"/>
        </w:tabs>
        <w:spacing w:before="131" w:line="480" w:lineRule="exact"/>
        <w:ind w:left="529" w:right="458"/>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需方（盖章</w:t>
      </w:r>
      <w:r>
        <w:rPr>
          <w:rFonts w:hint="eastAsia" w:ascii="仿宋" w:hAnsi="仿宋" w:eastAsia="仿宋" w:cs="仿宋"/>
          <w:color w:val="auto"/>
          <w:spacing w:val="-120"/>
          <w:sz w:val="28"/>
          <w:szCs w:val="28"/>
          <w:highlight w:val="none"/>
        </w:rPr>
        <w:t>）</w:t>
      </w:r>
      <w:r>
        <w:rPr>
          <w:rFonts w:hint="eastAsia" w:ascii="仿宋" w:hAnsi="仿宋" w:eastAsia="仿宋" w:cs="仿宋"/>
          <w:color w:val="auto"/>
          <w:spacing w:val="-1"/>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供方（盖章</w:t>
      </w:r>
      <w:r>
        <w:rPr>
          <w:rFonts w:hint="eastAsia" w:ascii="仿宋" w:hAnsi="仿宋" w:eastAsia="仿宋" w:cs="仿宋"/>
          <w:color w:val="auto"/>
          <w:spacing w:val="-120"/>
          <w:sz w:val="28"/>
          <w:szCs w:val="28"/>
          <w:highlight w:val="none"/>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法人（授权）代表人：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法人（授权）代表人：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p>
    <w:p>
      <w:pPr>
        <w:tabs>
          <w:tab w:val="left" w:pos="2209"/>
          <w:tab w:val="left" w:pos="2809"/>
          <w:tab w:val="left" w:pos="6410"/>
          <w:tab w:val="left" w:pos="7010"/>
          <w:tab w:val="left" w:pos="7610"/>
        </w:tabs>
        <w:spacing w:before="28" w:line="480" w:lineRule="exact"/>
        <w:ind w:left="160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日</w:t>
      </w:r>
    </w:p>
    <w:p>
      <w:pPr>
        <w:spacing w:before="98" w:line="480" w:lineRule="exact"/>
        <w:ind w:left="289" w:right="326" w:firstLine="479"/>
        <w:rPr>
          <w:rFonts w:hint="eastAsia" w:ascii="仿宋" w:hAnsi="仿宋" w:eastAsia="仿宋" w:cs="仿宋"/>
          <w:color w:val="auto"/>
          <w:sz w:val="28"/>
          <w:szCs w:val="28"/>
          <w:highlight w:val="none"/>
        </w:rPr>
      </w:pPr>
    </w:p>
    <w:p>
      <w:pPr>
        <w:spacing w:before="98" w:line="480" w:lineRule="exact"/>
        <w:ind w:left="289" w:right="326" w:firstLine="47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本合同为供应商与采购单位供需合同，一式八份，采购人、供方各两份、采购代理机构资料归档四份。</w:t>
      </w:r>
    </w:p>
    <w:p>
      <w:pPr>
        <w:spacing w:line="480" w:lineRule="exact"/>
        <w:rPr>
          <w:rFonts w:hint="eastAsia" w:ascii="仿宋" w:hAnsi="仿宋" w:eastAsia="仿宋" w:cs="仿宋"/>
          <w:color w:val="auto"/>
          <w:sz w:val="28"/>
          <w:szCs w:val="28"/>
          <w:highlight w:val="none"/>
        </w:rPr>
        <w:sectPr>
          <w:headerReference r:id="rId5" w:type="default"/>
          <w:footerReference r:id="rId6" w:type="default"/>
          <w:pgSz w:w="11910" w:h="16840"/>
          <w:pgMar w:top="1580" w:right="1280" w:bottom="1160" w:left="1300" w:header="888" w:footer="970" w:gutter="0"/>
          <w:pgNumType w:fmt="decimal"/>
          <w:cols w:space="720" w:num="1"/>
        </w:sectPr>
      </w:pPr>
    </w:p>
    <w:p>
      <w:pPr>
        <w:pStyle w:val="3"/>
        <w:spacing w:before="0" w:after="0" w:line="360" w:lineRule="auto"/>
        <w:jc w:val="center"/>
        <w:rPr>
          <w:rFonts w:hint="eastAsia" w:ascii="宋体" w:hAnsi="宋体" w:eastAsia="宋体"/>
          <w:color w:val="auto"/>
          <w:highlight w:val="none"/>
        </w:rPr>
      </w:pPr>
    </w:p>
    <w:p>
      <w:pPr>
        <w:pStyle w:val="3"/>
        <w:tabs>
          <w:tab w:val="left" w:pos="2231"/>
          <w:tab w:val="center" w:pos="4757"/>
        </w:tabs>
        <w:spacing w:before="0" w:after="0" w:line="360" w:lineRule="auto"/>
        <w:jc w:val="left"/>
        <w:rPr>
          <w:rFonts w:hint="eastAsia" w:ascii="宋体" w:hAnsi="宋体" w:eastAsia="宋体"/>
          <w:color w:val="auto"/>
          <w:highlight w:val="none"/>
          <w:lang w:eastAsia="zh-CN"/>
        </w:rPr>
      </w:pPr>
      <w:r>
        <w:rPr>
          <w:rFonts w:hint="eastAsia" w:ascii="宋体" w:hAnsi="宋体" w:eastAsia="宋体"/>
          <w:color w:val="auto"/>
          <w:highlight w:val="none"/>
          <w:lang w:eastAsia="zh-CN"/>
        </w:rPr>
        <w:tab/>
      </w:r>
    </w:p>
    <w:p>
      <w:pPr>
        <w:pStyle w:val="3"/>
        <w:tabs>
          <w:tab w:val="left" w:pos="2231"/>
          <w:tab w:val="center" w:pos="4757"/>
        </w:tabs>
        <w:spacing w:before="0" w:after="0" w:line="360" w:lineRule="auto"/>
        <w:jc w:val="left"/>
        <w:rPr>
          <w:rFonts w:hint="eastAsia" w:ascii="宋体" w:hAnsi="宋体" w:eastAsia="宋体"/>
          <w:color w:val="auto"/>
          <w:highlight w:val="none"/>
        </w:rPr>
      </w:pPr>
      <w:r>
        <w:rPr>
          <w:rFonts w:hint="eastAsia" w:ascii="宋体" w:hAnsi="宋体" w:eastAsia="宋体"/>
          <w:color w:val="auto"/>
          <w:highlight w:val="none"/>
          <w:lang w:eastAsia="zh-CN"/>
        </w:rPr>
        <w:tab/>
      </w:r>
      <w:r>
        <w:rPr>
          <w:rFonts w:hint="eastAsia" w:ascii="宋体" w:hAnsi="宋体" w:eastAsia="宋体"/>
          <w:color w:val="auto"/>
          <w:highlight w:val="none"/>
        </w:rPr>
        <w:t>第六章  磋商响应文件格式</w:t>
      </w:r>
    </w:p>
    <w:p>
      <w:pPr>
        <w:pStyle w:val="52"/>
        <w:wordWrap w:val="0"/>
        <w:ind w:firstLine="0" w:firstLineChars="0"/>
        <w:rPr>
          <w:rFonts w:hint="eastAsia" w:ascii="宋体" w:hAnsi="宋体"/>
          <w:color w:val="auto"/>
          <w:sz w:val="24"/>
          <w:szCs w:val="24"/>
          <w:highlight w:val="none"/>
        </w:rPr>
      </w:pPr>
    </w:p>
    <w:p>
      <w:pPr>
        <w:pStyle w:val="52"/>
        <w:wordWrap w:val="0"/>
        <w:ind w:firstLine="0" w:firstLineChars="0"/>
        <w:rPr>
          <w:rFonts w:hint="eastAsia" w:ascii="宋体" w:hAnsi="宋体"/>
          <w:color w:val="auto"/>
          <w:sz w:val="24"/>
          <w:szCs w:val="24"/>
          <w:highlight w:val="none"/>
        </w:rPr>
      </w:pPr>
    </w:p>
    <w:p>
      <w:pPr>
        <w:pStyle w:val="52"/>
        <w:wordWrap w:val="0"/>
        <w:ind w:firstLine="0" w:firstLineChars="0"/>
        <w:rPr>
          <w:rFonts w:hint="eastAsia" w:ascii="宋体" w:hAnsi="宋体"/>
          <w:color w:val="auto"/>
          <w:sz w:val="24"/>
          <w:szCs w:val="24"/>
          <w:highlight w:val="none"/>
        </w:rPr>
      </w:pPr>
    </w:p>
    <w:p>
      <w:pPr>
        <w:pStyle w:val="52"/>
        <w:wordWrap w:val="0"/>
        <w:ind w:firstLine="0" w:firstLineChars="0"/>
        <w:rPr>
          <w:rFonts w:hint="eastAsia" w:ascii="宋体" w:hAnsi="宋体"/>
          <w:color w:val="auto"/>
          <w:sz w:val="24"/>
          <w:szCs w:val="24"/>
          <w:highlight w:val="none"/>
        </w:rPr>
      </w:pPr>
    </w:p>
    <w:p>
      <w:pPr>
        <w:pStyle w:val="52"/>
        <w:wordWrap w:val="0"/>
        <w:ind w:firstLine="0" w:firstLineChars="0"/>
        <w:rPr>
          <w:rFonts w:hint="eastAsia" w:ascii="宋体" w:hAnsi="宋体"/>
          <w:color w:val="auto"/>
          <w:sz w:val="24"/>
          <w:szCs w:val="24"/>
          <w:highlight w:val="none"/>
        </w:rPr>
      </w:pPr>
    </w:p>
    <w:p>
      <w:pPr>
        <w:pStyle w:val="52"/>
        <w:wordWrap w:val="0"/>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磋商响应文件</w:t>
      </w:r>
    </w:p>
    <w:p>
      <w:pPr>
        <w:wordWrap w:val="0"/>
        <w:rPr>
          <w:rFonts w:hint="eastAsia" w:ascii="宋体" w:hAnsi="宋体" w:cs="华文仿宋"/>
          <w:color w:val="auto"/>
          <w:sz w:val="24"/>
          <w:highlight w:val="none"/>
        </w:rPr>
      </w:pPr>
    </w:p>
    <w:p>
      <w:pPr>
        <w:wordWrap w:val="0"/>
        <w:ind w:firstLine="480" w:firstLineChars="200"/>
        <w:rPr>
          <w:rFonts w:hint="eastAsia" w:ascii="宋体" w:hAnsi="宋体" w:cs="华文仿宋"/>
          <w:color w:val="auto"/>
          <w:sz w:val="24"/>
          <w:highlight w:val="none"/>
        </w:rPr>
      </w:pPr>
    </w:p>
    <w:p>
      <w:pPr>
        <w:wordWrap w:val="0"/>
        <w:ind w:firstLine="480" w:firstLineChars="200"/>
        <w:rPr>
          <w:rFonts w:hint="eastAsia" w:ascii="宋体" w:hAnsi="宋体" w:cs="华文仿宋"/>
          <w:color w:val="auto"/>
          <w:sz w:val="24"/>
          <w:highlight w:val="none"/>
        </w:rPr>
      </w:pPr>
    </w:p>
    <w:p>
      <w:pPr>
        <w:wordWrap w:val="0"/>
        <w:ind w:firstLine="480" w:firstLineChars="200"/>
        <w:rPr>
          <w:rFonts w:hint="eastAsia" w:ascii="宋体" w:hAnsi="宋体" w:cs="华文仿宋"/>
          <w:color w:val="auto"/>
          <w:sz w:val="24"/>
          <w:highlight w:val="none"/>
        </w:rPr>
      </w:pPr>
      <w:r>
        <w:rPr>
          <w:rFonts w:hint="eastAsia" w:ascii="宋体" w:hAnsi="宋体" w:cs="华文仿宋"/>
          <w:color w:val="auto"/>
          <w:sz w:val="24"/>
          <w:highlight w:val="none"/>
        </w:rPr>
        <w:t>项目编号：</w:t>
      </w:r>
    </w:p>
    <w:p>
      <w:pPr>
        <w:wordWrap w:val="0"/>
        <w:ind w:firstLine="480" w:firstLineChars="200"/>
        <w:rPr>
          <w:rFonts w:hint="eastAsia" w:ascii="宋体" w:hAnsi="宋体" w:cs="华文仿宋"/>
          <w:color w:val="auto"/>
          <w:sz w:val="24"/>
          <w:highlight w:val="none"/>
        </w:rPr>
      </w:pPr>
    </w:p>
    <w:p>
      <w:pPr>
        <w:wordWrap w:val="0"/>
        <w:ind w:firstLine="480" w:firstLineChars="200"/>
        <w:rPr>
          <w:rFonts w:hint="eastAsia" w:ascii="宋体" w:hAnsi="宋体" w:cs="华文仿宋"/>
          <w:color w:val="auto"/>
          <w:sz w:val="24"/>
          <w:highlight w:val="none"/>
          <w:u w:val="single"/>
        </w:rPr>
      </w:pPr>
      <w:r>
        <w:rPr>
          <w:rFonts w:hint="eastAsia" w:ascii="宋体" w:hAnsi="宋体" w:cs="华文仿宋"/>
          <w:color w:val="auto"/>
          <w:sz w:val="24"/>
          <w:highlight w:val="none"/>
        </w:rPr>
        <w:t>项目名称：</w:t>
      </w: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ind w:firstLine="1680" w:firstLineChars="700"/>
        <w:rPr>
          <w:rFonts w:hint="eastAsia" w:ascii="宋体" w:hAnsi="宋体" w:cs="华文仿宋"/>
          <w:color w:val="auto"/>
          <w:sz w:val="24"/>
          <w:highlight w:val="none"/>
        </w:rPr>
      </w:pPr>
      <w:r>
        <w:rPr>
          <w:rFonts w:hint="eastAsia" w:ascii="宋体" w:hAnsi="宋体" w:cs="华文仿宋"/>
          <w:color w:val="auto"/>
          <w:sz w:val="24"/>
          <w:highlight w:val="none"/>
        </w:rPr>
        <w:t>供应商：</w:t>
      </w:r>
      <w:r>
        <w:rPr>
          <w:rFonts w:hint="eastAsia" w:ascii="宋体" w:hAnsi="宋体" w:cs="华文仿宋"/>
          <w:color w:val="auto"/>
          <w:kern w:val="0"/>
          <w:sz w:val="24"/>
          <w:highlight w:val="none"/>
        </w:rPr>
        <w:t>（供应商签章）</w:t>
      </w:r>
    </w:p>
    <w:p>
      <w:pPr>
        <w:wordWrap w:val="0"/>
        <w:ind w:firstLine="1687" w:firstLineChars="700"/>
        <w:rPr>
          <w:rFonts w:hint="eastAsia" w:ascii="宋体" w:hAnsi="宋体" w:cs="华文仿宋"/>
          <w:b/>
          <w:color w:val="auto"/>
          <w:sz w:val="24"/>
          <w:highlight w:val="none"/>
          <w:u w:val="single"/>
        </w:rPr>
      </w:pPr>
    </w:p>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年   月   日</w:t>
      </w: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r>
        <w:rPr>
          <w:rFonts w:ascii="宋体" w:hAnsi="宋体" w:cs="华文仿宋"/>
          <w:color w:val="auto"/>
          <w:sz w:val="24"/>
          <w:highlight w:val="none"/>
        </w:rPr>
        <w:br w:type="page"/>
      </w:r>
    </w:p>
    <w:p>
      <w:pPr>
        <w:wordWrap w:val="0"/>
        <w:rPr>
          <w:rFonts w:hint="eastAsia" w:ascii="宋体" w:hAnsi="宋体" w:cs="华文仿宋"/>
          <w:color w:val="auto"/>
          <w:sz w:val="24"/>
          <w:highlight w:val="none"/>
        </w:rPr>
      </w:pPr>
    </w:p>
    <w:p>
      <w:pPr>
        <w:pStyle w:val="52"/>
        <w:ind w:firstLine="0" w:firstLineChars="0"/>
        <w:jc w:val="center"/>
        <w:rPr>
          <w:rFonts w:hint="eastAsia" w:ascii="宋体" w:hAnsi="宋体"/>
          <w:color w:val="auto"/>
          <w:sz w:val="36"/>
          <w:szCs w:val="36"/>
          <w:highlight w:val="none"/>
        </w:rPr>
      </w:pPr>
    </w:p>
    <w:p>
      <w:pPr>
        <w:pStyle w:val="52"/>
        <w:ind w:firstLine="0" w:firstLineChars="0"/>
        <w:jc w:val="center"/>
        <w:rPr>
          <w:rFonts w:hint="eastAsia" w:ascii="宋体" w:hAnsi="宋体"/>
          <w:color w:val="auto"/>
          <w:sz w:val="36"/>
          <w:szCs w:val="36"/>
          <w:highlight w:val="none"/>
        </w:rPr>
      </w:pPr>
    </w:p>
    <w:p>
      <w:pPr>
        <w:pStyle w:val="52"/>
        <w:ind w:firstLine="0" w:firstLineChars="0"/>
        <w:jc w:val="center"/>
        <w:rPr>
          <w:rFonts w:hint="eastAsia" w:ascii="宋体" w:hAnsi="宋体"/>
          <w:color w:val="auto"/>
          <w:sz w:val="36"/>
          <w:szCs w:val="36"/>
          <w:highlight w:val="none"/>
        </w:rPr>
      </w:pPr>
      <w:r>
        <w:rPr>
          <w:rFonts w:hint="eastAsia" w:ascii="宋体" w:hAnsi="宋体"/>
          <w:color w:val="auto"/>
          <w:sz w:val="36"/>
          <w:szCs w:val="36"/>
          <w:highlight w:val="none"/>
        </w:rPr>
        <w:t>目</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rPr>
        <w:t>录</w:t>
      </w:r>
    </w:p>
    <w:p>
      <w:pPr>
        <w:pStyle w:val="52"/>
        <w:ind w:firstLine="0" w:firstLineChars="0"/>
        <w:jc w:val="center"/>
        <w:rPr>
          <w:rFonts w:hint="eastAsia" w:ascii="宋体" w:hAnsi="宋体"/>
          <w:color w:val="auto"/>
          <w:sz w:val="36"/>
          <w:szCs w:val="36"/>
          <w:highlight w:val="none"/>
        </w:rPr>
      </w:pPr>
    </w:p>
    <w:p>
      <w:pPr>
        <w:pStyle w:val="52"/>
        <w:ind w:firstLine="0" w:firstLineChars="0"/>
        <w:jc w:val="center"/>
        <w:rPr>
          <w:rFonts w:hint="eastAsia" w:ascii="宋体" w:hAnsi="宋体"/>
          <w:color w:val="auto"/>
          <w:sz w:val="36"/>
          <w:szCs w:val="36"/>
          <w:highlight w:val="none"/>
        </w:rPr>
      </w:pPr>
    </w:p>
    <w:p>
      <w:pPr>
        <w:pStyle w:val="52"/>
        <w:wordWrap w:val="0"/>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一、资格、技术商务部分</w:t>
      </w:r>
    </w:p>
    <w:p>
      <w:pPr>
        <w:pStyle w:val="52"/>
        <w:wordWrap w:val="0"/>
        <w:ind w:firstLine="0" w:firstLineChars="0"/>
        <w:rPr>
          <w:rFonts w:hint="eastAsia" w:ascii="宋体" w:hAnsi="宋体"/>
          <w:b w:val="0"/>
          <w:color w:val="auto"/>
          <w:sz w:val="24"/>
          <w:szCs w:val="24"/>
          <w:highlight w:val="none"/>
        </w:rPr>
      </w:pPr>
    </w:p>
    <w:p>
      <w:pPr>
        <w:pStyle w:val="52"/>
        <w:numPr>
          <w:ilvl w:val="0"/>
          <w:numId w:val="9"/>
        </w:numPr>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资格审查资料</w:t>
      </w:r>
    </w:p>
    <w:p>
      <w:pPr>
        <w:pStyle w:val="52"/>
        <w:numPr>
          <w:ilvl w:val="0"/>
          <w:numId w:val="9"/>
        </w:numPr>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 xml:space="preserve">中小企业证明材料 </w:t>
      </w:r>
    </w:p>
    <w:p>
      <w:pPr>
        <w:pStyle w:val="52"/>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3</w:t>
      </w:r>
      <w:r>
        <w:rPr>
          <w:rFonts w:hint="eastAsia" w:ascii="宋体" w:hAnsi="宋体"/>
          <w:b w:val="0"/>
          <w:bCs w:val="0"/>
          <w:color w:val="auto"/>
          <w:sz w:val="24"/>
          <w:szCs w:val="24"/>
          <w:highlight w:val="none"/>
        </w:rPr>
        <w:t>、磋商授权书</w:t>
      </w:r>
    </w:p>
    <w:p>
      <w:pPr>
        <w:pStyle w:val="52"/>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4</w:t>
      </w:r>
      <w:r>
        <w:rPr>
          <w:rFonts w:hint="eastAsia" w:ascii="宋体" w:hAnsi="宋体"/>
          <w:b w:val="0"/>
          <w:bCs w:val="0"/>
          <w:color w:val="auto"/>
          <w:sz w:val="24"/>
          <w:szCs w:val="24"/>
          <w:highlight w:val="none"/>
        </w:rPr>
        <w:t>、磋商函</w:t>
      </w:r>
    </w:p>
    <w:p>
      <w:pPr>
        <w:pStyle w:val="52"/>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5</w:t>
      </w:r>
      <w:r>
        <w:rPr>
          <w:rFonts w:hint="eastAsia" w:ascii="宋体" w:hAnsi="宋体"/>
          <w:b w:val="0"/>
          <w:bCs w:val="0"/>
          <w:color w:val="auto"/>
          <w:sz w:val="24"/>
          <w:szCs w:val="24"/>
          <w:highlight w:val="none"/>
        </w:rPr>
        <w:t>、项目实施方案</w:t>
      </w:r>
    </w:p>
    <w:p>
      <w:pPr>
        <w:pStyle w:val="52"/>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6、</w:t>
      </w:r>
      <w:r>
        <w:rPr>
          <w:rFonts w:hint="eastAsia" w:ascii="宋体" w:hAnsi="宋体"/>
          <w:b w:val="0"/>
          <w:bCs w:val="0"/>
          <w:color w:val="auto"/>
          <w:sz w:val="24"/>
          <w:szCs w:val="24"/>
          <w:highlight w:val="none"/>
        </w:rPr>
        <w:t>履行合同所必需的设备专业技术能力证明文件</w:t>
      </w:r>
    </w:p>
    <w:p>
      <w:pPr>
        <w:spacing w:line="360" w:lineRule="auto"/>
        <w:rPr>
          <w:rFonts w:hint="eastAsia" w:ascii="宋体" w:hAnsi="宋体" w:cs="华文仿宋"/>
          <w:color w:val="auto"/>
          <w:sz w:val="24"/>
          <w:highlight w:val="none"/>
        </w:rPr>
      </w:pPr>
      <w:r>
        <w:rPr>
          <w:rFonts w:hint="eastAsia" w:ascii="宋体" w:hAnsi="宋体" w:cs="华文仿宋"/>
          <w:color w:val="auto"/>
          <w:sz w:val="24"/>
          <w:highlight w:val="none"/>
          <w:lang w:val="en-US" w:eastAsia="zh-CN"/>
        </w:rPr>
        <w:t>7</w:t>
      </w:r>
      <w:r>
        <w:rPr>
          <w:rFonts w:hint="eastAsia" w:ascii="宋体" w:hAnsi="宋体" w:cs="华文仿宋"/>
          <w:color w:val="auto"/>
          <w:sz w:val="24"/>
          <w:highlight w:val="none"/>
        </w:rPr>
        <w:t>、业绩一览表（如有）</w:t>
      </w:r>
    </w:p>
    <w:p>
      <w:pPr>
        <w:spacing w:line="360" w:lineRule="auto"/>
        <w:rPr>
          <w:rFonts w:hint="eastAsia" w:ascii="宋体" w:hAnsi="宋体" w:cs="华文仿宋"/>
          <w:color w:val="auto"/>
          <w:sz w:val="24"/>
          <w:highlight w:val="none"/>
        </w:rPr>
      </w:pPr>
      <w:r>
        <w:rPr>
          <w:rFonts w:hint="eastAsia" w:ascii="宋体" w:hAnsi="宋体" w:cs="华文仿宋"/>
          <w:color w:val="auto"/>
          <w:sz w:val="24"/>
          <w:highlight w:val="none"/>
          <w:lang w:val="en-US" w:eastAsia="zh-CN"/>
        </w:rPr>
        <w:t>8</w:t>
      </w:r>
      <w:r>
        <w:rPr>
          <w:rFonts w:hint="eastAsia" w:ascii="宋体" w:hAnsi="宋体" w:cs="华文仿宋"/>
          <w:color w:val="auto"/>
          <w:sz w:val="24"/>
          <w:highlight w:val="none"/>
        </w:rPr>
        <w:t>、业绩合同（如有）</w:t>
      </w:r>
    </w:p>
    <w:p>
      <w:pPr>
        <w:spacing w:line="360" w:lineRule="auto"/>
        <w:rPr>
          <w:rFonts w:hint="eastAsia" w:ascii="宋体" w:hAnsi="宋体"/>
          <w:color w:val="auto"/>
          <w:sz w:val="24"/>
          <w:highlight w:val="none"/>
        </w:rPr>
      </w:pPr>
      <w:r>
        <w:rPr>
          <w:rFonts w:hint="eastAsia" w:ascii="宋体" w:hAnsi="宋体" w:cs="华文仿宋"/>
          <w:color w:val="auto"/>
          <w:sz w:val="24"/>
          <w:highlight w:val="none"/>
          <w:lang w:val="en-US" w:eastAsia="zh-CN"/>
        </w:rPr>
        <w:t>9</w:t>
      </w:r>
      <w:r>
        <w:rPr>
          <w:rFonts w:hint="eastAsia" w:ascii="宋体" w:hAnsi="宋体" w:cs="华文仿宋"/>
          <w:color w:val="auto"/>
          <w:sz w:val="24"/>
          <w:highlight w:val="none"/>
        </w:rPr>
        <w:t>、其他证明材料</w:t>
      </w:r>
    </w:p>
    <w:p>
      <w:pPr>
        <w:pStyle w:val="52"/>
        <w:wordWrap w:val="0"/>
        <w:spacing w:line="360" w:lineRule="auto"/>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二、报价部分</w:t>
      </w:r>
    </w:p>
    <w:p>
      <w:pPr>
        <w:pStyle w:val="52"/>
        <w:wordWrap w:val="0"/>
        <w:spacing w:line="360" w:lineRule="auto"/>
        <w:ind w:firstLine="0" w:firstLineChars="0"/>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1、报价表</w:t>
      </w:r>
    </w:p>
    <w:p>
      <w:pPr>
        <w:pStyle w:val="52"/>
        <w:wordWrap w:val="0"/>
        <w:spacing w:line="360" w:lineRule="auto"/>
        <w:ind w:firstLine="0" w:firstLineChars="0"/>
        <w:rPr>
          <w:rFonts w:hint="eastAsia"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2、主要标的一览表</w:t>
      </w:r>
    </w:p>
    <w:p>
      <w:pPr>
        <w:pStyle w:val="52"/>
        <w:wordWrap w:val="0"/>
        <w:spacing w:line="360" w:lineRule="auto"/>
        <w:ind w:firstLine="0" w:firstLineChars="0"/>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3、投标报价清单</w:t>
      </w:r>
    </w:p>
    <w:p>
      <w:pPr>
        <w:pStyle w:val="52"/>
        <w:wordWrap w:val="0"/>
        <w:ind w:firstLine="0" w:firstLineChars="0"/>
        <w:rPr>
          <w:rFonts w:hint="eastAsia" w:ascii="宋体" w:hAnsi="宋体"/>
          <w:b w:val="0"/>
          <w:color w:val="auto"/>
          <w:sz w:val="24"/>
          <w:szCs w:val="24"/>
          <w:highlight w:val="none"/>
        </w:rPr>
      </w:pPr>
    </w:p>
    <w:p>
      <w:pPr>
        <w:pStyle w:val="52"/>
        <w:ind w:firstLine="0" w:firstLineChars="0"/>
        <w:rPr>
          <w:rFonts w:ascii="宋体" w:hAnsi="宋体"/>
          <w:color w:val="auto"/>
          <w:sz w:val="24"/>
          <w:szCs w:val="24"/>
          <w:highlight w:val="none"/>
        </w:rPr>
      </w:pPr>
      <w:r>
        <w:rPr>
          <w:rFonts w:ascii="宋体" w:hAnsi="宋体"/>
          <w:color w:val="auto"/>
          <w:sz w:val="24"/>
          <w:szCs w:val="24"/>
          <w:highlight w:val="none"/>
        </w:rPr>
        <w:br w:type="page"/>
      </w:r>
    </w:p>
    <w:p>
      <w:pPr>
        <w:pStyle w:val="52"/>
        <w:ind w:firstLine="0" w:firstLineChars="0"/>
        <w:rPr>
          <w:rFonts w:ascii="宋体" w:hAnsi="宋体"/>
          <w:color w:val="auto"/>
          <w:sz w:val="24"/>
          <w:szCs w:val="24"/>
          <w:highlight w:val="none"/>
        </w:rPr>
      </w:pPr>
    </w:p>
    <w:p>
      <w:pPr>
        <w:pStyle w:val="52"/>
        <w:ind w:firstLine="0" w:firstLineChars="0"/>
        <w:rPr>
          <w:rFonts w:ascii="宋体" w:hAnsi="宋体"/>
          <w:color w:val="auto"/>
          <w:sz w:val="24"/>
          <w:szCs w:val="24"/>
          <w:highlight w:val="none"/>
        </w:rPr>
      </w:pPr>
    </w:p>
    <w:p>
      <w:pPr>
        <w:pStyle w:val="52"/>
        <w:ind w:firstLine="0" w:firstLineChars="0"/>
        <w:rPr>
          <w:rFonts w:hint="eastAsia" w:ascii="宋体" w:hAnsi="宋体" w:eastAsia="宋体" w:cs="宋体"/>
          <w:b/>
          <w:bCs/>
          <w:color w:val="auto"/>
          <w:spacing w:val="-1"/>
          <w:kern w:val="2"/>
          <w:sz w:val="28"/>
          <w:szCs w:val="28"/>
          <w:highlight w:val="none"/>
          <w:lang w:val="en-US" w:eastAsia="zh-CN" w:bidi="ar-SA"/>
        </w:rPr>
      </w:pPr>
      <w:r>
        <w:rPr>
          <w:rFonts w:hint="eastAsia" w:ascii="宋体" w:hAnsi="宋体" w:eastAsia="宋体" w:cs="宋体"/>
          <w:b/>
          <w:bCs/>
          <w:color w:val="auto"/>
          <w:spacing w:val="-1"/>
          <w:kern w:val="2"/>
          <w:sz w:val="28"/>
          <w:szCs w:val="28"/>
          <w:highlight w:val="none"/>
          <w:lang w:val="en-US" w:eastAsia="zh-CN" w:bidi="ar-SA"/>
        </w:rPr>
        <w:t>一、资格、技术商务部分</w:t>
      </w:r>
    </w:p>
    <w:p>
      <w:pPr>
        <w:pStyle w:val="52"/>
        <w:ind w:firstLine="555" w:firstLineChars="199"/>
        <w:rPr>
          <w:rFonts w:hint="eastAsia" w:ascii="宋体" w:hAnsi="宋体" w:eastAsia="宋体" w:cs="宋体"/>
          <w:b/>
          <w:bCs/>
          <w:color w:val="auto"/>
          <w:spacing w:val="-1"/>
          <w:kern w:val="2"/>
          <w:sz w:val="28"/>
          <w:szCs w:val="28"/>
          <w:highlight w:val="none"/>
          <w:lang w:val="en-US" w:eastAsia="zh-CN" w:bidi="ar-SA"/>
        </w:rPr>
      </w:pPr>
    </w:p>
    <w:p>
      <w:pPr>
        <w:pStyle w:val="52"/>
        <w:ind w:firstLine="555" w:firstLineChars="199"/>
        <w:rPr>
          <w:rFonts w:hint="eastAsia" w:ascii="宋体" w:hAnsi="宋体" w:eastAsia="宋体" w:cs="宋体"/>
          <w:b/>
          <w:bCs/>
          <w:color w:val="auto"/>
          <w:spacing w:val="-1"/>
          <w:kern w:val="2"/>
          <w:sz w:val="28"/>
          <w:szCs w:val="28"/>
          <w:highlight w:val="none"/>
          <w:lang w:val="en-US" w:eastAsia="zh-CN" w:bidi="ar-SA"/>
        </w:rPr>
      </w:pPr>
      <w:r>
        <w:rPr>
          <w:rFonts w:hint="eastAsia" w:ascii="宋体" w:hAnsi="宋体" w:eastAsia="宋体" w:cs="宋体"/>
          <w:b/>
          <w:bCs/>
          <w:color w:val="auto"/>
          <w:spacing w:val="-1"/>
          <w:kern w:val="2"/>
          <w:sz w:val="28"/>
          <w:szCs w:val="28"/>
          <w:highlight w:val="none"/>
          <w:lang w:val="en-US" w:eastAsia="zh-CN" w:bidi="ar-SA"/>
        </w:rPr>
        <w:t>1、需要提供的资质证明文件（复印件或影印件）</w:t>
      </w:r>
    </w:p>
    <w:p>
      <w:pPr>
        <w:pStyle w:val="52"/>
        <w:ind w:firstLine="479" w:firstLineChars="199"/>
        <w:rPr>
          <w:rFonts w:hint="eastAsia" w:ascii="宋体" w:hAnsi="宋体"/>
          <w:color w:val="auto"/>
          <w:sz w:val="24"/>
          <w:szCs w:val="24"/>
          <w:highlight w:val="none"/>
        </w:rPr>
      </w:pPr>
    </w:p>
    <w:p>
      <w:pPr>
        <w:spacing w:before="91" w:line="242" w:lineRule="auto"/>
        <w:ind w:firstLine="558" w:firstLineChars="200"/>
        <w:rPr>
          <w:rFonts w:ascii="宋体" w:hAnsi="宋体" w:eastAsia="宋体" w:cs="宋体"/>
          <w:b/>
          <w:bCs/>
          <w:color w:val="auto"/>
          <w:sz w:val="28"/>
          <w:szCs w:val="28"/>
          <w:highlight w:val="none"/>
        </w:rPr>
      </w:pPr>
      <w:r>
        <w:rPr>
          <w:rFonts w:hint="eastAsia" w:ascii="宋体" w:hAnsi="宋体" w:cs="宋体"/>
          <w:b/>
          <w:bCs/>
          <w:color w:val="auto"/>
          <w:spacing w:val="-1"/>
          <w:sz w:val="28"/>
          <w:szCs w:val="28"/>
          <w:highlight w:val="none"/>
          <w:lang w:val="en-US" w:eastAsia="zh-CN"/>
        </w:rPr>
        <w:t>2、</w:t>
      </w:r>
      <w:r>
        <w:rPr>
          <w:rFonts w:ascii="宋体" w:hAnsi="宋体" w:eastAsia="宋体" w:cs="宋体"/>
          <w:b/>
          <w:bCs/>
          <w:color w:val="auto"/>
          <w:spacing w:val="-1"/>
          <w:sz w:val="28"/>
          <w:szCs w:val="28"/>
          <w:highlight w:val="none"/>
        </w:rPr>
        <w:t>中小微企业声明函</w:t>
      </w:r>
    </w:p>
    <w:p>
      <w:pPr>
        <w:spacing w:before="119" w:line="220" w:lineRule="auto"/>
        <w:ind w:left="3152"/>
        <w:rPr>
          <w:rFonts w:ascii="宋体" w:hAnsi="宋体" w:eastAsia="宋体" w:cs="宋体"/>
          <w:color w:val="auto"/>
          <w:spacing w:val="11"/>
          <w:sz w:val="24"/>
          <w:szCs w:val="24"/>
          <w:highlight w:val="none"/>
        </w:rPr>
      </w:pPr>
    </w:p>
    <w:p>
      <w:pPr>
        <w:spacing w:before="119" w:line="220" w:lineRule="auto"/>
        <w:ind w:left="3152"/>
        <w:rPr>
          <w:rFonts w:ascii="宋体" w:hAnsi="宋体" w:eastAsia="宋体" w:cs="宋体"/>
          <w:b/>
          <w:bCs/>
          <w:color w:val="auto"/>
          <w:spacing w:val="11"/>
          <w:sz w:val="24"/>
          <w:szCs w:val="24"/>
          <w:highlight w:val="none"/>
        </w:rPr>
      </w:pPr>
    </w:p>
    <w:p>
      <w:pPr>
        <w:spacing w:before="119" w:line="220" w:lineRule="auto"/>
        <w:ind w:left="3152"/>
        <w:rPr>
          <w:rFonts w:ascii="宋体" w:hAnsi="宋体" w:eastAsia="宋体" w:cs="宋体"/>
          <w:b/>
          <w:bCs/>
          <w:color w:val="auto"/>
          <w:spacing w:val="11"/>
          <w:sz w:val="24"/>
          <w:szCs w:val="24"/>
          <w:highlight w:val="none"/>
        </w:rPr>
      </w:pPr>
    </w:p>
    <w:p>
      <w:pPr>
        <w:spacing w:before="119" w:line="220" w:lineRule="auto"/>
        <w:ind w:left="3152"/>
        <w:rPr>
          <w:rFonts w:ascii="宋体" w:hAnsi="宋体" w:eastAsia="宋体" w:cs="宋体"/>
          <w:b/>
          <w:bCs/>
          <w:color w:val="auto"/>
          <w:spacing w:val="7"/>
          <w:sz w:val="24"/>
          <w:szCs w:val="24"/>
          <w:highlight w:val="none"/>
        </w:rPr>
      </w:pPr>
      <w:r>
        <w:rPr>
          <w:rFonts w:ascii="宋体" w:hAnsi="宋体" w:eastAsia="宋体" w:cs="宋体"/>
          <w:b/>
          <w:bCs/>
          <w:color w:val="auto"/>
          <w:spacing w:val="11"/>
          <w:sz w:val="24"/>
          <w:szCs w:val="24"/>
          <w:highlight w:val="none"/>
        </w:rPr>
        <w:t>中</w:t>
      </w:r>
      <w:r>
        <w:rPr>
          <w:rFonts w:ascii="宋体" w:hAnsi="宋体" w:eastAsia="宋体" w:cs="宋体"/>
          <w:b/>
          <w:bCs/>
          <w:color w:val="auto"/>
          <w:spacing w:val="7"/>
          <w:sz w:val="24"/>
          <w:szCs w:val="24"/>
          <w:highlight w:val="none"/>
        </w:rPr>
        <w:t>小微企业声明函(工程)</w:t>
      </w:r>
    </w:p>
    <w:p>
      <w:pPr>
        <w:spacing w:before="119" w:line="220" w:lineRule="auto"/>
        <w:ind w:left="3152"/>
        <w:rPr>
          <w:rFonts w:ascii="宋体" w:hAnsi="宋体" w:eastAsia="宋体" w:cs="宋体"/>
          <w:b/>
          <w:bCs/>
          <w:color w:val="auto"/>
          <w:spacing w:val="7"/>
          <w:sz w:val="24"/>
          <w:szCs w:val="24"/>
          <w:highlight w:val="none"/>
        </w:rPr>
      </w:pPr>
    </w:p>
    <w:p>
      <w:pPr>
        <w:spacing w:before="236" w:line="431" w:lineRule="auto"/>
        <w:ind w:firstLine="47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本公司郑重声明， 根据《政府采购促进中小企业发展管理办法》(财库﹝ 2020 ﹞ 46 号</w:t>
      </w:r>
      <w:r>
        <w:rPr>
          <w:rFonts w:ascii="宋体" w:hAnsi="宋体" w:eastAsia="宋体" w:cs="宋体"/>
          <w:color w:val="auto"/>
          <w:spacing w:val="-10"/>
          <w:sz w:val="24"/>
          <w:szCs w:val="24"/>
          <w:highlight w:val="none"/>
        </w:rPr>
        <w:t>)</w:t>
      </w:r>
      <w:r>
        <w:rPr>
          <w:rFonts w:ascii="宋体" w:hAnsi="宋体" w:eastAsia="宋体" w:cs="宋体"/>
          <w:color w:val="auto"/>
          <w:spacing w:val="2"/>
          <w:sz w:val="24"/>
          <w:szCs w:val="24"/>
          <w:highlight w:val="none"/>
        </w:rPr>
        <w:t>的</w:t>
      </w:r>
      <w:r>
        <w:rPr>
          <w:rFonts w:ascii="宋体" w:hAnsi="宋体" w:eastAsia="宋体" w:cs="宋体"/>
          <w:color w:val="auto"/>
          <w:spacing w:val="1"/>
          <w:sz w:val="24"/>
          <w:szCs w:val="24"/>
          <w:highlight w:val="none"/>
        </w:rPr>
        <w:t>规定，本公司参加</w:t>
      </w:r>
      <w:r>
        <w:rPr>
          <w:rFonts w:ascii="宋体" w:hAnsi="宋体" w:eastAsia="宋体" w:cs="宋体"/>
          <w:color w:val="auto"/>
          <w:spacing w:val="1"/>
          <w:sz w:val="24"/>
          <w:szCs w:val="24"/>
          <w:highlight w:val="none"/>
          <w:u w:val="single"/>
        </w:rPr>
        <w:t xml:space="preserve"> </w:t>
      </w:r>
      <w:r>
        <w:rPr>
          <w:rFonts w:hint="eastAsia" w:ascii="宋体" w:hAnsi="宋体" w:cs="宋体"/>
          <w:color w:val="auto"/>
          <w:spacing w:val="1"/>
          <w:sz w:val="24"/>
          <w:szCs w:val="24"/>
          <w:highlight w:val="none"/>
          <w:u w:val="single"/>
          <w:lang w:val="en-US" w:eastAsia="zh-CN"/>
        </w:rPr>
        <w:t xml:space="preserve">   </w:t>
      </w:r>
      <w:r>
        <w:rPr>
          <w:rFonts w:ascii="宋体" w:hAnsi="宋体" w:eastAsia="宋体" w:cs="宋体"/>
          <w:color w:val="auto"/>
          <w:spacing w:val="1"/>
          <w:sz w:val="24"/>
          <w:szCs w:val="24"/>
          <w:highlight w:val="none"/>
          <w:u w:val="single"/>
        </w:rPr>
        <w:t xml:space="preserve">(采购单位名称) </w:t>
      </w:r>
      <w:r>
        <w:rPr>
          <w:rFonts w:ascii="宋体" w:hAnsi="宋体" w:eastAsia="宋体" w:cs="宋体"/>
          <w:color w:val="auto"/>
          <w:spacing w:val="1"/>
          <w:sz w:val="24"/>
          <w:szCs w:val="24"/>
          <w:highlight w:val="none"/>
        </w:rPr>
        <w:t xml:space="preserve"> 的</w:t>
      </w:r>
      <w:r>
        <w:rPr>
          <w:rFonts w:ascii="宋体" w:hAnsi="宋体" w:eastAsia="宋体" w:cs="宋体"/>
          <w:color w:val="auto"/>
          <w:spacing w:val="1"/>
          <w:sz w:val="24"/>
          <w:szCs w:val="24"/>
          <w:highlight w:val="none"/>
          <w:u w:val="single"/>
        </w:rPr>
        <w:t xml:space="preserve"> </w:t>
      </w:r>
      <w:r>
        <w:rPr>
          <w:rFonts w:hint="eastAsia" w:ascii="宋体" w:hAnsi="宋体" w:cs="宋体"/>
          <w:color w:val="auto"/>
          <w:spacing w:val="1"/>
          <w:sz w:val="24"/>
          <w:szCs w:val="24"/>
          <w:highlight w:val="none"/>
          <w:u w:val="single"/>
          <w:lang w:val="en-US" w:eastAsia="zh-CN"/>
        </w:rPr>
        <w:t xml:space="preserve">    </w:t>
      </w:r>
      <w:r>
        <w:rPr>
          <w:rFonts w:ascii="宋体" w:hAnsi="宋体" w:eastAsia="宋体" w:cs="宋体"/>
          <w:color w:val="auto"/>
          <w:spacing w:val="1"/>
          <w:sz w:val="24"/>
          <w:szCs w:val="24"/>
          <w:highlight w:val="none"/>
          <w:u w:val="single"/>
        </w:rPr>
        <w:t xml:space="preserve">(项目名称) </w:t>
      </w:r>
      <w:r>
        <w:rPr>
          <w:rFonts w:ascii="宋体" w:hAnsi="宋体" w:eastAsia="宋体" w:cs="宋体"/>
          <w:color w:val="auto"/>
          <w:spacing w:val="1"/>
          <w:sz w:val="24"/>
          <w:szCs w:val="24"/>
          <w:highlight w:val="none"/>
        </w:rPr>
        <w:t>采购活动，工程的施工单位全部</w:t>
      </w:r>
      <w:r>
        <w:rPr>
          <w:rFonts w:ascii="宋体" w:hAnsi="宋体" w:eastAsia="宋体" w:cs="宋体"/>
          <w:color w:val="auto"/>
          <w:spacing w:val="2"/>
          <w:sz w:val="24"/>
          <w:szCs w:val="24"/>
          <w:highlight w:val="none"/>
        </w:rPr>
        <w:t>为符合政策要</w:t>
      </w:r>
      <w:r>
        <w:rPr>
          <w:rFonts w:ascii="宋体" w:hAnsi="宋体" w:eastAsia="宋体" w:cs="宋体"/>
          <w:color w:val="auto"/>
          <w:spacing w:val="1"/>
          <w:sz w:val="24"/>
          <w:szCs w:val="24"/>
          <w:highlight w:val="none"/>
        </w:rPr>
        <w:t>求的中小企业。相关企业(含联合体中的中小企业、签订分包意向协议的中</w:t>
      </w:r>
      <w:r>
        <w:rPr>
          <w:rFonts w:ascii="宋体" w:hAnsi="宋体" w:eastAsia="宋体" w:cs="宋体"/>
          <w:color w:val="auto"/>
          <w:spacing w:val="8"/>
          <w:sz w:val="24"/>
          <w:szCs w:val="24"/>
          <w:highlight w:val="none"/>
        </w:rPr>
        <w:t>小</w:t>
      </w:r>
      <w:r>
        <w:rPr>
          <w:rFonts w:ascii="宋体" w:hAnsi="宋体" w:eastAsia="宋体" w:cs="宋体"/>
          <w:color w:val="auto"/>
          <w:spacing w:val="4"/>
          <w:sz w:val="24"/>
          <w:szCs w:val="24"/>
          <w:highlight w:val="none"/>
        </w:rPr>
        <w:t>企业)的具体情况如下：</w:t>
      </w:r>
    </w:p>
    <w:p>
      <w:pPr>
        <w:numPr>
          <w:ilvl w:val="0"/>
          <w:numId w:val="10"/>
        </w:numPr>
        <w:spacing w:before="1" w:line="430" w:lineRule="auto"/>
        <w:ind w:left="4" w:right="35" w:firstLine="490"/>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u w:val="single"/>
          <w:lang w:val="en-US" w:eastAsia="zh-CN"/>
        </w:rPr>
        <w:t xml:space="preserve">         </w:t>
      </w:r>
      <w:r>
        <w:rPr>
          <w:rFonts w:ascii="宋体" w:hAnsi="宋体" w:eastAsia="宋体" w:cs="宋体"/>
          <w:color w:val="auto"/>
          <w:spacing w:val="-5"/>
          <w:sz w:val="24"/>
          <w:szCs w:val="24"/>
          <w:highlight w:val="none"/>
          <w:u w:val="single"/>
        </w:rPr>
        <w:t>(标的名称)</w:t>
      </w:r>
      <w:r>
        <w:rPr>
          <w:rFonts w:ascii="宋体" w:hAnsi="宋体" w:eastAsia="宋体" w:cs="宋体"/>
          <w:color w:val="auto"/>
          <w:spacing w:val="-5"/>
          <w:sz w:val="24"/>
          <w:szCs w:val="24"/>
          <w:highlight w:val="none"/>
          <w:u w:val="none"/>
        </w:rPr>
        <w:t xml:space="preserve"> </w:t>
      </w:r>
      <w:r>
        <w:rPr>
          <w:rFonts w:ascii="宋体" w:hAnsi="宋体" w:eastAsia="宋体" w:cs="宋体"/>
          <w:color w:val="auto"/>
          <w:spacing w:val="-5"/>
          <w:sz w:val="24"/>
          <w:szCs w:val="24"/>
          <w:highlight w:val="none"/>
        </w:rPr>
        <w:t>，属于</w:t>
      </w:r>
      <w:r>
        <w:rPr>
          <w:rFonts w:hint="eastAsia" w:ascii="宋体" w:hAnsi="宋体" w:eastAsia="宋体" w:cs="宋体"/>
          <w:color w:val="auto"/>
          <w:spacing w:val="-5"/>
          <w:sz w:val="24"/>
          <w:szCs w:val="24"/>
          <w:highlight w:val="none"/>
          <w:u w:val="single"/>
          <w:lang w:val="en-US" w:eastAsia="zh-CN"/>
        </w:rPr>
        <w:t xml:space="preserve">        </w:t>
      </w:r>
      <w:r>
        <w:rPr>
          <w:rFonts w:ascii="宋体" w:hAnsi="宋体" w:eastAsia="宋体" w:cs="宋体"/>
          <w:color w:val="auto"/>
          <w:spacing w:val="-5"/>
          <w:sz w:val="24"/>
          <w:szCs w:val="24"/>
          <w:highlight w:val="none"/>
        </w:rPr>
        <w:t>行业； 承接企业为</w:t>
      </w:r>
      <w:r>
        <w:rPr>
          <w:rFonts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5"/>
          <w:sz w:val="24"/>
          <w:szCs w:val="24"/>
          <w:highlight w:val="none"/>
          <w:u w:val="single"/>
          <w:lang w:val="en-US" w:eastAsia="zh-CN"/>
        </w:rPr>
        <w:t xml:space="preserve">      </w:t>
      </w:r>
      <w:r>
        <w:rPr>
          <w:rFonts w:ascii="宋体" w:hAnsi="宋体" w:eastAsia="宋体" w:cs="宋体"/>
          <w:color w:val="auto"/>
          <w:spacing w:val="-5"/>
          <w:sz w:val="24"/>
          <w:szCs w:val="24"/>
          <w:highlight w:val="none"/>
          <w:u w:val="single"/>
        </w:rPr>
        <w:t xml:space="preserve">(企业名称) </w:t>
      </w:r>
      <w:r>
        <w:rPr>
          <w:rFonts w:ascii="宋体" w:hAnsi="宋体" w:eastAsia="宋体" w:cs="宋体"/>
          <w:color w:val="auto"/>
          <w:spacing w:val="-5"/>
          <w:sz w:val="24"/>
          <w:szCs w:val="24"/>
          <w:highlight w:val="none"/>
        </w:rPr>
        <w:t>，从业人员</w:t>
      </w:r>
      <w:r>
        <w:rPr>
          <w:rFonts w:hint="eastAsia" w:ascii="宋体" w:hAnsi="宋体" w:eastAsia="宋体" w:cs="宋体"/>
          <w:color w:val="auto"/>
          <w:spacing w:val="-5"/>
          <w:sz w:val="24"/>
          <w:szCs w:val="24"/>
          <w:highlight w:val="none"/>
          <w:u w:val="single"/>
          <w:lang w:val="en-US" w:eastAsia="zh-CN"/>
        </w:rPr>
        <w:t xml:space="preserve">    </w:t>
      </w:r>
      <w:r>
        <w:rPr>
          <w:rFonts w:ascii="宋体" w:hAnsi="宋体" w:eastAsia="宋体" w:cs="宋体"/>
          <w:color w:val="auto"/>
          <w:spacing w:val="-5"/>
          <w:sz w:val="24"/>
          <w:szCs w:val="24"/>
          <w:highlight w:val="none"/>
        </w:rPr>
        <w:t>人，</w:t>
      </w:r>
      <w:r>
        <w:rPr>
          <w:rFonts w:ascii="宋体" w:hAnsi="宋体" w:eastAsia="宋体" w:cs="宋体"/>
          <w:color w:val="auto"/>
          <w:spacing w:val="2"/>
          <w:sz w:val="24"/>
          <w:szCs w:val="24"/>
          <w:highlight w:val="none"/>
        </w:rPr>
        <w:t>营业收入为</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
          <w:sz w:val="24"/>
          <w:szCs w:val="24"/>
          <w:highlight w:val="none"/>
        </w:rPr>
        <w:t>万元，资产总额为</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
          <w:sz w:val="24"/>
          <w:szCs w:val="24"/>
          <w:highlight w:val="none"/>
        </w:rPr>
        <w:t>万元，属于</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
          <w:sz w:val="24"/>
          <w:szCs w:val="24"/>
          <w:highlight w:val="none"/>
        </w:rPr>
        <w:t>(中型企业、小型企业、  微型企业)；</w:t>
      </w:r>
    </w:p>
    <w:p>
      <w:pPr>
        <w:spacing w:line="431" w:lineRule="auto"/>
        <w:ind w:right="110" w:firstLine="504"/>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以上</w:t>
      </w:r>
      <w:r>
        <w:rPr>
          <w:rFonts w:ascii="宋体" w:hAnsi="宋体" w:eastAsia="宋体" w:cs="宋体"/>
          <w:color w:val="auto"/>
          <w:spacing w:val="-11"/>
          <w:sz w:val="24"/>
          <w:szCs w:val="24"/>
          <w:highlight w:val="none"/>
        </w:rPr>
        <w:t>企业， 不属于大企业的分支机构， 不存在控股股东为大企业的情形， 也不存在与</w:t>
      </w:r>
      <w:r>
        <w:rPr>
          <w:rFonts w:ascii="宋体" w:hAnsi="宋体" w:eastAsia="宋体" w:cs="宋体"/>
          <w:color w:val="auto"/>
          <w:spacing w:val="-3"/>
          <w:sz w:val="24"/>
          <w:szCs w:val="24"/>
          <w:highlight w:val="none"/>
        </w:rPr>
        <w:t>大企业的负责人为同一人的情形</w:t>
      </w:r>
      <w:r>
        <w:rPr>
          <w:rFonts w:ascii="宋体" w:hAnsi="宋体" w:eastAsia="宋体" w:cs="宋体"/>
          <w:color w:val="auto"/>
          <w:spacing w:val="-2"/>
          <w:sz w:val="24"/>
          <w:szCs w:val="24"/>
          <w:highlight w:val="none"/>
        </w:rPr>
        <w:t>。</w:t>
      </w:r>
    </w:p>
    <w:p>
      <w:pPr>
        <w:spacing w:before="1" w:line="215" w:lineRule="auto"/>
        <w:ind w:left="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本企业对上述声明内容的</w:t>
      </w:r>
      <w:r>
        <w:rPr>
          <w:rFonts w:ascii="宋体" w:hAnsi="宋体" w:eastAsia="宋体" w:cs="宋体"/>
          <w:color w:val="auto"/>
          <w:spacing w:val="-1"/>
          <w:sz w:val="24"/>
          <w:szCs w:val="24"/>
          <w:highlight w:val="none"/>
        </w:rPr>
        <w:t>真实性负责。如有虚假，将依法承担相应责任。</w:t>
      </w:r>
    </w:p>
    <w:p>
      <w:pPr>
        <w:spacing w:line="257" w:lineRule="auto"/>
        <w:rPr>
          <w:color w:val="auto"/>
          <w:highlight w:val="none"/>
        </w:rPr>
      </w:pPr>
    </w:p>
    <w:p>
      <w:pPr>
        <w:spacing w:line="257" w:lineRule="auto"/>
        <w:rPr>
          <w:color w:val="auto"/>
          <w:highlight w:val="none"/>
        </w:rPr>
      </w:pPr>
    </w:p>
    <w:p>
      <w:pPr>
        <w:spacing w:line="257" w:lineRule="auto"/>
        <w:rPr>
          <w:color w:val="auto"/>
          <w:highlight w:val="none"/>
        </w:rPr>
      </w:pPr>
    </w:p>
    <w:p>
      <w:pPr>
        <w:spacing w:before="79" w:line="219" w:lineRule="auto"/>
        <w:ind w:left="465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供</w:t>
      </w:r>
      <w:r>
        <w:rPr>
          <w:rFonts w:ascii="宋体" w:hAnsi="宋体" w:eastAsia="宋体" w:cs="宋体"/>
          <w:color w:val="auto"/>
          <w:spacing w:val="-7"/>
          <w:sz w:val="24"/>
          <w:szCs w:val="24"/>
          <w:highlight w:val="none"/>
        </w:rPr>
        <w:t>应商</w:t>
      </w:r>
      <w:r>
        <w:rPr>
          <w:rFonts w:hint="eastAsia" w:ascii="宋体" w:hAnsi="宋体" w:cs="宋体"/>
          <w:color w:val="auto"/>
          <w:spacing w:val="-7"/>
          <w:sz w:val="24"/>
          <w:szCs w:val="24"/>
          <w:highlight w:val="none"/>
          <w:lang w:eastAsia="zh-CN"/>
        </w:rPr>
        <w:t>盖</w:t>
      </w:r>
      <w:r>
        <w:rPr>
          <w:rFonts w:ascii="宋体" w:hAnsi="宋体" w:eastAsia="宋体" w:cs="宋体"/>
          <w:color w:val="auto"/>
          <w:spacing w:val="-7"/>
          <w:sz w:val="24"/>
          <w:szCs w:val="24"/>
          <w:highlight w:val="none"/>
        </w:rPr>
        <w:t>章：</w:t>
      </w:r>
    </w:p>
    <w:p>
      <w:pPr>
        <w:spacing w:line="267" w:lineRule="auto"/>
        <w:rPr>
          <w:color w:val="auto"/>
          <w:highlight w:val="none"/>
        </w:rPr>
      </w:pPr>
    </w:p>
    <w:p>
      <w:pPr>
        <w:spacing w:before="78" w:line="220" w:lineRule="auto"/>
        <w:ind w:firstLine="5768" w:firstLineChars="2800"/>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7"/>
          <w:sz w:val="24"/>
          <w:szCs w:val="24"/>
          <w:highlight w:val="none"/>
        </w:rPr>
        <w:t>日</w:t>
      </w:r>
      <w:r>
        <w:rPr>
          <w:rFonts w:hint="eastAsia" w:ascii="宋体" w:hAnsi="宋体" w:eastAsia="宋体" w:cs="宋体"/>
          <w:color w:val="auto"/>
          <w:spacing w:val="-17"/>
          <w:sz w:val="24"/>
          <w:szCs w:val="24"/>
          <w:highlight w:val="none"/>
          <w:lang w:val="en-US" w:eastAsia="zh-CN"/>
        </w:rPr>
        <w:t xml:space="preserve">  </w:t>
      </w:r>
      <w:r>
        <w:rPr>
          <w:rFonts w:ascii="宋体" w:hAnsi="宋体" w:eastAsia="宋体" w:cs="宋体"/>
          <w:color w:val="auto"/>
          <w:spacing w:val="-17"/>
          <w:sz w:val="24"/>
          <w:szCs w:val="24"/>
          <w:highlight w:val="none"/>
        </w:rPr>
        <w:t>期：</w:t>
      </w:r>
      <w:r>
        <w:rPr>
          <w:rFonts w:hint="eastAsia" w:ascii="宋体" w:hAnsi="宋体" w:eastAsia="宋体" w:cs="宋体"/>
          <w:color w:val="auto"/>
          <w:spacing w:val="-17"/>
          <w:sz w:val="24"/>
          <w:szCs w:val="24"/>
          <w:highlight w:val="none"/>
          <w:u w:val="single"/>
          <w:lang w:val="en-US" w:eastAsia="zh-CN"/>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numPr>
          <w:ilvl w:val="0"/>
          <w:numId w:val="0"/>
        </w:numPr>
        <w:ind w:firstLine="2520" w:firstLineChars="9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残疾人福利性单位声明函（如有） </w:t>
      </w:r>
    </w:p>
    <w:p>
      <w:pPr>
        <w:rPr>
          <w:rFonts w:ascii="宋体" w:hAnsi="宋体" w:eastAsia="宋体" w:cs="宋体"/>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残疾人福利性单位声明函</w:t>
      </w:r>
    </w:p>
    <w:p>
      <w:pPr>
        <w:jc w:val="center"/>
        <w:rPr>
          <w:rFonts w:hint="eastAsia" w:ascii="宋体" w:hAnsi="宋体" w:eastAsia="宋体" w:cs="宋体"/>
          <w:b/>
          <w:bCs/>
          <w:color w:val="auto"/>
          <w:sz w:val="28"/>
          <w:szCs w:val="28"/>
          <w:highlight w:val="none"/>
        </w:rPr>
      </w:pP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民政部中国残疾人联合会关于促进残疾人就业政府采购政策的通知》（财库〔2017〕141 号）的规定，本单位为符合条件的残疾人福利性单位，且本单位参加______单位的 ______项目采购活动提供本单位制造的货物（由本单位承担工程/提供服务），或者提供其他残疾人福利性单位制造的货物（不包括使用非残疾人福利性单位注册商标的货物）。</w:t>
      </w:r>
    </w:p>
    <w:p>
      <w:pPr>
        <w:spacing w:line="360" w:lineRule="auto"/>
        <w:ind w:firstLine="560" w:firstLineChars="200"/>
        <w:rPr>
          <w:color w:val="auto"/>
          <w:highlight w:val="none"/>
        </w:rPr>
      </w:pPr>
      <w:r>
        <w:rPr>
          <w:rFonts w:hint="eastAsia" w:ascii="宋体" w:hAnsi="宋体" w:eastAsia="宋体" w:cs="宋体"/>
          <w:color w:val="auto"/>
          <w:sz w:val="28"/>
          <w:szCs w:val="28"/>
          <w:highlight w:val="none"/>
        </w:rPr>
        <w:t xml:space="preserve">本单位对上述声明的真实性负责。如有虚假，将依法承担相应责任。 </w:t>
      </w:r>
    </w:p>
    <w:p>
      <w:pPr>
        <w:spacing w:line="360" w:lineRule="auto"/>
        <w:ind w:firstLine="3360" w:firstLineChars="1200"/>
        <w:rPr>
          <w:rFonts w:ascii="宋体" w:hAnsi="宋体" w:eastAsia="宋体" w:cs="宋体"/>
          <w:color w:val="auto"/>
          <w:sz w:val="28"/>
          <w:szCs w:val="28"/>
          <w:highlight w:val="none"/>
        </w:rPr>
      </w:pPr>
    </w:p>
    <w:p>
      <w:pPr>
        <w:spacing w:line="360" w:lineRule="auto"/>
        <w:ind w:firstLine="3360" w:firstLineChars="1200"/>
        <w:rPr>
          <w:rFonts w:ascii="宋体" w:hAnsi="宋体" w:eastAsia="宋体" w:cs="宋体"/>
          <w:color w:val="auto"/>
          <w:sz w:val="28"/>
          <w:szCs w:val="28"/>
          <w:highlight w:val="none"/>
        </w:rPr>
      </w:pPr>
    </w:p>
    <w:p>
      <w:pPr>
        <w:spacing w:line="360" w:lineRule="auto"/>
        <w:ind w:firstLine="4200" w:firstLineChars="15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cs="宋体"/>
          <w:color w:val="auto"/>
          <w:sz w:val="28"/>
          <w:szCs w:val="28"/>
          <w:highlight w:val="none"/>
          <w:lang w:eastAsia="zh-CN"/>
        </w:rPr>
        <w:t>盖</w:t>
      </w:r>
      <w:r>
        <w:rPr>
          <w:rFonts w:hint="eastAsia" w:ascii="宋体" w:hAnsi="宋体" w:eastAsia="宋体" w:cs="宋体"/>
          <w:color w:val="auto"/>
          <w:sz w:val="28"/>
          <w:szCs w:val="28"/>
          <w:highlight w:val="none"/>
        </w:rPr>
        <w:t xml:space="preserve">章： </w:t>
      </w:r>
    </w:p>
    <w:p>
      <w:pPr>
        <w:spacing w:line="360" w:lineRule="auto"/>
        <w:ind w:firstLine="4200" w:firstLineChars="1500"/>
        <w:rPr>
          <w:color w:val="auto"/>
          <w:highlight w:val="none"/>
        </w:rPr>
      </w:pPr>
      <w:r>
        <w:rPr>
          <w:rFonts w:hint="eastAsia" w:ascii="宋体" w:hAnsi="宋体" w:eastAsia="宋体" w:cs="宋体"/>
          <w:color w:val="auto"/>
          <w:sz w:val="28"/>
          <w:szCs w:val="28"/>
          <w:highlight w:val="none"/>
        </w:rPr>
        <w:t>日 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p>
    <w:p>
      <w:pPr>
        <w:ind w:firstLine="3080" w:firstLineChars="1100"/>
        <w:rPr>
          <w:color w:val="auto"/>
          <w:highlight w:val="none"/>
        </w:rPr>
      </w:pPr>
      <w:r>
        <w:rPr>
          <w:rFonts w:hint="eastAsia" w:ascii="宋体" w:hAnsi="宋体" w:eastAsia="宋体" w:cs="宋体"/>
          <w:color w:val="auto"/>
          <w:sz w:val="28"/>
          <w:szCs w:val="28"/>
          <w:highlight w:val="none"/>
        </w:rPr>
        <w:t xml:space="preserve">监狱企业证明材料（如有） </w:t>
      </w:r>
    </w:p>
    <w:p>
      <w:pPr>
        <w:ind w:firstLine="840" w:firstLineChars="300"/>
        <w:rPr>
          <w:rFonts w:ascii="宋体" w:hAnsi="宋体" w:eastAsia="宋体" w:cs="宋体"/>
          <w:color w:val="auto"/>
          <w:sz w:val="28"/>
          <w:szCs w:val="28"/>
          <w:highlight w:val="none"/>
        </w:rPr>
      </w:pPr>
    </w:p>
    <w:p>
      <w:pPr>
        <w:ind w:firstLine="840" w:firstLineChars="300"/>
        <w:rPr>
          <w:rFonts w:ascii="宋体" w:hAnsi="宋体" w:eastAsia="宋体" w:cs="宋体"/>
          <w:color w:val="auto"/>
          <w:sz w:val="28"/>
          <w:szCs w:val="28"/>
          <w:highlight w:val="none"/>
        </w:rPr>
      </w:pPr>
    </w:p>
    <w:p>
      <w:pPr>
        <w:ind w:firstLine="3920" w:firstLineChars="1400"/>
        <w:rPr>
          <w:rFonts w:hint="eastAsia" w:eastAsia="宋体"/>
          <w:color w:val="auto"/>
          <w:highlight w:val="none"/>
          <w:lang w:val="en-US" w:eastAsia="zh-CN"/>
        </w:rPr>
      </w:pP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自行拟定</w:t>
      </w:r>
      <w:r>
        <w:rPr>
          <w:rFonts w:hint="eastAsia" w:ascii="宋体" w:hAnsi="宋体" w:cs="宋体"/>
          <w:color w:val="auto"/>
          <w:sz w:val="28"/>
          <w:szCs w:val="28"/>
          <w:highlight w:val="none"/>
          <w:lang w:val="en-US" w:eastAsia="zh-CN"/>
        </w:rPr>
        <w:t>)</w:t>
      </w:r>
    </w:p>
    <w:p>
      <w:pPr>
        <w:rPr>
          <w:color w:val="auto"/>
          <w:highlight w:val="none"/>
        </w:rPr>
        <w:sectPr>
          <w:footerReference r:id="rId7" w:type="default"/>
          <w:pgSz w:w="11907" w:h="16839"/>
          <w:pgMar w:top="400" w:right="1197" w:bottom="1362" w:left="1315" w:header="0" w:footer="1202" w:gutter="0"/>
          <w:pgNumType w:fmt="decimal"/>
          <w:cols w:space="720" w:num="1"/>
        </w:sectPr>
      </w:pPr>
    </w:p>
    <w:p>
      <w:pPr>
        <w:pStyle w:val="52"/>
        <w:ind w:firstLine="479" w:firstLineChars="199"/>
        <w:rPr>
          <w:rFonts w:hint="eastAsia" w:ascii="宋体" w:hAnsi="宋体"/>
          <w:color w:val="auto"/>
          <w:sz w:val="24"/>
          <w:szCs w:val="24"/>
          <w:highlight w:val="none"/>
        </w:rPr>
      </w:pPr>
    </w:p>
    <w:p>
      <w:pPr>
        <w:pStyle w:val="52"/>
        <w:numPr>
          <w:ilvl w:val="0"/>
          <w:numId w:val="0"/>
        </w:numPr>
        <w:ind w:leftChars="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磋商授权书</w:t>
      </w:r>
    </w:p>
    <w:p>
      <w:pPr>
        <w:pStyle w:val="52"/>
        <w:numPr>
          <w:ilvl w:val="0"/>
          <w:numId w:val="0"/>
        </w:numPr>
        <w:ind w:leftChars="0"/>
        <w:rPr>
          <w:rFonts w:hint="eastAsia" w:ascii="宋体" w:hAnsi="宋体"/>
          <w:color w:val="auto"/>
          <w:sz w:val="24"/>
          <w:szCs w:val="24"/>
          <w:highlight w:val="none"/>
        </w:rPr>
      </w:pPr>
    </w:p>
    <w:p>
      <w:pPr>
        <w:pStyle w:val="52"/>
        <w:numPr>
          <w:ilvl w:val="0"/>
          <w:numId w:val="0"/>
        </w:numPr>
        <w:ind w:leftChars="0"/>
        <w:rPr>
          <w:rFonts w:hint="eastAsia" w:ascii="宋体" w:hAnsi="宋体"/>
          <w:color w:val="auto"/>
          <w:sz w:val="24"/>
          <w:szCs w:val="24"/>
          <w:highlight w:val="none"/>
        </w:rPr>
      </w:pPr>
    </w:p>
    <w:p>
      <w:pPr>
        <w:wordWrap w:val="0"/>
        <w:rPr>
          <w:rFonts w:hint="eastAsia" w:ascii="宋体" w:hAnsi="宋体" w:cs="华文仿宋"/>
          <w:color w:val="auto"/>
          <w:sz w:val="24"/>
          <w:highlight w:val="none"/>
        </w:rPr>
      </w:pPr>
      <w:r>
        <w:rPr>
          <w:rFonts w:hint="eastAsia" w:ascii="宋体" w:hAnsi="宋体" w:cs="华文仿宋"/>
          <w:color w:val="auto"/>
          <w:sz w:val="24"/>
          <w:highlight w:val="none"/>
        </w:rPr>
        <w:t>致</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（采购单位名称）：</w:t>
      </w:r>
    </w:p>
    <w:p>
      <w:pPr>
        <w:pStyle w:val="17"/>
        <w:snapToGrid w:val="0"/>
        <w:spacing w:line="360" w:lineRule="auto"/>
        <w:ind w:firstLine="480" w:firstLineChars="200"/>
        <w:jc w:val="left"/>
        <w:rPr>
          <w:rFonts w:hint="eastAsia" w:hAnsi="宋体" w:eastAsia="宋体" w:cs="华文仿宋"/>
          <w:color w:val="auto"/>
          <w:sz w:val="24"/>
          <w:szCs w:val="24"/>
          <w:highlight w:val="none"/>
        </w:rPr>
      </w:pPr>
    </w:p>
    <w:p>
      <w:pPr>
        <w:pStyle w:val="17"/>
        <w:snapToGrid w:val="0"/>
        <w:spacing w:line="360" w:lineRule="auto"/>
        <w:ind w:firstLine="480" w:firstLineChars="200"/>
        <w:jc w:val="left"/>
        <w:rPr>
          <w:rFonts w:hint="eastAsia" w:hAnsi="宋体" w:eastAsia="宋体" w:cs="华文仿宋"/>
          <w:color w:val="auto"/>
          <w:sz w:val="24"/>
          <w:szCs w:val="24"/>
          <w:highlight w:val="none"/>
        </w:rPr>
      </w:pPr>
      <w:r>
        <w:rPr>
          <w:rFonts w:hint="eastAsia" w:hAnsi="宋体" w:eastAsia="宋体" w:cs="华文仿宋"/>
          <w:color w:val="auto"/>
          <w:sz w:val="24"/>
          <w:szCs w:val="24"/>
          <w:highlight w:val="none"/>
        </w:rPr>
        <w:t>本授权书声明：</w:t>
      </w:r>
      <w:r>
        <w:rPr>
          <w:rFonts w:hint="eastAsia" w:hAnsi="宋体" w:eastAsia="宋体"/>
          <w:color w:val="auto"/>
          <w:sz w:val="24"/>
          <w:szCs w:val="24"/>
          <w:highlight w:val="none"/>
          <w:u w:val="single"/>
        </w:rPr>
        <w:t xml:space="preserve">           </w:t>
      </w:r>
      <w:r>
        <w:rPr>
          <w:rFonts w:hint="eastAsia" w:hAnsi="宋体" w:eastAsia="宋体" w:cs="华文仿宋"/>
          <w:color w:val="auto"/>
          <w:sz w:val="24"/>
          <w:szCs w:val="24"/>
          <w:highlight w:val="none"/>
        </w:rPr>
        <w:t xml:space="preserve">（供应商名称）授权本单位 </w:t>
      </w:r>
      <w:r>
        <w:rPr>
          <w:rFonts w:hint="eastAsia" w:hAnsi="宋体" w:eastAsia="宋体"/>
          <w:color w:val="auto"/>
          <w:sz w:val="24"/>
          <w:szCs w:val="24"/>
          <w:highlight w:val="none"/>
          <w:u w:val="single"/>
        </w:rPr>
        <w:t xml:space="preserve">        </w:t>
      </w:r>
      <w:r>
        <w:rPr>
          <w:rFonts w:hint="eastAsia" w:hAnsi="宋体" w:eastAsia="宋体" w:cs="华文仿宋"/>
          <w:color w:val="auto"/>
          <w:sz w:val="24"/>
          <w:szCs w:val="24"/>
          <w:highlight w:val="none"/>
        </w:rPr>
        <w:t>（供应商授权代表姓名、职务）代表本单位参加</w:t>
      </w:r>
      <w:r>
        <w:rPr>
          <w:rFonts w:hint="eastAsia" w:hAnsi="宋体" w:eastAsia="宋体" w:cs="华文仿宋"/>
          <w:color w:val="auto"/>
          <w:sz w:val="24"/>
          <w:szCs w:val="24"/>
          <w:highlight w:val="none"/>
          <w:u w:val="single"/>
        </w:rPr>
        <w:t xml:space="preserve">             </w:t>
      </w:r>
      <w:r>
        <w:rPr>
          <w:rFonts w:hint="eastAsia" w:hAnsi="宋体" w:eastAsia="宋体" w:cs="华文仿宋"/>
          <w:color w:val="auto"/>
          <w:sz w:val="24"/>
          <w:szCs w:val="24"/>
          <w:highlight w:val="none"/>
        </w:rPr>
        <w:t>（项目全称）项目磋商活动，全权代表本公司处理磋商过程的一切事宜，包括但不限于：磋商响应、参与开标、磋商、合同签署、合同执行等。供应商授权代表在磋商过程中所签署的一切文件和处理与之有关的一切事务，本公司均予以认可并对此承担责任。供应商授权代表无转委托权。特此授权。</w:t>
      </w:r>
    </w:p>
    <w:p>
      <w:pPr>
        <w:pStyle w:val="17"/>
        <w:snapToGrid w:val="0"/>
        <w:spacing w:line="360" w:lineRule="auto"/>
        <w:ind w:firstLine="480" w:firstLineChars="200"/>
        <w:jc w:val="left"/>
        <w:rPr>
          <w:rFonts w:hint="eastAsia" w:hAnsi="宋体" w:eastAsia="宋体" w:cs="华文仿宋"/>
          <w:color w:val="auto"/>
          <w:sz w:val="24"/>
          <w:szCs w:val="24"/>
          <w:highlight w:val="none"/>
        </w:rPr>
      </w:pPr>
      <w:r>
        <w:rPr>
          <w:rFonts w:hint="eastAsia" w:hAnsi="宋体" w:eastAsia="宋体"/>
          <w:color w:val="auto"/>
          <w:sz w:val="24"/>
          <w:szCs w:val="24"/>
          <w:highlight w:val="none"/>
        </w:rPr>
        <w:t>本授权书自出具之日起生效。</w:t>
      </w:r>
    </w:p>
    <w:p>
      <w:pPr>
        <w:wordWrap w:val="0"/>
        <w:ind w:firstLine="480" w:firstLineChars="200"/>
        <w:rPr>
          <w:rFonts w:hint="eastAsia" w:ascii="宋体" w:hAnsi="宋体" w:cs="华文仿宋"/>
          <w:color w:val="auto"/>
          <w:sz w:val="24"/>
          <w:highlight w:val="none"/>
        </w:rPr>
      </w:pPr>
      <w:r>
        <w:rPr>
          <w:rFonts w:hint="eastAsia" w:ascii="宋体" w:hAnsi="宋体" w:cs="华文仿宋"/>
          <w:color w:val="auto"/>
          <w:sz w:val="24"/>
          <w:highlight w:val="none"/>
        </w:rPr>
        <w:t>特此声明。</w:t>
      </w:r>
    </w:p>
    <w:p>
      <w:pPr>
        <w:pStyle w:val="52"/>
        <w:ind w:right="840" w:firstLine="472" w:firstLineChars="196"/>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pStyle w:val="52"/>
        <w:ind w:right="840" w:firstLine="472" w:firstLineChars="196"/>
        <w:rPr>
          <w:rFonts w:hint="eastAsia" w:ascii="宋体" w:hAnsi="宋体"/>
          <w:color w:val="auto"/>
          <w:sz w:val="24"/>
          <w:szCs w:val="24"/>
          <w:highlight w:val="none"/>
        </w:rPr>
      </w:pPr>
    </w:p>
    <w:p>
      <w:pPr>
        <w:pStyle w:val="52"/>
        <w:ind w:right="840" w:firstLine="5530" w:firstLineChars="2295"/>
        <w:rPr>
          <w:rFonts w:hint="eastAsia" w:ascii="宋体" w:hAnsi="宋体"/>
          <w:color w:val="auto"/>
          <w:sz w:val="24"/>
          <w:szCs w:val="24"/>
          <w:highlight w:val="none"/>
        </w:rPr>
      </w:pPr>
    </w:p>
    <w:p>
      <w:pPr>
        <w:pStyle w:val="52"/>
        <w:ind w:right="840" w:firstLine="5530" w:firstLineChars="2295"/>
        <w:rPr>
          <w:rFonts w:hint="eastAsia" w:ascii="宋体" w:hAnsi="宋体"/>
          <w:color w:val="auto"/>
          <w:sz w:val="24"/>
          <w:szCs w:val="24"/>
          <w:highlight w:val="none"/>
        </w:rPr>
      </w:pPr>
      <w:r>
        <w:rPr>
          <w:rFonts w:hint="eastAsia" w:ascii="宋体" w:hAnsi="宋体"/>
          <w:color w:val="auto"/>
          <w:sz w:val="24"/>
          <w:szCs w:val="24"/>
          <w:highlight w:val="none"/>
        </w:rPr>
        <w:t>供应商</w:t>
      </w:r>
      <w:r>
        <w:rPr>
          <w:rFonts w:hint="eastAsia" w:ascii="宋体" w:hAnsi="宋体"/>
          <w:color w:val="auto"/>
          <w:sz w:val="24"/>
          <w:szCs w:val="24"/>
          <w:highlight w:val="none"/>
          <w:lang w:eastAsia="zh-CN"/>
        </w:rPr>
        <w:t>盖</w:t>
      </w:r>
      <w:r>
        <w:rPr>
          <w:rFonts w:hint="eastAsia" w:ascii="宋体" w:hAnsi="宋体"/>
          <w:color w:val="auto"/>
          <w:sz w:val="24"/>
          <w:szCs w:val="24"/>
          <w:highlight w:val="none"/>
        </w:rPr>
        <w:t>章：</w:t>
      </w:r>
    </w:p>
    <w:p>
      <w:pPr>
        <w:pStyle w:val="52"/>
        <w:ind w:firstLine="0" w:firstLineChars="0"/>
        <w:jc w:val="right"/>
        <w:rPr>
          <w:rFonts w:hint="eastAsia" w:ascii="宋体" w:hAnsi="宋体"/>
          <w:color w:val="auto"/>
          <w:sz w:val="24"/>
          <w:szCs w:val="24"/>
          <w:highlight w:val="none"/>
        </w:rPr>
      </w:pPr>
      <w:r>
        <w:rPr>
          <w:rFonts w:ascii="宋体" w:hAnsi="宋体" w:cs="宋体"/>
          <w:color w:val="auto"/>
          <w:sz w:val="24"/>
          <w:szCs w:val="24"/>
          <w:highlight w:val="none"/>
        </w:rPr>
        <w:t>日    期：________________</w:t>
      </w: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ind w:firstLine="472" w:firstLineChars="196"/>
        <w:rPr>
          <w:rFonts w:hint="eastAsia" w:ascii="宋体" w:hAnsi="宋体"/>
          <w:color w:val="auto"/>
          <w:sz w:val="24"/>
          <w:szCs w:val="24"/>
          <w:highlight w:val="none"/>
        </w:rPr>
      </w:pPr>
    </w:p>
    <w:p>
      <w:pPr>
        <w:pStyle w:val="52"/>
        <w:keepNext w:val="0"/>
        <w:keepLines w:val="0"/>
        <w:pageBreakBefore w:val="0"/>
        <w:widowControl w:val="0"/>
        <w:kinsoku/>
        <w:overflowPunct/>
        <w:topLinePunct w:val="0"/>
        <w:autoSpaceDE/>
        <w:autoSpaceDN/>
        <w:bidi w:val="0"/>
        <w:adjustRightInd/>
        <w:snapToGrid/>
        <w:spacing w:line="400" w:lineRule="exact"/>
        <w:ind w:firstLine="472" w:firstLineChars="196"/>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、磋商函格式</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cs="华文仿宋"/>
          <w:b/>
          <w:color w:val="auto"/>
          <w:sz w:val="24"/>
          <w:highlight w:val="none"/>
        </w:rPr>
      </w:pPr>
      <w:r>
        <w:rPr>
          <w:rFonts w:hint="eastAsia" w:ascii="宋体" w:hAnsi="宋体" w:cs="华文仿宋"/>
          <w:color w:val="auto"/>
          <w:sz w:val="24"/>
          <w:highlight w:val="none"/>
        </w:rPr>
        <w:t>致</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（采购单位名称）：</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1、根据贵方</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磋商公告，我们决定参加贵方组织的</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项目的招标采购活动。我方授权</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（姓名和职务）代表我方</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（磋商单位的名称）全权处理本项目磋商的有关事宜。</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2、我方</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rPr>
        <w:t xml:space="preserve">（完全满足/不满足）《中华人民共和国政府采购法》第二十二条的全部要求，即具有良好的商业信誉和健全的财务会计制度、履行合同所必需的专业技术能力、有依法缴纳税收和社会保障资金的良好记录、近三年内在经营活动中 </w:t>
      </w:r>
      <w:r>
        <w:rPr>
          <w:rFonts w:hint="eastAsia" w:ascii="宋体" w:hAnsi="宋体" w:cs="华文仿宋"/>
          <w:color w:val="auto"/>
          <w:sz w:val="24"/>
          <w:highlight w:val="none"/>
          <w:u w:val="single"/>
        </w:rPr>
        <w:t xml:space="preserve">    </w:t>
      </w:r>
      <w:r>
        <w:rPr>
          <w:rFonts w:hint="eastAsia" w:ascii="宋体" w:hAnsi="宋体" w:cs="华文仿宋"/>
          <w:color w:val="auto"/>
          <w:sz w:val="24"/>
          <w:highlight w:val="none"/>
          <w:u w:val="single"/>
          <w:lang w:val="en-US" w:eastAsia="zh-CN"/>
        </w:rPr>
        <w:t xml:space="preserve"> </w:t>
      </w:r>
      <w:r>
        <w:rPr>
          <w:rFonts w:hint="eastAsia" w:ascii="宋体" w:hAnsi="宋体" w:cs="华文仿宋"/>
          <w:color w:val="auto"/>
          <w:sz w:val="24"/>
          <w:highlight w:val="none"/>
        </w:rPr>
        <w:t xml:space="preserve">（有/无）重大违法记录； </w:t>
      </w:r>
    </w:p>
    <w:p>
      <w:pPr>
        <w:keepNext w:val="0"/>
        <w:keepLines w:val="0"/>
        <w:pageBreakBefore w:val="0"/>
        <w:widowControl w:val="0"/>
        <w:kinsoku/>
        <w:wordWrap w:val="0"/>
        <w:overflowPunct/>
        <w:topLinePunct w:val="0"/>
        <w:autoSpaceDE/>
        <w:autoSpaceDN/>
        <w:bidi w:val="0"/>
        <w:adjustRightInd/>
        <w:snapToGrid/>
        <w:spacing w:line="400" w:lineRule="exact"/>
        <w:ind w:left="719" w:leftChars="228" w:hanging="240" w:hangingChars="100"/>
        <w:textAlignment w:val="auto"/>
        <w:rPr>
          <w:rFonts w:hint="eastAsia" w:ascii="宋体" w:hAnsi="宋体" w:cs="华文仿宋"/>
          <w:color w:val="auto"/>
          <w:sz w:val="24"/>
          <w:highlight w:val="none"/>
        </w:rPr>
      </w:pPr>
      <w:r>
        <w:rPr>
          <w:rFonts w:hint="eastAsia" w:ascii="宋体" w:hAnsi="宋体" w:cs="华文仿宋"/>
          <w:color w:val="auto"/>
          <w:sz w:val="24"/>
          <w:highlight w:val="none"/>
        </w:rPr>
        <w:t>3、我方、包括我方法定代表人</w:t>
      </w:r>
      <w:r>
        <w:rPr>
          <w:rFonts w:hint="eastAsia" w:ascii="宋体" w:hAnsi="宋体" w:cs="华文仿宋"/>
          <w:color w:val="auto"/>
          <w:sz w:val="24"/>
          <w:highlight w:val="none"/>
          <w:u w:val="single"/>
          <w:lang w:val="en-US" w:eastAsia="zh-CN"/>
        </w:rPr>
        <w:t xml:space="preserve">       </w:t>
      </w:r>
      <w:r>
        <w:rPr>
          <w:rFonts w:hint="eastAsia" w:ascii="宋体" w:hAnsi="宋体" w:cs="华文仿宋"/>
          <w:color w:val="auto"/>
          <w:sz w:val="24"/>
          <w:highlight w:val="none"/>
        </w:rPr>
        <w:t>或拟派项目负责人（项目负责人）</w:t>
      </w:r>
      <w:r>
        <w:rPr>
          <w:rFonts w:hint="eastAsia" w:ascii="宋体" w:hAnsi="宋体" w:cs="华文仿宋"/>
          <w:color w:val="auto"/>
          <w:sz w:val="24"/>
          <w:highlight w:val="none"/>
          <w:u w:val="single"/>
          <w:lang w:val="en-US" w:eastAsia="zh-CN"/>
        </w:rPr>
        <w:t xml:space="preserve">      </w:t>
      </w:r>
      <w:r>
        <w:rPr>
          <w:rFonts w:hint="eastAsia" w:ascii="宋体" w:hAnsi="宋体" w:cs="华文仿宋"/>
          <w:color w:val="auto"/>
          <w:sz w:val="24"/>
          <w:highlight w:val="none"/>
        </w:rPr>
        <w:t>未被人民检察院列入行贿犯罪档案；</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4、我方愿意按照磋商文件规定的各项要求，向采购人提供所需的货物与服务。</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5、一旦我方成交，我方将严格履行合同规定的责任和义务。</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6、我方同意按照磋商文件的要求，向贵方递交金额为人民币（大写）</w:t>
      </w:r>
      <w:r>
        <w:rPr>
          <w:rFonts w:hint="eastAsia" w:ascii="宋体" w:hAnsi="宋体" w:cs="华文仿宋"/>
          <w:color w:val="auto"/>
          <w:sz w:val="24"/>
          <w:highlight w:val="none"/>
          <w:u w:val="none"/>
        </w:rPr>
        <w:t>________________</w:t>
      </w:r>
      <w:r>
        <w:rPr>
          <w:rFonts w:hint="eastAsia" w:ascii="宋体" w:hAnsi="宋体" w:cs="华文仿宋"/>
          <w:color w:val="auto"/>
          <w:sz w:val="24"/>
          <w:highlight w:val="none"/>
        </w:rPr>
        <w:t>的磋商保证金。并且承诺，在招标有效期内如果我方撤回磋商响应文件或成交后拒绝签订合同，我方将放弃要求贵方退还该磋商保证金的权力。</w:t>
      </w:r>
    </w:p>
    <w:p>
      <w:pPr>
        <w:keepNext w:val="0"/>
        <w:keepLines w:val="0"/>
        <w:pageBreakBefore w:val="0"/>
        <w:widowControl w:val="0"/>
        <w:tabs>
          <w:tab w:val="left" w:pos="84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7、我方愿意提供贵方可能另外要求的、与磋商有关的文件资料，并保证我方已提供和将要提供的文件是真实的、准确的。</w:t>
      </w:r>
    </w:p>
    <w:p>
      <w:pPr>
        <w:keepNext w:val="0"/>
        <w:keepLines w:val="0"/>
        <w:pageBreakBefore w:val="0"/>
        <w:widowControl w:val="0"/>
        <w:tabs>
          <w:tab w:val="left" w:pos="0"/>
          <w:tab w:val="left" w:pos="84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8、我方完全理解贵方不一定将合同授予最低报价（折扣）的供应商。</w:t>
      </w:r>
    </w:p>
    <w:p>
      <w:pPr>
        <w:keepNext w:val="0"/>
        <w:keepLines w:val="0"/>
        <w:pageBreakBefore w:val="0"/>
        <w:widowControl w:val="0"/>
        <w:tabs>
          <w:tab w:val="left" w:pos="0"/>
          <w:tab w:val="left" w:pos="84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cs="华文仿宋"/>
          <w:color w:val="auto"/>
          <w:sz w:val="24"/>
          <w:highlight w:val="none"/>
        </w:rPr>
      </w:pPr>
      <w:r>
        <w:rPr>
          <w:rFonts w:hint="eastAsia" w:ascii="宋体" w:hAnsi="宋体" w:cs="华文仿宋"/>
          <w:color w:val="auto"/>
          <w:sz w:val="24"/>
          <w:highlight w:val="none"/>
        </w:rPr>
        <w:t>9、我单位承诺在本项目磋商截止时间前无被人民法院列入失信被执行人、无被人民检察院列入行贿犯罪档案、无被工商行政管理部门列入企业经营异常名录、无被税务部门列入重大税收违法案件当事人名单、无被政府采购监管部门列入政府采购严重违法失信行为记录名单。若有虚假，同意按政府采购法第七十七条处理</w:t>
      </w:r>
    </w:p>
    <w:p>
      <w:pPr>
        <w:pStyle w:val="52"/>
        <w:keepNext w:val="0"/>
        <w:keepLines w:val="0"/>
        <w:pageBreakBefore w:val="0"/>
        <w:widowControl w:val="0"/>
        <w:kinsoku/>
        <w:overflowPunct/>
        <w:topLinePunct w:val="0"/>
        <w:autoSpaceDE/>
        <w:autoSpaceDN/>
        <w:bidi w:val="0"/>
        <w:adjustRightInd/>
        <w:snapToGrid/>
        <w:spacing w:line="400" w:lineRule="exact"/>
        <w:ind w:right="980" w:firstLine="0" w:firstLineChars="0"/>
        <w:textAlignment w:val="auto"/>
        <w:rPr>
          <w:rFonts w:hint="eastAsia" w:ascii="宋体" w:hAnsi="宋体"/>
          <w:color w:val="auto"/>
          <w:sz w:val="24"/>
          <w:szCs w:val="24"/>
          <w:highlight w:val="none"/>
        </w:rPr>
      </w:pPr>
      <w:bookmarkStart w:id="12" w:name="_Toc393705366"/>
      <w:bookmarkStart w:id="13" w:name="_Toc400805871"/>
      <w:r>
        <w:rPr>
          <w:rFonts w:hint="eastAsia" w:ascii="宋体" w:hAnsi="宋体"/>
          <w:color w:val="auto"/>
          <w:sz w:val="24"/>
          <w:szCs w:val="24"/>
          <w:highlight w:val="none"/>
        </w:rPr>
        <w:t xml:space="preserve">                                 </w:t>
      </w:r>
    </w:p>
    <w:p>
      <w:pPr>
        <w:pStyle w:val="52"/>
        <w:keepNext w:val="0"/>
        <w:keepLines w:val="0"/>
        <w:pageBreakBefore w:val="0"/>
        <w:widowControl w:val="0"/>
        <w:kinsoku/>
        <w:overflowPunct/>
        <w:topLinePunct w:val="0"/>
        <w:autoSpaceDE/>
        <w:autoSpaceDN/>
        <w:bidi w:val="0"/>
        <w:adjustRightInd/>
        <w:snapToGrid/>
        <w:spacing w:line="400" w:lineRule="exact"/>
        <w:ind w:right="980" w:firstLine="0" w:firstLineChars="0"/>
        <w:textAlignment w:val="auto"/>
        <w:rPr>
          <w:rFonts w:hint="eastAsia" w:ascii="宋体" w:hAnsi="宋体"/>
          <w:color w:val="auto"/>
          <w:sz w:val="24"/>
          <w:szCs w:val="24"/>
          <w:highlight w:val="none"/>
        </w:rPr>
      </w:pPr>
    </w:p>
    <w:p>
      <w:pPr>
        <w:pStyle w:val="52"/>
        <w:keepNext w:val="0"/>
        <w:keepLines w:val="0"/>
        <w:pageBreakBefore w:val="0"/>
        <w:widowControl w:val="0"/>
        <w:kinsoku/>
        <w:overflowPunct/>
        <w:topLinePunct w:val="0"/>
        <w:autoSpaceDE/>
        <w:autoSpaceDN/>
        <w:bidi w:val="0"/>
        <w:adjustRightInd/>
        <w:snapToGrid/>
        <w:spacing w:line="400" w:lineRule="exact"/>
        <w:ind w:right="980" w:firstLine="0" w:firstLineChars="0"/>
        <w:textAlignment w:val="auto"/>
        <w:rPr>
          <w:rFonts w:hint="eastAsia" w:ascii="宋体" w:hAnsi="宋体"/>
          <w:color w:val="auto"/>
          <w:sz w:val="24"/>
          <w:szCs w:val="24"/>
          <w:highlight w:val="none"/>
        </w:rPr>
      </w:pPr>
    </w:p>
    <w:p>
      <w:pPr>
        <w:pStyle w:val="52"/>
        <w:keepNext w:val="0"/>
        <w:keepLines w:val="0"/>
        <w:pageBreakBefore w:val="0"/>
        <w:widowControl w:val="0"/>
        <w:kinsoku/>
        <w:overflowPunct/>
        <w:topLinePunct w:val="0"/>
        <w:autoSpaceDE/>
        <w:autoSpaceDN/>
        <w:bidi w:val="0"/>
        <w:adjustRightInd/>
        <w:snapToGrid/>
        <w:spacing w:line="400" w:lineRule="exact"/>
        <w:ind w:right="980" w:firstLine="3855" w:firstLineChars="16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   供应商</w:t>
      </w:r>
      <w:r>
        <w:rPr>
          <w:rFonts w:hint="eastAsia" w:ascii="宋体" w:hAnsi="宋体"/>
          <w:color w:val="auto"/>
          <w:sz w:val="24"/>
          <w:szCs w:val="24"/>
          <w:highlight w:val="none"/>
          <w:lang w:eastAsia="zh-CN"/>
        </w:rPr>
        <w:t>盖</w:t>
      </w:r>
      <w:r>
        <w:rPr>
          <w:rFonts w:hint="eastAsia" w:ascii="宋体" w:hAnsi="宋体"/>
          <w:color w:val="auto"/>
          <w:sz w:val="24"/>
          <w:szCs w:val="24"/>
          <w:highlight w:val="none"/>
        </w:rPr>
        <w:t>章：</w:t>
      </w:r>
    </w:p>
    <w:p>
      <w:pPr>
        <w:pStyle w:val="52"/>
        <w:keepNext w:val="0"/>
        <w:keepLines w:val="0"/>
        <w:pageBreakBefore w:val="0"/>
        <w:widowControl w:val="0"/>
        <w:kinsoku/>
        <w:overflowPunct/>
        <w:topLinePunct w:val="0"/>
        <w:autoSpaceDE/>
        <w:autoSpaceDN/>
        <w:bidi w:val="0"/>
        <w:adjustRightInd/>
        <w:snapToGrid/>
        <w:spacing w:line="400" w:lineRule="exact"/>
        <w:ind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日    期：________________</w:t>
      </w:r>
    </w:p>
    <w:p>
      <w:pPr>
        <w:pStyle w:val="52"/>
        <w:ind w:firstLine="0" w:firstLineChars="0"/>
        <w:jc w:val="right"/>
        <w:rPr>
          <w:rFonts w:hint="eastAsia" w:ascii="宋体" w:hAnsi="宋体" w:cs="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ind w:firstLine="590" w:firstLineChars="245"/>
        <w:rPr>
          <w:rFonts w:hint="eastAsia" w:ascii="宋体" w:hAnsi="宋体"/>
          <w:color w:val="auto"/>
          <w:sz w:val="24"/>
          <w:szCs w:val="24"/>
          <w:highlight w:val="none"/>
        </w:rPr>
      </w:pPr>
    </w:p>
    <w:p>
      <w:pPr>
        <w:pStyle w:val="52"/>
        <w:numPr>
          <w:ilvl w:val="0"/>
          <w:numId w:val="0"/>
        </w:numPr>
        <w:ind w:left="769"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项目实施方案</w:t>
      </w:r>
      <w:bookmarkEnd w:id="12"/>
      <w:bookmarkEnd w:id="13"/>
    </w:p>
    <w:p>
      <w:pPr>
        <w:pStyle w:val="52"/>
        <w:numPr>
          <w:ilvl w:val="0"/>
          <w:numId w:val="0"/>
        </w:numPr>
        <w:ind w:left="769" w:leftChars="0"/>
        <w:rPr>
          <w:rFonts w:hint="eastAsia" w:ascii="宋体" w:hAnsi="宋体"/>
          <w:color w:val="auto"/>
          <w:sz w:val="24"/>
          <w:szCs w:val="24"/>
          <w:highlight w:val="none"/>
        </w:rPr>
      </w:pPr>
    </w:p>
    <w:p>
      <w:pPr>
        <w:wordWrap w:val="0"/>
        <w:rPr>
          <w:rFonts w:hint="eastAsia" w:ascii="宋体" w:hAnsi="宋体" w:cs="华文仿宋"/>
          <w:b/>
          <w:color w:val="auto"/>
          <w:sz w:val="24"/>
          <w:highlight w:val="none"/>
        </w:rPr>
      </w:pPr>
      <w:r>
        <w:rPr>
          <w:rFonts w:hint="eastAsia" w:ascii="宋体" w:hAnsi="宋体" w:cs="华文仿宋"/>
          <w:b/>
          <w:color w:val="auto"/>
          <w:sz w:val="24"/>
          <w:highlight w:val="none"/>
        </w:rPr>
        <w:t>（一）供应商简介</w:t>
      </w:r>
    </w:p>
    <w:p>
      <w:pPr>
        <w:wordWrap w:val="0"/>
        <w:rPr>
          <w:rFonts w:hint="eastAsia" w:ascii="宋体" w:hAnsi="宋体" w:cs="华文仿宋"/>
          <w:color w:val="auto"/>
          <w:sz w:val="24"/>
          <w:highlight w:val="none"/>
        </w:rPr>
      </w:pPr>
      <w:r>
        <w:rPr>
          <w:rFonts w:hint="eastAsia" w:ascii="宋体" w:hAnsi="宋体" w:cs="华文仿宋"/>
          <w:color w:val="auto"/>
          <w:sz w:val="24"/>
          <w:highlight w:val="none"/>
        </w:rPr>
        <w:t>（不超过1000字）</w:t>
      </w:r>
    </w:p>
    <w:p>
      <w:pPr>
        <w:pStyle w:val="31"/>
        <w:rPr>
          <w:rFonts w:hint="eastAsia" w:ascii="宋体" w:hAnsi="宋体" w:cs="华文仿宋"/>
          <w:color w:val="auto"/>
          <w:sz w:val="24"/>
          <w:highlight w:val="none"/>
        </w:rPr>
      </w:pPr>
    </w:p>
    <w:p>
      <w:pPr>
        <w:rPr>
          <w:rFonts w:hint="eastAsia"/>
          <w:color w:val="auto"/>
          <w:highlight w:val="none"/>
        </w:rPr>
      </w:pPr>
    </w:p>
    <w:p>
      <w:pPr>
        <w:autoSpaceDN w:val="0"/>
        <w:spacing w:after="156" w:line="500" w:lineRule="exact"/>
        <w:rPr>
          <w:rFonts w:hint="eastAsia" w:ascii="宋体" w:hAnsi="宋体" w:cs="仿宋_GB2312"/>
          <w:color w:val="auto"/>
          <w:sz w:val="24"/>
          <w:highlight w:val="none"/>
        </w:rPr>
      </w:pPr>
      <w:r>
        <w:rPr>
          <w:rFonts w:hint="eastAsia" w:ascii="宋体" w:hAnsi="宋体" w:cs="华文仿宋"/>
          <w:b/>
          <w:color w:val="auto"/>
          <w:sz w:val="24"/>
          <w:highlight w:val="none"/>
        </w:rPr>
        <w:t>（二）</w:t>
      </w:r>
      <w:r>
        <w:rPr>
          <w:rFonts w:hint="eastAsia" w:ascii="宋体" w:hAnsi="宋体" w:cs="仿宋_GB2312"/>
          <w:b/>
          <w:color w:val="auto"/>
          <w:sz w:val="24"/>
          <w:highlight w:val="none"/>
        </w:rPr>
        <w:t>项目实施方案</w:t>
      </w:r>
    </w:p>
    <w:p>
      <w:pPr>
        <w:spacing w:before="236" w:line="219" w:lineRule="auto"/>
        <w:rPr>
          <w:rFonts w:ascii="宋体" w:hAnsi="宋体" w:eastAsia="宋体" w:cs="宋体"/>
          <w:color w:val="auto"/>
          <w:sz w:val="24"/>
          <w:szCs w:val="24"/>
          <w:highlight w:val="none"/>
        </w:rPr>
      </w:pPr>
      <w:r>
        <w:rPr>
          <w:rFonts w:hint="eastAsia" w:ascii="宋体" w:hAnsi="宋体" w:cs="华文仿宋"/>
          <w:color w:val="auto"/>
          <w:sz w:val="24"/>
          <w:highlight w:val="none"/>
        </w:rPr>
        <w:t>（</w:t>
      </w:r>
      <w:r>
        <w:rPr>
          <w:rFonts w:ascii="宋体" w:hAnsi="宋体" w:eastAsia="宋体" w:cs="宋体"/>
          <w:color w:val="auto"/>
          <w:spacing w:val="10"/>
          <w:sz w:val="24"/>
          <w:szCs w:val="24"/>
          <w:highlight w:val="none"/>
        </w:rPr>
        <w:t>(供应商自行编制)</w:t>
      </w:r>
    </w:p>
    <w:p>
      <w:pPr>
        <w:wordWrap w:val="0"/>
        <w:rPr>
          <w:rFonts w:hint="eastAsia" w:ascii="宋体" w:hAnsi="宋体" w:cs="华文仿宋"/>
          <w:color w:val="auto"/>
          <w:sz w:val="24"/>
          <w:highlight w:val="none"/>
        </w:rPr>
      </w:pPr>
    </w:p>
    <w:p>
      <w:pPr>
        <w:pStyle w:val="42"/>
        <w:rPr>
          <w:rFonts w:hint="eastAsia" w:ascii="宋体" w:hAnsi="宋体" w:cs="华文仿宋"/>
          <w:color w:val="auto"/>
          <w:sz w:val="24"/>
          <w:highlight w:val="none"/>
        </w:rPr>
      </w:pPr>
    </w:p>
    <w:p>
      <w:pPr>
        <w:pStyle w:val="42"/>
        <w:rPr>
          <w:rFonts w:hint="eastAsia" w:ascii="宋体" w:hAnsi="宋体" w:cs="华文仿宋"/>
          <w:color w:val="auto"/>
          <w:sz w:val="24"/>
          <w:highlight w:val="none"/>
        </w:rPr>
      </w:pPr>
    </w:p>
    <w:p>
      <w:pPr>
        <w:spacing w:before="91" w:line="221" w:lineRule="auto"/>
        <w:ind w:left="3"/>
        <w:rPr>
          <w:rFonts w:hint="eastAsia" w:ascii="宋体" w:hAnsi="宋体" w:eastAsia="宋体" w:cs="宋体"/>
          <w:color w:val="auto"/>
          <w:sz w:val="28"/>
          <w:szCs w:val="28"/>
          <w:highlight w:val="none"/>
          <w:lang w:eastAsia="zh-CN"/>
        </w:rPr>
      </w:pPr>
      <w:r>
        <w:rPr>
          <w:rFonts w:ascii="宋体" w:hAnsi="宋体" w:eastAsia="宋体" w:cs="宋体"/>
          <w:color w:val="auto"/>
          <w:spacing w:val="17"/>
          <w:sz w:val="28"/>
          <w:szCs w:val="28"/>
          <w:highlight w:val="none"/>
        </w:rPr>
        <w:t>(</w:t>
      </w:r>
      <w:r>
        <w:rPr>
          <w:rFonts w:hint="eastAsia" w:ascii="宋体" w:hAnsi="宋体" w:cs="宋体"/>
          <w:color w:val="auto"/>
          <w:spacing w:val="16"/>
          <w:sz w:val="28"/>
          <w:szCs w:val="28"/>
          <w:highlight w:val="none"/>
          <w:lang w:eastAsia="zh-CN"/>
        </w:rPr>
        <w:t>三</w:t>
      </w:r>
      <w:r>
        <w:rPr>
          <w:rFonts w:ascii="宋体" w:hAnsi="宋体" w:eastAsia="宋体" w:cs="宋体"/>
          <w:color w:val="auto"/>
          <w:spacing w:val="16"/>
          <w:sz w:val="28"/>
          <w:szCs w:val="28"/>
          <w:highlight w:val="none"/>
        </w:rPr>
        <w:t>)</w:t>
      </w:r>
      <w:r>
        <w:rPr>
          <w:rFonts w:hint="eastAsia" w:ascii="宋体" w:hAnsi="宋体" w:eastAsia="宋体" w:cs="宋体"/>
          <w:color w:val="auto"/>
          <w:spacing w:val="16"/>
          <w:sz w:val="28"/>
          <w:szCs w:val="28"/>
          <w:highlight w:val="none"/>
          <w:lang w:eastAsia="zh-CN"/>
        </w:rPr>
        <w:t>服务</w:t>
      </w:r>
      <w:r>
        <w:rPr>
          <w:rFonts w:ascii="宋体" w:hAnsi="宋体" w:eastAsia="宋体" w:cs="宋体"/>
          <w:color w:val="auto"/>
          <w:spacing w:val="16"/>
          <w:sz w:val="28"/>
          <w:szCs w:val="28"/>
          <w:highlight w:val="none"/>
        </w:rPr>
        <w:t>方案</w:t>
      </w:r>
      <w:r>
        <w:rPr>
          <w:rFonts w:hint="eastAsia" w:ascii="宋体" w:hAnsi="宋体" w:eastAsia="宋体" w:cs="宋体"/>
          <w:color w:val="auto"/>
          <w:spacing w:val="16"/>
          <w:sz w:val="28"/>
          <w:szCs w:val="28"/>
          <w:highlight w:val="none"/>
          <w:lang w:eastAsia="zh-CN"/>
        </w:rPr>
        <w:t>及应急机制</w:t>
      </w:r>
    </w:p>
    <w:p>
      <w:pPr>
        <w:pStyle w:val="42"/>
        <w:rPr>
          <w:rFonts w:hint="eastAsia" w:ascii="宋体" w:hAnsi="宋体" w:eastAsia="宋体" w:cs="华文仿宋"/>
          <w:color w:val="auto"/>
          <w:sz w:val="24"/>
          <w:highlight w:val="none"/>
          <w:lang w:eastAsia="zh-CN"/>
        </w:rPr>
      </w:pPr>
    </w:p>
    <w:p>
      <w:pPr>
        <w:tabs>
          <w:tab w:val="left" w:pos="1815"/>
        </w:tabs>
        <w:snapToGrid w:val="0"/>
        <w:ind w:firstLine="480" w:firstLineChars="200"/>
        <w:rPr>
          <w:rFonts w:hint="eastAsia" w:ascii="宋体" w:hAnsi="宋体" w:cs="Arial"/>
          <w:color w:val="auto"/>
          <w:sz w:val="24"/>
          <w:highlight w:val="none"/>
        </w:rPr>
      </w:pPr>
    </w:p>
    <w:p>
      <w:pPr>
        <w:pStyle w:val="31"/>
        <w:rPr>
          <w:rFonts w:hint="eastAsia" w:ascii="宋体" w:hAnsi="宋体" w:cs="Arial"/>
          <w:color w:val="auto"/>
          <w:sz w:val="24"/>
          <w:highlight w:val="none"/>
        </w:rPr>
      </w:pPr>
    </w:p>
    <w:p>
      <w:pPr>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42"/>
        <w:rPr>
          <w:rFonts w:hint="eastAsia"/>
          <w:color w:val="auto"/>
          <w:highlight w:val="none"/>
        </w:rPr>
      </w:pPr>
    </w:p>
    <w:p>
      <w:pPr>
        <w:pStyle w:val="52"/>
        <w:numPr>
          <w:ilvl w:val="0"/>
          <w:numId w:val="0"/>
        </w:numPr>
        <w:ind w:left="769" w:leftChars="0"/>
        <w:rPr>
          <w:rFonts w:hint="eastAsia" w:ascii="宋体" w:hAnsi="宋体"/>
          <w:color w:val="auto"/>
          <w:sz w:val="24"/>
          <w:szCs w:val="24"/>
          <w:highlight w:val="none"/>
        </w:rPr>
      </w:pPr>
      <w:bookmarkStart w:id="14" w:name="_Toc393705367"/>
      <w:bookmarkStart w:id="15" w:name="_Toc400805872"/>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履行合同所必需的设备专业技术能力证明</w:t>
      </w:r>
      <w:bookmarkEnd w:id="14"/>
      <w:bookmarkEnd w:id="15"/>
    </w:p>
    <w:p>
      <w:pPr>
        <w:pStyle w:val="52"/>
        <w:numPr>
          <w:ilvl w:val="0"/>
          <w:numId w:val="0"/>
        </w:numPr>
        <w:ind w:left="769" w:leftChars="0"/>
        <w:rPr>
          <w:rFonts w:hint="eastAsia" w:ascii="宋体" w:hAnsi="宋体"/>
          <w:color w:val="auto"/>
          <w:sz w:val="24"/>
          <w:szCs w:val="24"/>
          <w:highlight w:val="none"/>
        </w:rPr>
      </w:pPr>
    </w:p>
    <w:p>
      <w:pPr>
        <w:wordWrap w:val="0"/>
        <w:rPr>
          <w:rFonts w:hint="eastAsia" w:ascii="宋体" w:hAnsi="宋体" w:cs="华文仿宋"/>
          <w:color w:val="auto"/>
          <w:sz w:val="24"/>
          <w:highlight w:val="none"/>
        </w:rPr>
      </w:pPr>
      <w:r>
        <w:rPr>
          <w:rFonts w:hint="eastAsia" w:ascii="宋体" w:hAnsi="宋体" w:cs="华文仿宋"/>
          <w:color w:val="auto"/>
          <w:sz w:val="24"/>
          <w:highlight w:val="none"/>
        </w:rPr>
        <w:t>（1）服务本项目主要人员一览表</w:t>
      </w:r>
    </w:p>
    <w:tbl>
      <w:tblPr>
        <w:tblStyle w:val="32"/>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828" w:type="dxa"/>
            <w:vMerge w:val="restart"/>
            <w:noWrap w:val="0"/>
            <w:vAlign w:val="center"/>
          </w:tcPr>
          <w:p>
            <w:pPr>
              <w:jc w:val="center"/>
              <w:rPr>
                <w:rFonts w:hint="eastAsia" w:ascii="宋体" w:hAnsi="宋体" w:cs="华文仿宋"/>
                <w:color w:val="auto"/>
                <w:sz w:val="24"/>
                <w:highlight w:val="none"/>
              </w:rPr>
            </w:pPr>
            <w:r>
              <w:rPr>
                <w:rFonts w:hint="eastAsia" w:ascii="宋体" w:hAnsi="宋体" w:cs="华文仿宋"/>
                <w:color w:val="auto"/>
                <w:sz w:val="24"/>
                <w:highlight w:val="none"/>
              </w:rPr>
              <w:t>类别</w:t>
            </w:r>
          </w:p>
        </w:tc>
        <w:tc>
          <w:tcPr>
            <w:tcW w:w="1080" w:type="dxa"/>
            <w:vMerge w:val="restart"/>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姓名</w:t>
            </w:r>
          </w:p>
        </w:tc>
        <w:tc>
          <w:tcPr>
            <w:tcW w:w="1080" w:type="dxa"/>
            <w:vMerge w:val="restart"/>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职务</w:t>
            </w:r>
          </w:p>
        </w:tc>
        <w:tc>
          <w:tcPr>
            <w:tcW w:w="1492" w:type="dxa"/>
            <w:vMerge w:val="restart"/>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职称或执业资格</w:t>
            </w:r>
          </w:p>
        </w:tc>
        <w:tc>
          <w:tcPr>
            <w:tcW w:w="1388" w:type="dxa"/>
            <w:vMerge w:val="restart"/>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学历</w:t>
            </w:r>
          </w:p>
        </w:tc>
        <w:tc>
          <w:tcPr>
            <w:tcW w:w="4016" w:type="dxa"/>
            <w:gridSpan w:val="2"/>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28" w:type="dxa"/>
            <w:vMerge w:val="continue"/>
            <w:noWrap w:val="0"/>
            <w:vAlign w:val="center"/>
          </w:tcPr>
          <w:p>
            <w:pPr>
              <w:wordWrap w:val="0"/>
              <w:jc w:val="center"/>
              <w:rPr>
                <w:rFonts w:hint="eastAsia" w:ascii="宋体" w:hAnsi="宋体" w:cs="华文仿宋"/>
                <w:color w:val="auto"/>
                <w:sz w:val="24"/>
                <w:highlight w:val="none"/>
              </w:rPr>
            </w:pPr>
          </w:p>
        </w:tc>
        <w:tc>
          <w:tcPr>
            <w:tcW w:w="1080" w:type="dxa"/>
            <w:vMerge w:val="continue"/>
            <w:noWrap w:val="0"/>
            <w:vAlign w:val="center"/>
          </w:tcPr>
          <w:p>
            <w:pPr>
              <w:wordWrap w:val="0"/>
              <w:jc w:val="center"/>
              <w:rPr>
                <w:rFonts w:hint="eastAsia" w:ascii="宋体" w:hAnsi="宋体" w:cs="华文仿宋"/>
                <w:color w:val="auto"/>
                <w:sz w:val="24"/>
                <w:highlight w:val="none"/>
              </w:rPr>
            </w:pPr>
          </w:p>
        </w:tc>
        <w:tc>
          <w:tcPr>
            <w:tcW w:w="1080" w:type="dxa"/>
            <w:vMerge w:val="continue"/>
            <w:noWrap w:val="0"/>
            <w:vAlign w:val="center"/>
          </w:tcPr>
          <w:p>
            <w:pPr>
              <w:wordWrap w:val="0"/>
              <w:jc w:val="center"/>
              <w:rPr>
                <w:rFonts w:hint="eastAsia" w:ascii="宋体" w:hAnsi="宋体" w:cs="华文仿宋"/>
                <w:color w:val="auto"/>
                <w:sz w:val="24"/>
                <w:highlight w:val="none"/>
              </w:rPr>
            </w:pPr>
          </w:p>
        </w:tc>
        <w:tc>
          <w:tcPr>
            <w:tcW w:w="1492" w:type="dxa"/>
            <w:vMerge w:val="continue"/>
            <w:noWrap w:val="0"/>
            <w:vAlign w:val="center"/>
          </w:tcPr>
          <w:p>
            <w:pPr>
              <w:wordWrap w:val="0"/>
              <w:jc w:val="center"/>
              <w:rPr>
                <w:rFonts w:hint="eastAsia" w:ascii="宋体" w:hAnsi="宋体" w:cs="华文仿宋"/>
                <w:color w:val="auto"/>
                <w:sz w:val="24"/>
                <w:highlight w:val="none"/>
              </w:rPr>
            </w:pPr>
          </w:p>
        </w:tc>
        <w:tc>
          <w:tcPr>
            <w:tcW w:w="1388" w:type="dxa"/>
            <w:vMerge w:val="continue"/>
            <w:noWrap w:val="0"/>
            <w:vAlign w:val="center"/>
          </w:tcPr>
          <w:p>
            <w:pPr>
              <w:wordWrap w:val="0"/>
              <w:jc w:val="center"/>
              <w:rPr>
                <w:rFonts w:hint="eastAsia" w:ascii="宋体" w:hAnsi="宋体" w:cs="华文仿宋"/>
                <w:color w:val="auto"/>
                <w:sz w:val="24"/>
                <w:highlight w:val="none"/>
              </w:rPr>
            </w:pPr>
          </w:p>
        </w:tc>
        <w:tc>
          <w:tcPr>
            <w:tcW w:w="1620" w:type="dxa"/>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名称</w:t>
            </w:r>
          </w:p>
        </w:tc>
        <w:tc>
          <w:tcPr>
            <w:tcW w:w="2396" w:type="dxa"/>
            <w:noWrap w:val="0"/>
            <w:vAlign w:val="center"/>
          </w:tcPr>
          <w:p>
            <w:pPr>
              <w:wordWrap w:val="0"/>
              <w:jc w:val="center"/>
              <w:rPr>
                <w:rFonts w:hint="eastAsia" w:ascii="宋体" w:hAnsi="宋体" w:cs="华文仿宋"/>
                <w:color w:val="auto"/>
                <w:sz w:val="24"/>
                <w:highlight w:val="none"/>
              </w:rPr>
            </w:pPr>
            <w:r>
              <w:rPr>
                <w:rFonts w:hint="eastAsia" w:ascii="宋体" w:hAnsi="宋体" w:cs="华文仿宋"/>
                <w:color w:val="auto"/>
                <w:sz w:val="24"/>
                <w:highlight w:val="none"/>
              </w:rPr>
              <w:t>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restart"/>
            <w:noWrap w:val="0"/>
            <w:textDirection w:val="tbRlV"/>
            <w:vAlign w:val="center"/>
          </w:tcPr>
          <w:p>
            <w:pPr>
              <w:jc w:val="center"/>
              <w:rPr>
                <w:rFonts w:hint="eastAsia" w:ascii="宋体" w:hAnsi="宋体" w:cs="华文仿宋"/>
                <w:color w:val="auto"/>
                <w:sz w:val="24"/>
                <w:highlight w:val="none"/>
              </w:rPr>
            </w:pPr>
            <w:r>
              <w:rPr>
                <w:rFonts w:hint="eastAsia" w:ascii="宋体" w:hAnsi="宋体" w:cs="华文仿宋"/>
                <w:color w:val="auto"/>
                <w:sz w:val="24"/>
                <w:highlight w:val="none"/>
                <w:lang w:eastAsia="zh-CN"/>
              </w:rPr>
              <w:t>项目负责人（项目经理）</w:t>
            </w: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continue"/>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continue"/>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continue"/>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restart"/>
            <w:noWrap w:val="0"/>
            <w:textDirection w:val="tbRlV"/>
            <w:vAlign w:val="center"/>
          </w:tcPr>
          <w:p>
            <w:pPr>
              <w:jc w:val="center"/>
              <w:rPr>
                <w:rFonts w:hint="eastAsia" w:ascii="宋体" w:hAnsi="宋体" w:cs="华文仿宋"/>
                <w:color w:val="auto"/>
                <w:sz w:val="24"/>
                <w:highlight w:val="none"/>
              </w:rPr>
            </w:pPr>
            <w:r>
              <w:rPr>
                <w:rFonts w:hint="eastAsia" w:ascii="宋体" w:hAnsi="宋体" w:cs="华文仿宋"/>
                <w:color w:val="auto"/>
                <w:sz w:val="24"/>
                <w:highlight w:val="none"/>
              </w:rPr>
              <w:t>技术人员</w:t>
            </w: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continue"/>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continue"/>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restart"/>
            <w:noWrap w:val="0"/>
            <w:vAlign w:val="center"/>
          </w:tcPr>
          <w:p>
            <w:pPr>
              <w:jc w:val="center"/>
              <w:rPr>
                <w:rFonts w:hint="eastAsia" w:ascii="宋体" w:hAnsi="宋体" w:eastAsia="宋体" w:cs="华文仿宋"/>
                <w:color w:val="auto"/>
                <w:sz w:val="24"/>
                <w:highlight w:val="none"/>
                <w:lang w:eastAsia="zh-CN"/>
              </w:rPr>
            </w:pPr>
            <w:r>
              <w:rPr>
                <w:rFonts w:hint="eastAsia" w:ascii="宋体" w:hAnsi="宋体" w:cs="华文仿宋"/>
                <w:color w:val="auto"/>
                <w:sz w:val="24"/>
                <w:highlight w:val="none"/>
              </w:rPr>
              <w:t>其它</w:t>
            </w:r>
            <w:r>
              <w:rPr>
                <w:rFonts w:hint="eastAsia" w:ascii="宋体" w:hAnsi="宋体" w:cs="华文仿宋"/>
                <w:color w:val="auto"/>
                <w:sz w:val="24"/>
                <w:highlight w:val="none"/>
                <w:lang w:eastAsia="zh-CN"/>
              </w:rPr>
              <w:t>专业人员</w:t>
            </w: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3" w:hRule="atLeast"/>
          <w:jc w:val="center"/>
        </w:trPr>
        <w:tc>
          <w:tcPr>
            <w:tcW w:w="828" w:type="dxa"/>
            <w:vMerge w:val="continue"/>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080" w:type="dxa"/>
            <w:noWrap w:val="0"/>
            <w:vAlign w:val="center"/>
          </w:tcPr>
          <w:p>
            <w:pPr>
              <w:wordWrap w:val="0"/>
              <w:rPr>
                <w:rFonts w:hint="eastAsia" w:ascii="宋体" w:hAnsi="宋体" w:cs="华文仿宋"/>
                <w:color w:val="auto"/>
                <w:sz w:val="24"/>
                <w:highlight w:val="none"/>
              </w:rPr>
            </w:pPr>
          </w:p>
        </w:tc>
        <w:tc>
          <w:tcPr>
            <w:tcW w:w="1492" w:type="dxa"/>
            <w:noWrap w:val="0"/>
            <w:vAlign w:val="center"/>
          </w:tcPr>
          <w:p>
            <w:pPr>
              <w:wordWrap w:val="0"/>
              <w:rPr>
                <w:rFonts w:hint="eastAsia" w:ascii="宋体" w:hAnsi="宋体" w:cs="华文仿宋"/>
                <w:color w:val="auto"/>
                <w:sz w:val="24"/>
                <w:highlight w:val="none"/>
              </w:rPr>
            </w:pPr>
          </w:p>
        </w:tc>
        <w:tc>
          <w:tcPr>
            <w:tcW w:w="1388" w:type="dxa"/>
            <w:noWrap w:val="0"/>
            <w:vAlign w:val="center"/>
          </w:tcPr>
          <w:p>
            <w:pPr>
              <w:wordWrap w:val="0"/>
              <w:rPr>
                <w:rFonts w:hint="eastAsia" w:ascii="宋体" w:hAnsi="宋体" w:cs="华文仿宋"/>
                <w:color w:val="auto"/>
                <w:sz w:val="24"/>
                <w:highlight w:val="none"/>
              </w:rPr>
            </w:pPr>
          </w:p>
        </w:tc>
        <w:tc>
          <w:tcPr>
            <w:tcW w:w="1620" w:type="dxa"/>
            <w:noWrap w:val="0"/>
            <w:vAlign w:val="center"/>
          </w:tcPr>
          <w:p>
            <w:pPr>
              <w:wordWrap w:val="0"/>
              <w:rPr>
                <w:rFonts w:hint="eastAsia" w:ascii="宋体" w:hAnsi="宋体" w:cs="华文仿宋"/>
                <w:color w:val="auto"/>
                <w:sz w:val="24"/>
                <w:highlight w:val="none"/>
              </w:rPr>
            </w:pPr>
          </w:p>
        </w:tc>
        <w:tc>
          <w:tcPr>
            <w:tcW w:w="2396" w:type="dxa"/>
            <w:noWrap w:val="0"/>
            <w:vAlign w:val="center"/>
          </w:tcPr>
          <w:p>
            <w:pPr>
              <w:wordWrap w:val="0"/>
              <w:rPr>
                <w:rFonts w:hint="eastAsia" w:ascii="宋体" w:hAnsi="宋体" w:cs="华文仿宋"/>
                <w:color w:val="auto"/>
                <w:sz w:val="24"/>
                <w:highlight w:val="none"/>
              </w:rPr>
            </w:pPr>
          </w:p>
        </w:tc>
      </w:tr>
    </w:tbl>
    <w:p>
      <w:pPr>
        <w:wordWrap w:val="0"/>
        <w:rPr>
          <w:rFonts w:hint="eastAsia" w:ascii="宋体" w:hAnsi="宋体" w:cs="华文仿宋"/>
          <w:color w:val="auto"/>
          <w:sz w:val="24"/>
          <w:highlight w:val="none"/>
        </w:rPr>
      </w:pPr>
    </w:p>
    <w:p>
      <w:pPr>
        <w:wordWrap w:val="0"/>
        <w:rPr>
          <w:rFonts w:hint="eastAsia" w:ascii="宋体" w:hAnsi="宋体" w:cs="华文仿宋"/>
          <w:color w:val="auto"/>
          <w:sz w:val="24"/>
          <w:highlight w:val="none"/>
        </w:rPr>
      </w:pPr>
      <w:r>
        <w:rPr>
          <w:rFonts w:hint="eastAsia" w:ascii="宋体" w:hAnsi="宋体" w:cs="华文仿宋"/>
          <w:color w:val="auto"/>
          <w:sz w:val="24"/>
          <w:highlight w:val="none"/>
        </w:rPr>
        <w:t>注：证件应附复印件或影印件，供应商对其真实性负法律责任。</w:t>
      </w:r>
    </w:p>
    <w:p>
      <w:pPr>
        <w:pStyle w:val="52"/>
        <w:ind w:firstLine="0" w:firstLineChars="0"/>
        <w:rPr>
          <w:rFonts w:hint="eastAsia" w:ascii="宋体" w:hAnsi="宋体"/>
          <w:color w:val="auto"/>
          <w:sz w:val="24"/>
          <w:szCs w:val="24"/>
          <w:highlight w:val="none"/>
        </w:rPr>
      </w:pPr>
      <w:r>
        <w:rPr>
          <w:rFonts w:hint="eastAsia" w:ascii="宋体" w:hAnsi="宋体"/>
          <w:color w:val="auto"/>
          <w:sz w:val="24"/>
          <w:szCs w:val="24"/>
          <w:highlight w:val="none"/>
        </w:rPr>
        <w:t>（2）其它证明。</w:t>
      </w:r>
    </w:p>
    <w:p>
      <w:pPr>
        <w:spacing w:line="440" w:lineRule="exact"/>
        <w:rPr>
          <w:rFonts w:ascii="宋体" w:hAnsi="宋体" w:cs="华文仿宋"/>
          <w:b/>
          <w:bCs/>
          <w:color w:val="auto"/>
          <w:sz w:val="24"/>
          <w:highlight w:val="none"/>
        </w:rPr>
      </w:pPr>
      <w:bookmarkStart w:id="16" w:name="_Toc400805873"/>
      <w:bookmarkStart w:id="17" w:name="_Toc393705369"/>
    </w:p>
    <w:p>
      <w:pPr>
        <w:spacing w:line="440" w:lineRule="exact"/>
        <w:rPr>
          <w:rFonts w:ascii="宋体" w:hAnsi="宋体" w:cs="华文仿宋"/>
          <w:b/>
          <w:bCs/>
          <w:color w:val="auto"/>
          <w:sz w:val="24"/>
          <w:highlight w:val="none"/>
        </w:rPr>
      </w:pPr>
    </w:p>
    <w:p>
      <w:pPr>
        <w:spacing w:line="440" w:lineRule="exact"/>
        <w:rPr>
          <w:rFonts w:ascii="宋体" w:hAnsi="宋体" w:cs="华文仿宋"/>
          <w:b/>
          <w:bCs/>
          <w:color w:val="auto"/>
          <w:sz w:val="24"/>
          <w:highlight w:val="none"/>
        </w:rPr>
      </w:pPr>
    </w:p>
    <w:p>
      <w:pPr>
        <w:spacing w:line="440" w:lineRule="exact"/>
        <w:rPr>
          <w:rFonts w:ascii="宋体" w:hAnsi="宋体" w:cs="华文仿宋"/>
          <w:b/>
          <w:bCs/>
          <w:color w:val="auto"/>
          <w:sz w:val="24"/>
          <w:highlight w:val="none"/>
        </w:rPr>
      </w:pPr>
    </w:p>
    <w:p>
      <w:pPr>
        <w:spacing w:line="440" w:lineRule="exact"/>
        <w:rPr>
          <w:rFonts w:ascii="宋体" w:hAnsi="宋体" w:cs="华文仿宋"/>
          <w:b/>
          <w:bCs/>
          <w:color w:val="auto"/>
          <w:sz w:val="24"/>
          <w:highlight w:val="none"/>
        </w:rPr>
      </w:pPr>
    </w:p>
    <w:p>
      <w:pPr>
        <w:spacing w:line="440" w:lineRule="exact"/>
        <w:rPr>
          <w:rFonts w:ascii="宋体" w:hAnsi="宋体" w:cs="华文仿宋"/>
          <w:b/>
          <w:bCs/>
          <w:color w:val="auto"/>
          <w:sz w:val="24"/>
          <w:highlight w:val="none"/>
        </w:rPr>
      </w:pPr>
    </w:p>
    <w:p>
      <w:pPr>
        <w:rPr>
          <w:rFonts w:hint="eastAsia" w:cs="华文仿宋"/>
          <w:b/>
          <w:bCs/>
          <w:color w:val="auto"/>
          <w:highlight w:val="none"/>
        </w:rPr>
      </w:pPr>
    </w:p>
    <w:p>
      <w:pPr>
        <w:rPr>
          <w:rFonts w:hint="eastAsia" w:cs="华文仿宋"/>
          <w:b/>
          <w:bCs/>
          <w:color w:val="auto"/>
          <w:highlight w:val="none"/>
        </w:rPr>
      </w:pPr>
    </w:p>
    <w:p>
      <w:pPr>
        <w:numPr>
          <w:ilvl w:val="0"/>
          <w:numId w:val="0"/>
        </w:numPr>
        <w:spacing w:line="440" w:lineRule="exact"/>
        <w:rPr>
          <w:rFonts w:hint="eastAsia" w:cs="华文仿宋"/>
          <w:b/>
          <w:bCs/>
          <w:color w:val="auto"/>
          <w:highlight w:val="none"/>
        </w:rPr>
      </w:pPr>
      <w:r>
        <w:rPr>
          <w:rFonts w:hint="eastAsia" w:cs="华文仿宋"/>
          <w:b/>
          <w:bCs/>
          <w:color w:val="auto"/>
          <w:highlight w:val="none"/>
          <w:lang w:val="en-US" w:eastAsia="zh-CN"/>
        </w:rPr>
        <w:t>7</w:t>
      </w:r>
      <w:r>
        <w:rPr>
          <w:rFonts w:hint="eastAsia" w:cs="华文仿宋"/>
          <w:b/>
          <w:bCs/>
          <w:color w:val="auto"/>
          <w:highlight w:val="none"/>
        </w:rPr>
        <w:t>、业绩一览表（如有）</w:t>
      </w:r>
    </w:p>
    <w:p>
      <w:pPr>
        <w:pStyle w:val="53"/>
        <w:adjustRightInd/>
        <w:ind w:firstLine="482" w:firstLineChars="200"/>
        <w:jc w:val="both"/>
        <w:rPr>
          <w:rFonts w:hint="eastAsia" w:cs="华文仿宋"/>
          <w:bCs/>
          <w:color w:val="auto"/>
          <w:highlight w:val="none"/>
        </w:rPr>
      </w:pPr>
      <w:r>
        <w:rPr>
          <w:rFonts w:hint="eastAsia" w:cs="华文仿宋"/>
          <w:b/>
          <w:bCs/>
          <w:color w:val="auto"/>
          <w:highlight w:val="none"/>
        </w:rPr>
        <w:t>如磋商文件中有业绩要求，此表由供应商填写，业绩一览表内容与磋商响应文件中提供的业绩证明材料需一致，将随成交结果公告一并发布，接受社会监督。否则按无效标处理。</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8"/>
        <w:gridCol w:w="2402"/>
        <w:gridCol w:w="1455"/>
        <w:gridCol w:w="1664"/>
        <w:gridCol w:w="1559"/>
        <w:gridCol w:w="13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jc w:val="center"/>
              <w:rPr>
                <w:rFonts w:ascii="宋体" w:hAnsi="宋体" w:cs="Arial"/>
                <w:color w:val="auto"/>
                <w:sz w:val="24"/>
                <w:highlight w:val="none"/>
              </w:rPr>
            </w:pPr>
            <w:r>
              <w:rPr>
                <w:rFonts w:hint="eastAsia" w:ascii="宋体" w:hAnsi="宋体" w:cs="Arial"/>
                <w:color w:val="auto"/>
                <w:sz w:val="24"/>
                <w:highlight w:val="none"/>
              </w:rPr>
              <w:t>序号</w:t>
            </w:r>
          </w:p>
        </w:tc>
        <w:tc>
          <w:tcPr>
            <w:tcW w:w="2402" w:type="dxa"/>
            <w:noWrap w:val="0"/>
            <w:vAlign w:val="center"/>
          </w:tcPr>
          <w:p>
            <w:pPr>
              <w:jc w:val="center"/>
              <w:rPr>
                <w:rFonts w:ascii="宋体" w:hAnsi="宋体" w:cs="Arial"/>
                <w:color w:val="auto"/>
                <w:sz w:val="24"/>
                <w:highlight w:val="none"/>
              </w:rPr>
            </w:pPr>
            <w:r>
              <w:rPr>
                <w:rFonts w:hint="eastAsia" w:ascii="宋体" w:hAnsi="宋体" w:cs="Arial"/>
                <w:color w:val="auto"/>
                <w:sz w:val="24"/>
                <w:highlight w:val="none"/>
              </w:rPr>
              <w:t>业绩名称</w:t>
            </w:r>
          </w:p>
        </w:tc>
        <w:tc>
          <w:tcPr>
            <w:tcW w:w="1455" w:type="dxa"/>
            <w:noWrap w:val="0"/>
            <w:vAlign w:val="center"/>
          </w:tcPr>
          <w:p>
            <w:pPr>
              <w:jc w:val="center"/>
              <w:rPr>
                <w:rFonts w:hint="eastAsia" w:ascii="宋体" w:hAnsi="宋体" w:cs="Arial"/>
                <w:color w:val="auto"/>
                <w:sz w:val="24"/>
                <w:highlight w:val="none"/>
              </w:rPr>
            </w:pPr>
            <w:r>
              <w:rPr>
                <w:rFonts w:hint="eastAsia" w:ascii="宋体" w:hAnsi="宋体" w:cs="Arial"/>
                <w:color w:val="auto"/>
                <w:sz w:val="24"/>
                <w:highlight w:val="none"/>
              </w:rPr>
              <w:t>业绩金额</w:t>
            </w:r>
          </w:p>
        </w:tc>
        <w:tc>
          <w:tcPr>
            <w:tcW w:w="1664" w:type="dxa"/>
            <w:noWrap w:val="0"/>
            <w:vAlign w:val="center"/>
          </w:tcPr>
          <w:p>
            <w:pPr>
              <w:jc w:val="center"/>
              <w:rPr>
                <w:rFonts w:hint="eastAsia" w:ascii="宋体" w:hAnsi="宋体" w:cs="Arial"/>
                <w:color w:val="auto"/>
                <w:sz w:val="24"/>
                <w:highlight w:val="none"/>
              </w:rPr>
            </w:pPr>
            <w:r>
              <w:rPr>
                <w:rFonts w:hint="eastAsia" w:ascii="宋体" w:hAnsi="宋体" w:cs="Arial"/>
                <w:color w:val="auto"/>
                <w:sz w:val="24"/>
                <w:highlight w:val="none"/>
              </w:rPr>
              <w:t>甲方</w:t>
            </w:r>
          </w:p>
        </w:tc>
        <w:tc>
          <w:tcPr>
            <w:tcW w:w="1559" w:type="dxa"/>
            <w:noWrap w:val="0"/>
            <w:vAlign w:val="center"/>
          </w:tcPr>
          <w:p>
            <w:pPr>
              <w:jc w:val="center"/>
              <w:rPr>
                <w:rFonts w:hint="eastAsia" w:ascii="宋体" w:hAnsi="宋体" w:cs="Arial"/>
                <w:color w:val="auto"/>
                <w:sz w:val="24"/>
                <w:highlight w:val="none"/>
              </w:rPr>
            </w:pPr>
            <w:r>
              <w:rPr>
                <w:rFonts w:hint="eastAsia" w:ascii="宋体" w:hAnsi="宋体" w:cs="Arial"/>
                <w:color w:val="auto"/>
                <w:sz w:val="24"/>
                <w:highlight w:val="none"/>
              </w:rPr>
              <w:t>乙方</w:t>
            </w:r>
          </w:p>
        </w:tc>
        <w:tc>
          <w:tcPr>
            <w:tcW w:w="1311" w:type="dxa"/>
            <w:noWrap w:val="0"/>
            <w:vAlign w:val="center"/>
          </w:tcPr>
          <w:p>
            <w:pPr>
              <w:jc w:val="center"/>
              <w:rPr>
                <w:rFonts w:hint="eastAsia" w:ascii="宋体" w:hAnsi="宋体" w:cs="Arial"/>
                <w:color w:val="auto"/>
                <w:sz w:val="24"/>
                <w:highlight w:val="none"/>
              </w:rPr>
            </w:pPr>
            <w:r>
              <w:rPr>
                <w:rFonts w:hint="eastAsia" w:ascii="宋体" w:hAnsi="宋体" w:cs="Arial"/>
                <w:color w:val="auto"/>
                <w:sz w:val="24"/>
                <w:highlight w:val="none"/>
              </w:rPr>
              <w:t>业绩签订时间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rPr>
                <w:rFonts w:ascii="宋体" w:hAnsi="宋体" w:cs="Arial"/>
                <w:color w:val="auto"/>
                <w:sz w:val="24"/>
                <w:highlight w:val="none"/>
              </w:rPr>
            </w:pPr>
          </w:p>
        </w:tc>
        <w:tc>
          <w:tcPr>
            <w:tcW w:w="2402" w:type="dxa"/>
            <w:noWrap w:val="0"/>
            <w:vAlign w:val="center"/>
          </w:tcPr>
          <w:p>
            <w:pPr>
              <w:rPr>
                <w:rFonts w:ascii="宋体" w:hAnsi="宋体" w:cs="Arial"/>
                <w:color w:val="auto"/>
                <w:sz w:val="24"/>
                <w:highlight w:val="none"/>
              </w:rPr>
            </w:pPr>
          </w:p>
        </w:tc>
        <w:tc>
          <w:tcPr>
            <w:tcW w:w="1455" w:type="dxa"/>
            <w:noWrap w:val="0"/>
            <w:vAlign w:val="top"/>
          </w:tcPr>
          <w:p>
            <w:pPr>
              <w:rPr>
                <w:rFonts w:ascii="宋体" w:hAnsi="宋体" w:cs="Arial"/>
                <w:color w:val="auto"/>
                <w:w w:val="80"/>
                <w:sz w:val="24"/>
                <w:highlight w:val="none"/>
              </w:rPr>
            </w:pPr>
          </w:p>
        </w:tc>
        <w:tc>
          <w:tcPr>
            <w:tcW w:w="1664" w:type="dxa"/>
            <w:noWrap w:val="0"/>
            <w:vAlign w:val="top"/>
          </w:tcPr>
          <w:p>
            <w:pPr>
              <w:rPr>
                <w:rFonts w:ascii="宋体" w:hAnsi="宋体" w:cs="Arial"/>
                <w:color w:val="auto"/>
                <w:sz w:val="24"/>
                <w:highlight w:val="none"/>
              </w:rPr>
            </w:pPr>
          </w:p>
        </w:tc>
        <w:tc>
          <w:tcPr>
            <w:tcW w:w="1559" w:type="dxa"/>
            <w:noWrap w:val="0"/>
            <w:vAlign w:val="center"/>
          </w:tcPr>
          <w:p>
            <w:pPr>
              <w:rPr>
                <w:rFonts w:ascii="宋体" w:hAnsi="宋体" w:cs="Arial"/>
                <w:color w:val="auto"/>
                <w:sz w:val="24"/>
                <w:highlight w:val="none"/>
              </w:rPr>
            </w:pPr>
          </w:p>
        </w:tc>
        <w:tc>
          <w:tcPr>
            <w:tcW w:w="1311" w:type="dxa"/>
            <w:noWrap w:val="0"/>
            <w:vAlign w:val="center"/>
          </w:tcPr>
          <w:p>
            <w:pPr>
              <w:rPr>
                <w:rFonts w:ascii="宋体" w:hAnsi="宋体" w:cs="Arial"/>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rPr>
                <w:rFonts w:ascii="宋体" w:hAnsi="宋体" w:cs="Arial"/>
                <w:color w:val="auto"/>
                <w:sz w:val="24"/>
                <w:highlight w:val="none"/>
              </w:rPr>
            </w:pPr>
          </w:p>
        </w:tc>
        <w:tc>
          <w:tcPr>
            <w:tcW w:w="2402" w:type="dxa"/>
            <w:noWrap w:val="0"/>
            <w:vAlign w:val="center"/>
          </w:tcPr>
          <w:p>
            <w:pPr>
              <w:rPr>
                <w:rFonts w:ascii="宋体" w:hAnsi="宋体" w:cs="Arial"/>
                <w:color w:val="auto"/>
                <w:sz w:val="24"/>
                <w:highlight w:val="none"/>
              </w:rPr>
            </w:pPr>
          </w:p>
        </w:tc>
        <w:tc>
          <w:tcPr>
            <w:tcW w:w="1455" w:type="dxa"/>
            <w:noWrap w:val="0"/>
            <w:vAlign w:val="center"/>
          </w:tcPr>
          <w:p>
            <w:pPr>
              <w:rPr>
                <w:rFonts w:ascii="宋体" w:hAnsi="宋体" w:cs="Arial"/>
                <w:color w:val="auto"/>
                <w:w w:val="80"/>
                <w:sz w:val="24"/>
                <w:highlight w:val="none"/>
              </w:rPr>
            </w:pPr>
          </w:p>
        </w:tc>
        <w:tc>
          <w:tcPr>
            <w:tcW w:w="1664" w:type="dxa"/>
            <w:noWrap w:val="0"/>
            <w:vAlign w:val="top"/>
          </w:tcPr>
          <w:p>
            <w:pPr>
              <w:rPr>
                <w:rFonts w:ascii="宋体" w:hAnsi="宋体" w:cs="Arial"/>
                <w:color w:val="auto"/>
                <w:sz w:val="24"/>
                <w:highlight w:val="none"/>
              </w:rPr>
            </w:pPr>
          </w:p>
        </w:tc>
        <w:tc>
          <w:tcPr>
            <w:tcW w:w="1559" w:type="dxa"/>
            <w:noWrap w:val="0"/>
            <w:vAlign w:val="center"/>
          </w:tcPr>
          <w:p>
            <w:pPr>
              <w:rPr>
                <w:rFonts w:ascii="宋体" w:hAnsi="宋体" w:cs="Arial"/>
                <w:color w:val="auto"/>
                <w:sz w:val="24"/>
                <w:highlight w:val="none"/>
              </w:rPr>
            </w:pPr>
          </w:p>
        </w:tc>
        <w:tc>
          <w:tcPr>
            <w:tcW w:w="1311" w:type="dxa"/>
            <w:noWrap w:val="0"/>
            <w:vAlign w:val="center"/>
          </w:tcPr>
          <w:p>
            <w:pPr>
              <w:rPr>
                <w:rFonts w:ascii="宋体" w:hAnsi="宋体" w:cs="Arial"/>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rPr>
                <w:rFonts w:ascii="宋体" w:hAnsi="宋体" w:cs="Arial"/>
                <w:color w:val="auto"/>
                <w:sz w:val="24"/>
                <w:highlight w:val="none"/>
              </w:rPr>
            </w:pPr>
          </w:p>
        </w:tc>
        <w:tc>
          <w:tcPr>
            <w:tcW w:w="2402" w:type="dxa"/>
            <w:noWrap w:val="0"/>
            <w:vAlign w:val="center"/>
          </w:tcPr>
          <w:p>
            <w:pPr>
              <w:rPr>
                <w:rFonts w:ascii="宋体" w:hAnsi="宋体" w:cs="Arial"/>
                <w:color w:val="auto"/>
                <w:sz w:val="24"/>
                <w:highlight w:val="none"/>
              </w:rPr>
            </w:pPr>
          </w:p>
        </w:tc>
        <w:tc>
          <w:tcPr>
            <w:tcW w:w="1455" w:type="dxa"/>
            <w:noWrap w:val="0"/>
            <w:vAlign w:val="top"/>
          </w:tcPr>
          <w:p>
            <w:pPr>
              <w:rPr>
                <w:rFonts w:ascii="宋体" w:hAnsi="宋体" w:cs="Arial"/>
                <w:color w:val="auto"/>
                <w:w w:val="80"/>
                <w:sz w:val="24"/>
                <w:highlight w:val="none"/>
              </w:rPr>
            </w:pPr>
          </w:p>
        </w:tc>
        <w:tc>
          <w:tcPr>
            <w:tcW w:w="1664" w:type="dxa"/>
            <w:noWrap w:val="0"/>
            <w:vAlign w:val="top"/>
          </w:tcPr>
          <w:p>
            <w:pPr>
              <w:rPr>
                <w:rFonts w:ascii="宋体" w:hAnsi="宋体" w:cs="Arial"/>
                <w:color w:val="auto"/>
                <w:sz w:val="24"/>
                <w:highlight w:val="none"/>
              </w:rPr>
            </w:pPr>
          </w:p>
        </w:tc>
        <w:tc>
          <w:tcPr>
            <w:tcW w:w="1559" w:type="dxa"/>
            <w:noWrap w:val="0"/>
            <w:vAlign w:val="center"/>
          </w:tcPr>
          <w:p>
            <w:pPr>
              <w:rPr>
                <w:rFonts w:ascii="宋体" w:hAnsi="宋体" w:cs="Arial"/>
                <w:color w:val="auto"/>
                <w:sz w:val="24"/>
                <w:highlight w:val="none"/>
              </w:rPr>
            </w:pPr>
          </w:p>
        </w:tc>
        <w:tc>
          <w:tcPr>
            <w:tcW w:w="1311" w:type="dxa"/>
            <w:noWrap w:val="0"/>
            <w:vAlign w:val="center"/>
          </w:tcPr>
          <w:p>
            <w:pPr>
              <w:rPr>
                <w:rFonts w:ascii="宋体" w:hAnsi="宋体" w:cs="Arial"/>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rPr>
                <w:rFonts w:ascii="宋体" w:hAnsi="宋体" w:cs="Arial"/>
                <w:color w:val="auto"/>
                <w:sz w:val="24"/>
                <w:highlight w:val="none"/>
              </w:rPr>
            </w:pPr>
          </w:p>
        </w:tc>
        <w:tc>
          <w:tcPr>
            <w:tcW w:w="2402" w:type="dxa"/>
            <w:noWrap w:val="0"/>
            <w:vAlign w:val="center"/>
          </w:tcPr>
          <w:p>
            <w:pPr>
              <w:rPr>
                <w:rFonts w:ascii="宋体" w:hAnsi="宋体" w:cs="Arial"/>
                <w:color w:val="auto"/>
                <w:sz w:val="24"/>
                <w:highlight w:val="none"/>
              </w:rPr>
            </w:pPr>
          </w:p>
        </w:tc>
        <w:tc>
          <w:tcPr>
            <w:tcW w:w="1455" w:type="dxa"/>
            <w:noWrap w:val="0"/>
            <w:vAlign w:val="top"/>
          </w:tcPr>
          <w:p>
            <w:pPr>
              <w:rPr>
                <w:rFonts w:ascii="宋体" w:hAnsi="宋体" w:cs="Arial"/>
                <w:color w:val="auto"/>
                <w:w w:val="80"/>
                <w:sz w:val="24"/>
                <w:highlight w:val="none"/>
              </w:rPr>
            </w:pPr>
          </w:p>
        </w:tc>
        <w:tc>
          <w:tcPr>
            <w:tcW w:w="1664" w:type="dxa"/>
            <w:noWrap w:val="0"/>
            <w:vAlign w:val="top"/>
          </w:tcPr>
          <w:p>
            <w:pPr>
              <w:rPr>
                <w:rFonts w:ascii="宋体" w:hAnsi="宋体" w:cs="Arial"/>
                <w:color w:val="auto"/>
                <w:sz w:val="24"/>
                <w:highlight w:val="none"/>
              </w:rPr>
            </w:pPr>
          </w:p>
        </w:tc>
        <w:tc>
          <w:tcPr>
            <w:tcW w:w="1559" w:type="dxa"/>
            <w:noWrap w:val="0"/>
            <w:vAlign w:val="center"/>
          </w:tcPr>
          <w:p>
            <w:pPr>
              <w:rPr>
                <w:rFonts w:ascii="宋体" w:hAnsi="宋体" w:cs="Arial"/>
                <w:color w:val="auto"/>
                <w:sz w:val="24"/>
                <w:highlight w:val="none"/>
              </w:rPr>
            </w:pPr>
          </w:p>
        </w:tc>
        <w:tc>
          <w:tcPr>
            <w:tcW w:w="1311" w:type="dxa"/>
            <w:noWrap w:val="0"/>
            <w:vAlign w:val="center"/>
          </w:tcPr>
          <w:p>
            <w:pPr>
              <w:rPr>
                <w:rFonts w:ascii="宋体" w:hAnsi="宋体" w:cs="Arial"/>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rPr>
                <w:rFonts w:ascii="宋体" w:hAnsi="宋体" w:cs="Arial"/>
                <w:color w:val="auto"/>
                <w:sz w:val="24"/>
                <w:highlight w:val="none"/>
              </w:rPr>
            </w:pPr>
          </w:p>
        </w:tc>
        <w:tc>
          <w:tcPr>
            <w:tcW w:w="2402" w:type="dxa"/>
            <w:noWrap w:val="0"/>
            <w:vAlign w:val="center"/>
          </w:tcPr>
          <w:p>
            <w:pPr>
              <w:rPr>
                <w:rFonts w:ascii="宋体" w:hAnsi="宋体" w:cs="Arial"/>
                <w:color w:val="auto"/>
                <w:sz w:val="24"/>
                <w:highlight w:val="none"/>
              </w:rPr>
            </w:pPr>
          </w:p>
        </w:tc>
        <w:tc>
          <w:tcPr>
            <w:tcW w:w="1455" w:type="dxa"/>
            <w:noWrap w:val="0"/>
            <w:vAlign w:val="top"/>
          </w:tcPr>
          <w:p>
            <w:pPr>
              <w:rPr>
                <w:rFonts w:ascii="宋体" w:hAnsi="宋体" w:cs="Arial"/>
                <w:color w:val="auto"/>
                <w:w w:val="80"/>
                <w:sz w:val="24"/>
                <w:highlight w:val="none"/>
              </w:rPr>
            </w:pPr>
          </w:p>
        </w:tc>
        <w:tc>
          <w:tcPr>
            <w:tcW w:w="1664" w:type="dxa"/>
            <w:noWrap w:val="0"/>
            <w:vAlign w:val="top"/>
          </w:tcPr>
          <w:p>
            <w:pPr>
              <w:rPr>
                <w:rFonts w:ascii="宋体" w:hAnsi="宋体" w:cs="Arial"/>
                <w:color w:val="auto"/>
                <w:sz w:val="24"/>
                <w:highlight w:val="none"/>
              </w:rPr>
            </w:pPr>
          </w:p>
        </w:tc>
        <w:tc>
          <w:tcPr>
            <w:tcW w:w="1559" w:type="dxa"/>
            <w:noWrap w:val="0"/>
            <w:vAlign w:val="center"/>
          </w:tcPr>
          <w:p>
            <w:pPr>
              <w:rPr>
                <w:rFonts w:ascii="宋体" w:hAnsi="宋体" w:cs="Arial"/>
                <w:color w:val="auto"/>
                <w:sz w:val="24"/>
                <w:highlight w:val="none"/>
              </w:rPr>
            </w:pPr>
          </w:p>
        </w:tc>
        <w:tc>
          <w:tcPr>
            <w:tcW w:w="1311" w:type="dxa"/>
            <w:noWrap w:val="0"/>
            <w:vAlign w:val="center"/>
          </w:tcPr>
          <w:p>
            <w:pPr>
              <w:rPr>
                <w:rFonts w:ascii="宋体" w:hAnsi="宋体" w:cs="Arial"/>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28" w:type="dxa"/>
            <w:noWrap w:val="0"/>
            <w:vAlign w:val="center"/>
          </w:tcPr>
          <w:p>
            <w:pPr>
              <w:rPr>
                <w:rFonts w:ascii="宋体" w:hAnsi="宋体" w:cs="Arial"/>
                <w:color w:val="auto"/>
                <w:sz w:val="24"/>
                <w:highlight w:val="none"/>
              </w:rPr>
            </w:pPr>
          </w:p>
        </w:tc>
        <w:tc>
          <w:tcPr>
            <w:tcW w:w="2402" w:type="dxa"/>
            <w:noWrap w:val="0"/>
            <w:vAlign w:val="center"/>
          </w:tcPr>
          <w:p>
            <w:pPr>
              <w:rPr>
                <w:rFonts w:ascii="宋体" w:hAnsi="宋体" w:cs="Arial"/>
                <w:color w:val="auto"/>
                <w:sz w:val="24"/>
                <w:highlight w:val="none"/>
              </w:rPr>
            </w:pPr>
          </w:p>
        </w:tc>
        <w:tc>
          <w:tcPr>
            <w:tcW w:w="1455" w:type="dxa"/>
            <w:noWrap w:val="0"/>
            <w:vAlign w:val="top"/>
          </w:tcPr>
          <w:p>
            <w:pPr>
              <w:rPr>
                <w:rFonts w:ascii="宋体" w:hAnsi="宋体" w:cs="Arial"/>
                <w:color w:val="auto"/>
                <w:w w:val="80"/>
                <w:sz w:val="24"/>
                <w:highlight w:val="none"/>
              </w:rPr>
            </w:pPr>
          </w:p>
        </w:tc>
        <w:tc>
          <w:tcPr>
            <w:tcW w:w="1664" w:type="dxa"/>
            <w:noWrap w:val="0"/>
            <w:vAlign w:val="top"/>
          </w:tcPr>
          <w:p>
            <w:pPr>
              <w:rPr>
                <w:rFonts w:ascii="宋体" w:hAnsi="宋体" w:cs="Arial"/>
                <w:color w:val="auto"/>
                <w:sz w:val="24"/>
                <w:highlight w:val="none"/>
              </w:rPr>
            </w:pPr>
          </w:p>
        </w:tc>
        <w:tc>
          <w:tcPr>
            <w:tcW w:w="1559" w:type="dxa"/>
            <w:noWrap w:val="0"/>
            <w:vAlign w:val="center"/>
          </w:tcPr>
          <w:p>
            <w:pPr>
              <w:rPr>
                <w:rFonts w:ascii="宋体" w:hAnsi="宋体" w:cs="Arial"/>
                <w:color w:val="auto"/>
                <w:sz w:val="24"/>
                <w:highlight w:val="none"/>
              </w:rPr>
            </w:pPr>
          </w:p>
        </w:tc>
        <w:tc>
          <w:tcPr>
            <w:tcW w:w="1311" w:type="dxa"/>
            <w:noWrap w:val="0"/>
            <w:vAlign w:val="center"/>
          </w:tcPr>
          <w:p>
            <w:pPr>
              <w:rPr>
                <w:rFonts w:ascii="宋体" w:hAnsi="宋体" w:cs="Arial"/>
                <w:color w:val="auto"/>
                <w:sz w:val="24"/>
                <w:highlight w:val="none"/>
              </w:rPr>
            </w:pPr>
          </w:p>
        </w:tc>
      </w:tr>
    </w:tbl>
    <w:p>
      <w:pPr>
        <w:tabs>
          <w:tab w:val="left" w:pos="1815"/>
        </w:tabs>
        <w:snapToGrid w:val="0"/>
        <w:ind w:firstLine="480" w:firstLineChars="200"/>
        <w:rPr>
          <w:rFonts w:hint="eastAsia" w:ascii="宋体" w:hAnsi="宋体" w:cs="Arial"/>
          <w:color w:val="auto"/>
          <w:sz w:val="24"/>
          <w:highlight w:val="none"/>
        </w:rPr>
      </w:pPr>
    </w:p>
    <w:p>
      <w:pPr>
        <w:pStyle w:val="52"/>
        <w:numPr>
          <w:ilvl w:val="0"/>
          <w:numId w:val="0"/>
        </w:numPr>
        <w:rPr>
          <w:rFonts w:hint="eastAsia" w:ascii="宋体" w:hAnsi="宋体"/>
          <w:bCs w:val="0"/>
          <w:color w:val="auto"/>
          <w:sz w:val="24"/>
          <w:szCs w:val="24"/>
          <w:highlight w:val="none"/>
          <w:lang w:val="en-US" w:eastAsia="zh-CN"/>
        </w:rPr>
      </w:pPr>
    </w:p>
    <w:p>
      <w:pPr>
        <w:pStyle w:val="52"/>
        <w:numPr>
          <w:ilvl w:val="0"/>
          <w:numId w:val="0"/>
        </w:numPr>
        <w:rPr>
          <w:rFonts w:hint="eastAsia" w:ascii="宋体" w:hAnsi="宋体"/>
          <w:bCs w:val="0"/>
          <w:color w:val="auto"/>
          <w:sz w:val="24"/>
          <w:szCs w:val="24"/>
          <w:highlight w:val="none"/>
          <w:lang w:val="en-US" w:eastAsia="zh-CN"/>
        </w:rPr>
      </w:pPr>
    </w:p>
    <w:p>
      <w:pPr>
        <w:pStyle w:val="52"/>
        <w:numPr>
          <w:ilvl w:val="0"/>
          <w:numId w:val="0"/>
        </w:numPr>
        <w:rPr>
          <w:rFonts w:hint="eastAsia" w:ascii="宋体" w:hAnsi="宋体"/>
          <w:bCs w:val="0"/>
          <w:color w:val="auto"/>
          <w:sz w:val="24"/>
          <w:szCs w:val="24"/>
          <w:highlight w:val="none"/>
          <w:lang w:val="en-US" w:eastAsia="zh-CN"/>
        </w:rPr>
      </w:pPr>
    </w:p>
    <w:p>
      <w:pPr>
        <w:pStyle w:val="52"/>
        <w:numPr>
          <w:ilvl w:val="0"/>
          <w:numId w:val="0"/>
        </w:numPr>
        <w:rPr>
          <w:rFonts w:hint="eastAsia" w:ascii="宋体" w:hAnsi="宋体"/>
          <w:bCs w:val="0"/>
          <w:color w:val="auto"/>
          <w:sz w:val="24"/>
          <w:szCs w:val="24"/>
          <w:highlight w:val="none"/>
        </w:rPr>
      </w:pPr>
      <w:r>
        <w:rPr>
          <w:rFonts w:hint="eastAsia" w:ascii="宋体" w:hAnsi="宋体"/>
          <w:bCs w:val="0"/>
          <w:color w:val="auto"/>
          <w:sz w:val="24"/>
          <w:szCs w:val="24"/>
          <w:highlight w:val="none"/>
          <w:lang w:val="en-US" w:eastAsia="zh-CN"/>
        </w:rPr>
        <w:t>8、</w:t>
      </w:r>
      <w:r>
        <w:rPr>
          <w:rFonts w:hint="eastAsia" w:ascii="宋体" w:hAnsi="宋体"/>
          <w:bCs w:val="0"/>
          <w:color w:val="auto"/>
          <w:sz w:val="24"/>
          <w:szCs w:val="24"/>
          <w:highlight w:val="none"/>
        </w:rPr>
        <w:t>业绩合同（如有）</w:t>
      </w:r>
    </w:p>
    <w:p>
      <w:pPr>
        <w:pStyle w:val="52"/>
        <w:numPr>
          <w:ilvl w:val="0"/>
          <w:numId w:val="0"/>
        </w:numPr>
        <w:rPr>
          <w:rFonts w:hint="eastAsia" w:ascii="宋体" w:hAnsi="宋体"/>
          <w:bCs w:val="0"/>
          <w:color w:val="auto"/>
          <w:sz w:val="24"/>
          <w:szCs w:val="24"/>
          <w:highlight w:val="none"/>
        </w:rPr>
      </w:pPr>
    </w:p>
    <w:p>
      <w:pPr>
        <w:pStyle w:val="52"/>
        <w:numPr>
          <w:ilvl w:val="0"/>
          <w:numId w:val="0"/>
        </w:numPr>
        <w:rPr>
          <w:rFonts w:hint="eastAsia" w:ascii="宋体" w:hAnsi="宋体"/>
          <w:bCs w:val="0"/>
          <w:color w:val="auto"/>
          <w:sz w:val="24"/>
          <w:szCs w:val="24"/>
          <w:highlight w:val="none"/>
        </w:rPr>
      </w:pPr>
    </w:p>
    <w:p>
      <w:pPr>
        <w:pStyle w:val="52"/>
        <w:numPr>
          <w:ilvl w:val="0"/>
          <w:numId w:val="0"/>
        </w:numPr>
        <w:rPr>
          <w:rFonts w:hint="eastAsia" w:ascii="宋体" w:hAnsi="宋体"/>
          <w:bCs w:val="0"/>
          <w:color w:val="auto"/>
          <w:sz w:val="24"/>
          <w:szCs w:val="24"/>
          <w:highlight w:val="none"/>
        </w:rPr>
      </w:pPr>
    </w:p>
    <w:p>
      <w:pPr>
        <w:rPr>
          <w:rFonts w:hint="eastAsia" w:ascii="宋体" w:hAnsi="宋体"/>
          <w:bCs/>
          <w:color w:val="auto"/>
          <w:sz w:val="24"/>
          <w:highlight w:val="none"/>
        </w:rPr>
      </w:pPr>
      <w:r>
        <w:rPr>
          <w:rFonts w:hint="eastAsia" w:ascii="宋体" w:hAnsi="宋体" w:cs="华文仿宋"/>
          <w:b/>
          <w:color w:val="auto"/>
          <w:sz w:val="24"/>
          <w:highlight w:val="none"/>
          <w:lang w:val="en-US" w:eastAsia="zh-CN"/>
        </w:rPr>
        <w:t>9、</w:t>
      </w:r>
      <w:r>
        <w:rPr>
          <w:rFonts w:hint="eastAsia" w:ascii="宋体" w:hAnsi="宋体" w:cs="华文仿宋"/>
          <w:b/>
          <w:color w:val="auto"/>
          <w:sz w:val="24"/>
          <w:highlight w:val="none"/>
        </w:rPr>
        <w:t>磋商文件要求的其它材料</w:t>
      </w:r>
      <w:bookmarkEnd w:id="16"/>
      <w:bookmarkEnd w:id="17"/>
    </w:p>
    <w:p>
      <w:pPr>
        <w:rPr>
          <w:rFonts w:hint="eastAsia" w:ascii="宋体" w:hAnsi="宋体"/>
          <w:b/>
          <w:color w:val="auto"/>
          <w:sz w:val="24"/>
          <w:highlight w:val="none"/>
        </w:rPr>
      </w:pPr>
    </w:p>
    <w:p>
      <w:pPr>
        <w:pStyle w:val="31"/>
        <w:rPr>
          <w:rFonts w:hint="eastAsia" w:ascii="宋体" w:hAnsi="宋体"/>
          <w:b/>
          <w:color w:val="auto"/>
          <w:sz w:val="24"/>
          <w:highlight w:val="none"/>
        </w:rPr>
      </w:pPr>
    </w:p>
    <w:p>
      <w:pPr>
        <w:rPr>
          <w:rFonts w:hint="eastAsia" w:ascii="宋体" w:hAnsi="宋体"/>
          <w:b/>
          <w:color w:val="auto"/>
          <w:sz w:val="24"/>
          <w:highlight w:val="none"/>
        </w:rPr>
      </w:pPr>
    </w:p>
    <w:p>
      <w:pPr>
        <w:pStyle w:val="31"/>
        <w:rPr>
          <w:rFonts w:hint="eastAsia" w:ascii="宋体" w:hAnsi="宋体"/>
          <w:b/>
          <w:color w:val="auto"/>
          <w:sz w:val="24"/>
          <w:highlight w:val="none"/>
        </w:rPr>
      </w:pPr>
    </w:p>
    <w:p>
      <w:pPr>
        <w:rPr>
          <w:rFonts w:hint="eastAsia" w:ascii="宋体" w:hAnsi="宋体"/>
          <w:b/>
          <w:color w:val="auto"/>
          <w:sz w:val="24"/>
          <w:highlight w:val="none"/>
        </w:rPr>
      </w:pPr>
    </w:p>
    <w:p>
      <w:pPr>
        <w:pStyle w:val="31"/>
        <w:rPr>
          <w:rFonts w:hint="eastAsia" w:ascii="宋体" w:hAnsi="宋体"/>
          <w:b/>
          <w:color w:val="auto"/>
          <w:sz w:val="24"/>
          <w:highlight w:val="none"/>
        </w:rPr>
      </w:pPr>
    </w:p>
    <w:p>
      <w:pPr>
        <w:rPr>
          <w:rFonts w:hint="eastAsia"/>
          <w:color w:val="auto"/>
          <w:highlight w:val="none"/>
        </w:rPr>
      </w:pPr>
    </w:p>
    <w:p>
      <w:pPr>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pStyle w:val="42"/>
        <w:rPr>
          <w:rFonts w:hint="eastAsia" w:ascii="宋体" w:hAnsi="宋体"/>
          <w:b/>
          <w:color w:val="auto"/>
          <w:sz w:val="24"/>
          <w:highlight w:val="none"/>
        </w:rPr>
      </w:pPr>
    </w:p>
    <w:p>
      <w:pPr>
        <w:rPr>
          <w:rFonts w:hint="eastAsia" w:ascii="宋体" w:hAnsi="宋体"/>
          <w:b w:val="0"/>
          <w:bCs/>
          <w:color w:val="auto"/>
          <w:sz w:val="24"/>
          <w:highlight w:val="none"/>
        </w:rPr>
      </w:pPr>
    </w:p>
    <w:p>
      <w:pPr>
        <w:pStyle w:val="158"/>
        <w:keepNext/>
        <w:keepLines/>
        <w:widowControl w:val="0"/>
        <w:numPr>
          <w:ilvl w:val="0"/>
          <w:numId w:val="11"/>
        </w:numPr>
        <w:shd w:val="clear" w:color="auto" w:fill="auto"/>
        <w:bidi w:val="0"/>
        <w:spacing w:before="0" w:after="0" w:line="240" w:lineRule="auto"/>
        <w:ind w:left="0" w:right="0" w:firstLine="0"/>
        <w:jc w:val="center"/>
        <w:rPr>
          <w:b/>
          <w:bCs w:val="0"/>
          <w:color w:val="auto"/>
          <w:spacing w:val="0"/>
          <w:w w:val="100"/>
          <w:position w:val="0"/>
          <w:sz w:val="32"/>
          <w:szCs w:val="32"/>
          <w:highlight w:val="none"/>
        </w:rPr>
      </w:pPr>
      <w:bookmarkStart w:id="18" w:name="bookmark282"/>
      <w:bookmarkStart w:id="19" w:name="bookmark281"/>
      <w:bookmarkStart w:id="20" w:name="bookmark280"/>
      <w:r>
        <w:rPr>
          <w:b/>
          <w:bCs w:val="0"/>
          <w:color w:val="auto"/>
          <w:spacing w:val="0"/>
          <w:w w:val="100"/>
          <w:position w:val="0"/>
          <w:sz w:val="32"/>
          <w:szCs w:val="32"/>
          <w:highlight w:val="none"/>
        </w:rPr>
        <w:t>报价部分</w:t>
      </w:r>
      <w:bookmarkEnd w:id="18"/>
      <w:bookmarkEnd w:id="19"/>
      <w:bookmarkEnd w:id="20"/>
    </w:p>
    <w:p>
      <w:pPr>
        <w:pStyle w:val="158"/>
        <w:keepNext/>
        <w:keepLines/>
        <w:widowControl w:val="0"/>
        <w:numPr>
          <w:ilvl w:val="0"/>
          <w:numId w:val="0"/>
        </w:numPr>
        <w:shd w:val="clear" w:color="auto" w:fill="auto"/>
        <w:bidi w:val="0"/>
        <w:spacing w:before="0" w:after="0" w:line="240" w:lineRule="auto"/>
        <w:ind w:leftChars="0" w:right="0" w:rightChars="0"/>
        <w:jc w:val="both"/>
        <w:rPr>
          <w:b/>
          <w:bCs w:val="0"/>
          <w:color w:val="auto"/>
          <w:spacing w:val="0"/>
          <w:w w:val="100"/>
          <w:position w:val="0"/>
          <w:sz w:val="32"/>
          <w:szCs w:val="32"/>
          <w:highlight w:val="none"/>
        </w:rPr>
      </w:pPr>
    </w:p>
    <w:p>
      <w:pPr>
        <w:rPr>
          <w:rFonts w:hint="eastAsia" w:ascii="宋体" w:hAnsi="宋体"/>
          <w:b/>
          <w:color w:val="auto"/>
          <w:sz w:val="24"/>
          <w:highlight w:val="none"/>
        </w:rPr>
      </w:pPr>
    </w:p>
    <w:p>
      <w:pPr>
        <w:pStyle w:val="77"/>
        <w:numPr>
          <w:ilvl w:val="0"/>
          <w:numId w:val="12"/>
        </w:numPr>
        <w:ind w:firstLine="482" w:firstLineChars="200"/>
        <w:rPr>
          <w:rFonts w:hint="eastAsia" w:ascii="宋体" w:hAnsi="宋体" w:cs="宋体"/>
          <w:b/>
          <w:color w:val="auto"/>
          <w:highlight w:val="none"/>
        </w:rPr>
      </w:pPr>
      <w:r>
        <w:rPr>
          <w:rFonts w:hint="eastAsia" w:ascii="宋体" w:hAnsi="宋体" w:cs="宋体"/>
          <w:b/>
          <w:color w:val="auto"/>
          <w:highlight w:val="none"/>
        </w:rPr>
        <w:t>磋商响应报价表</w:t>
      </w:r>
    </w:p>
    <w:p>
      <w:pPr>
        <w:pStyle w:val="77"/>
        <w:numPr>
          <w:ilvl w:val="0"/>
          <w:numId w:val="0"/>
        </w:numPr>
        <w:rPr>
          <w:rFonts w:hint="eastAsia" w:ascii="宋体" w:hAnsi="宋体" w:cs="宋体"/>
          <w:b/>
          <w:color w:val="auto"/>
          <w:highlight w:val="none"/>
        </w:rPr>
      </w:pPr>
    </w:p>
    <w:p>
      <w:pPr>
        <w:pStyle w:val="77"/>
        <w:numPr>
          <w:ilvl w:val="0"/>
          <w:numId w:val="13"/>
        </w:numPr>
        <w:ind w:firstLine="480" w:firstLineChars="200"/>
        <w:rPr>
          <w:rFonts w:hint="eastAsia" w:ascii="宋体" w:hAnsi="宋体" w:cs="宋体"/>
          <w:color w:val="auto"/>
          <w:highlight w:val="none"/>
        </w:rPr>
      </w:pPr>
      <w:r>
        <w:rPr>
          <w:rFonts w:hint="eastAsia" w:ascii="宋体" w:hAnsi="宋体" w:cs="宋体"/>
          <w:color w:val="auto"/>
          <w:highlight w:val="none"/>
        </w:rPr>
        <w:t>根据竞争性磋商文件要求可以自行调整，包括但不限于以下内容。</w:t>
      </w:r>
    </w:p>
    <w:p>
      <w:pPr>
        <w:pStyle w:val="77"/>
        <w:numPr>
          <w:ilvl w:val="0"/>
          <w:numId w:val="0"/>
        </w:numPr>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r>
        <w:rPr>
          <w:rFonts w:hint="eastAsia" w:ascii="宋体" w:hAnsi="宋体" w:cs="宋体"/>
          <w:color w:val="auto"/>
          <w:highlight w:val="none"/>
        </w:rPr>
        <w:t>2)我方承诺报价不高于同类服务的市场同期平均价格，若被发现存在任何虚假、隐瞒情况，我公司承担由此产生的一切后果。</w:t>
      </w:r>
    </w:p>
    <w:p>
      <w:pPr>
        <w:pStyle w:val="77"/>
        <w:ind w:firstLine="480" w:firstLineChars="200"/>
        <w:rPr>
          <w:rFonts w:hint="eastAsia" w:ascii="宋体" w:hAnsi="宋体" w:cs="宋体"/>
          <w:color w:val="auto"/>
          <w:highlight w:val="none"/>
        </w:rPr>
      </w:pPr>
    </w:p>
    <w:p>
      <w:pPr>
        <w:pStyle w:val="77"/>
        <w:spacing w:after="156" w:afterLines="50"/>
        <w:jc w:val="center"/>
        <w:rPr>
          <w:rFonts w:hint="eastAsia" w:ascii="宋体" w:hAnsi="宋体" w:cs="宋体"/>
          <w:b/>
          <w:color w:val="auto"/>
          <w:highlight w:val="none"/>
        </w:rPr>
      </w:pPr>
      <w:r>
        <w:rPr>
          <w:rFonts w:hint="eastAsia" w:hAnsi="宋体" w:cs="宋体"/>
          <w:b/>
          <w:color w:val="auto"/>
          <w:highlight w:val="none"/>
          <w:lang w:val="en-US" w:eastAsia="zh-CN"/>
        </w:rPr>
        <w:t>（1）</w:t>
      </w:r>
      <w:r>
        <w:rPr>
          <w:rFonts w:hint="eastAsia" w:ascii="宋体" w:hAnsi="宋体" w:cs="宋体"/>
          <w:b/>
          <w:color w:val="auto"/>
          <w:highlight w:val="none"/>
        </w:rPr>
        <w:t>磋商响应报价表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4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标题</w:t>
            </w:r>
          </w:p>
        </w:tc>
        <w:tc>
          <w:tcPr>
            <w:tcW w:w="4438"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4438" w:type="dxa"/>
            <w:noWrap w:val="0"/>
            <w:vAlign w:val="center"/>
          </w:tcPr>
          <w:p>
            <w:pPr>
              <w:autoSpaceDE w:val="0"/>
              <w:autoSpaceDN w:val="0"/>
              <w:adjustRightInd w:val="0"/>
              <w:jc w:val="left"/>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p>
        </w:tc>
        <w:tc>
          <w:tcPr>
            <w:tcW w:w="4438" w:type="dxa"/>
            <w:noWrap w:val="0"/>
            <w:vAlign w:val="center"/>
          </w:tcPr>
          <w:p>
            <w:pPr>
              <w:autoSpaceDE w:val="0"/>
              <w:autoSpaceDN w:val="0"/>
              <w:adjustRightInd w:val="0"/>
              <w:jc w:val="left"/>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ascii="宋体" w:hAnsi="宋体" w:eastAsia="宋体" w:cs="宋体"/>
                <w:color w:val="auto"/>
                <w:spacing w:val="3"/>
                <w:sz w:val="30"/>
                <w:szCs w:val="30"/>
                <w:highlight w:val="none"/>
              </w:rPr>
              <w:t>供应商名称</w:t>
            </w:r>
          </w:p>
        </w:tc>
        <w:tc>
          <w:tcPr>
            <w:tcW w:w="4438" w:type="dxa"/>
            <w:noWrap w:val="0"/>
            <w:vAlign w:val="center"/>
          </w:tcPr>
          <w:p>
            <w:pPr>
              <w:autoSpaceDE w:val="0"/>
              <w:autoSpaceDN w:val="0"/>
              <w:adjustRightInd w:val="0"/>
              <w:jc w:val="right"/>
              <w:rPr>
                <w:rFonts w:hint="eastAsia" w:ascii="宋体" w:hAnsi="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磋商总报价（人民币大写）</w:t>
            </w:r>
          </w:p>
        </w:tc>
        <w:tc>
          <w:tcPr>
            <w:tcW w:w="4438" w:type="dxa"/>
            <w:noWrap w:val="0"/>
            <w:vAlign w:val="center"/>
          </w:tcPr>
          <w:p>
            <w:pPr>
              <w:autoSpaceDE w:val="0"/>
              <w:autoSpaceDN w:val="0"/>
              <w:adjustRightInd w:val="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磋商总报价（人民币小写）</w:t>
            </w:r>
          </w:p>
        </w:tc>
        <w:tc>
          <w:tcPr>
            <w:tcW w:w="4438" w:type="dxa"/>
            <w:noWrap w:val="0"/>
            <w:vAlign w:val="center"/>
          </w:tcPr>
          <w:p>
            <w:pPr>
              <w:autoSpaceDE w:val="0"/>
              <w:autoSpaceDN w:val="0"/>
              <w:adjustRightInd w:val="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379" w:type="dxa"/>
            <w:noWrap w:val="0"/>
            <w:vAlign w:val="center"/>
          </w:tcPr>
          <w:p>
            <w:pPr>
              <w:autoSpaceDE w:val="0"/>
              <w:autoSpaceDN w:val="0"/>
              <w:adjustRightInd w:val="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服务期限</w:t>
            </w:r>
          </w:p>
        </w:tc>
        <w:tc>
          <w:tcPr>
            <w:tcW w:w="4438" w:type="dxa"/>
            <w:noWrap w:val="0"/>
            <w:vAlign w:val="center"/>
          </w:tcPr>
          <w:p>
            <w:pPr>
              <w:autoSpaceDE w:val="0"/>
              <w:autoSpaceDN w:val="0"/>
              <w:adjustRightInd w:val="0"/>
              <w:jc w:val="right"/>
              <w:rPr>
                <w:rFonts w:hint="eastAsia" w:ascii="宋体" w:hAnsi="宋体" w:cs="宋体"/>
                <w:color w:val="auto"/>
                <w:kern w:val="0"/>
                <w:sz w:val="24"/>
                <w:highlight w:val="none"/>
              </w:rPr>
            </w:pPr>
          </w:p>
        </w:tc>
      </w:tr>
    </w:tbl>
    <w:p>
      <w:pPr>
        <w:pStyle w:val="77"/>
        <w:ind w:firstLine="480" w:firstLineChars="200"/>
        <w:rPr>
          <w:rFonts w:hint="eastAsia" w:ascii="宋体" w:hAnsi="宋体" w:cs="宋体"/>
          <w:color w:val="auto"/>
          <w:highlight w:val="none"/>
        </w:rPr>
      </w:pPr>
    </w:p>
    <w:p>
      <w:pPr>
        <w:pStyle w:val="77"/>
        <w:ind w:firstLine="5760" w:firstLineChars="2400"/>
        <w:rPr>
          <w:rFonts w:hint="eastAsia" w:ascii="宋体" w:hAnsi="宋体" w:cs="宋体"/>
          <w:color w:val="auto"/>
          <w:highlight w:val="none"/>
        </w:rPr>
      </w:pPr>
      <w:r>
        <w:rPr>
          <w:rFonts w:hint="eastAsia" w:ascii="宋体" w:hAnsi="宋体" w:cs="宋体"/>
          <w:color w:val="auto"/>
          <w:highlight w:val="none"/>
        </w:rPr>
        <w:t>供应商盖章：</w:t>
      </w:r>
    </w:p>
    <w:p>
      <w:pPr>
        <w:pStyle w:val="77"/>
        <w:ind w:firstLine="480" w:firstLineChars="200"/>
        <w:rPr>
          <w:rFonts w:hint="eastAsia" w:ascii="宋体" w:hAnsi="宋体" w:cs="宋体"/>
          <w:color w:val="auto"/>
          <w:highlight w:val="none"/>
        </w:rPr>
      </w:pPr>
    </w:p>
    <w:p>
      <w:pPr>
        <w:pStyle w:val="77"/>
        <w:ind w:firstLine="5760" w:firstLineChars="2400"/>
        <w:rPr>
          <w:rFonts w:hint="eastAsia" w:ascii="宋体" w:hAnsi="宋体" w:cs="宋体"/>
          <w:color w:val="auto"/>
          <w:highlight w:val="none"/>
        </w:rPr>
      </w:pPr>
      <w:r>
        <w:rPr>
          <w:rFonts w:hint="eastAsia" w:ascii="宋体" w:hAnsi="宋体" w:cs="宋体"/>
          <w:color w:val="auto"/>
          <w:highlight w:val="none"/>
        </w:rPr>
        <w:t>日期：________________</w:t>
      </w: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pStyle w:val="77"/>
        <w:ind w:firstLine="480" w:firstLineChars="200"/>
        <w:rPr>
          <w:rFonts w:hint="eastAsia" w:ascii="宋体" w:hAnsi="宋体" w:cs="宋体"/>
          <w:color w:val="auto"/>
          <w:highlight w:val="none"/>
        </w:rPr>
      </w:pPr>
    </w:p>
    <w:p>
      <w:pPr>
        <w:spacing w:before="94" w:line="218" w:lineRule="auto"/>
        <w:ind w:left="89"/>
        <w:outlineLvl w:val="2"/>
        <w:rPr>
          <w:rFonts w:ascii="宋体" w:hAnsi="宋体" w:eastAsia="宋体" w:cs="宋体"/>
          <w:b/>
          <w:bCs/>
          <w:color w:val="auto"/>
          <w:spacing w:val="-9"/>
          <w:sz w:val="29"/>
          <w:szCs w:val="29"/>
          <w:highlight w:val="none"/>
        </w:rPr>
      </w:pPr>
    </w:p>
    <w:p>
      <w:pPr>
        <w:spacing w:before="94" w:line="218" w:lineRule="auto"/>
        <w:ind w:left="89"/>
        <w:jc w:val="center"/>
        <w:outlineLvl w:val="2"/>
        <w:rPr>
          <w:rFonts w:ascii="宋体" w:hAnsi="宋体" w:eastAsia="宋体" w:cs="宋体"/>
          <w:color w:val="auto"/>
          <w:sz w:val="29"/>
          <w:szCs w:val="29"/>
          <w:highlight w:val="none"/>
        </w:rPr>
      </w:pPr>
      <w:r>
        <w:rPr>
          <w:rFonts w:hint="eastAsia" w:ascii="宋体" w:hAnsi="宋体" w:cs="宋体"/>
          <w:b/>
          <w:bCs/>
          <w:color w:val="auto"/>
          <w:spacing w:val="-9"/>
          <w:sz w:val="29"/>
          <w:szCs w:val="29"/>
          <w:highlight w:val="none"/>
          <w:lang w:eastAsia="zh-CN"/>
        </w:rPr>
        <w:t>（</w:t>
      </w:r>
      <w:r>
        <w:rPr>
          <w:rFonts w:ascii="宋体" w:hAnsi="宋体" w:eastAsia="宋体" w:cs="宋体"/>
          <w:b/>
          <w:bCs/>
          <w:color w:val="auto"/>
          <w:spacing w:val="-9"/>
          <w:sz w:val="29"/>
          <w:szCs w:val="29"/>
          <w:highlight w:val="none"/>
        </w:rPr>
        <w:t>2</w:t>
      </w:r>
      <w:r>
        <w:rPr>
          <w:rFonts w:hint="eastAsia" w:ascii="宋体" w:hAnsi="宋体" w:cs="宋体"/>
          <w:b/>
          <w:bCs/>
          <w:color w:val="auto"/>
          <w:spacing w:val="-9"/>
          <w:sz w:val="29"/>
          <w:szCs w:val="29"/>
          <w:highlight w:val="none"/>
          <w:lang w:eastAsia="zh-CN"/>
        </w:rPr>
        <w:t>）</w:t>
      </w:r>
      <w:r>
        <w:rPr>
          <w:rFonts w:ascii="宋体" w:hAnsi="宋体" w:eastAsia="宋体" w:cs="宋体"/>
          <w:b/>
          <w:bCs/>
          <w:color w:val="auto"/>
          <w:spacing w:val="-9"/>
          <w:sz w:val="29"/>
          <w:szCs w:val="29"/>
          <w:highlight w:val="none"/>
        </w:rPr>
        <w:t>报价(二轮)报价表</w:t>
      </w:r>
    </w:p>
    <w:p>
      <w:pPr>
        <w:rPr>
          <w:color w:val="auto"/>
          <w:highlight w:val="none"/>
        </w:rPr>
      </w:pPr>
    </w:p>
    <w:p>
      <w:pPr>
        <w:spacing w:line="185" w:lineRule="exact"/>
        <w:rPr>
          <w:color w:val="auto"/>
          <w:highlight w:val="none"/>
        </w:rPr>
      </w:pPr>
    </w:p>
    <w:tbl>
      <w:tblPr>
        <w:tblStyle w:val="161"/>
        <w:tblW w:w="93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5854"/>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663" w:type="dxa"/>
            <w:vAlign w:val="top"/>
          </w:tcPr>
          <w:p>
            <w:pPr>
              <w:spacing w:before="237" w:line="220" w:lineRule="auto"/>
              <w:ind w:left="265"/>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项目名称</w:t>
            </w:r>
          </w:p>
        </w:tc>
        <w:tc>
          <w:tcPr>
            <w:tcW w:w="5854" w:type="dxa"/>
            <w:vAlign w:val="top"/>
          </w:tcPr>
          <w:p>
            <w:pPr>
              <w:rPr>
                <w:rFonts w:ascii="Arial"/>
                <w:color w:val="auto"/>
                <w:sz w:val="21"/>
                <w:highlight w:val="none"/>
              </w:rPr>
            </w:pPr>
          </w:p>
        </w:tc>
        <w:tc>
          <w:tcPr>
            <w:tcW w:w="1863" w:type="dxa"/>
            <w:vAlign w:val="top"/>
          </w:tcPr>
          <w:p>
            <w:pPr>
              <w:spacing w:before="238" w:line="221" w:lineRule="auto"/>
              <w:ind w:left="648"/>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663" w:type="dxa"/>
            <w:vAlign w:val="top"/>
          </w:tcPr>
          <w:p>
            <w:pPr>
              <w:spacing w:before="273" w:line="219" w:lineRule="auto"/>
              <w:ind w:left="265"/>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项目编号</w:t>
            </w:r>
          </w:p>
        </w:tc>
        <w:tc>
          <w:tcPr>
            <w:tcW w:w="5854" w:type="dxa"/>
            <w:vAlign w:val="top"/>
          </w:tcPr>
          <w:p>
            <w:pPr>
              <w:rPr>
                <w:rFonts w:ascii="Arial"/>
                <w:color w:val="auto"/>
                <w:sz w:val="21"/>
                <w:highlight w:val="none"/>
              </w:rPr>
            </w:pPr>
          </w:p>
        </w:tc>
        <w:tc>
          <w:tcPr>
            <w:tcW w:w="186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663" w:type="dxa"/>
            <w:vAlign w:val="top"/>
          </w:tcPr>
          <w:p>
            <w:pPr>
              <w:spacing w:before="212" w:line="219" w:lineRule="auto"/>
              <w:ind w:left="125"/>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供应商名称</w:t>
            </w:r>
          </w:p>
        </w:tc>
        <w:tc>
          <w:tcPr>
            <w:tcW w:w="5854" w:type="dxa"/>
            <w:vAlign w:val="top"/>
          </w:tcPr>
          <w:p>
            <w:pPr>
              <w:rPr>
                <w:rFonts w:ascii="Arial"/>
                <w:color w:val="auto"/>
                <w:sz w:val="21"/>
                <w:highlight w:val="none"/>
              </w:rPr>
            </w:pPr>
          </w:p>
        </w:tc>
        <w:tc>
          <w:tcPr>
            <w:tcW w:w="186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1663" w:type="dxa"/>
            <w:vAlign w:val="top"/>
          </w:tcPr>
          <w:p>
            <w:pPr>
              <w:spacing w:line="324" w:lineRule="auto"/>
              <w:rPr>
                <w:rFonts w:ascii="Arial"/>
                <w:color w:val="auto"/>
                <w:sz w:val="21"/>
                <w:highlight w:val="none"/>
              </w:rPr>
            </w:pPr>
          </w:p>
          <w:p>
            <w:pPr>
              <w:spacing w:line="324" w:lineRule="auto"/>
              <w:rPr>
                <w:rFonts w:ascii="Arial"/>
                <w:color w:val="auto"/>
                <w:sz w:val="21"/>
                <w:highlight w:val="none"/>
              </w:rPr>
            </w:pPr>
          </w:p>
          <w:p>
            <w:pPr>
              <w:spacing w:before="91" w:line="218" w:lineRule="auto"/>
              <w:ind w:left="545"/>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报价</w:t>
            </w:r>
          </w:p>
        </w:tc>
        <w:tc>
          <w:tcPr>
            <w:tcW w:w="5854" w:type="dxa"/>
            <w:vAlign w:val="top"/>
          </w:tcPr>
          <w:p>
            <w:pPr>
              <w:spacing w:line="256" w:lineRule="auto"/>
              <w:rPr>
                <w:rFonts w:ascii="Arial"/>
                <w:color w:val="auto"/>
                <w:sz w:val="21"/>
                <w:highlight w:val="none"/>
              </w:rPr>
            </w:pPr>
          </w:p>
          <w:p>
            <w:pPr>
              <w:spacing w:before="91" w:line="221" w:lineRule="auto"/>
              <w:ind w:left="662"/>
              <w:rPr>
                <w:rFonts w:ascii="宋体" w:hAnsi="宋体" w:eastAsia="宋体" w:cs="宋体"/>
                <w:color w:val="auto"/>
                <w:sz w:val="28"/>
                <w:szCs w:val="28"/>
                <w:highlight w:val="none"/>
              </w:rPr>
            </w:pPr>
            <w:r>
              <w:rPr>
                <w:rFonts w:ascii="宋体" w:hAnsi="宋体" w:eastAsia="宋体" w:cs="宋体"/>
                <w:color w:val="auto"/>
                <w:spacing w:val="-13"/>
                <w:sz w:val="28"/>
                <w:szCs w:val="28"/>
                <w:highlight w:val="none"/>
              </w:rPr>
              <w:t>小</w:t>
            </w:r>
            <w:r>
              <w:rPr>
                <w:rFonts w:ascii="宋体" w:hAnsi="宋体" w:eastAsia="宋体" w:cs="宋体"/>
                <w:color w:val="auto"/>
                <w:spacing w:val="-10"/>
                <w:sz w:val="28"/>
                <w:szCs w:val="28"/>
                <w:highlight w:val="none"/>
              </w:rPr>
              <w:t xml:space="preserve"> </w:t>
            </w:r>
            <w:r>
              <w:rPr>
                <w:rFonts w:ascii="宋体" w:hAnsi="宋体" w:eastAsia="宋体" w:cs="宋体"/>
                <w:color w:val="auto"/>
                <w:spacing w:val="-13"/>
                <w:sz w:val="28"/>
                <w:szCs w:val="28"/>
                <w:highlight w:val="none"/>
              </w:rPr>
              <w:t>写</w:t>
            </w:r>
            <w:r>
              <w:rPr>
                <w:rFonts w:ascii="宋体" w:hAnsi="宋体" w:eastAsia="宋体" w:cs="宋体"/>
                <w:color w:val="auto"/>
                <w:spacing w:val="-28"/>
                <w:sz w:val="28"/>
                <w:szCs w:val="28"/>
                <w:highlight w:val="none"/>
              </w:rPr>
              <w:t xml:space="preserve"> </w:t>
            </w:r>
            <w:r>
              <w:rPr>
                <w:rFonts w:ascii="宋体" w:hAnsi="宋体" w:eastAsia="宋体" w:cs="宋体"/>
                <w:color w:val="auto"/>
                <w:spacing w:val="-13"/>
                <w:sz w:val="28"/>
                <w:szCs w:val="28"/>
                <w:highlight w:val="none"/>
              </w:rPr>
              <w:t>：</w:t>
            </w:r>
          </w:p>
          <w:p>
            <w:pPr>
              <w:spacing w:line="365" w:lineRule="auto"/>
              <w:rPr>
                <w:rFonts w:ascii="Arial"/>
                <w:color w:val="auto"/>
                <w:sz w:val="21"/>
                <w:highlight w:val="none"/>
              </w:rPr>
            </w:pPr>
          </w:p>
          <w:p>
            <w:pPr>
              <w:spacing w:before="91" w:line="219" w:lineRule="auto"/>
              <w:ind w:left="662"/>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大写(人民币):</w:t>
            </w:r>
          </w:p>
        </w:tc>
        <w:tc>
          <w:tcPr>
            <w:tcW w:w="186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1663" w:type="dxa"/>
            <w:vAlign w:val="top"/>
          </w:tcPr>
          <w:p>
            <w:pPr>
              <w:spacing w:line="257" w:lineRule="auto"/>
              <w:rPr>
                <w:rFonts w:ascii="Arial"/>
                <w:color w:val="auto"/>
                <w:sz w:val="21"/>
                <w:highlight w:val="none"/>
              </w:rPr>
            </w:pPr>
          </w:p>
          <w:p>
            <w:pPr>
              <w:spacing w:before="91" w:line="219" w:lineRule="auto"/>
              <w:ind w:left="265"/>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服务期限</w:t>
            </w:r>
          </w:p>
        </w:tc>
        <w:tc>
          <w:tcPr>
            <w:tcW w:w="5854" w:type="dxa"/>
            <w:vAlign w:val="top"/>
          </w:tcPr>
          <w:p>
            <w:pPr>
              <w:rPr>
                <w:rFonts w:ascii="Arial"/>
                <w:color w:val="auto"/>
                <w:sz w:val="21"/>
                <w:highlight w:val="none"/>
              </w:rPr>
            </w:pPr>
          </w:p>
        </w:tc>
        <w:tc>
          <w:tcPr>
            <w:tcW w:w="1863" w:type="dxa"/>
            <w:vAlign w:val="top"/>
          </w:tcPr>
          <w:p>
            <w:pPr>
              <w:rPr>
                <w:rFonts w:ascii="Arial"/>
                <w:color w:val="auto"/>
                <w:sz w:val="21"/>
                <w:highlight w:val="none"/>
              </w:rPr>
            </w:pPr>
          </w:p>
        </w:tc>
      </w:tr>
    </w:tbl>
    <w:p>
      <w:pPr>
        <w:spacing w:line="298" w:lineRule="auto"/>
        <w:rPr>
          <w:rFonts w:ascii="Arial"/>
          <w:color w:val="auto"/>
          <w:sz w:val="21"/>
          <w:highlight w:val="none"/>
        </w:rPr>
      </w:pPr>
    </w:p>
    <w:p>
      <w:pPr>
        <w:spacing w:line="298" w:lineRule="auto"/>
        <w:rPr>
          <w:rFonts w:ascii="Arial"/>
          <w:color w:val="auto"/>
          <w:sz w:val="21"/>
          <w:highlight w:val="none"/>
        </w:rPr>
      </w:pPr>
    </w:p>
    <w:p>
      <w:pPr>
        <w:spacing w:line="298" w:lineRule="auto"/>
        <w:rPr>
          <w:rFonts w:ascii="Arial"/>
          <w:color w:val="auto"/>
          <w:sz w:val="21"/>
          <w:highlight w:val="none"/>
        </w:rPr>
      </w:pPr>
    </w:p>
    <w:p>
      <w:pPr>
        <w:spacing w:line="299" w:lineRule="auto"/>
        <w:rPr>
          <w:rFonts w:ascii="Arial"/>
          <w:color w:val="auto"/>
          <w:sz w:val="21"/>
          <w:highlight w:val="none"/>
        </w:rPr>
      </w:pPr>
    </w:p>
    <w:p>
      <w:pPr>
        <w:spacing w:before="94" w:line="219" w:lineRule="auto"/>
        <w:ind w:left="3445" w:firstLine="268" w:firstLineChars="100"/>
        <w:rPr>
          <w:rFonts w:ascii="宋体" w:hAnsi="宋体" w:eastAsia="宋体" w:cs="宋体"/>
          <w:color w:val="auto"/>
          <w:sz w:val="29"/>
          <w:szCs w:val="29"/>
          <w:highlight w:val="none"/>
        </w:rPr>
      </w:pPr>
      <w:r>
        <w:rPr>
          <w:rFonts w:ascii="宋体" w:hAnsi="宋体" w:eastAsia="宋体" w:cs="宋体"/>
          <w:color w:val="auto"/>
          <w:spacing w:val="-11"/>
          <w:sz w:val="29"/>
          <w:szCs w:val="29"/>
          <w:highlight w:val="none"/>
        </w:rPr>
        <w:t>供应商签章：</w:t>
      </w:r>
    </w:p>
    <w:p>
      <w:pPr>
        <w:spacing w:before="285" w:line="219" w:lineRule="auto"/>
        <w:ind w:left="3605"/>
        <w:rPr>
          <w:rFonts w:ascii="宋体" w:hAnsi="宋体" w:eastAsia="宋体" w:cs="宋体"/>
          <w:color w:val="auto"/>
          <w:sz w:val="29"/>
          <w:szCs w:val="29"/>
          <w:highlight w:val="none"/>
        </w:rPr>
      </w:pPr>
      <w:r>
        <w:rPr>
          <w:rFonts w:ascii="宋体" w:hAnsi="宋体" w:eastAsia="宋体" w:cs="宋体"/>
          <w:color w:val="auto"/>
          <w:spacing w:val="4"/>
          <w:sz w:val="29"/>
          <w:szCs w:val="29"/>
          <w:highlight w:val="none"/>
        </w:rPr>
        <w:t>授权代表(或法人代表)签字或盖章：</w:t>
      </w:r>
    </w:p>
    <w:p>
      <w:pPr>
        <w:spacing w:before="309" w:line="220" w:lineRule="auto"/>
        <w:ind w:left="3594"/>
        <w:rPr>
          <w:rFonts w:ascii="宋体" w:hAnsi="宋体" w:eastAsia="宋体" w:cs="宋体"/>
          <w:color w:val="auto"/>
          <w:sz w:val="29"/>
          <w:szCs w:val="29"/>
          <w:highlight w:val="none"/>
        </w:rPr>
      </w:pPr>
      <w:r>
        <w:rPr>
          <w:rFonts w:ascii="宋体" w:hAnsi="宋体" w:eastAsia="宋体" w:cs="宋体"/>
          <w:color w:val="auto"/>
          <w:spacing w:val="-51"/>
          <w:sz w:val="29"/>
          <w:szCs w:val="29"/>
          <w:highlight w:val="none"/>
        </w:rPr>
        <w:t>日</w:t>
      </w:r>
      <w:r>
        <w:rPr>
          <w:rFonts w:ascii="宋体" w:hAnsi="宋体" w:eastAsia="宋体" w:cs="宋体"/>
          <w:color w:val="auto"/>
          <w:sz w:val="29"/>
          <w:szCs w:val="29"/>
          <w:highlight w:val="none"/>
        </w:rPr>
        <w:t xml:space="preserve">    </w:t>
      </w:r>
      <w:r>
        <w:rPr>
          <w:rFonts w:ascii="宋体" w:hAnsi="宋体" w:eastAsia="宋体" w:cs="宋体"/>
          <w:color w:val="auto"/>
          <w:spacing w:val="-51"/>
          <w:sz w:val="29"/>
          <w:szCs w:val="29"/>
          <w:highlight w:val="none"/>
        </w:rPr>
        <w:t>期</w:t>
      </w:r>
      <w:r>
        <w:rPr>
          <w:rFonts w:hint="eastAsia" w:ascii="宋体" w:hAnsi="宋体" w:eastAsia="宋体" w:cs="宋体"/>
          <w:color w:val="auto"/>
          <w:spacing w:val="-51"/>
          <w:sz w:val="29"/>
          <w:szCs w:val="29"/>
          <w:highlight w:val="none"/>
          <w:lang w:val="en-US" w:eastAsia="zh-CN"/>
        </w:rPr>
        <w:t xml:space="preserve">      ：</w:t>
      </w:r>
      <w:r>
        <w:rPr>
          <w:rFonts w:ascii="宋体" w:hAnsi="宋体" w:eastAsia="宋体" w:cs="宋体"/>
          <w:color w:val="auto"/>
          <w:spacing w:val="-83"/>
          <w:sz w:val="29"/>
          <w:szCs w:val="29"/>
          <w:highlight w:val="none"/>
        </w:rPr>
        <w:t xml:space="preserve"> </w:t>
      </w:r>
      <w:r>
        <w:rPr>
          <w:rFonts w:ascii="宋体" w:hAnsi="宋体" w:eastAsia="宋体" w:cs="宋体"/>
          <w:color w:val="auto"/>
          <w:sz w:val="29"/>
          <w:szCs w:val="29"/>
          <w:highlight w:val="none"/>
          <w:u w:val="single" w:color="auto"/>
        </w:rPr>
        <w:t xml:space="preserve">                </w:t>
      </w:r>
    </w:p>
    <w:p>
      <w:pPr>
        <w:spacing w:before="272" w:line="401" w:lineRule="auto"/>
        <w:ind w:left="84" w:right="1161"/>
        <w:rPr>
          <w:rFonts w:ascii="宋体" w:hAnsi="宋体" w:eastAsia="宋体" w:cs="宋体"/>
          <w:color w:val="auto"/>
          <w:spacing w:val="-11"/>
          <w:sz w:val="29"/>
          <w:szCs w:val="29"/>
          <w:highlight w:val="none"/>
        </w:rPr>
      </w:pPr>
    </w:p>
    <w:p>
      <w:pPr>
        <w:spacing w:before="272" w:line="401" w:lineRule="auto"/>
        <w:ind w:left="84" w:right="1161"/>
        <w:rPr>
          <w:rFonts w:ascii="宋体" w:hAnsi="宋体" w:eastAsia="宋体" w:cs="宋体"/>
          <w:b/>
          <w:bCs/>
          <w:color w:val="auto"/>
          <w:sz w:val="29"/>
          <w:szCs w:val="29"/>
          <w:highlight w:val="none"/>
        </w:rPr>
      </w:pPr>
      <w:r>
        <w:rPr>
          <w:rFonts w:ascii="宋体" w:hAnsi="宋体" w:eastAsia="宋体" w:cs="宋体"/>
          <w:b/>
          <w:bCs/>
          <w:color w:val="auto"/>
          <w:spacing w:val="-11"/>
          <w:sz w:val="29"/>
          <w:szCs w:val="29"/>
          <w:highlight w:val="none"/>
        </w:rPr>
        <w:t>注：本页&lt;最终报价书&gt;由磋商供应商在磋商现场依磋商情况填写，</w:t>
      </w:r>
      <w:r>
        <w:rPr>
          <w:rFonts w:ascii="宋体" w:hAnsi="宋体" w:eastAsia="宋体" w:cs="宋体"/>
          <w:b/>
          <w:bCs/>
          <w:color w:val="auto"/>
          <w:spacing w:val="3"/>
          <w:sz w:val="29"/>
          <w:szCs w:val="29"/>
          <w:highlight w:val="none"/>
        </w:rPr>
        <w:t xml:space="preserve"> </w:t>
      </w:r>
      <w:r>
        <w:rPr>
          <w:rFonts w:ascii="宋体" w:hAnsi="宋体" w:eastAsia="宋体" w:cs="宋体"/>
          <w:b/>
          <w:bCs/>
          <w:color w:val="auto"/>
          <w:spacing w:val="-6"/>
          <w:sz w:val="29"/>
          <w:szCs w:val="29"/>
          <w:highlight w:val="none"/>
        </w:rPr>
        <w:t>请加盖公章后带至磋商现场备填(不需装订在磋商响应文件内，请</w:t>
      </w:r>
      <w:r>
        <w:rPr>
          <w:rFonts w:ascii="宋体" w:hAnsi="宋体" w:eastAsia="宋体" w:cs="宋体"/>
          <w:b/>
          <w:bCs/>
          <w:color w:val="auto"/>
          <w:sz w:val="29"/>
          <w:szCs w:val="29"/>
          <w:highlight w:val="none"/>
        </w:rPr>
        <w:t>准备不少于两张),该表供磋商现场报价使用，打印该空表用于现</w:t>
      </w:r>
      <w:r>
        <w:rPr>
          <w:rFonts w:ascii="宋体" w:hAnsi="宋体" w:eastAsia="宋体" w:cs="宋体"/>
          <w:b/>
          <w:bCs/>
          <w:color w:val="auto"/>
          <w:spacing w:val="-9"/>
          <w:sz w:val="29"/>
          <w:szCs w:val="29"/>
          <w:highlight w:val="none"/>
        </w:rPr>
        <w:t>场最终报价。磋商供应商在填写的最终承诺报价为合</w:t>
      </w:r>
      <w:r>
        <w:rPr>
          <w:rFonts w:ascii="宋体" w:hAnsi="宋体" w:eastAsia="宋体" w:cs="宋体"/>
          <w:b/>
          <w:bCs/>
          <w:color w:val="auto"/>
          <w:spacing w:val="-10"/>
          <w:sz w:val="29"/>
          <w:szCs w:val="29"/>
          <w:highlight w:val="none"/>
        </w:rPr>
        <w:t>同总价，项目</w:t>
      </w:r>
      <w:r>
        <w:rPr>
          <w:rFonts w:ascii="宋体" w:hAnsi="宋体" w:eastAsia="宋体" w:cs="宋体"/>
          <w:b/>
          <w:bCs/>
          <w:color w:val="auto"/>
          <w:spacing w:val="-11"/>
          <w:sz w:val="29"/>
          <w:szCs w:val="29"/>
          <w:highlight w:val="none"/>
        </w:rPr>
        <w:t>所需费用均包含在合同总价内。</w:t>
      </w:r>
    </w:p>
    <w:p>
      <w:pPr>
        <w:rPr>
          <w:b/>
          <w:bCs/>
          <w:color w:val="auto"/>
          <w:highlight w:val="none"/>
        </w:rPr>
        <w:sectPr>
          <w:footerReference r:id="rId8" w:type="default"/>
          <w:pgSz w:w="11660" w:h="16840"/>
          <w:pgMar w:top="1134" w:right="895" w:bottom="850" w:left="1374" w:header="0" w:footer="529"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362"/>
        <w:textAlignment w:val="baseline"/>
        <w:rPr>
          <w:rFonts w:ascii="宋体" w:hAnsi="宋体" w:eastAsia="宋体" w:cs="宋体"/>
          <w:b/>
          <w:bCs/>
          <w:color w:val="auto"/>
          <w:sz w:val="24"/>
          <w:szCs w:val="24"/>
          <w:highlight w:val="none"/>
        </w:rPr>
      </w:pPr>
      <w:r>
        <w:rPr>
          <w:rFonts w:hint="eastAsia" w:ascii="宋体" w:hAnsi="宋体" w:cs="宋体"/>
          <w:b/>
          <w:bCs/>
          <w:color w:val="auto"/>
          <w:spacing w:val="-1"/>
          <w:sz w:val="24"/>
          <w:szCs w:val="24"/>
          <w:highlight w:val="none"/>
          <w:lang w:val="en-US" w:eastAsia="zh-CN"/>
        </w:rPr>
        <w:t>3</w:t>
      </w:r>
      <w:r>
        <w:rPr>
          <w:rFonts w:ascii="宋体" w:hAnsi="宋体" w:eastAsia="宋体" w:cs="宋体"/>
          <w:b/>
          <w:bCs/>
          <w:color w:val="auto"/>
          <w:spacing w:val="-1"/>
          <w:sz w:val="24"/>
          <w:szCs w:val="24"/>
          <w:highlight w:val="none"/>
        </w:rPr>
        <w:t>、主</w:t>
      </w:r>
      <w:r>
        <w:rPr>
          <w:rFonts w:ascii="宋体" w:hAnsi="宋体" w:eastAsia="宋体" w:cs="宋体"/>
          <w:b/>
          <w:bCs/>
          <w:color w:val="auto"/>
          <w:sz w:val="24"/>
          <w:szCs w:val="24"/>
          <w:highlight w:val="none"/>
        </w:rPr>
        <w:t>要标的一览表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此表中项目名称、施工范围由采购人列出，施工工期、项目经理、执业证书信息由供应商填写，将随成交结果公告一并发布，接受社会监督。未填写此表按无效标处理。</w:t>
      </w:r>
    </w:p>
    <w:tbl>
      <w:tblPr>
        <w:tblStyle w:val="161"/>
        <w:tblW w:w="90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3"/>
        <w:gridCol w:w="7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723" w:type="dxa"/>
            <w:tcBorders>
              <w:left w:val="single" w:color="000000" w:sz="10" w:space="0"/>
              <w:right w:val="single" w:color="000000" w:sz="4" w:space="0"/>
            </w:tcBorders>
          </w:tcPr>
          <w:p>
            <w:pPr>
              <w:spacing w:before="314" w:line="220" w:lineRule="auto"/>
              <w:ind w:left="3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w:t>
            </w:r>
            <w:r>
              <w:rPr>
                <w:rFonts w:ascii="宋体" w:hAnsi="宋体" w:eastAsia="宋体" w:cs="宋体"/>
                <w:color w:val="auto"/>
                <w:spacing w:val="-2"/>
                <w:sz w:val="24"/>
                <w:szCs w:val="24"/>
                <w:highlight w:val="none"/>
              </w:rPr>
              <w:t>目名称</w:t>
            </w:r>
          </w:p>
        </w:tc>
        <w:tc>
          <w:tcPr>
            <w:tcW w:w="7320" w:type="dxa"/>
            <w:tcBorders>
              <w:left w:val="single" w:color="000000" w:sz="4" w:space="0"/>
              <w:right w:val="single" w:color="000000" w:sz="10" w:space="0"/>
            </w:tcBorders>
            <w:vAlign w:val="center"/>
          </w:tcPr>
          <w:p>
            <w:pPr>
              <w:keepNext w:val="0"/>
              <w:keepLines w:val="0"/>
              <w:pageBreakBefore w:val="0"/>
              <w:widowControl w:val="0"/>
              <w:shd w:val="clear" w:color="auto" w:fill="FFFFFF"/>
              <w:kinsoku/>
              <w:wordWrap/>
              <w:overflowPunct/>
              <w:topLinePunct w:val="0"/>
              <w:bidi w:val="0"/>
              <w:adjustRightInd w:val="0"/>
              <w:snapToGrid w:val="0"/>
              <w:spacing w:line="480" w:lineRule="exact"/>
              <w:ind w:firstLine="640"/>
              <w:jc w:val="both"/>
              <w:textAlignment w:val="auto"/>
              <w:rPr>
                <w:rFonts w:ascii="宋体" w:hAnsi="宋体" w:eastAsia="宋体" w:cs="宋体"/>
                <w:color w:val="auto"/>
                <w:sz w:val="24"/>
                <w:szCs w:val="24"/>
                <w:highlight w:val="none"/>
              </w:rPr>
            </w:pPr>
            <w:r>
              <w:rPr>
                <w:rFonts w:hint="eastAsia" w:ascii="宋体" w:hAnsi="宋体" w:eastAsia="宋体" w:cs="Times New Roman"/>
                <w:bCs/>
                <w:snapToGrid/>
                <w:color w:val="auto"/>
                <w:kern w:val="2"/>
                <w:sz w:val="24"/>
                <w:szCs w:val="24"/>
                <w:highlight w:val="none"/>
                <w:lang w:val="en-US" w:eastAsia="zh-CN" w:bidi="ar-SA"/>
              </w:rPr>
              <w:t>枞阳县枞阳镇下枞阳社区办公楼维修改造工程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7" w:hRule="atLeast"/>
        </w:trPr>
        <w:tc>
          <w:tcPr>
            <w:tcW w:w="1723" w:type="dxa"/>
            <w:tcBorders>
              <w:left w:val="single" w:color="000000" w:sz="10" w:space="0"/>
              <w:right w:val="single" w:color="000000" w:sz="4" w:space="0"/>
            </w:tcBorders>
          </w:tcPr>
          <w:p>
            <w:pPr>
              <w:spacing w:line="285" w:lineRule="auto"/>
              <w:rPr>
                <w:color w:val="auto"/>
                <w:highlight w:val="none"/>
              </w:rPr>
            </w:pPr>
          </w:p>
          <w:p>
            <w:pPr>
              <w:spacing w:line="286" w:lineRule="auto"/>
              <w:rPr>
                <w:color w:val="auto"/>
                <w:highlight w:val="none"/>
              </w:rPr>
            </w:pPr>
          </w:p>
          <w:p>
            <w:pPr>
              <w:spacing w:before="78" w:line="220" w:lineRule="auto"/>
              <w:ind w:left="379"/>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施工</w:t>
            </w:r>
            <w:r>
              <w:rPr>
                <w:rFonts w:ascii="宋体" w:hAnsi="宋体" w:eastAsia="宋体" w:cs="宋体"/>
                <w:color w:val="auto"/>
                <w:spacing w:val="-3"/>
                <w:sz w:val="24"/>
                <w:szCs w:val="24"/>
                <w:highlight w:val="none"/>
              </w:rPr>
              <w:t>范围</w:t>
            </w:r>
          </w:p>
        </w:tc>
        <w:tc>
          <w:tcPr>
            <w:tcW w:w="7320" w:type="dxa"/>
            <w:tcBorders>
              <w:left w:val="single" w:color="000000" w:sz="4" w:space="0"/>
              <w:right w:val="single" w:color="000000" w:sz="10" w:space="0"/>
            </w:tcBorders>
          </w:tcPr>
          <w:p>
            <w:pPr>
              <w:spacing w:before="1" w:line="218" w:lineRule="auto"/>
              <w:ind w:left="104"/>
              <w:rPr>
                <w:rFonts w:ascii="宋体" w:hAnsi="宋体" w:eastAsia="宋体" w:cs="宋体"/>
                <w:color w:val="auto"/>
                <w:spacing w:val="1"/>
                <w:sz w:val="24"/>
                <w:szCs w:val="24"/>
                <w:highlight w:val="none"/>
              </w:rPr>
            </w:pPr>
          </w:p>
          <w:p>
            <w:pPr>
              <w:pStyle w:val="53"/>
              <w:keepNext w:val="0"/>
              <w:keepLines w:val="0"/>
              <w:pageBreakBefore w:val="0"/>
              <w:widowControl w:val="0"/>
              <w:kinsoku/>
              <w:wordWrap/>
              <w:overflowPunct/>
              <w:topLinePunct w:val="0"/>
              <w:bidi w:val="0"/>
              <w:snapToGrid w:val="0"/>
              <w:spacing w:line="480" w:lineRule="exact"/>
              <w:ind w:firstLine="600" w:firstLineChars="250"/>
              <w:jc w:val="both"/>
              <w:textAlignment w:val="auto"/>
              <w:rPr>
                <w:rFonts w:hint="eastAsia" w:ascii="宋体" w:hAnsi="宋体" w:eastAsia="宋体" w:cs="Times New Roman"/>
                <w:bCs/>
                <w:snapToGrid/>
                <w:color w:val="auto"/>
                <w:kern w:val="2"/>
                <w:sz w:val="24"/>
                <w:szCs w:val="24"/>
                <w:highlight w:val="none"/>
                <w:lang w:val="en-US" w:eastAsia="zh-CN" w:bidi="ar-SA"/>
              </w:rPr>
            </w:pPr>
            <w:r>
              <w:rPr>
                <w:rFonts w:hint="eastAsia" w:ascii="宋体" w:hAnsi="宋体" w:eastAsia="宋体" w:cs="Times New Roman"/>
                <w:bCs/>
                <w:snapToGrid/>
                <w:color w:val="auto"/>
                <w:kern w:val="2"/>
                <w:sz w:val="24"/>
                <w:szCs w:val="24"/>
                <w:highlight w:val="none"/>
                <w:lang w:val="en-US" w:eastAsia="zh-CN" w:bidi="ar-SA"/>
              </w:rPr>
              <w:t>本项目主要建设内容为室内楼地面，墙面维修，外墙面铲除维修，门窗更换，卫生间水电安装维修等工程。具体内容详见设计图纸及工程量清单所载内容</w:t>
            </w:r>
            <w:r>
              <w:rPr>
                <w:rFonts w:hint="eastAsia" w:cs="Times New Roman"/>
                <w:bCs/>
                <w:snapToGrid/>
                <w:color w:val="auto"/>
                <w:kern w:val="2"/>
                <w:sz w:val="24"/>
                <w:szCs w:val="24"/>
                <w:highlight w:val="none"/>
                <w:lang w:val="en-US" w:eastAsia="zh-CN" w:bidi="ar-SA"/>
              </w:rPr>
              <w:t>。</w:t>
            </w:r>
          </w:p>
          <w:p>
            <w:pPr>
              <w:spacing w:before="1" w:line="218" w:lineRule="auto"/>
              <w:ind w:left="104"/>
              <w:rPr>
                <w:rFonts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1723" w:type="dxa"/>
            <w:tcBorders>
              <w:left w:val="single" w:color="000000" w:sz="10" w:space="0"/>
              <w:right w:val="single" w:color="000000" w:sz="4" w:space="0"/>
            </w:tcBorders>
          </w:tcPr>
          <w:p>
            <w:pPr>
              <w:spacing w:line="261" w:lineRule="auto"/>
              <w:rPr>
                <w:color w:val="auto"/>
                <w:highlight w:val="none"/>
              </w:rPr>
            </w:pPr>
          </w:p>
          <w:p>
            <w:pPr>
              <w:spacing w:before="78" w:line="220" w:lineRule="auto"/>
              <w:ind w:left="379"/>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施工工期</w:t>
            </w:r>
          </w:p>
        </w:tc>
        <w:tc>
          <w:tcPr>
            <w:tcW w:w="7320" w:type="dxa"/>
            <w:tcBorders>
              <w:left w:val="single" w:color="000000" w:sz="4" w:space="0"/>
              <w:right w:val="single" w:color="000000" w:sz="10" w:space="0"/>
            </w:tcBorders>
          </w:tcPr>
          <w:p>
            <w:pPr>
              <w:spacing w:line="320" w:lineRule="auto"/>
              <w:rPr>
                <w:color w:val="auto"/>
                <w:highlight w:val="none"/>
              </w:rPr>
            </w:pPr>
          </w:p>
          <w:p>
            <w:pPr>
              <w:spacing w:before="78" w:line="366" w:lineRule="auto"/>
              <w:ind w:left="105" w:right="96" w:hanging="1"/>
              <w:rPr>
                <w:rFonts w:ascii="宋体" w:hAnsi="宋体" w:eastAsia="宋体" w:cs="宋体"/>
                <w:color w:val="auto"/>
                <w:sz w:val="24"/>
                <w:szCs w:val="24"/>
                <w:highlight w:val="none"/>
              </w:rPr>
            </w:pPr>
            <w:r>
              <w:rPr>
                <w:rFonts w:hint="eastAsia" w:ascii="宋体" w:hAnsi="宋体" w:eastAsia="宋体" w:cs="Times New Roman"/>
                <w:bCs/>
                <w:snapToGrid/>
                <w:color w:val="auto"/>
                <w:kern w:val="2"/>
                <w:sz w:val="24"/>
                <w:szCs w:val="24"/>
                <w:highlight w:val="none"/>
                <w:lang w:val="en-US" w:eastAsia="zh-CN" w:bidi="ar-SA"/>
              </w:rPr>
              <w:t>自合同签订之日起</w:t>
            </w:r>
            <w:r>
              <w:rPr>
                <w:rFonts w:hint="eastAsia" w:cs="Times New Roman"/>
                <w:bCs/>
                <w:snapToGrid/>
                <w:color w:val="auto"/>
                <w:kern w:val="2"/>
                <w:sz w:val="24"/>
                <w:szCs w:val="24"/>
                <w:highlight w:val="none"/>
                <w:lang w:val="en-US" w:eastAsia="zh-CN" w:bidi="ar-SA"/>
              </w:rPr>
              <w:t>60</w:t>
            </w:r>
            <w:r>
              <w:rPr>
                <w:rFonts w:hint="eastAsia" w:ascii="宋体" w:hAnsi="宋体" w:eastAsia="宋体" w:cs="Times New Roman"/>
                <w:bCs/>
                <w:snapToGrid/>
                <w:color w:val="auto"/>
                <w:kern w:val="2"/>
                <w:sz w:val="24"/>
                <w:szCs w:val="24"/>
                <w:highlight w:val="none"/>
                <w:lang w:val="en-US" w:eastAsia="zh-CN" w:bidi="ar-SA"/>
              </w:rPr>
              <w:t>日历天内完成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723" w:type="dxa"/>
            <w:tcBorders>
              <w:left w:val="single" w:color="000000" w:sz="10" w:space="0"/>
              <w:right w:val="single" w:color="000000" w:sz="4" w:space="0"/>
            </w:tcBorders>
          </w:tcPr>
          <w:p>
            <w:pPr>
              <w:spacing w:before="301" w:line="220" w:lineRule="auto"/>
              <w:ind w:left="139" w:firstLine="236" w:firstLineChars="10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项目经理</w:t>
            </w:r>
          </w:p>
        </w:tc>
        <w:tc>
          <w:tcPr>
            <w:tcW w:w="7320" w:type="dxa"/>
            <w:tcBorders>
              <w:left w:val="single" w:color="000000" w:sz="4" w:space="0"/>
              <w:right w:val="single" w:color="000000" w:sz="10" w:space="0"/>
            </w:tcBorders>
          </w:tcPr>
          <w:p>
            <w:pP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723" w:type="dxa"/>
            <w:tcBorders>
              <w:left w:val="single" w:color="000000" w:sz="10" w:space="0"/>
              <w:right w:val="single" w:color="000000" w:sz="4" w:space="0"/>
            </w:tcBorders>
          </w:tcPr>
          <w:p>
            <w:pPr>
              <w:spacing w:before="237" w:line="220" w:lineRule="auto"/>
              <w:ind w:left="1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执业证书信息</w:t>
            </w:r>
          </w:p>
        </w:tc>
        <w:tc>
          <w:tcPr>
            <w:tcW w:w="7320" w:type="dxa"/>
            <w:tcBorders>
              <w:left w:val="single" w:color="000000" w:sz="4" w:space="0"/>
              <w:right w:val="single" w:color="000000" w:sz="10" w:space="0"/>
            </w:tcBorders>
          </w:tcPr>
          <w:p>
            <w:pPr>
              <w:rPr>
                <w:color w:val="auto"/>
                <w:highlight w:val="none"/>
              </w:rPr>
            </w:pPr>
          </w:p>
        </w:tc>
      </w:tr>
    </w:tbl>
    <w:p>
      <w:pPr>
        <w:spacing w:line="255" w:lineRule="auto"/>
        <w:rPr>
          <w:color w:val="auto"/>
          <w:highlight w:val="none"/>
        </w:rPr>
      </w:pPr>
    </w:p>
    <w:p>
      <w:pPr>
        <w:pStyle w:val="77"/>
        <w:ind w:firstLine="480" w:firstLineChars="200"/>
        <w:rPr>
          <w:rFonts w:hint="eastAsia" w:ascii="宋体" w:hAnsi="宋体" w:cs="宋体"/>
          <w:color w:val="auto"/>
          <w:highlight w:val="none"/>
        </w:rPr>
      </w:pPr>
    </w:p>
    <w:p>
      <w:pPr>
        <w:spacing w:before="91" w:line="220" w:lineRule="auto"/>
        <w:ind w:left="28"/>
        <w:jc w:val="both"/>
        <w:outlineLvl w:val="2"/>
        <w:rPr>
          <w:rFonts w:ascii="宋体" w:hAnsi="宋体" w:eastAsia="宋体" w:cs="宋体"/>
          <w:b/>
          <w:bCs/>
          <w:color w:val="auto"/>
          <w:spacing w:val="-1"/>
          <w:sz w:val="28"/>
          <w:szCs w:val="28"/>
          <w:highlight w:val="none"/>
        </w:rPr>
      </w:pPr>
    </w:p>
    <w:p>
      <w:pPr>
        <w:pStyle w:val="77"/>
        <w:ind w:firstLine="5760" w:firstLineChars="2400"/>
        <w:rPr>
          <w:rFonts w:hint="eastAsia" w:ascii="宋体" w:hAnsi="宋体" w:cs="宋体"/>
          <w:color w:val="auto"/>
          <w:highlight w:val="none"/>
        </w:rPr>
      </w:pPr>
      <w:r>
        <w:rPr>
          <w:rFonts w:hint="eastAsia" w:ascii="宋体" w:hAnsi="宋体" w:cs="宋体"/>
          <w:color w:val="auto"/>
          <w:highlight w:val="none"/>
        </w:rPr>
        <w:t>供应商盖章：</w:t>
      </w:r>
    </w:p>
    <w:p>
      <w:pPr>
        <w:pStyle w:val="77"/>
        <w:ind w:firstLine="480" w:firstLineChars="200"/>
        <w:rPr>
          <w:rFonts w:hint="eastAsia" w:ascii="宋体" w:hAnsi="宋体" w:cs="宋体"/>
          <w:color w:val="auto"/>
          <w:highlight w:val="none"/>
        </w:rPr>
      </w:pPr>
    </w:p>
    <w:p>
      <w:pPr>
        <w:pStyle w:val="77"/>
        <w:ind w:firstLine="5760" w:firstLineChars="2400"/>
        <w:rPr>
          <w:rFonts w:hint="eastAsia" w:ascii="宋体" w:hAnsi="宋体" w:cs="宋体"/>
          <w:color w:val="auto"/>
          <w:highlight w:val="none"/>
        </w:rPr>
      </w:pPr>
      <w:r>
        <w:rPr>
          <w:rFonts w:hint="eastAsia" w:ascii="宋体" w:hAnsi="宋体" w:cs="宋体"/>
          <w:color w:val="auto"/>
          <w:highlight w:val="none"/>
        </w:rPr>
        <w:t>日期：________________</w:t>
      </w:r>
    </w:p>
    <w:p>
      <w:pPr>
        <w:pStyle w:val="42"/>
        <w:rPr>
          <w:rFonts w:ascii="宋体" w:hAnsi="宋体" w:eastAsia="宋体" w:cs="宋体"/>
          <w:b/>
          <w:bCs/>
          <w:color w:val="auto"/>
          <w:spacing w:val="-1"/>
          <w:sz w:val="28"/>
          <w:szCs w:val="28"/>
          <w:highlight w:val="none"/>
        </w:rPr>
      </w:pPr>
    </w:p>
    <w:p>
      <w:pPr>
        <w:pStyle w:val="42"/>
        <w:rPr>
          <w:rFonts w:ascii="宋体" w:hAnsi="宋体" w:eastAsia="宋体" w:cs="宋体"/>
          <w:b/>
          <w:bCs/>
          <w:color w:val="auto"/>
          <w:spacing w:val="-1"/>
          <w:sz w:val="28"/>
          <w:szCs w:val="28"/>
          <w:highlight w:val="none"/>
        </w:rPr>
      </w:pPr>
    </w:p>
    <w:p>
      <w:pPr>
        <w:spacing w:before="91"/>
        <w:rPr>
          <w:rFonts w:ascii="宋体" w:hAnsi="宋体" w:eastAsia="宋体" w:cs="宋体"/>
          <w:color w:val="auto"/>
          <w:sz w:val="28"/>
          <w:szCs w:val="28"/>
          <w:highlight w:val="none"/>
        </w:rPr>
      </w:pPr>
      <w:r>
        <w:rPr>
          <w:rFonts w:hint="eastAsia" w:ascii="宋体" w:hAnsi="宋体" w:cs="宋体"/>
          <w:color w:val="auto"/>
          <w:spacing w:val="-1"/>
          <w:sz w:val="28"/>
          <w:szCs w:val="28"/>
          <w:highlight w:val="none"/>
          <w:lang w:val="en-US" w:eastAsia="zh-CN"/>
        </w:rPr>
        <w:t>4</w:t>
      </w:r>
      <w:r>
        <w:rPr>
          <w:rFonts w:ascii="宋体" w:hAnsi="宋体" w:eastAsia="宋体" w:cs="宋体"/>
          <w:color w:val="auto"/>
          <w:spacing w:val="-1"/>
          <w:sz w:val="28"/>
          <w:szCs w:val="28"/>
          <w:highlight w:val="none"/>
        </w:rPr>
        <w:t>、投标报价清单</w:t>
      </w:r>
    </w:p>
    <w:p>
      <w:pPr>
        <w:spacing w:before="259" w:line="219" w:lineRule="auto"/>
        <w:ind w:left="2"/>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(根</w:t>
      </w:r>
      <w:r>
        <w:rPr>
          <w:rFonts w:ascii="宋体" w:hAnsi="宋体" w:eastAsia="宋体" w:cs="宋体"/>
          <w:color w:val="auto"/>
          <w:spacing w:val="9"/>
          <w:sz w:val="28"/>
          <w:szCs w:val="28"/>
          <w:highlight w:val="none"/>
        </w:rPr>
        <w:t>据</w:t>
      </w:r>
      <w:r>
        <w:rPr>
          <w:rFonts w:ascii="宋体" w:hAnsi="宋体" w:eastAsia="宋体" w:cs="宋体"/>
          <w:color w:val="auto"/>
          <w:spacing w:val="5"/>
          <w:sz w:val="28"/>
          <w:szCs w:val="28"/>
          <w:highlight w:val="none"/>
        </w:rPr>
        <w:t>磋商文件中给定的工程量清单格式进行报价)</w:t>
      </w:r>
    </w:p>
    <w:p>
      <w:pPr>
        <w:pStyle w:val="42"/>
        <w:rPr>
          <w:rFonts w:ascii="宋体" w:hAnsi="宋体" w:eastAsia="宋体" w:cs="宋体"/>
          <w:b/>
          <w:bCs/>
          <w:color w:val="auto"/>
          <w:spacing w:val="-1"/>
          <w:sz w:val="28"/>
          <w:szCs w:val="28"/>
          <w:highlight w:val="none"/>
        </w:rPr>
      </w:pPr>
    </w:p>
    <w:p>
      <w:pPr>
        <w:pStyle w:val="77"/>
        <w:rPr>
          <w:rFonts w:hint="eastAsia" w:ascii="宋体" w:hAnsi="宋体" w:cs="宋体"/>
          <w:color w:val="auto"/>
          <w:highlight w:val="none"/>
        </w:rPr>
      </w:pPr>
    </w:p>
    <w:sectPr>
      <w:headerReference r:id="rId9" w:type="default"/>
      <w:footerReference r:id="rId10" w:type="default"/>
      <w:footerReference r:id="rId11" w:type="even"/>
      <w:pgSz w:w="11906" w:h="16838"/>
      <w:pgMar w:top="1134" w:right="1588" w:bottom="1134"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3</w:t>
    </w:r>
    <w:r>
      <w:rPr>
        <w:lang w:val="zh-CN"/>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55"/>
      <w:rPr>
        <w:rFonts w:ascii="宋体" w:hAnsi="宋体" w:eastAsia="宋体" w:cs="宋体"/>
        <w:sz w:val="14"/>
        <w:szCs w:val="14"/>
      </w:rPr>
    </w:pPr>
    <w:r>
      <w:rPr>
        <w:rFonts w:ascii="宋体" w:hAnsi="宋体" w:eastAsia="宋体" w:cs="宋体"/>
        <w:spacing w:val="-3"/>
        <w:sz w:val="14"/>
        <w:szCs w:val="14"/>
      </w:rPr>
      <w:t>50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365"/>
        <w:tab w:val="clear" w:pos="4153"/>
        <w:tab w:val="clear" w:pos="8306"/>
      </w:tabs>
      <w:ind w:right="360" w:firstLine="360"/>
    </w:pPr>
    <w:r>
      <w:rPr>
        <w:rFonts w:hint="eastAsia"/>
      </w:rPr>
      <w:t xml:space="preserve">                                       </w:t>
    </w:r>
    <w:r>
      <w:fldChar w:fldCharType="begin"/>
    </w:r>
    <w:r>
      <w:instrText xml:space="preserve"> PAGE   \* MERGEFORMAT </w:instrText>
    </w:r>
    <w:r>
      <w:fldChar w:fldCharType="separate"/>
    </w:r>
    <w:r>
      <w:rPr>
        <w:lang w:val="zh-CN"/>
      </w:rPr>
      <w:t>54</w:t>
    </w:r>
    <w:r>
      <w:fldChar w:fldCharType="end"/>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separate"/>
    </w:r>
    <w:r>
      <w:rPr>
        <w:rStyle w:val="36"/>
      </w:rPr>
      <w:t>26</w:t>
    </w:r>
    <w:r>
      <w:fldChar w:fldCharType="end"/>
    </w:r>
  </w:p>
  <w:p>
    <w:pPr>
      <w:pStyle w:val="2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68"/>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180" w:firstLineChars="100"/>
      <w:jc w:val="both"/>
    </w:pPr>
  </w:p>
  <w:p>
    <w:pPr>
      <w:pStyle w:val="22"/>
      <w:pBdr>
        <w:bottom w:val="none" w:color="auto" w:sz="0" w:space="0"/>
      </w:pBdr>
    </w:pPr>
  </w:p>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33F3F"/>
    <w:multiLevelType w:val="singleLevel"/>
    <w:tmpl w:val="86033F3F"/>
    <w:lvl w:ilvl="0" w:tentative="0">
      <w:start w:val="5"/>
      <w:numFmt w:val="chineseCounting"/>
      <w:suff w:val="nothing"/>
      <w:lvlText w:val="%1、"/>
      <w:lvlJc w:val="left"/>
      <w:rPr>
        <w:rFonts w:hint="eastAsia"/>
      </w:rPr>
    </w:lvl>
  </w:abstractNum>
  <w:abstractNum w:abstractNumId="1">
    <w:nsid w:val="9B343935"/>
    <w:multiLevelType w:val="singleLevel"/>
    <w:tmpl w:val="9B343935"/>
    <w:lvl w:ilvl="0" w:tentative="0">
      <w:start w:val="1"/>
      <w:numFmt w:val="decimal"/>
      <w:suff w:val="space"/>
      <w:lvlText w:val="%1、"/>
      <w:lvlJc w:val="left"/>
    </w:lvl>
  </w:abstractNum>
  <w:abstractNum w:abstractNumId="2">
    <w:nsid w:val="C187FB63"/>
    <w:multiLevelType w:val="singleLevel"/>
    <w:tmpl w:val="C187FB63"/>
    <w:lvl w:ilvl="0" w:tentative="0">
      <w:start w:val="4"/>
      <w:numFmt w:val="decimal"/>
      <w:suff w:val="nothing"/>
      <w:lvlText w:val="%1、"/>
      <w:lvlJc w:val="left"/>
    </w:lvl>
  </w:abstractNum>
  <w:abstractNum w:abstractNumId="3">
    <w:nsid w:val="00000002"/>
    <w:multiLevelType w:val="multilevel"/>
    <w:tmpl w:val="00000002"/>
    <w:lvl w:ilvl="0" w:tentative="0">
      <w:start w:val="1"/>
      <w:numFmt w:val="japaneseCounting"/>
      <w:pStyle w:val="109"/>
      <w:lvlText w:val="第%1章"/>
      <w:lvlJc w:val="left"/>
      <w:pPr>
        <w:tabs>
          <w:tab w:val="left" w:pos="1080"/>
        </w:tabs>
        <w:ind w:left="1080" w:hanging="108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2EA75AD"/>
    <w:multiLevelType w:val="singleLevel"/>
    <w:tmpl w:val="22EA75AD"/>
    <w:lvl w:ilvl="0" w:tentative="0">
      <w:start w:val="1"/>
      <w:numFmt w:val="decimal"/>
      <w:suff w:val="nothing"/>
      <w:lvlText w:val="%1、"/>
      <w:lvlJc w:val="left"/>
    </w:lvl>
  </w:abstractNum>
  <w:abstractNum w:abstractNumId="5">
    <w:nsid w:val="27871228"/>
    <w:multiLevelType w:val="multilevel"/>
    <w:tmpl w:val="27871228"/>
    <w:lvl w:ilvl="0" w:tentative="0">
      <w:start w:val="1"/>
      <w:numFmt w:val="decimal"/>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0F5B8A"/>
    <w:multiLevelType w:val="singleLevel"/>
    <w:tmpl w:val="320F5B8A"/>
    <w:lvl w:ilvl="0" w:tentative="0">
      <w:start w:val="1"/>
      <w:numFmt w:val="decimal"/>
      <w:suff w:val="nothing"/>
      <w:lvlText w:val="%1、"/>
      <w:lvlJc w:val="left"/>
    </w:lvl>
  </w:abstractNum>
  <w:abstractNum w:abstractNumId="7">
    <w:nsid w:val="3C99C484"/>
    <w:multiLevelType w:val="singleLevel"/>
    <w:tmpl w:val="3C99C484"/>
    <w:lvl w:ilvl="0" w:tentative="0">
      <w:start w:val="5"/>
      <w:numFmt w:val="chineseCounting"/>
      <w:suff w:val="nothing"/>
      <w:lvlText w:val="%1、"/>
      <w:lvlJc w:val="left"/>
      <w:rPr>
        <w:rFonts w:hint="eastAsia"/>
      </w:rPr>
    </w:lvl>
  </w:abstractNum>
  <w:abstractNum w:abstractNumId="8">
    <w:nsid w:val="4BF2829B"/>
    <w:multiLevelType w:val="singleLevel"/>
    <w:tmpl w:val="4BF2829B"/>
    <w:lvl w:ilvl="0" w:tentative="0">
      <w:start w:val="4"/>
      <w:numFmt w:val="chineseCounting"/>
      <w:suff w:val="space"/>
      <w:lvlText w:val="第%1章"/>
      <w:lvlJc w:val="left"/>
      <w:rPr>
        <w:rFonts w:hint="eastAsia"/>
      </w:rPr>
    </w:lvl>
  </w:abstractNum>
  <w:abstractNum w:abstractNumId="9">
    <w:nsid w:val="55F9B5B6"/>
    <w:multiLevelType w:val="singleLevel"/>
    <w:tmpl w:val="55F9B5B6"/>
    <w:lvl w:ilvl="0" w:tentative="0">
      <w:start w:val="1"/>
      <w:numFmt w:val="decimal"/>
      <w:suff w:val="nothing"/>
      <w:lvlText w:val="%1）"/>
      <w:lvlJc w:val="left"/>
    </w:lvl>
  </w:abstractNum>
  <w:abstractNum w:abstractNumId="10">
    <w:nsid w:val="59B7AA48"/>
    <w:multiLevelType w:val="singleLevel"/>
    <w:tmpl w:val="59B7AA48"/>
    <w:lvl w:ilvl="0" w:tentative="0">
      <w:start w:val="2"/>
      <w:numFmt w:val="chineseCounting"/>
      <w:suff w:val="nothing"/>
      <w:lvlText w:val="%1、"/>
      <w:lvlJc w:val="left"/>
      <w:rPr>
        <w:rFonts w:hint="eastAsia"/>
      </w:rPr>
    </w:lvl>
  </w:abstractNum>
  <w:abstractNum w:abstractNumId="11">
    <w:nsid w:val="63A269C1"/>
    <w:multiLevelType w:val="singleLevel"/>
    <w:tmpl w:val="63A269C1"/>
    <w:lvl w:ilvl="0" w:tentative="0">
      <w:start w:val="1"/>
      <w:numFmt w:val="decimal"/>
      <w:suff w:val="nothing"/>
      <w:lvlText w:val="%1、"/>
      <w:lvlJc w:val="left"/>
    </w:lvl>
  </w:abstractNum>
  <w:abstractNum w:abstractNumId="12">
    <w:nsid w:val="7BB92E05"/>
    <w:multiLevelType w:val="multilevel"/>
    <w:tmpl w:val="7BB92E05"/>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1"/>
  </w:num>
  <w:num w:numId="3">
    <w:abstractNumId w:val="5"/>
  </w:num>
  <w:num w:numId="4">
    <w:abstractNumId w:val="7"/>
  </w:num>
  <w:num w:numId="5">
    <w:abstractNumId w:val="12"/>
  </w:num>
  <w:num w:numId="6">
    <w:abstractNumId w:val="8"/>
  </w:num>
  <w:num w:numId="7">
    <w:abstractNumId w:val="0"/>
  </w:num>
  <w:num w:numId="8">
    <w:abstractNumId w:val="2"/>
  </w:num>
  <w:num w:numId="9">
    <w:abstractNumId w:val="6"/>
  </w:num>
  <w:num w:numId="10">
    <w:abstractNumId w:val="1"/>
  </w:num>
  <w:num w:numId="11">
    <w:abstractNumId w:val="1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ODRlYzlmNWMwZGRhYjgyN2QzNzhlYjU0MmY1NDMifQ=="/>
  </w:docVars>
  <w:rsids>
    <w:rsidRoot w:val="005C3248"/>
    <w:rsid w:val="00054C34"/>
    <w:rsid w:val="000A5E6F"/>
    <w:rsid w:val="000E6F68"/>
    <w:rsid w:val="00134727"/>
    <w:rsid w:val="00165A7B"/>
    <w:rsid w:val="001E4B3C"/>
    <w:rsid w:val="00216443"/>
    <w:rsid w:val="00284C98"/>
    <w:rsid w:val="0036161B"/>
    <w:rsid w:val="00366A39"/>
    <w:rsid w:val="00370F12"/>
    <w:rsid w:val="00442713"/>
    <w:rsid w:val="00515882"/>
    <w:rsid w:val="005615DF"/>
    <w:rsid w:val="00561E77"/>
    <w:rsid w:val="005A2645"/>
    <w:rsid w:val="005C3248"/>
    <w:rsid w:val="00616FC5"/>
    <w:rsid w:val="006712E3"/>
    <w:rsid w:val="0070007F"/>
    <w:rsid w:val="00733BA0"/>
    <w:rsid w:val="007375E2"/>
    <w:rsid w:val="00762092"/>
    <w:rsid w:val="00794151"/>
    <w:rsid w:val="007A3785"/>
    <w:rsid w:val="008767D3"/>
    <w:rsid w:val="008937B3"/>
    <w:rsid w:val="008B05A9"/>
    <w:rsid w:val="008F3341"/>
    <w:rsid w:val="00926FA3"/>
    <w:rsid w:val="009B355B"/>
    <w:rsid w:val="009E0B90"/>
    <w:rsid w:val="00A1068C"/>
    <w:rsid w:val="00A2781A"/>
    <w:rsid w:val="00A818DA"/>
    <w:rsid w:val="00B018CE"/>
    <w:rsid w:val="00B65905"/>
    <w:rsid w:val="00BB7DC3"/>
    <w:rsid w:val="00BE48EE"/>
    <w:rsid w:val="00CA7908"/>
    <w:rsid w:val="00CB60EC"/>
    <w:rsid w:val="00CC714B"/>
    <w:rsid w:val="00D07317"/>
    <w:rsid w:val="00D63E9E"/>
    <w:rsid w:val="00D80492"/>
    <w:rsid w:val="00DD1783"/>
    <w:rsid w:val="00DE12A9"/>
    <w:rsid w:val="00E133C8"/>
    <w:rsid w:val="00E44FBC"/>
    <w:rsid w:val="00EE19ED"/>
    <w:rsid w:val="00F0753A"/>
    <w:rsid w:val="00F433FD"/>
    <w:rsid w:val="00F610E7"/>
    <w:rsid w:val="00FA1155"/>
    <w:rsid w:val="00FB1266"/>
    <w:rsid w:val="00FF2E18"/>
    <w:rsid w:val="049E402A"/>
    <w:rsid w:val="054D2AE1"/>
    <w:rsid w:val="0D4B50C8"/>
    <w:rsid w:val="0E706402"/>
    <w:rsid w:val="129C02EC"/>
    <w:rsid w:val="151C12DD"/>
    <w:rsid w:val="165D59A9"/>
    <w:rsid w:val="1DC81C36"/>
    <w:rsid w:val="25072CA4"/>
    <w:rsid w:val="258A6B9A"/>
    <w:rsid w:val="29281F7C"/>
    <w:rsid w:val="29E027FC"/>
    <w:rsid w:val="2AD73618"/>
    <w:rsid w:val="2BE46EDB"/>
    <w:rsid w:val="2F727D15"/>
    <w:rsid w:val="3053197B"/>
    <w:rsid w:val="30B63FAB"/>
    <w:rsid w:val="331B5476"/>
    <w:rsid w:val="373D3FA7"/>
    <w:rsid w:val="37A82731"/>
    <w:rsid w:val="3C4B4EC0"/>
    <w:rsid w:val="3D6979CA"/>
    <w:rsid w:val="3F887D2F"/>
    <w:rsid w:val="40E45B20"/>
    <w:rsid w:val="410B723B"/>
    <w:rsid w:val="42FF6FD2"/>
    <w:rsid w:val="453C5FC1"/>
    <w:rsid w:val="466A1160"/>
    <w:rsid w:val="472B02BC"/>
    <w:rsid w:val="47861193"/>
    <w:rsid w:val="47C92FCD"/>
    <w:rsid w:val="487F3F33"/>
    <w:rsid w:val="4B3245AA"/>
    <w:rsid w:val="4C0D2754"/>
    <w:rsid w:val="50361F71"/>
    <w:rsid w:val="513B6053"/>
    <w:rsid w:val="53E72F04"/>
    <w:rsid w:val="543F782D"/>
    <w:rsid w:val="57C35B14"/>
    <w:rsid w:val="58276CFE"/>
    <w:rsid w:val="58A40743"/>
    <w:rsid w:val="59712037"/>
    <w:rsid w:val="5A883142"/>
    <w:rsid w:val="5BDD541F"/>
    <w:rsid w:val="5C217E35"/>
    <w:rsid w:val="5CEE0FDC"/>
    <w:rsid w:val="5ED23385"/>
    <w:rsid w:val="5FF71065"/>
    <w:rsid w:val="62EE0754"/>
    <w:rsid w:val="663D1077"/>
    <w:rsid w:val="66D872AB"/>
    <w:rsid w:val="681C7146"/>
    <w:rsid w:val="6A2D3CF3"/>
    <w:rsid w:val="6C075588"/>
    <w:rsid w:val="6C0B7F7F"/>
    <w:rsid w:val="6D9A4465"/>
    <w:rsid w:val="70744EE6"/>
    <w:rsid w:val="74C967BB"/>
    <w:rsid w:val="778F03F0"/>
    <w:rsid w:val="7B9062A0"/>
    <w:rsid w:val="7BB3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4"/>
    <w:autoRedefine/>
    <w:qFormat/>
    <w:uiPriority w:val="0"/>
    <w:pPr>
      <w:keepNext/>
      <w:keepLines/>
      <w:spacing w:before="260" w:after="260" w:line="416" w:lineRule="auto"/>
      <w:outlineLvl w:val="1"/>
    </w:pPr>
    <w:rPr>
      <w:rFonts w:ascii="Arial" w:hAnsi="Arial" w:eastAsia="黑体" w:cs="Cambria"/>
      <w:b/>
      <w:bCs/>
      <w:sz w:val="32"/>
      <w:szCs w:val="32"/>
    </w:rPr>
  </w:style>
  <w:style w:type="paragraph" w:styleId="5">
    <w:name w:val="heading 3"/>
    <w:basedOn w:val="1"/>
    <w:next w:val="1"/>
    <w:link w:val="45"/>
    <w:autoRedefine/>
    <w:qFormat/>
    <w:uiPriority w:val="0"/>
    <w:pPr>
      <w:keepNext/>
      <w:keepLines/>
      <w:spacing w:before="260" w:after="260" w:line="413" w:lineRule="auto"/>
      <w:outlineLvl w:val="2"/>
    </w:pPr>
    <w:rPr>
      <w:b/>
      <w:bCs/>
      <w:sz w:val="32"/>
      <w:szCs w:val="32"/>
    </w:rPr>
  </w:style>
  <w:style w:type="paragraph" w:styleId="6">
    <w:name w:val="heading 4"/>
    <w:basedOn w:val="1"/>
    <w:next w:val="1"/>
    <w:link w:val="54"/>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6"/>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5"/>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9">
    <w:name w:val="heading 7"/>
    <w:basedOn w:val="1"/>
    <w:next w:val="1"/>
    <w:link w:val="56"/>
    <w:autoRedefine/>
    <w:semiHidden/>
    <w:unhideWhenUsed/>
    <w:qFormat/>
    <w:uiPriority w:val="0"/>
    <w:pPr>
      <w:keepNext/>
      <w:keepLines/>
      <w:spacing w:before="240" w:after="64" w:line="320" w:lineRule="auto"/>
      <w:outlineLvl w:val="6"/>
    </w:pPr>
    <w:rPr>
      <w:b/>
      <w:bCs/>
      <w:sz w:val="24"/>
    </w:rPr>
  </w:style>
  <w:style w:type="paragraph" w:styleId="10">
    <w:name w:val="heading 8"/>
    <w:basedOn w:val="1"/>
    <w:next w:val="1"/>
    <w:link w:val="57"/>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1">
    <w:name w:val="heading 9"/>
    <w:basedOn w:val="1"/>
    <w:next w:val="1"/>
    <w:link w:val="58"/>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12">
    <w:name w:val="caption"/>
    <w:basedOn w:val="1"/>
    <w:next w:val="1"/>
    <w:autoRedefine/>
    <w:semiHidden/>
    <w:unhideWhenUsed/>
    <w:qFormat/>
    <w:uiPriority w:val="0"/>
    <w:rPr>
      <w:rFonts w:eastAsia="黑体" w:asciiTheme="majorHAnsi" w:hAnsiTheme="majorHAnsi" w:cstheme="majorBidi"/>
      <w:sz w:val="20"/>
      <w:szCs w:val="20"/>
    </w:rPr>
  </w:style>
  <w:style w:type="paragraph" w:styleId="13">
    <w:name w:val="annotation text"/>
    <w:basedOn w:val="1"/>
    <w:link w:val="92"/>
    <w:autoRedefine/>
    <w:qFormat/>
    <w:uiPriority w:val="0"/>
    <w:pPr>
      <w:jc w:val="left"/>
    </w:pPr>
    <w:rPr>
      <w:kern w:val="0"/>
    </w:rPr>
  </w:style>
  <w:style w:type="paragraph" w:styleId="14">
    <w:name w:val="Body Text"/>
    <w:basedOn w:val="1"/>
    <w:next w:val="1"/>
    <w:link w:val="95"/>
    <w:autoRedefine/>
    <w:qFormat/>
    <w:uiPriority w:val="0"/>
    <w:rPr>
      <w:kern w:val="0"/>
    </w:rPr>
  </w:style>
  <w:style w:type="paragraph" w:styleId="15">
    <w:name w:val="Body Text Indent"/>
    <w:basedOn w:val="1"/>
    <w:next w:val="16"/>
    <w:link w:val="82"/>
    <w:autoRedefine/>
    <w:qFormat/>
    <w:uiPriority w:val="0"/>
    <w:pPr>
      <w:ind w:firstLine="630"/>
    </w:pPr>
    <w:rPr>
      <w:sz w:val="32"/>
      <w:szCs w:val="20"/>
    </w:rPr>
  </w:style>
  <w:style w:type="paragraph" w:styleId="16">
    <w:name w:val="envelope return"/>
    <w:basedOn w:val="1"/>
    <w:autoRedefine/>
    <w:qFormat/>
    <w:uiPriority w:val="0"/>
    <w:pPr>
      <w:snapToGrid w:val="0"/>
    </w:pPr>
    <w:rPr>
      <w:rFonts w:ascii="Arial" w:hAnsi="Arial"/>
    </w:rPr>
  </w:style>
  <w:style w:type="paragraph" w:styleId="17">
    <w:name w:val="Plain Text"/>
    <w:basedOn w:val="1"/>
    <w:link w:val="72"/>
    <w:autoRedefine/>
    <w:qFormat/>
    <w:uiPriority w:val="0"/>
    <w:rPr>
      <w:rFonts w:ascii="宋体" w:hAnsi="Courier New" w:eastAsia="华文宋体" w:cs="宋体"/>
      <w:sz w:val="28"/>
      <w:szCs w:val="20"/>
    </w:rPr>
  </w:style>
  <w:style w:type="paragraph" w:styleId="18">
    <w:name w:val="Date"/>
    <w:basedOn w:val="1"/>
    <w:next w:val="1"/>
    <w:link w:val="96"/>
    <w:autoRedefine/>
    <w:qFormat/>
    <w:uiPriority w:val="0"/>
    <w:pPr>
      <w:ind w:left="100" w:leftChars="2500"/>
    </w:pPr>
    <w:rPr>
      <w:kern w:val="0"/>
    </w:rPr>
  </w:style>
  <w:style w:type="paragraph" w:styleId="19">
    <w:name w:val="Body Text Indent 2"/>
    <w:basedOn w:val="1"/>
    <w:link w:val="124"/>
    <w:autoRedefine/>
    <w:qFormat/>
    <w:uiPriority w:val="0"/>
    <w:pPr>
      <w:spacing w:after="120" w:line="480" w:lineRule="auto"/>
      <w:ind w:left="420" w:leftChars="200"/>
    </w:pPr>
  </w:style>
  <w:style w:type="paragraph" w:styleId="20">
    <w:name w:val="Balloon Text"/>
    <w:basedOn w:val="1"/>
    <w:link w:val="97"/>
    <w:autoRedefine/>
    <w:qFormat/>
    <w:uiPriority w:val="0"/>
    <w:rPr>
      <w:kern w:val="0"/>
      <w:sz w:val="2"/>
      <w:szCs w:val="2"/>
    </w:rPr>
  </w:style>
  <w:style w:type="paragraph" w:styleId="21">
    <w:name w:val="footer"/>
    <w:basedOn w:val="1"/>
    <w:link w:val="94"/>
    <w:autoRedefine/>
    <w:qFormat/>
    <w:uiPriority w:val="99"/>
    <w:pPr>
      <w:tabs>
        <w:tab w:val="center" w:pos="4153"/>
        <w:tab w:val="right" w:pos="8306"/>
      </w:tabs>
      <w:snapToGrid w:val="0"/>
      <w:jc w:val="left"/>
    </w:pPr>
    <w:rPr>
      <w:kern w:val="0"/>
      <w:sz w:val="18"/>
      <w:szCs w:val="18"/>
    </w:rPr>
  </w:style>
  <w:style w:type="paragraph" w:styleId="22">
    <w:name w:val="header"/>
    <w:basedOn w:val="1"/>
    <w:link w:val="93"/>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autoRedefine/>
    <w:qFormat/>
    <w:uiPriority w:val="0"/>
    <w:pPr>
      <w:tabs>
        <w:tab w:val="right" w:leader="dot" w:pos="9345"/>
      </w:tabs>
      <w:spacing w:before="120" w:after="120" w:line="360" w:lineRule="auto"/>
      <w:jc w:val="left"/>
    </w:pPr>
    <w:rPr>
      <w:rFonts w:ascii="宋体" w:hAnsi="宋体" w:cs="Courier New"/>
      <w:bCs/>
      <w:caps/>
      <w:kern w:val="44"/>
      <w:sz w:val="32"/>
      <w:szCs w:val="32"/>
    </w:rPr>
  </w:style>
  <w:style w:type="paragraph" w:styleId="24">
    <w:name w:val="Subtitle"/>
    <w:basedOn w:val="1"/>
    <w:next w:val="1"/>
    <w:link w:val="59"/>
    <w:autoRedefine/>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5">
    <w:name w:val="Body Text Indent 3"/>
    <w:basedOn w:val="1"/>
    <w:link w:val="123"/>
    <w:autoRedefine/>
    <w:qFormat/>
    <w:uiPriority w:val="0"/>
    <w:pPr>
      <w:spacing w:after="120"/>
      <w:ind w:left="420" w:leftChars="200"/>
    </w:pPr>
    <w:rPr>
      <w:sz w:val="16"/>
      <w:szCs w:val="16"/>
    </w:rPr>
  </w:style>
  <w:style w:type="paragraph" w:styleId="26">
    <w:name w:val="index 9"/>
    <w:basedOn w:val="1"/>
    <w:next w:val="1"/>
    <w:autoRedefine/>
    <w:qFormat/>
    <w:uiPriority w:val="0"/>
    <w:pPr>
      <w:ind w:left="1600" w:leftChars="1600"/>
    </w:pPr>
    <w:rPr>
      <w:rFonts w:ascii="Calibri" w:hAnsi="Calibri"/>
      <w:szCs w:val="22"/>
    </w:rPr>
  </w:style>
  <w:style w:type="paragraph" w:styleId="27">
    <w:name w:val="HTML Preformatted"/>
    <w:basedOn w:val="1"/>
    <w:link w:val="12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sz w:val="24"/>
      <w:lang w:bidi="he-IL"/>
    </w:rPr>
  </w:style>
  <w:style w:type="paragraph" w:styleId="29">
    <w:name w:val="Title"/>
    <w:basedOn w:val="1"/>
    <w:next w:val="1"/>
    <w:link w:val="47"/>
    <w:autoRedefine/>
    <w:qFormat/>
    <w:uiPriority w:val="0"/>
    <w:pPr>
      <w:spacing w:before="240" w:after="60"/>
      <w:jc w:val="center"/>
      <w:outlineLvl w:val="0"/>
    </w:pPr>
    <w:rPr>
      <w:rFonts w:ascii="Cambria" w:hAnsi="Cambria" w:cstheme="majorBidi"/>
      <w:b/>
      <w:bCs/>
      <w:sz w:val="32"/>
      <w:szCs w:val="32"/>
    </w:rPr>
  </w:style>
  <w:style w:type="paragraph" w:styleId="30">
    <w:name w:val="annotation subject"/>
    <w:basedOn w:val="13"/>
    <w:next w:val="13"/>
    <w:link w:val="126"/>
    <w:autoRedefine/>
    <w:qFormat/>
    <w:uiPriority w:val="0"/>
    <w:rPr>
      <w:b/>
      <w:bCs/>
      <w:kern w:val="2"/>
    </w:rPr>
  </w:style>
  <w:style w:type="paragraph" w:styleId="31">
    <w:name w:val="Body Text First Indent 2"/>
    <w:basedOn w:val="15"/>
    <w:next w:val="1"/>
    <w:autoRedefine/>
    <w:qFormat/>
    <w:uiPriority w:val="0"/>
    <w:pPr>
      <w:spacing w:after="120"/>
      <w:ind w:left="420" w:leftChars="200" w:firstLine="420" w:firstLineChars="200"/>
    </w:pPr>
    <w:rPr>
      <w:sz w:val="21"/>
      <w:szCs w:val="24"/>
    </w:r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rPr>
  </w:style>
  <w:style w:type="character" w:styleId="36">
    <w:name w:val="page number"/>
    <w:basedOn w:val="34"/>
    <w:autoRedefine/>
    <w:qFormat/>
    <w:uiPriority w:val="0"/>
    <w:rPr>
      <w:rFonts w:ascii="Times New Roman" w:hAnsi="Times New Roman" w:eastAsia="宋体" w:cs="Times New Roman"/>
    </w:rPr>
  </w:style>
  <w:style w:type="character" w:styleId="37">
    <w:name w:val="FollowedHyperlink"/>
    <w:basedOn w:val="34"/>
    <w:autoRedefine/>
    <w:unhideWhenUsed/>
    <w:qFormat/>
    <w:uiPriority w:val="0"/>
    <w:rPr>
      <w:color w:val="333333"/>
      <w:u w:val="none"/>
    </w:rPr>
  </w:style>
  <w:style w:type="character" w:styleId="38">
    <w:name w:val="Emphasis"/>
    <w:autoRedefine/>
    <w:qFormat/>
    <w:uiPriority w:val="0"/>
    <w:rPr>
      <w:rFonts w:ascii="Times New Roman" w:hAnsi="Times New Roman" w:eastAsia="宋体" w:cs="Times New Roman"/>
      <w:i/>
      <w:iCs/>
    </w:rPr>
  </w:style>
  <w:style w:type="character" w:styleId="39">
    <w:name w:val="Hyperlink"/>
    <w:basedOn w:val="34"/>
    <w:autoRedefine/>
    <w:unhideWhenUsed/>
    <w:qFormat/>
    <w:uiPriority w:val="0"/>
    <w:rPr>
      <w:color w:val="333333"/>
      <w:u w:val="none"/>
    </w:rPr>
  </w:style>
  <w:style w:type="character" w:styleId="40">
    <w:name w:val="HTML Code"/>
    <w:autoRedefine/>
    <w:unhideWhenUsed/>
    <w:qFormat/>
    <w:uiPriority w:val="0"/>
    <w:rPr>
      <w:rFonts w:hint="default" w:ascii="monospace" w:hAnsi="monospace" w:eastAsia="monospace" w:cs="monospace"/>
      <w:sz w:val="21"/>
      <w:szCs w:val="21"/>
    </w:rPr>
  </w:style>
  <w:style w:type="character" w:styleId="41">
    <w:name w:val="annotation reference"/>
    <w:basedOn w:val="34"/>
    <w:autoRedefine/>
    <w:qFormat/>
    <w:uiPriority w:val="99"/>
    <w:rPr>
      <w:sz w:val="21"/>
      <w:szCs w:val="21"/>
    </w:rPr>
  </w:style>
  <w:style w:type="paragraph" w:customStyle="1" w:styleId="42">
    <w:name w:val="样式 ！正文 + 首行缩进:  2 字符"/>
    <w:basedOn w:val="1"/>
    <w:autoRedefine/>
    <w:qFormat/>
    <w:uiPriority w:val="0"/>
    <w:pPr>
      <w:ind w:firstLine="480" w:firstLineChars="200"/>
    </w:pPr>
    <w:rPr>
      <w:rFonts w:hint="eastAsia" w:ascii="Arial" w:hAnsi="Arial" w:cs="宋体"/>
      <w:szCs w:val="20"/>
    </w:rPr>
  </w:style>
  <w:style w:type="character" w:customStyle="1" w:styleId="43">
    <w:name w:val="标题 1 Char"/>
    <w:basedOn w:val="34"/>
    <w:link w:val="2"/>
    <w:autoRedefine/>
    <w:qFormat/>
    <w:uiPriority w:val="0"/>
    <w:rPr>
      <w:rFonts w:cs="Calibri"/>
      <w:b/>
      <w:bCs/>
      <w:kern w:val="44"/>
      <w:sz w:val="44"/>
      <w:szCs w:val="44"/>
    </w:rPr>
  </w:style>
  <w:style w:type="character" w:customStyle="1" w:styleId="44">
    <w:name w:val="标题 2 Char"/>
    <w:basedOn w:val="34"/>
    <w:link w:val="3"/>
    <w:autoRedefine/>
    <w:qFormat/>
    <w:uiPriority w:val="0"/>
    <w:rPr>
      <w:rFonts w:ascii="Arial" w:hAnsi="Arial" w:eastAsia="黑体" w:cs="Cambria"/>
      <w:b/>
      <w:bCs/>
      <w:kern w:val="2"/>
      <w:sz w:val="32"/>
      <w:szCs w:val="32"/>
    </w:rPr>
  </w:style>
  <w:style w:type="character" w:customStyle="1" w:styleId="45">
    <w:name w:val="标题 3 Char"/>
    <w:basedOn w:val="34"/>
    <w:link w:val="5"/>
    <w:autoRedefine/>
    <w:qFormat/>
    <w:uiPriority w:val="0"/>
    <w:rPr>
      <w:rFonts w:ascii="Times New Roman" w:hAnsi="Times New Roman" w:eastAsia="宋体" w:cs="Times New Roman"/>
      <w:b/>
      <w:bCs/>
      <w:kern w:val="2"/>
      <w:sz w:val="32"/>
      <w:szCs w:val="32"/>
    </w:rPr>
  </w:style>
  <w:style w:type="character" w:customStyle="1" w:styleId="46">
    <w:name w:val="标题 5 Char"/>
    <w:link w:val="7"/>
    <w:autoRedefine/>
    <w:qFormat/>
    <w:uiPriority w:val="0"/>
    <w:rPr>
      <w:rFonts w:cs="Calibri"/>
      <w:b/>
      <w:bCs/>
      <w:kern w:val="2"/>
      <w:sz w:val="28"/>
      <w:szCs w:val="28"/>
    </w:rPr>
  </w:style>
  <w:style w:type="character" w:customStyle="1" w:styleId="47">
    <w:name w:val="标题 Char"/>
    <w:basedOn w:val="34"/>
    <w:link w:val="29"/>
    <w:autoRedefine/>
    <w:qFormat/>
    <w:uiPriority w:val="0"/>
    <w:rPr>
      <w:rFonts w:ascii="Cambria" w:hAnsi="Cambria" w:cstheme="majorBidi"/>
      <w:b/>
      <w:bCs/>
      <w:kern w:val="2"/>
      <w:sz w:val="32"/>
      <w:szCs w:val="32"/>
    </w:rPr>
  </w:style>
  <w:style w:type="paragraph" w:styleId="48">
    <w:name w:val="List Paragraph"/>
    <w:basedOn w:val="1"/>
    <w:link w:val="49"/>
    <w:autoRedefine/>
    <w:qFormat/>
    <w:uiPriority w:val="0"/>
    <w:pPr>
      <w:ind w:firstLine="420" w:firstLineChars="200"/>
    </w:pPr>
    <w:rPr>
      <w:rFonts w:ascii="Calibri" w:hAnsi="Calibri"/>
      <w:kern w:val="0"/>
      <w:sz w:val="20"/>
      <w:szCs w:val="20"/>
    </w:rPr>
  </w:style>
  <w:style w:type="character" w:customStyle="1" w:styleId="49">
    <w:name w:val="列出段落 Char"/>
    <w:link w:val="48"/>
    <w:autoRedefine/>
    <w:qFormat/>
    <w:uiPriority w:val="0"/>
    <w:rPr>
      <w:rFonts w:ascii="Calibri" w:hAnsi="Calibri" w:eastAsia="宋体"/>
      <w:lang w:bidi="ar-SA"/>
    </w:rPr>
  </w:style>
  <w:style w:type="paragraph" w:customStyle="1" w:styleId="50">
    <w:name w:val="GW-正文"/>
    <w:basedOn w:val="1"/>
    <w:link w:val="51"/>
    <w:autoRedefine/>
    <w:qFormat/>
    <w:uiPriority w:val="0"/>
    <w:pPr>
      <w:spacing w:line="360" w:lineRule="auto"/>
      <w:ind w:firstLine="200" w:firstLineChars="200"/>
      <w:contextualSpacing/>
    </w:pPr>
  </w:style>
  <w:style w:type="character" w:customStyle="1" w:styleId="51">
    <w:name w:val="GW-正文 Char"/>
    <w:link w:val="50"/>
    <w:autoRedefine/>
    <w:qFormat/>
    <w:uiPriority w:val="0"/>
    <w:rPr>
      <w:kern w:val="2"/>
      <w:sz w:val="21"/>
      <w:szCs w:val="24"/>
      <w:lang w:bidi="ar-SA"/>
    </w:rPr>
  </w:style>
  <w:style w:type="paragraph" w:customStyle="1" w:styleId="52">
    <w:name w:val="02标题二"/>
    <w:basedOn w:val="1"/>
    <w:autoRedefine/>
    <w:qFormat/>
    <w:uiPriority w:val="0"/>
    <w:pPr>
      <w:ind w:firstLine="562" w:firstLineChars="200"/>
    </w:pPr>
    <w:rPr>
      <w:rFonts w:cs="华文仿宋"/>
      <w:b/>
      <w:bCs/>
      <w:sz w:val="28"/>
      <w:szCs w:val="28"/>
    </w:rPr>
  </w:style>
  <w:style w:type="paragraph" w:customStyle="1" w:styleId="5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4">
    <w:name w:val="标题 4 Char"/>
    <w:basedOn w:val="34"/>
    <w:link w:val="6"/>
    <w:autoRedefine/>
    <w:semiHidden/>
    <w:qFormat/>
    <w:uiPriority w:val="0"/>
    <w:rPr>
      <w:rFonts w:asciiTheme="majorHAnsi" w:hAnsiTheme="majorHAnsi" w:eastAsiaTheme="majorEastAsia" w:cstheme="majorBidi"/>
      <w:b/>
      <w:bCs/>
      <w:kern w:val="2"/>
      <w:sz w:val="28"/>
      <w:szCs w:val="28"/>
    </w:rPr>
  </w:style>
  <w:style w:type="character" w:customStyle="1" w:styleId="55">
    <w:name w:val="标题 6 Char"/>
    <w:basedOn w:val="34"/>
    <w:link w:val="8"/>
    <w:autoRedefine/>
    <w:semiHidden/>
    <w:qFormat/>
    <w:uiPriority w:val="0"/>
    <w:rPr>
      <w:rFonts w:asciiTheme="majorHAnsi" w:hAnsiTheme="majorHAnsi" w:eastAsiaTheme="majorEastAsia" w:cstheme="majorBidi"/>
      <w:b/>
      <w:bCs/>
      <w:kern w:val="2"/>
      <w:sz w:val="24"/>
      <w:szCs w:val="24"/>
    </w:rPr>
  </w:style>
  <w:style w:type="character" w:customStyle="1" w:styleId="56">
    <w:name w:val="标题 7 Char"/>
    <w:basedOn w:val="34"/>
    <w:link w:val="9"/>
    <w:autoRedefine/>
    <w:semiHidden/>
    <w:qFormat/>
    <w:uiPriority w:val="0"/>
    <w:rPr>
      <w:rFonts w:cs="Calibri"/>
      <w:b/>
      <w:bCs/>
      <w:kern w:val="2"/>
      <w:sz w:val="24"/>
      <w:szCs w:val="24"/>
    </w:rPr>
  </w:style>
  <w:style w:type="character" w:customStyle="1" w:styleId="57">
    <w:name w:val="标题 8 Char"/>
    <w:basedOn w:val="34"/>
    <w:link w:val="10"/>
    <w:autoRedefine/>
    <w:semiHidden/>
    <w:qFormat/>
    <w:uiPriority w:val="0"/>
    <w:rPr>
      <w:rFonts w:asciiTheme="majorHAnsi" w:hAnsiTheme="majorHAnsi" w:eastAsiaTheme="majorEastAsia" w:cstheme="majorBidi"/>
      <w:kern w:val="2"/>
      <w:sz w:val="24"/>
      <w:szCs w:val="24"/>
    </w:rPr>
  </w:style>
  <w:style w:type="character" w:customStyle="1" w:styleId="58">
    <w:name w:val="标题 9 Char"/>
    <w:basedOn w:val="34"/>
    <w:link w:val="11"/>
    <w:autoRedefine/>
    <w:semiHidden/>
    <w:qFormat/>
    <w:uiPriority w:val="0"/>
    <w:rPr>
      <w:rFonts w:asciiTheme="majorHAnsi" w:hAnsiTheme="majorHAnsi" w:eastAsiaTheme="majorEastAsia" w:cstheme="majorBidi"/>
      <w:kern w:val="2"/>
      <w:sz w:val="21"/>
      <w:szCs w:val="21"/>
    </w:rPr>
  </w:style>
  <w:style w:type="character" w:customStyle="1" w:styleId="59">
    <w:name w:val="副标题 Char"/>
    <w:basedOn w:val="34"/>
    <w:link w:val="24"/>
    <w:autoRedefine/>
    <w:qFormat/>
    <w:uiPriority w:val="0"/>
    <w:rPr>
      <w:rFonts w:asciiTheme="majorHAnsi" w:hAnsiTheme="majorHAnsi" w:cstheme="majorBidi"/>
      <w:b/>
      <w:bCs/>
      <w:kern w:val="28"/>
      <w:sz w:val="32"/>
      <w:szCs w:val="32"/>
    </w:rPr>
  </w:style>
  <w:style w:type="paragraph" w:styleId="60">
    <w:name w:val="No Spacing"/>
    <w:basedOn w:val="1"/>
    <w:link w:val="61"/>
    <w:autoRedefine/>
    <w:qFormat/>
    <w:uiPriority w:val="1"/>
  </w:style>
  <w:style w:type="character" w:customStyle="1" w:styleId="61">
    <w:name w:val="无间隔 Char"/>
    <w:basedOn w:val="34"/>
    <w:link w:val="60"/>
    <w:autoRedefine/>
    <w:qFormat/>
    <w:uiPriority w:val="1"/>
    <w:rPr>
      <w:rFonts w:cs="Calibri"/>
      <w:kern w:val="2"/>
      <w:sz w:val="21"/>
      <w:szCs w:val="24"/>
    </w:rPr>
  </w:style>
  <w:style w:type="paragraph" w:styleId="62">
    <w:name w:val="Quote"/>
    <w:basedOn w:val="1"/>
    <w:next w:val="1"/>
    <w:link w:val="63"/>
    <w:autoRedefine/>
    <w:qFormat/>
    <w:uiPriority w:val="29"/>
    <w:rPr>
      <w:i/>
      <w:iCs/>
      <w:color w:val="000000" w:themeColor="text1"/>
      <w14:textFill>
        <w14:solidFill>
          <w14:schemeClr w14:val="tx1"/>
        </w14:solidFill>
      </w14:textFill>
    </w:rPr>
  </w:style>
  <w:style w:type="character" w:customStyle="1" w:styleId="63">
    <w:name w:val="引用 Char"/>
    <w:basedOn w:val="34"/>
    <w:link w:val="62"/>
    <w:autoRedefine/>
    <w:qFormat/>
    <w:uiPriority w:val="29"/>
    <w:rPr>
      <w:rFonts w:cs="Calibri"/>
      <w:i/>
      <w:iCs/>
      <w:color w:val="000000" w:themeColor="text1"/>
      <w:kern w:val="2"/>
      <w:sz w:val="21"/>
      <w:szCs w:val="24"/>
      <w14:textFill>
        <w14:solidFill>
          <w14:schemeClr w14:val="tx1"/>
        </w14:solidFill>
      </w14:textFill>
    </w:rPr>
  </w:style>
  <w:style w:type="paragraph" w:styleId="64">
    <w:name w:val="Intense Quote"/>
    <w:basedOn w:val="1"/>
    <w:next w:val="1"/>
    <w:link w:val="65"/>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65">
    <w:name w:val="明显引用 Char"/>
    <w:basedOn w:val="34"/>
    <w:link w:val="64"/>
    <w:autoRedefine/>
    <w:qFormat/>
    <w:uiPriority w:val="30"/>
    <w:rPr>
      <w:rFonts w:cs="Calibri"/>
      <w:b/>
      <w:bCs/>
      <w:i/>
      <w:iCs/>
      <w:color w:val="4F81BD" w:themeColor="accent1"/>
      <w:kern w:val="2"/>
      <w:sz w:val="21"/>
      <w:szCs w:val="24"/>
      <w14:textFill>
        <w14:solidFill>
          <w14:schemeClr w14:val="accent1"/>
        </w14:solidFill>
      </w14:textFill>
    </w:rPr>
  </w:style>
  <w:style w:type="character" w:customStyle="1" w:styleId="66">
    <w:name w:val="Subtle Emphasis"/>
    <w:autoRedefine/>
    <w:qFormat/>
    <w:uiPriority w:val="19"/>
    <w:rPr>
      <w:rFonts w:ascii="Times New Roman" w:hAnsi="Times New Roman" w:eastAsia="宋体" w:cs="Times New Roman"/>
      <w:i/>
      <w:iCs/>
      <w:color w:val="808080" w:themeColor="text1" w:themeTint="80"/>
      <w14:textFill>
        <w14:solidFill>
          <w14:schemeClr w14:val="tx1">
            <w14:lumMod w14:val="50000"/>
            <w14:lumOff w14:val="50000"/>
          </w14:schemeClr>
        </w14:solidFill>
      </w14:textFill>
    </w:rPr>
  </w:style>
  <w:style w:type="character" w:customStyle="1" w:styleId="67">
    <w:name w:val="Intense Emphasis"/>
    <w:autoRedefine/>
    <w:qFormat/>
    <w:uiPriority w:val="21"/>
    <w:rPr>
      <w:rFonts w:ascii="Times New Roman" w:hAnsi="Times New Roman" w:eastAsia="宋体" w:cs="Times New Roman"/>
      <w:b/>
      <w:bCs/>
      <w:i/>
      <w:iCs/>
      <w:color w:val="4F81BD" w:themeColor="accent1"/>
      <w14:textFill>
        <w14:solidFill>
          <w14:schemeClr w14:val="accent1"/>
        </w14:solidFill>
      </w14:textFill>
    </w:rPr>
  </w:style>
  <w:style w:type="character" w:customStyle="1" w:styleId="68">
    <w:name w:val="Subtle Reference"/>
    <w:autoRedefine/>
    <w:qFormat/>
    <w:uiPriority w:val="31"/>
    <w:rPr>
      <w:rFonts w:ascii="Times New Roman" w:hAnsi="Times New Roman" w:eastAsia="宋体" w:cs="Times New Roman"/>
      <w:smallCaps/>
      <w:color w:val="C0504D" w:themeColor="accent2"/>
      <w:u w:val="single"/>
      <w14:textFill>
        <w14:solidFill>
          <w14:schemeClr w14:val="accent2"/>
        </w14:solidFill>
      </w14:textFill>
    </w:rPr>
  </w:style>
  <w:style w:type="character" w:customStyle="1" w:styleId="69">
    <w:name w:val="Intense Reference"/>
    <w:basedOn w:val="34"/>
    <w:autoRedefine/>
    <w:qFormat/>
    <w:uiPriority w:val="32"/>
    <w:rPr>
      <w:rFonts w:ascii="Times New Roman" w:hAnsi="Times New Roman" w:eastAsia="宋体" w:cs="Times New Roman"/>
      <w:b/>
      <w:bCs/>
      <w:smallCaps/>
      <w:color w:val="C0504D" w:themeColor="accent2"/>
      <w:spacing w:val="5"/>
      <w:u w:val="single"/>
      <w14:textFill>
        <w14:solidFill>
          <w14:schemeClr w14:val="accent2"/>
        </w14:solidFill>
      </w14:textFill>
    </w:rPr>
  </w:style>
  <w:style w:type="character" w:customStyle="1" w:styleId="70">
    <w:name w:val="Book Title"/>
    <w:basedOn w:val="34"/>
    <w:autoRedefine/>
    <w:qFormat/>
    <w:uiPriority w:val="33"/>
    <w:rPr>
      <w:rFonts w:ascii="Times New Roman" w:hAnsi="Times New Roman" w:eastAsia="宋体" w:cs="Times New Roman"/>
      <w:b/>
      <w:bCs/>
      <w:smallCaps/>
      <w:spacing w:val="5"/>
    </w:rPr>
  </w:style>
  <w:style w:type="paragraph" w:customStyle="1" w:styleId="71">
    <w:name w:val="TOC Heading"/>
    <w:basedOn w:val="2"/>
    <w:next w:val="1"/>
    <w:autoRedefine/>
    <w:semiHidden/>
    <w:unhideWhenUsed/>
    <w:qFormat/>
    <w:uiPriority w:val="39"/>
    <w:pPr>
      <w:outlineLvl w:val="9"/>
    </w:pPr>
  </w:style>
  <w:style w:type="character" w:customStyle="1" w:styleId="72">
    <w:name w:val="纯文本 Char"/>
    <w:link w:val="17"/>
    <w:autoRedefine/>
    <w:qFormat/>
    <w:uiPriority w:val="0"/>
    <w:rPr>
      <w:rFonts w:ascii="宋体" w:hAnsi="Courier New" w:eastAsia="华文宋体" w:cs="宋体"/>
      <w:kern w:val="2"/>
      <w:sz w:val="28"/>
    </w:rPr>
  </w:style>
  <w:style w:type="paragraph" w:customStyle="1" w:styleId="73">
    <w:name w:val="Char Char Char Char Char Char2"/>
    <w:basedOn w:val="1"/>
    <w:autoRedefine/>
    <w:qFormat/>
    <w:uiPriority w:val="99"/>
  </w:style>
  <w:style w:type="character" w:customStyle="1" w:styleId="74">
    <w:name w:val="font51"/>
    <w:basedOn w:val="34"/>
    <w:autoRedefine/>
    <w:qFormat/>
    <w:uiPriority w:val="0"/>
    <w:rPr>
      <w:rFonts w:hint="eastAsia" w:ascii="宋体" w:hAnsi="宋体" w:eastAsia="宋体" w:cs="宋体"/>
      <w:b/>
      <w:color w:val="000000"/>
      <w:sz w:val="20"/>
      <w:szCs w:val="20"/>
      <w:u w:val="none"/>
    </w:rPr>
  </w:style>
  <w:style w:type="character" w:customStyle="1" w:styleId="75">
    <w:name w:val="font11"/>
    <w:basedOn w:val="34"/>
    <w:autoRedefine/>
    <w:qFormat/>
    <w:uiPriority w:val="0"/>
    <w:rPr>
      <w:rFonts w:hint="eastAsia" w:ascii="新宋体" w:hAnsi="新宋体" w:eastAsia="新宋体" w:cs="新宋体"/>
      <w:color w:val="000000"/>
      <w:sz w:val="20"/>
      <w:szCs w:val="20"/>
      <w:u w:val="none"/>
    </w:rPr>
  </w:style>
  <w:style w:type="paragraph" w:customStyle="1" w:styleId="76">
    <w:name w:val="正文 A"/>
    <w:basedOn w:val="1"/>
    <w:autoRedefine/>
    <w:qFormat/>
    <w:uiPriority w:val="0"/>
    <w:rPr>
      <w:rFonts w:hint="eastAsia" w:ascii="Arial Unicode MS" w:hAnsi="Arial Unicode MS"/>
      <w:color w:val="000000"/>
      <w:szCs w:val="21"/>
    </w:rPr>
  </w:style>
  <w:style w:type="paragraph" w:customStyle="1" w:styleId="7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8">
    <w:name w:val="NormalIndent"/>
    <w:basedOn w:val="1"/>
    <w:link w:val="79"/>
    <w:autoRedefine/>
    <w:qFormat/>
    <w:uiPriority w:val="0"/>
    <w:pPr>
      <w:widowControl/>
      <w:ind w:firstLine="420"/>
      <w:jc w:val="left"/>
      <w:textAlignment w:val="baseline"/>
    </w:pPr>
    <w:rPr>
      <w:rFonts w:ascii="Calibri" w:hAnsi="Calibri"/>
      <w:kern w:val="0"/>
      <w:sz w:val="20"/>
      <w:szCs w:val="20"/>
    </w:rPr>
  </w:style>
  <w:style w:type="character" w:customStyle="1" w:styleId="79">
    <w:name w:val="UserStyle_4"/>
    <w:link w:val="78"/>
    <w:autoRedefine/>
    <w:qFormat/>
    <w:uiPriority w:val="0"/>
    <w:rPr>
      <w:rFonts w:ascii="Calibri" w:hAnsi="Calibri" w:cs="Times New Roman"/>
    </w:rPr>
  </w:style>
  <w:style w:type="character" w:customStyle="1" w:styleId="80">
    <w:name w:val="NormalCharacter"/>
    <w:autoRedefine/>
    <w:semiHidden/>
    <w:qFormat/>
    <w:uiPriority w:val="0"/>
  </w:style>
  <w:style w:type="paragraph" w:customStyle="1" w:styleId="81">
    <w:name w:val="BodyText1I2"/>
    <w:basedOn w:val="1"/>
    <w:autoRedefine/>
    <w:qFormat/>
    <w:uiPriority w:val="0"/>
    <w:pPr>
      <w:widowControl/>
      <w:ind w:firstLine="420" w:firstLineChars="200"/>
      <w:textAlignment w:val="baseline"/>
    </w:pPr>
    <w:rPr>
      <w:rFonts w:ascii="Calibri" w:hAnsi="Calibri"/>
      <w:b/>
      <w:sz w:val="32"/>
      <w:szCs w:val="20"/>
    </w:rPr>
  </w:style>
  <w:style w:type="character" w:customStyle="1" w:styleId="82">
    <w:name w:val="正文文本缩进 Char"/>
    <w:basedOn w:val="34"/>
    <w:link w:val="15"/>
    <w:autoRedefine/>
    <w:qFormat/>
    <w:uiPriority w:val="0"/>
    <w:rPr>
      <w:rFonts w:cs="Calibri"/>
      <w:kern w:val="2"/>
      <w:sz w:val="32"/>
    </w:rPr>
  </w:style>
  <w:style w:type="character" w:customStyle="1" w:styleId="83">
    <w:name w:val="正文文本缩进 Char1"/>
    <w:basedOn w:val="34"/>
    <w:autoRedefine/>
    <w:qFormat/>
    <w:uiPriority w:val="99"/>
    <w:rPr>
      <w:rFonts w:ascii="Times New Roman" w:hAnsi="Times New Roman" w:eastAsia="宋体" w:cs="华文仿宋"/>
      <w:kern w:val="2"/>
      <w:sz w:val="21"/>
      <w:szCs w:val="24"/>
    </w:rPr>
  </w:style>
  <w:style w:type="character" w:customStyle="1" w:styleId="84">
    <w:name w:val="不明显强调1"/>
    <w:autoRedefine/>
    <w:qFormat/>
    <w:uiPriority w:val="19"/>
    <w:rPr>
      <w:rFonts w:ascii="Times New Roman" w:hAnsi="Times New Roman" w:eastAsia="宋体" w:cs="Times New Roman"/>
      <w:i/>
      <w:iCs/>
      <w:color w:val="808080" w:themeColor="text1" w:themeTint="80"/>
      <w14:textFill>
        <w14:solidFill>
          <w14:schemeClr w14:val="tx1">
            <w14:lumMod w14:val="50000"/>
            <w14:lumOff w14:val="50000"/>
          </w14:schemeClr>
        </w14:solidFill>
      </w14:textFill>
    </w:rPr>
  </w:style>
  <w:style w:type="character" w:customStyle="1" w:styleId="85">
    <w:name w:val="明显强调1"/>
    <w:autoRedefine/>
    <w:qFormat/>
    <w:uiPriority w:val="21"/>
    <w:rPr>
      <w:rFonts w:ascii="Times New Roman" w:hAnsi="Times New Roman" w:eastAsia="宋体" w:cs="Times New Roman"/>
      <w:b/>
      <w:bCs/>
      <w:i/>
      <w:iCs/>
      <w:color w:val="4F81BD" w:themeColor="accent1"/>
      <w14:textFill>
        <w14:solidFill>
          <w14:schemeClr w14:val="accent1"/>
        </w14:solidFill>
      </w14:textFill>
    </w:rPr>
  </w:style>
  <w:style w:type="character" w:customStyle="1" w:styleId="86">
    <w:name w:val="不明显参考1"/>
    <w:autoRedefine/>
    <w:qFormat/>
    <w:uiPriority w:val="31"/>
    <w:rPr>
      <w:rFonts w:ascii="Times New Roman" w:hAnsi="Times New Roman" w:eastAsia="宋体" w:cs="Times New Roman"/>
      <w:smallCaps/>
      <w:color w:val="C0504D" w:themeColor="accent2"/>
      <w:u w:val="single"/>
      <w14:textFill>
        <w14:solidFill>
          <w14:schemeClr w14:val="accent2"/>
        </w14:solidFill>
      </w14:textFill>
    </w:rPr>
  </w:style>
  <w:style w:type="character" w:customStyle="1" w:styleId="87">
    <w:name w:val="明显参考1"/>
    <w:basedOn w:val="34"/>
    <w:autoRedefine/>
    <w:qFormat/>
    <w:uiPriority w:val="32"/>
    <w:rPr>
      <w:rFonts w:ascii="Times New Roman" w:hAnsi="Times New Roman" w:eastAsia="宋体" w:cs="Times New Roman"/>
      <w:b/>
      <w:bCs/>
      <w:smallCaps/>
      <w:color w:val="C0504D" w:themeColor="accent2"/>
      <w:spacing w:val="5"/>
      <w:u w:val="single"/>
      <w14:textFill>
        <w14:solidFill>
          <w14:schemeClr w14:val="accent2"/>
        </w14:solidFill>
      </w14:textFill>
    </w:rPr>
  </w:style>
  <w:style w:type="character" w:customStyle="1" w:styleId="88">
    <w:name w:val="书籍标题1"/>
    <w:basedOn w:val="34"/>
    <w:autoRedefine/>
    <w:qFormat/>
    <w:uiPriority w:val="33"/>
    <w:rPr>
      <w:rFonts w:ascii="Times New Roman" w:hAnsi="Times New Roman" w:eastAsia="宋体" w:cstheme="majorBidi"/>
      <w:b/>
      <w:bCs/>
      <w:smallCaps/>
      <w:spacing w:val="5"/>
    </w:rPr>
  </w:style>
  <w:style w:type="paragraph" w:customStyle="1" w:styleId="89">
    <w:name w:val="TOC 标题1"/>
    <w:basedOn w:val="2"/>
    <w:next w:val="1"/>
    <w:autoRedefine/>
    <w:semiHidden/>
    <w:unhideWhenUsed/>
    <w:qFormat/>
    <w:uiPriority w:val="39"/>
    <w:pPr>
      <w:outlineLvl w:val="9"/>
    </w:pPr>
  </w:style>
  <w:style w:type="character" w:customStyle="1" w:styleId="90">
    <w:name w:val="正文文本缩进 Char Char Char"/>
    <w:autoRedefine/>
    <w:qFormat/>
    <w:uiPriority w:val="0"/>
    <w:rPr>
      <w:rFonts w:ascii="楷体_GB2312" w:hAnsi="Calibri" w:eastAsia="楷体_GB2312"/>
      <w:kern w:val="2"/>
      <w:sz w:val="32"/>
      <w:lang w:val="en-US" w:eastAsia="zh-CN"/>
    </w:rPr>
  </w:style>
  <w:style w:type="paragraph" w:customStyle="1" w:styleId="91">
    <w:name w:val="正文_1"/>
    <w:autoRedefine/>
    <w:qFormat/>
    <w:uiPriority w:val="0"/>
    <w:pPr>
      <w:widowControl w:val="0"/>
    </w:pPr>
    <w:rPr>
      <w:rFonts w:ascii="Calibri" w:hAnsi="Calibri" w:eastAsia="宋体" w:cs="Calibri"/>
      <w:kern w:val="2"/>
      <w:sz w:val="21"/>
      <w:szCs w:val="21"/>
      <w:lang w:val="en-US" w:eastAsia="zh-CN" w:bidi="ar-SA"/>
    </w:rPr>
  </w:style>
  <w:style w:type="character" w:customStyle="1" w:styleId="92">
    <w:name w:val="批注文字 Char"/>
    <w:basedOn w:val="34"/>
    <w:link w:val="13"/>
    <w:autoRedefine/>
    <w:qFormat/>
    <w:uiPriority w:val="0"/>
    <w:rPr>
      <w:rFonts w:ascii="Calibri" w:hAnsi="Calibri" w:cs="Calibri"/>
      <w:sz w:val="21"/>
      <w:szCs w:val="21"/>
    </w:rPr>
  </w:style>
  <w:style w:type="character" w:customStyle="1" w:styleId="93">
    <w:name w:val="页眉 Char"/>
    <w:basedOn w:val="34"/>
    <w:link w:val="22"/>
    <w:autoRedefine/>
    <w:qFormat/>
    <w:uiPriority w:val="0"/>
    <w:rPr>
      <w:sz w:val="18"/>
      <w:szCs w:val="18"/>
    </w:rPr>
  </w:style>
  <w:style w:type="character" w:customStyle="1" w:styleId="94">
    <w:name w:val="页脚 Char"/>
    <w:basedOn w:val="34"/>
    <w:link w:val="21"/>
    <w:autoRedefine/>
    <w:semiHidden/>
    <w:qFormat/>
    <w:uiPriority w:val="99"/>
    <w:rPr>
      <w:sz w:val="18"/>
      <w:szCs w:val="18"/>
    </w:rPr>
  </w:style>
  <w:style w:type="character" w:customStyle="1" w:styleId="95">
    <w:name w:val="正文文本 Char"/>
    <w:basedOn w:val="34"/>
    <w:link w:val="14"/>
    <w:qFormat/>
    <w:uiPriority w:val="99"/>
    <w:rPr>
      <w:sz w:val="21"/>
      <w:szCs w:val="21"/>
    </w:rPr>
  </w:style>
  <w:style w:type="character" w:customStyle="1" w:styleId="96">
    <w:name w:val="日期 Char"/>
    <w:basedOn w:val="34"/>
    <w:link w:val="18"/>
    <w:autoRedefine/>
    <w:qFormat/>
    <w:uiPriority w:val="0"/>
    <w:rPr>
      <w:sz w:val="21"/>
      <w:szCs w:val="21"/>
    </w:rPr>
  </w:style>
  <w:style w:type="character" w:customStyle="1" w:styleId="97">
    <w:name w:val="批注框文本 Char"/>
    <w:basedOn w:val="34"/>
    <w:link w:val="20"/>
    <w:autoRedefine/>
    <w:qFormat/>
    <w:uiPriority w:val="0"/>
    <w:rPr>
      <w:rFonts w:ascii="Calibri" w:hAnsi="Calibri" w:cs="Calibri"/>
      <w:sz w:val="2"/>
      <w:szCs w:val="2"/>
    </w:rPr>
  </w:style>
  <w:style w:type="paragraph" w:customStyle="1" w:styleId="98">
    <w:name w:val="Char Char Char Char Char Char4"/>
    <w:basedOn w:val="1"/>
    <w:autoRedefine/>
    <w:qFormat/>
    <w:uiPriority w:val="99"/>
  </w:style>
  <w:style w:type="paragraph" w:customStyle="1" w:styleId="99">
    <w:name w:val="Char Char Char Char Char Char"/>
    <w:basedOn w:val="1"/>
    <w:autoRedefine/>
    <w:qFormat/>
    <w:uiPriority w:val="99"/>
  </w:style>
  <w:style w:type="paragraph" w:customStyle="1" w:styleId="100">
    <w:name w:val="正文_0"/>
    <w:autoRedefine/>
    <w:qFormat/>
    <w:uiPriority w:val="0"/>
    <w:pPr>
      <w:widowControl w:val="0"/>
    </w:pPr>
    <w:rPr>
      <w:rFonts w:ascii="Calibri" w:hAnsi="Calibri" w:eastAsia="宋体" w:cs="Calibri"/>
      <w:kern w:val="2"/>
      <w:sz w:val="21"/>
      <w:szCs w:val="21"/>
      <w:lang w:val="en-US" w:eastAsia="zh-CN" w:bidi="ar-SA"/>
    </w:rPr>
  </w:style>
  <w:style w:type="paragraph" w:customStyle="1" w:styleId="101">
    <w:name w:val="列出段落1"/>
    <w:basedOn w:val="1"/>
    <w:autoRedefine/>
    <w:qFormat/>
    <w:uiPriority w:val="0"/>
    <w:pPr>
      <w:ind w:firstLine="420" w:firstLineChars="200"/>
    </w:pPr>
  </w:style>
  <w:style w:type="paragraph" w:customStyle="1" w:styleId="102">
    <w:name w:val="正文文本缩进_0"/>
    <w:basedOn w:val="91"/>
    <w:link w:val="103"/>
    <w:autoRedefine/>
    <w:qFormat/>
    <w:uiPriority w:val="0"/>
    <w:pPr>
      <w:ind w:firstLine="645"/>
    </w:pPr>
    <w:rPr>
      <w:rFonts w:ascii="楷体_GB2312" w:eastAsia="楷体_GB2312" w:cs="楷体_GB2312"/>
      <w:sz w:val="32"/>
      <w:szCs w:val="32"/>
    </w:rPr>
  </w:style>
  <w:style w:type="character" w:customStyle="1" w:styleId="103">
    <w:name w:val="正文文本缩进 Char Char"/>
    <w:link w:val="102"/>
    <w:autoRedefine/>
    <w:qFormat/>
    <w:locked/>
    <w:uiPriority w:val="0"/>
    <w:rPr>
      <w:rFonts w:ascii="楷体_GB2312" w:hAnsi="Calibri" w:eastAsia="楷体_GB2312" w:cs="楷体_GB2312"/>
      <w:kern w:val="2"/>
      <w:sz w:val="32"/>
      <w:szCs w:val="32"/>
      <w:lang w:val="en-US" w:eastAsia="zh-CN"/>
    </w:rPr>
  </w:style>
  <w:style w:type="paragraph" w:customStyle="1" w:styleId="104">
    <w:name w:val="纯文本1"/>
    <w:basedOn w:val="1"/>
    <w:autoRedefine/>
    <w:qFormat/>
    <w:uiPriority w:val="0"/>
    <w:rPr>
      <w:rFonts w:ascii="宋体" w:hAnsi="Courier New" w:cs="宋体"/>
    </w:rPr>
  </w:style>
  <w:style w:type="paragraph" w:customStyle="1" w:styleId="105">
    <w:name w:val="节标题"/>
    <w:basedOn w:val="1"/>
    <w:next w:val="1"/>
    <w:autoRedefine/>
    <w:qFormat/>
    <w:uiPriority w:val="0"/>
    <w:pPr>
      <w:widowControl/>
      <w:spacing w:line="289" w:lineRule="atLeast"/>
      <w:jc w:val="center"/>
      <w:textAlignment w:val="baseline"/>
    </w:pPr>
    <w:rPr>
      <w:color w:val="000000"/>
      <w:kern w:val="0"/>
      <w:sz w:val="28"/>
      <w:szCs w:val="28"/>
      <w:u w:color="000000"/>
    </w:rPr>
  </w:style>
  <w:style w:type="paragraph" w:customStyle="1" w:styleId="106">
    <w:name w:val="_Style 22"/>
    <w:basedOn w:val="1"/>
    <w:autoRedefine/>
    <w:qFormat/>
    <w:uiPriority w:val="0"/>
  </w:style>
  <w:style w:type="paragraph" w:customStyle="1" w:styleId="107">
    <w:name w:val="Char Char Char Char Char Char1"/>
    <w:basedOn w:val="1"/>
    <w:autoRedefine/>
    <w:qFormat/>
    <w:uiPriority w:val="99"/>
  </w:style>
  <w:style w:type="paragraph" w:customStyle="1" w:styleId="108">
    <w:name w:val="002标题"/>
    <w:basedOn w:val="1"/>
    <w:autoRedefine/>
    <w:qFormat/>
    <w:uiPriority w:val="99"/>
    <w:pPr>
      <w:jc w:val="center"/>
    </w:pPr>
    <w:rPr>
      <w:sz w:val="30"/>
      <w:szCs w:val="30"/>
    </w:rPr>
  </w:style>
  <w:style w:type="paragraph" w:customStyle="1" w:styleId="109">
    <w:name w:val="001大标题"/>
    <w:basedOn w:val="1"/>
    <w:autoRedefine/>
    <w:qFormat/>
    <w:uiPriority w:val="99"/>
    <w:pPr>
      <w:numPr>
        <w:ilvl w:val="0"/>
        <w:numId w:val="1"/>
      </w:numPr>
      <w:jc w:val="center"/>
    </w:pPr>
    <w:rPr>
      <w:rFonts w:ascii="宋体" w:hAnsi="宋体" w:cs="宋体"/>
      <w:b/>
      <w:bCs/>
      <w:sz w:val="30"/>
      <w:szCs w:val="30"/>
    </w:rPr>
  </w:style>
  <w:style w:type="paragraph" w:customStyle="1" w:styleId="110">
    <w:name w:val="trs_edito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1">
    <w:name w:val="Char Char Char Char Char Char3"/>
    <w:basedOn w:val="1"/>
    <w:autoRedefine/>
    <w:qFormat/>
    <w:uiPriority w:val="99"/>
  </w:style>
  <w:style w:type="character" w:customStyle="1" w:styleId="112">
    <w:name w:val="Comment Text Char1"/>
    <w:autoRedefine/>
    <w:semiHidden/>
    <w:qFormat/>
    <w:locked/>
    <w:uiPriority w:val="99"/>
    <w:rPr>
      <w:rFonts w:ascii="等线" w:hAnsi="等线" w:eastAsia="等线" w:cs="等线"/>
      <w:kern w:val="2"/>
      <w:sz w:val="22"/>
      <w:szCs w:val="22"/>
      <w:lang w:val="en-US" w:eastAsia="zh-CN"/>
    </w:rPr>
  </w:style>
  <w:style w:type="paragraph" w:customStyle="1" w:styleId="113">
    <w:name w:val="p0"/>
    <w:basedOn w:val="1"/>
    <w:autoRedefine/>
    <w:qFormat/>
    <w:uiPriority w:val="0"/>
    <w:pPr>
      <w:widowControl/>
    </w:pPr>
    <w:rPr>
      <w:rFonts w:cs="宋体"/>
      <w:kern w:val="0"/>
    </w:rPr>
  </w:style>
  <w:style w:type="character" w:customStyle="1" w:styleId="114">
    <w:name w:val="span-topl"/>
    <w:basedOn w:val="34"/>
    <w:autoRedefine/>
    <w:qFormat/>
    <w:uiPriority w:val="0"/>
    <w:rPr>
      <w:color w:val="3C6983"/>
      <w:sz w:val="18"/>
      <w:szCs w:val="18"/>
    </w:rPr>
  </w:style>
  <w:style w:type="character" w:customStyle="1" w:styleId="115">
    <w:name w:val="spanl"/>
    <w:basedOn w:val="34"/>
    <w:autoRedefine/>
    <w:qFormat/>
    <w:uiPriority w:val="0"/>
    <w:rPr>
      <w:rFonts w:ascii="微软雅黑" w:hAnsi="微软雅黑" w:eastAsia="微软雅黑" w:cs="微软雅黑"/>
      <w:sz w:val="27"/>
      <w:szCs w:val="27"/>
    </w:rPr>
  </w:style>
  <w:style w:type="character" w:customStyle="1" w:styleId="116">
    <w:name w:val="num"/>
    <w:basedOn w:val="34"/>
    <w:autoRedefine/>
    <w:qFormat/>
    <w:uiPriority w:val="0"/>
    <w:rPr>
      <w:sz w:val="21"/>
      <w:szCs w:val="21"/>
    </w:rPr>
  </w:style>
  <w:style w:type="character" w:customStyle="1" w:styleId="117">
    <w:name w:val="time"/>
    <w:basedOn w:val="34"/>
    <w:autoRedefine/>
    <w:qFormat/>
    <w:uiPriority w:val="0"/>
    <w:rPr>
      <w:color w:val="666666"/>
      <w:sz w:val="18"/>
      <w:szCs w:val="18"/>
    </w:rPr>
  </w:style>
  <w:style w:type="character" w:customStyle="1" w:styleId="118">
    <w:name w:val="span-topr"/>
    <w:basedOn w:val="34"/>
    <w:autoRedefine/>
    <w:qFormat/>
    <w:uiPriority w:val="0"/>
    <w:rPr>
      <w:color w:val="6AA1C3"/>
      <w:sz w:val="18"/>
      <w:szCs w:val="18"/>
    </w:rPr>
  </w:style>
  <w:style w:type="character" w:customStyle="1" w:styleId="119">
    <w:name w:val="hy-spanr"/>
    <w:basedOn w:val="34"/>
    <w:autoRedefine/>
    <w:qFormat/>
    <w:uiPriority w:val="0"/>
    <w:rPr>
      <w:rFonts w:hint="eastAsia" w:ascii="微软雅黑" w:hAnsi="微软雅黑" w:eastAsia="微软雅黑" w:cs="微软雅黑"/>
      <w:color w:val="C4D1DC"/>
      <w:sz w:val="21"/>
      <w:szCs w:val="21"/>
    </w:rPr>
  </w:style>
  <w:style w:type="character" w:customStyle="1" w:styleId="120">
    <w:name w:val="hy-spanr1"/>
    <w:basedOn w:val="34"/>
    <w:autoRedefine/>
    <w:qFormat/>
    <w:uiPriority w:val="0"/>
    <w:rPr>
      <w:rFonts w:hint="eastAsia" w:ascii="微软雅黑" w:hAnsi="微软雅黑" w:eastAsia="微软雅黑" w:cs="微软雅黑"/>
      <w:color w:val="C4D1DC"/>
      <w:sz w:val="21"/>
      <w:szCs w:val="21"/>
    </w:rPr>
  </w:style>
  <w:style w:type="character" w:customStyle="1" w:styleId="121">
    <w:name w:val="p-spanl"/>
    <w:basedOn w:val="34"/>
    <w:autoRedefine/>
    <w:qFormat/>
    <w:uiPriority w:val="0"/>
  </w:style>
  <w:style w:type="character" w:customStyle="1" w:styleId="122">
    <w:name w:val="p-spanl1"/>
    <w:basedOn w:val="34"/>
    <w:autoRedefine/>
    <w:qFormat/>
    <w:uiPriority w:val="0"/>
  </w:style>
  <w:style w:type="character" w:customStyle="1" w:styleId="123">
    <w:name w:val="正文文本缩进 3 Char"/>
    <w:basedOn w:val="34"/>
    <w:link w:val="25"/>
    <w:autoRedefine/>
    <w:qFormat/>
    <w:uiPriority w:val="0"/>
    <w:rPr>
      <w:kern w:val="2"/>
      <w:sz w:val="16"/>
      <w:szCs w:val="16"/>
    </w:rPr>
  </w:style>
  <w:style w:type="character" w:customStyle="1" w:styleId="124">
    <w:name w:val="正文文本缩进 2 Char"/>
    <w:basedOn w:val="34"/>
    <w:link w:val="19"/>
    <w:autoRedefine/>
    <w:qFormat/>
    <w:uiPriority w:val="0"/>
    <w:rPr>
      <w:kern w:val="2"/>
      <w:sz w:val="21"/>
      <w:szCs w:val="24"/>
    </w:rPr>
  </w:style>
  <w:style w:type="character" w:customStyle="1" w:styleId="125">
    <w:name w:val="HTML 预设格式 Char"/>
    <w:basedOn w:val="34"/>
    <w:link w:val="27"/>
    <w:autoRedefine/>
    <w:qFormat/>
    <w:uiPriority w:val="0"/>
    <w:rPr>
      <w:rFonts w:ascii="宋体" w:hAnsi="宋体" w:cs="宋体"/>
      <w:sz w:val="24"/>
      <w:szCs w:val="24"/>
    </w:rPr>
  </w:style>
  <w:style w:type="character" w:customStyle="1" w:styleId="126">
    <w:name w:val="批注主题 Char"/>
    <w:basedOn w:val="92"/>
    <w:link w:val="30"/>
    <w:autoRedefine/>
    <w:qFormat/>
    <w:uiPriority w:val="0"/>
    <w:rPr>
      <w:b/>
      <w:bCs/>
      <w:kern w:val="2"/>
      <w:szCs w:val="24"/>
    </w:rPr>
  </w:style>
  <w:style w:type="character" w:customStyle="1" w:styleId="127">
    <w:name w:val="纯文本 Char Char"/>
    <w:autoRedefine/>
    <w:qFormat/>
    <w:uiPriority w:val="0"/>
    <w:rPr>
      <w:rFonts w:ascii="宋体" w:hAnsi="Courier New" w:eastAsia="宋体" w:cs="Courier New"/>
      <w:kern w:val="2"/>
      <w:sz w:val="21"/>
      <w:szCs w:val="21"/>
      <w:lang w:val="en-US" w:eastAsia="zh-CN" w:bidi="ar-SA"/>
    </w:rPr>
  </w:style>
  <w:style w:type="character" w:customStyle="1" w:styleId="128">
    <w:name w:val="Char Char2"/>
    <w:autoRedefine/>
    <w:qFormat/>
    <w:uiPriority w:val="0"/>
    <w:rPr>
      <w:rFonts w:ascii="宋体" w:hAnsi="Courier New" w:eastAsia="华文宋体" w:cs="Times New Roman"/>
      <w:sz w:val="28"/>
      <w:szCs w:val="20"/>
    </w:rPr>
  </w:style>
  <w:style w:type="character" w:customStyle="1" w:styleId="129">
    <w:name w:val="正文文本缩进 2 Char Char"/>
    <w:link w:val="130"/>
    <w:autoRedefine/>
    <w:qFormat/>
    <w:uiPriority w:val="0"/>
    <w:rPr>
      <w:rFonts w:ascii="Arial" w:hAnsi="Arial" w:eastAsia="仿宋_GB2312"/>
      <w:kern w:val="2"/>
      <w:sz w:val="32"/>
    </w:rPr>
  </w:style>
  <w:style w:type="paragraph" w:customStyle="1" w:styleId="130">
    <w:name w:val="正文文本缩进 2_0"/>
    <w:basedOn w:val="91"/>
    <w:link w:val="129"/>
    <w:autoRedefine/>
    <w:qFormat/>
    <w:uiPriority w:val="0"/>
    <w:pPr>
      <w:ind w:left="630" w:firstLine="645"/>
      <w:jc w:val="both"/>
    </w:pPr>
    <w:rPr>
      <w:rFonts w:ascii="Arial" w:hAnsi="Arial" w:eastAsia="仿宋_GB2312" w:cs="Times New Roman"/>
      <w:sz w:val="32"/>
      <w:szCs w:val="20"/>
    </w:rPr>
  </w:style>
  <w:style w:type="character" w:customStyle="1" w:styleId="131">
    <w:name w:val="批注文字 字符"/>
    <w:autoRedefine/>
    <w:semiHidden/>
    <w:qFormat/>
    <w:uiPriority w:val="0"/>
  </w:style>
  <w:style w:type="paragraph" w:customStyle="1" w:styleId="132">
    <w:name w:val="正文段"/>
    <w:basedOn w:val="1"/>
    <w:autoRedefine/>
    <w:qFormat/>
    <w:uiPriority w:val="0"/>
    <w:pPr>
      <w:widowControl/>
      <w:snapToGrid w:val="0"/>
      <w:spacing w:afterLines="50"/>
      <w:ind w:firstLine="200" w:firstLineChars="200"/>
    </w:pPr>
    <w:rPr>
      <w:kern w:val="0"/>
      <w:sz w:val="24"/>
      <w:szCs w:val="20"/>
    </w:rPr>
  </w:style>
  <w:style w:type="paragraph" w:customStyle="1" w:styleId="133">
    <w:name w:val="样式 首行缩进:  2 字符"/>
    <w:basedOn w:val="1"/>
    <w:autoRedefine/>
    <w:qFormat/>
    <w:uiPriority w:val="0"/>
    <w:pPr>
      <w:spacing w:line="400" w:lineRule="exact"/>
      <w:ind w:firstLine="200" w:firstLineChars="200"/>
    </w:pPr>
    <w:rPr>
      <w:rFonts w:cs="宋体"/>
      <w:sz w:val="24"/>
    </w:rPr>
  </w:style>
  <w:style w:type="paragraph" w:customStyle="1" w:styleId="134">
    <w:name w:val="00大标题"/>
    <w:basedOn w:val="1"/>
    <w:autoRedefine/>
    <w:qFormat/>
    <w:uiPriority w:val="0"/>
    <w:pPr>
      <w:jc w:val="center"/>
    </w:pPr>
    <w:rPr>
      <w:rFonts w:ascii="宋体" w:hAnsi="宋体"/>
      <w:b/>
      <w:sz w:val="32"/>
      <w:szCs w:val="32"/>
    </w:rPr>
  </w:style>
  <w:style w:type="paragraph" w:customStyle="1" w:styleId="135">
    <w:name w:val="批注框文本 New"/>
    <w:basedOn w:val="1"/>
    <w:autoRedefine/>
    <w:qFormat/>
    <w:uiPriority w:val="0"/>
    <w:rPr>
      <w:sz w:val="18"/>
      <w:szCs w:val="18"/>
    </w:rPr>
  </w:style>
  <w:style w:type="paragraph" w:customStyle="1" w:styleId="136">
    <w:name w:val="Char Char Char Char Char Char5"/>
    <w:basedOn w:val="1"/>
    <w:autoRedefine/>
    <w:qFormat/>
    <w:uiPriority w:val="0"/>
  </w:style>
  <w:style w:type="paragraph" w:customStyle="1" w:styleId="137">
    <w:name w:val="表格"/>
    <w:basedOn w:val="1"/>
    <w:autoRedefine/>
    <w:qFormat/>
    <w:uiPriority w:val="0"/>
    <w:pPr>
      <w:spacing w:line="400" w:lineRule="exact"/>
    </w:pPr>
    <w:rPr>
      <w:sz w:val="24"/>
    </w:rPr>
  </w:style>
  <w:style w:type="paragraph" w:customStyle="1" w:styleId="138">
    <w:name w:val="中等深浅网格 1 - 强调文字颜色 21"/>
    <w:basedOn w:val="1"/>
    <w:autoRedefine/>
    <w:qFormat/>
    <w:uiPriority w:val="0"/>
    <w:pPr>
      <w:ind w:firstLine="420" w:firstLineChars="200"/>
    </w:pPr>
    <w:rPr>
      <w:rFonts w:eastAsia="仿宋_GB2312"/>
      <w:sz w:val="32"/>
    </w:rPr>
  </w:style>
  <w:style w:type="paragraph" w:customStyle="1" w:styleId="139">
    <w:name w:val="样式 正文缩进 + 首行缩进:  2 字符"/>
    <w:basedOn w:val="4"/>
    <w:autoRedefine/>
    <w:qFormat/>
    <w:uiPriority w:val="0"/>
    <w:pPr>
      <w:spacing w:line="360" w:lineRule="auto"/>
      <w:ind w:firstLine="200"/>
    </w:pPr>
    <w:rPr>
      <w:rFonts w:cs="宋体"/>
      <w:sz w:val="24"/>
    </w:rPr>
  </w:style>
  <w:style w:type="paragraph" w:customStyle="1" w:styleId="140">
    <w:name w:val="Char1"/>
    <w:basedOn w:val="1"/>
    <w:autoRedefine/>
    <w:qFormat/>
    <w:uiPriority w:val="0"/>
  </w:style>
  <w:style w:type="paragraph" w:customStyle="1" w:styleId="141">
    <w:name w:val="Char Char Char Char Char Char Char1 Char_1"/>
    <w:basedOn w:val="91"/>
    <w:autoRedefine/>
    <w:qFormat/>
    <w:uiPriority w:val="0"/>
    <w:pPr>
      <w:jc w:val="both"/>
    </w:pPr>
    <w:rPr>
      <w:rFonts w:ascii="Tahoma" w:hAnsi="Tahoma" w:cs="Times New Roman"/>
      <w:sz w:val="24"/>
      <w:szCs w:val="20"/>
    </w:rPr>
  </w:style>
  <w:style w:type="paragraph" w:customStyle="1" w:styleId="142">
    <w:name w:val="列出段落2"/>
    <w:basedOn w:val="1"/>
    <w:autoRedefine/>
    <w:qFormat/>
    <w:uiPriority w:val="0"/>
    <w:pPr>
      <w:ind w:firstLine="420" w:firstLineChars="200"/>
    </w:pPr>
    <w:rPr>
      <w:szCs w:val="20"/>
    </w:rPr>
  </w:style>
  <w:style w:type="paragraph" w:customStyle="1" w:styleId="143">
    <w:name w:val="Char11"/>
    <w:basedOn w:val="1"/>
    <w:autoRedefine/>
    <w:qFormat/>
    <w:uiPriority w:val="0"/>
  </w:style>
  <w:style w:type="paragraph" w:customStyle="1" w:styleId="144">
    <w:name w:val="01标题一"/>
    <w:basedOn w:val="1"/>
    <w:autoRedefine/>
    <w:qFormat/>
    <w:uiPriority w:val="0"/>
    <w:rPr>
      <w:rFonts w:ascii="宋体" w:hAnsi="宋体"/>
      <w:b/>
      <w:sz w:val="28"/>
      <w:szCs w:val="28"/>
    </w:rPr>
  </w:style>
  <w:style w:type="paragraph" w:customStyle="1" w:styleId="145">
    <w:name w:val="样式1"/>
    <w:basedOn w:val="1"/>
    <w:autoRedefine/>
    <w:qFormat/>
    <w:uiPriority w:val="0"/>
    <w:pPr>
      <w:tabs>
        <w:tab w:val="left" w:pos="360"/>
        <w:tab w:val="left" w:pos="1069"/>
      </w:tabs>
      <w:adjustRightInd w:val="0"/>
    </w:pPr>
    <w:rPr>
      <w:rFonts w:ascii="宋体" w:hAnsi="宋体"/>
      <w:kern w:val="0"/>
      <w:szCs w:val="21"/>
    </w:rPr>
  </w:style>
  <w:style w:type="paragraph" w:customStyle="1" w:styleId="146">
    <w:name w:val="Char Char2 Char Char"/>
    <w:basedOn w:val="1"/>
    <w:autoRedefine/>
    <w:qFormat/>
    <w:uiPriority w:val="0"/>
    <w:rPr>
      <w:rFonts w:ascii="Tahoma" w:hAnsi="Tahoma"/>
      <w:sz w:val="24"/>
      <w:szCs w:val="20"/>
    </w:rPr>
  </w:style>
  <w:style w:type="paragraph" w:customStyle="1" w:styleId="147">
    <w:name w:val="国内正文"/>
    <w:basedOn w:val="1"/>
    <w:autoRedefine/>
    <w:qFormat/>
    <w:uiPriority w:val="0"/>
    <w:rPr>
      <w:sz w:val="28"/>
      <w:szCs w:val="28"/>
    </w:rPr>
  </w:style>
  <w:style w:type="character" w:customStyle="1" w:styleId="148">
    <w:name w:val="纯文本 字符"/>
    <w:autoRedefine/>
    <w:qFormat/>
    <w:uiPriority w:val="0"/>
    <w:rPr>
      <w:rFonts w:ascii="宋体" w:hAnsi="Courier New" w:eastAsia="华文宋体"/>
      <w:kern w:val="2"/>
      <w:sz w:val="28"/>
      <w:szCs w:val="24"/>
    </w:rPr>
  </w:style>
  <w:style w:type="paragraph" w:customStyle="1" w:styleId="149">
    <w:name w:val="info"/>
    <w:basedOn w:val="1"/>
    <w:autoRedefine/>
    <w:qFormat/>
    <w:uiPriority w:val="0"/>
    <w:pPr>
      <w:widowControl/>
      <w:spacing w:after="100" w:afterAutospacing="1"/>
      <w:jc w:val="left"/>
    </w:pPr>
    <w:rPr>
      <w:rFonts w:ascii="宋体" w:hAnsi="宋体" w:cs="宋体"/>
      <w:kern w:val="0"/>
      <w:sz w:val="24"/>
    </w:rPr>
  </w:style>
  <w:style w:type="paragraph" w:customStyle="1" w:styleId="150">
    <w:name w:val="模板普通正文"/>
    <w:basedOn w:val="15"/>
    <w:autoRedefine/>
    <w:qFormat/>
    <w:uiPriority w:val="0"/>
    <w:pPr>
      <w:spacing w:beforeLines="50" w:after="10"/>
      <w:ind w:firstLine="490" w:firstLineChars="175"/>
      <w:jc w:val="left"/>
    </w:pPr>
  </w:style>
  <w:style w:type="character" w:customStyle="1" w:styleId="151">
    <w:name w:val="font61"/>
    <w:autoRedefine/>
    <w:qFormat/>
    <w:uiPriority w:val="0"/>
    <w:rPr>
      <w:rFonts w:hint="eastAsia" w:ascii="宋体" w:hAnsi="宋体" w:eastAsia="宋体" w:cs="宋体"/>
      <w:color w:val="FF0000"/>
      <w:sz w:val="21"/>
      <w:szCs w:val="21"/>
      <w:u w:val="none"/>
      <w:vertAlign w:val="superscript"/>
    </w:rPr>
  </w:style>
  <w:style w:type="character" w:customStyle="1" w:styleId="152">
    <w:name w:val="font31"/>
    <w:autoRedefine/>
    <w:qFormat/>
    <w:uiPriority w:val="0"/>
    <w:rPr>
      <w:rFonts w:hint="default" w:ascii="Times New Roman" w:hAnsi="Times New Roman" w:cs="Times New Roman"/>
      <w:color w:val="000000"/>
      <w:sz w:val="21"/>
      <w:szCs w:val="21"/>
      <w:u w:val="none"/>
    </w:rPr>
  </w:style>
  <w:style w:type="character" w:customStyle="1" w:styleId="153">
    <w:name w:val="font41"/>
    <w:autoRedefine/>
    <w:qFormat/>
    <w:uiPriority w:val="0"/>
    <w:rPr>
      <w:rFonts w:hint="eastAsia" w:ascii="宋体" w:hAnsi="宋体" w:eastAsia="宋体"/>
      <w:color w:val="000000"/>
      <w:sz w:val="21"/>
      <w:szCs w:val="21"/>
      <w:u w:val="none"/>
    </w:rPr>
  </w:style>
  <w:style w:type="character" w:customStyle="1" w:styleId="154">
    <w:name w:val="font01"/>
    <w:autoRedefine/>
    <w:qFormat/>
    <w:uiPriority w:val="0"/>
    <w:rPr>
      <w:rFonts w:hint="default" w:ascii="Times New Roman" w:hAnsi="Times New Roman" w:cs="Times New Roman"/>
      <w:color w:val="FF0000"/>
      <w:sz w:val="21"/>
      <w:szCs w:val="21"/>
      <w:u w:val="none"/>
    </w:rPr>
  </w:style>
  <w:style w:type="character" w:customStyle="1" w:styleId="155">
    <w:name w:val="页眉 字符"/>
    <w:basedOn w:val="34"/>
    <w:autoRedefine/>
    <w:qFormat/>
    <w:uiPriority w:val="99"/>
    <w:rPr>
      <w:rFonts w:ascii="Times New Roman" w:hAnsi="Times New Roman" w:eastAsia="宋体" w:cs="Times New Roman"/>
    </w:rPr>
  </w:style>
  <w:style w:type="character" w:customStyle="1" w:styleId="156">
    <w:name w:val="页脚 字符"/>
    <w:autoRedefine/>
    <w:qFormat/>
    <w:uiPriority w:val="99"/>
    <w:rPr>
      <w:rFonts w:ascii="Times New Roman" w:hAnsi="Times New Roman" w:eastAsia="宋体" w:cs="Times New Roman"/>
      <w:kern w:val="2"/>
      <w:sz w:val="18"/>
      <w:szCs w:val="18"/>
    </w:rPr>
  </w:style>
  <w:style w:type="paragraph" w:customStyle="1" w:styleId="157">
    <w:name w:val="Other|1"/>
    <w:basedOn w:val="1"/>
    <w:autoRedefine/>
    <w:qFormat/>
    <w:uiPriority w:val="0"/>
    <w:pPr>
      <w:widowControl w:val="0"/>
      <w:shd w:val="clear" w:color="auto" w:fill="auto"/>
      <w:spacing w:after="40" w:line="418" w:lineRule="auto"/>
      <w:ind w:firstLine="400"/>
    </w:pPr>
    <w:rPr>
      <w:rFonts w:ascii="宋体" w:hAnsi="宋体" w:eastAsia="宋体" w:cs="宋体"/>
      <w:sz w:val="26"/>
      <w:szCs w:val="26"/>
      <w:u w:val="none"/>
      <w:shd w:val="clear" w:color="auto" w:fill="auto"/>
      <w:lang w:val="zh-TW" w:eastAsia="zh-TW" w:bidi="zh-TW"/>
    </w:rPr>
  </w:style>
  <w:style w:type="paragraph" w:customStyle="1" w:styleId="158">
    <w:name w:val="Heading #2|1"/>
    <w:basedOn w:val="1"/>
    <w:autoRedefine/>
    <w:qFormat/>
    <w:uiPriority w:val="0"/>
    <w:pPr>
      <w:widowControl w:val="0"/>
      <w:shd w:val="clear" w:color="auto" w:fill="auto"/>
      <w:spacing w:after="240" w:line="472" w:lineRule="exact"/>
      <w:ind w:firstLine="540"/>
      <w:outlineLvl w:val="1"/>
    </w:pPr>
    <w:rPr>
      <w:rFonts w:ascii="宋体" w:hAnsi="宋体" w:eastAsia="宋体" w:cs="宋体"/>
      <w:b/>
      <w:bCs/>
      <w:sz w:val="26"/>
      <w:szCs w:val="26"/>
      <w:u w:val="none"/>
      <w:shd w:val="clear" w:color="auto" w:fill="auto"/>
      <w:lang w:val="zh-TW" w:eastAsia="zh-TW" w:bidi="zh-TW"/>
    </w:rPr>
  </w:style>
  <w:style w:type="paragraph" w:customStyle="1" w:styleId="159">
    <w:name w:val="Heading #3|1"/>
    <w:basedOn w:val="1"/>
    <w:autoRedefine/>
    <w:qFormat/>
    <w:uiPriority w:val="0"/>
    <w:pPr>
      <w:widowControl w:val="0"/>
      <w:shd w:val="clear" w:color="auto" w:fill="auto"/>
      <w:spacing w:after="140" w:line="343" w:lineRule="auto"/>
      <w:ind w:firstLine="360"/>
      <w:jc w:val="center"/>
      <w:outlineLvl w:val="2"/>
    </w:pPr>
    <w:rPr>
      <w:rFonts w:ascii="宋体" w:hAnsi="宋体" w:eastAsia="宋体" w:cs="宋体"/>
      <w:b/>
      <w:bCs/>
      <w:sz w:val="26"/>
      <w:szCs w:val="26"/>
      <w:u w:val="none"/>
      <w:shd w:val="clear" w:color="auto" w:fill="auto"/>
      <w:lang w:val="zh-TW" w:eastAsia="zh-TW" w:bidi="zh-TW"/>
    </w:rPr>
  </w:style>
  <w:style w:type="paragraph" w:customStyle="1" w:styleId="160">
    <w:name w:val="Body text|1"/>
    <w:basedOn w:val="1"/>
    <w:autoRedefine/>
    <w:qFormat/>
    <w:uiPriority w:val="0"/>
    <w:pPr>
      <w:widowControl w:val="0"/>
      <w:shd w:val="clear" w:color="auto" w:fill="auto"/>
      <w:spacing w:after="40" w:line="418" w:lineRule="auto"/>
      <w:ind w:firstLine="400"/>
    </w:pPr>
    <w:rPr>
      <w:rFonts w:ascii="宋体" w:hAnsi="宋体" w:eastAsia="宋体" w:cs="宋体"/>
      <w:sz w:val="26"/>
      <w:szCs w:val="26"/>
      <w:u w:val="none"/>
      <w:shd w:val="clear" w:color="auto" w:fill="auto"/>
      <w:lang w:val="zh-TW" w:eastAsia="zh-TW" w:bidi="zh-TW"/>
    </w:rPr>
  </w:style>
  <w:style w:type="table" w:customStyle="1" w:styleId="161">
    <w:name w:val="Table Normal"/>
    <w:autoRedefine/>
    <w:semiHidden/>
    <w:unhideWhenUsed/>
    <w:qFormat/>
    <w:uiPriority w:val="0"/>
    <w:tblPr>
      <w:tblCellMar>
        <w:top w:w="0" w:type="dxa"/>
        <w:left w:w="0" w:type="dxa"/>
        <w:bottom w:w="0" w:type="dxa"/>
        <w:right w:w="0" w:type="dxa"/>
      </w:tblCellMar>
    </w:tblPr>
  </w:style>
  <w:style w:type="paragraph" w:customStyle="1" w:styleId="162">
    <w:name w:val="_Style 161"/>
    <w:basedOn w:val="1"/>
    <w:next w:val="1"/>
    <w:autoRedefine/>
    <w:qFormat/>
    <w:uiPriority w:val="0"/>
    <w:pPr>
      <w:pBdr>
        <w:bottom w:val="single" w:color="auto" w:sz="6" w:space="1"/>
      </w:pBdr>
      <w:jc w:val="center"/>
    </w:pPr>
    <w:rPr>
      <w:rFonts w:ascii="Arial" w:eastAsia="宋体"/>
      <w:vanish/>
      <w:sz w:val="16"/>
    </w:rPr>
  </w:style>
  <w:style w:type="paragraph" w:customStyle="1" w:styleId="163">
    <w:name w:val="_Style 162"/>
    <w:basedOn w:val="1"/>
    <w:next w:val="1"/>
    <w:autoRedefine/>
    <w:qFormat/>
    <w:uiPriority w:val="0"/>
    <w:pPr>
      <w:pBdr>
        <w:top w:val="single" w:color="auto" w:sz="6" w:space="1"/>
      </w:pBdr>
      <w:jc w:val="center"/>
    </w:pPr>
    <w:rPr>
      <w:rFonts w:ascii="Arial" w:eastAsia="宋体"/>
      <w:vanish/>
      <w:sz w:val="16"/>
    </w:rPr>
  </w:style>
  <w:style w:type="paragraph" w:customStyle="1" w:styleId="164">
    <w:name w:val="Table Text"/>
    <w:basedOn w:val="1"/>
    <w:autoRedefine/>
    <w:semiHidden/>
    <w:qFormat/>
    <w:uiPriority w:val="0"/>
    <w:rPr>
      <w:rFonts w:ascii="宋体" w:hAnsi="宋体" w:eastAsia="宋体" w:cs="宋体"/>
      <w:sz w:val="24"/>
      <w:szCs w:val="24"/>
    </w:rPr>
  </w:style>
  <w:style w:type="paragraph" w:customStyle="1" w:styleId="165">
    <w:name w:val="Table Paragraph"/>
    <w:basedOn w:val="1"/>
    <w:autoRedefine/>
    <w:qFormat/>
    <w:uiPriority w:val="99"/>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21889</Words>
  <Characters>23007</Characters>
  <Lines>205</Lines>
  <Paragraphs>57</Paragraphs>
  <TotalTime>0</TotalTime>
  <ScaleCrop>false</ScaleCrop>
  <LinksUpToDate>false</LinksUpToDate>
  <CharactersWithSpaces>24382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2022-05-24T05:13:00Z</dcterms:created>
  <dc:creator>NTKO</dc:creator>
  <cp:lastModifiedBy>WPS_1499009514</cp:lastModifiedBy>
  <cp:lastPrinted>2023-12-18T08:55:00Z</cp:lastPrinted>
  <dcterms:modified xsi:type="dcterms:W3CDTF">2023-12-19T03:36:17Z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B7351EB00EE84995B3EDF1B3F2C9A7CE_13</vt:lpwstr>
  </property>
</Properties>
</file>